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_Toc473123569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_Toc473123570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_Toc473123571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_Toc473123572 \h </w:instrText>
      </w:r>
      <w:r>
        <w:fldChar w:fldCharType="separate"/>
      </w:r>
      <w:r>
        <w:t>1</w:t>
      </w:r>
      <w:r>
        <w:fldChar w:fldCharType="end"/>
      </w:r>
    </w:p>
    <w:p>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_Toc473123573 \h </w:instrText>
      </w:r>
      <w:r>
        <w:fldChar w:fldCharType="separate"/>
      </w:r>
      <w:r>
        <w:t>2</w:t>
      </w:r>
      <w:r>
        <w:fldChar w:fldCharType="end"/>
      </w:r>
    </w:p>
    <w:p>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_Toc473123574 \h </w:instrText>
      </w:r>
      <w:r>
        <w:fldChar w:fldCharType="separate"/>
      </w:r>
      <w:r>
        <w:t>2</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_Toc473123575 \h </w:instrText>
      </w:r>
      <w:r>
        <w:fldChar w:fldCharType="separate"/>
      </w:r>
      <w:r>
        <w:t>2</w:t>
      </w:r>
      <w:r>
        <w:fldChar w:fldCharType="end"/>
      </w:r>
    </w:p>
    <w:p>
      <w:pPr>
        <w:pStyle w:val="TOC8"/>
        <w:rPr>
          <w:rFonts w:asciiTheme="minorHAnsi" w:eastAsiaTheme="minorEastAsia" w:hAnsiTheme="minorHAnsi" w:cstheme="minorBidi"/>
          <w:szCs w:val="22"/>
        </w:rPr>
      </w:pPr>
      <w:r>
        <w:t>3A.</w:t>
      </w:r>
      <w:r>
        <w:tab/>
        <w:t xml:space="preserve">Form of request under </w:t>
      </w:r>
      <w:r>
        <w:rPr>
          <w:snapToGrid w:val="0"/>
        </w:rPr>
        <w:t>Act </w:t>
      </w:r>
      <w:r>
        <w:t>s. 27A(1)</w:t>
      </w:r>
      <w:r>
        <w:tab/>
      </w:r>
      <w:r>
        <w:fldChar w:fldCharType="begin"/>
      </w:r>
      <w:r>
        <w:instrText xml:space="preserve"> PAGEREF _Toc473123576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_Toc473123577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_Toc473123578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time to pay orders (Act s. 33, 34 and 35)</w:t>
      </w:r>
      <w:r>
        <w:tab/>
      </w:r>
      <w:r>
        <w:fldChar w:fldCharType="begin"/>
      </w:r>
      <w:r>
        <w:instrText xml:space="preserve"> PAGEREF _Toc473123579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Calculation of required hours for WDO (Act s. 50)</w:t>
      </w:r>
      <w:r>
        <w:tab/>
      </w:r>
      <w:r>
        <w:fldChar w:fldCharType="begin"/>
      </w:r>
      <w:r>
        <w:instrText xml:space="preserve"> PAGEREF _Toc473123580 \h </w:instrText>
      </w:r>
      <w:r>
        <w:fldChar w:fldCharType="separate"/>
      </w:r>
      <w:r>
        <w:t>6</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_Toc473123581 \h </w:instrText>
      </w:r>
      <w:r>
        <w:fldChar w:fldCharType="separate"/>
      </w:r>
      <w:r>
        <w:t>6</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_Toc473123582 \h </w:instrText>
      </w:r>
      <w:r>
        <w:fldChar w:fldCharType="separate"/>
      </w:r>
      <w:r>
        <w:t>6</w:t>
      </w:r>
      <w:r>
        <w:fldChar w:fldCharType="end"/>
      </w:r>
    </w:p>
    <w:p>
      <w:pPr>
        <w:pStyle w:val="TOC8"/>
        <w:rPr>
          <w:rFonts w:asciiTheme="minorHAnsi" w:eastAsiaTheme="minorEastAsia" w:hAnsiTheme="minorHAnsi" w:cstheme="minorBidi"/>
          <w:szCs w:val="22"/>
        </w:rPr>
      </w:pPr>
      <w:r>
        <w:t>6BA.</w:t>
      </w:r>
      <w:r>
        <w:tab/>
        <w:t xml:space="preserve">Form of request under </w:t>
      </w:r>
      <w:r>
        <w:rPr>
          <w:snapToGrid w:val="0"/>
        </w:rPr>
        <w:t>Act </w:t>
      </w:r>
      <w:r>
        <w:t>s. 55A(1)</w:t>
      </w:r>
      <w:r>
        <w:tab/>
      </w:r>
      <w:r>
        <w:fldChar w:fldCharType="begin"/>
      </w:r>
      <w:r>
        <w:instrText xml:space="preserve"> PAGEREF _Toc473123583 \h </w:instrText>
      </w:r>
      <w:r>
        <w:fldChar w:fldCharType="separate"/>
      </w:r>
      <w:r>
        <w:t>7</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_Toc473123584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_Toc473123585 \h </w:instrText>
      </w:r>
      <w:r>
        <w:fldChar w:fldCharType="separate"/>
      </w:r>
      <w:r>
        <w:t>7</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_Toc473123586 \h </w:instrText>
      </w:r>
      <w:r>
        <w:fldChar w:fldCharType="separate"/>
      </w:r>
      <w:r>
        <w:t>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_Toc473123587 \h </w:instrText>
      </w:r>
      <w:r>
        <w:fldChar w:fldCharType="separate"/>
      </w:r>
      <w:r>
        <w:t>9</w:t>
      </w:r>
      <w:r>
        <w:fldChar w:fldCharType="end"/>
      </w:r>
    </w:p>
    <w:p>
      <w:pPr>
        <w:pStyle w:val="TOC8"/>
        <w:rPr>
          <w:rFonts w:asciiTheme="minorHAnsi" w:eastAsiaTheme="minorEastAsia" w:hAnsiTheme="minorHAnsi" w:cstheme="minorBidi"/>
          <w:szCs w:val="22"/>
        </w:rPr>
      </w:pPr>
      <w:r>
        <w:lastRenderedPageBreak/>
        <w:t>8B</w:t>
      </w:r>
      <w:r>
        <w:rPr>
          <w:snapToGrid w:val="0"/>
        </w:rPr>
        <w:t>.</w:t>
      </w:r>
      <w:r>
        <w:rPr>
          <w:snapToGrid w:val="0"/>
        </w:rPr>
        <w:tab/>
        <w:t>Enforcement proceedings after an appeal (Act s. 101B)</w:t>
      </w:r>
      <w:r>
        <w:tab/>
      </w:r>
      <w:r>
        <w:fldChar w:fldCharType="begin"/>
      </w:r>
      <w:r>
        <w:instrText xml:space="preserve"> PAGEREF _Toc473123588 \h </w:instrText>
      </w:r>
      <w:r>
        <w:fldChar w:fldCharType="separate"/>
      </w:r>
      <w:r>
        <w:t>10</w:t>
      </w:r>
      <w:r>
        <w:fldChar w:fldCharType="end"/>
      </w:r>
    </w:p>
    <w:p>
      <w:pPr>
        <w:pStyle w:val="TOC8"/>
        <w:rPr>
          <w:rFonts w:asciiTheme="minorHAnsi" w:eastAsiaTheme="minorEastAsia" w:hAnsiTheme="minorHAnsi" w:cstheme="minorBidi"/>
          <w:szCs w:val="22"/>
        </w:rPr>
      </w:pPr>
      <w:r>
        <w:t>9.</w:t>
      </w:r>
      <w:r>
        <w:tab/>
        <w:t>Enforcement fees prescribed (Act Parts 3, 4 and 7)</w:t>
      </w:r>
      <w:r>
        <w:tab/>
      </w:r>
      <w:r>
        <w:fldChar w:fldCharType="begin"/>
      </w:r>
      <w:r>
        <w:instrText xml:space="preserve"> PAGEREF _Toc473123589 \h </w:instrText>
      </w:r>
      <w:r>
        <w:fldChar w:fldCharType="separate"/>
      </w:r>
      <w:r>
        <w:t>11</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_Toc473123590 \h </w:instrText>
      </w:r>
      <w:r>
        <w:fldChar w:fldCharType="separate"/>
      </w:r>
      <w:r>
        <w:t>11</w:t>
      </w:r>
      <w:r>
        <w:fldChar w:fldCharType="end"/>
      </w:r>
    </w:p>
    <w:p>
      <w:pPr>
        <w:pStyle w:val="TOC8"/>
        <w:rPr>
          <w:rFonts w:asciiTheme="minorHAnsi" w:eastAsiaTheme="minorEastAsia" w:hAnsiTheme="minorHAnsi" w:cstheme="minorBidi"/>
          <w:szCs w:val="22"/>
        </w:rPr>
      </w:pPr>
      <w:r>
        <w:t>11A.</w:t>
      </w:r>
      <w:r>
        <w:tab/>
        <w:t>Giving documents to Registry by means of courts electronic system</w:t>
      </w:r>
      <w:r>
        <w:tab/>
      </w:r>
      <w:r>
        <w:fldChar w:fldCharType="begin"/>
      </w:r>
      <w:r>
        <w:instrText xml:space="preserve"> PAGEREF _Toc473123591 \h </w:instrText>
      </w:r>
      <w:r>
        <w:fldChar w:fldCharType="separate"/>
      </w:r>
      <w:r>
        <w:t>12</w:t>
      </w:r>
      <w:r>
        <w:fldChar w:fldCharType="end"/>
      </w:r>
    </w:p>
    <w:p>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_Toc473123592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_Toc473123593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w:t>
      </w:r>
      <w:r>
        <w:tab/>
      </w:r>
      <w:r>
        <w:fldChar w:fldCharType="begin"/>
      </w:r>
      <w:r>
        <w:instrText xml:space="preserve"> PAGEREF _Toc473123594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 — Enforcement fees for Part 3 of the Act</w:t>
      </w:r>
    </w:p>
    <w:p>
      <w:pPr>
        <w:pStyle w:val="TOC4"/>
        <w:tabs>
          <w:tab w:val="right" w:leader="dot" w:pos="7077"/>
        </w:tabs>
        <w:rPr>
          <w:rFonts w:asciiTheme="minorHAnsi" w:eastAsiaTheme="minorEastAsia" w:hAnsiTheme="minorHAnsi" w:cstheme="minorBidi"/>
          <w:b w:val="0"/>
          <w:szCs w:val="22"/>
        </w:rPr>
      </w:pPr>
      <w:r>
        <w:t>Division 2 — Enforcement fees for Part 4 of the Act</w:t>
      </w:r>
    </w:p>
    <w:p>
      <w:pPr>
        <w:pStyle w:val="TOC4"/>
        <w:tabs>
          <w:tab w:val="right" w:leader="dot" w:pos="7077"/>
        </w:tabs>
        <w:rPr>
          <w:rFonts w:asciiTheme="minorHAnsi" w:eastAsiaTheme="minorEastAsia" w:hAnsiTheme="minorHAnsi" w:cstheme="minorBidi"/>
          <w:b w:val="0"/>
          <w:szCs w:val="22"/>
        </w:rPr>
      </w:pPr>
      <w:r>
        <w:t>Division 3 — Enforcement fees for Part 7 of the Act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_Toc473123601 \h </w:instrText>
      </w:r>
      <w:r>
        <w:fldChar w:fldCharType="separate"/>
      </w:r>
      <w:r>
        <w:t>22</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_Toc473123602 \h </w:instrText>
      </w:r>
      <w:r>
        <w:fldChar w:fldCharType="separate"/>
      </w:r>
      <w:r>
        <w:t>23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53 and </w:t>
      </w:r>
      <w:r>
        <w:t>Part 5</w:t>
      </w:r>
      <w:r>
        <w:tab/>
      </w:r>
      <w:r>
        <w:fldChar w:fldCharType="begin"/>
      </w:r>
      <w:r>
        <w:instrText xml:space="preserve"> PAGEREF _Toc473123603 \h </w:instrText>
      </w:r>
      <w:r>
        <w:fldChar w:fldCharType="separate"/>
      </w:r>
      <w:r>
        <w:t>25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_Toc473123604 \h </w:instrText>
      </w:r>
      <w:r>
        <w:fldChar w:fldCharType="separate"/>
      </w:r>
      <w:r>
        <w:t>27</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_Toc473123605 \h </w:instrText>
      </w:r>
      <w:r>
        <w:fldChar w:fldCharType="separate"/>
      </w:r>
      <w:r>
        <w:t>28</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_Toc473123606 \h </w:instrText>
      </w:r>
      <w:r>
        <w:fldChar w:fldCharType="separate"/>
      </w:r>
      <w:r>
        <w:t>29</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_Toc473123607 \h </w:instrText>
      </w:r>
      <w:r>
        <w:fldChar w:fldCharType="separate"/>
      </w:r>
      <w:r>
        <w:t>30</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_Toc473123608 \h </w:instrText>
      </w:r>
      <w:r>
        <w:fldChar w:fldCharType="separate"/>
      </w:r>
      <w:r>
        <w:t>32</w:t>
      </w:r>
      <w:r>
        <w:fldChar w:fldCharType="end"/>
      </w:r>
    </w:p>
    <w:p>
      <w:pPr>
        <w:pStyle w:val="TOC8"/>
        <w:rPr>
          <w:rFonts w:asciiTheme="minorHAnsi" w:eastAsiaTheme="minorEastAsia" w:hAnsiTheme="minorHAnsi" w:cstheme="minorBidi"/>
          <w:szCs w:val="22"/>
        </w:rPr>
      </w:pPr>
      <w:r>
        <w:t>10.</w:t>
      </w:r>
      <w:r>
        <w:tab/>
        <w:t>Certificate under Act s. 101C(2A): Part 3 proceedings</w:t>
      </w:r>
      <w:r>
        <w:tab/>
      </w:r>
      <w:r>
        <w:fldChar w:fldCharType="begin"/>
      </w:r>
      <w:r>
        <w:instrText xml:space="preserve"> PAGEREF _Toc473123609 \h </w:instrText>
      </w:r>
      <w:r>
        <w:fldChar w:fldCharType="separate"/>
      </w:r>
      <w:r>
        <w:t>33</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_Toc473123610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_Toc473123612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3" w:name="_Toc473123569"/>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4" w:name="_Toc473123570"/>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pPr>
      <w:bookmarkStart w:id="5" w:name="_Toc473123571"/>
      <w:r>
        <w:rPr>
          <w:rStyle w:val="CharSectno"/>
        </w:rPr>
        <w:t>2A</w:t>
      </w:r>
      <w:r>
        <w:t>.</w:t>
      </w:r>
      <w:r>
        <w:tab/>
        <w:t>Terms used</w:t>
      </w:r>
      <w:bookmarkEnd w:id="5"/>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Magistrates Court (General) Rules 2005</w:t>
      </w:r>
      <w:r>
        <w:t xml:space="preserve"> rule 3;</w:t>
      </w:r>
    </w:p>
    <w:p>
      <w:pPr>
        <w:pStyle w:val="Defstart"/>
      </w:pPr>
      <w:r>
        <w:tab/>
      </w:r>
      <w:r>
        <w:rPr>
          <w:rStyle w:val="CharDefText"/>
        </w:rPr>
        <w:t>courts electronic system</w:t>
      </w:r>
      <w:r>
        <w:t xml:space="preserve"> has the meaning given in the </w:t>
      </w:r>
      <w:r>
        <w:rPr>
          <w:i/>
        </w:rPr>
        <w:t>Magistrates Court (General) Rules 2005</w:t>
      </w:r>
      <w:r>
        <w:t xml:space="preserve"> rule 3.</w:t>
      </w:r>
    </w:p>
    <w:p>
      <w:pPr>
        <w:pStyle w:val="Footnotesection"/>
      </w:pPr>
      <w:r>
        <w:tab/>
        <w:t>[Regulation 2A inserted in Gazette 13 Nov 2015 p. 4656.]</w:t>
      </w:r>
    </w:p>
    <w:p>
      <w:pPr>
        <w:pStyle w:val="Heading5"/>
        <w:rPr>
          <w:snapToGrid w:val="0"/>
        </w:rPr>
      </w:pPr>
      <w:bookmarkStart w:id="6" w:name="_Toc473123572"/>
      <w:r>
        <w:rPr>
          <w:rStyle w:val="CharSectno"/>
        </w:rPr>
        <w:t>3</w:t>
      </w:r>
      <w:r>
        <w:rPr>
          <w:snapToGrid w:val="0"/>
        </w:rPr>
        <w:t>.</w:t>
      </w:r>
      <w:r>
        <w:rPr>
          <w:snapToGrid w:val="0"/>
        </w:rPr>
        <w:tab/>
        <w:t>Enactments prescribed for Act Part 3 (Act s. 12)</w:t>
      </w:r>
      <w:bookmarkEnd w:id="6"/>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7" w:name="_Toc473123573"/>
      <w:r>
        <w:rPr>
          <w:rStyle w:val="CharSectno"/>
        </w:rPr>
        <w:t>3AAA</w:t>
      </w:r>
      <w:r>
        <w:t>.</w:t>
      </w:r>
      <w:r>
        <w:tab/>
        <w:t>Enforcement certificates and information under Act s. 16(1)</w:t>
      </w:r>
      <w:bookmarkEnd w:id="7"/>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[Regulation 3AAA inserted in Gazette 13 Nov 2015 p. 4656</w:t>
      </w:r>
      <w:r>
        <w:noBreakHyphen/>
        <w:t>7.]</w:t>
      </w:r>
    </w:p>
    <w:p>
      <w:pPr>
        <w:pStyle w:val="Heading5"/>
      </w:pPr>
      <w:bookmarkStart w:id="8" w:name="_Toc473123574"/>
      <w:r>
        <w:rPr>
          <w:rStyle w:val="CharSectno"/>
        </w:rPr>
        <w:t>3AAB</w:t>
      </w:r>
      <w:r>
        <w:t>.</w:t>
      </w:r>
      <w:r>
        <w:tab/>
        <w:t>Notice of withdrawal under Act s. 22(2)</w:t>
      </w:r>
      <w:bookmarkEnd w:id="8"/>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in Gazette 13 Nov 2015 p. 4657.]</w:t>
      </w:r>
    </w:p>
    <w:p>
      <w:pPr>
        <w:pStyle w:val="Heading5"/>
      </w:pPr>
      <w:bookmarkStart w:id="9" w:name="_Toc473123575"/>
      <w:r>
        <w:rPr>
          <w:rStyle w:val="CharSectno"/>
        </w:rPr>
        <w:t>3AA</w:t>
      </w:r>
      <w:r>
        <w:t>.</w:t>
      </w:r>
      <w:r>
        <w:tab/>
        <w:t>Amount payable under Act s. 22(5)(c)</w:t>
      </w:r>
      <w:bookmarkEnd w:id="9"/>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object w:dxaOrig="3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3pt" o:ole="">
            <v:imagedata r:id="rId22" o:title=""/>
          </v:shape>
          <o:OLEObject Type="Embed" ProgID="Equation.3" ShapeID="_x0000_i1025" DrawAspect="Content" ObjectID="_1644190540" r:id="rId23"/>
        </w:obje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 amended in Gazette 10 Feb 2015 p. 609</w:t>
      </w:r>
      <w:r>
        <w:noBreakHyphen/>
        <w:t>10.]</w:t>
      </w:r>
    </w:p>
    <w:p>
      <w:pPr>
        <w:pStyle w:val="Heading5"/>
      </w:pPr>
      <w:bookmarkStart w:id="10" w:name="_Toc473123576"/>
      <w:r>
        <w:rPr>
          <w:rStyle w:val="CharSectno"/>
        </w:rPr>
        <w:t>3A</w:t>
      </w:r>
      <w:r>
        <w:t>.</w:t>
      </w:r>
      <w:r>
        <w:tab/>
        <w:t xml:space="preserve">Form of request under </w:t>
      </w:r>
      <w:r>
        <w:rPr>
          <w:snapToGrid w:val="0"/>
        </w:rPr>
        <w:t>Act </w:t>
      </w:r>
      <w:r>
        <w:t>s. 27A(1)</w:t>
      </w:r>
      <w:bookmarkEnd w:id="10"/>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spacing w:before="260"/>
        <w:rPr>
          <w:snapToGrid w:val="0"/>
        </w:rPr>
      </w:pPr>
      <w:bookmarkStart w:id="11" w:name="_Toc473123577"/>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1"/>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Fund</w:t>
            </w:r>
            <w:r>
              <w:rPr>
                <w:vertAlign w:val="superscript"/>
              </w:rPr>
              <w:t> 3</w:t>
            </w:r>
            <w:r>
              <w:t>.</w:t>
            </w:r>
          </w:p>
        </w:tc>
      </w:tr>
    </w:tbl>
    <w:p>
      <w:pPr>
        <w:pStyle w:val="Heading5"/>
        <w:spacing w:before="260"/>
        <w:rPr>
          <w:snapToGrid w:val="0"/>
        </w:rPr>
      </w:pPr>
      <w:bookmarkStart w:id="12" w:name="_Toc473123578"/>
      <w:r>
        <w:rPr>
          <w:rStyle w:val="CharSectno"/>
        </w:rPr>
        <w:t>5</w:t>
      </w:r>
      <w:r>
        <w:rPr>
          <w:snapToGrid w:val="0"/>
        </w:rPr>
        <w:t>.</w:t>
      </w:r>
      <w:r>
        <w:rPr>
          <w:snapToGrid w:val="0"/>
        </w:rPr>
        <w:tab/>
        <w:t>Enactment prescribed for Act s. 31(b)</w:t>
      </w:r>
      <w:bookmarkEnd w:id="12"/>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60"/>
        <w:rPr>
          <w:snapToGrid w:val="0"/>
        </w:rPr>
      </w:pPr>
      <w:bookmarkStart w:id="13" w:name="_Toc473123579"/>
      <w:r>
        <w:rPr>
          <w:rStyle w:val="CharSectno"/>
        </w:rPr>
        <w:t>6</w:t>
      </w:r>
      <w:r>
        <w:rPr>
          <w:snapToGrid w:val="0"/>
        </w:rPr>
        <w:t>.</w:t>
      </w:r>
      <w:r>
        <w:rPr>
          <w:snapToGrid w:val="0"/>
        </w:rPr>
        <w:tab/>
        <w:t>Applications for time to pay orders (Act s. 33, 34 and 35)</w:t>
      </w:r>
      <w:bookmarkEnd w:id="13"/>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14" w:name="_Toc473123580"/>
      <w:r>
        <w:rPr>
          <w:rStyle w:val="CharSectno"/>
        </w:rPr>
        <w:t>6A</w:t>
      </w:r>
      <w:r>
        <w:rPr>
          <w:snapToGrid w:val="0"/>
        </w:rPr>
        <w:t>.</w:t>
      </w:r>
      <w:r>
        <w:rPr>
          <w:snapToGrid w:val="0"/>
        </w:rPr>
        <w:tab/>
        <w:t>Calculation of required hours for WDO (Act s. 50)</w:t>
      </w:r>
      <w:bookmarkEnd w:id="14"/>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15" w:name="_Toc473123581"/>
      <w:r>
        <w:rPr>
          <w:rStyle w:val="CharSectno"/>
        </w:rPr>
        <w:t>6B</w:t>
      </w:r>
      <w:r>
        <w:rPr>
          <w:snapToGrid w:val="0"/>
        </w:rPr>
        <w:t>.</w:t>
      </w:r>
      <w:r>
        <w:rPr>
          <w:snapToGrid w:val="0"/>
        </w:rPr>
        <w:tab/>
        <w:t>Reductions under Act s. 51, how calculated</w:t>
      </w:r>
      <w:bookmarkEnd w:id="15"/>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16" w:name="_Toc473123582"/>
      <w:r>
        <w:rPr>
          <w:rStyle w:val="CharSectno"/>
        </w:rPr>
        <w:t>6BAA</w:t>
      </w:r>
      <w:r>
        <w:t>.</w:t>
      </w:r>
      <w:r>
        <w:tab/>
        <w:t>Amount p</w:t>
      </w:r>
      <w:r>
        <w:rPr>
          <w:bCs/>
        </w:rPr>
        <w:t>rescribed for warrant of commitment (</w:t>
      </w:r>
      <w:r>
        <w:rPr>
          <w:snapToGrid w:val="0"/>
        </w:rPr>
        <w:t>Act </w:t>
      </w:r>
      <w:r>
        <w:rPr>
          <w:bCs/>
        </w:rPr>
        <w:t>s. 53(3))</w:t>
      </w:r>
      <w:bookmarkEnd w:id="16"/>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pPr>
      <w:bookmarkStart w:id="17" w:name="_Toc473123583"/>
      <w:r>
        <w:rPr>
          <w:rStyle w:val="CharSectno"/>
        </w:rPr>
        <w:t>6BA</w:t>
      </w:r>
      <w:r>
        <w:t>.</w:t>
      </w:r>
      <w:r>
        <w:tab/>
        <w:t xml:space="preserve">Form of request under </w:t>
      </w:r>
      <w:r>
        <w:rPr>
          <w:snapToGrid w:val="0"/>
        </w:rPr>
        <w:t>Act </w:t>
      </w:r>
      <w:r>
        <w:t>s. 55A(1)</w:t>
      </w:r>
      <w:bookmarkEnd w:id="17"/>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pPr>
      <w:bookmarkStart w:id="18" w:name="_Toc473123584"/>
      <w:r>
        <w:rPr>
          <w:rStyle w:val="CharSectno"/>
        </w:rPr>
        <w:t>6C</w:t>
      </w:r>
      <w:r>
        <w:t>.</w:t>
      </w:r>
      <w:r>
        <w:tab/>
        <w:t>Reduction of liability to pay fine where WDO taken to be cancelled (</w:t>
      </w:r>
      <w:r>
        <w:rPr>
          <w:i/>
        </w:rPr>
        <w:t xml:space="preserve">Sentencing Act 1995 </w:t>
      </w:r>
      <w:r>
        <w:t>s. 57B(5))</w:t>
      </w:r>
      <w:bookmarkEnd w:id="18"/>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rPr>
          <w:snapToGrid w:val="0"/>
        </w:rPr>
      </w:pPr>
      <w:bookmarkStart w:id="19" w:name="_Toc473123585"/>
      <w:r>
        <w:rPr>
          <w:rStyle w:val="CharSectno"/>
        </w:rPr>
        <w:t>7</w:t>
      </w:r>
      <w:r>
        <w:rPr>
          <w:snapToGrid w:val="0"/>
        </w:rPr>
        <w:t>.</w:t>
      </w:r>
      <w:r>
        <w:rPr>
          <w:snapToGrid w:val="0"/>
        </w:rPr>
        <w:tab/>
        <w:t>States, Territories and courts prescribed (Act s. 59)</w:t>
      </w:r>
      <w:bookmarkEnd w:id="19"/>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smartTag w:uri="urn:schemas-microsoft-com:office:smarttags" w:element="State">
              <w:smartTag w:uri="urn:schemas-microsoft-com:office:smarttags" w:element="place">
                <w:r>
                  <w:t>Australian Capital Territory</w:t>
                </w:r>
              </w:smartTag>
            </w:smartTag>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New South Wales</w:t>
                </w:r>
              </w:smartTag>
            </w:smartTag>
          </w:p>
        </w:tc>
        <w:tc>
          <w:tcPr>
            <w:tcW w:w="3544" w:type="dxa"/>
          </w:tcPr>
          <w:p>
            <w:pPr>
              <w:pStyle w:val="Table"/>
              <w:spacing w:after="60"/>
            </w:pPr>
            <w:r>
              <w:t>Local Courts in that State.</w:t>
            </w:r>
          </w:p>
        </w:tc>
      </w:tr>
      <w:tr>
        <w:trPr>
          <w:cantSplit/>
        </w:trPr>
        <w:tc>
          <w:tcPr>
            <w:tcW w:w="2834" w:type="dxa"/>
          </w:tcPr>
          <w:p>
            <w:pPr>
              <w:pStyle w:val="Table"/>
              <w:spacing w:after="60"/>
            </w:pPr>
            <w:smartTag w:uri="urn:schemas-microsoft-com:office:smarttags" w:element="State">
              <w:smartTag w:uri="urn:schemas-microsoft-com:office:smarttags" w:element="place">
                <w:r>
                  <w:t>Northern Territory</w:t>
                </w:r>
              </w:smartTag>
            </w:smartTag>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Queensland</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South Australia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Tasmania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Victoria</w:t>
                </w:r>
              </w:smartTag>
            </w:smartTag>
          </w:p>
        </w:tc>
        <w:tc>
          <w:tcPr>
            <w:tcW w:w="3544" w:type="dxa"/>
          </w:tcPr>
          <w:p>
            <w:pPr>
              <w:pStyle w:val="Table"/>
              <w:spacing w:after="60"/>
            </w:pPr>
            <w:r>
              <w:t>All Magistrates Courts.</w:t>
            </w:r>
          </w:p>
        </w:tc>
      </w:tr>
    </w:tbl>
    <w:p>
      <w:pPr>
        <w:pStyle w:val="Footnotesection"/>
      </w:pPr>
      <w:r>
        <w:tab/>
        <w:t>[Regulation 7 amended in Gazette 11 Mar 2008 p. 818.]</w:t>
      </w:r>
    </w:p>
    <w:p>
      <w:pPr>
        <w:pStyle w:val="Heading5"/>
      </w:pPr>
      <w:bookmarkStart w:id="20" w:name="_Toc473123586"/>
      <w:r>
        <w:rPr>
          <w:rStyle w:val="CharSectno"/>
        </w:rPr>
        <w:t>8</w:t>
      </w:r>
      <w:r>
        <w:t>.</w:t>
      </w:r>
      <w:r>
        <w:tab/>
        <w:t>Property prescribed that cannot be seized etc. (Act s. 75)</w:t>
      </w:r>
      <w:bookmarkEnd w:id="20"/>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[Regulation 8 inserted in Gazette 30 Dec 2005 p. 6876</w:t>
      </w:r>
      <w:r>
        <w:noBreakHyphen/>
        <w:t>7; amended in Gazette 20 Aug 2013 p. 3881.]</w:t>
      </w:r>
    </w:p>
    <w:p>
      <w:pPr>
        <w:pStyle w:val="Heading5"/>
        <w:rPr>
          <w:snapToGrid w:val="0"/>
        </w:rPr>
      </w:pPr>
      <w:bookmarkStart w:id="21" w:name="_Toc473123587"/>
      <w:r>
        <w:rPr>
          <w:rStyle w:val="CharSectno"/>
        </w:rPr>
        <w:t>8A</w:t>
      </w:r>
      <w:r>
        <w:rPr>
          <w:snapToGrid w:val="0"/>
        </w:rPr>
        <w:t>.</w:t>
      </w:r>
      <w:r>
        <w:rPr>
          <w:snapToGrid w:val="0"/>
        </w:rPr>
        <w:tab/>
        <w:t>Enforcement proceedings after successful application under Act s. 101, 101AA or 101A</w:t>
      </w:r>
      <w:bookmarkEnd w:id="21"/>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in Gazette 5 Jul 1996 p. 3227; amended in Gazette 13 May 2005 p. 2079; 20 Aug 2013 p. 3881.]</w:t>
      </w:r>
    </w:p>
    <w:p>
      <w:pPr>
        <w:pStyle w:val="Heading5"/>
        <w:rPr>
          <w:snapToGrid w:val="0"/>
        </w:rPr>
      </w:pPr>
      <w:bookmarkStart w:id="22" w:name="_Toc473123588"/>
      <w:r>
        <w:rPr>
          <w:rStyle w:val="CharSectno"/>
        </w:rPr>
        <w:t>8B</w:t>
      </w:r>
      <w:r>
        <w:rPr>
          <w:snapToGrid w:val="0"/>
        </w:rPr>
        <w:t>.</w:t>
      </w:r>
      <w:r>
        <w:rPr>
          <w:snapToGrid w:val="0"/>
        </w:rPr>
        <w:tab/>
        <w:t>Enforcement proceedings after an appeal (Act s. 101B)</w:t>
      </w:r>
      <w:bookmarkEnd w:id="22"/>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in Gazette 5 Jul 1996 p. 3227; amended in Gazette 20 Aug 2013 p. 3882.]</w:t>
      </w:r>
    </w:p>
    <w:p>
      <w:pPr>
        <w:pStyle w:val="Heading5"/>
      </w:pPr>
      <w:bookmarkStart w:id="23" w:name="_Toc473123589"/>
      <w:r>
        <w:rPr>
          <w:rStyle w:val="CharSectno"/>
        </w:rPr>
        <w:t>9</w:t>
      </w:r>
      <w:r>
        <w:t>.</w:t>
      </w:r>
      <w:r>
        <w:tab/>
        <w:t>Enforcement fees prescribed (Act Parts 3, 4 and 7)</w:t>
      </w:r>
      <w:bookmarkEnd w:id="23"/>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spacing w:before="180"/>
      </w:pPr>
      <w:bookmarkStart w:id="24" w:name="_Toc473123590"/>
      <w:r>
        <w:rPr>
          <w:rStyle w:val="CharSectno"/>
        </w:rPr>
        <w:t>10</w:t>
      </w:r>
      <w:r>
        <w:t>.</w:t>
      </w:r>
      <w:r>
        <w:tab/>
        <w:t>Exemptions from fees (Act Part 3)</w:t>
      </w:r>
      <w:bookmarkEnd w:id="24"/>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pPr>
            <w:r>
              <w:t>1.</w:t>
            </w:r>
          </w:p>
        </w:tc>
        <w:tc>
          <w:tcPr>
            <w:tcW w:w="4961" w:type="dxa"/>
          </w:tcPr>
          <w:p>
            <w:pPr>
              <w:pStyle w:val="TableNAm"/>
            </w:pPr>
            <w:r>
              <w:t>Commissioner of Police</w:t>
            </w:r>
          </w:p>
        </w:tc>
      </w:tr>
      <w:tr>
        <w:tc>
          <w:tcPr>
            <w:tcW w:w="567" w:type="dxa"/>
          </w:tcPr>
          <w:p>
            <w:pPr>
              <w:pStyle w:val="TableNAm"/>
            </w:pPr>
            <w:r>
              <w:t>2.</w:t>
            </w:r>
          </w:p>
        </w:tc>
        <w:tc>
          <w:tcPr>
            <w:tcW w:w="4961" w:type="dxa"/>
          </w:tcPr>
          <w:p>
            <w:pPr>
              <w:pStyle w:val="TableNAm"/>
            </w:pPr>
            <w:r>
              <w:t>Department of Agriculture and Food</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pPr>
            <w:r>
              <w:t>Department of Commerce</w:t>
            </w:r>
          </w:p>
        </w:tc>
      </w:tr>
      <w:tr>
        <w:tc>
          <w:tcPr>
            <w:tcW w:w="567" w:type="dxa"/>
          </w:tcPr>
          <w:p>
            <w:pPr>
              <w:pStyle w:val="TableNAm"/>
            </w:pPr>
            <w:r>
              <w:t>5.</w:t>
            </w:r>
          </w:p>
        </w:tc>
        <w:tc>
          <w:tcPr>
            <w:tcW w:w="4961" w:type="dxa"/>
          </w:tcPr>
          <w:p>
            <w:pPr>
              <w:pStyle w:val="TableNAm"/>
            </w:pPr>
            <w:r>
              <w:t>Department of Environment Regulation</w:t>
            </w:r>
          </w:p>
        </w:tc>
      </w:tr>
      <w:tr>
        <w:tc>
          <w:tcPr>
            <w:tcW w:w="567" w:type="dxa"/>
          </w:tcPr>
          <w:p>
            <w:pPr>
              <w:pStyle w:val="TableNAm"/>
            </w:pPr>
            <w:r>
              <w:t>6.</w:t>
            </w:r>
          </w:p>
        </w:tc>
        <w:tc>
          <w:tcPr>
            <w:tcW w:w="4961" w:type="dxa"/>
          </w:tcPr>
          <w:p>
            <w:pPr>
              <w:pStyle w:val="TableNAm"/>
            </w:pPr>
            <w:r>
              <w:t>Department of Fisheries</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pPr>
            <w:r>
              <w:t>Department of Mines and Petroleum</w:t>
            </w:r>
          </w:p>
        </w:tc>
      </w:tr>
      <w:tr>
        <w:tc>
          <w:tcPr>
            <w:tcW w:w="567" w:type="dxa"/>
          </w:tcPr>
          <w:p>
            <w:pPr>
              <w:pStyle w:val="TableNAm"/>
            </w:pPr>
            <w:r>
              <w:t>8.</w:t>
            </w:r>
          </w:p>
        </w:tc>
        <w:tc>
          <w:tcPr>
            <w:tcW w:w="4961" w:type="dxa"/>
          </w:tcPr>
          <w:p>
            <w:pPr>
              <w:pStyle w:val="TableNAm"/>
            </w:pPr>
            <w:r>
              <w:t>Department of Parks and Wildlife</w:t>
            </w:r>
          </w:p>
        </w:tc>
      </w:tr>
      <w:tr>
        <w:tc>
          <w:tcPr>
            <w:tcW w:w="567" w:type="dxa"/>
          </w:tcPr>
          <w:p>
            <w:pPr>
              <w:pStyle w:val="TableNAm"/>
            </w:pPr>
            <w:r>
              <w:t>9.</w:t>
            </w:r>
          </w:p>
        </w:tc>
        <w:tc>
          <w:tcPr>
            <w:tcW w:w="4961" w:type="dxa"/>
          </w:tcPr>
          <w:p>
            <w:pPr>
              <w:pStyle w:val="TableNAm"/>
            </w:pPr>
            <w:r>
              <w:t>Department of Racing, Gaming and Liquor</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pPr>
            <w:r>
              <w:t>Department of Water</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pPr>
            <w:r>
              <w:t>Perth Market Authority</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[Regulation 10 inserted in Gazette 20 Aug 2013 p. 3883-4; amended in Gazette 13 Jan 2015 p. 250.]</w:t>
      </w:r>
    </w:p>
    <w:p>
      <w:pPr>
        <w:pStyle w:val="Heading5"/>
      </w:pPr>
      <w:bookmarkStart w:id="25" w:name="_Toc473123591"/>
      <w:r>
        <w:rPr>
          <w:rStyle w:val="CharSectno"/>
        </w:rPr>
        <w:t>11A</w:t>
      </w:r>
      <w:r>
        <w:t>.</w:t>
      </w:r>
      <w:r>
        <w:tab/>
        <w:t>Giving documents to Registry by means of courts electronic system</w:t>
      </w:r>
      <w:bookmarkEnd w:id="25"/>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courts electronic system.</w:t>
      </w:r>
    </w:p>
    <w:p>
      <w:pPr>
        <w:pStyle w:val="Subsection"/>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courts electronic system is not sent in accordance with the requirements of the courts electronic system and this regulation the document is to be taken not to have been given.</w:t>
      </w:r>
    </w:p>
    <w:p>
      <w:pPr>
        <w:pStyle w:val="Footnotesection"/>
      </w:pPr>
      <w:r>
        <w:tab/>
        <w:t>[Regulation 11A inserted in Gazette 13 Nov 2015 p. 4657.]</w:t>
      </w:r>
    </w:p>
    <w:p>
      <w:pPr>
        <w:pStyle w:val="Heading5"/>
      </w:pPr>
      <w:bookmarkStart w:id="26" w:name="_Toc473123592"/>
      <w:r>
        <w:rPr>
          <w:rStyle w:val="CharSectno"/>
        </w:rPr>
        <w:t>11B</w:t>
      </w:r>
      <w:r>
        <w:t>.</w:t>
      </w:r>
      <w:r>
        <w:tab/>
        <w:t>Issuing warrants</w:t>
      </w:r>
      <w:bookmarkEnd w:id="26"/>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courts electronic system.</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courts electronic system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courts electronic system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courts electronic system; and</w:t>
      </w:r>
    </w:p>
    <w:p>
      <w:pPr>
        <w:pStyle w:val="Indenta"/>
      </w:pPr>
      <w:r>
        <w:tab/>
        <w:t>(b)</w:t>
      </w:r>
      <w:r>
        <w:tab/>
        <w:t>the electronic document identifies the Registrar as the person who issued it.</w:t>
      </w:r>
    </w:p>
    <w:p>
      <w:pPr>
        <w:pStyle w:val="Subsection"/>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in Gazette 13 Nov 2015 p. 4658.]</w:t>
      </w:r>
    </w:p>
    <w:p>
      <w:pPr>
        <w:pStyle w:val="Heading5"/>
        <w:rPr>
          <w:snapToGrid w:val="0"/>
        </w:rPr>
      </w:pPr>
      <w:bookmarkStart w:id="27" w:name="_Toc473123593"/>
      <w:r>
        <w:rPr>
          <w:rStyle w:val="CharSectno"/>
        </w:rPr>
        <w:t>11</w:t>
      </w:r>
      <w:r>
        <w:rPr>
          <w:snapToGrid w:val="0"/>
        </w:rPr>
        <w:t>.</w:t>
      </w:r>
      <w:r>
        <w:rPr>
          <w:snapToGrid w:val="0"/>
        </w:rPr>
        <w:tab/>
        <w:t>Methods of payment</w:t>
      </w:r>
      <w:bookmarkEnd w:id="27"/>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in Gazette 20 Aug 2013 p. 3884.]</w:t>
      </w:r>
    </w:p>
    <w:p>
      <w:pPr>
        <w:pStyle w:val="Heading5"/>
        <w:rPr>
          <w:snapToGrid w:val="0"/>
        </w:rPr>
      </w:pPr>
      <w:bookmarkStart w:id="28" w:name="_Toc473123594"/>
      <w:r>
        <w:rPr>
          <w:rStyle w:val="CharSectno"/>
        </w:rPr>
        <w:t>12</w:t>
      </w:r>
      <w:r>
        <w:rPr>
          <w:snapToGrid w:val="0"/>
        </w:rPr>
        <w:t>.</w:t>
      </w:r>
      <w:r>
        <w:rPr>
          <w:snapToGrid w:val="0"/>
        </w:rPr>
        <w:tab/>
        <w:t>Forms</w:t>
      </w:r>
      <w:bookmarkEnd w:id="28"/>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29" w:name="_Toc471981977"/>
      <w:bookmarkStart w:id="30" w:name="_Toc472943482"/>
      <w:bookmarkStart w:id="31" w:name="_Toc473118297"/>
      <w:bookmarkStart w:id="32" w:name="_Toc473123595"/>
      <w:r>
        <w:rPr>
          <w:rStyle w:val="CharSchNo"/>
        </w:rPr>
        <w:t>Schedule 1</w:t>
      </w:r>
      <w:r>
        <w:rPr>
          <w:rStyle w:val="CharSDivNo"/>
        </w:rPr>
        <w:t> </w:t>
      </w:r>
      <w:r>
        <w:t>—</w:t>
      </w:r>
      <w:r>
        <w:rPr>
          <w:rStyle w:val="CharSDivText"/>
        </w:rPr>
        <w:t> </w:t>
      </w:r>
      <w:r>
        <w:rPr>
          <w:rStyle w:val="CharSchText"/>
        </w:rPr>
        <w:t>Enactments to which Part 3 of the Act applies</w:t>
      </w:r>
      <w:bookmarkEnd w:id="29"/>
      <w:bookmarkEnd w:id="30"/>
      <w:bookmarkEnd w:id="31"/>
      <w:bookmarkEnd w:id="32"/>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2015</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4</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5</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szCs w:val="22"/>
              </w:rPr>
              <w:t>Health (Miscellaneous Provisions) Act 1911</w:t>
            </w:r>
          </w:p>
        </w:tc>
        <w:tc>
          <w:tcPr>
            <w:tcW w:w="1418" w:type="dxa"/>
          </w:tcPr>
          <w:p>
            <w:pPr>
              <w:pStyle w:val="yTableNAm"/>
              <w:tabs>
                <w:tab w:val="clear" w:pos="567"/>
              </w:tabs>
              <w:ind w:right="510"/>
              <w:jc w:val="right"/>
            </w:pPr>
          </w:p>
        </w:tc>
      </w:tr>
      <w:tr>
        <w:tc>
          <w:tcPr>
            <w:tcW w:w="5812" w:type="dxa"/>
          </w:tcPr>
          <w:p>
            <w:pPr>
              <w:pStyle w:val="yTableNAm"/>
              <w:rPr>
                <w:i/>
              </w:rPr>
            </w:pPr>
            <w:r>
              <w:rPr>
                <w:i/>
              </w:rPr>
              <w:t>Health Services Act 2016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Public Health Act 2016</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Security and Related Activities (Control) Act 1996</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pPr>
            <w:r>
              <w:rPr>
                <w:i/>
              </w:rPr>
              <w:t xml:space="preserve">University of </w:t>
            </w:r>
            <w:smartTag w:uri="urn:schemas-microsoft-com:office:smarttags" w:element="PlaceName">
              <w:r>
                <w:rPr>
                  <w:i/>
                </w:rPr>
                <w:t>Western Australia</w:t>
              </w:r>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w:t>
      </w:r>
    </w:p>
    <w:p>
      <w:pPr>
        <w:pStyle w:val="yScheduleHeading"/>
      </w:pPr>
      <w:bookmarkStart w:id="33" w:name="_Toc471981978"/>
      <w:bookmarkStart w:id="34" w:name="_Toc472943483"/>
      <w:bookmarkStart w:id="35" w:name="_Toc473118298"/>
      <w:bookmarkStart w:id="36" w:name="_Toc473123596"/>
      <w:r>
        <w:rPr>
          <w:rStyle w:val="CharSchNo"/>
        </w:rPr>
        <w:t>Schedule 2</w:t>
      </w:r>
      <w:r>
        <w:t> — </w:t>
      </w:r>
      <w:r>
        <w:rPr>
          <w:rStyle w:val="CharSchText"/>
        </w:rPr>
        <w:t>Enforcement fees</w:t>
      </w:r>
      <w:bookmarkEnd w:id="33"/>
      <w:bookmarkEnd w:id="34"/>
      <w:bookmarkEnd w:id="35"/>
      <w:bookmarkEnd w:id="36"/>
    </w:p>
    <w:p>
      <w:pPr>
        <w:pStyle w:val="yShoulderClause"/>
      </w:pPr>
      <w:r>
        <w:t>[r. 9]</w:t>
      </w:r>
    </w:p>
    <w:p>
      <w:pPr>
        <w:pStyle w:val="yFootnoteheading"/>
        <w:spacing w:before="100"/>
      </w:pPr>
      <w:r>
        <w:tab/>
        <w:t>[Heading inserted in Gazette 13 May 2005 p. 2080.]</w:t>
      </w:r>
    </w:p>
    <w:p>
      <w:pPr>
        <w:pStyle w:val="yHeading3"/>
        <w:spacing w:before="200" w:after="60"/>
      </w:pPr>
      <w:bookmarkStart w:id="37" w:name="_Toc471981979"/>
      <w:bookmarkStart w:id="38" w:name="_Toc472943484"/>
      <w:bookmarkStart w:id="39" w:name="_Toc473118299"/>
      <w:bookmarkStart w:id="40" w:name="_Toc473123597"/>
      <w:r>
        <w:rPr>
          <w:rStyle w:val="CharSDivNo"/>
        </w:rPr>
        <w:t>Division 1</w:t>
      </w:r>
      <w:r>
        <w:t> — </w:t>
      </w:r>
      <w:r>
        <w:rPr>
          <w:rStyle w:val="CharSDivText"/>
        </w:rPr>
        <w:t>Enforcement fees for Part 3 of the Act</w:t>
      </w:r>
      <w:bookmarkEnd w:id="37"/>
      <w:bookmarkEnd w:id="38"/>
      <w:bookmarkEnd w:id="39"/>
      <w:bookmarkEnd w:id="40"/>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Fee for issuing a final demand .........................................</w:t>
            </w:r>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jc w:val="right"/>
            </w:pPr>
            <w:r>
              <w:t>$18.20</w:t>
            </w:r>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Fee for preparing an enforcement certificate in relation to an infringement notice, for each infringement notice .......</w:t>
            </w:r>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jc w:val="right"/>
            </w:pPr>
            <w:r>
              <w:br/>
              <w:t>$15.50</w:t>
            </w:r>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jc w:val="right"/>
            </w:pPr>
            <w:r>
              <w:br/>
              <w:t>$58.00</w:t>
            </w:r>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jc w:val="right"/>
            </w:pPr>
            <w:r>
              <w:t>$38.40</w:t>
            </w:r>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jc w:val="right"/>
            </w:pPr>
            <w:r>
              <w:t>$181.00</w:t>
            </w:r>
          </w:p>
        </w:tc>
      </w:tr>
    </w:tbl>
    <w:p>
      <w:pPr>
        <w:pStyle w:val="yFootnotesection"/>
        <w:tabs>
          <w:tab w:val="right" w:leader="dot" w:pos="5814"/>
        </w:tabs>
      </w:pPr>
      <w:r>
        <w:tab/>
        <w:t>[Division 1 inserted in Gazette 13 May 2005 p. 2080; amended in Gazette 23 Jun 2006 p. 2191; 26 Jun 2007 p. 3032; 20 Aug 2013 p. 3885; 4 Jul 2014 p. 2364; 19 Jun 2015 p. 2123</w:t>
      </w:r>
      <w:r>
        <w:noBreakHyphen/>
        <w:t>4; 14 Jun 2016 p. 1907.]</w:t>
      </w:r>
    </w:p>
    <w:p>
      <w:pPr>
        <w:pStyle w:val="yHeading3"/>
        <w:tabs>
          <w:tab w:val="right" w:leader="dot" w:pos="5814"/>
        </w:tabs>
        <w:spacing w:before="200" w:after="80"/>
      </w:pPr>
      <w:bookmarkStart w:id="41" w:name="_Toc471981980"/>
      <w:bookmarkStart w:id="42" w:name="_Toc472943485"/>
      <w:bookmarkStart w:id="43" w:name="_Toc473118300"/>
      <w:bookmarkStart w:id="44" w:name="_Toc473123598"/>
      <w:r>
        <w:rPr>
          <w:rStyle w:val="CharSDivNo"/>
        </w:rPr>
        <w:t>Division 2</w:t>
      </w:r>
      <w:r>
        <w:t> — </w:t>
      </w:r>
      <w:r>
        <w:rPr>
          <w:rStyle w:val="CharSDivText"/>
        </w:rPr>
        <w:t>Enforcement fees for Part 4 of the Act</w:t>
      </w:r>
      <w:bookmarkEnd w:id="41"/>
      <w:bookmarkEnd w:id="42"/>
      <w:bookmarkEnd w:id="43"/>
      <w:bookmarkEnd w:id="44"/>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spacing w:before="100"/>
              <w:rPr>
                <w:sz w:val="22"/>
                <w:szCs w:val="22"/>
              </w:rPr>
            </w:pPr>
            <w:r>
              <w:rPr>
                <w:sz w:val="22"/>
                <w:szCs w:val="22"/>
              </w:rPr>
              <w:t>1.</w:t>
            </w:r>
          </w:p>
        </w:tc>
        <w:tc>
          <w:tcPr>
            <w:tcW w:w="5393"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tabs>
                <w:tab w:val="right" w:leader="dot" w:pos="5814"/>
              </w:tabs>
              <w:spacing w:before="100"/>
              <w:ind w:left="23" w:right="-21" w:hanging="23"/>
              <w:jc w:val="right"/>
              <w:rPr>
                <w:szCs w:val="22"/>
              </w:rPr>
            </w:pPr>
            <w:r>
              <w:t>$38.40</w:t>
            </w:r>
          </w:p>
        </w:tc>
      </w:tr>
      <w:tr>
        <w:tc>
          <w:tcPr>
            <w:tcW w:w="703" w:type="dxa"/>
          </w:tcPr>
          <w:p>
            <w:pPr>
              <w:spacing w:before="100"/>
              <w:rPr>
                <w:sz w:val="22"/>
                <w:szCs w:val="22"/>
              </w:rPr>
            </w:pPr>
            <w:r>
              <w:rPr>
                <w:sz w:val="22"/>
                <w:szCs w:val="22"/>
              </w:rPr>
              <w:t>2.</w:t>
            </w:r>
          </w:p>
        </w:tc>
        <w:tc>
          <w:tcPr>
            <w:tcW w:w="5393" w:type="dxa"/>
          </w:tcPr>
          <w:p>
            <w:pPr>
              <w:spacing w:before="100"/>
              <w:rPr>
                <w:sz w:val="22"/>
                <w:szCs w:val="22"/>
              </w:rPr>
            </w:pPr>
            <w:r>
              <w:rPr>
                <w:sz w:val="22"/>
                <w:szCs w:val="22"/>
              </w:rPr>
              <w:t>Fee for issuing an enforcement warrant .............................</w:t>
            </w:r>
          </w:p>
          <w:p>
            <w:pPr>
              <w:spacing w:before="100"/>
              <w:rPr>
                <w:sz w:val="22"/>
                <w:szCs w:val="22"/>
              </w:rPr>
            </w:pPr>
            <w:r>
              <w:rPr>
                <w:sz w:val="22"/>
                <w:szCs w:val="22"/>
              </w:rPr>
              <w:t>(To be imposed when the warrant is issued.)</w:t>
            </w:r>
          </w:p>
        </w:tc>
        <w:tc>
          <w:tcPr>
            <w:tcW w:w="992" w:type="dxa"/>
            <w:noWrap/>
            <w:tcMar>
              <w:left w:w="85" w:type="dxa"/>
              <w:right w:w="85" w:type="dxa"/>
            </w:tcMar>
          </w:tcPr>
          <w:p>
            <w:pPr>
              <w:pStyle w:val="yTable"/>
              <w:tabs>
                <w:tab w:val="right" w:leader="dot" w:pos="5814"/>
              </w:tabs>
              <w:spacing w:before="100"/>
              <w:ind w:left="23" w:right="-21" w:hanging="23"/>
              <w:jc w:val="right"/>
              <w:rPr>
                <w:szCs w:val="22"/>
              </w:rPr>
            </w:pPr>
            <w:r>
              <w:t>$181.00</w:t>
            </w:r>
          </w:p>
        </w:tc>
      </w:tr>
    </w:tbl>
    <w:p>
      <w:pPr>
        <w:pStyle w:val="yFootnotesection"/>
      </w:pPr>
      <w:r>
        <w:tab/>
        <w:t>[Division 2 inserted in Gazette 13 May 2005 p. 2080; amended in Gazette 23 Jun 2006 p. 2191; 26 Jun 2007 p. 3032; 20 Aug 2013 p. 3885; 4 Jul 2014 p. 2364; 19 Jun 2015 p. 2124; 14 Jun 2016 p. 1907.]</w:t>
      </w:r>
    </w:p>
    <w:p>
      <w:pPr>
        <w:pStyle w:val="yHeading3"/>
        <w:spacing w:after="60"/>
      </w:pPr>
      <w:bookmarkStart w:id="45" w:name="_Toc471981981"/>
      <w:bookmarkStart w:id="46" w:name="_Toc472943486"/>
      <w:bookmarkStart w:id="47" w:name="_Toc473118301"/>
      <w:bookmarkStart w:id="48" w:name="_Toc473123599"/>
      <w:r>
        <w:rPr>
          <w:rStyle w:val="CharSDivNo"/>
        </w:rPr>
        <w:t>Division 3</w:t>
      </w:r>
      <w:r>
        <w:t> — </w:t>
      </w:r>
      <w:r>
        <w:rPr>
          <w:rStyle w:val="CharSDivText"/>
        </w:rPr>
        <w:t>Enforcement fees for Part 7 of the Act</w:t>
      </w:r>
      <w:bookmarkEnd w:id="45"/>
      <w:bookmarkEnd w:id="46"/>
      <w:bookmarkEnd w:id="47"/>
      <w:bookmarkEnd w:id="48"/>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spacing w:before="120" w:after="40"/>
              <w:jc w:val="right"/>
            </w:pPr>
            <w:r>
              <w:br/>
            </w:r>
            <w:r>
              <w:br/>
              <w:t>$80.00</w:t>
            </w:r>
          </w:p>
        </w:tc>
      </w:tr>
      <w:tr>
        <w:trPr>
          <w:gridAfter w:val="1"/>
          <w:wAfter w:w="29" w:type="dxa"/>
        </w:trPr>
        <w:tc>
          <w:tcPr>
            <w:tcW w:w="5954" w:type="dxa"/>
          </w:tcPr>
          <w:p>
            <w:pPr>
              <w:pStyle w:val="yTableNAm"/>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jc w:val="right"/>
            </w:pPr>
          </w:p>
        </w:tc>
      </w:tr>
      <w:tr>
        <w:trPr>
          <w:gridAfter w:val="1"/>
          <w:wAfter w:w="29" w:type="dxa"/>
        </w:trPr>
        <w:tc>
          <w:tcPr>
            <w:tcW w:w="5954" w:type="dxa"/>
          </w:tcPr>
          <w:p>
            <w:pPr>
              <w:pStyle w:val="yTableNAm"/>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jc w:val="right"/>
            </w:pPr>
            <w:r>
              <w:t>$54.00</w:t>
            </w:r>
          </w:p>
        </w:tc>
      </w:tr>
      <w:tr>
        <w:trPr>
          <w:gridAfter w:val="1"/>
          <w:wAfter w:w="29" w:type="dxa"/>
        </w:trPr>
        <w:tc>
          <w:tcPr>
            <w:tcW w:w="5954" w:type="dxa"/>
          </w:tcPr>
          <w:p>
            <w:pPr>
              <w:pStyle w:val="yTableNAm"/>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jc w:val="right"/>
            </w:pPr>
            <w:r>
              <w:t>$58.00</w:t>
            </w:r>
          </w:p>
        </w:tc>
      </w:tr>
      <w:tr>
        <w:trPr>
          <w:gridAfter w:val="1"/>
          <w:wAfter w:w="29" w:type="dxa"/>
        </w:trPr>
        <w:tc>
          <w:tcPr>
            <w:tcW w:w="5954" w:type="dxa"/>
          </w:tcPr>
          <w:p>
            <w:pPr>
              <w:pStyle w:val="yTableNAm"/>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jc w:val="right"/>
            </w:pPr>
            <w:r>
              <w:br/>
              <w:t>$38.40</w:t>
            </w:r>
          </w:p>
        </w:tc>
      </w:tr>
      <w:tr>
        <w:trPr>
          <w:gridAfter w:val="1"/>
          <w:wAfter w:w="29" w:type="dxa"/>
          <w:cantSplit/>
        </w:trPr>
        <w:tc>
          <w:tcPr>
            <w:tcW w:w="5954" w:type="dxa"/>
          </w:tcPr>
          <w:p>
            <w:pPr>
              <w:pStyle w:val="yTableNAm"/>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jc w:val="right"/>
            </w:pPr>
          </w:p>
        </w:tc>
      </w:tr>
      <w:tr>
        <w:trPr>
          <w:gridAfter w:val="1"/>
          <w:wAfter w:w="29" w:type="dxa"/>
        </w:trPr>
        <w:tc>
          <w:tcPr>
            <w:tcW w:w="5954" w:type="dxa"/>
          </w:tcPr>
          <w:p>
            <w:pPr>
              <w:pStyle w:val="yTableNAm"/>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jc w:val="right"/>
            </w:pPr>
          </w:p>
        </w:tc>
      </w:tr>
      <w:tr>
        <w:tblPrEx>
          <w:tblCellMar>
            <w:left w:w="113" w:type="dxa"/>
            <w:right w:w="113" w:type="dxa"/>
          </w:tblCellMar>
        </w:tblPrEx>
        <w:tc>
          <w:tcPr>
            <w:tcW w:w="5954" w:type="dxa"/>
          </w:tcPr>
          <w:p>
            <w:pPr>
              <w:pStyle w:val="yTableNAm"/>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gridSpan w:val="2"/>
          </w:tcPr>
          <w:p>
            <w:pPr>
              <w:pStyle w:val="yTable"/>
              <w:spacing w:before="120" w:after="40"/>
              <w:jc w:val="right"/>
            </w:pPr>
            <w:r>
              <w:br/>
            </w:r>
            <w:r>
              <w:br/>
              <w:t>$190.50</w:t>
            </w:r>
          </w:p>
        </w:tc>
      </w:tr>
      <w:tr>
        <w:tblPrEx>
          <w:tblCellMar>
            <w:left w:w="113" w:type="dxa"/>
            <w:right w:w="113" w:type="dxa"/>
          </w:tblCellMar>
        </w:tblPrEx>
        <w:tc>
          <w:tcPr>
            <w:tcW w:w="5954" w:type="dxa"/>
          </w:tcPr>
          <w:p>
            <w:pPr>
              <w:pStyle w:val="yTableNAm"/>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gridSpan w:val="2"/>
          </w:tcPr>
          <w:p>
            <w:pPr>
              <w:pStyle w:val="yTable"/>
              <w:spacing w:before="120" w:after="40"/>
              <w:jc w:val="right"/>
            </w:pPr>
          </w:p>
        </w:tc>
      </w:tr>
      <w:tr>
        <w:tblPrEx>
          <w:tblCellMar>
            <w:left w:w="113" w:type="dxa"/>
            <w:right w:w="113" w:type="dxa"/>
          </w:tblCellMar>
        </w:tblPrEx>
        <w:tc>
          <w:tcPr>
            <w:tcW w:w="5954" w:type="dxa"/>
          </w:tcPr>
          <w:p>
            <w:pPr>
              <w:pStyle w:val="yTableNAm"/>
              <w:tabs>
                <w:tab w:val="clear" w:pos="567"/>
                <w:tab w:val="right" w:leader="dot" w:pos="5644"/>
              </w:tabs>
              <w:ind w:left="709" w:hanging="709"/>
            </w:pPr>
            <w:r>
              <w:t>10.</w:t>
            </w:r>
            <w:r>
              <w:tab/>
              <w:t xml:space="preserve">Fee for attending a sale of personal property or land </w:t>
            </w:r>
            <w:r>
              <w:tab/>
            </w:r>
          </w:p>
        </w:tc>
        <w:tc>
          <w:tcPr>
            <w:tcW w:w="1134" w:type="dxa"/>
            <w:gridSpan w:val="2"/>
          </w:tcPr>
          <w:p>
            <w:pPr>
              <w:pStyle w:val="yTable"/>
              <w:spacing w:before="120" w:after="40"/>
              <w:jc w:val="right"/>
            </w:pPr>
            <w:r>
              <w:t>$86.00</w:t>
            </w:r>
          </w:p>
        </w:tc>
      </w:tr>
      <w:tr>
        <w:tblPrEx>
          <w:tblCellMar>
            <w:left w:w="113" w:type="dxa"/>
            <w:right w:w="113" w:type="dxa"/>
          </w:tblCellMar>
        </w:tblPrEx>
        <w:tc>
          <w:tcPr>
            <w:tcW w:w="5954" w:type="dxa"/>
          </w:tcPr>
          <w:p>
            <w:pPr>
              <w:pStyle w:val="yTableNAm"/>
              <w:tabs>
                <w:tab w:val="clear" w:pos="567"/>
                <w:tab w:val="right" w:leader="dot" w:pos="5644"/>
              </w:tabs>
              <w:ind w:left="709" w:hanging="709"/>
            </w:pPr>
            <w:r>
              <w:t>11.</w:t>
            </w:r>
            <w:r>
              <w:tab/>
              <w:t>Fee for preparing and executing a transfer of land sold</w:t>
            </w:r>
            <w:r>
              <w:tab/>
            </w:r>
          </w:p>
        </w:tc>
        <w:tc>
          <w:tcPr>
            <w:tcW w:w="1134" w:type="dxa"/>
            <w:gridSpan w:val="2"/>
          </w:tcPr>
          <w:p>
            <w:pPr>
              <w:pStyle w:val="yTable"/>
              <w:spacing w:before="120" w:after="40"/>
              <w:jc w:val="right"/>
            </w:pPr>
            <w:r>
              <w:t>$190.50</w:t>
            </w:r>
          </w:p>
        </w:tc>
      </w:tr>
      <w:tr>
        <w:tblPrEx>
          <w:tblCellMar>
            <w:left w:w="113" w:type="dxa"/>
            <w:right w:w="113" w:type="dxa"/>
          </w:tblCellMar>
        </w:tblPrEx>
        <w:tc>
          <w:tcPr>
            <w:tcW w:w="5954" w:type="dxa"/>
          </w:tcPr>
          <w:p>
            <w:pPr>
              <w:pStyle w:val="yTableNAm"/>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gridSpan w:val="2"/>
          </w:tcPr>
          <w:p>
            <w:pPr>
              <w:pStyle w:val="yTable"/>
              <w:spacing w:before="120" w:after="40"/>
              <w:jc w:val="right"/>
            </w:pPr>
            <w:r>
              <w:br/>
              <w:t>$27.30</w:t>
            </w:r>
          </w:p>
        </w:tc>
      </w:tr>
      <w:tr>
        <w:tblPrEx>
          <w:tblCellMar>
            <w:left w:w="113" w:type="dxa"/>
            <w:right w:w="113" w:type="dxa"/>
          </w:tblCellMar>
        </w:tblPrEx>
        <w:trPr>
          <w:cantSplit/>
        </w:trPr>
        <w:tc>
          <w:tcPr>
            <w:tcW w:w="5954" w:type="dxa"/>
          </w:tcPr>
          <w:p>
            <w:pPr>
              <w:pStyle w:val="yTableNAm"/>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r>
              <w:rPr>
                <w:snapToGrid w:val="0"/>
              </w:rPr>
              <w:t>.</w:t>
            </w:r>
          </w:p>
        </w:tc>
        <w:tc>
          <w:tcPr>
            <w:tcW w:w="1134" w:type="dxa"/>
            <w:gridSpan w:val="2"/>
          </w:tcPr>
          <w:p>
            <w:pPr>
              <w:pStyle w:val="yTable"/>
              <w:spacing w:after="40"/>
              <w:jc w:val="right"/>
            </w:pPr>
          </w:p>
        </w:tc>
      </w:tr>
    </w:tbl>
    <w:p>
      <w:pPr>
        <w:pStyle w:val="yFootnotesection"/>
      </w:pPr>
      <w:r>
        <w:tab/>
        <w:t>[Division 3 inserted in Gazette 13 May 2005 p. 2080</w:t>
      </w:r>
      <w:r>
        <w:noBreakHyphen/>
        <w:t>1; amended in Gazette 23 Jun 2006 p. 2192; 26 Jun 2007 p. 3032; 20 Aug 2013 p. 3885; 4 Jul 2014 p. 2364; 19 Jun 2015 p. 2124; 14 Jun 2016 p. 1907</w:t>
      </w:r>
      <w:r>
        <w:noBreakHyphen/>
        <w:t>8.]</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50" w:name="_Toc471981982"/>
      <w:bookmarkStart w:id="51" w:name="_Toc472943487"/>
      <w:bookmarkStart w:id="52" w:name="_Toc473118302"/>
      <w:bookmarkStart w:id="53" w:name="_Toc473123600"/>
      <w:r>
        <w:rPr>
          <w:rStyle w:val="CharSchNo"/>
        </w:rPr>
        <w:t>Schedule 3</w:t>
      </w:r>
      <w:r>
        <w:rPr>
          <w:rStyle w:val="CharSDivNo"/>
        </w:rPr>
        <w:t> </w:t>
      </w:r>
      <w:r>
        <w:t>—</w:t>
      </w:r>
      <w:r>
        <w:rPr>
          <w:rStyle w:val="CharSDivText"/>
        </w:rPr>
        <w:t> </w:t>
      </w:r>
      <w:r>
        <w:rPr>
          <w:rStyle w:val="CharSchText"/>
        </w:rPr>
        <w:t>Forms</w:t>
      </w:r>
      <w:bookmarkEnd w:id="50"/>
      <w:bookmarkEnd w:id="51"/>
      <w:bookmarkEnd w:id="52"/>
      <w:bookmarkEnd w:id="53"/>
    </w:p>
    <w:p>
      <w:pPr>
        <w:pStyle w:val="yShoulderClause"/>
      </w:pPr>
      <w:r>
        <w:t>[r. 12]</w:t>
      </w:r>
    </w:p>
    <w:p>
      <w:pPr>
        <w:pStyle w:val="yFootnoteheading"/>
        <w:spacing w:before="40"/>
      </w:pPr>
      <w:r>
        <w:tab/>
        <w:t>[Heading inserted in Gazette 13 May 2005 p. 2081.]</w:t>
      </w:r>
    </w:p>
    <w:p>
      <w:pPr>
        <w:pStyle w:val="yHeading5"/>
        <w:spacing w:before="160"/>
      </w:pPr>
      <w:bookmarkStart w:id="54" w:name="_Toc473123601"/>
      <w:r>
        <w:rPr>
          <w:rStyle w:val="CharSClsNo"/>
        </w:rPr>
        <w:t>1</w:t>
      </w:r>
      <w:r>
        <w:t>.</w:t>
      </w:r>
      <w:r>
        <w:tab/>
        <w:t>Notice of withdrawal for the purposes of Act s. 22</w:t>
      </w:r>
      <w:bookmarkEnd w:id="54"/>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55" w:name="_Toc473123602"/>
      <w:r>
        <w:rPr>
          <w:rStyle w:val="CharSClsNo"/>
        </w:rPr>
        <w:t>2</w:t>
      </w:r>
      <w:r>
        <w:t>.</w:t>
      </w:r>
      <w:r>
        <w:tab/>
        <w:t>Enforcement warrant for the purposes of Act s. 21A and 45 and Part 5</w:t>
      </w:r>
      <w:bookmarkEnd w:id="55"/>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spacing w:before="0"/>
        <w:rPr>
          <w:snapToGrid w:val="0"/>
        </w:rPr>
      </w:pPr>
      <w:bookmarkStart w:id="56" w:name="_Toc473123603"/>
      <w:r>
        <w:rPr>
          <w:rStyle w:val="CharSClsNo"/>
        </w:rPr>
        <w:t>3</w:t>
      </w:r>
      <w:r>
        <w:rPr>
          <w:snapToGrid w:val="0"/>
        </w:rPr>
        <w:t>.</w:t>
      </w:r>
      <w:r>
        <w:rPr>
          <w:snapToGrid w:val="0"/>
        </w:rPr>
        <w:tab/>
        <w:t xml:space="preserve">Warrant of commitment for the purposes of Act s. 53 and </w:t>
      </w:r>
      <w:r>
        <w:t>Part 5</w:t>
      </w:r>
      <w:bookmarkEnd w:id="56"/>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857"/>
        <w:gridCol w:w="475"/>
        <w:gridCol w:w="2283"/>
        <w:gridCol w:w="475"/>
        <w:gridCol w:w="1706"/>
      </w:tblGrid>
      <w:tr>
        <w:tc>
          <w:tcPr>
            <w:tcW w:w="1857"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r>
              <w:rPr>
                <w:sz w:val="14"/>
              </w:rPr>
              <w:br/>
            </w: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z w:val="14"/>
              </w:rPr>
            </w:pPr>
            <w:r>
              <w:rPr>
                <w:sz w:val="14"/>
              </w:rPr>
              <w:b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z w:val="14"/>
              </w:rPr>
            </w:pPr>
            <w:r>
              <w:rPr>
                <w:sz w:val="14"/>
              </w:rPr>
              <w:br/>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OFFICER’S DETAILS</w:t>
            </w:r>
          </w:p>
        </w:tc>
      </w:tr>
      <w:tr>
        <w:tc>
          <w:tcPr>
            <w:tcW w:w="185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57" w:name="_Toc473123604"/>
      <w:r>
        <w:rPr>
          <w:rStyle w:val="CharSClsNo"/>
        </w:rPr>
        <w:t>4</w:t>
      </w:r>
      <w:r>
        <w:rPr>
          <w:snapToGrid w:val="0"/>
        </w:rPr>
        <w:t>.</w:t>
      </w:r>
      <w:r>
        <w:rPr>
          <w:snapToGrid w:val="0"/>
        </w:rPr>
        <w:tab/>
        <w:t>Enforcement warrant for the purposes of Act s. 61</w:t>
      </w:r>
      <w:bookmarkEnd w:id="57"/>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yEdnotesection"/>
        <w:spacing w:before="160"/>
      </w:pPr>
      <w:r>
        <w:t>[Form 5 deleted in Gazette 30 Jun 1995 p. 2638.]</w:t>
      </w:r>
    </w:p>
    <w:p>
      <w:pPr>
        <w:pStyle w:val="yEdnotesection"/>
      </w:pPr>
      <w:r>
        <w:t>[Form 6 deleted in Gazette 20 Aug 2013 p. 3888.]</w:t>
      </w:r>
    </w:p>
    <w:p>
      <w:pPr>
        <w:pStyle w:val="yHeading5"/>
      </w:pPr>
      <w:bookmarkStart w:id="58" w:name="_Toc473123605"/>
      <w:r>
        <w:rPr>
          <w:rStyle w:val="CharSClsNo"/>
        </w:rPr>
        <w:t>6A</w:t>
      </w:r>
      <w:r>
        <w:t>.</w:t>
      </w:r>
      <w:r>
        <w:tab/>
        <w:t>Memorial of land for the purposes of Act s. 89(2)</w:t>
      </w:r>
      <w:bookmarkEnd w:id="58"/>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in Gazette 30 Jun 1995 p. 2641; amended in Gazette 13 May 2005 p. 2082.]</w:t>
      </w:r>
    </w:p>
    <w:p>
      <w:pPr>
        <w:pStyle w:val="yHeading5"/>
      </w:pPr>
      <w:bookmarkStart w:id="59" w:name="_Toc473123606"/>
      <w:r>
        <w:rPr>
          <w:rStyle w:val="CharSClsNo"/>
        </w:rPr>
        <w:t>6B</w:t>
      </w:r>
      <w:r>
        <w:t>.</w:t>
      </w:r>
      <w:r>
        <w:tab/>
        <w:t>Withdrawal of memorial of land for the purposes of Act s. 90</w:t>
      </w:r>
      <w:bookmarkEnd w:id="59"/>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in Gazette 30 Jun 1995 p. 2642; amended in Gazette 13 May 2005 p. 2082.]</w:t>
      </w:r>
    </w:p>
    <w:p>
      <w:pPr>
        <w:pStyle w:val="yEdnotesection"/>
      </w:pPr>
      <w:r>
        <w:t xml:space="preserve">[Form 7 deleted in Gazette </w:t>
      </w:r>
      <w:r>
        <w:rPr>
          <w:snapToGrid/>
        </w:rPr>
        <w:t>4 Oct 1996 p. 5233.</w:t>
      </w:r>
      <w:r>
        <w:t>]</w:t>
      </w:r>
    </w:p>
    <w:p>
      <w:pPr>
        <w:pStyle w:val="yHeading5"/>
      </w:pPr>
      <w:bookmarkStart w:id="60" w:name="_Toc473123607"/>
      <w:r>
        <w:rPr>
          <w:rStyle w:val="CharSClsNo"/>
        </w:rPr>
        <w:t>8</w:t>
      </w:r>
      <w:r>
        <w:t>.</w:t>
      </w:r>
      <w:r>
        <w:tab/>
        <w:t>Certificate under Act s. 101C(1): Part 3 proceedings</w:t>
      </w:r>
      <w:bookmarkEnd w:id="60"/>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spacing w:before="0"/>
      </w:pPr>
      <w:bookmarkStart w:id="61" w:name="_Toc473123608"/>
      <w:r>
        <w:rPr>
          <w:rStyle w:val="CharSClsNo"/>
        </w:rPr>
        <w:t>9</w:t>
      </w:r>
      <w:r>
        <w:t>.</w:t>
      </w:r>
      <w:r>
        <w:tab/>
        <w:t>Certificate under Act s. 101C(1): Part 4 proceedings</w:t>
      </w:r>
      <w:bookmarkEnd w:id="61"/>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in Gazette 20 Aug 2013 p. 3890-1.]</w:t>
      </w:r>
    </w:p>
    <w:p>
      <w:pPr>
        <w:pStyle w:val="yHeading5"/>
        <w:pageBreakBefore/>
        <w:spacing w:before="0"/>
      </w:pPr>
      <w:bookmarkStart w:id="62" w:name="_Toc473123609"/>
      <w:r>
        <w:rPr>
          <w:rStyle w:val="CharSClsNo"/>
        </w:rPr>
        <w:t>10</w:t>
      </w:r>
      <w:r>
        <w:t>.</w:t>
      </w:r>
      <w:r>
        <w:tab/>
        <w:t>Certificate under Act s. 101C(2A): Part 3 proceedings</w:t>
      </w:r>
      <w:bookmarkEnd w:id="62"/>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10 inserted in Gazette 20 Aug 2013 p. 3891-2.]</w:t>
      </w:r>
    </w:p>
    <w:p>
      <w:pPr>
        <w:pStyle w:val="yHeading5"/>
        <w:pageBreakBefore/>
        <w:spacing w:before="0"/>
      </w:pPr>
      <w:bookmarkStart w:id="63" w:name="_Toc473123610"/>
      <w:r>
        <w:rPr>
          <w:rStyle w:val="CharSClsNo"/>
        </w:rPr>
        <w:t>11</w:t>
      </w:r>
      <w:r>
        <w:t>.</w:t>
      </w:r>
      <w:r>
        <w:tab/>
        <w:t>Certificate under Act s. 101C(2A): Part 4 proceedings</w:t>
      </w:r>
      <w:bookmarkEnd w:id="63"/>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ageBreakBefore/>
      </w:pPr>
      <w:bookmarkStart w:id="64" w:name="_Toc471981993"/>
      <w:bookmarkStart w:id="65" w:name="_Toc472943498"/>
      <w:bookmarkStart w:id="66" w:name="_Toc473118313"/>
      <w:bookmarkStart w:id="67" w:name="_Toc473123611"/>
      <w:r>
        <w:t>Notes</w:t>
      </w:r>
      <w:bookmarkEnd w:id="64"/>
      <w:bookmarkEnd w:id="65"/>
      <w:bookmarkEnd w:id="66"/>
      <w:bookmarkEnd w:id="67"/>
    </w:p>
    <w:p>
      <w:pPr>
        <w:pStyle w:val="nSubsection"/>
      </w:pPr>
      <w:r>
        <w:rPr>
          <w:vertAlign w:val="superscript"/>
        </w:rPr>
        <w:t>1</w:t>
      </w:r>
      <w:r>
        <w:tab/>
        <w:t xml:space="preserve">This is a compilation of the </w:t>
      </w:r>
      <w:r>
        <w:rPr>
          <w:i/>
          <w:noProof/>
        </w:rPr>
        <w:t>Fines, Penalties and Infringement Notices Enforcement Regulations 1994</w:t>
      </w:r>
      <w:r>
        <w:t xml:space="preserve"> and includes the amendments made by the other written laws referred to in the following table.  The table also contains information about any reprint.</w:t>
      </w:r>
    </w:p>
    <w:p>
      <w:pPr>
        <w:pStyle w:val="nHeading3"/>
      </w:pPr>
      <w:bookmarkStart w:id="68" w:name="_Toc473123612"/>
      <w:r>
        <w:t>Compilation table</w:t>
      </w:r>
      <w:bookmarkEnd w:id="68"/>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70"/>
            </w:pPr>
            <w:r>
              <w:rPr>
                <w:i/>
              </w:rPr>
              <w:t>Fines, Penalties and Infringement Notices Enforcement Regulations 1994</w:t>
            </w:r>
          </w:p>
        </w:tc>
        <w:tc>
          <w:tcPr>
            <w:tcW w:w="1276" w:type="dxa"/>
            <w:tcBorders>
              <w:top w:val="single" w:sz="8" w:space="0" w:color="auto"/>
            </w:tcBorders>
          </w:tcPr>
          <w:p>
            <w:pPr>
              <w:pStyle w:val="nTable"/>
              <w:spacing w:after="40"/>
            </w:pPr>
            <w:r>
              <w:t>30 Dec 1994 p. 7232</w:t>
            </w:r>
            <w:r>
              <w:noBreakHyphen/>
              <w:t>41</w:t>
            </w:r>
          </w:p>
        </w:tc>
        <w:tc>
          <w:tcPr>
            <w:tcW w:w="2693" w:type="dxa"/>
            <w:tcBorders>
              <w:top w:val="single" w:sz="8" w:space="0" w:color="auto"/>
            </w:tcBorders>
          </w:tcPr>
          <w:p>
            <w:pPr>
              <w:pStyle w:val="nTable"/>
              <w:spacing w:after="40"/>
            </w:pPr>
            <w:r>
              <w:t>1 Jan 1995 (see r. 2 and </w:t>
            </w:r>
            <w:r>
              <w:rPr>
                <w:i/>
              </w:rPr>
              <w:t>Gazette</w:t>
            </w:r>
            <w:r>
              <w:t xml:space="preserve"> 30 Dec 1992 p. 7211)</w:t>
            </w:r>
          </w:p>
        </w:tc>
      </w:tr>
      <w:tr>
        <w:trPr>
          <w:cantSplit/>
        </w:trPr>
        <w:tc>
          <w:tcPr>
            <w:tcW w:w="3119" w:type="dxa"/>
          </w:tcPr>
          <w:p>
            <w:pPr>
              <w:pStyle w:val="nTable"/>
              <w:spacing w:after="40"/>
              <w:ind w:right="170"/>
            </w:pPr>
            <w:r>
              <w:rPr>
                <w:i/>
              </w:rPr>
              <w:t>Fines, Penalties and Infringement Notices Enforcement Amendment Regulations 1995</w:t>
            </w:r>
          </w:p>
        </w:tc>
        <w:tc>
          <w:tcPr>
            <w:tcW w:w="1276" w:type="dxa"/>
          </w:tcPr>
          <w:p>
            <w:pPr>
              <w:pStyle w:val="nTable"/>
              <w:spacing w:after="40"/>
            </w:pPr>
            <w:r>
              <w:t>30 Jun 1995 p. 2636</w:t>
            </w:r>
            <w:r>
              <w:noBreakHyphen/>
              <w:t>42</w:t>
            </w:r>
          </w:p>
        </w:tc>
        <w:tc>
          <w:tcPr>
            <w:tcW w:w="2693" w:type="dxa"/>
          </w:tcPr>
          <w:p>
            <w:pPr>
              <w:pStyle w:val="nTable"/>
              <w:spacing w:after="40"/>
            </w:pPr>
            <w:r>
              <w:t>30 Jun 1995</w:t>
            </w:r>
          </w:p>
        </w:tc>
      </w:tr>
      <w:tr>
        <w:trPr>
          <w:cantSplit/>
        </w:trPr>
        <w:tc>
          <w:tcPr>
            <w:tcW w:w="3119" w:type="dxa"/>
          </w:tcPr>
          <w:p>
            <w:pPr>
              <w:pStyle w:val="nTable"/>
              <w:spacing w:after="40"/>
              <w:ind w:right="170"/>
            </w:pPr>
            <w:r>
              <w:rPr>
                <w:i/>
              </w:rPr>
              <w:t>Fines, Penalties and Infringement Notices Enforcement Amendment Regulations (No. 2) 1995</w:t>
            </w:r>
          </w:p>
        </w:tc>
        <w:tc>
          <w:tcPr>
            <w:tcW w:w="1276" w:type="dxa"/>
          </w:tcPr>
          <w:p>
            <w:pPr>
              <w:pStyle w:val="nTable"/>
              <w:spacing w:after="40"/>
            </w:pPr>
            <w:r>
              <w:t>30 Jun 1995 p. 2643</w:t>
            </w:r>
          </w:p>
        </w:tc>
        <w:tc>
          <w:tcPr>
            <w:tcW w:w="2693" w:type="dxa"/>
          </w:tcPr>
          <w:p>
            <w:pPr>
              <w:pStyle w:val="nTable"/>
              <w:spacing w:after="40"/>
            </w:pPr>
            <w:r>
              <w:t xml:space="preserve">1 Oct 1995 (see r. 2 and </w:t>
            </w:r>
            <w:r>
              <w:rPr>
                <w:i/>
              </w:rPr>
              <w:t>Gazette</w:t>
            </w:r>
            <w:r>
              <w:t xml:space="preserve"> 29 Sep 1995 p. 4649)</w:t>
            </w:r>
          </w:p>
        </w:tc>
      </w:tr>
      <w:tr>
        <w:trPr>
          <w:cantSplit/>
        </w:trPr>
        <w:tc>
          <w:tcPr>
            <w:tcW w:w="3119" w:type="dxa"/>
          </w:tcPr>
          <w:p>
            <w:pPr>
              <w:pStyle w:val="nTable"/>
              <w:spacing w:after="40"/>
              <w:ind w:right="170"/>
            </w:pPr>
            <w:r>
              <w:rPr>
                <w:i/>
              </w:rPr>
              <w:t>Fines, Penalties and Infringement Notices Enforcement Amendment Regulations (No. 3) 1996</w:t>
            </w:r>
          </w:p>
        </w:tc>
        <w:tc>
          <w:tcPr>
            <w:tcW w:w="1276" w:type="dxa"/>
          </w:tcPr>
          <w:p>
            <w:pPr>
              <w:pStyle w:val="nTable"/>
              <w:spacing w:after="40"/>
            </w:pPr>
            <w:r>
              <w:t>25 Jun 1996 p. 2928</w:t>
            </w:r>
          </w:p>
        </w:tc>
        <w:tc>
          <w:tcPr>
            <w:tcW w:w="2693" w:type="dxa"/>
          </w:tcPr>
          <w:p>
            <w:pPr>
              <w:pStyle w:val="nTable"/>
              <w:spacing w:after="40"/>
            </w:pPr>
            <w:r>
              <w:t>1 Jul 1996 (see r. 2)</w:t>
            </w:r>
          </w:p>
        </w:tc>
      </w:tr>
      <w:tr>
        <w:trPr>
          <w:cantSplit/>
        </w:trPr>
        <w:tc>
          <w:tcPr>
            <w:tcW w:w="3119" w:type="dxa"/>
          </w:tcPr>
          <w:p>
            <w:pPr>
              <w:pStyle w:val="nTable"/>
              <w:spacing w:after="40"/>
              <w:ind w:right="170"/>
            </w:pPr>
            <w:r>
              <w:rPr>
                <w:i/>
              </w:rPr>
              <w:t>Fines, Penalties and Infringement Notices Enforcement Amendment Regulations (No. 2) 1996</w:t>
            </w:r>
          </w:p>
        </w:tc>
        <w:tc>
          <w:tcPr>
            <w:tcW w:w="1276" w:type="dxa"/>
          </w:tcPr>
          <w:p>
            <w:pPr>
              <w:pStyle w:val="nTable"/>
              <w:spacing w:after="40"/>
            </w:pPr>
            <w:r>
              <w:t>5 Jul 1996 p. 3226</w:t>
            </w:r>
            <w:r>
              <w:noBreakHyphen/>
              <w:t>9</w:t>
            </w:r>
          </w:p>
        </w:tc>
        <w:tc>
          <w:tcPr>
            <w:tcW w:w="2693" w:type="dxa"/>
          </w:tcPr>
          <w:p>
            <w:pPr>
              <w:pStyle w:val="nTable"/>
              <w:spacing w:after="40"/>
            </w:pPr>
            <w:r>
              <w:t>5 Jul 1996</w:t>
            </w:r>
          </w:p>
        </w:tc>
      </w:tr>
      <w:tr>
        <w:trPr>
          <w:cantSplit/>
        </w:trPr>
        <w:tc>
          <w:tcPr>
            <w:tcW w:w="3119" w:type="dxa"/>
          </w:tcPr>
          <w:p>
            <w:pPr>
              <w:pStyle w:val="nTable"/>
              <w:spacing w:after="40"/>
              <w:ind w:right="170"/>
            </w:pPr>
            <w:r>
              <w:rPr>
                <w:i/>
              </w:rPr>
              <w:t>Fines, Penalties and Infringement Notices Enforcement Amendment Regulations 1996</w:t>
            </w:r>
          </w:p>
        </w:tc>
        <w:tc>
          <w:tcPr>
            <w:tcW w:w="1276" w:type="dxa"/>
          </w:tcPr>
          <w:p>
            <w:pPr>
              <w:pStyle w:val="nTable"/>
              <w:spacing w:after="40"/>
            </w:pPr>
            <w:r>
              <w:t>19 Jul 1996 p. 3457</w:t>
            </w:r>
            <w:r>
              <w:noBreakHyphen/>
              <w:t>8</w:t>
            </w:r>
          </w:p>
        </w:tc>
        <w:tc>
          <w:tcPr>
            <w:tcW w:w="2693" w:type="dxa"/>
          </w:tcPr>
          <w:p>
            <w:pPr>
              <w:pStyle w:val="nTable"/>
              <w:spacing w:after="40"/>
            </w:pPr>
            <w:r>
              <w:t>19 Jul 1996</w:t>
            </w:r>
          </w:p>
        </w:tc>
      </w:tr>
      <w:tr>
        <w:trPr>
          <w:cantSplit/>
        </w:trPr>
        <w:tc>
          <w:tcPr>
            <w:tcW w:w="3119" w:type="dxa"/>
          </w:tcPr>
          <w:p>
            <w:pPr>
              <w:pStyle w:val="nTable"/>
              <w:spacing w:after="40"/>
              <w:ind w:right="170"/>
            </w:pPr>
            <w:r>
              <w:rPr>
                <w:i/>
              </w:rPr>
              <w:t>Fines, Penalties and Infringement Notices Enforcement Amendment Regulations (No. 4) 1996</w:t>
            </w:r>
          </w:p>
        </w:tc>
        <w:tc>
          <w:tcPr>
            <w:tcW w:w="1276" w:type="dxa"/>
          </w:tcPr>
          <w:p>
            <w:pPr>
              <w:pStyle w:val="nTable"/>
              <w:spacing w:after="40"/>
            </w:pPr>
            <w:r>
              <w:t>4 Oct 1996 p. 5233</w:t>
            </w:r>
          </w:p>
        </w:tc>
        <w:tc>
          <w:tcPr>
            <w:tcW w:w="2693" w:type="dxa"/>
          </w:tcPr>
          <w:p>
            <w:pPr>
              <w:pStyle w:val="nTable"/>
              <w:spacing w:after="40"/>
            </w:pPr>
            <w:r>
              <w:t xml:space="preserve">4 Nov 1996 (see r. 2 and </w:t>
            </w:r>
            <w:r>
              <w:rPr>
                <w:i/>
              </w:rPr>
              <w:t>Gazette</w:t>
            </w:r>
            <w:r>
              <w:t xml:space="preserve"> 25 Oct 1996 p. 5632)</w:t>
            </w:r>
          </w:p>
        </w:tc>
      </w:tr>
      <w:tr>
        <w:trPr>
          <w:cantSplit/>
        </w:trPr>
        <w:tc>
          <w:tcPr>
            <w:tcW w:w="3119" w:type="dxa"/>
          </w:tcPr>
          <w:p>
            <w:pPr>
              <w:pStyle w:val="nTable"/>
              <w:spacing w:after="40"/>
              <w:ind w:right="170"/>
              <w:rPr>
                <w:i/>
              </w:rPr>
            </w:pPr>
            <w:r>
              <w:rPr>
                <w:i/>
              </w:rPr>
              <w:t>Fines, Penalties and Infringement Notices Enforcement Amendment Regulations 1997</w:t>
            </w:r>
            <w:r>
              <w:rPr>
                <w:vertAlign w:val="superscript"/>
              </w:rPr>
              <w:t> 6</w:t>
            </w:r>
          </w:p>
        </w:tc>
        <w:tc>
          <w:tcPr>
            <w:tcW w:w="1276" w:type="dxa"/>
          </w:tcPr>
          <w:p>
            <w:pPr>
              <w:pStyle w:val="nTable"/>
              <w:spacing w:after="40"/>
            </w:pPr>
            <w:r>
              <w:t>1 Aug 1997 p. 4394</w:t>
            </w:r>
          </w:p>
        </w:tc>
        <w:tc>
          <w:tcPr>
            <w:tcW w:w="2693" w:type="dxa"/>
          </w:tcPr>
          <w:p>
            <w:pPr>
              <w:pStyle w:val="nTable"/>
              <w:spacing w:after="40"/>
            </w:pPr>
            <w:r>
              <w:t>1 Aug 1997</w:t>
            </w:r>
          </w:p>
        </w:tc>
      </w:tr>
      <w:tr>
        <w:trPr>
          <w:cantSplit/>
        </w:trPr>
        <w:tc>
          <w:tcPr>
            <w:tcW w:w="3119" w:type="dxa"/>
          </w:tcPr>
          <w:p>
            <w:pPr>
              <w:pStyle w:val="nTable"/>
              <w:spacing w:after="40"/>
              <w:ind w:right="170"/>
            </w:pPr>
            <w:r>
              <w:rPr>
                <w:i/>
              </w:rPr>
              <w:t>Fines, Penalties and Infringement Notices Enforcement Amendment Regulations (No. 2) 1997</w:t>
            </w:r>
          </w:p>
        </w:tc>
        <w:tc>
          <w:tcPr>
            <w:tcW w:w="1276" w:type="dxa"/>
          </w:tcPr>
          <w:p>
            <w:pPr>
              <w:pStyle w:val="nTable"/>
              <w:spacing w:after="40"/>
            </w:pPr>
            <w:r>
              <w:t>23 Jan 1998 p. 408</w:t>
            </w:r>
          </w:p>
        </w:tc>
        <w:tc>
          <w:tcPr>
            <w:tcW w:w="2693" w:type="dxa"/>
          </w:tcPr>
          <w:p>
            <w:pPr>
              <w:pStyle w:val="nTable"/>
              <w:spacing w:after="40"/>
            </w:pPr>
            <w:r>
              <w:t>23 Jan 1998</w:t>
            </w:r>
          </w:p>
        </w:tc>
      </w:tr>
      <w:tr>
        <w:trPr>
          <w:cantSplit/>
        </w:trPr>
        <w:tc>
          <w:tcPr>
            <w:tcW w:w="3119" w:type="dxa"/>
          </w:tcPr>
          <w:p>
            <w:pPr>
              <w:pStyle w:val="nTable"/>
              <w:spacing w:after="40"/>
              <w:ind w:right="170"/>
              <w:rPr>
                <w:i/>
              </w:rPr>
            </w:pPr>
            <w:r>
              <w:rPr>
                <w:i/>
              </w:rPr>
              <w:t>Fines, Penalties and Infringement Notices Enforcement Amendment Regulations (No. 2) 1998</w:t>
            </w:r>
          </w:p>
        </w:tc>
        <w:tc>
          <w:tcPr>
            <w:tcW w:w="1276" w:type="dxa"/>
          </w:tcPr>
          <w:p>
            <w:pPr>
              <w:pStyle w:val="nTable"/>
              <w:spacing w:after="40"/>
            </w:pPr>
            <w:r>
              <w:t>28 Aug 1998 p. 4748</w:t>
            </w:r>
            <w:r>
              <w:noBreakHyphen/>
              <w:t>9</w:t>
            </w:r>
          </w:p>
        </w:tc>
        <w:tc>
          <w:tcPr>
            <w:tcW w:w="2693" w:type="dxa"/>
          </w:tcPr>
          <w:p>
            <w:pPr>
              <w:pStyle w:val="nTable"/>
              <w:spacing w:after="40"/>
            </w:pPr>
            <w:r>
              <w:t>28 Aug 1998</w:t>
            </w:r>
          </w:p>
        </w:tc>
      </w:tr>
      <w:tr>
        <w:trPr>
          <w:cantSplit/>
        </w:trPr>
        <w:tc>
          <w:tcPr>
            <w:tcW w:w="3119" w:type="dxa"/>
          </w:tcPr>
          <w:p>
            <w:pPr>
              <w:pStyle w:val="nTable"/>
              <w:spacing w:after="40"/>
              <w:ind w:right="170"/>
              <w:rPr>
                <w:i/>
              </w:rPr>
            </w:pPr>
            <w:r>
              <w:rPr>
                <w:i/>
              </w:rPr>
              <w:t>Fines, Penalties and Infringement Notices Enforcement Amendment Regulations (No. 3) 1998</w:t>
            </w:r>
          </w:p>
        </w:tc>
        <w:tc>
          <w:tcPr>
            <w:tcW w:w="1276" w:type="dxa"/>
          </w:tcPr>
          <w:p>
            <w:pPr>
              <w:pStyle w:val="nTable"/>
              <w:spacing w:after="40"/>
            </w:pPr>
            <w:r>
              <w:t>8 Dec 1998 p. 6573</w:t>
            </w:r>
            <w:r>
              <w:noBreakHyphen/>
              <w:t>4</w:t>
            </w:r>
          </w:p>
        </w:tc>
        <w:tc>
          <w:tcPr>
            <w:tcW w:w="2693" w:type="dxa"/>
          </w:tcPr>
          <w:p>
            <w:pPr>
              <w:pStyle w:val="nTable"/>
              <w:spacing w:after="40"/>
            </w:pPr>
            <w:r>
              <w:t>8 Dec 1998</w:t>
            </w:r>
          </w:p>
        </w:tc>
      </w:tr>
      <w:tr>
        <w:trPr>
          <w:cantSplit/>
        </w:trPr>
        <w:tc>
          <w:tcPr>
            <w:tcW w:w="3119" w:type="dxa"/>
          </w:tcPr>
          <w:p>
            <w:pPr>
              <w:pStyle w:val="nTable"/>
              <w:spacing w:after="40"/>
              <w:ind w:right="170"/>
              <w:rPr>
                <w:i/>
              </w:rPr>
            </w:pPr>
            <w:r>
              <w:rPr>
                <w:i/>
              </w:rPr>
              <w:t>Fines, Penalties and Infringement Notices Amendment Regulations 1999</w:t>
            </w:r>
          </w:p>
        </w:tc>
        <w:tc>
          <w:tcPr>
            <w:tcW w:w="1276" w:type="dxa"/>
          </w:tcPr>
          <w:p>
            <w:pPr>
              <w:pStyle w:val="nTable"/>
              <w:spacing w:after="40"/>
            </w:pPr>
            <w:r>
              <w:t>12 Mar 1999 p. 1162</w:t>
            </w:r>
            <w:r>
              <w:noBreakHyphen/>
              <w:t>3</w:t>
            </w:r>
          </w:p>
        </w:tc>
        <w:tc>
          <w:tcPr>
            <w:tcW w:w="2693" w:type="dxa"/>
          </w:tcPr>
          <w:p>
            <w:pPr>
              <w:pStyle w:val="nTable"/>
              <w:spacing w:after="40"/>
            </w:pPr>
            <w:r>
              <w:t xml:space="preserve">12 Mar 1999 (see r. 2 and </w:t>
            </w:r>
            <w:r>
              <w:rPr>
                <w:i/>
              </w:rPr>
              <w:t>Gazette</w:t>
            </w:r>
            <w:r>
              <w:t xml:space="preserve"> 12 Mar 1999 p. 1162)</w:t>
            </w:r>
          </w:p>
        </w:tc>
      </w:tr>
      <w:tr>
        <w:trPr>
          <w:cantSplit/>
        </w:trPr>
        <w:tc>
          <w:tcPr>
            <w:tcW w:w="3119" w:type="dxa"/>
          </w:tcPr>
          <w:p>
            <w:pPr>
              <w:pStyle w:val="nTable"/>
              <w:spacing w:after="40"/>
              <w:ind w:right="170"/>
              <w:rPr>
                <w:i/>
              </w:rPr>
            </w:pPr>
            <w:r>
              <w:rPr>
                <w:i/>
              </w:rPr>
              <w:t>Fines, Penalties and Infringement Notices Enforcement Amendment Regulations (No. 2) 1999</w:t>
            </w:r>
          </w:p>
        </w:tc>
        <w:tc>
          <w:tcPr>
            <w:tcW w:w="1276" w:type="dxa"/>
          </w:tcPr>
          <w:p>
            <w:pPr>
              <w:pStyle w:val="nTable"/>
              <w:spacing w:after="40"/>
            </w:pPr>
            <w:r>
              <w:t>2 Jul 1999 p. 2919</w:t>
            </w:r>
          </w:p>
        </w:tc>
        <w:tc>
          <w:tcPr>
            <w:tcW w:w="2693" w:type="dxa"/>
          </w:tcPr>
          <w:p>
            <w:pPr>
              <w:pStyle w:val="nTable"/>
              <w:spacing w:after="40"/>
            </w:pPr>
            <w:r>
              <w:t>2 Jul 1999</w:t>
            </w:r>
          </w:p>
        </w:tc>
      </w:tr>
      <w:tr>
        <w:trPr>
          <w:cantSplit/>
        </w:trPr>
        <w:tc>
          <w:tcPr>
            <w:tcW w:w="7088" w:type="dxa"/>
            <w:gridSpan w:val="3"/>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(No. 4) 1999</w:t>
            </w:r>
          </w:p>
        </w:tc>
        <w:tc>
          <w:tcPr>
            <w:tcW w:w="1276" w:type="dxa"/>
          </w:tcPr>
          <w:p>
            <w:pPr>
              <w:pStyle w:val="nTable"/>
              <w:spacing w:after="40"/>
            </w:pPr>
            <w:r>
              <w:t>31 Dec 1999 p. 7075</w:t>
            </w:r>
            <w:r>
              <w:noBreakHyphen/>
              <w:t>6</w:t>
            </w:r>
          </w:p>
        </w:tc>
        <w:tc>
          <w:tcPr>
            <w:tcW w:w="2693" w:type="dxa"/>
          </w:tcPr>
          <w:p>
            <w:pPr>
              <w:pStyle w:val="nTable"/>
              <w:spacing w:after="40"/>
            </w:pPr>
            <w:r>
              <w:t>31 Dec 1999</w:t>
            </w:r>
          </w:p>
        </w:tc>
      </w:tr>
      <w:tr>
        <w:trPr>
          <w:cantSplit/>
        </w:trPr>
        <w:tc>
          <w:tcPr>
            <w:tcW w:w="3119" w:type="dxa"/>
          </w:tcPr>
          <w:p>
            <w:pPr>
              <w:pStyle w:val="nTable"/>
              <w:spacing w:after="40"/>
              <w:ind w:right="170"/>
              <w:rPr>
                <w:i/>
              </w:rPr>
            </w:pPr>
            <w:r>
              <w:rPr>
                <w:i/>
              </w:rPr>
              <w:t>Fines, Penalties and Infringement Notices Enforcement Amendment Regulations (No. 5) 1999</w:t>
            </w:r>
          </w:p>
        </w:tc>
        <w:tc>
          <w:tcPr>
            <w:tcW w:w="1276" w:type="dxa"/>
          </w:tcPr>
          <w:p>
            <w:pPr>
              <w:pStyle w:val="nTable"/>
              <w:spacing w:after="40"/>
            </w:pPr>
            <w:r>
              <w:t>31 Dec 1999 p. 7076</w:t>
            </w:r>
          </w:p>
        </w:tc>
        <w:tc>
          <w:tcPr>
            <w:tcW w:w="2693" w:type="dxa"/>
          </w:tcPr>
          <w:p>
            <w:pPr>
              <w:pStyle w:val="nTable"/>
              <w:spacing w:after="40"/>
            </w:pPr>
            <w:r>
              <w:t>31 Dec 1999</w:t>
            </w:r>
          </w:p>
        </w:tc>
      </w:tr>
      <w:tr>
        <w:trPr>
          <w:cantSplit/>
        </w:trPr>
        <w:tc>
          <w:tcPr>
            <w:tcW w:w="3119" w:type="dxa"/>
          </w:tcPr>
          <w:p>
            <w:pPr>
              <w:pStyle w:val="nTable"/>
              <w:spacing w:after="40"/>
              <w:ind w:right="170"/>
              <w:rPr>
                <w:i/>
              </w:rPr>
            </w:pPr>
            <w:r>
              <w:rPr>
                <w:i/>
              </w:rPr>
              <w:t>Fines, Penalties and Infringement Notices Enforcement Amendment Regulations 2000</w:t>
            </w:r>
          </w:p>
        </w:tc>
        <w:tc>
          <w:tcPr>
            <w:tcW w:w="1276" w:type="dxa"/>
          </w:tcPr>
          <w:p>
            <w:pPr>
              <w:pStyle w:val="nTable"/>
              <w:spacing w:after="40"/>
            </w:pPr>
            <w:r>
              <w:t>25 Aug 2000 p. 4907</w:t>
            </w:r>
            <w:r>
              <w:noBreakHyphen/>
              <w:t>8</w:t>
            </w:r>
          </w:p>
        </w:tc>
        <w:tc>
          <w:tcPr>
            <w:tcW w:w="2693" w:type="dxa"/>
          </w:tcPr>
          <w:p>
            <w:pPr>
              <w:pStyle w:val="nTable"/>
              <w:spacing w:after="40"/>
            </w:pPr>
            <w:r>
              <w:t xml:space="preserve">25 Aug 2000 (see r. 2 and </w:t>
            </w:r>
            <w:r>
              <w:rPr>
                <w:i/>
              </w:rPr>
              <w:t>Gazette</w:t>
            </w:r>
            <w:r>
              <w:t xml:space="preserve"> 25 Aug 2000 p. 4903)</w:t>
            </w:r>
          </w:p>
        </w:tc>
      </w:tr>
      <w:tr>
        <w:trPr>
          <w:cantSplit/>
        </w:trPr>
        <w:tc>
          <w:tcPr>
            <w:tcW w:w="3119" w:type="dxa"/>
          </w:tcPr>
          <w:p>
            <w:pPr>
              <w:pStyle w:val="nTable"/>
              <w:spacing w:after="40"/>
              <w:ind w:right="170"/>
              <w:rPr>
                <w:i/>
              </w:rPr>
            </w:pPr>
            <w:r>
              <w:rPr>
                <w:i/>
              </w:rPr>
              <w:t>Fines, Penalties and Infringement Notices Enforcement Amendment Regulations 2001</w:t>
            </w:r>
          </w:p>
        </w:tc>
        <w:tc>
          <w:tcPr>
            <w:tcW w:w="1276" w:type="dxa"/>
          </w:tcPr>
          <w:p>
            <w:pPr>
              <w:pStyle w:val="nTable"/>
              <w:spacing w:after="40"/>
            </w:pPr>
            <w:r>
              <w:t>30 Jan 2001 p. 617</w:t>
            </w:r>
            <w:r>
              <w:noBreakHyphen/>
              <w:t>18</w:t>
            </w:r>
          </w:p>
        </w:tc>
        <w:tc>
          <w:tcPr>
            <w:tcW w:w="2693" w:type="dxa"/>
          </w:tcPr>
          <w:p>
            <w:pPr>
              <w:pStyle w:val="nTable"/>
              <w:spacing w:after="40"/>
              <w:rPr>
                <w:i/>
              </w:rPr>
            </w:pPr>
            <w:r>
              <w:t xml:space="preserve">5 Feb 2001 (see r. 2 and </w:t>
            </w:r>
            <w:r>
              <w:rPr>
                <w:i/>
              </w:rPr>
              <w:t xml:space="preserve">Gazette </w:t>
            </w:r>
            <w:r>
              <w:t>30 Jan 2001 p. 615)</w:t>
            </w:r>
          </w:p>
        </w:tc>
      </w:tr>
      <w:tr>
        <w:trPr>
          <w:cantSplit/>
        </w:trPr>
        <w:tc>
          <w:tcPr>
            <w:tcW w:w="3119" w:type="dxa"/>
          </w:tcPr>
          <w:p>
            <w:pPr>
              <w:pStyle w:val="nTable"/>
              <w:spacing w:after="40"/>
              <w:ind w:right="170"/>
              <w:rPr>
                <w:i/>
              </w:rPr>
            </w:pPr>
            <w:r>
              <w:rPr>
                <w:i/>
              </w:rPr>
              <w:t>Fines, Penalties and Infringement Notices Enforcement Amendment Regulations 2002</w:t>
            </w:r>
          </w:p>
        </w:tc>
        <w:tc>
          <w:tcPr>
            <w:tcW w:w="1276" w:type="dxa"/>
          </w:tcPr>
          <w:p>
            <w:pPr>
              <w:pStyle w:val="nTable"/>
              <w:spacing w:after="40"/>
            </w:pPr>
            <w:r>
              <w:t>27 Aug 2002 p. 4353</w:t>
            </w:r>
            <w:r>
              <w:noBreakHyphen/>
              <w:t>4</w:t>
            </w:r>
          </w:p>
        </w:tc>
        <w:tc>
          <w:tcPr>
            <w:tcW w:w="2693" w:type="dxa"/>
          </w:tcPr>
          <w:p>
            <w:pPr>
              <w:pStyle w:val="nTable"/>
              <w:spacing w:after="40"/>
            </w:pPr>
            <w:r>
              <w:t>27 Aug 2002</w:t>
            </w:r>
          </w:p>
        </w:tc>
      </w:tr>
      <w:tr>
        <w:trPr>
          <w:cantSplit/>
        </w:trPr>
        <w:tc>
          <w:tcPr>
            <w:tcW w:w="3119" w:type="dxa"/>
          </w:tcPr>
          <w:p>
            <w:pPr>
              <w:pStyle w:val="nTable"/>
              <w:spacing w:after="40"/>
              <w:ind w:right="170"/>
              <w:rPr>
                <w:i/>
              </w:rPr>
            </w:pPr>
            <w:r>
              <w:rPr>
                <w:i/>
              </w:rPr>
              <w:t>Fines, Penalties and Infringement Notices Enforcement Amendment Regulations 2003</w:t>
            </w:r>
          </w:p>
        </w:tc>
        <w:tc>
          <w:tcPr>
            <w:tcW w:w="1276" w:type="dxa"/>
          </w:tcPr>
          <w:p>
            <w:pPr>
              <w:pStyle w:val="nTable"/>
              <w:spacing w:after="40"/>
            </w:pPr>
            <w:r>
              <w:t>12 Dec 2003 p. 5036</w:t>
            </w:r>
            <w:r>
              <w:noBreakHyphen/>
              <w:t>7</w:t>
            </w:r>
          </w:p>
        </w:tc>
        <w:tc>
          <w:tcPr>
            <w:tcW w:w="2693" w:type="dxa"/>
          </w:tcPr>
          <w:p>
            <w:pPr>
              <w:pStyle w:val="nTable"/>
              <w:spacing w:after="40"/>
            </w:pPr>
            <w:r>
              <w:t>12 Dec 2003</w:t>
            </w:r>
          </w:p>
        </w:tc>
      </w:tr>
      <w:tr>
        <w:trPr>
          <w:cantSplit/>
        </w:trPr>
        <w:tc>
          <w:tcPr>
            <w:tcW w:w="3119" w:type="dxa"/>
          </w:tcPr>
          <w:p>
            <w:pPr>
              <w:pStyle w:val="nTable"/>
              <w:spacing w:after="40"/>
              <w:ind w:right="170"/>
              <w:rPr>
                <w:i/>
              </w:rPr>
            </w:pPr>
            <w:r>
              <w:rPr>
                <w:i/>
              </w:rPr>
              <w:t>Fines, Penalties and Infringement Notices Enforcement Amendment Regulations (No. 2) 2003</w:t>
            </w:r>
          </w:p>
        </w:tc>
        <w:tc>
          <w:tcPr>
            <w:tcW w:w="1276" w:type="dxa"/>
          </w:tcPr>
          <w:p>
            <w:pPr>
              <w:pStyle w:val="nTable"/>
              <w:spacing w:after="40"/>
            </w:pPr>
            <w:r>
              <w:t>30 Dec 2003 p. 5715</w:t>
            </w:r>
            <w:r>
              <w:noBreakHyphen/>
              <w:t>16</w:t>
            </w:r>
          </w:p>
        </w:tc>
        <w:tc>
          <w:tcPr>
            <w:tcW w:w="2693" w:type="dxa"/>
          </w:tcPr>
          <w:p>
            <w:pPr>
              <w:pStyle w:val="nTable"/>
              <w:spacing w:after="40"/>
            </w:pPr>
            <w:r>
              <w:t>1 Jan 2004 (see r. 2)</w:t>
            </w:r>
          </w:p>
        </w:tc>
      </w:tr>
      <w:tr>
        <w:trPr>
          <w:cantSplit/>
        </w:trPr>
        <w:tc>
          <w:tcPr>
            <w:tcW w:w="3119" w:type="dxa"/>
          </w:tcPr>
          <w:p>
            <w:pPr>
              <w:pStyle w:val="nTable"/>
              <w:spacing w:after="40"/>
              <w:ind w:right="170"/>
              <w:rPr>
                <w:i/>
              </w:rPr>
            </w:pPr>
            <w:r>
              <w:rPr>
                <w:i/>
              </w:rPr>
              <w:t>Fines, Penalties and Infringement Notices Enforcement Amendment Regulations 2004</w:t>
            </w:r>
          </w:p>
        </w:tc>
        <w:tc>
          <w:tcPr>
            <w:tcW w:w="1276" w:type="dxa"/>
          </w:tcPr>
          <w:p>
            <w:pPr>
              <w:pStyle w:val="nTable"/>
              <w:spacing w:after="40"/>
            </w:pPr>
            <w:r>
              <w:t>4 Jun 2004 p. 1933</w:t>
            </w:r>
          </w:p>
        </w:tc>
        <w:tc>
          <w:tcPr>
            <w:tcW w:w="2693" w:type="dxa"/>
          </w:tcPr>
          <w:p>
            <w:pPr>
              <w:pStyle w:val="nTable"/>
              <w:spacing w:after="40"/>
            </w:pPr>
            <w:r>
              <w:t>4 Jun 2004</w:t>
            </w:r>
          </w:p>
        </w:tc>
      </w:tr>
      <w:tr>
        <w:trPr>
          <w:cantSplit/>
        </w:trPr>
        <w:tc>
          <w:tcPr>
            <w:tcW w:w="7088" w:type="dxa"/>
            <w:gridSpan w:val="3"/>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2005</w:t>
            </w:r>
          </w:p>
        </w:tc>
        <w:tc>
          <w:tcPr>
            <w:tcW w:w="1276" w:type="dxa"/>
          </w:tcPr>
          <w:p>
            <w:pPr>
              <w:pStyle w:val="nTable"/>
              <w:spacing w:after="40"/>
            </w:pPr>
            <w:r>
              <w:t>13 May 2005 p. 2079</w:t>
            </w:r>
            <w:r>
              <w:noBreakHyphen/>
              <w:t xml:space="preserve">82 </w:t>
            </w:r>
            <w:r>
              <w:br/>
              <w:t>(as amended 30 Dec 2005 p. 6875</w:t>
            </w:r>
            <w:r>
              <w:noBreakHyphen/>
              <w:t>6)</w:t>
            </w:r>
          </w:p>
        </w:tc>
        <w:tc>
          <w:tcPr>
            <w:tcW w:w="2693" w:type="dxa"/>
          </w:tcPr>
          <w:p>
            <w:pPr>
              <w:pStyle w:val="nTable"/>
              <w:spacing w:after="40"/>
            </w:pPr>
            <w:r>
              <w:t>13 May 2005</w:t>
            </w:r>
          </w:p>
        </w:tc>
      </w:tr>
      <w:tr>
        <w:trPr>
          <w:cantSplit/>
        </w:trPr>
        <w:tc>
          <w:tcPr>
            <w:tcW w:w="3119" w:type="dxa"/>
          </w:tcPr>
          <w:p>
            <w:pPr>
              <w:pStyle w:val="nTable"/>
              <w:spacing w:after="40"/>
              <w:ind w:right="170"/>
              <w:rPr>
                <w:i/>
              </w:rPr>
            </w:pPr>
            <w:r>
              <w:rPr>
                <w:i/>
              </w:rPr>
              <w:t>Fines, Penalties and Infringement Notices Enforcement Amendment Regulations (No. 2) 2005</w:t>
            </w:r>
          </w:p>
        </w:tc>
        <w:tc>
          <w:tcPr>
            <w:tcW w:w="1276" w:type="dxa"/>
          </w:tcPr>
          <w:p>
            <w:pPr>
              <w:pStyle w:val="nTable"/>
              <w:spacing w:after="40"/>
            </w:pPr>
            <w:r>
              <w:t>9 Sep 2005 p. 4155</w:t>
            </w:r>
            <w:r>
              <w:noBreakHyphen/>
              <w:t>6</w:t>
            </w:r>
          </w:p>
        </w:tc>
        <w:tc>
          <w:tcPr>
            <w:tcW w:w="2693" w:type="dxa"/>
          </w:tcPr>
          <w:p>
            <w:pPr>
              <w:pStyle w:val="nTable"/>
              <w:spacing w:after="40"/>
            </w:pPr>
            <w:r>
              <w:t>9 Sep 2005</w:t>
            </w:r>
          </w:p>
        </w:tc>
      </w:tr>
      <w:tr>
        <w:trPr>
          <w:cantSplit/>
        </w:trPr>
        <w:tc>
          <w:tcPr>
            <w:tcW w:w="3119" w:type="dxa"/>
          </w:tcPr>
          <w:p>
            <w:pPr>
              <w:pStyle w:val="nTable"/>
              <w:spacing w:after="40"/>
              <w:ind w:right="170"/>
              <w:rPr>
                <w:i/>
              </w:rPr>
            </w:pPr>
            <w:r>
              <w:rPr>
                <w:i/>
              </w:rPr>
              <w:t>Fines, Penalties and Infringement Notices Enforcement Amendment Regulations (No. 4) 2005</w:t>
            </w:r>
          </w:p>
        </w:tc>
        <w:tc>
          <w:tcPr>
            <w:tcW w:w="1276" w:type="dxa"/>
          </w:tcPr>
          <w:p>
            <w:pPr>
              <w:pStyle w:val="nTable"/>
              <w:spacing w:after="40"/>
            </w:pPr>
            <w:r>
              <w:t>30 Dec 2005 p. 6876</w:t>
            </w:r>
            <w:r>
              <w:noBreakHyphen/>
              <w:t>7</w:t>
            </w:r>
          </w:p>
        </w:tc>
        <w:tc>
          <w:tcPr>
            <w:tcW w:w="2693" w:type="dxa"/>
          </w:tcPr>
          <w:p>
            <w:pPr>
              <w:pStyle w:val="nTable"/>
              <w:spacing w:after="40"/>
            </w:pPr>
            <w:r>
              <w:t>30 Dec 2005</w:t>
            </w:r>
          </w:p>
        </w:tc>
      </w:tr>
      <w:tr>
        <w:trPr>
          <w:cantSplit/>
        </w:trPr>
        <w:tc>
          <w:tcPr>
            <w:tcW w:w="3119" w:type="dxa"/>
          </w:tcPr>
          <w:p>
            <w:pPr>
              <w:pStyle w:val="nTable"/>
              <w:spacing w:after="40"/>
              <w:ind w:right="170"/>
              <w:rPr>
                <w:i/>
              </w:rPr>
            </w:pPr>
            <w:r>
              <w:rPr>
                <w:i/>
              </w:rPr>
              <w:t>Fines, Penalties and Infringement Notices Enforcement Amendment Regulations (No. 2) 2006</w:t>
            </w:r>
          </w:p>
        </w:tc>
        <w:tc>
          <w:tcPr>
            <w:tcW w:w="1276" w:type="dxa"/>
          </w:tcPr>
          <w:p>
            <w:pPr>
              <w:pStyle w:val="nTable"/>
              <w:spacing w:after="40"/>
            </w:pPr>
            <w:r>
              <w:t>23 Jun 2006 p. 2191</w:t>
            </w:r>
            <w:r>
              <w:noBreakHyphen/>
              <w:t>2</w:t>
            </w:r>
          </w:p>
        </w:tc>
        <w:tc>
          <w:tcPr>
            <w:tcW w:w="2693" w:type="dxa"/>
          </w:tcPr>
          <w:p>
            <w:pPr>
              <w:pStyle w:val="nTable"/>
              <w:spacing w:after="40"/>
            </w:pPr>
            <w:r>
              <w:t>1 Jul 2006 (see r. 2)</w:t>
            </w:r>
          </w:p>
        </w:tc>
      </w:tr>
      <w:tr>
        <w:trPr>
          <w:cantSplit/>
        </w:trPr>
        <w:tc>
          <w:tcPr>
            <w:tcW w:w="3119" w:type="dxa"/>
          </w:tcPr>
          <w:p>
            <w:pPr>
              <w:pStyle w:val="nTable"/>
              <w:spacing w:after="40"/>
              <w:ind w:right="170"/>
              <w:rPr>
                <w:i/>
              </w:rPr>
            </w:pPr>
            <w:r>
              <w:rPr>
                <w:i/>
              </w:rPr>
              <w:t>Fines, Penalties and Infringement Notices Enforcement Amendment Regulations 2006</w:t>
            </w:r>
          </w:p>
        </w:tc>
        <w:tc>
          <w:tcPr>
            <w:tcW w:w="1276" w:type="dxa"/>
          </w:tcPr>
          <w:p>
            <w:pPr>
              <w:pStyle w:val="nTable"/>
              <w:spacing w:after="40"/>
            </w:pPr>
            <w:r>
              <w:t>14 Jul 2006 p. 2563</w:t>
            </w:r>
            <w:r>
              <w:noBreakHyphen/>
              <w:t>4</w:t>
            </w:r>
          </w:p>
        </w:tc>
        <w:tc>
          <w:tcPr>
            <w:tcW w:w="2693" w:type="dxa"/>
          </w:tcPr>
          <w:p>
            <w:pPr>
              <w:pStyle w:val="nTable"/>
              <w:spacing w:after="40"/>
            </w:pPr>
            <w:r>
              <w:t xml:space="preserve">14 Jul 2006 (see r. 2 and </w:t>
            </w:r>
            <w:r>
              <w:rPr>
                <w:i/>
              </w:rPr>
              <w:t>Gazette</w:t>
            </w:r>
            <w:r>
              <w:t xml:space="preserve"> 14 Jul 2006 p. 2575)</w:t>
            </w:r>
          </w:p>
        </w:tc>
      </w:tr>
      <w:tr>
        <w:trPr>
          <w:cantSplit/>
        </w:trPr>
        <w:tc>
          <w:tcPr>
            <w:tcW w:w="7088" w:type="dxa"/>
            <w:gridSpan w:val="3"/>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2007</w:t>
            </w:r>
          </w:p>
        </w:tc>
        <w:tc>
          <w:tcPr>
            <w:tcW w:w="1276" w:type="dxa"/>
          </w:tcPr>
          <w:p>
            <w:pPr>
              <w:pStyle w:val="nTable"/>
              <w:spacing w:after="40"/>
            </w:pPr>
            <w:r>
              <w:t>18 May 2007 p. 2257</w:t>
            </w:r>
          </w:p>
        </w:tc>
        <w:tc>
          <w:tcPr>
            <w:tcW w:w="2693" w:type="dxa"/>
          </w:tcPr>
          <w:p>
            <w:pPr>
              <w:pStyle w:val="nTable"/>
              <w:spacing w:after="40"/>
            </w:pPr>
            <w:r>
              <w:t>r. 1 and 2: 18 May 2007 (see r. 2(a));</w:t>
            </w:r>
            <w:r>
              <w:br/>
              <w:t>Regulations other than r. 1 and 2: 19 May 2007 (see r. 2(b))</w:t>
            </w:r>
          </w:p>
        </w:tc>
      </w:tr>
      <w:tr>
        <w:trPr>
          <w:cantSplit/>
        </w:trPr>
        <w:tc>
          <w:tcPr>
            <w:tcW w:w="3119" w:type="dxa"/>
          </w:tcPr>
          <w:p>
            <w:pPr>
              <w:pStyle w:val="nTable"/>
              <w:spacing w:after="40"/>
              <w:ind w:right="170"/>
              <w:rPr>
                <w:i/>
              </w:rPr>
            </w:pPr>
            <w:r>
              <w:rPr>
                <w:i/>
              </w:rPr>
              <w:t>Fines, Penalties and Infringement Notices Enforcement Amendment Regulations (No. 2) 2007</w:t>
            </w:r>
          </w:p>
        </w:tc>
        <w:tc>
          <w:tcPr>
            <w:tcW w:w="1276" w:type="dxa"/>
          </w:tcPr>
          <w:p>
            <w:pPr>
              <w:pStyle w:val="nTable"/>
              <w:spacing w:after="40"/>
            </w:pPr>
            <w:r>
              <w:t>26 Jun 2007 p. 3031</w:t>
            </w:r>
            <w:r>
              <w:noBreakHyphen/>
              <w:t>2</w:t>
            </w:r>
          </w:p>
        </w:tc>
        <w:tc>
          <w:tcPr>
            <w:tcW w:w="2693" w:type="dxa"/>
          </w:tcPr>
          <w:p>
            <w:pPr>
              <w:pStyle w:val="nTable"/>
              <w:spacing w:after="40"/>
            </w:pPr>
            <w:r>
              <w:t>r. 1 and 2: 26 Jun 2007 (see r. 2(a));</w:t>
            </w:r>
            <w:r>
              <w:br/>
              <w:t>Regulations other than r. 1 and 2: 1 Jul 2007 (see r. 2(b))</w:t>
            </w:r>
          </w:p>
        </w:tc>
      </w:tr>
      <w:tr>
        <w:trPr>
          <w:cantSplit/>
        </w:trPr>
        <w:tc>
          <w:tcPr>
            <w:tcW w:w="3119" w:type="dxa"/>
          </w:tcPr>
          <w:p>
            <w:pPr>
              <w:pStyle w:val="nTable"/>
              <w:spacing w:after="40"/>
              <w:ind w:right="170"/>
              <w:rPr>
                <w:i/>
              </w:rPr>
            </w:pPr>
            <w:r>
              <w:rPr>
                <w:i/>
              </w:rPr>
              <w:t>Fines, Penalties and Infringement Notices Enforcement Amendment Regulations (No. 2) 2008</w:t>
            </w:r>
          </w:p>
        </w:tc>
        <w:tc>
          <w:tcPr>
            <w:tcW w:w="1276" w:type="dxa"/>
          </w:tcPr>
          <w:p>
            <w:pPr>
              <w:pStyle w:val="nTable"/>
              <w:spacing w:after="40"/>
            </w:pPr>
            <w:r>
              <w:t>11 Mar 2008 p. 818</w:t>
            </w:r>
            <w:r>
              <w:noBreakHyphen/>
              <w:t>19</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rPr>
          <w:cantSplit/>
        </w:trPr>
        <w:tc>
          <w:tcPr>
            <w:tcW w:w="3119" w:type="dxa"/>
          </w:tcPr>
          <w:p>
            <w:pPr>
              <w:pStyle w:val="nTable"/>
              <w:spacing w:after="40"/>
              <w:ind w:right="170"/>
              <w:rPr>
                <w:i/>
              </w:rPr>
            </w:pPr>
            <w:r>
              <w:rPr>
                <w:i/>
              </w:rPr>
              <w:t>Fines, Penalties and Infringement Notices Enforcement Amendment Regulations (No. 3) 2008</w:t>
            </w:r>
          </w:p>
        </w:tc>
        <w:tc>
          <w:tcPr>
            <w:tcW w:w="1276" w:type="dxa"/>
          </w:tcPr>
          <w:p>
            <w:pPr>
              <w:pStyle w:val="nTable"/>
              <w:spacing w:after="40"/>
            </w:pPr>
            <w:r>
              <w:t>27 Mar 2008 p. 903</w:t>
            </w:r>
            <w:r>
              <w:noBreakHyphen/>
              <w:t>4</w:t>
            </w:r>
          </w:p>
        </w:tc>
        <w:tc>
          <w:tcPr>
            <w:tcW w:w="2693" w:type="dxa"/>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cantSplit/>
        </w:trPr>
        <w:tc>
          <w:tcPr>
            <w:tcW w:w="3119" w:type="dxa"/>
          </w:tcPr>
          <w:p>
            <w:pPr>
              <w:pStyle w:val="nTable"/>
              <w:spacing w:after="40"/>
              <w:ind w:right="170"/>
              <w:rPr>
                <w:i/>
              </w:rPr>
            </w:pPr>
            <w:r>
              <w:rPr>
                <w:i/>
              </w:rPr>
              <w:t>Fines, Penalties and Infringement Notices Enforcement Amendment Regulations (No. 5) 2008</w:t>
            </w:r>
          </w:p>
        </w:tc>
        <w:tc>
          <w:tcPr>
            <w:tcW w:w="1276" w:type="dxa"/>
          </w:tcPr>
          <w:p>
            <w:pPr>
              <w:pStyle w:val="nTable"/>
              <w:spacing w:after="40"/>
            </w:pPr>
            <w:r>
              <w:t>4 Jul 2008 p. 3171</w:t>
            </w:r>
          </w:p>
        </w:tc>
        <w:tc>
          <w:tcPr>
            <w:tcW w:w="2693" w:type="dxa"/>
          </w:tcPr>
          <w:p>
            <w:pPr>
              <w:pStyle w:val="nTable"/>
              <w:spacing w:after="40"/>
              <w:rPr>
                <w:snapToGrid w:val="0"/>
              </w:rPr>
            </w:pPr>
            <w:r>
              <w:rPr>
                <w:snapToGrid w:val="0"/>
              </w:rPr>
              <w:t>r. 1 and 2: 4 Jul 2008 (see r. 2(a));</w:t>
            </w:r>
            <w:r>
              <w:rPr>
                <w:snapToGrid w:val="0"/>
              </w:rPr>
              <w:br/>
              <w:t>Regulations other than r. 1 and 2: 5 Jul 2008 (see r. 2(b))</w:t>
            </w:r>
          </w:p>
        </w:tc>
      </w:tr>
      <w:tr>
        <w:trPr>
          <w:cantSplit/>
        </w:trPr>
        <w:tc>
          <w:tcPr>
            <w:tcW w:w="7088" w:type="dxa"/>
            <w:gridSpan w:val="3"/>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2009</w:t>
            </w:r>
          </w:p>
        </w:tc>
        <w:tc>
          <w:tcPr>
            <w:tcW w:w="1276" w:type="dxa"/>
          </w:tcPr>
          <w:p>
            <w:pPr>
              <w:pStyle w:val="nTable"/>
              <w:spacing w:after="40"/>
            </w:pPr>
            <w:r>
              <w:t>23 Jun 2009 p. 2466</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3119" w:type="dxa"/>
          </w:tcPr>
          <w:p>
            <w:pPr>
              <w:pStyle w:val="nTable"/>
              <w:spacing w:after="40"/>
              <w:ind w:right="170"/>
              <w:rPr>
                <w:i/>
              </w:rPr>
            </w:pPr>
            <w:r>
              <w:rPr>
                <w:i/>
              </w:rPr>
              <w:t>Fines, Penalties and Infringement Notices Enforcement Amendment Regulations (No. 2) 2009</w:t>
            </w:r>
          </w:p>
        </w:tc>
        <w:tc>
          <w:tcPr>
            <w:tcW w:w="1276" w:type="dxa"/>
          </w:tcPr>
          <w:p>
            <w:pPr>
              <w:pStyle w:val="nTable"/>
              <w:spacing w:after="40"/>
            </w:pPr>
            <w:r>
              <w:t>29 Jan 2010 p. 199-200</w:t>
            </w:r>
          </w:p>
        </w:tc>
        <w:tc>
          <w:tcPr>
            <w:tcW w:w="2693" w:type="dxa"/>
          </w:tcPr>
          <w:p>
            <w:pPr>
              <w:pStyle w:val="nTable"/>
              <w:spacing w:after="40"/>
              <w:rPr>
                <w:snapToGrid w:val="0"/>
              </w:rPr>
            </w:pPr>
            <w:r>
              <w:rPr>
                <w:snapToGrid w:val="0"/>
              </w:rPr>
              <w:t>r. 1 and 2: 29 Jan 2010 (see r. 2(a));</w:t>
            </w:r>
            <w:r>
              <w:rPr>
                <w:snapToGrid w:val="0"/>
              </w:rPr>
              <w:br/>
              <w:t>Regulations other than r. 1 and 2: 30 Jan 2010 (see r. 2(b))</w:t>
            </w:r>
          </w:p>
        </w:tc>
      </w:tr>
      <w:tr>
        <w:trPr>
          <w:cantSplit/>
        </w:trPr>
        <w:tc>
          <w:tcPr>
            <w:tcW w:w="3119" w:type="dxa"/>
          </w:tcPr>
          <w:p>
            <w:pPr>
              <w:pStyle w:val="nTable"/>
              <w:spacing w:after="40"/>
              <w:ind w:right="170"/>
              <w:rPr>
                <w:i/>
              </w:rPr>
            </w:pPr>
            <w:r>
              <w:rPr>
                <w:i/>
              </w:rPr>
              <w:t>Fines, Penalties and Infringement Notices Enforcement Amendment Regulations 2010</w:t>
            </w:r>
          </w:p>
        </w:tc>
        <w:tc>
          <w:tcPr>
            <w:tcW w:w="1276" w:type="dxa"/>
          </w:tcPr>
          <w:p>
            <w:pPr>
              <w:pStyle w:val="nTable"/>
              <w:spacing w:after="40"/>
            </w:pPr>
            <w:r>
              <w:t>25 Jun 2010 p. 2869</w:t>
            </w:r>
          </w:p>
        </w:tc>
        <w:tc>
          <w:tcPr>
            <w:tcW w:w="2693" w:type="dxa"/>
          </w:tcPr>
          <w:p>
            <w:pPr>
              <w:pStyle w:val="nTable"/>
              <w:spacing w:after="40"/>
              <w:rPr>
                <w:snapToGrid w:val="0"/>
              </w:rPr>
            </w:pPr>
            <w:r>
              <w:rPr>
                <w:snapToGrid w:val="0"/>
              </w:rPr>
              <w:t>r. 1 and 2: 25 Jun 2010 (see r. 2(a));</w:t>
            </w:r>
            <w:r>
              <w:rPr>
                <w:snapToGrid w:val="0"/>
              </w:rPr>
              <w:br/>
              <w:t>Regulations other than r. 1 and 2: 26 Jun 2010 (see r. 2(b))</w:t>
            </w:r>
          </w:p>
        </w:tc>
      </w:tr>
      <w:tr>
        <w:trPr>
          <w:cantSplit/>
        </w:trPr>
        <w:tc>
          <w:tcPr>
            <w:tcW w:w="3119" w:type="dxa"/>
          </w:tcPr>
          <w:p>
            <w:pPr>
              <w:pStyle w:val="nTable"/>
              <w:spacing w:after="40"/>
              <w:ind w:right="170"/>
              <w:rPr>
                <w:i/>
              </w:rPr>
            </w:pPr>
            <w:r>
              <w:rPr>
                <w:i/>
              </w:rPr>
              <w:t>Fines, Penalties and Infringement Notices Enforcement Amendment Regulations (No. 2) 2010</w:t>
            </w:r>
          </w:p>
        </w:tc>
        <w:tc>
          <w:tcPr>
            <w:tcW w:w="1276" w:type="dxa"/>
          </w:tcPr>
          <w:p>
            <w:pPr>
              <w:pStyle w:val="nTable"/>
              <w:spacing w:after="40"/>
            </w:pPr>
            <w:r>
              <w:t>17 Sep 2010 p. 4759</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70"/>
              <w:rPr>
                <w:i/>
              </w:rPr>
            </w:pPr>
            <w:r>
              <w:rPr>
                <w:i/>
              </w:rPr>
              <w:t>Fines, Penalties and Infringement Notices Enforcement Amendment Regulations 2011</w:t>
            </w:r>
          </w:p>
        </w:tc>
        <w:tc>
          <w:tcPr>
            <w:tcW w:w="1276" w:type="dxa"/>
          </w:tcPr>
          <w:p>
            <w:pPr>
              <w:pStyle w:val="nTable"/>
              <w:spacing w:after="40"/>
            </w:pPr>
            <w:r>
              <w:t>17 Jun 2011 p. 2169</w:t>
            </w:r>
          </w:p>
        </w:tc>
        <w:tc>
          <w:tcPr>
            <w:tcW w:w="2693" w:type="dxa"/>
          </w:tcPr>
          <w:p>
            <w:pPr>
              <w:pStyle w:val="nTable"/>
              <w:spacing w:after="40"/>
              <w:rPr>
                <w:snapToGrid w:val="0"/>
              </w:rPr>
            </w:pPr>
            <w:r>
              <w:rPr>
                <w:snapToGrid w:val="0"/>
              </w:rPr>
              <w:t>r. 1 and 2: 17 Jun 2011 (see r. 2(a));</w:t>
            </w:r>
            <w:r>
              <w:rPr>
                <w:snapToGrid w:val="0"/>
              </w:rPr>
              <w:br/>
              <w:t>Regulations other than r. 1 and 2: 18 Jun 2011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2011</w:t>
            </w:r>
          </w:p>
        </w:tc>
        <w:tc>
          <w:tcPr>
            <w:tcW w:w="1276" w:type="dxa"/>
            <w:shd w:val="clear" w:color="auto" w:fill="auto"/>
          </w:tcPr>
          <w:p>
            <w:pPr>
              <w:pStyle w:val="nTable"/>
              <w:spacing w:after="40"/>
            </w:pPr>
            <w:r>
              <w:t>13 Dec 2011 p. 5281</w:t>
            </w:r>
            <w:r>
              <w:noBreakHyphen/>
              <w:t>2</w:t>
            </w:r>
          </w:p>
        </w:tc>
        <w:tc>
          <w:tcPr>
            <w:tcW w:w="2693" w:type="dxa"/>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cantSplit/>
        </w:trPr>
        <w:tc>
          <w:tcPr>
            <w:tcW w:w="7088" w:type="dxa"/>
            <w:gridSpan w:val="3"/>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2012</w:t>
            </w:r>
          </w:p>
        </w:tc>
        <w:tc>
          <w:tcPr>
            <w:tcW w:w="1276" w:type="dxa"/>
            <w:shd w:val="clear" w:color="auto" w:fill="auto"/>
          </w:tcPr>
          <w:p>
            <w:pPr>
              <w:pStyle w:val="nTable"/>
              <w:spacing w:after="40"/>
            </w:pPr>
            <w:r>
              <w:t>16 Mar 2012 p. 1255</w:t>
            </w:r>
            <w:r>
              <w:noBreakHyphen/>
              <w:t>6</w:t>
            </w:r>
          </w:p>
        </w:tc>
        <w:tc>
          <w:tcPr>
            <w:tcW w:w="2693" w:type="dxa"/>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2011</w:t>
            </w:r>
          </w:p>
        </w:tc>
        <w:tc>
          <w:tcPr>
            <w:tcW w:w="1276" w:type="dxa"/>
            <w:shd w:val="clear" w:color="auto" w:fill="auto"/>
          </w:tcPr>
          <w:p>
            <w:pPr>
              <w:pStyle w:val="nTable"/>
              <w:spacing w:after="40"/>
            </w:pPr>
            <w:r>
              <w:t>23 Mar 2012 p. 1369</w:t>
            </w:r>
            <w:r>
              <w:noBreakHyphen/>
              <w:t>70</w:t>
            </w:r>
          </w:p>
        </w:tc>
        <w:tc>
          <w:tcPr>
            <w:tcW w:w="2693" w:type="dxa"/>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2012</w:t>
            </w:r>
          </w:p>
        </w:tc>
        <w:tc>
          <w:tcPr>
            <w:tcW w:w="1276" w:type="dxa"/>
            <w:shd w:val="clear" w:color="auto" w:fill="auto"/>
          </w:tcPr>
          <w:p>
            <w:pPr>
              <w:pStyle w:val="nTable"/>
              <w:spacing w:after="40"/>
            </w:pPr>
            <w:r>
              <w:t>8 Jun 2012 p. 2385</w:t>
            </w:r>
            <w:r>
              <w:noBreakHyphen/>
              <w:t>6</w:t>
            </w:r>
          </w:p>
        </w:tc>
        <w:tc>
          <w:tcPr>
            <w:tcW w:w="2693" w:type="dxa"/>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2012</w:t>
            </w:r>
          </w:p>
        </w:tc>
        <w:tc>
          <w:tcPr>
            <w:tcW w:w="1276" w:type="dxa"/>
            <w:shd w:val="clear" w:color="auto" w:fill="auto"/>
          </w:tcPr>
          <w:p>
            <w:pPr>
              <w:pStyle w:val="nTable"/>
              <w:spacing w:after="40"/>
            </w:pPr>
            <w:r>
              <w:t>23 Nov 2012 p. 5721</w:t>
            </w:r>
          </w:p>
        </w:tc>
        <w:tc>
          <w:tcPr>
            <w:tcW w:w="2693" w:type="dxa"/>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2013</w:t>
            </w:r>
          </w:p>
        </w:tc>
        <w:tc>
          <w:tcPr>
            <w:tcW w:w="1276" w:type="dxa"/>
            <w:shd w:val="clear" w:color="auto" w:fill="auto"/>
          </w:tcPr>
          <w:p>
            <w:pPr>
              <w:pStyle w:val="nTable"/>
              <w:spacing w:after="40"/>
            </w:pPr>
            <w:r>
              <w:t>5 Feb 2013 p. 835</w:t>
            </w:r>
            <w:r>
              <w:noBreakHyphen/>
              <w:t>6</w:t>
            </w:r>
          </w:p>
        </w:tc>
        <w:tc>
          <w:tcPr>
            <w:tcW w:w="2693" w:type="dxa"/>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2013</w:t>
            </w:r>
          </w:p>
        </w:tc>
        <w:tc>
          <w:tcPr>
            <w:tcW w:w="1276" w:type="dxa"/>
            <w:shd w:val="clear" w:color="auto" w:fill="auto"/>
          </w:tcPr>
          <w:p>
            <w:pPr>
              <w:pStyle w:val="nTable"/>
              <w:spacing w:after="40"/>
            </w:pPr>
            <w:r>
              <w:t>10 May 2013 p. 1936</w:t>
            </w:r>
            <w:r>
              <w:noBreakHyphen/>
              <w:t>7</w:t>
            </w:r>
          </w:p>
        </w:tc>
        <w:tc>
          <w:tcPr>
            <w:tcW w:w="2693" w:type="dxa"/>
            <w:shd w:val="clear" w:color="auto" w:fill="auto"/>
          </w:tcPr>
          <w:p>
            <w:pPr>
              <w:pStyle w:val="nTable"/>
              <w:spacing w:after="40"/>
              <w:rPr>
                <w:rFonts w:ascii="Arial" w:hAnsi="Arial"/>
                <w:snapToGrid w:val="0"/>
              </w:rPr>
            </w:pPr>
            <w:r>
              <w:rPr>
                <w:snapToGrid w:val="0"/>
              </w:rPr>
              <w:t>r. 1 and 2: 10 May 2013 (see r. 2(a));</w:t>
            </w:r>
            <w:r>
              <w:rPr>
                <w:snapToGrid w:val="0"/>
              </w:rPr>
              <w:br/>
              <w:t>Regulations other than r. 1 and 2: 11 May 2013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2013</w:t>
            </w:r>
          </w:p>
        </w:tc>
        <w:tc>
          <w:tcPr>
            <w:tcW w:w="1276" w:type="dxa"/>
            <w:shd w:val="clear" w:color="auto" w:fill="auto"/>
          </w:tcPr>
          <w:p>
            <w:pPr>
              <w:pStyle w:val="nTable"/>
              <w:spacing w:after="40"/>
            </w:pPr>
            <w:r>
              <w:t>20 Aug 2013 p. 3877</w:t>
            </w:r>
            <w:r>
              <w:noBreakHyphen/>
              <w:t>94</w:t>
            </w:r>
          </w:p>
        </w:tc>
        <w:tc>
          <w:tcPr>
            <w:tcW w:w="2693" w:type="dxa"/>
            <w:shd w:val="clear" w:color="auto" w:fill="auto"/>
          </w:tcPr>
          <w:p>
            <w:pPr>
              <w:pStyle w:val="nTable"/>
              <w:spacing w:after="40"/>
              <w:rPr>
                <w:rFonts w:ascii="Arial" w:hAnsi="Arial"/>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2013</w:t>
            </w:r>
          </w:p>
        </w:tc>
        <w:tc>
          <w:tcPr>
            <w:tcW w:w="1276" w:type="dxa"/>
            <w:shd w:val="clear" w:color="auto" w:fill="auto"/>
          </w:tcPr>
          <w:p>
            <w:pPr>
              <w:pStyle w:val="nTable"/>
              <w:spacing w:after="40"/>
            </w:pPr>
            <w:r>
              <w:t>3 Dec 2013 p. 5624</w:t>
            </w:r>
            <w:r>
              <w:noBreakHyphen/>
              <w:t>5</w:t>
            </w:r>
          </w:p>
        </w:tc>
        <w:tc>
          <w:tcPr>
            <w:tcW w:w="2693" w:type="dxa"/>
            <w:shd w:val="clear" w:color="auto" w:fill="auto"/>
          </w:tcPr>
          <w:p>
            <w:pPr>
              <w:pStyle w:val="nTable"/>
              <w:spacing w:after="40"/>
              <w:rPr>
                <w:snapToGrid w:val="0"/>
              </w:rPr>
            </w:pPr>
            <w:r>
              <w:rPr>
                <w:bCs/>
                <w:snapToGrid w:val="0"/>
              </w:rPr>
              <w:t>r. 1 and 2: 3 Dec 2013 (see r. 2(a));</w:t>
            </w:r>
            <w:r>
              <w:rPr>
                <w:bCs/>
                <w:snapToGrid w:val="0"/>
              </w:rPr>
              <w:br/>
              <w:t>Regulations other than r. 1 and 2: 4 Dec 2013 (see r. 2(b))</w:t>
            </w:r>
          </w:p>
        </w:tc>
      </w:tr>
      <w:tr>
        <w:trPr>
          <w:cantSplit/>
        </w:trPr>
        <w:tc>
          <w:tcPr>
            <w:tcW w:w="7088" w:type="dxa"/>
            <w:gridSpan w:val="3"/>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2014</w:t>
            </w:r>
          </w:p>
        </w:tc>
        <w:tc>
          <w:tcPr>
            <w:tcW w:w="1276" w:type="dxa"/>
            <w:shd w:val="clear" w:color="auto" w:fill="auto"/>
          </w:tcPr>
          <w:p>
            <w:pPr>
              <w:pStyle w:val="nTable"/>
              <w:spacing w:after="40"/>
            </w:pPr>
            <w:r>
              <w:t>20 Jun 2014 p. 2026</w:t>
            </w:r>
          </w:p>
        </w:tc>
        <w:tc>
          <w:tcPr>
            <w:tcW w:w="2693" w:type="dxa"/>
            <w:shd w:val="clear" w:color="auto" w:fill="auto"/>
          </w:tcPr>
          <w:p>
            <w:pPr>
              <w:pStyle w:val="nTable"/>
              <w:spacing w:after="40"/>
              <w:rPr>
                <w:snapToGrid w:val="0"/>
              </w:rPr>
            </w:pPr>
            <w:r>
              <w:rPr>
                <w:bCs/>
                <w:snapToGrid w:val="0"/>
              </w:rPr>
              <w:t>r. 1 and 2: 20 Jun 2014 (see r. 2(a));</w:t>
            </w:r>
            <w:r>
              <w:rPr>
                <w:bCs/>
                <w:snapToGrid w:val="0"/>
              </w:rPr>
              <w:br/>
              <w:t>Regulations other than r. 1 and 2: 21 Jun 2014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2014</w:t>
            </w:r>
          </w:p>
        </w:tc>
        <w:tc>
          <w:tcPr>
            <w:tcW w:w="1276" w:type="dxa"/>
            <w:shd w:val="clear" w:color="auto" w:fill="auto"/>
          </w:tcPr>
          <w:p>
            <w:pPr>
              <w:pStyle w:val="nTable"/>
              <w:spacing w:after="40"/>
            </w:pPr>
            <w:r>
              <w:t>4 Jul 2014 p. 2363-4</w:t>
            </w:r>
          </w:p>
        </w:tc>
        <w:tc>
          <w:tcPr>
            <w:tcW w:w="2693" w:type="dxa"/>
            <w:shd w:val="clear" w:color="auto" w:fill="auto"/>
          </w:tcPr>
          <w:p>
            <w:pPr>
              <w:pStyle w:val="nTable"/>
              <w:spacing w:after="40"/>
              <w:rPr>
                <w:bCs/>
                <w:snapToGrid w:val="0"/>
              </w:rPr>
            </w:pPr>
            <w:r>
              <w:rPr>
                <w:bCs/>
                <w:snapToGrid w:val="0"/>
              </w:rPr>
              <w:t>r. 1 and 2: 4 Jul 2014 (see r. 2(a));</w:t>
            </w:r>
            <w:r>
              <w:rPr>
                <w:bCs/>
                <w:snapToGrid w:val="0"/>
              </w:rPr>
              <w:br/>
              <w:t>Regulations other than r. 1 and 2: 5 Jul 2014 (see r. 2(b)(ii))</w:t>
            </w:r>
          </w:p>
        </w:tc>
      </w:tr>
      <w:tr>
        <w:trPr>
          <w:cantSplit/>
        </w:trPr>
        <w:tc>
          <w:tcPr>
            <w:tcW w:w="3119" w:type="dxa"/>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rPr>
                <w:vertAlign w:val="superscript"/>
              </w:rPr>
            </w:pPr>
            <w:r>
              <w:t>13 Jan 2015 p. 249</w:t>
            </w:r>
            <w:r>
              <w:noBreakHyphen/>
              <w:t>50</w:t>
            </w:r>
          </w:p>
        </w:tc>
        <w:tc>
          <w:tcPr>
            <w:tcW w:w="2693" w:type="dxa"/>
            <w:shd w:val="clear" w:color="auto" w:fill="auto"/>
          </w:tcPr>
          <w:p>
            <w:pPr>
              <w:pStyle w:val="nTable"/>
              <w:spacing w:after="40"/>
              <w:rPr>
                <w:bCs/>
                <w:snapToGrid w:val="0"/>
              </w:rPr>
            </w:pPr>
            <w:r>
              <w:rPr>
                <w:bCs/>
                <w:snapToGrid w:val="0"/>
              </w:rPr>
              <w:t>r. 1 and 2: 13 Jan 2015 (see r. 2(a));</w:t>
            </w:r>
            <w:r>
              <w:rPr>
                <w:bCs/>
                <w:snapToGrid w:val="0"/>
              </w:rPr>
              <w:br/>
              <w:t>Regulations other than r. 1 and 2: 14 Jan 2015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pPr>
            <w:r>
              <w:t>10 Feb 2015 p. 609</w:t>
            </w:r>
            <w:r>
              <w:noBreakHyphen/>
              <w:t>11</w:t>
            </w:r>
          </w:p>
        </w:tc>
        <w:tc>
          <w:tcPr>
            <w:tcW w:w="2693" w:type="dxa"/>
            <w:shd w:val="clear" w:color="auto" w:fill="auto"/>
          </w:tcPr>
          <w:p>
            <w:pPr>
              <w:pStyle w:val="nTable"/>
              <w:spacing w:after="40"/>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2015</w:t>
            </w:r>
          </w:p>
        </w:tc>
        <w:tc>
          <w:tcPr>
            <w:tcW w:w="1276" w:type="dxa"/>
            <w:shd w:val="clear" w:color="auto" w:fill="auto"/>
          </w:tcPr>
          <w:p>
            <w:pPr>
              <w:pStyle w:val="nTable"/>
              <w:spacing w:after="40"/>
            </w:pPr>
            <w:r>
              <w:t>3 Mar 2015 p. 784</w:t>
            </w:r>
          </w:p>
        </w:tc>
        <w:tc>
          <w:tcPr>
            <w:tcW w:w="2693" w:type="dxa"/>
            <w:shd w:val="clear" w:color="auto" w:fill="auto"/>
          </w:tcPr>
          <w:p>
            <w:pPr>
              <w:pStyle w:val="nTable"/>
              <w:spacing w:after="40"/>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rPr>
          <w:cantSplit/>
        </w:trPr>
        <w:tc>
          <w:tcPr>
            <w:tcW w:w="3119" w:type="dxa"/>
            <w:shd w:val="clear" w:color="auto" w:fill="auto"/>
          </w:tcPr>
          <w:p>
            <w:pPr>
              <w:pStyle w:val="nTable"/>
              <w:spacing w:after="40"/>
              <w:ind w:right="170"/>
            </w:pPr>
            <w:r>
              <w:rPr>
                <w:i/>
              </w:rPr>
              <w:t>Fines, Penalties and Infringement Notices Enforcement Amendment Regulations (No. 3) 2015</w:t>
            </w:r>
          </w:p>
        </w:tc>
        <w:tc>
          <w:tcPr>
            <w:tcW w:w="1276" w:type="dxa"/>
            <w:shd w:val="clear" w:color="auto" w:fill="auto"/>
          </w:tcPr>
          <w:p>
            <w:pPr>
              <w:pStyle w:val="nTable"/>
              <w:spacing w:after="40"/>
            </w:pPr>
            <w:r>
              <w:t>12 Jun 2015 p. 2027</w:t>
            </w:r>
          </w:p>
        </w:tc>
        <w:tc>
          <w:tcPr>
            <w:tcW w:w="2693" w:type="dxa"/>
            <w:shd w:val="clear" w:color="auto" w:fill="auto"/>
          </w:tcPr>
          <w:p>
            <w:pPr>
              <w:pStyle w:val="nTable"/>
              <w:spacing w:after="40"/>
              <w:rPr>
                <w:bCs/>
                <w:snapToGrid w:val="0"/>
              </w:rPr>
            </w:pPr>
            <w:r>
              <w:rPr>
                <w:bCs/>
                <w:snapToGrid w:val="0"/>
              </w:rPr>
              <w:t>r. 1 and 2: 12 Jun 2015 (see r. 2(a));</w:t>
            </w:r>
            <w:r>
              <w:rPr>
                <w:bCs/>
                <w:snapToGrid w:val="0"/>
              </w:rPr>
              <w:br/>
              <w:t>Regulations other than r. 1 and 2: 13 Jun 2015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2015</w:t>
            </w:r>
          </w:p>
        </w:tc>
        <w:tc>
          <w:tcPr>
            <w:tcW w:w="1276" w:type="dxa"/>
            <w:shd w:val="clear" w:color="auto" w:fill="auto"/>
          </w:tcPr>
          <w:p>
            <w:pPr>
              <w:pStyle w:val="nTable"/>
              <w:spacing w:after="40"/>
            </w:pPr>
            <w:r>
              <w:t>19 Jun 2015 p. 2123</w:t>
            </w:r>
            <w:r>
              <w:noBreakHyphen/>
              <w:t>4</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5) 2015</w:t>
            </w:r>
          </w:p>
        </w:tc>
        <w:tc>
          <w:tcPr>
            <w:tcW w:w="1276" w:type="dxa"/>
            <w:shd w:val="clear" w:color="auto" w:fill="auto"/>
          </w:tcPr>
          <w:p>
            <w:pPr>
              <w:pStyle w:val="nTable"/>
              <w:spacing w:after="40"/>
            </w:pPr>
            <w:r>
              <w:t>13 Nov 2015 p. 4656</w:t>
            </w:r>
            <w:r>
              <w:noBreakHyphen/>
              <w:t>8</w:t>
            </w:r>
          </w:p>
        </w:tc>
        <w:tc>
          <w:tcPr>
            <w:tcW w:w="2693" w:type="dxa"/>
            <w:shd w:val="clear" w:color="auto" w:fill="auto"/>
          </w:tcPr>
          <w:p>
            <w:pPr>
              <w:pStyle w:val="nTable"/>
              <w:spacing w:after="40"/>
              <w:rPr>
                <w:rFonts w:ascii="Times" w:hAnsi="Times"/>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rPr>
          <w:cantSplit/>
        </w:trPr>
        <w:tc>
          <w:tcPr>
            <w:tcW w:w="7088"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7</w:t>
            </w:r>
            <w:r>
              <w:rPr>
                <w:b/>
                <w:bCs/>
                <w:snapToGrid w:val="0"/>
              </w:rPr>
              <w:t xml:space="preserve">: The </w:t>
            </w:r>
            <w:r>
              <w:rPr>
                <w:rFonts w:ascii="Times" w:hAnsi="Times"/>
                <w:b/>
                <w:bCs/>
                <w:i/>
                <w:noProof/>
                <w:snapToGrid w:val="0"/>
                <w:spacing w:val="-2"/>
              </w:rPr>
              <w:t>Fines, Penalties and Infringement Notices Enforcement Regulations 1994</w:t>
            </w:r>
            <w:r>
              <w:rPr>
                <w:b/>
                <w:bCs/>
                <w:snapToGrid w:val="0"/>
              </w:rPr>
              <w:t xml:space="preserve"> as at </w:t>
            </w:r>
            <w:r>
              <w:rPr>
                <w:rFonts w:ascii="Times" w:hAnsi="Times"/>
                <w:b/>
                <w:bCs/>
                <w:snapToGrid w:val="0"/>
                <w:spacing w:val="-2"/>
              </w:rPr>
              <w:t>8 Jan 2016</w:t>
            </w:r>
            <w:r>
              <w:rPr>
                <w:bCs/>
                <w:snapToGrid w:val="0"/>
              </w:rPr>
              <w:t xml:space="preserve"> (includes amendments listed above)</w:t>
            </w:r>
          </w:p>
        </w:tc>
      </w:tr>
      <w:tr>
        <w:trPr>
          <w:cantSplit/>
        </w:trPr>
        <w:tc>
          <w:tcPr>
            <w:tcW w:w="3119" w:type="dxa"/>
            <w:shd w:val="clear" w:color="auto" w:fill="auto"/>
          </w:tcPr>
          <w:p>
            <w:pPr>
              <w:pStyle w:val="nTable"/>
              <w:spacing w:after="40"/>
              <w:rPr>
                <w:i/>
              </w:rPr>
            </w:pPr>
            <w:r>
              <w:rPr>
                <w:i/>
              </w:rPr>
              <w:t>Attorney General Regulations Amendment (Fees) Regulations 2016</w:t>
            </w:r>
            <w:r>
              <w:t xml:space="preserve"> Pt. 7</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rPr>
          <w:cantSplit/>
        </w:trPr>
        <w:tc>
          <w:tcPr>
            <w:tcW w:w="3119" w:type="dxa"/>
            <w:shd w:val="clear" w:color="auto" w:fill="auto"/>
          </w:tcPr>
          <w:p>
            <w:pPr>
              <w:pStyle w:val="nTable"/>
              <w:spacing w:after="40"/>
              <w:rPr>
                <w:b/>
                <w:bCs/>
                <w:snapToGrid w:val="0"/>
              </w:rPr>
            </w:pPr>
            <w:r>
              <w:rPr>
                <w:i/>
              </w:rPr>
              <w:t>Fines, Penalties and Infringement Notices Enforcement Amendment Regulations 2016</w:t>
            </w:r>
          </w:p>
        </w:tc>
        <w:tc>
          <w:tcPr>
            <w:tcW w:w="1276" w:type="dxa"/>
            <w:shd w:val="clear" w:color="auto" w:fill="auto"/>
          </w:tcPr>
          <w:p>
            <w:pPr>
              <w:pStyle w:val="nTable"/>
              <w:spacing w:after="40"/>
              <w:rPr>
                <w:b/>
                <w:bCs/>
                <w:snapToGrid w:val="0"/>
              </w:rPr>
            </w:pPr>
            <w:r>
              <w:t>28 Jun 2016 p. 2642</w:t>
            </w:r>
            <w:r>
              <w:noBreakHyphen/>
              <w:t>3</w:t>
            </w:r>
          </w:p>
        </w:tc>
        <w:tc>
          <w:tcPr>
            <w:tcW w:w="2693" w:type="dxa"/>
            <w:shd w:val="clear" w:color="auto" w:fill="auto"/>
          </w:tcPr>
          <w:p>
            <w:pPr>
              <w:pStyle w:val="nTable"/>
              <w:spacing w:after="40"/>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rPr>
          <w:cantSplit/>
        </w:trPr>
        <w:tc>
          <w:tcPr>
            <w:tcW w:w="3119" w:type="dxa"/>
            <w:shd w:val="clear" w:color="auto" w:fill="auto"/>
          </w:tcPr>
          <w:p>
            <w:pPr>
              <w:pStyle w:val="nTable"/>
              <w:spacing w:after="40"/>
              <w:rPr>
                <w:i/>
              </w:rPr>
            </w:pPr>
            <w:r>
              <w:rPr>
                <w:i/>
              </w:rPr>
              <w:t>Fines, Penalties and Infringement Notices Enforcement Amendment Regulations (No. 2) 2016</w:t>
            </w:r>
          </w:p>
        </w:tc>
        <w:tc>
          <w:tcPr>
            <w:tcW w:w="1276" w:type="dxa"/>
            <w:shd w:val="clear" w:color="auto" w:fill="auto"/>
          </w:tcPr>
          <w:p>
            <w:pPr>
              <w:pStyle w:val="nTable"/>
              <w:spacing w:after="40"/>
            </w:pPr>
            <w:r>
              <w:t>9 Aug 2016 p. 3427</w:t>
            </w:r>
            <w:r>
              <w:noBreakHyphen/>
              <w:t>8</w:t>
            </w:r>
          </w:p>
        </w:tc>
        <w:tc>
          <w:tcPr>
            <w:tcW w:w="2693" w:type="dxa"/>
            <w:shd w:val="clear" w:color="auto" w:fill="auto"/>
          </w:tcPr>
          <w:p>
            <w:pPr>
              <w:pStyle w:val="nTable"/>
              <w:spacing w:after="40"/>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rPr>
          <w:cantSplit/>
        </w:trPr>
        <w:tc>
          <w:tcPr>
            <w:tcW w:w="3119" w:type="dxa"/>
            <w:shd w:val="clear" w:color="auto" w:fill="auto"/>
          </w:tcPr>
          <w:p>
            <w:pPr>
              <w:pStyle w:val="nTable"/>
              <w:spacing w:after="40"/>
            </w:pPr>
            <w:r>
              <w:rPr>
                <w:i/>
              </w:rPr>
              <w:t>Attorney General Regulations Amendment (Associations Incorporation) Regulations 2016</w:t>
            </w:r>
            <w:r>
              <w:t xml:space="preserve"> Pt. 3</w:t>
            </w:r>
          </w:p>
        </w:tc>
        <w:tc>
          <w:tcPr>
            <w:tcW w:w="1276" w:type="dxa"/>
            <w:shd w:val="clear" w:color="auto" w:fill="auto"/>
          </w:tcPr>
          <w:p>
            <w:pPr>
              <w:pStyle w:val="nTable"/>
              <w:spacing w:after="40"/>
            </w:pPr>
            <w:r>
              <w:t>30 Dec 2016 p. 5965</w:t>
            </w:r>
            <w:r>
              <w:noBreakHyphen/>
              <w:t>6</w:t>
            </w:r>
          </w:p>
        </w:tc>
        <w:tc>
          <w:tcPr>
            <w:tcW w:w="2693" w:type="dxa"/>
            <w:shd w:val="clear" w:color="auto" w:fill="auto"/>
          </w:tcPr>
          <w:p>
            <w:pPr>
              <w:pStyle w:val="nTable"/>
              <w:spacing w:after="40"/>
              <w:rPr>
                <w:bCs/>
                <w:snapToGrid w:val="0"/>
              </w:rPr>
            </w:pPr>
            <w:r>
              <w:rPr>
                <w:bCs/>
                <w:snapToGrid w:val="0"/>
              </w:rPr>
              <w:t>31 Dec 2016 (see r. 2(b))</w:t>
            </w:r>
          </w:p>
        </w:tc>
      </w:tr>
      <w:tr>
        <w:trPr>
          <w:cantSplit/>
        </w:trPr>
        <w:tc>
          <w:tcPr>
            <w:tcW w:w="3119" w:type="dxa"/>
            <w:shd w:val="clear" w:color="auto" w:fill="auto"/>
          </w:tcPr>
          <w:p>
            <w:pPr>
              <w:pStyle w:val="nTable"/>
              <w:spacing w:after="40"/>
              <w:rPr>
                <w:i/>
              </w:rPr>
            </w:pPr>
            <w:r>
              <w:rPr>
                <w:i/>
              </w:rPr>
              <w:t>Attorney General Regulations Amendment (Public Health) Regulations 2016</w:t>
            </w:r>
            <w:r>
              <w:t xml:space="preserve"> Pt. 3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rPr>
            </w:pPr>
            <w:r>
              <w:t xml:space="preserve">24 Jan 2017 (see r. 2(b) and </w:t>
            </w:r>
            <w:r>
              <w:rPr>
                <w:i/>
              </w:rPr>
              <w:t>Gazette</w:t>
            </w:r>
            <w:r>
              <w:t xml:space="preserve"> 10 Jan 2017 p. 165)</w:t>
            </w:r>
          </w:p>
        </w:tc>
      </w:tr>
      <w:tr>
        <w:trPr>
          <w:cantSplit/>
        </w:trPr>
        <w:tc>
          <w:tcPr>
            <w:tcW w:w="3119" w:type="dxa"/>
            <w:tcBorders>
              <w:bottom w:val="single" w:sz="2" w:space="0" w:color="auto"/>
            </w:tcBorders>
            <w:shd w:val="clear" w:color="auto" w:fill="auto"/>
          </w:tcPr>
          <w:p>
            <w:pPr>
              <w:pStyle w:val="nTable"/>
              <w:spacing w:after="40"/>
              <w:rPr>
                <w:i/>
              </w:rPr>
            </w:pPr>
            <w:r>
              <w:rPr>
                <w:i/>
              </w:rPr>
              <w:t>Attorney General Regulations Amendment (Travel Agents) Regulations 2016</w:t>
            </w:r>
            <w:r>
              <w:t xml:space="preserve"> Pt. 3 </w:t>
            </w:r>
          </w:p>
        </w:tc>
        <w:tc>
          <w:tcPr>
            <w:tcW w:w="1276" w:type="dxa"/>
            <w:tcBorders>
              <w:bottom w:val="single" w:sz="2" w:space="0" w:color="auto"/>
            </w:tcBorders>
            <w:shd w:val="clear" w:color="auto" w:fill="auto"/>
          </w:tcPr>
          <w:p>
            <w:pPr>
              <w:pStyle w:val="nTable"/>
              <w:spacing w:after="40"/>
            </w:pPr>
            <w:r>
              <w:t>24 Jan 2017 p. 744</w:t>
            </w:r>
            <w:r>
              <w:noBreakHyphen/>
              <w:t>5</w:t>
            </w:r>
          </w:p>
        </w:tc>
        <w:tc>
          <w:tcPr>
            <w:tcW w:w="2693" w:type="dxa"/>
            <w:tcBorders>
              <w:bottom w:val="single" w:sz="2" w:space="0" w:color="auto"/>
            </w:tcBorders>
            <w:shd w:val="clear" w:color="auto" w:fill="auto"/>
          </w:tcPr>
          <w:p>
            <w:pPr>
              <w:pStyle w:val="nTable"/>
              <w:spacing w:after="40"/>
            </w:pPr>
            <w:r>
              <w:t xml:space="preserve">25 Jan 2017 (see r. 2(b) and </w:t>
            </w:r>
            <w:r>
              <w:rPr>
                <w:i/>
              </w:rPr>
              <w:t>Gazette</w:t>
            </w:r>
            <w:r>
              <w:t xml:space="preserve"> 24 Jan 2017 p. 741)</w:t>
            </w:r>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rPr>
          <w:snapToGrid w:val="0"/>
        </w:rPr>
      </w:pPr>
      <w:r>
        <w:rPr>
          <w:snapToGrid w:val="0"/>
          <w:vertAlign w:val="superscript"/>
        </w:rPr>
        <w:t>3</w:t>
      </w:r>
      <w:r>
        <w:rPr>
          <w:snapToGrid w:val="0"/>
        </w:rPr>
        <w:tab/>
        <w:t>Now called the General Account.</w:t>
      </w:r>
    </w:p>
    <w:p>
      <w:pPr>
        <w:pStyle w:val="nSubsection"/>
      </w:pPr>
      <w:r>
        <w:rPr>
          <w:vertAlign w:val="superscript"/>
        </w:rPr>
        <w:t>4</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i/>
          <w:iCs/>
        </w:rPr>
      </w:pPr>
      <w:r>
        <w:rPr>
          <w:vertAlign w:val="superscript"/>
        </w:rPr>
        <w:t>5</w:t>
      </w:r>
      <w:r>
        <w:rPr>
          <w:vertAlign w:val="superscript"/>
        </w:rPr>
        <w:tab/>
      </w:r>
      <w:r>
        <w:t>The</w:t>
      </w:r>
      <w:r>
        <w:rPr>
          <w:i/>
        </w:rPr>
        <w:t xml:space="preserve"> Companies (Co</w:t>
      </w:r>
      <w:r>
        <w:rPr>
          <w:i/>
        </w:rPr>
        <w:noBreakHyphen/>
        <w:t>operative) Act 1943</w:t>
      </w:r>
      <w:r>
        <w:t xml:space="preserve"> was repealed by the </w:t>
      </w:r>
      <w:r>
        <w:rPr>
          <w:i/>
          <w:iCs/>
        </w:rPr>
        <w:t>Co-operatives Act 2009</w:t>
      </w:r>
      <w:r>
        <w:rPr>
          <w:iCs/>
        </w:rPr>
        <w:t xml:space="preserve"> s. 490</w:t>
      </w:r>
      <w:r>
        <w:rPr>
          <w:i/>
          <w:iCs/>
        </w:rPr>
        <w:t>.</w:t>
      </w:r>
    </w:p>
    <w:p>
      <w:pPr>
        <w:pStyle w:val="nSubsection"/>
        <w:keepNext/>
      </w:pPr>
      <w:r>
        <w:rPr>
          <w:vertAlign w:val="superscript"/>
        </w:rPr>
        <w:t>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3"/>
          <w:headerReference w:type="default" r:id="rId34"/>
          <w:headerReference w:type="first" r:id="rId35"/>
          <w:type w:val="continuous"/>
          <w:pgSz w:w="11907" w:h="16840" w:code="9"/>
          <w:pgMar w:top="2376" w:right="2404" w:bottom="3544" w:left="2404" w:header="720" w:footer="3380" w:gutter="0"/>
          <w:cols w:space="720"/>
          <w:noEndnote/>
          <w:docGrid w:linePitch="326"/>
        </w:sectPr>
      </w:pPr>
    </w:p>
    <w:p>
      <w:pPr>
        <w:pStyle w:val="nHeading2"/>
        <w:rPr>
          <w:sz w:val="28"/>
        </w:rPr>
      </w:pPr>
      <w:bookmarkStart w:id="70" w:name="_Toc472943500"/>
      <w:bookmarkStart w:id="71" w:name="_Toc473118315"/>
      <w:bookmarkStart w:id="72" w:name="_Toc473123613"/>
      <w:r>
        <w:rPr>
          <w:sz w:val="28"/>
        </w:rPr>
        <w:t>Defined terms</w:t>
      </w:r>
      <w:bookmarkEnd w:id="70"/>
      <w:bookmarkEnd w:id="71"/>
      <w:bookmarkEnd w:id="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2A</w:t>
      </w:r>
    </w:p>
    <w:p>
      <w:pPr>
        <w:pStyle w:val="DefinedTerms"/>
      </w:pPr>
      <w:r>
        <w:t>courts electronic system</w:t>
      </w:r>
      <w:r>
        <w:tab/>
        <w:t>2A</w:t>
      </w:r>
    </w:p>
    <w:p>
      <w:pPr>
        <w:pStyle w:val="DefinedTerms"/>
      </w:pPr>
      <w:r>
        <w:t>GST</w:t>
      </w:r>
      <w:r>
        <w:tab/>
        <w:t>3AA(1)</w:t>
      </w:r>
    </w:p>
    <w:p>
      <w:pPr>
        <w:pStyle w:val="DefinedTerms"/>
      </w:pPr>
      <w:r>
        <w:t>warrant</w:t>
      </w:r>
      <w:r>
        <w:tab/>
        <w:t>11B(1)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9" w:name="Schedule"/>
    <w:bookmarkEnd w:id="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3" w:name="DefinedTerms"/>
    <w:bookmarkEnd w:id="7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4" w:name="Coversheet"/>
    <w:bookmarkEnd w:id="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81E6700"/>
    <w:multiLevelType w:val="multilevel"/>
    <w:tmpl w:val="460460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20347"/>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798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0.xml"/><Relationship Id="rId30" Type="http://schemas.openxmlformats.org/officeDocument/2006/relationships/image" Target="media/image3.png"/><Relationship Id="rId35" Type="http://schemas.openxmlformats.org/officeDocument/2006/relationships/header" Target="header17.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075220-277A-472E-99D1-EAEA5FA7D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9938</Words>
  <Characters>49894</Characters>
  <Application>Microsoft Office Word</Application>
  <DocSecurity>0</DocSecurity>
  <Lines>1919</Lines>
  <Paragraphs>1173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1994 - 07-i0-00</dc:title>
  <dc:subject/>
  <dc:creator/>
  <cp:keywords/>
  <dc:description/>
  <cp:lastModifiedBy>svcMRProcess</cp:lastModifiedBy>
  <cp:revision>4</cp:revision>
  <cp:lastPrinted>2016-01-05T00:52:00Z</cp:lastPrinted>
  <dcterms:created xsi:type="dcterms:W3CDTF">2020-02-25T18:49:00Z</dcterms:created>
  <dcterms:modified xsi:type="dcterms:W3CDTF">2020-02-25T18:49:00Z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2016-01-07T16:00:00Z</vt:filetime>
  </property>
  <property fmtid="{D5CDD505-2E9C-101B-9397-08002B2CF9AE}" pid="6" name="ReprintNo">
    <vt:lpwstr>7</vt:lpwstr>
  </property>
  <property fmtid="{D5CDD505-2E9C-101B-9397-08002B2CF9AE}" pid="7" name="AsAtDate">
    <vt:lpwstr>25 Jan 2017</vt:lpwstr>
  </property>
  <property fmtid="{D5CDD505-2E9C-101B-9397-08002B2CF9AE}" pid="8" name="Suffix">
    <vt:lpwstr>07-i0-00</vt:lpwstr>
  </property>
  <property fmtid="{D5CDD505-2E9C-101B-9397-08002B2CF9AE}" pid="9" name="CommencementDate">
    <vt:lpwstr>20170125</vt:lpwstr>
  </property>
</Properties>
</file>