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Distribution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_Toc131912057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_Toc131912058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_Toc131912059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_Toc131912060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Electricity distribution network</w:t>
      </w:r>
      <w:r>
        <w:tab/>
      </w:r>
      <w:r>
        <w:fldChar w:fldCharType="begin"/>
      </w:r>
      <w:r>
        <w:instrText xml:space="preserve"> PAGEREF _Toc131912061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Reports and forecasts and prescribed fees</w:t>
      </w:r>
      <w:r>
        <w:tab/>
      </w:r>
      <w:r>
        <w:fldChar w:fldCharType="begin"/>
      </w:r>
      <w:r>
        <w:instrText xml:space="preserve"> PAGEREF _Toc131912062 \h </w:instrText>
      </w:r>
      <w:r>
        <w:fldChar w:fldCharType="separate"/>
      </w:r>
      <w:r>
        <w:t>14</w:t>
      </w:r>
      <w:r>
        <w:fldChar w:fldCharType="end"/>
      </w:r>
    </w:p>
    <w:p>
      <w:pPr>
        <w:pStyle w:val="TOC2"/>
        <w:tabs>
          <w:tab w:val="right" w:leader="dot" w:pos="7086"/>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_Toc131912064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_Toc131912065 \h </w:instrText>
      </w:r>
      <w:r>
        <w:fldChar w:fldCharType="separate"/>
      </w:r>
      <w:r>
        <w:t>15</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access application</w:t>
      </w:r>
      <w:r>
        <w:tab/>
      </w:r>
      <w:r>
        <w:fldChar w:fldCharType="begin"/>
      </w:r>
      <w:r>
        <w:instrText xml:space="preserve"> PAGEREF _Toc131912066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_Toc131912067 \h </w:instrText>
      </w:r>
      <w:r>
        <w:fldChar w:fldCharType="separate"/>
      </w:r>
      <w:r>
        <w:t>18</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_Toc131912068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_Toc131912069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_Toc131912070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_Toc131912071 \h </w:instrText>
      </w:r>
      <w:r>
        <w:fldChar w:fldCharType="separate"/>
      </w:r>
      <w:r>
        <w:t>29</w:t>
      </w:r>
      <w:r>
        <w:fldChar w:fldCharType="end"/>
      </w:r>
    </w:p>
    <w:p>
      <w:pPr>
        <w:pStyle w:val="TOC8"/>
        <w:rPr>
          <w:sz w:val="24"/>
          <w:szCs w:val="24"/>
        </w:rPr>
      </w:pPr>
      <w:r>
        <w:rPr>
          <w:szCs w:val="24"/>
        </w:rPr>
        <w:t>15</w:t>
      </w:r>
      <w:r>
        <w:rPr>
          <w:snapToGrid w:val="0"/>
          <w:szCs w:val="24"/>
        </w:rPr>
        <w:t>.</w:t>
      </w:r>
      <w:r>
        <w:rPr>
          <w:snapToGrid w:val="0"/>
          <w:szCs w:val="24"/>
        </w:rPr>
        <w:tab/>
        <w:t>Distribution access agreements</w:t>
      </w:r>
      <w:r>
        <w:tab/>
      </w:r>
      <w:r>
        <w:fldChar w:fldCharType="begin"/>
      </w:r>
      <w:r>
        <w:instrText xml:space="preserve"> PAGEREF _Toc131912072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_Toc131912073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Suspension of time limits</w:t>
      </w:r>
      <w:r>
        <w:tab/>
      </w:r>
      <w:r>
        <w:fldChar w:fldCharType="begin"/>
      </w:r>
      <w:r>
        <w:instrText xml:space="preserve"> PAGEREF _Toc131912074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Metering</w:t>
      </w:r>
      <w:r>
        <w:tab/>
      </w:r>
      <w:r>
        <w:fldChar w:fldCharType="begin"/>
      </w:r>
      <w:r>
        <w:instrText xml:space="preserve"> PAGEREF _Toc131912075 \h </w:instrText>
      </w:r>
      <w:r>
        <w:fldChar w:fldCharType="separate"/>
      </w:r>
      <w:r>
        <w:t>32</w:t>
      </w:r>
      <w:r>
        <w:fldChar w:fldCharType="end"/>
      </w:r>
    </w:p>
    <w:p>
      <w:pPr>
        <w:pStyle w:val="TOC2"/>
        <w:tabs>
          <w:tab w:val="right" w:leader="dot" w:pos="7086"/>
        </w:tabs>
        <w:rPr>
          <w:b w:val="0"/>
          <w:sz w:val="24"/>
          <w:szCs w:val="24"/>
        </w:rPr>
      </w:pPr>
      <w:r>
        <w:rPr>
          <w:szCs w:val="30"/>
        </w:rPr>
        <w:t>Part 3 — Pricing methods, prices and charges</w:t>
      </w:r>
    </w:p>
    <w:p>
      <w:pPr>
        <w:pStyle w:val="TOC8"/>
        <w:rPr>
          <w:sz w:val="24"/>
          <w:szCs w:val="24"/>
        </w:rPr>
      </w:pPr>
      <w:r>
        <w:rPr>
          <w:szCs w:val="24"/>
        </w:rPr>
        <w:t>19</w:t>
      </w:r>
      <w:r>
        <w:rPr>
          <w:snapToGrid w:val="0"/>
          <w:szCs w:val="24"/>
        </w:rPr>
        <w:t>.</w:t>
      </w:r>
      <w:r>
        <w:rPr>
          <w:snapToGrid w:val="0"/>
          <w:szCs w:val="24"/>
        </w:rPr>
        <w:tab/>
        <w:t>Pricing methods and prices</w:t>
      </w:r>
      <w:r>
        <w:tab/>
      </w:r>
      <w:r>
        <w:fldChar w:fldCharType="begin"/>
      </w:r>
      <w:r>
        <w:instrText xml:space="preserve"> PAGEREF _Toc131912077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_Toc131912078 \h </w:instrText>
      </w:r>
      <w:r>
        <w:fldChar w:fldCharType="separate"/>
      </w:r>
      <w:r>
        <w:t>34</w:t>
      </w:r>
      <w:r>
        <w:fldChar w:fldCharType="end"/>
      </w:r>
    </w:p>
    <w:p>
      <w:pPr>
        <w:pStyle w:val="TOC2"/>
        <w:tabs>
          <w:tab w:val="right" w:leader="dot" w:pos="7086"/>
        </w:tabs>
        <w:rPr>
          <w:b w:val="0"/>
          <w:sz w:val="24"/>
          <w:szCs w:val="24"/>
        </w:rPr>
      </w:pPr>
      <w:r>
        <w:rPr>
          <w:szCs w:val="30"/>
        </w:rPr>
        <w:lastRenderedPageBreak/>
        <w:t>Part 4 — Balancing</w:t>
      </w:r>
    </w:p>
    <w:p>
      <w:pPr>
        <w:pStyle w:val="TOC8"/>
        <w:rPr>
          <w:sz w:val="24"/>
          <w:szCs w:val="24"/>
        </w:rPr>
      </w:pPr>
      <w:r>
        <w:rPr>
          <w:szCs w:val="24"/>
        </w:rPr>
        <w:t>21</w:t>
      </w:r>
      <w:r>
        <w:rPr>
          <w:snapToGrid w:val="0"/>
          <w:szCs w:val="24"/>
        </w:rPr>
        <w:t>.</w:t>
      </w:r>
      <w:r>
        <w:rPr>
          <w:snapToGrid w:val="0"/>
          <w:szCs w:val="24"/>
        </w:rPr>
        <w:tab/>
        <w:t>Standby arrangements</w:t>
      </w:r>
      <w:r>
        <w:tab/>
      </w:r>
      <w:r>
        <w:fldChar w:fldCharType="begin"/>
      </w:r>
      <w:r>
        <w:instrText xml:space="preserve"> PAGEREF _Toc131912080 \h </w:instrText>
      </w:r>
      <w:r>
        <w:fldChar w:fldCharType="separate"/>
      </w:r>
      <w:r>
        <w:t>35</w:t>
      </w:r>
      <w:r>
        <w:fldChar w:fldCharType="end"/>
      </w:r>
    </w:p>
    <w:p>
      <w:pPr>
        <w:pStyle w:val="TOC8"/>
        <w:rPr>
          <w:sz w:val="24"/>
          <w:szCs w:val="24"/>
        </w:rPr>
      </w:pPr>
      <w:r>
        <w:rPr>
          <w:szCs w:val="24"/>
        </w:rPr>
        <w:t>22.</w:t>
      </w:r>
      <w:r>
        <w:rPr>
          <w:szCs w:val="24"/>
        </w:rPr>
        <w:tab/>
        <w:t>Loss Factors</w:t>
      </w:r>
      <w:r>
        <w:tab/>
      </w:r>
      <w:r>
        <w:fldChar w:fldCharType="begin"/>
      </w:r>
      <w:r>
        <w:instrText xml:space="preserve"> PAGEREF _Toc131912081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Interpretation of regulations 24, 25 and 27</w:t>
      </w:r>
      <w:r>
        <w:tab/>
      </w:r>
      <w:r>
        <w:fldChar w:fldCharType="begin"/>
      </w:r>
      <w:r>
        <w:instrText xml:space="preserve"> PAGEREF _Toc131912082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Balancing</w:t>
      </w:r>
      <w:r>
        <w:tab/>
      </w:r>
      <w:r>
        <w:fldChar w:fldCharType="begin"/>
      </w:r>
      <w:r>
        <w:instrText xml:space="preserve"> PAGEREF _Toc131912083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Excess standby generation charge</w:t>
      </w:r>
      <w:r>
        <w:tab/>
      </w:r>
      <w:r>
        <w:fldChar w:fldCharType="begin"/>
      </w:r>
      <w:r>
        <w:instrText xml:space="preserve"> PAGEREF _Toc131912084 \h </w:instrText>
      </w:r>
      <w:r>
        <w:fldChar w:fldCharType="separate"/>
      </w:r>
      <w:r>
        <w:t>43</w:t>
      </w:r>
      <w:r>
        <w:fldChar w:fldCharType="end"/>
      </w:r>
    </w:p>
    <w:p>
      <w:pPr>
        <w:pStyle w:val="TOC8"/>
        <w:rPr>
          <w:sz w:val="24"/>
          <w:szCs w:val="24"/>
        </w:rPr>
      </w:pPr>
      <w:r>
        <w:rPr>
          <w:szCs w:val="24"/>
        </w:rPr>
        <w:t>26</w:t>
      </w:r>
      <w:r>
        <w:rPr>
          <w:snapToGrid w:val="0"/>
          <w:szCs w:val="24"/>
        </w:rPr>
        <w:t>.</w:t>
      </w:r>
      <w:r>
        <w:rPr>
          <w:snapToGrid w:val="0"/>
          <w:szCs w:val="24"/>
        </w:rPr>
        <w:tab/>
        <w:t>Excess network usage charge</w:t>
      </w:r>
      <w:r>
        <w:tab/>
      </w:r>
      <w:r>
        <w:fldChar w:fldCharType="begin"/>
      </w:r>
      <w:r>
        <w:instrText xml:space="preserve"> PAGEREF _Toc131912085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Other consequences of being out of balance</w:t>
      </w:r>
      <w:r>
        <w:tab/>
      </w:r>
      <w:r>
        <w:fldChar w:fldCharType="begin"/>
      </w:r>
      <w:r>
        <w:instrText xml:space="preserve"> PAGEREF _Toc131912086 \h </w:instrText>
      </w:r>
      <w:r>
        <w:fldChar w:fldCharType="separate"/>
      </w:r>
      <w:r>
        <w:t>50</w:t>
      </w:r>
      <w:r>
        <w:fldChar w:fldCharType="end"/>
      </w:r>
    </w:p>
    <w:p>
      <w:pPr>
        <w:pStyle w:val="TOC2"/>
        <w:tabs>
          <w:tab w:val="right" w:leader="dot" w:pos="7086"/>
        </w:tabs>
        <w:rPr>
          <w:b w:val="0"/>
          <w:sz w:val="24"/>
          <w:szCs w:val="24"/>
        </w:rPr>
      </w:pPr>
      <w:r>
        <w:rPr>
          <w:szCs w:val="30"/>
        </w:rPr>
        <w:t>Part 5 — Technical regulation</w:t>
      </w:r>
    </w:p>
    <w:p>
      <w:pPr>
        <w:pStyle w:val="TOC8"/>
        <w:rPr>
          <w:sz w:val="24"/>
          <w:szCs w:val="24"/>
        </w:rPr>
      </w:pPr>
      <w:r>
        <w:rPr>
          <w:szCs w:val="24"/>
        </w:rPr>
        <w:t>28</w:t>
      </w:r>
      <w:r>
        <w:rPr>
          <w:snapToGrid w:val="0"/>
          <w:szCs w:val="24"/>
        </w:rPr>
        <w:t>.</w:t>
      </w:r>
      <w:r>
        <w:rPr>
          <w:snapToGrid w:val="0"/>
          <w:szCs w:val="24"/>
        </w:rPr>
        <w:tab/>
        <w:t>Distribution Technical Code</w:t>
      </w:r>
      <w:r>
        <w:tab/>
      </w:r>
      <w:r>
        <w:fldChar w:fldCharType="begin"/>
      </w:r>
      <w:r>
        <w:instrText xml:space="preserve"> PAGEREF _Toc131912088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Network planning criteria</w:t>
      </w:r>
      <w:r>
        <w:tab/>
      </w:r>
      <w:r>
        <w:fldChar w:fldCharType="begin"/>
      </w:r>
      <w:r>
        <w:instrText xml:space="preserve"> PAGEREF _Toc131912089 \h </w:instrText>
      </w:r>
      <w:r>
        <w:fldChar w:fldCharType="separate"/>
      </w:r>
      <w:r>
        <w:t>55</w:t>
      </w:r>
      <w:r>
        <w:fldChar w:fldCharType="end"/>
      </w:r>
    </w:p>
    <w:p>
      <w:pPr>
        <w:pStyle w:val="TOC8"/>
        <w:rPr>
          <w:sz w:val="24"/>
          <w:szCs w:val="24"/>
        </w:rPr>
      </w:pPr>
      <w:r>
        <w:rPr>
          <w:szCs w:val="24"/>
        </w:rPr>
        <w:t>29A.</w:t>
      </w:r>
      <w:r>
        <w:rPr>
          <w:szCs w:val="24"/>
        </w:rPr>
        <w:tab/>
        <w:t>Distribution Technical Code, network planning criteria and distribution price schedule may form one or more documents</w:t>
      </w:r>
      <w:r>
        <w:tab/>
      </w:r>
      <w:r>
        <w:fldChar w:fldCharType="begin"/>
      </w:r>
      <w:r>
        <w:instrText xml:space="preserve"> PAGEREF _Toc131912090 \h </w:instrText>
      </w:r>
      <w:r>
        <w:fldChar w:fldCharType="separate"/>
      </w:r>
      <w:r>
        <w:t>57</w:t>
      </w:r>
      <w:r>
        <w:fldChar w:fldCharType="end"/>
      </w:r>
    </w:p>
    <w:p>
      <w:pPr>
        <w:pStyle w:val="TOC8"/>
        <w:rPr>
          <w:sz w:val="24"/>
          <w:szCs w:val="24"/>
        </w:rPr>
      </w:pPr>
      <w:r>
        <w:rPr>
          <w:szCs w:val="24"/>
        </w:rPr>
        <w:t>30</w:t>
      </w:r>
      <w:r>
        <w:rPr>
          <w:snapToGrid w:val="0"/>
          <w:szCs w:val="24"/>
        </w:rPr>
        <w:t>.</w:t>
      </w:r>
      <w:r>
        <w:rPr>
          <w:snapToGrid w:val="0"/>
          <w:szCs w:val="24"/>
        </w:rPr>
        <w:tab/>
        <w:t>Good electricity industry practice</w:t>
      </w:r>
      <w:r>
        <w:tab/>
      </w:r>
      <w:r>
        <w:fldChar w:fldCharType="begin"/>
      </w:r>
      <w:r>
        <w:instrText xml:space="preserve"> PAGEREF _Toc131912091 \h </w:instrText>
      </w:r>
      <w:r>
        <w:fldChar w:fldCharType="separate"/>
      </w:r>
      <w:r>
        <w:t>57</w:t>
      </w:r>
      <w:r>
        <w:fldChar w:fldCharType="end"/>
      </w:r>
    </w:p>
    <w:p>
      <w:pPr>
        <w:pStyle w:val="TOC8"/>
        <w:rPr>
          <w:sz w:val="24"/>
          <w:szCs w:val="24"/>
        </w:rPr>
      </w:pPr>
      <w:r>
        <w:rPr>
          <w:szCs w:val="24"/>
        </w:rPr>
        <w:t>31</w:t>
      </w:r>
      <w:r>
        <w:rPr>
          <w:snapToGrid w:val="0"/>
          <w:szCs w:val="24"/>
        </w:rPr>
        <w:t>.</w:t>
      </w:r>
      <w:r>
        <w:rPr>
          <w:snapToGrid w:val="0"/>
          <w:szCs w:val="24"/>
        </w:rPr>
        <w:tab/>
        <w:t>Interruption and curtailment powers</w:t>
      </w:r>
      <w:r>
        <w:tab/>
      </w:r>
      <w:r>
        <w:fldChar w:fldCharType="begin"/>
      </w:r>
      <w:r>
        <w:instrText xml:space="preserve"> PAGEREF _Toc131912092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Safety and security of system</w:t>
      </w:r>
      <w:r>
        <w:tab/>
      </w:r>
      <w:r>
        <w:fldChar w:fldCharType="begin"/>
      </w:r>
      <w:r>
        <w:instrText xml:space="preserve"> PAGEREF _Toc131912093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Maintenance</w:t>
      </w:r>
      <w:r>
        <w:tab/>
      </w:r>
      <w:r>
        <w:fldChar w:fldCharType="begin"/>
      </w:r>
      <w:r>
        <w:instrText xml:space="preserve"> PAGEREF _Toc131912094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Electricity generation and load forecast information</w:t>
      </w:r>
      <w:r>
        <w:tab/>
      </w:r>
      <w:r>
        <w:fldChar w:fldCharType="begin"/>
      </w:r>
      <w:r>
        <w:instrText xml:space="preserve"> PAGEREF _Toc131912095 \h </w:instrText>
      </w:r>
      <w:r>
        <w:fldChar w:fldCharType="separate"/>
      </w:r>
      <w:r>
        <w:t>62</w:t>
      </w:r>
      <w:r>
        <w:fldChar w:fldCharType="end"/>
      </w:r>
    </w:p>
    <w:p>
      <w:pPr>
        <w:pStyle w:val="TOC2"/>
        <w:tabs>
          <w:tab w:val="right" w:leader="dot" w:pos="7086"/>
        </w:tabs>
        <w:rPr>
          <w:b w:val="0"/>
          <w:sz w:val="24"/>
          <w:szCs w:val="24"/>
        </w:rPr>
      </w:pPr>
      <w:r>
        <w:rPr>
          <w:szCs w:val="30"/>
        </w:rPr>
        <w:t>Part 6 — Access terms</w:t>
      </w:r>
    </w:p>
    <w:p>
      <w:pPr>
        <w:pStyle w:val="TOC8"/>
        <w:rPr>
          <w:sz w:val="24"/>
          <w:szCs w:val="24"/>
        </w:rPr>
      </w:pPr>
      <w:r>
        <w:rPr>
          <w:szCs w:val="24"/>
        </w:rPr>
        <w:t>35</w:t>
      </w:r>
      <w:r>
        <w:rPr>
          <w:snapToGrid w:val="0"/>
          <w:szCs w:val="24"/>
        </w:rPr>
        <w:t>.</w:t>
      </w:r>
      <w:r>
        <w:rPr>
          <w:snapToGrid w:val="0"/>
          <w:szCs w:val="24"/>
        </w:rPr>
        <w:tab/>
        <w:t>Reasonable endeavours</w:t>
      </w:r>
      <w:r>
        <w:tab/>
      </w:r>
      <w:r>
        <w:fldChar w:fldCharType="begin"/>
      </w:r>
      <w:r>
        <w:instrText xml:space="preserve"> PAGEREF _Toc131912097 \h </w:instrText>
      </w:r>
      <w:r>
        <w:fldChar w:fldCharType="separate"/>
      </w:r>
      <w:r>
        <w:t>63</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_Toc131912098 \h </w:instrText>
      </w:r>
      <w:r>
        <w:fldChar w:fldCharType="separate"/>
      </w:r>
      <w:r>
        <w:t>63</w:t>
      </w:r>
      <w:r>
        <w:fldChar w:fldCharType="end"/>
      </w:r>
    </w:p>
    <w:p>
      <w:pPr>
        <w:pStyle w:val="TOC8"/>
        <w:rPr>
          <w:sz w:val="24"/>
          <w:szCs w:val="24"/>
        </w:rPr>
      </w:pPr>
      <w:r>
        <w:rPr>
          <w:szCs w:val="24"/>
        </w:rPr>
        <w:t>37</w:t>
      </w:r>
      <w:r>
        <w:rPr>
          <w:snapToGrid w:val="0"/>
          <w:szCs w:val="24"/>
        </w:rPr>
        <w:t>.</w:t>
      </w:r>
      <w:r>
        <w:rPr>
          <w:snapToGrid w:val="0"/>
          <w:szCs w:val="24"/>
        </w:rPr>
        <w:tab/>
        <w:t>Effect of access to capacity</w:t>
      </w:r>
      <w:r>
        <w:tab/>
      </w:r>
      <w:r>
        <w:fldChar w:fldCharType="begin"/>
      </w:r>
      <w:r>
        <w:instrText xml:space="preserve"> PAGEREF _Toc131912099 \h </w:instrText>
      </w:r>
      <w:r>
        <w:fldChar w:fldCharType="separate"/>
      </w:r>
      <w:r>
        <w:t>66</w:t>
      </w:r>
      <w:r>
        <w:fldChar w:fldCharType="end"/>
      </w:r>
    </w:p>
    <w:p>
      <w:pPr>
        <w:pStyle w:val="TOC8"/>
        <w:rPr>
          <w:sz w:val="24"/>
          <w:szCs w:val="24"/>
        </w:rPr>
      </w:pPr>
      <w:r>
        <w:rPr>
          <w:szCs w:val="24"/>
        </w:rPr>
        <w:t>38</w:t>
      </w:r>
      <w:r>
        <w:rPr>
          <w:snapToGrid w:val="0"/>
          <w:szCs w:val="24"/>
        </w:rPr>
        <w:t>.</w:t>
      </w:r>
      <w:r>
        <w:rPr>
          <w:snapToGrid w:val="0"/>
          <w:szCs w:val="24"/>
        </w:rPr>
        <w:tab/>
        <w:t>Minimum term and renewal</w:t>
      </w:r>
      <w:r>
        <w:tab/>
      </w:r>
      <w:r>
        <w:fldChar w:fldCharType="begin"/>
      </w:r>
      <w:r>
        <w:instrText xml:space="preserve"> PAGEREF _Toc131912100 \h </w:instrText>
      </w:r>
      <w:r>
        <w:fldChar w:fldCharType="separate"/>
      </w:r>
      <w:r>
        <w:t>66</w:t>
      </w:r>
      <w:r>
        <w:fldChar w:fldCharType="end"/>
      </w:r>
    </w:p>
    <w:p>
      <w:pPr>
        <w:pStyle w:val="TOC8"/>
        <w:rPr>
          <w:sz w:val="24"/>
          <w:szCs w:val="24"/>
        </w:rPr>
      </w:pPr>
      <w:r>
        <w:rPr>
          <w:szCs w:val="24"/>
        </w:rPr>
        <w:t>39</w:t>
      </w:r>
      <w:r>
        <w:rPr>
          <w:snapToGrid w:val="0"/>
          <w:szCs w:val="24"/>
        </w:rPr>
        <w:t>.</w:t>
      </w:r>
      <w:r>
        <w:rPr>
          <w:snapToGrid w:val="0"/>
          <w:szCs w:val="24"/>
        </w:rPr>
        <w:tab/>
        <w:t>Contract maximum demand and declared sent out capacity</w:t>
      </w:r>
      <w:r>
        <w:tab/>
      </w:r>
      <w:r>
        <w:fldChar w:fldCharType="begin"/>
      </w:r>
      <w:r>
        <w:instrText xml:space="preserve"> PAGEREF _Toc131912101 \h </w:instrText>
      </w:r>
      <w:r>
        <w:fldChar w:fldCharType="separate"/>
      </w:r>
      <w:r>
        <w:t>66</w:t>
      </w:r>
      <w:r>
        <w:fldChar w:fldCharType="end"/>
      </w:r>
    </w:p>
    <w:p>
      <w:pPr>
        <w:pStyle w:val="TOC8"/>
        <w:rPr>
          <w:sz w:val="24"/>
          <w:szCs w:val="24"/>
        </w:rPr>
      </w:pPr>
      <w:r>
        <w:rPr>
          <w:szCs w:val="24"/>
        </w:rPr>
        <w:t>40</w:t>
      </w:r>
      <w:r>
        <w:rPr>
          <w:snapToGrid w:val="0"/>
          <w:szCs w:val="24"/>
        </w:rPr>
        <w:t>.</w:t>
      </w:r>
      <w:r>
        <w:rPr>
          <w:snapToGrid w:val="0"/>
          <w:szCs w:val="24"/>
        </w:rPr>
        <w:tab/>
        <w:t>Commencement date</w:t>
      </w:r>
      <w:r>
        <w:tab/>
      </w:r>
      <w:r>
        <w:fldChar w:fldCharType="begin"/>
      </w:r>
      <w:r>
        <w:instrText xml:space="preserve"> PAGEREF _Toc131912102 \h </w:instrText>
      </w:r>
      <w:r>
        <w:fldChar w:fldCharType="separate"/>
      </w:r>
      <w:r>
        <w:t>67</w:t>
      </w:r>
      <w:r>
        <w:fldChar w:fldCharType="end"/>
      </w:r>
    </w:p>
    <w:p>
      <w:pPr>
        <w:pStyle w:val="TOC2"/>
        <w:tabs>
          <w:tab w:val="right" w:leader="dot" w:pos="7086"/>
        </w:tabs>
        <w:rPr>
          <w:b w:val="0"/>
          <w:sz w:val="24"/>
          <w:szCs w:val="24"/>
        </w:rPr>
      </w:pPr>
      <w:r>
        <w:rPr>
          <w:szCs w:val="30"/>
        </w:rPr>
        <w:t>Part 7 — Enforcement, liability and insurance</w:t>
      </w:r>
    </w:p>
    <w:p>
      <w:pPr>
        <w:pStyle w:val="TOC8"/>
        <w:rPr>
          <w:sz w:val="24"/>
          <w:szCs w:val="24"/>
        </w:rPr>
      </w:pPr>
      <w:r>
        <w:rPr>
          <w:szCs w:val="24"/>
        </w:rPr>
        <w:t>41</w:t>
      </w:r>
      <w:r>
        <w:rPr>
          <w:snapToGrid w:val="0"/>
          <w:szCs w:val="24"/>
        </w:rPr>
        <w:t>.</w:t>
      </w:r>
      <w:r>
        <w:rPr>
          <w:snapToGrid w:val="0"/>
          <w:szCs w:val="24"/>
        </w:rPr>
        <w:tab/>
        <w:t>Enforcement</w:t>
      </w:r>
      <w:r>
        <w:tab/>
      </w:r>
      <w:r>
        <w:fldChar w:fldCharType="begin"/>
      </w:r>
      <w:r>
        <w:instrText xml:space="preserve"> PAGEREF _Toc131912104 \h </w:instrText>
      </w:r>
      <w:r>
        <w:fldChar w:fldCharType="separate"/>
      </w:r>
      <w:r>
        <w:t>68</w:t>
      </w:r>
      <w:r>
        <w:fldChar w:fldCharType="end"/>
      </w:r>
    </w:p>
    <w:p>
      <w:pPr>
        <w:pStyle w:val="TOC8"/>
        <w:rPr>
          <w:sz w:val="24"/>
          <w:szCs w:val="24"/>
        </w:rPr>
      </w:pPr>
      <w:r>
        <w:rPr>
          <w:szCs w:val="24"/>
        </w:rPr>
        <w:t>42</w:t>
      </w:r>
      <w:r>
        <w:rPr>
          <w:snapToGrid w:val="0"/>
          <w:szCs w:val="24"/>
        </w:rPr>
        <w:t>.</w:t>
      </w:r>
      <w:r>
        <w:rPr>
          <w:snapToGrid w:val="0"/>
          <w:szCs w:val="24"/>
        </w:rPr>
        <w:tab/>
        <w:t>Liability, insurance and indemnity</w:t>
      </w:r>
      <w:r>
        <w:tab/>
      </w:r>
      <w:r>
        <w:fldChar w:fldCharType="begin"/>
      </w:r>
      <w:r>
        <w:instrText xml:space="preserve"> PAGEREF _Toc131912105 \h </w:instrText>
      </w:r>
      <w:r>
        <w:fldChar w:fldCharType="separate"/>
      </w:r>
      <w:r>
        <w:t>69</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Ancillary services</w:t>
      </w:r>
      <w:r>
        <w:tab/>
      </w:r>
      <w:r>
        <w:fldChar w:fldCharType="begin"/>
      </w:r>
      <w:r>
        <w:instrText xml:space="preserve"> PAGEREF _Toc131912107 \h </w:instrText>
      </w:r>
      <w:r>
        <w:fldChar w:fldCharType="separate"/>
      </w:r>
      <w:r>
        <w:t>72</w:t>
      </w:r>
      <w:r>
        <w:fldChar w:fldCharType="end"/>
      </w:r>
    </w:p>
    <w:p>
      <w:pPr>
        <w:pStyle w:val="TOC8"/>
        <w:rPr>
          <w:sz w:val="24"/>
          <w:szCs w:val="24"/>
        </w:rPr>
      </w:pPr>
      <w:r>
        <w:rPr>
          <w:szCs w:val="24"/>
        </w:rPr>
        <w:t>44</w:t>
      </w:r>
      <w:r>
        <w:rPr>
          <w:snapToGrid w:val="0"/>
          <w:szCs w:val="24"/>
        </w:rPr>
        <w:t>.</w:t>
      </w:r>
      <w:r>
        <w:rPr>
          <w:snapToGrid w:val="0"/>
          <w:szCs w:val="24"/>
        </w:rPr>
        <w:tab/>
        <w:t>Prudential requirements</w:t>
      </w:r>
      <w:r>
        <w:tab/>
      </w:r>
      <w:r>
        <w:fldChar w:fldCharType="begin"/>
      </w:r>
      <w:r>
        <w:instrText xml:space="preserve"> PAGEREF _Toc131912108 \h </w:instrText>
      </w:r>
      <w:r>
        <w:fldChar w:fldCharType="separate"/>
      </w:r>
      <w:r>
        <w:t>73</w:t>
      </w:r>
      <w:r>
        <w:fldChar w:fldCharType="end"/>
      </w:r>
    </w:p>
    <w:p>
      <w:pPr>
        <w:pStyle w:val="TOC8"/>
        <w:rPr>
          <w:sz w:val="24"/>
          <w:szCs w:val="24"/>
        </w:rPr>
      </w:pPr>
      <w:r>
        <w:rPr>
          <w:szCs w:val="24"/>
        </w:rPr>
        <w:t>45</w:t>
      </w:r>
      <w:r>
        <w:rPr>
          <w:snapToGrid w:val="0"/>
          <w:szCs w:val="24"/>
        </w:rPr>
        <w:t>.</w:t>
      </w:r>
      <w:r>
        <w:rPr>
          <w:snapToGrid w:val="0"/>
          <w:szCs w:val="24"/>
        </w:rPr>
        <w:tab/>
        <w:t>Title to electricity</w:t>
      </w:r>
      <w:r>
        <w:tab/>
      </w:r>
      <w:r>
        <w:fldChar w:fldCharType="begin"/>
      </w:r>
      <w:r>
        <w:instrText xml:space="preserve"> PAGEREF _Toc131912109 \h </w:instrText>
      </w:r>
      <w:r>
        <w:fldChar w:fldCharType="separate"/>
      </w:r>
      <w:r>
        <w:t>73</w:t>
      </w:r>
      <w:r>
        <w:fldChar w:fldCharType="end"/>
      </w:r>
    </w:p>
    <w:p>
      <w:pPr>
        <w:pStyle w:val="TOC8"/>
        <w:rPr>
          <w:sz w:val="24"/>
          <w:szCs w:val="24"/>
        </w:rPr>
      </w:pPr>
      <w:r>
        <w:rPr>
          <w:szCs w:val="24"/>
        </w:rPr>
        <w:t>46</w:t>
      </w:r>
      <w:r>
        <w:rPr>
          <w:snapToGrid w:val="0"/>
          <w:szCs w:val="24"/>
        </w:rPr>
        <w:t>.</w:t>
      </w:r>
      <w:r>
        <w:rPr>
          <w:snapToGrid w:val="0"/>
          <w:szCs w:val="24"/>
        </w:rPr>
        <w:tab/>
        <w:t>Assignment of distribution access agreements</w:t>
      </w:r>
      <w:r>
        <w:tab/>
      </w:r>
      <w:r>
        <w:fldChar w:fldCharType="begin"/>
      </w:r>
      <w:r>
        <w:instrText xml:space="preserve"> PAGEREF _Toc131912110 \h </w:instrText>
      </w:r>
      <w:r>
        <w:fldChar w:fldCharType="separate"/>
      </w:r>
      <w:r>
        <w:t>74</w:t>
      </w:r>
      <w:r>
        <w:fldChar w:fldCharType="end"/>
      </w:r>
    </w:p>
    <w:p>
      <w:pPr>
        <w:pStyle w:val="TOC8"/>
        <w:rPr>
          <w:sz w:val="24"/>
          <w:szCs w:val="24"/>
        </w:rPr>
      </w:pPr>
      <w:r>
        <w:rPr>
          <w:szCs w:val="24"/>
        </w:rPr>
        <w:t>47</w:t>
      </w:r>
      <w:r>
        <w:rPr>
          <w:snapToGrid w:val="0"/>
          <w:szCs w:val="24"/>
        </w:rPr>
        <w:t>.</w:t>
      </w:r>
      <w:r>
        <w:rPr>
          <w:snapToGrid w:val="0"/>
          <w:szCs w:val="24"/>
        </w:rPr>
        <w:tab/>
        <w:t>Essential terms</w:t>
      </w:r>
      <w:r>
        <w:tab/>
      </w:r>
      <w:r>
        <w:fldChar w:fldCharType="begin"/>
      </w:r>
      <w:r>
        <w:instrText xml:space="preserve"> PAGEREF _Toc131912111 \h </w:instrText>
      </w:r>
      <w:r>
        <w:fldChar w:fldCharType="separate"/>
      </w:r>
      <w:r>
        <w:t>75</w:t>
      </w:r>
      <w:r>
        <w:fldChar w:fldCharType="end"/>
      </w:r>
    </w:p>
    <w:p>
      <w:pPr>
        <w:pStyle w:val="TOC8"/>
        <w:rPr>
          <w:sz w:val="24"/>
          <w:szCs w:val="24"/>
        </w:rPr>
      </w:pPr>
      <w:r>
        <w:rPr>
          <w:szCs w:val="24"/>
        </w:rPr>
        <w:t>48</w:t>
      </w:r>
      <w:r>
        <w:rPr>
          <w:snapToGrid w:val="0"/>
          <w:szCs w:val="24"/>
        </w:rPr>
        <w:t>.</w:t>
      </w:r>
      <w:r>
        <w:rPr>
          <w:snapToGrid w:val="0"/>
          <w:szCs w:val="24"/>
        </w:rPr>
        <w:tab/>
        <w:t>Representations and warranties</w:t>
      </w:r>
      <w:r>
        <w:tab/>
      </w:r>
      <w:r>
        <w:fldChar w:fldCharType="begin"/>
      </w:r>
      <w:r>
        <w:instrText xml:space="preserve"> PAGEREF _Toc131912112 \h </w:instrText>
      </w:r>
      <w:r>
        <w:fldChar w:fldCharType="separate"/>
      </w:r>
      <w:r>
        <w:t>75</w:t>
      </w:r>
      <w:r>
        <w:fldChar w:fldCharType="end"/>
      </w:r>
    </w:p>
    <w:p>
      <w:pPr>
        <w:pStyle w:val="TOC8"/>
        <w:rPr>
          <w:sz w:val="24"/>
          <w:szCs w:val="24"/>
        </w:rPr>
      </w:pPr>
      <w:r>
        <w:rPr>
          <w:szCs w:val="24"/>
        </w:rPr>
        <w:t>49</w:t>
      </w:r>
      <w:r>
        <w:rPr>
          <w:snapToGrid w:val="0"/>
          <w:szCs w:val="24"/>
        </w:rPr>
        <w:t>.</w:t>
      </w:r>
      <w:r>
        <w:rPr>
          <w:snapToGrid w:val="0"/>
          <w:szCs w:val="24"/>
        </w:rPr>
        <w:tab/>
        <w:t>Payment arrangements</w:t>
      </w:r>
      <w:r>
        <w:tab/>
      </w:r>
      <w:r>
        <w:fldChar w:fldCharType="begin"/>
      </w:r>
      <w:r>
        <w:instrText xml:space="preserve"> PAGEREF _Toc131912113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Controllers</w:t>
      </w:r>
      <w:r>
        <w:tab/>
      </w:r>
      <w:r>
        <w:fldChar w:fldCharType="begin"/>
      </w:r>
      <w:r>
        <w:instrText xml:space="preserve"> PAGEREF _Toc131912114 \h </w:instrText>
      </w:r>
      <w:r>
        <w:fldChar w:fldCharType="separate"/>
      </w:r>
      <w:r>
        <w:t>78</w:t>
      </w:r>
      <w:r>
        <w:fldChar w:fldCharType="end"/>
      </w:r>
    </w:p>
    <w:p>
      <w:pPr>
        <w:pStyle w:val="TOC2"/>
        <w:tabs>
          <w:tab w:val="right" w:leader="dot" w:pos="7086"/>
        </w:tabs>
        <w:rPr>
          <w:b w:val="0"/>
          <w:sz w:val="24"/>
          <w:szCs w:val="24"/>
        </w:rPr>
      </w:pPr>
      <w:r>
        <w:rPr>
          <w:szCs w:val="30"/>
        </w:rPr>
        <w:t>Part 9 — Committed capacity and transitional provisions</w:t>
      </w:r>
    </w:p>
    <w:p>
      <w:pPr>
        <w:pStyle w:val="TOC8"/>
        <w:rPr>
          <w:sz w:val="24"/>
          <w:szCs w:val="24"/>
        </w:rPr>
      </w:pPr>
      <w:r>
        <w:rPr>
          <w:szCs w:val="24"/>
        </w:rPr>
        <w:t>51</w:t>
      </w:r>
      <w:r>
        <w:rPr>
          <w:snapToGrid w:val="0"/>
          <w:szCs w:val="24"/>
        </w:rPr>
        <w:t>.</w:t>
      </w:r>
      <w:r>
        <w:rPr>
          <w:snapToGrid w:val="0"/>
          <w:szCs w:val="24"/>
        </w:rPr>
        <w:tab/>
        <w:t>Interpretation</w:t>
      </w:r>
      <w:r>
        <w:tab/>
      </w:r>
      <w:r>
        <w:fldChar w:fldCharType="begin"/>
      </w:r>
      <w:r>
        <w:instrText xml:space="preserve"> PAGEREF _Toc131912116 \h </w:instrText>
      </w:r>
      <w:r>
        <w:fldChar w:fldCharType="separate"/>
      </w:r>
      <w:r>
        <w:t>79</w:t>
      </w:r>
      <w:r>
        <w:fldChar w:fldCharType="end"/>
      </w:r>
    </w:p>
    <w:p>
      <w:pPr>
        <w:pStyle w:val="TOC8"/>
        <w:rPr>
          <w:sz w:val="24"/>
          <w:szCs w:val="24"/>
        </w:rPr>
      </w:pPr>
      <w:r>
        <w:rPr>
          <w:szCs w:val="24"/>
        </w:rPr>
        <w:t>52.</w:t>
      </w:r>
      <w:r>
        <w:rPr>
          <w:szCs w:val="24"/>
        </w:rPr>
        <w:tab/>
        <w:t>Regional Power Corporation’s existing capacity</w:t>
      </w:r>
      <w:r>
        <w:tab/>
      </w:r>
      <w:r>
        <w:fldChar w:fldCharType="begin"/>
      </w:r>
      <w:r>
        <w:instrText xml:space="preserve"> PAGEREF _Toc131912117 \h </w:instrText>
      </w:r>
      <w:r>
        <w:fldChar w:fldCharType="separate"/>
      </w:r>
      <w:r>
        <w:t>79</w:t>
      </w:r>
      <w:r>
        <w:fldChar w:fldCharType="end"/>
      </w:r>
    </w:p>
    <w:p>
      <w:pPr>
        <w:pStyle w:val="TOC8"/>
        <w:rPr>
          <w:sz w:val="24"/>
          <w:szCs w:val="24"/>
        </w:rPr>
      </w:pPr>
      <w:r>
        <w:rPr>
          <w:szCs w:val="24"/>
        </w:rPr>
        <w:t>53</w:t>
      </w:r>
      <w:r>
        <w:rPr>
          <w:snapToGrid w:val="0"/>
          <w:szCs w:val="24"/>
        </w:rPr>
        <w:t>.</w:t>
      </w:r>
      <w:r>
        <w:rPr>
          <w:snapToGrid w:val="0"/>
          <w:szCs w:val="24"/>
        </w:rPr>
        <w:tab/>
        <w:t>Existing agreements</w:t>
      </w:r>
      <w:r>
        <w:tab/>
      </w:r>
      <w:r>
        <w:fldChar w:fldCharType="begin"/>
      </w:r>
      <w:r>
        <w:instrText xml:space="preserve"> PAGEREF _Toc131912118 \h </w:instrText>
      </w:r>
      <w:r>
        <w:fldChar w:fldCharType="separate"/>
      </w:r>
      <w:r>
        <w:t>79</w:t>
      </w:r>
      <w:r>
        <w:fldChar w:fldCharType="end"/>
      </w:r>
    </w:p>
    <w:p>
      <w:pPr>
        <w:pStyle w:val="TOC8"/>
        <w:rPr>
          <w:sz w:val="24"/>
          <w:szCs w:val="24"/>
        </w:rPr>
      </w:pPr>
      <w:r>
        <w:rPr>
          <w:szCs w:val="24"/>
        </w:rPr>
        <w:t>54</w:t>
      </w:r>
      <w:r>
        <w:rPr>
          <w:snapToGrid w:val="0"/>
          <w:szCs w:val="24"/>
        </w:rPr>
        <w:t>.</w:t>
      </w:r>
      <w:r>
        <w:rPr>
          <w:snapToGrid w:val="0"/>
          <w:szCs w:val="24"/>
        </w:rPr>
        <w:tab/>
        <w:t>Western Power and non</w:t>
      </w:r>
      <w:r>
        <w:rPr>
          <w:snapToGrid w:val="0"/>
          <w:szCs w:val="24"/>
        </w:rPr>
        <w:noBreakHyphen/>
        <w:t>eligible premises</w:t>
      </w:r>
      <w:r>
        <w:tab/>
      </w:r>
      <w:r>
        <w:fldChar w:fldCharType="begin"/>
      </w:r>
      <w:r>
        <w:instrText xml:space="preserve"> PAGEREF _Toc131912119 \h </w:instrText>
      </w:r>
      <w:r>
        <w:fldChar w:fldCharType="separate"/>
      </w:r>
      <w:r>
        <w:t>79</w:t>
      </w:r>
      <w:r>
        <w:fldChar w:fldCharType="end"/>
      </w:r>
    </w:p>
    <w:p>
      <w:pPr>
        <w:pStyle w:val="TOC2"/>
        <w:tabs>
          <w:tab w:val="right" w:leader="dot" w:pos="7086"/>
        </w:tabs>
        <w:rPr>
          <w:b w:val="0"/>
          <w:sz w:val="24"/>
          <w:szCs w:val="24"/>
        </w:rPr>
      </w:pPr>
      <w:r>
        <w:rPr>
          <w:szCs w:val="28"/>
        </w:rPr>
        <w:t>Schedule 1 — Access application flow chart</w:t>
      </w:r>
    </w:p>
    <w:p>
      <w:pPr>
        <w:pStyle w:val="TOC2"/>
        <w:tabs>
          <w:tab w:val="right" w:leader="dot" w:pos="7086"/>
        </w:tabs>
        <w:rPr>
          <w:b w:val="0"/>
          <w:sz w:val="24"/>
          <w:szCs w:val="24"/>
        </w:rPr>
      </w:pPr>
      <w:r>
        <w:rPr>
          <w:szCs w:val="28"/>
        </w:rPr>
        <w:t>Schedule 2 — Access information</w:t>
      </w:r>
    </w:p>
    <w:p>
      <w:pPr>
        <w:pStyle w:val="TOC2"/>
        <w:tabs>
          <w:tab w:val="right" w:leader="dot" w:pos="7086"/>
        </w:tabs>
        <w:rPr>
          <w:b w:val="0"/>
          <w:sz w:val="24"/>
          <w:szCs w:val="24"/>
        </w:rPr>
      </w:pPr>
      <w:r>
        <w:rPr>
          <w:szCs w:val="28"/>
        </w:rPr>
        <w:t>Part A — Information to be included in an access application</w:t>
      </w:r>
    </w:p>
    <w:p>
      <w:pPr>
        <w:pStyle w:val="TOC2"/>
        <w:tabs>
          <w:tab w:val="right" w:leader="dot" w:pos="7086"/>
        </w:tabs>
        <w:rPr>
          <w:b w:val="0"/>
          <w:sz w:val="24"/>
          <w:szCs w:val="24"/>
        </w:rPr>
      </w:pPr>
      <w:r>
        <w:rPr>
          <w:szCs w:val="28"/>
        </w:rPr>
        <w:t>Part B — Information to be included in a response</w:t>
      </w:r>
    </w:p>
    <w:p>
      <w:pPr>
        <w:pStyle w:val="TOC2"/>
        <w:tabs>
          <w:tab w:val="right" w:leader="dot" w:pos="7086"/>
        </w:tabs>
        <w:rPr>
          <w:b w:val="0"/>
          <w:sz w:val="24"/>
          <w:szCs w:val="24"/>
        </w:rPr>
      </w:pPr>
      <w:r>
        <w:rPr>
          <w:szCs w:val="28"/>
        </w:rPr>
        <w:t>Schedule 3 — Terms of an access offer</w:t>
      </w:r>
    </w:p>
    <w:p>
      <w:pPr>
        <w:pStyle w:val="TOC2"/>
        <w:tabs>
          <w:tab w:val="right" w:leader="dot" w:pos="7086"/>
        </w:tabs>
        <w:rPr>
          <w:b w:val="0"/>
          <w:sz w:val="24"/>
          <w:szCs w:val="24"/>
        </w:rPr>
      </w:pPr>
      <w:r>
        <w:rPr>
          <w:szCs w:val="28"/>
        </w:rPr>
        <w:t>Schedule 4 — Loss factor formula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_Toc131912127 \h </w:instrText>
      </w:r>
      <w:r>
        <w:fldChar w:fldCharType="separate"/>
      </w:r>
      <w:r>
        <w:t>88</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CORPORATION ACT 1994</w:t>
      </w:r>
    </w:p>
    <w:p>
      <w:pPr>
        <w:pStyle w:val="NameofActReg"/>
      </w:pPr>
      <w:r>
        <w:t>Electricity Distribution Regulations 1997</w:t>
      </w:r>
    </w:p>
    <w:p>
      <w:pPr>
        <w:pStyle w:val="MadeBy"/>
      </w:pPr>
      <w:r>
        <w:t>Made by the Governor in Executive Council.</w:t>
      </w:r>
    </w:p>
    <w:p>
      <w:pPr>
        <w:pStyle w:val="Heading2"/>
      </w:pPr>
      <w:bookmarkStart w:id="1" w:name="_Toc125451710"/>
      <w:bookmarkStart w:id="2" w:name="_Toc125452218"/>
      <w:bookmarkStart w:id="3" w:name="_Toc131575647"/>
      <w:bookmarkStart w:id="4" w:name="_Toc131575724"/>
      <w:bookmarkStart w:id="5" w:name="_Toc131912056"/>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p>
    <w:p>
      <w:pPr>
        <w:pStyle w:val="Heading5"/>
        <w:rPr>
          <w:snapToGrid w:val="0"/>
        </w:rPr>
      </w:pPr>
      <w:bookmarkStart w:id="6" w:name="_Toc28753057"/>
      <w:bookmarkStart w:id="7" w:name="_Toc131575648"/>
      <w:bookmarkStart w:id="8" w:name="_Toc131912057"/>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rPr>
        <w:t>.</w:t>
      </w:r>
    </w:p>
    <w:p>
      <w:pPr>
        <w:pStyle w:val="Heading5"/>
        <w:rPr>
          <w:snapToGrid w:val="0"/>
        </w:rPr>
      </w:pPr>
      <w:bookmarkStart w:id="9" w:name="_Toc28753058"/>
      <w:bookmarkStart w:id="10" w:name="_Toc131575649"/>
      <w:bookmarkStart w:id="11" w:name="_Toc13191205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2" w:name="_Toc28753059"/>
      <w:bookmarkStart w:id="13" w:name="_Toc131575650"/>
      <w:bookmarkStart w:id="14" w:name="_Toc131912059"/>
      <w:r>
        <w:rPr>
          <w:rStyle w:val="CharSectno"/>
        </w:rPr>
        <w:t>3</w:t>
      </w:r>
      <w:r>
        <w:rPr>
          <w:snapToGrid w:val="0"/>
        </w:rPr>
        <w:t>.</w:t>
      </w:r>
      <w:r>
        <w:rPr>
          <w:snapToGrid w:val="0"/>
        </w:rPr>
        <w:tab/>
        <w:t>Definitions</w:t>
      </w:r>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“access application”</w:t>
      </w:r>
      <w:r>
        <w:t xml:space="preserve"> means an access application made under regulation 8;</w:t>
      </w:r>
    </w:p>
    <w:p>
      <w:pPr>
        <w:pStyle w:val="Defstart"/>
      </w:pPr>
      <w:r>
        <w:rPr>
          <w:b/>
        </w:rPr>
        <w:tab/>
        <w:t>“access information”</w:t>
      </w:r>
      <w:r>
        <w:t xml:space="preserve"> has the meaning given in regulation 14 (1);</w:t>
      </w:r>
    </w:p>
    <w:p>
      <w:pPr>
        <w:pStyle w:val="Defstart"/>
      </w:pPr>
      <w:r>
        <w:rPr>
          <w:b/>
        </w:rPr>
        <w:tab/>
        <w:t>“access offer”</w:t>
      </w:r>
      <w:r>
        <w:t xml:space="preserve"> means an offer made by a corporation to an applicant to provide the distribution access services requested in an access application made by that applicant and, where the corporation makes an additional offer under regulation 11 (4) in relation to the access application, includes that additional offer;</w:t>
      </w:r>
    </w:p>
    <w:p>
      <w:pPr>
        <w:pStyle w:val="Defstart"/>
      </w:pPr>
      <w:r>
        <w:rPr>
          <w:b/>
        </w:rPr>
        <w:tab/>
        <w:t>“ancillary services”</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“applicable laws”</w:t>
      </w:r>
      <w:r>
        <w:t xml:space="preserve"> means the Act, the </w:t>
      </w:r>
      <w:r>
        <w:rPr>
          <w:i/>
        </w:rPr>
        <w:t>Energy Corporations (Powers) Act 1979</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“applicant”</w:t>
      </w:r>
      <w:r>
        <w:t>, in respect of an access application, means the person who has made the access application or on whose behalf the access application has been made;</w:t>
      </w:r>
    </w:p>
    <w:p>
      <w:pPr>
        <w:pStyle w:val="Defstart"/>
      </w:pPr>
      <w:r>
        <w:rPr>
          <w:b/>
        </w:rPr>
        <w:tab/>
        <w:t>“augment”</w:t>
      </w:r>
      <w:r>
        <w:t>, in relation to the electricity distribution network, means to enhance or expand the electricity distribution network;</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w:t>
      </w:r>
      <w:r>
        <w:t xml:space="preserve"> means a distribution connection or a transmission connection;</w:t>
      </w:r>
    </w:p>
    <w:p>
      <w:pPr>
        <w:pStyle w:val="Defstart"/>
      </w:pPr>
      <w:r>
        <w:rPr>
          <w:b/>
        </w:rPr>
        <w:tab/>
        <w:t>“connection equipment”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“connection services”</w:t>
      </w:r>
      <w:r>
        <w:t>, in respect of a distribution connection, means the establishment and maintenance of that distribution connection;</w:t>
      </w:r>
    </w:p>
    <w:p>
      <w:pPr>
        <w:pStyle w:val="Defstart"/>
      </w:pPr>
      <w:r>
        <w:rPr>
          <w:b/>
        </w:rPr>
        <w:tab/>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“declared sent</w:t>
      </w:r>
      <w:r>
        <w:rPr>
          <w:b/>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“disconnect”</w:t>
      </w:r>
      <w:r>
        <w:t>, in respect of a distribution connection, means to operate switching equipment so as to prevent the transfer of electricity through the distribution connection;</w:t>
      </w:r>
    </w:p>
    <w:p>
      <w:pPr>
        <w:pStyle w:val="Defstart"/>
      </w:pPr>
      <w:r>
        <w:rPr>
          <w:b/>
        </w:rPr>
        <w:tab/>
        <w:t>“</w:t>
      </w:r>
      <w:r>
        <w:rPr>
          <w:rStyle w:val="CharDefText"/>
        </w:rPr>
        <w:t>distribution access agreement</w:t>
      </w:r>
      <w:r>
        <w:rPr>
          <w:b/>
        </w:rPr>
        <w: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“distribution connection”</w:t>
      </w:r>
      <w:r>
        <w:t xml:space="preserve"> means a point at which electricity is transferred to or from the electricity distribution network;</w:t>
      </w:r>
    </w:p>
    <w:p>
      <w:pPr>
        <w:pStyle w:val="Defstart"/>
      </w:pPr>
      <w:r>
        <w:rPr>
          <w:b/>
        </w:rPr>
        <w:tab/>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t>“distribution entry point”</w:t>
      </w:r>
      <w:r>
        <w:t xml:space="preserve"> means an entry point which is also a distribution connection;</w:t>
      </w:r>
    </w:p>
    <w:p>
      <w:pPr>
        <w:pStyle w:val="Defstart"/>
      </w:pPr>
      <w:r>
        <w:rPr>
          <w:b/>
        </w:rPr>
        <w:tab/>
        <w:t>“distribution exit point”</w:t>
      </w:r>
      <w:r>
        <w:t xml:space="preserve"> means an exit point which is also a distribution connection;</w:t>
      </w:r>
    </w:p>
    <w:p>
      <w:pPr>
        <w:pStyle w:val="Defstart"/>
      </w:pPr>
      <w:r>
        <w:rPr>
          <w:b/>
        </w:rPr>
        <w:tab/>
        <w:t>“distribution network services”</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 and</w:t>
      </w:r>
    </w:p>
    <w:p>
      <w:pPr>
        <w:pStyle w:val="Defpara"/>
      </w:pPr>
      <w:r>
        <w:tab/>
        <w:t>(c)</w:t>
      </w:r>
      <w:r>
        <w:tab/>
        <w:t>the management of the voltage and frequency of electricity transferred through the electricity distribution network;</w:t>
      </w:r>
    </w:p>
    <w:p>
      <w:pPr>
        <w:pStyle w:val="Defstart"/>
      </w:pPr>
      <w:r>
        <w:rPr>
          <w:b/>
        </w:rPr>
        <w:tab/>
        <w:t>“distribution price schedule”</w:t>
      </w:r>
      <w:r>
        <w:t>, in respect of a financial year or other period of time, means the schedule of indicative prices referred to in clause 6 (3) (b) of Schedule 6 to the Act in respect of that financial year or other period of time prepared by a corporation;</w:t>
      </w:r>
    </w:p>
    <w:p>
      <w:pPr>
        <w:pStyle w:val="Defstart"/>
      </w:pPr>
      <w:r>
        <w:rPr>
          <w:b/>
        </w:rPr>
        <w:tab/>
        <w:t>“</w:t>
      </w:r>
      <w:r>
        <w:rPr>
          <w:rStyle w:val="CharDefText"/>
        </w:rPr>
        <w:t>Distribution Technical Code</w:t>
      </w:r>
      <w:r>
        <w:rPr>
          <w:b/>
        </w:rPr>
        <w:t>”</w:t>
      </w:r>
      <w:r>
        <w:t>, in relation to a corporation, means the Distribution Technical Code prepared by the corporation under regulation 28;</w:t>
      </w:r>
    </w:p>
    <w:p>
      <w:pPr>
        <w:pStyle w:val="Defstart"/>
      </w:pPr>
      <w:r>
        <w:rPr>
          <w:b/>
        </w:rPr>
        <w:tab/>
        <w:t>“</w:t>
      </w:r>
      <w:r>
        <w:rPr>
          <w:rStyle w:val="CharDefText"/>
        </w:rPr>
        <w:t>electricity distribution network</w:t>
      </w:r>
      <w:r>
        <w:rPr>
          <w:b/>
        </w:rPr>
        <w:t>”</w:t>
      </w:r>
      <w:r>
        <w:t>, in relation to a corporation, means the parts of the corporation’s system prescribed in regulation 5(1);</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“electricity transmission network”</w:t>
      </w:r>
      <w:r>
        <w:t xml:space="preserve"> has the meaning given in the </w:t>
      </w:r>
      <w:r>
        <w:rPr>
          <w:i/>
        </w:rPr>
        <w:t>Electricity Transmission Regulations 1996</w:t>
      </w:r>
      <w:r>
        <w:t>;</w:t>
      </w:r>
    </w:p>
    <w:p>
      <w:pPr>
        <w:pStyle w:val="Defstart"/>
      </w:pPr>
      <w:r>
        <w:rPr>
          <w:b/>
        </w:rPr>
        <w:tab/>
        <w:t>“eligible premises”</w:t>
      </w:r>
      <w:r>
        <w:t xml:space="preserve"> has the meaning given in regulation 51;</w:t>
      </w:r>
    </w:p>
    <w:p>
      <w:pPr>
        <w:pStyle w:val="Defstart"/>
      </w:pPr>
      <w:r>
        <w:rPr>
          <w:b/>
        </w:rPr>
        <w:tab/>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“encumbrance”</w:t>
      </w:r>
      <w:r>
        <w:t xml:space="preserve"> includes a mortgage, pledge, lien, charge or other security interest;</w:t>
      </w:r>
    </w:p>
    <w:p>
      <w:pPr>
        <w:pStyle w:val="Defstart"/>
      </w:pPr>
      <w:r>
        <w:rPr>
          <w:b/>
        </w:rPr>
        <w:tab/>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April 2006; or</w:t>
      </w:r>
    </w:p>
    <w:p>
      <w:pPr>
        <w:pStyle w:val="Defpara"/>
      </w:pPr>
      <w:r>
        <w:tab/>
        <w:t>(b)</w:t>
      </w:r>
      <w:r>
        <w:tab/>
        <w:t>was entered into after 1 April 2006 with a person in respect of any eligible premises;</w:t>
      </w:r>
    </w:p>
    <w:p>
      <w:pPr>
        <w:pStyle w:val="Defstart"/>
      </w:pPr>
      <w:r>
        <w:rPr>
          <w:b/>
        </w:rPr>
        <w:tab/>
        <w:t>“existing connection”</w:t>
      </w:r>
      <w:r>
        <w:t xml:space="preserve"> means a connection which exists as at 1 July 1997;</w:t>
      </w:r>
    </w:p>
    <w:p>
      <w:pPr>
        <w:pStyle w:val="Defstart"/>
      </w:pPr>
      <w:r>
        <w:rPr>
          <w:b/>
        </w:rPr>
        <w:tab/>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b/>
          <w:i/>
        </w:rPr>
        <w:t>force majeure</w:t>
      </w:r>
      <w:r>
        <w:rPr>
          <w:b/>
        </w:rPr>
        <w:t xml:space="preserve"> event”</w:t>
      </w:r>
      <w:r>
        <w:t xml:space="preserve"> has the meaning given in regulation 36 (1);</w:t>
      </w:r>
    </w:p>
    <w:p>
      <w:pPr>
        <w:pStyle w:val="Defstart"/>
      </w:pPr>
      <w:r>
        <w:rPr>
          <w:b/>
        </w:rPr>
        <w:tab/>
        <w:t>“generating unit”</w:t>
      </w:r>
      <w:r>
        <w:t xml:space="preserve"> means an electricity generator and related equipment essential to the electricity generator’s operation, which together function as a single entity;</w:t>
      </w:r>
    </w:p>
    <w:p>
      <w:pPr>
        <w:pStyle w:val="Defstart"/>
      </w:pPr>
      <w:r>
        <w:rPr>
          <w:b/>
        </w:rPr>
        <w:tab/>
        <w:t>“good electricity industry practice”</w:t>
      </w:r>
      <w:r>
        <w:t xml:space="preserve"> has the meaning given in regulation 30 (1);</w:t>
      </w:r>
    </w:p>
    <w:p>
      <w:pPr>
        <w:pStyle w:val="Defstart"/>
      </w:pPr>
      <w:r>
        <w:rPr>
          <w:b/>
        </w:rPr>
        <w:tab/>
        <w:t>“</w:t>
      </w:r>
      <w:r>
        <w:rPr>
          <w:rStyle w:val="CharDefText"/>
        </w:rPr>
        <w:t>interconnected network</w:t>
      </w:r>
      <w:r>
        <w:rPr>
          <w:b/>
        </w:rPr>
        <w:t>”</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t>“linked transmission agreement”</w:t>
      </w:r>
      <w:r>
        <w:t xml:space="preserve"> 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“metering equipment”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pPr>
      <w:r>
        <w:tab/>
      </w:r>
      <w:r>
        <w:tab/>
        <w:t>for the purposes of these regulations;</w:t>
      </w:r>
    </w:p>
    <w:p>
      <w:pPr>
        <w:pStyle w:val="Defstart"/>
      </w:pPr>
      <w:r>
        <w:rPr>
          <w:b/>
        </w:rPr>
        <w:tab/>
        <w:t>“metering services”</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“network planning criteria”</w:t>
      </w:r>
      <w:r>
        <w:t xml:space="preserve"> means the criteria developed by a corporation under regulation 29;</w:t>
      </w:r>
    </w:p>
    <w:p>
      <w:pPr>
        <w:pStyle w:val="Defstart"/>
      </w:pPr>
      <w:r>
        <w:rPr>
          <w:b/>
        </w:rPr>
        <w:tab/>
        <w:t>“outage”</w:t>
      </w:r>
      <w:r>
        <w:t xml:space="preserve"> means any planned or unplanned full or partial unavailability of plant or equipment;</w:t>
      </w:r>
    </w:p>
    <w:p>
      <w:pPr>
        <w:pStyle w:val="Defstart"/>
      </w:pPr>
      <w:r>
        <w:rPr>
          <w:b/>
        </w:rPr>
        <w:tab/>
        <w:t>“post</w:t>
      </w:r>
      <w:r>
        <w:rPr>
          <w:b/>
        </w:rPr>
        <w:noBreakHyphen/>
        <w:t>trip management”</w:t>
      </w:r>
      <w:r>
        <w:t xml:space="preserve"> means the maintenance of system security in the aftermath of trips;</w:t>
      </w:r>
    </w:p>
    <w:p>
      <w:pPr>
        <w:pStyle w:val="Defstart"/>
      </w:pPr>
      <w:r>
        <w:rPr>
          <w:b/>
        </w:rPr>
        <w:tab/>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“premises”</w:t>
      </w:r>
      <w:r>
        <w:t xml:space="preserve"> has the meaning given in the </w:t>
      </w:r>
      <w:r>
        <w:rPr>
          <w:i/>
        </w:rPr>
        <w:t>Energy Corporations (Powers) Act 1979</w:t>
      </w:r>
      <w:r>
        <w:t>;</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6 to the Act;</w:t>
      </w:r>
    </w:p>
    <w:p>
      <w:pPr>
        <w:pStyle w:val="Defstart"/>
      </w:pPr>
      <w:r>
        <w:rPr>
          <w:b/>
        </w:rPr>
        <w:tab/>
        <w:t>“Referee”</w:t>
      </w:r>
      <w:r>
        <w:t xml:space="preserve"> means the Office of Referee established under the </w:t>
      </w:r>
      <w:r>
        <w:rPr>
          <w:i/>
        </w:rPr>
        <w:t>Electricity Referee and Dispute Resolution Regulations 1997</w:t>
      </w:r>
      <w:r>
        <w:t>;</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pPr>
      <w:r>
        <w:rPr>
          <w:b/>
        </w:rPr>
        <w:tab/>
        <w:t>“</w:t>
      </w:r>
      <w:r>
        <w:rPr>
          <w:rStyle w:val="CharDefText"/>
        </w:rPr>
        <w:t>regional power system</w:t>
      </w:r>
      <w:r>
        <w:rPr>
          <w:b/>
        </w:rPr>
        <w:t>”</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t>“related body corporate”</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“response”</w:t>
      </w:r>
      <w:r>
        <w:t xml:space="preserve"> in respect of an access application means the response given under regulation 8 (8);</w:t>
      </w:r>
    </w:p>
    <w:p>
      <w:pPr>
        <w:pStyle w:val="Defstart"/>
      </w:pPr>
      <w:r>
        <w:rPr>
          <w:b/>
        </w:rPr>
        <w:tab/>
        <w:t>“sensitive information”</w:t>
      </w:r>
      <w:r>
        <w:t xml:space="preserve"> has the meaning given in regulation 14 (2);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“spinning reserve”</w:t>
      </w:r>
      <w:r>
        <w:t xml:space="preserve"> means the ability to immediately and automatically increase generation or reduce demand in response to a fall in frequency;</w:t>
      </w:r>
    </w:p>
    <w:p>
      <w:pPr>
        <w:pStyle w:val="Defstart"/>
      </w:pPr>
      <w:r>
        <w:rPr>
          <w:b/>
        </w:rPr>
        <w:tab/>
        <w:t>“sub</w:t>
      </w:r>
      <w:r>
        <w:rPr>
          <w:b/>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“transfer point”</w:t>
      </w:r>
      <w:r>
        <w:t xml:space="preserve"> means a point at which electricity is transferred between the electricity transmission network and the electricity distribution network;</w:t>
      </w:r>
    </w:p>
    <w:p>
      <w:pPr>
        <w:pStyle w:val="Defstart"/>
      </w:pPr>
      <w:r>
        <w:rPr>
          <w:b/>
        </w:rPr>
        <w:tab/>
        <w:t>“transmission access services”</w:t>
      </w:r>
      <w:r>
        <w:t xml:space="preserve"> has the meaning given to the term “access services” in the </w:t>
      </w:r>
      <w:r>
        <w:rPr>
          <w:i/>
        </w:rPr>
        <w:t>Electricity Transmission Regulations 1996</w:t>
      </w:r>
      <w:r>
        <w:t>;</w:t>
      </w:r>
    </w:p>
    <w:p>
      <w:pPr>
        <w:pStyle w:val="Defstart"/>
      </w:pPr>
      <w:r>
        <w:rPr>
          <w:b/>
        </w:rPr>
        <w:tab/>
        <w:t>“transmission connection”</w:t>
      </w:r>
      <w:r>
        <w:t xml:space="preserve"> means a point at which electricity is transferred to or from the electricity transmission network;</w:t>
      </w:r>
    </w:p>
    <w:p>
      <w:pPr>
        <w:pStyle w:val="Defstart"/>
      </w:pPr>
      <w:r>
        <w:rPr>
          <w:b/>
        </w:rPr>
        <w:tab/>
        <w:t>“transmission employee”</w:t>
      </w:r>
      <w:r>
        <w:t xml:space="preserve"> has the meaning given in the </w:t>
      </w:r>
      <w:r>
        <w:rPr>
          <w:i/>
        </w:rPr>
        <w:t>Electricity Transmission Regulations 1996</w:t>
      </w:r>
      <w:r>
        <w:t>;</w:t>
      </w:r>
    </w:p>
    <w:p>
      <w:pPr>
        <w:pStyle w:val="Defstart"/>
      </w:pPr>
      <w:r>
        <w:rPr>
          <w:b/>
        </w:rPr>
        <w:tab/>
        <w:t>“transmission fee schedule”</w:t>
      </w:r>
      <w:r>
        <w:t xml:space="preserve"> has the meaning given to the term “fee schedule” in the </w:t>
      </w:r>
      <w:r>
        <w:rPr>
          <w:i/>
        </w:rPr>
        <w:t>Electricity Transmission Regulations 1996</w:t>
      </w:r>
      <w:r>
        <w:t>;</w:t>
      </w:r>
    </w:p>
    <w:p>
      <w:pPr>
        <w:pStyle w:val="Defstart"/>
      </w:pPr>
      <w:r>
        <w:rPr>
          <w:b/>
        </w:rPr>
        <w:tab/>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p.7399; 28 Sep 2001 p.5357; 28 Dec 2001 p.6715; 22 Jun 2004 p. 2162</w:t>
      </w:r>
      <w:r>
        <w:noBreakHyphen/>
        <w:t>3; 31 Mar 2006 p. 1302</w:t>
      </w:r>
      <w:r>
        <w:noBreakHyphen/>
        <w:t>6, 1317 and 1319.]</w:t>
      </w:r>
    </w:p>
    <w:p>
      <w:pPr>
        <w:pStyle w:val="Heading5"/>
        <w:rPr>
          <w:snapToGrid w:val="0"/>
        </w:rPr>
      </w:pPr>
      <w:bookmarkStart w:id="15" w:name="_Toc28753060"/>
      <w:bookmarkStart w:id="16" w:name="_Toc131575651"/>
      <w:bookmarkStart w:id="17" w:name="_Toc131912060"/>
      <w:r>
        <w:rPr>
          <w:rStyle w:val="CharSectno"/>
        </w:rPr>
        <w:t>4</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b/>
          <w:snapToGrid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1317.]</w:t>
      </w:r>
    </w:p>
    <w:p>
      <w:pPr>
        <w:pStyle w:val="Heading5"/>
        <w:rPr>
          <w:snapToGrid w:val="0"/>
        </w:rPr>
      </w:pPr>
      <w:bookmarkStart w:id="18" w:name="_Toc28753061"/>
      <w:bookmarkStart w:id="19" w:name="_Toc131575652"/>
      <w:bookmarkStart w:id="20" w:name="_Toc131912061"/>
      <w:r>
        <w:rPr>
          <w:rStyle w:val="CharSectno"/>
        </w:rPr>
        <w:t>5</w:t>
      </w:r>
      <w:r>
        <w:rPr>
          <w:snapToGrid w:val="0"/>
        </w:rPr>
        <w:t>.</w:t>
      </w:r>
      <w:r>
        <w:rPr>
          <w:snapToGrid w:val="0"/>
        </w:rPr>
        <w:tab/>
        <w:t>Electricity distribution network</w:t>
      </w:r>
      <w:bookmarkEnd w:id="18"/>
      <w:bookmarkEnd w:id="19"/>
      <w:bookmarkEnd w:id="20"/>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must prepare and maintain a geographical depiction of its electricity distribution network.</w:t>
      </w:r>
    </w:p>
    <w:p>
      <w:pPr>
        <w:pStyle w:val="Subsection"/>
      </w:pPr>
      <w:r>
        <w:tab/>
        <w:t>(3)</w:t>
      </w:r>
      <w:r>
        <w:tab/>
        <w:t>A corporation must prepare the initial depiction of the electricity distribution network under subregulation (2) as at 1 April 2006 on or before 1 May 2006.</w:t>
      </w:r>
    </w:p>
    <w:p>
      <w:pPr>
        <w:pStyle w:val="Subsection"/>
        <w:rPr>
          <w:snapToGrid w:val="0"/>
        </w:rPr>
      </w:pPr>
      <w:r>
        <w:rPr>
          <w:snapToGrid w:val="0"/>
        </w:rPr>
        <w:tab/>
        <w:t>(3a)</w:t>
      </w:r>
      <w:r>
        <w:rPr>
          <w:snapToGrid w:val="0"/>
        </w:rPr>
        <w:tab/>
        <w:t xml:space="preserve">Before making a change to the depiction prepared and maintained under subregulation (2) to the effect that what was identified as a regional power isolated system is to be identified as a part of </w:t>
      </w:r>
      <w:r>
        <w:t xml:space="preserve">its interconnected </w:t>
      </w:r>
      <w:r>
        <w:rPr>
          <w:snapToGrid w:val="0"/>
        </w:rPr>
        <w:t xml:space="preserve">network, </w:t>
      </w:r>
      <w:r>
        <w:t xml:space="preserve">the Regional Power Corporation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r>
        <w:t xml:space="preserve">A corporation </w:t>
      </w:r>
      <w:r>
        <w:rPr>
          <w:snapToGrid w:val="0"/>
        </w:rPr>
        <w:t>must supply a copy of the depiction of the electricity distribution network prepared and maintained under subregulation (2) to any person which requests a copy of it.</w:t>
      </w:r>
    </w:p>
    <w:p>
      <w:pPr>
        <w:pStyle w:val="Footnotesection"/>
      </w:pPr>
      <w:r>
        <w:tab/>
        <w:t>[Regulation 5 amended in Gazette 31 Dec 1998 p. 7400; 31 Mar 2006 p. 1306</w:t>
      </w:r>
      <w:r>
        <w:noBreakHyphen/>
        <w:t>7 and 1316.]</w:t>
      </w:r>
    </w:p>
    <w:p>
      <w:pPr>
        <w:pStyle w:val="Heading5"/>
        <w:rPr>
          <w:snapToGrid w:val="0"/>
        </w:rPr>
      </w:pPr>
      <w:bookmarkStart w:id="21" w:name="_Toc28753062"/>
      <w:bookmarkStart w:id="22" w:name="_Toc131575653"/>
      <w:bookmarkStart w:id="23" w:name="_Toc131912062"/>
      <w:r>
        <w:rPr>
          <w:rStyle w:val="CharSectno"/>
        </w:rPr>
        <w:t>6</w:t>
      </w:r>
      <w:r>
        <w:rPr>
          <w:snapToGrid w:val="0"/>
        </w:rPr>
        <w:t>.</w:t>
      </w:r>
      <w:r>
        <w:rPr>
          <w:snapToGrid w:val="0"/>
        </w:rPr>
        <w:tab/>
        <w:t>Reports and forecasts and prescribed fees</w:t>
      </w:r>
      <w:bookmarkEnd w:id="21"/>
      <w:bookmarkEnd w:id="22"/>
      <w:bookmarkEnd w:id="23"/>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For the purposes of clauses 6 (1) (d) and 6 (3) of Schedule 6 to the Act and these regulations, the prescribed fee is $50.00.</w:t>
      </w:r>
    </w:p>
    <w:p>
      <w:pPr>
        <w:pStyle w:val="Footnotesection"/>
      </w:pPr>
      <w:r>
        <w:tab/>
        <w:t>[Regulation 6 amended in Gazette 31 Mar 2006 p. 1308.]</w:t>
      </w:r>
    </w:p>
    <w:p>
      <w:pPr>
        <w:pStyle w:val="Heading2"/>
      </w:pPr>
      <w:bookmarkStart w:id="24" w:name="_Toc125451717"/>
      <w:bookmarkStart w:id="25" w:name="_Toc125452225"/>
      <w:bookmarkStart w:id="26" w:name="_Toc131575654"/>
      <w:bookmarkStart w:id="27" w:name="_Toc131575731"/>
      <w:bookmarkStart w:id="28" w:name="_Toc131912063"/>
      <w:r>
        <w:rPr>
          <w:rStyle w:val="CharPartNo"/>
        </w:rPr>
        <w:t>Part 2</w:t>
      </w:r>
      <w:r>
        <w:rPr>
          <w:rStyle w:val="CharDivNo"/>
        </w:rPr>
        <w:t> </w:t>
      </w:r>
      <w:r>
        <w:t>—</w:t>
      </w:r>
      <w:r>
        <w:rPr>
          <w:rStyle w:val="CharDivText"/>
        </w:rPr>
        <w:t> </w:t>
      </w:r>
      <w:r>
        <w:rPr>
          <w:rStyle w:val="CharPartText"/>
        </w:rPr>
        <w:t>Access</w:t>
      </w:r>
      <w:bookmarkEnd w:id="24"/>
      <w:bookmarkEnd w:id="25"/>
      <w:bookmarkEnd w:id="26"/>
      <w:bookmarkEnd w:id="27"/>
      <w:bookmarkEnd w:id="28"/>
      <w:r>
        <w:rPr>
          <w:rStyle w:val="CharPartText"/>
        </w:rPr>
        <w:t xml:space="preserve"> </w:t>
      </w:r>
    </w:p>
    <w:p>
      <w:pPr>
        <w:pStyle w:val="Heading5"/>
        <w:rPr>
          <w:snapToGrid w:val="0"/>
        </w:rPr>
      </w:pPr>
      <w:bookmarkStart w:id="29" w:name="_Toc28753063"/>
      <w:bookmarkStart w:id="30" w:name="_Toc131575655"/>
      <w:bookmarkStart w:id="31" w:name="_Toc131912064"/>
      <w:r>
        <w:rPr>
          <w:rStyle w:val="CharSectno"/>
        </w:rPr>
        <w:t>7</w:t>
      </w:r>
      <w:r>
        <w:rPr>
          <w:snapToGrid w:val="0"/>
        </w:rPr>
        <w:t>.</w:t>
      </w:r>
      <w:r>
        <w:rPr>
          <w:snapToGrid w:val="0"/>
        </w:rPr>
        <w:tab/>
        <w:t>Access procedure</w:t>
      </w:r>
      <w:bookmarkEnd w:id="29"/>
      <w:bookmarkEnd w:id="30"/>
      <w:bookmarkEnd w:id="31"/>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2" w:name="_Toc28753064"/>
      <w:bookmarkStart w:id="33" w:name="_Toc131575656"/>
      <w:bookmarkStart w:id="34" w:name="_Toc131912065"/>
      <w:r>
        <w:rPr>
          <w:rStyle w:val="CharSectno"/>
        </w:rPr>
        <w:t>8</w:t>
      </w:r>
      <w:r>
        <w:rPr>
          <w:snapToGrid w:val="0"/>
        </w:rPr>
        <w:t>.</w:t>
      </w:r>
      <w:r>
        <w:rPr>
          <w:snapToGrid w:val="0"/>
        </w:rPr>
        <w:tab/>
        <w:t>Access application</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 (a) and (d) is indicative and is not binding on</w:t>
      </w:r>
      <w:r>
        <w:t xml:space="preserve"> the corporation</w:t>
      </w:r>
      <w:r>
        <w:rPr>
          <w:snapToGrid w:val="0"/>
        </w:rPr>
        <w:t>.</w:t>
      </w:r>
    </w:p>
    <w:p>
      <w:pPr>
        <w:pStyle w:val="Footnotesection"/>
      </w:pPr>
      <w:r>
        <w:tab/>
        <w:t>[Regulation 8 amended in Gazette 31 Mar 2006 p. 1308, 1317</w:t>
      </w:r>
      <w:r>
        <w:noBreakHyphen/>
        <w:t>18.]</w:t>
      </w:r>
    </w:p>
    <w:p>
      <w:pPr>
        <w:pStyle w:val="Heading5"/>
        <w:rPr>
          <w:snapToGrid w:val="0"/>
        </w:rPr>
      </w:pPr>
      <w:bookmarkStart w:id="35" w:name="_Toc28753065"/>
      <w:bookmarkStart w:id="36" w:name="_Toc131575657"/>
      <w:bookmarkStart w:id="37" w:name="_Toc131912066"/>
      <w:r>
        <w:rPr>
          <w:rStyle w:val="CharSectno"/>
        </w:rPr>
        <w:t>9</w:t>
      </w:r>
      <w:r>
        <w:rPr>
          <w:snapToGrid w:val="0"/>
        </w:rPr>
        <w:t>.</w:t>
      </w:r>
      <w:r>
        <w:rPr>
          <w:snapToGrid w:val="0"/>
        </w:rPr>
        <w:tab/>
        <w:t>Provision and use of information in respect of access application</w:t>
      </w:r>
      <w:bookmarkEnd w:id="35"/>
      <w:bookmarkEnd w:id="36"/>
      <w:bookmarkEnd w:id="3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 (8) or carry out the preliminary assessment and give the report under regulation 10 or make the access offer under regulation 11 (1)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1316-18.]</w:t>
      </w:r>
    </w:p>
    <w:p>
      <w:pPr>
        <w:pStyle w:val="Heading5"/>
        <w:rPr>
          <w:snapToGrid w:val="0"/>
        </w:rPr>
      </w:pPr>
      <w:bookmarkStart w:id="38" w:name="_Toc28753066"/>
      <w:bookmarkStart w:id="39" w:name="_Toc131575658"/>
      <w:bookmarkStart w:id="40" w:name="_Toc131912067"/>
      <w:r>
        <w:rPr>
          <w:rStyle w:val="CharSectno"/>
        </w:rPr>
        <w:t>10</w:t>
      </w:r>
      <w:r>
        <w:rPr>
          <w:snapToGrid w:val="0"/>
        </w:rPr>
        <w:t>.</w:t>
      </w:r>
      <w:r>
        <w:rPr>
          <w:snapToGrid w:val="0"/>
        </w:rPr>
        <w:tab/>
        <w:t>Preliminary assessment</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41" w:name="_Toc28753067"/>
      <w:bookmarkStart w:id="42" w:name="_Toc131575659"/>
      <w:bookmarkStart w:id="43" w:name="_Toc131912068"/>
      <w:r>
        <w:rPr>
          <w:rStyle w:val="CharSectno"/>
        </w:rPr>
        <w:t>11</w:t>
      </w:r>
      <w:r>
        <w:rPr>
          <w:snapToGrid w:val="0"/>
        </w:rPr>
        <w:t>.</w:t>
      </w:r>
      <w:r>
        <w:rPr>
          <w:snapToGrid w:val="0"/>
        </w:rPr>
        <w:tab/>
        <w:t>Access offer</w:t>
      </w:r>
      <w:bookmarkEnd w:id="41"/>
      <w:bookmarkEnd w:id="42"/>
      <w:bookmarkEnd w:id="43"/>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 (1)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 (d) (ii)) or regulation 12 (4),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 (a),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 (b),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 (1);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 (1), if required.</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keepNext/>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w:t>
      </w:r>
      <w:r>
        <w:noBreakHyphen/>
        <w:t>18.]</w:t>
      </w:r>
    </w:p>
    <w:p>
      <w:pPr>
        <w:pStyle w:val="Heading5"/>
        <w:rPr>
          <w:snapToGrid w:val="0"/>
        </w:rPr>
      </w:pPr>
      <w:bookmarkStart w:id="44" w:name="_Toc28753068"/>
      <w:bookmarkStart w:id="45" w:name="_Toc131575660"/>
      <w:bookmarkStart w:id="46" w:name="_Toc131912069"/>
      <w:r>
        <w:rPr>
          <w:rStyle w:val="CharSectno"/>
        </w:rPr>
        <w:t>12</w:t>
      </w:r>
      <w:r>
        <w:rPr>
          <w:snapToGrid w:val="0"/>
        </w:rPr>
        <w:t>.</w:t>
      </w:r>
      <w:r>
        <w:rPr>
          <w:snapToGrid w:val="0"/>
        </w:rPr>
        <w:tab/>
        <w:t>Capital contributions</w:t>
      </w:r>
      <w:bookmarkEnd w:id="44"/>
      <w:bookmarkEnd w:id="45"/>
      <w:bookmarkEnd w:id="46"/>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iCs/>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 (c) or subregulation (5) (b)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 (c) or subregulation (5) (b)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p.7400; 28 Dec 2001 p.6715; 31 Mar 2006 p. 1308</w:t>
      </w:r>
      <w:r>
        <w:noBreakHyphen/>
        <w:t>9, 1317-19.]</w:t>
      </w:r>
    </w:p>
    <w:p>
      <w:pPr>
        <w:pStyle w:val="Heading5"/>
        <w:rPr>
          <w:snapToGrid w:val="0"/>
        </w:rPr>
      </w:pPr>
      <w:bookmarkStart w:id="47" w:name="_Toc28753069"/>
      <w:bookmarkStart w:id="48" w:name="_Toc131575661"/>
      <w:bookmarkStart w:id="49" w:name="_Toc131912070"/>
      <w:r>
        <w:rPr>
          <w:rStyle w:val="CharSectno"/>
        </w:rPr>
        <w:t>13</w:t>
      </w:r>
      <w:r>
        <w:rPr>
          <w:snapToGrid w:val="0"/>
        </w:rPr>
        <w:t>.</w:t>
      </w:r>
      <w:r>
        <w:rPr>
          <w:snapToGrid w:val="0"/>
        </w:rPr>
        <w:tab/>
        <w:t>First come first served</w:t>
      </w:r>
      <w:bookmarkEnd w:id="47"/>
      <w:bookmarkEnd w:id="48"/>
      <w:bookmarkEnd w:id="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 (7),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1317-18.]</w:t>
      </w:r>
    </w:p>
    <w:p>
      <w:pPr>
        <w:pStyle w:val="Heading5"/>
        <w:rPr>
          <w:snapToGrid w:val="0"/>
        </w:rPr>
      </w:pPr>
      <w:bookmarkStart w:id="50" w:name="_Toc28753070"/>
      <w:bookmarkStart w:id="51" w:name="_Toc131575662"/>
      <w:bookmarkStart w:id="52" w:name="_Toc131912071"/>
      <w:r>
        <w:rPr>
          <w:rStyle w:val="CharSectno"/>
        </w:rPr>
        <w:t>14</w:t>
      </w:r>
      <w:r>
        <w:rPr>
          <w:snapToGrid w:val="0"/>
        </w:rPr>
        <w:t>.</w:t>
      </w:r>
      <w:r>
        <w:rPr>
          <w:snapToGrid w:val="0"/>
        </w:rPr>
        <w:tab/>
        <w:t>Confidentiality</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“access information”</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 (1)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keepNext/>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1316-19.]</w:t>
      </w:r>
    </w:p>
    <w:p>
      <w:pPr>
        <w:pStyle w:val="Heading5"/>
        <w:rPr>
          <w:snapToGrid w:val="0"/>
        </w:rPr>
      </w:pPr>
      <w:bookmarkStart w:id="53" w:name="_Toc28753071"/>
      <w:bookmarkStart w:id="54" w:name="_Toc131575663"/>
      <w:bookmarkStart w:id="55" w:name="_Toc131912072"/>
      <w:r>
        <w:rPr>
          <w:rStyle w:val="CharSectno"/>
        </w:rPr>
        <w:t>15</w:t>
      </w:r>
      <w:r>
        <w:rPr>
          <w:snapToGrid w:val="0"/>
        </w:rPr>
        <w:t>.</w:t>
      </w:r>
      <w:r>
        <w:rPr>
          <w:snapToGrid w:val="0"/>
        </w:rPr>
        <w:tab/>
        <w:t>Distribution access agreements</w:t>
      </w:r>
      <w:bookmarkEnd w:id="53"/>
      <w:bookmarkEnd w:id="54"/>
      <w:bookmarkEnd w:id="55"/>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where </w:t>
      </w:r>
      <w:r>
        <w:t xml:space="preserve">the corporation </w:t>
      </w:r>
      <w:r>
        <w:rPr>
          <w:snapToGrid w:val="0"/>
        </w:rPr>
        <w:t>and the person enter into a distribution access agreement.</w:t>
      </w:r>
    </w:p>
    <w:p>
      <w:pPr>
        <w:pStyle w:val="Ednotesubsection"/>
      </w:pPr>
      <w:r>
        <w:tab/>
        <w:t>[(2)-(6)</w:t>
      </w:r>
      <w:r>
        <w:tab/>
        <w:t>repealed]</w:t>
      </w:r>
    </w:p>
    <w:p>
      <w:pPr>
        <w:pStyle w:val="Footnotesection"/>
      </w:pPr>
      <w:bookmarkStart w:id="56" w:name="_Toc28753072"/>
      <w:r>
        <w:tab/>
        <w:t>[Regulation 15 amended in Gazette 20 Jan 2006 p. 379; 31 Mar 2006 p. 1309, 1316 and 1318.]</w:t>
      </w:r>
    </w:p>
    <w:p>
      <w:pPr>
        <w:pStyle w:val="Heading5"/>
        <w:rPr>
          <w:snapToGrid w:val="0"/>
        </w:rPr>
      </w:pPr>
      <w:bookmarkStart w:id="57" w:name="_Toc131575664"/>
      <w:bookmarkStart w:id="58" w:name="_Toc131912073"/>
      <w:r>
        <w:rPr>
          <w:rStyle w:val="CharSectno"/>
        </w:rPr>
        <w:t>16</w:t>
      </w:r>
      <w:r>
        <w:rPr>
          <w:snapToGrid w:val="0"/>
        </w:rPr>
        <w:t>.</w:t>
      </w:r>
      <w:r>
        <w:rPr>
          <w:snapToGrid w:val="0"/>
        </w:rPr>
        <w:tab/>
        <w:t>Cost of processing access applications</w:t>
      </w:r>
      <w:bookmarkEnd w:id="56"/>
      <w:bookmarkEnd w:id="57"/>
      <w:bookmarkEnd w:id="58"/>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59" w:name="_Toc28753073"/>
      <w:bookmarkStart w:id="60" w:name="_Toc131575665"/>
      <w:bookmarkStart w:id="61" w:name="_Toc131912074"/>
      <w:r>
        <w:rPr>
          <w:rStyle w:val="CharSectno"/>
        </w:rPr>
        <w:t>17</w:t>
      </w:r>
      <w:r>
        <w:rPr>
          <w:snapToGrid w:val="0"/>
        </w:rPr>
        <w:t>.</w:t>
      </w:r>
      <w:r>
        <w:rPr>
          <w:snapToGrid w:val="0"/>
        </w:rPr>
        <w:tab/>
        <w:t>Suspension of time limits</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periods of time referred to in regulations 8 (7), 9 (4) (b), 10 (1), 11 (1) and 11 (7) may cease to run in accordance with regulation 8 (2) of the </w:t>
      </w:r>
      <w:r>
        <w:rPr>
          <w:i/>
          <w:snapToGrid w:val="0"/>
        </w:rPr>
        <w:t>Electricity Referee and Dispute Resolution Regulations 1997</w:t>
      </w:r>
      <w:r>
        <w:rPr>
          <w:snapToGrid w:val="0"/>
        </w:rPr>
        <w:t>.</w:t>
      </w:r>
    </w:p>
    <w:p>
      <w:pPr>
        <w:pStyle w:val="Heading5"/>
        <w:rPr>
          <w:snapToGrid w:val="0"/>
        </w:rPr>
      </w:pPr>
      <w:bookmarkStart w:id="62" w:name="_Toc28753074"/>
      <w:bookmarkStart w:id="63" w:name="_Toc131575666"/>
      <w:bookmarkStart w:id="64" w:name="_Toc131912075"/>
      <w:r>
        <w:rPr>
          <w:rStyle w:val="CharSectno"/>
        </w:rPr>
        <w:t>18</w:t>
      </w:r>
      <w:r>
        <w:rPr>
          <w:snapToGrid w:val="0"/>
        </w:rPr>
        <w:t>.</w:t>
      </w:r>
      <w:r>
        <w:rPr>
          <w:snapToGrid w:val="0"/>
        </w:rPr>
        <w:tab/>
        <w:t>Metering</w:t>
      </w:r>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65" w:name="_Toc125451730"/>
      <w:bookmarkStart w:id="66" w:name="_Toc125452238"/>
      <w:bookmarkStart w:id="67" w:name="_Toc131575667"/>
      <w:bookmarkStart w:id="68" w:name="_Toc131575744"/>
      <w:bookmarkStart w:id="69" w:name="_Toc131912076"/>
      <w:r>
        <w:rPr>
          <w:rStyle w:val="CharPartNo"/>
        </w:rPr>
        <w:t>Part 3</w:t>
      </w:r>
      <w:r>
        <w:rPr>
          <w:rStyle w:val="CharDivNo"/>
        </w:rPr>
        <w:t> </w:t>
      </w:r>
      <w:r>
        <w:t>—</w:t>
      </w:r>
      <w:r>
        <w:rPr>
          <w:rStyle w:val="CharDivText"/>
        </w:rPr>
        <w:t> </w:t>
      </w:r>
      <w:r>
        <w:rPr>
          <w:rStyle w:val="CharPartText"/>
        </w:rPr>
        <w:t>Pricing methods, prices and charges</w:t>
      </w:r>
      <w:bookmarkEnd w:id="65"/>
      <w:bookmarkEnd w:id="66"/>
      <w:bookmarkEnd w:id="67"/>
      <w:bookmarkEnd w:id="68"/>
      <w:bookmarkEnd w:id="69"/>
      <w:r>
        <w:rPr>
          <w:rStyle w:val="CharPartText"/>
        </w:rPr>
        <w:t xml:space="preserve"> </w:t>
      </w:r>
    </w:p>
    <w:p>
      <w:pPr>
        <w:pStyle w:val="Heading5"/>
        <w:rPr>
          <w:snapToGrid w:val="0"/>
        </w:rPr>
      </w:pPr>
      <w:bookmarkStart w:id="70" w:name="_Toc28753075"/>
      <w:bookmarkStart w:id="71" w:name="_Toc131575668"/>
      <w:bookmarkStart w:id="72" w:name="_Toc131912077"/>
      <w:r>
        <w:rPr>
          <w:rStyle w:val="CharSectno"/>
        </w:rPr>
        <w:t>19</w:t>
      </w:r>
      <w:r>
        <w:rPr>
          <w:snapToGrid w:val="0"/>
        </w:rPr>
        <w:t>.</w:t>
      </w:r>
      <w:r>
        <w:rPr>
          <w:snapToGrid w:val="0"/>
        </w:rPr>
        <w:tab/>
        <w:t>Pricing methods and prices</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Before </w:t>
      </w:r>
      <w:r>
        <w:t xml:space="preserve">a corporation </w:t>
      </w:r>
      <w:r>
        <w:rPr>
          <w:snapToGrid w:val="0"/>
        </w:rPr>
        <w:t>adopts pricing methods under clause 6 (2)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deleted]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p.7400; 28 Dec 2001 p.6715; 31 Mar 2006 p. 1309, 1316 and 1318.]</w:t>
      </w:r>
    </w:p>
    <w:p>
      <w:pPr>
        <w:pStyle w:val="Heading5"/>
        <w:rPr>
          <w:snapToGrid w:val="0"/>
        </w:rPr>
      </w:pPr>
      <w:bookmarkStart w:id="73" w:name="_Toc28753076"/>
      <w:bookmarkStart w:id="74" w:name="_Toc131575669"/>
      <w:bookmarkStart w:id="75" w:name="_Toc131912078"/>
      <w:r>
        <w:rPr>
          <w:rStyle w:val="CharSectno"/>
        </w:rPr>
        <w:t>20</w:t>
      </w:r>
      <w:r>
        <w:rPr>
          <w:snapToGrid w:val="0"/>
        </w:rPr>
        <w:t>.</w:t>
      </w:r>
      <w:r>
        <w:rPr>
          <w:snapToGrid w:val="0"/>
        </w:rPr>
        <w:tab/>
        <w:t>Charges</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1318-19.]</w:t>
      </w:r>
    </w:p>
    <w:p>
      <w:pPr>
        <w:pStyle w:val="Heading2"/>
      </w:pPr>
      <w:bookmarkStart w:id="76" w:name="_Toc125451733"/>
      <w:bookmarkStart w:id="77" w:name="_Toc125452241"/>
      <w:bookmarkStart w:id="78" w:name="_Toc131575670"/>
      <w:bookmarkStart w:id="79" w:name="_Toc131575747"/>
      <w:bookmarkStart w:id="80" w:name="_Toc131912079"/>
      <w:r>
        <w:rPr>
          <w:rStyle w:val="CharPartNo"/>
        </w:rPr>
        <w:t>Part 4</w:t>
      </w:r>
      <w:r>
        <w:rPr>
          <w:rStyle w:val="CharDivNo"/>
        </w:rPr>
        <w:t> </w:t>
      </w:r>
      <w:r>
        <w:t>—</w:t>
      </w:r>
      <w:r>
        <w:rPr>
          <w:rStyle w:val="CharDivText"/>
        </w:rPr>
        <w:t> </w:t>
      </w:r>
      <w:r>
        <w:rPr>
          <w:rStyle w:val="CharPartText"/>
        </w:rPr>
        <w:t>Balancing</w:t>
      </w:r>
      <w:bookmarkEnd w:id="76"/>
      <w:bookmarkEnd w:id="77"/>
      <w:bookmarkEnd w:id="78"/>
      <w:bookmarkEnd w:id="79"/>
      <w:bookmarkEnd w:id="80"/>
      <w:r>
        <w:rPr>
          <w:rStyle w:val="CharPartText"/>
        </w:rPr>
        <w:t xml:space="preserve"> </w:t>
      </w:r>
    </w:p>
    <w:p>
      <w:pPr>
        <w:pStyle w:val="Heading5"/>
        <w:rPr>
          <w:snapToGrid w:val="0"/>
        </w:rPr>
      </w:pPr>
      <w:bookmarkStart w:id="81" w:name="_Toc28753077"/>
      <w:bookmarkStart w:id="82" w:name="_Toc131575671"/>
      <w:bookmarkStart w:id="83" w:name="_Toc131912080"/>
      <w:r>
        <w:rPr>
          <w:rStyle w:val="CharSectno"/>
        </w:rPr>
        <w:t>21</w:t>
      </w:r>
      <w:r>
        <w:rPr>
          <w:snapToGrid w:val="0"/>
        </w:rPr>
        <w:t>.</w:t>
      </w:r>
      <w:r>
        <w:rPr>
          <w:snapToGrid w:val="0"/>
        </w:rPr>
        <w:tab/>
        <w:t>Standby arrangements</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rPr>
          <w:rStyle w:val="CharSectno"/>
        </w:rPr>
      </w:pPr>
      <w:bookmarkStart w:id="84" w:name="_Toc28753078"/>
      <w:bookmarkStart w:id="85" w:name="_Toc131575672"/>
      <w:bookmarkStart w:id="86" w:name="_Toc131912081"/>
      <w:r>
        <w:rPr>
          <w:rStyle w:val="CharSectno"/>
        </w:rPr>
        <w:t>22.</w:t>
      </w:r>
      <w:r>
        <w:rPr>
          <w:rStyle w:val="CharSectno"/>
        </w:rPr>
        <w:tab/>
        <w:t>Loss Factors</w:t>
      </w:r>
      <w:bookmarkEnd w:id="84"/>
      <w:bookmarkEnd w:id="85"/>
      <w:bookmarkEnd w:id="86"/>
    </w:p>
    <w:p>
      <w:pPr>
        <w:pStyle w:val="Subsection"/>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p.7401; amended in Gazette 28 Dec 2001 p.6715-6; 31 Mar 2006 p. 1310</w:t>
      </w:r>
      <w:r>
        <w:noBreakHyphen/>
        <w:t>11.]</w:t>
      </w:r>
    </w:p>
    <w:p>
      <w:pPr>
        <w:pStyle w:val="Heading5"/>
        <w:rPr>
          <w:snapToGrid w:val="0"/>
        </w:rPr>
      </w:pPr>
      <w:bookmarkStart w:id="87" w:name="_Toc28753079"/>
      <w:bookmarkStart w:id="88" w:name="_Toc131575673"/>
      <w:bookmarkStart w:id="89" w:name="_Toc131912082"/>
      <w:r>
        <w:rPr>
          <w:rStyle w:val="CharSectno"/>
        </w:rPr>
        <w:t>23</w:t>
      </w:r>
      <w:r>
        <w:rPr>
          <w:snapToGrid w:val="0"/>
        </w:rPr>
        <w:t>.</w:t>
      </w:r>
      <w:r>
        <w:rPr>
          <w:snapToGrid w:val="0"/>
        </w:rPr>
        <w:tab/>
        <w:t>Interpretation of regulations 24, 25 and 27</w:t>
      </w:r>
      <w:bookmarkEnd w:id="87"/>
      <w:bookmarkEnd w:id="88"/>
      <w:bookmarkEnd w:id="89"/>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“group of connections”</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“energy entry amount”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0" o:title=""/>
          </v:shape>
          <o:OLEObject Type="Embed" ProgID="Equation.3" ShapeID="_x0000_i1025" DrawAspect="Content" ObjectID="_1644028660"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“energy exit amount”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object w:dxaOrig="4400" w:dyaOrig="680">
          <v:shape id="_x0000_i1026" type="#_x0000_t75" style="width:219.75pt;height:33.75pt" o:ole="" fillcolor="window">
            <v:imagedata r:id="rId22" o:title=""/>
          </v:shape>
          <o:OLEObject Type="Embed" ProgID="Equation.3" ShapeID="_x0000_i1026" DrawAspect="Content" ObjectID="_1644028661"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23 amended in Gazette 31 Dec 1998 p.7401; 28 Dec 2001 p.6716; 29 Oct 2002 p.5344-5; 22 Jun 2004 p. 2163.]</w:t>
      </w:r>
    </w:p>
    <w:p>
      <w:pPr>
        <w:pStyle w:val="Heading5"/>
        <w:rPr>
          <w:snapToGrid w:val="0"/>
        </w:rPr>
      </w:pPr>
      <w:bookmarkStart w:id="90" w:name="_Toc28753080"/>
      <w:bookmarkStart w:id="91" w:name="_Toc131575674"/>
      <w:bookmarkStart w:id="92" w:name="_Toc131912083"/>
      <w:r>
        <w:rPr>
          <w:rStyle w:val="CharSectno"/>
        </w:rPr>
        <w:t>24</w:t>
      </w:r>
      <w:r>
        <w:rPr>
          <w:snapToGrid w:val="0"/>
        </w:rPr>
        <w:t>.</w:t>
      </w:r>
      <w:r>
        <w:rPr>
          <w:snapToGrid w:val="0"/>
        </w:rPr>
        <w:tab/>
        <w:t>Balancing</w:t>
      </w:r>
      <w:bookmarkEnd w:id="90"/>
      <w:bookmarkEnd w:id="91"/>
      <w:bookmarkEnd w:id="92"/>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4" o:title=""/>
          </v:shape>
          <o:OLEObject Type="Embed" ProgID="Equation.3" ShapeID="_x0000_i1027" DrawAspect="Content" ObjectID="_1644028662" r:id="rId25"/>
        </w:obje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b/>
          <w:snapToGrid w:val="0"/>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6" o:title=""/>
          </v:shape>
          <o:OLEObject Type="Embed" ProgID="Equation.3" ShapeID="_x0000_i1028" DrawAspect="Content" ObjectID="_1644028663"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distribution access agreement for the month;</w:t>
      </w:r>
    </w:p>
    <w:p>
      <w:pPr>
        <w:pStyle w:val="Indenta"/>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p.7401; 28 Dec 2001 p.6716; 22 Jun 2004 p. 2164; 31 Mar 2006 p. 1311.]</w:t>
      </w:r>
    </w:p>
    <w:p>
      <w:pPr>
        <w:pStyle w:val="Heading5"/>
        <w:rPr>
          <w:snapToGrid w:val="0"/>
        </w:rPr>
      </w:pPr>
      <w:bookmarkStart w:id="93" w:name="_Toc28753081"/>
      <w:bookmarkStart w:id="94" w:name="_Toc131575675"/>
      <w:bookmarkStart w:id="95" w:name="_Toc131912084"/>
      <w:r>
        <w:rPr>
          <w:rStyle w:val="CharSectno"/>
        </w:rPr>
        <w:t>25</w:t>
      </w:r>
      <w:r>
        <w:rPr>
          <w:snapToGrid w:val="0"/>
        </w:rPr>
        <w:t>.</w:t>
      </w:r>
      <w:r>
        <w:rPr>
          <w:snapToGrid w:val="0"/>
        </w:rPr>
        <w:tab/>
        <w:t>Excess standby generation charge</w:t>
      </w:r>
      <w:bookmarkEnd w:id="93"/>
      <w:bookmarkEnd w:id="94"/>
      <w:bookmarkEnd w:id="95"/>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regulation — </w:t>
      </w:r>
    </w:p>
    <w:p>
      <w:pPr>
        <w:pStyle w:val="Indenta"/>
        <w:rPr>
          <w:snapToGrid w:val="0"/>
        </w:rPr>
      </w:pPr>
      <w:r>
        <w:rPr>
          <w:snapToGrid w:val="0"/>
        </w:rPr>
        <w:tab/>
        <w:t>(a)</w:t>
      </w:r>
      <w:r>
        <w:rPr>
          <w:snapToGrid w:val="0"/>
        </w:rPr>
        <w:tab/>
        <w:t xml:space="preserve">the </w:t>
      </w:r>
      <w:r>
        <w:rPr>
          <w:b/>
          <w:snapToGrid w:val="0"/>
        </w:rPr>
        <w:t>“demand exit rate”</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object w:dxaOrig="4400" w:dyaOrig="680">
          <v:shape id="_x0000_i1029" type="#_x0000_t75" style="width:219.75pt;height:33.75pt" o:ole="" fillcolor="window">
            <v:imagedata r:id="rId28" o:title=""/>
          </v:shape>
          <o:OLEObject Type="Embed" ProgID="Equation.3" ShapeID="_x0000_i1029" DrawAspect="Content" ObjectID="_1644028664"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keepNext/>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LFTXExit</w:t>
      </w:r>
      <w:r>
        <w:rPr>
          <w:rFonts w:ascii="Times" w:hAnsi="Times"/>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“demand entry rate”</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object w:dxaOrig="4640" w:dyaOrig="740">
          <v:shape id="_x0000_i1030" type="#_x0000_t75" style="width:231.75pt;height:36.75pt" o:ole="" fillcolor="window">
            <v:imagedata r:id="rId30" o:title=""/>
          </v:shape>
          <o:OLEObject Type="Embed" ProgID="Equation.3" ShapeID="_x0000_i1030" DrawAspect="Content" ObjectID="_1644028665" r:id="rId31"/>
        </w:object>
      </w:r>
    </w:p>
    <w:p>
      <w:pPr>
        <w:pStyle w:val="Subsection"/>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“excess demand”</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2" o:title=""/>
          </v:shape>
          <o:OLEObject Type="Embed" ProgID="Equation.3" ShapeID="_x0000_i1031" DrawAspect="Content" ObjectID="_1644028666"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(in kW) is the highest excess demand in respect of the group of connections for any half hour falling within excess demand period i;</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p.6716; 29 Oct 2002 p.5344-5; 22 Jun 2004 p. 2164; 31 Mar 2006 p. 1311.]</w:t>
      </w:r>
    </w:p>
    <w:p>
      <w:pPr>
        <w:pStyle w:val="Heading5"/>
        <w:rPr>
          <w:snapToGrid w:val="0"/>
        </w:rPr>
      </w:pPr>
      <w:bookmarkStart w:id="96" w:name="_Toc28753082"/>
      <w:bookmarkStart w:id="97" w:name="_Toc131575676"/>
      <w:bookmarkStart w:id="98" w:name="_Toc131912085"/>
      <w:r>
        <w:rPr>
          <w:rStyle w:val="CharSectno"/>
        </w:rPr>
        <w:t>26</w:t>
      </w:r>
      <w:r>
        <w:rPr>
          <w:snapToGrid w:val="0"/>
        </w:rPr>
        <w:t>.</w:t>
      </w:r>
      <w:r>
        <w:rPr>
          <w:snapToGrid w:val="0"/>
        </w:rPr>
        <w:tab/>
        <w:t>Excess network usage charge</w:t>
      </w:r>
      <w:bookmarkEnd w:id="96"/>
      <w:bookmarkEnd w:id="97"/>
      <w:bookmarkEnd w:id="98"/>
      <w:r>
        <w:rPr>
          <w:snapToGrid w:val="0"/>
        </w:rPr>
        <w:t xml:space="preserve"> </w:t>
      </w:r>
    </w:p>
    <w:p>
      <w:pPr>
        <w:pStyle w:val="Subsection"/>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“excess amount”</w:t>
      </w:r>
      <w:r>
        <w:rPr>
          <w:snapToGrid w:val="0"/>
        </w:rPr>
        <w:t xml:space="preserve"> in respect of a distribution entry point for a half hour is equal to — </w:t>
      </w:r>
    </w:p>
    <w:p>
      <w:pPr>
        <w:pStyle w:val="Indenti"/>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declared sent</w:t>
      </w:r>
      <w:r>
        <w:rPr>
          <w:snapToGrid w:val="0"/>
        </w:rPr>
        <w:noBreakHyphen/>
        <w:t>out capacity (in kW) for that entry point,</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rPr>
          <w:snapToGrid w:val="0"/>
        </w:rPr>
      </w:pPr>
      <w:r>
        <w:rPr>
          <w:snapToGrid w:val="0"/>
        </w:rPr>
        <w:tab/>
        <w:t>(c)</w:t>
      </w:r>
      <w:r>
        <w:rPr>
          <w:snapToGrid w:val="0"/>
        </w:rPr>
        <w:tab/>
        <w:t>each excess period in respect of a distribution entry point includes 336 half hours.</w:t>
      </w:r>
    </w:p>
    <w:p>
      <w:pPr>
        <w:pStyle w:val="Subsection"/>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4" o:title=""/>
          </v:shape>
          <o:OLEObject Type="Embed" ProgID="Equation.3" ShapeID="_x0000_i1032" DrawAspect="Content" ObjectID="_1644028667"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“excess rate”</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6" o:title=""/>
          </v:shape>
          <o:OLEObject Type="Embed" ProgID="Equation.3" ShapeID="_x0000_i1033" DrawAspect="Content" ObjectID="_1644028668"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E i</w:t>
      </w:r>
      <w:r>
        <w:rPr>
          <w:snapToGrid w:val="0"/>
        </w:rPr>
        <w:tab/>
        <w:t>(in kW) is the highest excess rate for any of the half hours which fall within excess demand period i;</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p.6716; 22 Jun 2004 p. 2164.]</w:t>
      </w:r>
    </w:p>
    <w:p>
      <w:pPr>
        <w:pStyle w:val="Heading5"/>
        <w:rPr>
          <w:snapToGrid w:val="0"/>
        </w:rPr>
      </w:pPr>
      <w:bookmarkStart w:id="99" w:name="_Toc28753083"/>
      <w:bookmarkStart w:id="100" w:name="_Toc131575677"/>
      <w:bookmarkStart w:id="101" w:name="_Toc131912086"/>
      <w:r>
        <w:rPr>
          <w:rStyle w:val="CharSectno"/>
        </w:rPr>
        <w:t>27</w:t>
      </w:r>
      <w:r>
        <w:rPr>
          <w:snapToGrid w:val="0"/>
        </w:rPr>
        <w:t>.</w:t>
      </w:r>
      <w:r>
        <w:rPr>
          <w:snapToGrid w:val="0"/>
        </w:rPr>
        <w:tab/>
        <w:t>Other consequences of being out of balance</w:t>
      </w:r>
      <w:bookmarkEnd w:id="99"/>
      <w:bookmarkEnd w:id="100"/>
      <w:bookmarkEnd w:id="101"/>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p.6716</w:t>
      </w:r>
      <w:r>
        <w:noBreakHyphen/>
        <w:t>7; 22 Jun 2004 p. 2164; 31 Mar 2006 p. 1312, 1316, 1318-19.]</w:t>
      </w:r>
    </w:p>
    <w:p>
      <w:pPr>
        <w:pStyle w:val="Heading2"/>
      </w:pPr>
      <w:bookmarkStart w:id="102" w:name="_Toc125451741"/>
      <w:bookmarkStart w:id="103" w:name="_Toc125452249"/>
      <w:bookmarkStart w:id="104" w:name="_Toc131575678"/>
      <w:bookmarkStart w:id="105" w:name="_Toc131575755"/>
      <w:bookmarkStart w:id="106" w:name="_Toc131912087"/>
      <w:r>
        <w:rPr>
          <w:rStyle w:val="CharPartNo"/>
        </w:rPr>
        <w:t>Part 5</w:t>
      </w:r>
      <w:r>
        <w:rPr>
          <w:rStyle w:val="CharDivNo"/>
        </w:rPr>
        <w:t> </w:t>
      </w:r>
      <w:r>
        <w:t>—</w:t>
      </w:r>
      <w:r>
        <w:rPr>
          <w:rStyle w:val="CharDivText"/>
        </w:rPr>
        <w:t> </w:t>
      </w:r>
      <w:r>
        <w:rPr>
          <w:rStyle w:val="CharPartText"/>
        </w:rPr>
        <w:t>Technical regulation</w:t>
      </w:r>
      <w:bookmarkEnd w:id="102"/>
      <w:bookmarkEnd w:id="103"/>
      <w:bookmarkEnd w:id="104"/>
      <w:bookmarkEnd w:id="105"/>
      <w:bookmarkEnd w:id="106"/>
      <w:r>
        <w:rPr>
          <w:rStyle w:val="CharPartText"/>
        </w:rPr>
        <w:t xml:space="preserve"> </w:t>
      </w:r>
    </w:p>
    <w:p>
      <w:pPr>
        <w:pStyle w:val="Heading5"/>
        <w:rPr>
          <w:snapToGrid w:val="0"/>
        </w:rPr>
      </w:pPr>
      <w:bookmarkStart w:id="107" w:name="_Toc28753084"/>
      <w:bookmarkStart w:id="108" w:name="_Toc131575679"/>
      <w:bookmarkStart w:id="109" w:name="_Toc131912088"/>
      <w:r>
        <w:rPr>
          <w:rStyle w:val="CharSectno"/>
        </w:rPr>
        <w:t>28</w:t>
      </w:r>
      <w:r>
        <w:rPr>
          <w:snapToGrid w:val="0"/>
        </w:rPr>
        <w:t>.</w:t>
      </w:r>
      <w:r>
        <w:rPr>
          <w:snapToGrid w:val="0"/>
        </w:rPr>
        <w:tab/>
        <w:t>Distribution Technical Code</w:t>
      </w:r>
      <w:bookmarkEnd w:id="107"/>
      <w:bookmarkEnd w:id="108"/>
      <w:bookmarkEnd w:id="109"/>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Ednotesubsection"/>
      </w:pPr>
      <w:r>
        <w:tab/>
        <w:t>[(1a)</w:t>
      </w:r>
      <w:r>
        <w:tab/>
      </w:r>
      <w:r>
        <w:tab/>
        <w:t>repealed]</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p.7401-2; 31 Mar 2006 p. 1312, 1316, 1318-19.]</w:t>
      </w:r>
    </w:p>
    <w:p>
      <w:pPr>
        <w:pStyle w:val="Heading5"/>
        <w:rPr>
          <w:snapToGrid w:val="0"/>
        </w:rPr>
      </w:pPr>
      <w:bookmarkStart w:id="110" w:name="_Toc28753085"/>
      <w:bookmarkStart w:id="111" w:name="_Toc131575680"/>
      <w:bookmarkStart w:id="112" w:name="_Toc131912089"/>
      <w:r>
        <w:rPr>
          <w:rStyle w:val="CharSectno"/>
        </w:rPr>
        <w:t>29</w:t>
      </w:r>
      <w:r>
        <w:rPr>
          <w:snapToGrid w:val="0"/>
        </w:rPr>
        <w:t>.</w:t>
      </w:r>
      <w:r>
        <w:rPr>
          <w:snapToGrid w:val="0"/>
        </w:rPr>
        <w:tab/>
        <w:t>Network planning criteria</w:t>
      </w:r>
      <w:bookmarkEnd w:id="110"/>
      <w:bookmarkEnd w:id="111"/>
      <w:bookmarkEnd w:id="112"/>
      <w:r>
        <w:rPr>
          <w:snapToGrid w:val="0"/>
        </w:rPr>
        <w:t xml:space="preserve"> </w:t>
      </w:r>
    </w:p>
    <w:p>
      <w:pPr>
        <w:pStyle w:val="Subsection"/>
      </w:pPr>
      <w:r>
        <w:tab/>
        <w:t>(1)</w:t>
      </w:r>
      <w:r>
        <w:tab/>
        <w:t>A corporation must prepare criteria relating to the planning of its electricity distribution network on or before 1 May 2006.</w:t>
      </w:r>
    </w:p>
    <w:p>
      <w:pPr>
        <w:pStyle w:val="Ednotesubsection"/>
      </w:pPr>
      <w:r>
        <w:tab/>
        <w:t>[(1a)</w:t>
      </w:r>
      <w:r>
        <w:tab/>
      </w:r>
      <w:r>
        <w:tab/>
        <w:t>repealed]</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p.7402; 31 Mar 2006 p. 1312</w:t>
      </w:r>
      <w:r>
        <w:noBreakHyphen/>
        <w:t>13.]</w:t>
      </w:r>
    </w:p>
    <w:p>
      <w:pPr>
        <w:pStyle w:val="Heading5"/>
        <w:rPr>
          <w:rStyle w:val="CharSectno"/>
        </w:rPr>
      </w:pPr>
      <w:bookmarkStart w:id="113" w:name="_Toc28753086"/>
      <w:bookmarkStart w:id="114" w:name="_Toc131575681"/>
      <w:bookmarkStart w:id="115" w:name="_Toc131912090"/>
      <w:r>
        <w:rPr>
          <w:rStyle w:val="CharSectno"/>
        </w:rPr>
        <w:t>29A.</w:t>
      </w:r>
      <w:r>
        <w:rPr>
          <w:rStyle w:val="CharSectno"/>
        </w:rPr>
        <w:tab/>
        <w:t>Distribution Technical Code, network planning criteria and distribution price schedule may form one or more documents</w:t>
      </w:r>
      <w:bookmarkEnd w:id="113"/>
      <w:bookmarkEnd w:id="114"/>
      <w:bookmarkEnd w:id="115"/>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p.7402</w:t>
      </w:r>
      <w:r>
        <w:noBreakHyphen/>
        <w:t>3.]</w:t>
      </w:r>
    </w:p>
    <w:p>
      <w:pPr>
        <w:pStyle w:val="Heading5"/>
        <w:rPr>
          <w:snapToGrid w:val="0"/>
        </w:rPr>
      </w:pPr>
      <w:bookmarkStart w:id="116" w:name="_Toc28753087"/>
      <w:bookmarkStart w:id="117" w:name="_Toc131575682"/>
      <w:bookmarkStart w:id="118" w:name="_Toc131912091"/>
      <w:r>
        <w:rPr>
          <w:rStyle w:val="CharSectno"/>
        </w:rPr>
        <w:t>30</w:t>
      </w:r>
      <w:r>
        <w:rPr>
          <w:snapToGrid w:val="0"/>
        </w:rPr>
        <w:t>.</w:t>
      </w:r>
      <w:r>
        <w:rPr>
          <w:snapToGrid w:val="0"/>
        </w:rPr>
        <w:tab/>
        <w:t>Good electricity industry practice</w:t>
      </w:r>
      <w:bookmarkEnd w:id="116"/>
      <w:bookmarkEnd w:id="117"/>
      <w:bookmarkEnd w:id="118"/>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119" w:name="_Toc28753088"/>
      <w:bookmarkStart w:id="120" w:name="_Toc131575683"/>
      <w:bookmarkStart w:id="121" w:name="_Toc131912092"/>
      <w:r>
        <w:rPr>
          <w:rStyle w:val="CharSectno"/>
        </w:rPr>
        <w:t>31</w:t>
      </w:r>
      <w:r>
        <w:rPr>
          <w:snapToGrid w:val="0"/>
        </w:rPr>
        <w:t>.</w:t>
      </w:r>
      <w:r>
        <w:rPr>
          <w:snapToGrid w:val="0"/>
        </w:rPr>
        <w:tab/>
        <w:t>Interruption and curtailment powers</w:t>
      </w:r>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1316-17 and 1319.]</w:t>
      </w:r>
    </w:p>
    <w:p>
      <w:pPr>
        <w:pStyle w:val="Heading5"/>
        <w:rPr>
          <w:snapToGrid w:val="0"/>
        </w:rPr>
      </w:pPr>
      <w:bookmarkStart w:id="122" w:name="_Toc28753089"/>
      <w:bookmarkStart w:id="123" w:name="_Toc131575684"/>
      <w:bookmarkStart w:id="124" w:name="_Toc131912093"/>
      <w:r>
        <w:rPr>
          <w:rStyle w:val="CharSectno"/>
        </w:rPr>
        <w:t>32</w:t>
      </w:r>
      <w:r>
        <w:rPr>
          <w:snapToGrid w:val="0"/>
        </w:rPr>
        <w:t>.</w:t>
      </w:r>
      <w:r>
        <w:rPr>
          <w:snapToGrid w:val="0"/>
        </w:rPr>
        <w:tab/>
        <w:t>Safety and security of system</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w:t>
      </w:r>
      <w:r>
        <w:noBreakHyphen/>
        <w:t>18.]</w:t>
      </w:r>
    </w:p>
    <w:p>
      <w:pPr>
        <w:pStyle w:val="Heading5"/>
        <w:rPr>
          <w:snapToGrid w:val="0"/>
        </w:rPr>
      </w:pPr>
      <w:bookmarkStart w:id="125" w:name="_Toc28753090"/>
      <w:bookmarkStart w:id="126" w:name="_Toc131575685"/>
      <w:bookmarkStart w:id="127" w:name="_Toc131912094"/>
      <w:r>
        <w:rPr>
          <w:rStyle w:val="CharSectno"/>
        </w:rPr>
        <w:t>33</w:t>
      </w:r>
      <w:r>
        <w:rPr>
          <w:snapToGrid w:val="0"/>
        </w:rPr>
        <w:t>.</w:t>
      </w:r>
      <w:r>
        <w:rPr>
          <w:snapToGrid w:val="0"/>
        </w:rPr>
        <w:tab/>
        <w:t>Maintenance</w:t>
      </w:r>
      <w:bookmarkEnd w:id="125"/>
      <w:bookmarkEnd w:id="126"/>
      <w:bookmarkEnd w:id="127"/>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1317-18.]</w:t>
      </w:r>
    </w:p>
    <w:p>
      <w:pPr>
        <w:pStyle w:val="Heading5"/>
        <w:rPr>
          <w:snapToGrid w:val="0"/>
        </w:rPr>
      </w:pPr>
      <w:bookmarkStart w:id="128" w:name="_Toc28753091"/>
      <w:bookmarkStart w:id="129" w:name="_Toc131575686"/>
      <w:bookmarkStart w:id="130" w:name="_Toc131912095"/>
      <w:r>
        <w:rPr>
          <w:rStyle w:val="CharSectno"/>
        </w:rPr>
        <w:t>34</w:t>
      </w:r>
      <w:r>
        <w:rPr>
          <w:snapToGrid w:val="0"/>
        </w:rPr>
        <w:t>.</w:t>
      </w:r>
      <w:r>
        <w:rPr>
          <w:snapToGrid w:val="0"/>
        </w:rPr>
        <w:tab/>
        <w:t>Electricity generation and load forecast information</w:t>
      </w:r>
      <w:bookmarkEnd w:id="128"/>
      <w:bookmarkEnd w:id="129"/>
      <w:bookmarkEnd w:id="13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1316-18.]</w:t>
      </w:r>
    </w:p>
    <w:p>
      <w:pPr>
        <w:pStyle w:val="Heading2"/>
      </w:pPr>
      <w:bookmarkStart w:id="131" w:name="_Toc125451750"/>
      <w:bookmarkStart w:id="132" w:name="_Toc125452258"/>
      <w:bookmarkStart w:id="133" w:name="_Toc131575687"/>
      <w:bookmarkStart w:id="134" w:name="_Toc131575764"/>
      <w:bookmarkStart w:id="135" w:name="_Toc131912096"/>
      <w:r>
        <w:rPr>
          <w:rStyle w:val="CharPartNo"/>
        </w:rPr>
        <w:t>Part 6</w:t>
      </w:r>
      <w:r>
        <w:rPr>
          <w:rStyle w:val="CharDivNo"/>
        </w:rPr>
        <w:t> </w:t>
      </w:r>
      <w:r>
        <w:t>—</w:t>
      </w:r>
      <w:r>
        <w:rPr>
          <w:rStyle w:val="CharDivText"/>
        </w:rPr>
        <w:t> </w:t>
      </w:r>
      <w:r>
        <w:rPr>
          <w:rStyle w:val="CharPartText"/>
        </w:rPr>
        <w:t>Access terms</w:t>
      </w:r>
      <w:bookmarkEnd w:id="131"/>
      <w:bookmarkEnd w:id="132"/>
      <w:bookmarkEnd w:id="133"/>
      <w:bookmarkEnd w:id="134"/>
      <w:bookmarkEnd w:id="135"/>
      <w:r>
        <w:rPr>
          <w:rStyle w:val="CharPartText"/>
        </w:rPr>
        <w:t xml:space="preserve"> </w:t>
      </w:r>
    </w:p>
    <w:p>
      <w:pPr>
        <w:pStyle w:val="Heading5"/>
        <w:rPr>
          <w:snapToGrid w:val="0"/>
        </w:rPr>
      </w:pPr>
      <w:bookmarkStart w:id="136" w:name="_Toc28753092"/>
      <w:bookmarkStart w:id="137" w:name="_Toc131575688"/>
      <w:bookmarkStart w:id="138" w:name="_Toc131912097"/>
      <w:r>
        <w:rPr>
          <w:rStyle w:val="CharSectno"/>
        </w:rPr>
        <w:t>35</w:t>
      </w:r>
      <w:r>
        <w:rPr>
          <w:snapToGrid w:val="0"/>
        </w:rPr>
        <w:t>.</w:t>
      </w:r>
      <w:r>
        <w:rPr>
          <w:snapToGrid w:val="0"/>
        </w:rPr>
        <w:tab/>
        <w:t>Reasonable endeavours</w:t>
      </w:r>
      <w:bookmarkEnd w:id="136"/>
      <w:bookmarkEnd w:id="137"/>
      <w:bookmarkEnd w:id="138"/>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139" w:name="_Toc28753093"/>
      <w:bookmarkStart w:id="140" w:name="_Toc131575689"/>
      <w:bookmarkStart w:id="141" w:name="_Toc131912098"/>
      <w:r>
        <w:rPr>
          <w:rStyle w:val="CharSectno"/>
        </w:rPr>
        <w:t>36</w:t>
      </w:r>
      <w:r>
        <w:rPr>
          <w:snapToGrid w:val="0"/>
        </w:rPr>
        <w:t>.</w:t>
      </w:r>
      <w:r>
        <w:rPr>
          <w:snapToGrid w:val="0"/>
        </w:rPr>
        <w:tab/>
      </w:r>
      <w:r>
        <w:rPr>
          <w:i/>
          <w:snapToGrid w:val="0"/>
        </w:rPr>
        <w:t>Force majeure</w:t>
      </w:r>
      <w:r>
        <w:rPr>
          <w:snapToGrid w:val="0"/>
        </w:rPr>
        <w:t xml:space="preserve"> and interruption</w:t>
      </w:r>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 (1)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b/>
          <w:snapToGrid w:val="0"/>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 (b),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 (b)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1317-19.]</w:t>
      </w:r>
    </w:p>
    <w:p>
      <w:pPr>
        <w:pStyle w:val="Heading5"/>
        <w:rPr>
          <w:snapToGrid w:val="0"/>
        </w:rPr>
      </w:pPr>
      <w:bookmarkStart w:id="142" w:name="_Toc28753094"/>
      <w:bookmarkStart w:id="143" w:name="_Toc131575690"/>
      <w:bookmarkStart w:id="144" w:name="_Toc131912099"/>
      <w:r>
        <w:rPr>
          <w:rStyle w:val="CharSectno"/>
        </w:rPr>
        <w:t>37</w:t>
      </w:r>
      <w:r>
        <w:rPr>
          <w:snapToGrid w:val="0"/>
        </w:rPr>
        <w:t>.</w:t>
      </w:r>
      <w:r>
        <w:rPr>
          <w:snapToGrid w:val="0"/>
        </w:rPr>
        <w:tab/>
        <w:t>Effect of access to capacity</w:t>
      </w:r>
      <w:bookmarkEnd w:id="142"/>
      <w:bookmarkEnd w:id="143"/>
      <w:bookmarkEnd w:id="144"/>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145" w:name="_Toc28753095"/>
      <w:bookmarkStart w:id="146" w:name="_Toc131575691"/>
      <w:bookmarkStart w:id="147" w:name="_Toc131912100"/>
      <w:r>
        <w:rPr>
          <w:rStyle w:val="CharSectno"/>
        </w:rPr>
        <w:t>38</w:t>
      </w:r>
      <w:r>
        <w:rPr>
          <w:snapToGrid w:val="0"/>
        </w:rPr>
        <w:t>.</w:t>
      </w:r>
      <w:r>
        <w:rPr>
          <w:snapToGrid w:val="0"/>
        </w:rPr>
        <w:tab/>
        <w:t>Minimum term and renewal</w:t>
      </w:r>
      <w:bookmarkEnd w:id="145"/>
      <w:bookmarkEnd w:id="146"/>
      <w:bookmarkEnd w:id="147"/>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148" w:name="_Toc28753096"/>
      <w:bookmarkStart w:id="149" w:name="_Toc131575692"/>
      <w:bookmarkStart w:id="150" w:name="_Toc131912101"/>
      <w:r>
        <w:rPr>
          <w:rStyle w:val="CharSectno"/>
        </w:rPr>
        <w:t>39</w:t>
      </w:r>
      <w:r>
        <w:rPr>
          <w:snapToGrid w:val="0"/>
        </w:rPr>
        <w:t>.</w:t>
      </w:r>
      <w:r>
        <w:rPr>
          <w:snapToGrid w:val="0"/>
        </w:rPr>
        <w:tab/>
        <w:t>Contract maximum demand and declared sent out capacity</w:t>
      </w:r>
      <w:bookmarkEnd w:id="148"/>
      <w:bookmarkEnd w:id="149"/>
      <w:bookmarkEnd w:id="150"/>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151" w:name="_Toc28753097"/>
      <w:bookmarkStart w:id="152" w:name="_Toc131575693"/>
      <w:bookmarkStart w:id="153" w:name="_Toc131912102"/>
      <w:r>
        <w:rPr>
          <w:rStyle w:val="CharSectno"/>
        </w:rPr>
        <w:t>40</w:t>
      </w:r>
      <w:r>
        <w:rPr>
          <w:snapToGrid w:val="0"/>
        </w:rPr>
        <w:t>.</w:t>
      </w:r>
      <w:r>
        <w:rPr>
          <w:snapToGrid w:val="0"/>
        </w:rPr>
        <w:tab/>
        <w:t>Commencement date</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Subject to regulation 11 (8),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154" w:name="_Toc125451757"/>
      <w:bookmarkStart w:id="155" w:name="_Toc125452265"/>
      <w:bookmarkStart w:id="156" w:name="_Toc131575694"/>
      <w:bookmarkStart w:id="157" w:name="_Toc131575771"/>
      <w:bookmarkStart w:id="158" w:name="_Toc131912103"/>
      <w:r>
        <w:rPr>
          <w:rStyle w:val="CharPartNo"/>
        </w:rPr>
        <w:t>Part 7</w:t>
      </w:r>
      <w:r>
        <w:rPr>
          <w:rStyle w:val="CharDivNo"/>
        </w:rPr>
        <w:t> </w:t>
      </w:r>
      <w:r>
        <w:t>—</w:t>
      </w:r>
      <w:r>
        <w:rPr>
          <w:rStyle w:val="CharDivText"/>
        </w:rPr>
        <w:t> </w:t>
      </w:r>
      <w:r>
        <w:rPr>
          <w:rStyle w:val="CharPartText"/>
        </w:rPr>
        <w:t>Enforcement, liability and insurance</w:t>
      </w:r>
      <w:bookmarkEnd w:id="154"/>
      <w:bookmarkEnd w:id="155"/>
      <w:bookmarkEnd w:id="156"/>
      <w:bookmarkEnd w:id="157"/>
      <w:bookmarkEnd w:id="158"/>
      <w:r>
        <w:rPr>
          <w:rStyle w:val="CharPartText"/>
        </w:rPr>
        <w:t xml:space="preserve"> </w:t>
      </w:r>
    </w:p>
    <w:p>
      <w:pPr>
        <w:pStyle w:val="Heading5"/>
        <w:rPr>
          <w:snapToGrid w:val="0"/>
        </w:rPr>
      </w:pPr>
      <w:bookmarkStart w:id="159" w:name="_Toc28753098"/>
      <w:bookmarkStart w:id="160" w:name="_Toc131575695"/>
      <w:bookmarkStart w:id="161" w:name="_Toc131912104"/>
      <w:r>
        <w:rPr>
          <w:rStyle w:val="CharSectno"/>
        </w:rPr>
        <w:t>41</w:t>
      </w:r>
      <w:r>
        <w:rPr>
          <w:snapToGrid w:val="0"/>
        </w:rPr>
        <w:t>.</w:t>
      </w:r>
      <w:r>
        <w:rPr>
          <w:snapToGrid w:val="0"/>
        </w:rPr>
        <w:tab/>
        <w:t>Enforcement</w:t>
      </w:r>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p.6717; 31 Mar 2006 p. 1317-19.]</w:t>
      </w:r>
    </w:p>
    <w:p>
      <w:pPr>
        <w:pStyle w:val="Heading5"/>
        <w:rPr>
          <w:snapToGrid w:val="0"/>
        </w:rPr>
      </w:pPr>
      <w:bookmarkStart w:id="162" w:name="_Toc28753099"/>
      <w:bookmarkStart w:id="163" w:name="_Toc131575696"/>
      <w:bookmarkStart w:id="164" w:name="_Toc131912105"/>
      <w:r>
        <w:rPr>
          <w:rStyle w:val="CharSectno"/>
        </w:rPr>
        <w:t>42</w:t>
      </w:r>
      <w:r>
        <w:rPr>
          <w:snapToGrid w:val="0"/>
        </w:rPr>
        <w:t>.</w:t>
      </w:r>
      <w:r>
        <w:rPr>
          <w:snapToGrid w:val="0"/>
        </w:rPr>
        <w:tab/>
        <w:t>Liability, insurance and indemnity</w:t>
      </w:r>
      <w:bookmarkEnd w:id="162"/>
      <w:bookmarkEnd w:id="163"/>
      <w:bookmarkEnd w:id="1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“direct damage”</w:t>
      </w:r>
      <w:r>
        <w:t xml:space="preserve"> suffered by a person means loss or damage suffered by the person which is not indirect damage;</w:t>
      </w:r>
    </w:p>
    <w:p>
      <w:pPr>
        <w:pStyle w:val="Defstart"/>
      </w:pPr>
      <w:r>
        <w:rPr>
          <w:b/>
        </w:rPr>
        <w:tab/>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1317-19.]</w:t>
      </w:r>
    </w:p>
    <w:p>
      <w:pPr>
        <w:pStyle w:val="Heading2"/>
      </w:pPr>
      <w:bookmarkStart w:id="165" w:name="_Toc125451760"/>
      <w:bookmarkStart w:id="166" w:name="_Toc125452268"/>
      <w:bookmarkStart w:id="167" w:name="_Toc131575697"/>
      <w:bookmarkStart w:id="168" w:name="_Toc131575774"/>
      <w:bookmarkStart w:id="169" w:name="_Toc131912106"/>
      <w:r>
        <w:rPr>
          <w:rStyle w:val="CharPartNo"/>
        </w:rPr>
        <w:t>Part 8</w:t>
      </w:r>
      <w:r>
        <w:rPr>
          <w:rStyle w:val="CharDivNo"/>
        </w:rPr>
        <w:t> </w:t>
      </w:r>
      <w:r>
        <w:t>—</w:t>
      </w:r>
      <w:r>
        <w:rPr>
          <w:rStyle w:val="CharDivText"/>
        </w:rPr>
        <w:t> </w:t>
      </w:r>
      <w:r>
        <w:rPr>
          <w:rStyle w:val="CharPartText"/>
        </w:rPr>
        <w:t>Other matters</w:t>
      </w:r>
      <w:bookmarkEnd w:id="165"/>
      <w:bookmarkEnd w:id="166"/>
      <w:bookmarkEnd w:id="167"/>
      <w:bookmarkEnd w:id="168"/>
      <w:bookmarkEnd w:id="169"/>
      <w:r>
        <w:rPr>
          <w:rStyle w:val="CharPartText"/>
        </w:rPr>
        <w:t xml:space="preserve"> </w:t>
      </w:r>
    </w:p>
    <w:p>
      <w:pPr>
        <w:pStyle w:val="Heading5"/>
        <w:rPr>
          <w:snapToGrid w:val="0"/>
        </w:rPr>
      </w:pPr>
      <w:bookmarkStart w:id="170" w:name="_Toc28753100"/>
      <w:bookmarkStart w:id="171" w:name="_Toc131575698"/>
      <w:bookmarkStart w:id="172" w:name="_Toc131912107"/>
      <w:r>
        <w:rPr>
          <w:rStyle w:val="CharSectno"/>
        </w:rPr>
        <w:t>43</w:t>
      </w:r>
      <w:r>
        <w:rPr>
          <w:snapToGrid w:val="0"/>
        </w:rPr>
        <w:t>.</w:t>
      </w:r>
      <w:r>
        <w:rPr>
          <w:snapToGrid w:val="0"/>
        </w:rPr>
        <w:tab/>
        <w:t>Ancillary services</w:t>
      </w:r>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w:t>
      </w:r>
      <w:r>
        <w:noBreakHyphen/>
        <w:t>17 and 1319.]</w:t>
      </w:r>
    </w:p>
    <w:p>
      <w:pPr>
        <w:pStyle w:val="Heading5"/>
        <w:rPr>
          <w:snapToGrid w:val="0"/>
        </w:rPr>
      </w:pPr>
      <w:bookmarkStart w:id="173" w:name="_Toc28753101"/>
      <w:bookmarkStart w:id="174" w:name="_Toc131575699"/>
      <w:bookmarkStart w:id="175" w:name="_Toc131912108"/>
      <w:r>
        <w:rPr>
          <w:rStyle w:val="CharSectno"/>
        </w:rPr>
        <w:t>44</w:t>
      </w:r>
      <w:r>
        <w:rPr>
          <w:snapToGrid w:val="0"/>
        </w:rPr>
        <w:t>.</w:t>
      </w:r>
      <w:r>
        <w:rPr>
          <w:snapToGrid w:val="0"/>
        </w:rPr>
        <w:tab/>
        <w:t>Prudential requirements</w:t>
      </w:r>
      <w:bookmarkEnd w:id="173"/>
      <w:bookmarkEnd w:id="174"/>
      <w:bookmarkEnd w:id="175"/>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w:t>
      </w:r>
      <w:r>
        <w:noBreakHyphen/>
        <w:t>17 and 1319.]</w:t>
      </w:r>
    </w:p>
    <w:p>
      <w:pPr>
        <w:pStyle w:val="Heading5"/>
        <w:rPr>
          <w:snapToGrid w:val="0"/>
        </w:rPr>
      </w:pPr>
      <w:bookmarkStart w:id="176" w:name="_Toc28753102"/>
      <w:bookmarkStart w:id="177" w:name="_Toc131575700"/>
      <w:bookmarkStart w:id="178" w:name="_Toc131912109"/>
      <w:r>
        <w:rPr>
          <w:rStyle w:val="CharSectno"/>
        </w:rPr>
        <w:t>45</w:t>
      </w:r>
      <w:r>
        <w:rPr>
          <w:snapToGrid w:val="0"/>
        </w:rPr>
        <w:t>.</w:t>
      </w:r>
      <w:r>
        <w:rPr>
          <w:snapToGrid w:val="0"/>
        </w:rPr>
        <w:tab/>
        <w:t>Title to electricity</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p.6717; 31 Mar 2006 p. 1317.]</w:t>
      </w:r>
    </w:p>
    <w:p>
      <w:pPr>
        <w:pStyle w:val="Heading5"/>
        <w:rPr>
          <w:snapToGrid w:val="0"/>
        </w:rPr>
      </w:pPr>
      <w:bookmarkStart w:id="179" w:name="_Toc28753103"/>
      <w:bookmarkStart w:id="180" w:name="_Toc131575701"/>
      <w:bookmarkStart w:id="181" w:name="_Toc131912110"/>
      <w:r>
        <w:rPr>
          <w:rStyle w:val="CharSectno"/>
        </w:rPr>
        <w:t>46</w:t>
      </w:r>
      <w:r>
        <w:rPr>
          <w:snapToGrid w:val="0"/>
        </w:rPr>
        <w:t>.</w:t>
      </w:r>
      <w:r>
        <w:rPr>
          <w:snapToGrid w:val="0"/>
        </w:rPr>
        <w:tab/>
        <w:t>Assignment of distribution access agreements</w:t>
      </w:r>
      <w:bookmarkEnd w:id="179"/>
      <w:bookmarkEnd w:id="180"/>
      <w:bookmarkEnd w:id="181"/>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w:t>
      </w:r>
      <w:r>
        <w:noBreakHyphen/>
        <w:t>19.]</w:t>
      </w:r>
    </w:p>
    <w:p>
      <w:pPr>
        <w:pStyle w:val="Heading5"/>
        <w:rPr>
          <w:snapToGrid w:val="0"/>
        </w:rPr>
      </w:pPr>
      <w:bookmarkStart w:id="182" w:name="_Toc28753104"/>
      <w:bookmarkStart w:id="183" w:name="_Toc131575702"/>
      <w:bookmarkStart w:id="184" w:name="_Toc131912111"/>
      <w:r>
        <w:rPr>
          <w:rStyle w:val="CharSectno"/>
        </w:rPr>
        <w:t>47</w:t>
      </w:r>
      <w:r>
        <w:rPr>
          <w:snapToGrid w:val="0"/>
        </w:rPr>
        <w:t>.</w:t>
      </w:r>
      <w:r>
        <w:rPr>
          <w:snapToGrid w:val="0"/>
        </w:rPr>
        <w:tab/>
        <w:t>Essential terms</w:t>
      </w:r>
      <w:bookmarkEnd w:id="182"/>
      <w:bookmarkEnd w:id="183"/>
      <w:bookmarkEnd w:id="184"/>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 (4) of Schedule 6 to the Act:</w:t>
      </w:r>
    </w:p>
    <w:p>
      <w:pPr>
        <w:pStyle w:val="MiscellaneousHeading"/>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185" w:name="_Toc28753105"/>
      <w:bookmarkStart w:id="186" w:name="_Toc131575703"/>
      <w:bookmarkStart w:id="187" w:name="_Toc131912112"/>
      <w:r>
        <w:rPr>
          <w:rStyle w:val="CharSectno"/>
        </w:rPr>
        <w:t>48</w:t>
      </w:r>
      <w:r>
        <w:rPr>
          <w:snapToGrid w:val="0"/>
        </w:rPr>
        <w:t>.</w:t>
      </w:r>
      <w:r>
        <w:rPr>
          <w:snapToGrid w:val="0"/>
        </w:rPr>
        <w:tab/>
        <w:t>Representations and warranties</w:t>
      </w:r>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188" w:name="_Toc28753106"/>
      <w:bookmarkStart w:id="189" w:name="_Toc131575704"/>
      <w:bookmarkStart w:id="190" w:name="_Toc131912113"/>
      <w:r>
        <w:rPr>
          <w:rStyle w:val="CharSectno"/>
        </w:rPr>
        <w:t>49</w:t>
      </w:r>
      <w:r>
        <w:rPr>
          <w:snapToGrid w:val="0"/>
        </w:rPr>
        <w:t>.</w:t>
      </w:r>
      <w:r>
        <w:rPr>
          <w:snapToGrid w:val="0"/>
        </w:rPr>
        <w:tab/>
        <w:t>Payment arrangements</w:t>
      </w:r>
      <w:bookmarkEnd w:id="188"/>
      <w:bookmarkEnd w:id="189"/>
      <w:bookmarkEnd w:id="19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w:t>
      </w:r>
      <w:r>
        <w:noBreakHyphen/>
        <w:t>19.]</w:t>
      </w:r>
    </w:p>
    <w:p>
      <w:pPr>
        <w:pStyle w:val="Heading5"/>
        <w:rPr>
          <w:snapToGrid w:val="0"/>
        </w:rPr>
      </w:pPr>
      <w:bookmarkStart w:id="191" w:name="_Toc28753107"/>
      <w:bookmarkStart w:id="192" w:name="_Toc131575705"/>
      <w:bookmarkStart w:id="193" w:name="_Toc131912114"/>
      <w:r>
        <w:rPr>
          <w:rStyle w:val="CharSectno"/>
        </w:rPr>
        <w:t>50</w:t>
      </w:r>
      <w:r>
        <w:rPr>
          <w:snapToGrid w:val="0"/>
        </w:rPr>
        <w:t>.</w:t>
      </w:r>
      <w:r>
        <w:rPr>
          <w:snapToGrid w:val="0"/>
        </w:rPr>
        <w:tab/>
        <w:t>Controllers</w:t>
      </w:r>
      <w:bookmarkEnd w:id="191"/>
      <w:bookmarkEnd w:id="192"/>
      <w:bookmarkEnd w:id="193"/>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194" w:name="_Toc125451769"/>
      <w:bookmarkStart w:id="195" w:name="_Toc125452277"/>
      <w:bookmarkStart w:id="196" w:name="_Toc131575706"/>
      <w:bookmarkStart w:id="197" w:name="_Toc131575783"/>
      <w:bookmarkStart w:id="198" w:name="_Toc131912115"/>
      <w:r>
        <w:rPr>
          <w:rStyle w:val="CharPartNo"/>
        </w:rPr>
        <w:t>Part 9</w:t>
      </w:r>
      <w:r>
        <w:rPr>
          <w:rStyle w:val="CharDivNo"/>
        </w:rPr>
        <w:t> </w:t>
      </w:r>
      <w:r>
        <w:t>—</w:t>
      </w:r>
      <w:r>
        <w:rPr>
          <w:rStyle w:val="CharDivText"/>
        </w:rPr>
        <w:t> </w:t>
      </w:r>
      <w:r>
        <w:rPr>
          <w:rStyle w:val="CharPartText"/>
        </w:rPr>
        <w:t>Committed capacity and transitional provisions</w:t>
      </w:r>
      <w:bookmarkEnd w:id="194"/>
      <w:bookmarkEnd w:id="195"/>
      <w:bookmarkEnd w:id="196"/>
      <w:bookmarkEnd w:id="197"/>
      <w:bookmarkEnd w:id="198"/>
      <w:r>
        <w:rPr>
          <w:rStyle w:val="CharPartText"/>
        </w:rPr>
        <w:t xml:space="preserve"> </w:t>
      </w:r>
    </w:p>
    <w:p>
      <w:pPr>
        <w:pStyle w:val="Heading5"/>
        <w:rPr>
          <w:snapToGrid w:val="0"/>
        </w:rPr>
      </w:pPr>
      <w:bookmarkStart w:id="199" w:name="_Toc28753108"/>
      <w:bookmarkStart w:id="200" w:name="_Toc131575707"/>
      <w:bookmarkStart w:id="201" w:name="_Toc131912116"/>
      <w:r>
        <w:rPr>
          <w:rStyle w:val="CharSectno"/>
        </w:rPr>
        <w:t>51</w:t>
      </w:r>
      <w:r>
        <w:rPr>
          <w:snapToGrid w:val="0"/>
        </w:rPr>
        <w:t>.</w:t>
      </w:r>
      <w:r>
        <w:rPr>
          <w:snapToGrid w:val="0"/>
        </w:rPr>
        <w:tab/>
        <w:t>Interpretation</w:t>
      </w:r>
      <w:bookmarkEnd w:id="199"/>
      <w:bookmarkEnd w:id="200"/>
      <w:bookmarkEnd w:id="20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RPC Retail</w:t>
      </w:r>
      <w:r>
        <w:rPr>
          <w:b/>
        </w:rPr>
        <w:t>”</w:t>
      </w:r>
      <w:r>
        <w:t xml:space="preserve"> means the Regional Power Corporation in its role as a retailer of electricity.</w:t>
      </w:r>
    </w:p>
    <w:p>
      <w:pPr>
        <w:pStyle w:val="Subsection"/>
      </w:pPr>
      <w:r>
        <w:tab/>
        <w:t>(2)</w:t>
      </w:r>
      <w:r>
        <w:tab/>
        <w:t xml:space="preserve">In this Part premises are </w:t>
      </w:r>
      <w:r>
        <w:rPr>
          <w:b/>
        </w:rPr>
        <w:t>“eligible premises”</w:t>
      </w:r>
      <w:r>
        <w:t xml:space="preserve"> if a corporation is obliged to make available access for the transport of electricity to them under subclause (1) of clause 2 of Schedule 6 to the Act.</w:t>
      </w:r>
    </w:p>
    <w:p>
      <w:pPr>
        <w:pStyle w:val="Footnotesection"/>
      </w:pPr>
      <w:r>
        <w:tab/>
        <w:t>[Regulation 51 amended in Gazette 31 Mar 2006 p. 1314 and 1318.]</w:t>
      </w:r>
    </w:p>
    <w:p>
      <w:pPr>
        <w:pStyle w:val="Heading5"/>
      </w:pPr>
      <w:bookmarkStart w:id="202" w:name="_Toc131575709"/>
      <w:bookmarkStart w:id="203" w:name="_Toc131912117"/>
      <w:bookmarkStart w:id="204" w:name="_Toc28753110"/>
      <w:r>
        <w:rPr>
          <w:rStyle w:val="CharSectno"/>
        </w:rPr>
        <w:t>52</w:t>
      </w:r>
      <w:r>
        <w:t>.</w:t>
      </w:r>
      <w:r>
        <w:tab/>
        <w:t>Regional Power Corporation’s existing capacity</w:t>
      </w:r>
      <w:bookmarkEnd w:id="202"/>
      <w:bookmarkEnd w:id="203"/>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205" w:name="_Toc131575710"/>
      <w:bookmarkStart w:id="206" w:name="_Toc131912118"/>
      <w:r>
        <w:rPr>
          <w:rStyle w:val="CharSectno"/>
        </w:rPr>
        <w:t>53</w:t>
      </w:r>
      <w:r>
        <w:rPr>
          <w:snapToGrid w:val="0"/>
        </w:rPr>
        <w:t>.</w:t>
      </w:r>
      <w:r>
        <w:rPr>
          <w:snapToGrid w:val="0"/>
        </w:rPr>
        <w:tab/>
        <w:t>Existing agreements</w:t>
      </w:r>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207" w:name="_Toc28753111"/>
      <w:bookmarkStart w:id="208" w:name="_Toc131575711"/>
      <w:bookmarkStart w:id="209" w:name="_Toc131912119"/>
      <w:r>
        <w:rPr>
          <w:rStyle w:val="CharSectno"/>
        </w:rPr>
        <w:t>54</w:t>
      </w:r>
      <w:r>
        <w:rPr>
          <w:snapToGrid w:val="0"/>
        </w:rPr>
        <w:t>.</w:t>
      </w:r>
      <w:r>
        <w:rPr>
          <w:snapToGrid w:val="0"/>
        </w:rPr>
        <w:tab/>
        <w:t>Western Power and non</w:t>
      </w:r>
      <w:r>
        <w:rPr>
          <w:snapToGrid w:val="0"/>
        </w:rPr>
        <w:noBreakHyphen/>
        <w:t>eligible premises</w:t>
      </w:r>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repealed]</w:t>
      </w:r>
    </w:p>
    <w:p>
      <w:pPr>
        <w:pStyle w:val="Footnotesection"/>
      </w:pPr>
      <w:r>
        <w:tab/>
        <w:t>[Regulation 54 amended in Gazette 31 Mar 2006 p. 1315.]</w:t>
      </w:r>
    </w:p>
    <w:p>
      <w:pPr>
        <w:pStyle w:val="Ednotesubsection"/>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210" w:name="_Toc125452282"/>
      <w:bookmarkStart w:id="211" w:name="_Toc131575712"/>
      <w:bookmarkStart w:id="212" w:name="_Toc131575789"/>
      <w:bookmarkStart w:id="213" w:name="_Toc131912120"/>
      <w:r>
        <w:t>Schedule </w:t>
      </w:r>
      <w:r>
        <w:rPr>
          <w:rStyle w:val="CharSchNo"/>
        </w:rPr>
        <w:t>1</w:t>
      </w:r>
      <w:r>
        <w:t> — Access application flow chart</w:t>
      </w:r>
      <w:bookmarkEnd w:id="210"/>
      <w:bookmarkEnd w:id="211"/>
      <w:bookmarkEnd w:id="212"/>
      <w:bookmarkEnd w:id="213"/>
      <w:r>
        <w:t xml:space="preserve"> </w:t>
      </w:r>
    </w:p>
    <w:p>
      <w:pPr>
        <w:pStyle w:val="yShoulderClause"/>
        <w:rPr>
          <w:snapToGrid w:val="0"/>
        </w:rPr>
      </w:pPr>
      <w:r>
        <w:rPr>
          <w:snapToGrid w:val="0"/>
        </w:rPr>
        <w:t>[r. 7]</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214" w:name="_Toc125452283"/>
      <w:bookmarkStart w:id="215" w:name="_Toc131575713"/>
      <w:bookmarkStart w:id="216" w:name="_Toc131575790"/>
      <w:bookmarkStart w:id="217" w:name="_Toc131912121"/>
      <w:r>
        <w:t>Schedule </w:t>
      </w:r>
      <w:r>
        <w:rPr>
          <w:rStyle w:val="CharSchNo"/>
        </w:rPr>
        <w:t>2</w:t>
      </w:r>
      <w:r>
        <w:t> — Access information</w:t>
      </w:r>
      <w:bookmarkEnd w:id="214"/>
      <w:bookmarkEnd w:id="215"/>
      <w:bookmarkEnd w:id="216"/>
      <w:bookmarkEnd w:id="217"/>
      <w:r>
        <w:t xml:space="preserve"> </w:t>
      </w:r>
    </w:p>
    <w:p>
      <w:pPr>
        <w:pStyle w:val="yShoulderClause"/>
        <w:rPr>
          <w:snapToGrid w:val="0"/>
        </w:rPr>
      </w:pPr>
      <w:r>
        <w:rPr>
          <w:snapToGrid w:val="0"/>
        </w:rPr>
        <w:t>[r. 8 (6) &amp; (8)]</w:t>
      </w:r>
    </w:p>
    <w:p>
      <w:pPr>
        <w:pStyle w:val="yHeading2"/>
      </w:pPr>
      <w:bookmarkStart w:id="218" w:name="_Toc131575714"/>
      <w:bookmarkStart w:id="219" w:name="_Toc131575791"/>
      <w:bookmarkStart w:id="220" w:name="_Toc131912122"/>
      <w:r>
        <w:t>Part A — Information to be included in an access application</w:t>
      </w:r>
      <w:bookmarkEnd w:id="218"/>
      <w:bookmarkEnd w:id="219"/>
      <w:bookmarkEnd w:id="220"/>
    </w:p>
    <w:p>
      <w:pPr>
        <w:pStyle w:val="yHeading5"/>
        <w:outlineLvl w:val="9"/>
        <w:rPr>
          <w:snapToGrid w:val="0"/>
        </w:rPr>
      </w:pPr>
    </w:p>
    <w:p>
      <w:pPr>
        <w:pStyle w:val="ySubsection"/>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 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Heading2"/>
      </w:pPr>
      <w:bookmarkStart w:id="221" w:name="_Toc131575715"/>
      <w:bookmarkStart w:id="222" w:name="_Toc131575792"/>
      <w:bookmarkStart w:id="223" w:name="_Toc131912123"/>
      <w:r>
        <w:t>Part B — Information to be included in a response</w:t>
      </w:r>
      <w:bookmarkEnd w:id="221"/>
      <w:bookmarkEnd w:id="222"/>
      <w:bookmarkEnd w:id="223"/>
    </w:p>
    <w:p>
      <w:pPr>
        <w:pStyle w:val="yHeading5"/>
        <w:outlineLvl w:val="9"/>
        <w:rPr>
          <w:snapToGrid w:val="0"/>
        </w:rPr>
      </w:pPr>
    </w:p>
    <w:p>
      <w:pPr>
        <w:pStyle w:val="Subsection"/>
        <w:keepNext/>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t>[Schedule 2 amended in Gazette 28 December 2001 p.6717; 31 Mar 2006 p. 1315.]</w:t>
      </w:r>
    </w:p>
    <w:p>
      <w:pPr>
        <w:pStyle w:val="yScheduleHeading"/>
      </w:pPr>
      <w:bookmarkStart w:id="224" w:name="_Toc125452284"/>
      <w:bookmarkStart w:id="225" w:name="_Toc131575716"/>
      <w:bookmarkStart w:id="226" w:name="_Toc131575793"/>
      <w:bookmarkStart w:id="227" w:name="_Toc131912124"/>
      <w:r>
        <w:t>Schedule </w:t>
      </w:r>
      <w:r>
        <w:rPr>
          <w:rStyle w:val="CharSchNo"/>
        </w:rPr>
        <w:t>3</w:t>
      </w:r>
      <w:r>
        <w:t> — Terms of an access offer</w:t>
      </w:r>
      <w:bookmarkEnd w:id="224"/>
      <w:bookmarkEnd w:id="225"/>
      <w:bookmarkEnd w:id="226"/>
      <w:bookmarkEnd w:id="227"/>
      <w:r>
        <w:t xml:space="preserve"> </w:t>
      </w:r>
    </w:p>
    <w:p>
      <w:pPr>
        <w:pStyle w:val="yShoulderClause"/>
        <w:rPr>
          <w:snapToGrid w:val="0"/>
        </w:rPr>
      </w:pPr>
      <w:r>
        <w:rPr>
          <w:snapToGrid w:val="0"/>
        </w:rPr>
        <w:t>[r. 11 (3)]</w:t>
      </w:r>
    </w:p>
    <w:p>
      <w:pPr>
        <w:pStyle w:val="yHeading5"/>
        <w:outlineLvl w:val="9"/>
        <w:rPr>
          <w:snapToGrid w:val="0"/>
        </w:rPr>
      </w:pPr>
    </w:p>
    <w:p>
      <w:pPr>
        <w:pStyle w:val="ySubsection"/>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p.7403; 31 Mar 2006 p. 1316.]</w:t>
      </w:r>
    </w:p>
    <w:p>
      <w:pPr>
        <w:pStyle w:val="yScheduleHeading"/>
      </w:pPr>
      <w:bookmarkStart w:id="228" w:name="_Toc125452285"/>
      <w:bookmarkStart w:id="229" w:name="_Toc131575717"/>
      <w:bookmarkStart w:id="230" w:name="_Toc131575794"/>
      <w:bookmarkStart w:id="231" w:name="_Toc131912125"/>
      <w:r>
        <w:t>Schedule </w:t>
      </w:r>
      <w:r>
        <w:rPr>
          <w:rStyle w:val="CharSchNo"/>
        </w:rPr>
        <w:t>4</w:t>
      </w:r>
      <w:r>
        <w:t> — Loss factor formula</w:t>
      </w:r>
      <w:bookmarkEnd w:id="228"/>
      <w:bookmarkEnd w:id="229"/>
      <w:bookmarkEnd w:id="230"/>
      <w:bookmarkEnd w:id="231"/>
      <w:r>
        <w:t xml:space="preserve"> </w:t>
      </w:r>
    </w:p>
    <w:p>
      <w:pPr>
        <w:pStyle w:val="yShoulderClause"/>
        <w:rPr>
          <w:snapToGrid w:val="0"/>
        </w:rPr>
      </w:pPr>
      <w:r>
        <w:rPr>
          <w:snapToGrid w:val="0"/>
        </w:rPr>
        <w:t>[r. 22]</w:t>
      </w:r>
    </w:p>
    <w:p>
      <w:pPr>
        <w:pStyle w:val="yHeading5"/>
        <w:outlineLvl w:val="9"/>
        <w:rPr>
          <w:snapToGrid w:val="0"/>
        </w:rPr>
      </w:pPr>
    </w:p>
    <w:p>
      <w:pPr>
        <w:pStyle w:val="ySubsection"/>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9.25pt" o:ole="" fillcolor="window">
            <v:imagedata r:id="rId44" o:title=""/>
          </v:shape>
          <o:OLEObject Type="Embed" ProgID="Equation.3" ShapeID="_x0000_i1034" DrawAspect="Content" ObjectID="_1644028669" r:id="rId45"/>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6" o:title=""/>
          </v:shape>
          <o:OLEObject Type="Embed" ProgID="Equation.3" ShapeID="_x0000_i1035" DrawAspect="Content" ObjectID="_1644028670"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 out capacity for the distribution connection.</w:t>
      </w:r>
    </w:p>
    <w:p>
      <w:pPr>
        <w:pStyle w:val="Footnotesection"/>
      </w:pPr>
      <w:r>
        <w:tab/>
        <w:t>[Schedule 4 amended in Gazette 31 Dec 1998 pp.7403-4; 31 Mar 2006 p. 1316.]</w:t>
      </w:r>
    </w:p>
    <w:p>
      <w:pPr>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nHeading2"/>
      </w:pPr>
      <w:bookmarkStart w:id="232" w:name="_Toc125451778"/>
      <w:bookmarkStart w:id="233" w:name="_Toc125452286"/>
      <w:bookmarkStart w:id="234" w:name="_Toc131575718"/>
      <w:bookmarkStart w:id="235" w:name="_Toc131575795"/>
      <w:bookmarkStart w:id="236" w:name="_Toc131912126"/>
      <w:r>
        <w:t>Notes</w:t>
      </w:r>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w:t>
      </w:r>
    </w:p>
    <w:p>
      <w:pPr>
        <w:pStyle w:val="nHeading3"/>
        <w:rPr>
          <w:snapToGrid w:val="0"/>
        </w:rPr>
      </w:pPr>
      <w:bookmarkStart w:id="237" w:name="_Toc131575719"/>
      <w:bookmarkStart w:id="238" w:name="_Toc131912127"/>
      <w:r>
        <w:rPr>
          <w:snapToGrid w:val="0"/>
        </w:rPr>
        <w:t>Compilation table</w:t>
      </w:r>
      <w:bookmarkEnd w:id="237"/>
      <w:bookmarkEnd w:id="238"/>
    </w:p>
    <w:tbl>
      <w:tblPr>
        <w:tblW w:w="0" w:type="auto"/>
        <w:tblInd w:w="454"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Electricity Distribution Regulations 1997</w:t>
            </w:r>
          </w:p>
        </w:tc>
        <w:tc>
          <w:tcPr>
            <w:tcW w:w="1276" w:type="dxa"/>
            <w:tcBorders>
              <w:top w:val="single" w:sz="4" w:space="0" w:color="auto"/>
            </w:tcBorders>
          </w:tcPr>
          <w:p>
            <w:pPr>
              <w:pStyle w:val="nTable"/>
              <w:spacing w:after="40"/>
              <w:rPr>
                <w:sz w:val="19"/>
              </w:rPr>
            </w:pPr>
            <w:r>
              <w:rPr>
                <w:sz w:val="19"/>
              </w:rPr>
              <w:t>1 Jul 1997 p.3335</w:t>
            </w:r>
            <w:r>
              <w:rPr>
                <w:sz w:val="19"/>
              </w:rPr>
              <w:noBreakHyphen/>
              <w:t>3406</w:t>
            </w:r>
          </w:p>
        </w:tc>
        <w:tc>
          <w:tcPr>
            <w:tcW w:w="2693" w:type="dxa"/>
            <w:tcBorders>
              <w:top w:val="single" w:sz="4" w:space="0" w:color="auto"/>
            </w:tcBorders>
          </w:tcPr>
          <w:p>
            <w:pPr>
              <w:pStyle w:val="nTable"/>
              <w:spacing w:after="40"/>
              <w:rPr>
                <w:sz w:val="19"/>
              </w:rPr>
            </w:pPr>
            <w:r>
              <w:rPr>
                <w:sz w:val="19"/>
              </w:rPr>
              <w:t>1 Jul 1997</w:t>
            </w:r>
          </w:p>
        </w:tc>
      </w:tr>
      <w:tr>
        <w:tc>
          <w:tcPr>
            <w:tcW w:w="3119"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p.7399-404</w:t>
            </w:r>
          </w:p>
        </w:tc>
        <w:tc>
          <w:tcPr>
            <w:tcW w:w="2693" w:type="dxa"/>
          </w:tcPr>
          <w:p>
            <w:pPr>
              <w:pStyle w:val="nTable"/>
              <w:spacing w:after="40"/>
              <w:rPr>
                <w:sz w:val="19"/>
              </w:rPr>
            </w:pPr>
            <w:r>
              <w:rPr>
                <w:sz w:val="19"/>
              </w:rPr>
              <w:t>1 Jan 1999 (see r. 2)</w:t>
            </w:r>
          </w:p>
        </w:tc>
      </w:tr>
      <w:tr>
        <w:tc>
          <w:tcPr>
            <w:tcW w:w="3119" w:type="dxa"/>
          </w:tcPr>
          <w:p>
            <w:pPr>
              <w:pStyle w:val="nTable"/>
              <w:spacing w:after="40"/>
              <w:rPr>
                <w:i/>
                <w:sz w:val="19"/>
              </w:rPr>
            </w:pPr>
            <w:r>
              <w:rPr>
                <w:i/>
                <w:sz w:val="19"/>
              </w:rPr>
              <w:t>Corporations (Consequential Amendments) Regulations 2001</w:t>
            </w:r>
            <w:r>
              <w:rPr>
                <w:i/>
                <w:sz w:val="19"/>
              </w:rPr>
              <w:br/>
            </w:r>
            <w:r>
              <w:rPr>
                <w:sz w:val="19"/>
              </w:rPr>
              <w:t>Pt. 8</w:t>
            </w:r>
          </w:p>
        </w:tc>
        <w:tc>
          <w:tcPr>
            <w:tcW w:w="1276" w:type="dxa"/>
          </w:tcPr>
          <w:p>
            <w:pPr>
              <w:pStyle w:val="nTable"/>
              <w:spacing w:after="40"/>
              <w:rPr>
                <w:sz w:val="19"/>
              </w:rPr>
            </w:pPr>
            <w:r>
              <w:rPr>
                <w:sz w:val="19"/>
              </w:rPr>
              <w:t>28 Sep 2001 p.5353</w:t>
            </w:r>
            <w:r>
              <w:rPr>
                <w:sz w:val="19"/>
              </w:rPr>
              <w:noBreakHyphen/>
              <w:t>8</w:t>
            </w:r>
          </w:p>
        </w:tc>
        <w:tc>
          <w:tcPr>
            <w:tcW w:w="2693" w:type="dxa"/>
          </w:tcPr>
          <w:p>
            <w:pPr>
              <w:pStyle w:val="nTable"/>
              <w:spacing w:after="40"/>
              <w:rPr>
                <w:sz w:val="19"/>
              </w:rPr>
            </w:pPr>
            <w:r>
              <w:rPr>
                <w:sz w:val="19"/>
              </w:rPr>
              <w:t xml:space="preserve">Deemed operative: 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p.6714</w:t>
            </w:r>
            <w:r>
              <w:rPr>
                <w:sz w:val="19"/>
              </w:rPr>
              <w:noBreakHyphen/>
              <w:t>17</w:t>
            </w:r>
          </w:p>
        </w:tc>
        <w:tc>
          <w:tcPr>
            <w:tcW w:w="2693" w:type="dxa"/>
          </w:tcPr>
          <w:p>
            <w:pPr>
              <w:pStyle w:val="nTable"/>
              <w:spacing w:after="40"/>
              <w:rPr>
                <w:sz w:val="19"/>
              </w:rPr>
            </w:pPr>
            <w:r>
              <w:rPr>
                <w:sz w:val="19"/>
              </w:rPr>
              <w:t>28 Dec 2001 (see r. 2)</w:t>
            </w:r>
          </w:p>
        </w:tc>
      </w:tr>
      <w:tr>
        <w:tc>
          <w:tcPr>
            <w:tcW w:w="3119"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9"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378-9</w:t>
            </w:r>
          </w:p>
        </w:tc>
        <w:tc>
          <w:tcPr>
            <w:tcW w:w="2693" w:type="dxa"/>
          </w:tcPr>
          <w:p>
            <w:pPr>
              <w:pStyle w:val="nTable"/>
              <w:spacing w:after="40"/>
              <w:rPr>
                <w:sz w:val="19"/>
              </w:rPr>
            </w:pPr>
            <w:r>
              <w:rPr>
                <w:sz w:val="19"/>
              </w:rPr>
              <w:t>20 Jan 2006</w:t>
            </w:r>
          </w:p>
        </w:tc>
      </w:tr>
      <w:tr>
        <w:tc>
          <w:tcPr>
            <w:tcW w:w="3119" w:type="dxa"/>
            <w:tcBorders>
              <w:bottom w:val="single" w:sz="4" w:space="0" w:color="auto"/>
            </w:tcBorders>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Borders>
              <w:bottom w:val="single" w:sz="4" w:space="0" w:color="auto"/>
            </w:tcBorders>
          </w:tcPr>
          <w:p>
            <w:pPr>
              <w:pStyle w:val="nTable"/>
              <w:spacing w:after="40"/>
              <w:rPr>
                <w:sz w:val="19"/>
              </w:rPr>
            </w:pPr>
            <w:r>
              <w:rPr>
                <w:sz w:val="19"/>
              </w:rPr>
              <w:t>31 Mar 2006 p. 1299-57</w:t>
            </w:r>
          </w:p>
        </w:tc>
        <w:tc>
          <w:tcPr>
            <w:tcW w:w="2693" w:type="dxa"/>
            <w:tcBorders>
              <w:bottom w:val="single" w:sz="4" w:space="0" w:color="auto"/>
            </w:tcBorders>
          </w:tcPr>
          <w:p>
            <w:pPr>
              <w:pStyle w:val="nTable"/>
              <w:spacing w:after="40"/>
              <w:rPr>
                <w:sz w:val="19"/>
              </w:rPr>
            </w:pPr>
            <w:r>
              <w:rPr>
                <w:sz w:val="19"/>
              </w:rPr>
              <w:t>1 Apr 2006 (see r. 2)</w:t>
            </w:r>
          </w:p>
        </w:tc>
      </w:tr>
    </w:tbl>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bookmarkStart w:id="239" w:name="UpToHere"/>
      <w:bookmarkEnd w:id="239"/>
    </w:p>
    <w:sectPr>
      <w:headerReference w:type="even" r:id="rId54"/>
      <w:headerReference w:type="default" r:id="rId5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Electricity Distribution Regulations 1997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B2D6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EAA5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07F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144A9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7A5F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161F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94498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0E2E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42F98A"/>
    <w:lvl w:ilvl="0">
      <w:start w:val="1"/>
      <w:numFmt w:val="decimal"/>
      <w:pStyle w:val="ListNumber"/>
      <w:lvlText w:val="%1."/>
      <w:lvlJc w:val="left"/>
      <w:pPr>
        <w:tabs>
          <w:tab w:val="num" w:pos="360"/>
        </w:tabs>
        <w:ind w:left="360" w:hanging="360"/>
      </w:pPr>
    </w:lvl>
  </w:abstractNum>
  <w:abstractNum w:abstractNumId="9">
    <w:nsid w:val="FFFFFF89"/>
    <w:multiLevelType w:val="singleLevel"/>
    <w:tmpl w:val="984891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C4E8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F1649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434"/>
    <w:docVar w:name="WAFER_20151207121434" w:val="RemoveTrackChanges"/>
    <w:docVar w:name="WAFER_20151207121434_GUID" w:val="8237e1de-4156-4bb7-aaeb-c38bc2382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oleObject" Target="embeddings/oleObject11.bin"/><Relationship Id="rId50" Type="http://schemas.openxmlformats.org/officeDocument/2006/relationships/header" Target="header12.xml"/><Relationship Id="rId55"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54"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oleObject" Target="embeddings/oleObject10.bin"/><Relationship Id="rId53"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1.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image" Target="media/image10.wmf"/><Relationship Id="rId52"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0.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20985</Words>
  <Characters>111222</Characters>
  <Application>Microsoft Office Word</Application>
  <DocSecurity>0</DocSecurity>
  <Lines>2926</Lines>
  <Paragraphs>1271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1997 - 00-c0-04</dc:title>
  <dc:subject/>
  <dc:creator/>
  <cp:keywords/>
  <dc:description/>
  <cp:lastModifiedBy>svcMRProcess</cp:lastModifiedBy>
  <cp:revision>4</cp:revision>
  <cp:lastPrinted>2006-04-04T03:49:00Z</cp:lastPrinted>
  <dcterms:created xsi:type="dcterms:W3CDTF">2020-02-23T21:51:00Z</dcterms:created>
  <dcterms:modified xsi:type="dcterms:W3CDTF">2020-02-23T21:51:00Z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4408</vt:i4>
  </property>
  <property fmtid="{D5CDD505-2E9C-101B-9397-08002B2CF9AE}" pid="6" name="AsAtDate">
    <vt:lpwstr>01 Apr 2006</vt:lpwstr>
  </property>
  <property fmtid="{D5CDD505-2E9C-101B-9397-08002B2CF9AE}" pid="7" name="Suffix">
    <vt:lpwstr>00-c0-04</vt:lpwstr>
  </property>
</Properties>
</file>