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Electricity Transmission and Distribution Systems (Access) Act 1994</w:t>
      </w:r>
    </w:p>
    <w:p>
      <w:pPr>
        <w:pStyle w:val="NameofActReg"/>
        <w:spacing w:before="3760" w:after="4200"/>
      </w:pPr>
      <w:r>
        <w:rPr>
          <w:noProof/>
        </w:rPr>
        <w:t>Electricity Distribution Regulations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Electricity Distribution Regulations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General</w:t>
      </w:r>
    </w:p>
    <w:p>
      <w:pPr>
        <w:pStyle w:val="TOC8"/>
        <w:rPr>
          <w:sz w:val="24"/>
          <w:szCs w:val="24"/>
        </w:rPr>
      </w:pPr>
      <w:r>
        <w:rPr>
          <w:szCs w:val="24"/>
        </w:rPr>
        <w:t>1.</w:t>
      </w:r>
      <w:r>
        <w:rPr>
          <w:szCs w:val="24"/>
        </w:rPr>
        <w:tab/>
        <w:t>Citation</w:t>
      </w:r>
      <w:r>
        <w:tab/>
      </w:r>
      <w:r>
        <w:fldChar w:fldCharType="begin"/>
      </w:r>
      <w:r>
        <w:instrText xml:space="preserve"> PAGEREF _Toc139772439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_Toc139772440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_Toc139772441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_Toc139772442 \h </w:instrText>
      </w:r>
      <w:r>
        <w:fldChar w:fldCharType="separate"/>
      </w:r>
      <w:r>
        <w:t>11</w:t>
      </w:r>
      <w:r>
        <w:fldChar w:fldCharType="end"/>
      </w:r>
    </w:p>
    <w:p>
      <w:pPr>
        <w:pStyle w:val="TOC8"/>
        <w:rPr>
          <w:sz w:val="24"/>
          <w:szCs w:val="24"/>
        </w:rPr>
      </w:pPr>
      <w:r>
        <w:rPr>
          <w:szCs w:val="24"/>
        </w:rPr>
        <w:t>5</w:t>
      </w:r>
      <w:r>
        <w:rPr>
          <w:snapToGrid w:val="0"/>
          <w:szCs w:val="24"/>
        </w:rPr>
        <w:t>.</w:t>
      </w:r>
      <w:r>
        <w:rPr>
          <w:snapToGrid w:val="0"/>
          <w:szCs w:val="24"/>
        </w:rPr>
        <w:tab/>
        <w:t>Electricity distribution network</w:t>
      </w:r>
      <w:r>
        <w:tab/>
      </w:r>
      <w:r>
        <w:fldChar w:fldCharType="begin"/>
      </w:r>
      <w:r>
        <w:instrText xml:space="preserve"> PAGEREF _Toc139772443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Prescribed fee</w:t>
      </w:r>
      <w:r>
        <w:tab/>
      </w:r>
      <w:r>
        <w:fldChar w:fldCharType="begin"/>
      </w:r>
      <w:r>
        <w:instrText xml:space="preserve"> PAGEREF _Toc139772444 \h </w:instrText>
      </w:r>
      <w:r>
        <w:fldChar w:fldCharType="separate"/>
      </w:r>
      <w:r>
        <w:t>13</w:t>
      </w:r>
      <w:r>
        <w:fldChar w:fldCharType="end"/>
      </w:r>
    </w:p>
    <w:p>
      <w:pPr>
        <w:pStyle w:val="TOC2"/>
        <w:tabs>
          <w:tab w:val="right" w:leader="dot" w:pos="7086"/>
        </w:tabs>
        <w:rPr>
          <w:b w:val="0"/>
          <w:sz w:val="24"/>
          <w:szCs w:val="24"/>
        </w:rPr>
      </w:pPr>
      <w:r>
        <w:rPr>
          <w:szCs w:val="30"/>
        </w:rPr>
        <w:t>Part 2 — Access</w:t>
      </w:r>
    </w:p>
    <w:p>
      <w:pPr>
        <w:pStyle w:val="TOC8"/>
        <w:rPr>
          <w:sz w:val="24"/>
          <w:szCs w:val="24"/>
        </w:rPr>
      </w:pPr>
      <w:r>
        <w:rPr>
          <w:szCs w:val="24"/>
        </w:rPr>
        <w:t>7</w:t>
      </w:r>
      <w:r>
        <w:rPr>
          <w:snapToGrid w:val="0"/>
          <w:szCs w:val="24"/>
        </w:rPr>
        <w:t>.</w:t>
      </w:r>
      <w:r>
        <w:rPr>
          <w:snapToGrid w:val="0"/>
          <w:szCs w:val="24"/>
        </w:rPr>
        <w:tab/>
        <w:t>Access procedure</w:t>
      </w:r>
      <w:r>
        <w:tab/>
      </w:r>
      <w:r>
        <w:fldChar w:fldCharType="begin"/>
      </w:r>
      <w:r>
        <w:instrText xml:space="preserve"> PAGEREF _Toc139772446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Access application</w:t>
      </w:r>
      <w:r>
        <w:tab/>
      </w:r>
      <w:r>
        <w:fldChar w:fldCharType="begin"/>
      </w:r>
      <w:r>
        <w:instrText xml:space="preserve"> PAGEREF _Toc139772447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Provision and use of information in respect of access application</w:t>
      </w:r>
      <w:r>
        <w:tab/>
      </w:r>
      <w:r>
        <w:fldChar w:fldCharType="begin"/>
      </w:r>
      <w:r>
        <w:instrText xml:space="preserve"> PAGEREF _Toc139772448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Preliminary assessment</w:t>
      </w:r>
      <w:r>
        <w:tab/>
      </w:r>
      <w:r>
        <w:fldChar w:fldCharType="begin"/>
      </w:r>
      <w:r>
        <w:instrText xml:space="preserve"> PAGEREF _Toc139772449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Access offer</w:t>
      </w:r>
      <w:r>
        <w:tab/>
      </w:r>
      <w:r>
        <w:fldChar w:fldCharType="begin"/>
      </w:r>
      <w:r>
        <w:instrText xml:space="preserve"> PAGEREF _Toc139772450 \h </w:instrText>
      </w:r>
      <w:r>
        <w:fldChar w:fldCharType="separate"/>
      </w:r>
      <w:r>
        <w:t>18</w:t>
      </w:r>
      <w:r>
        <w:fldChar w:fldCharType="end"/>
      </w:r>
    </w:p>
    <w:p>
      <w:pPr>
        <w:pStyle w:val="TOC8"/>
        <w:rPr>
          <w:sz w:val="24"/>
          <w:szCs w:val="24"/>
        </w:rPr>
      </w:pPr>
      <w:r>
        <w:rPr>
          <w:szCs w:val="24"/>
        </w:rPr>
        <w:t>12</w:t>
      </w:r>
      <w:r>
        <w:rPr>
          <w:snapToGrid w:val="0"/>
          <w:szCs w:val="24"/>
        </w:rPr>
        <w:t>.</w:t>
      </w:r>
      <w:r>
        <w:rPr>
          <w:snapToGrid w:val="0"/>
          <w:szCs w:val="24"/>
        </w:rPr>
        <w:tab/>
        <w:t>Capital contributions</w:t>
      </w:r>
      <w:r>
        <w:tab/>
      </w:r>
      <w:r>
        <w:fldChar w:fldCharType="begin"/>
      </w:r>
      <w:r>
        <w:instrText xml:space="preserve"> PAGEREF _Toc139772451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First come first served</w:t>
      </w:r>
      <w:r>
        <w:tab/>
      </w:r>
      <w:r>
        <w:fldChar w:fldCharType="begin"/>
      </w:r>
      <w:r>
        <w:instrText xml:space="preserve"> PAGEREF _Toc139772452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Confidentiality</w:t>
      </w:r>
      <w:r>
        <w:tab/>
      </w:r>
      <w:r>
        <w:fldChar w:fldCharType="begin"/>
      </w:r>
      <w:r>
        <w:instrText xml:space="preserve"> PAGEREF _Toc139772453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Distribution access agreements</w:t>
      </w:r>
      <w:r>
        <w:tab/>
      </w:r>
      <w:r>
        <w:fldChar w:fldCharType="begin"/>
      </w:r>
      <w:r>
        <w:instrText xml:space="preserve"> PAGEREF _Toc139772454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Cost of processing access applications</w:t>
      </w:r>
      <w:r>
        <w:tab/>
      </w:r>
      <w:r>
        <w:fldChar w:fldCharType="begin"/>
      </w:r>
      <w:r>
        <w:instrText xml:space="preserve"> PAGEREF _Toc139772455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Suspension of time limits</w:t>
      </w:r>
      <w:r>
        <w:tab/>
      </w:r>
      <w:r>
        <w:fldChar w:fldCharType="begin"/>
      </w:r>
      <w:r>
        <w:instrText xml:space="preserve"> PAGEREF _Toc139772456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Metering</w:t>
      </w:r>
      <w:r>
        <w:tab/>
      </w:r>
      <w:r>
        <w:fldChar w:fldCharType="begin"/>
      </w:r>
      <w:r>
        <w:instrText xml:space="preserve"> PAGEREF _Toc139772457 \h </w:instrText>
      </w:r>
      <w:r>
        <w:fldChar w:fldCharType="separate"/>
      </w:r>
      <w:r>
        <w:t>31</w:t>
      </w:r>
      <w:r>
        <w:fldChar w:fldCharType="end"/>
      </w:r>
    </w:p>
    <w:p>
      <w:pPr>
        <w:pStyle w:val="TOC2"/>
        <w:tabs>
          <w:tab w:val="right" w:leader="dot" w:pos="7086"/>
        </w:tabs>
        <w:rPr>
          <w:b w:val="0"/>
          <w:sz w:val="24"/>
          <w:szCs w:val="24"/>
        </w:rPr>
      </w:pPr>
      <w:r>
        <w:rPr>
          <w:szCs w:val="30"/>
        </w:rPr>
        <w:lastRenderedPageBreak/>
        <w:t>Part 3 — Pricing methods, prices and charges</w:t>
      </w:r>
    </w:p>
    <w:p>
      <w:pPr>
        <w:pStyle w:val="TOC8"/>
        <w:rPr>
          <w:sz w:val="24"/>
          <w:szCs w:val="24"/>
        </w:rPr>
      </w:pPr>
      <w:r>
        <w:rPr>
          <w:szCs w:val="24"/>
        </w:rPr>
        <w:t>19</w:t>
      </w:r>
      <w:r>
        <w:rPr>
          <w:snapToGrid w:val="0"/>
          <w:szCs w:val="24"/>
        </w:rPr>
        <w:t>.</w:t>
      </w:r>
      <w:r>
        <w:rPr>
          <w:snapToGrid w:val="0"/>
          <w:szCs w:val="24"/>
        </w:rPr>
        <w:tab/>
        <w:t>Pricing methods and prices</w:t>
      </w:r>
      <w:r>
        <w:tab/>
      </w:r>
      <w:r>
        <w:fldChar w:fldCharType="begin"/>
      </w:r>
      <w:r>
        <w:instrText xml:space="preserve"> PAGEREF _Toc139772459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_Toc139772460 \h </w:instrText>
      </w:r>
      <w:r>
        <w:fldChar w:fldCharType="separate"/>
      </w:r>
      <w:r>
        <w:t>34</w:t>
      </w:r>
      <w:r>
        <w:fldChar w:fldCharType="end"/>
      </w:r>
    </w:p>
    <w:p>
      <w:pPr>
        <w:pStyle w:val="TOC2"/>
        <w:tabs>
          <w:tab w:val="right" w:leader="dot" w:pos="7086"/>
        </w:tabs>
        <w:rPr>
          <w:b w:val="0"/>
          <w:sz w:val="24"/>
          <w:szCs w:val="24"/>
        </w:rPr>
      </w:pPr>
      <w:r>
        <w:rPr>
          <w:szCs w:val="30"/>
        </w:rPr>
        <w:t>Part 4 — Balancing</w:t>
      </w:r>
    </w:p>
    <w:p>
      <w:pPr>
        <w:pStyle w:val="TOC8"/>
        <w:rPr>
          <w:sz w:val="24"/>
          <w:szCs w:val="24"/>
        </w:rPr>
      </w:pPr>
      <w:r>
        <w:rPr>
          <w:szCs w:val="24"/>
        </w:rPr>
        <w:t>21</w:t>
      </w:r>
      <w:r>
        <w:rPr>
          <w:snapToGrid w:val="0"/>
          <w:szCs w:val="24"/>
        </w:rPr>
        <w:t>.</w:t>
      </w:r>
      <w:r>
        <w:rPr>
          <w:snapToGrid w:val="0"/>
          <w:szCs w:val="24"/>
        </w:rPr>
        <w:tab/>
        <w:t>Standby arrangements</w:t>
      </w:r>
      <w:r>
        <w:tab/>
      </w:r>
      <w:r>
        <w:fldChar w:fldCharType="begin"/>
      </w:r>
      <w:r>
        <w:instrText xml:space="preserve"> PAGEREF _Toc139772462 \h </w:instrText>
      </w:r>
      <w:r>
        <w:fldChar w:fldCharType="separate"/>
      </w:r>
      <w:r>
        <w:t>35</w:t>
      </w:r>
      <w:r>
        <w:fldChar w:fldCharType="end"/>
      </w:r>
    </w:p>
    <w:p>
      <w:pPr>
        <w:pStyle w:val="TOC8"/>
        <w:rPr>
          <w:sz w:val="24"/>
          <w:szCs w:val="24"/>
        </w:rPr>
      </w:pPr>
      <w:r>
        <w:rPr>
          <w:szCs w:val="24"/>
        </w:rPr>
        <w:t>22.</w:t>
      </w:r>
      <w:r>
        <w:rPr>
          <w:szCs w:val="24"/>
        </w:rPr>
        <w:tab/>
        <w:t>Loss factors</w:t>
      </w:r>
      <w:r>
        <w:tab/>
      </w:r>
      <w:r>
        <w:fldChar w:fldCharType="begin"/>
      </w:r>
      <w:r>
        <w:instrText xml:space="preserve"> PAGEREF _Toc139772463 \h </w:instrText>
      </w:r>
      <w:r>
        <w:fldChar w:fldCharType="separate"/>
      </w:r>
      <w:r>
        <w:t>35</w:t>
      </w:r>
      <w:r>
        <w:fldChar w:fldCharType="end"/>
      </w:r>
    </w:p>
    <w:p>
      <w:pPr>
        <w:pStyle w:val="TOC8"/>
        <w:rPr>
          <w:sz w:val="24"/>
          <w:szCs w:val="24"/>
        </w:rPr>
      </w:pPr>
      <w:r>
        <w:rPr>
          <w:szCs w:val="24"/>
        </w:rPr>
        <w:t>23</w:t>
      </w:r>
      <w:r>
        <w:rPr>
          <w:snapToGrid w:val="0"/>
          <w:szCs w:val="24"/>
        </w:rPr>
        <w:t>.</w:t>
      </w:r>
      <w:r>
        <w:rPr>
          <w:snapToGrid w:val="0"/>
          <w:szCs w:val="24"/>
        </w:rPr>
        <w:tab/>
        <w:t>Interpretation of regulations 24, 25 and 27</w:t>
      </w:r>
      <w:r>
        <w:tab/>
      </w:r>
      <w:r>
        <w:fldChar w:fldCharType="begin"/>
      </w:r>
      <w:r>
        <w:instrText xml:space="preserve"> PAGEREF _Toc139772464 \h </w:instrText>
      </w:r>
      <w:r>
        <w:fldChar w:fldCharType="separate"/>
      </w:r>
      <w:r>
        <w:t>36</w:t>
      </w:r>
      <w:r>
        <w:fldChar w:fldCharType="end"/>
      </w:r>
    </w:p>
    <w:p>
      <w:pPr>
        <w:pStyle w:val="TOC8"/>
        <w:rPr>
          <w:sz w:val="24"/>
          <w:szCs w:val="24"/>
        </w:rPr>
      </w:pPr>
      <w:r>
        <w:rPr>
          <w:szCs w:val="24"/>
        </w:rPr>
        <w:t>24</w:t>
      </w:r>
      <w:r>
        <w:rPr>
          <w:snapToGrid w:val="0"/>
          <w:szCs w:val="24"/>
        </w:rPr>
        <w:t>.</w:t>
      </w:r>
      <w:r>
        <w:rPr>
          <w:snapToGrid w:val="0"/>
          <w:szCs w:val="24"/>
        </w:rPr>
        <w:tab/>
        <w:t>Balancing</w:t>
      </w:r>
      <w:r>
        <w:tab/>
      </w:r>
      <w:r>
        <w:fldChar w:fldCharType="begin"/>
      </w:r>
      <w:r>
        <w:instrText xml:space="preserve"> PAGEREF _Toc139772465 \h </w:instrText>
      </w:r>
      <w:r>
        <w:fldChar w:fldCharType="separate"/>
      </w:r>
      <w:r>
        <w:t>40</w:t>
      </w:r>
      <w:r>
        <w:fldChar w:fldCharType="end"/>
      </w:r>
    </w:p>
    <w:p>
      <w:pPr>
        <w:pStyle w:val="TOC8"/>
        <w:rPr>
          <w:sz w:val="24"/>
          <w:szCs w:val="24"/>
        </w:rPr>
      </w:pPr>
      <w:r>
        <w:rPr>
          <w:szCs w:val="24"/>
        </w:rPr>
        <w:t>25</w:t>
      </w:r>
      <w:r>
        <w:rPr>
          <w:snapToGrid w:val="0"/>
          <w:szCs w:val="24"/>
        </w:rPr>
        <w:t>.</w:t>
      </w:r>
      <w:r>
        <w:rPr>
          <w:snapToGrid w:val="0"/>
          <w:szCs w:val="24"/>
        </w:rPr>
        <w:tab/>
        <w:t>Excess standby generation charge</w:t>
      </w:r>
      <w:r>
        <w:tab/>
      </w:r>
      <w:r>
        <w:fldChar w:fldCharType="begin"/>
      </w:r>
      <w:r>
        <w:instrText xml:space="preserve"> PAGEREF _Toc139772466 \h </w:instrText>
      </w:r>
      <w:r>
        <w:fldChar w:fldCharType="separate"/>
      </w:r>
      <w:r>
        <w:t>43</w:t>
      </w:r>
      <w:r>
        <w:fldChar w:fldCharType="end"/>
      </w:r>
    </w:p>
    <w:p>
      <w:pPr>
        <w:pStyle w:val="TOC8"/>
        <w:rPr>
          <w:sz w:val="24"/>
          <w:szCs w:val="24"/>
        </w:rPr>
      </w:pPr>
      <w:r>
        <w:rPr>
          <w:szCs w:val="24"/>
        </w:rPr>
        <w:t>26</w:t>
      </w:r>
      <w:r>
        <w:rPr>
          <w:snapToGrid w:val="0"/>
          <w:szCs w:val="24"/>
        </w:rPr>
        <w:t>.</w:t>
      </w:r>
      <w:r>
        <w:rPr>
          <w:snapToGrid w:val="0"/>
          <w:szCs w:val="24"/>
        </w:rPr>
        <w:tab/>
        <w:t>Excess network usage charge</w:t>
      </w:r>
      <w:r>
        <w:tab/>
      </w:r>
      <w:r>
        <w:fldChar w:fldCharType="begin"/>
      </w:r>
      <w:r>
        <w:instrText xml:space="preserve"> PAGEREF _Toc139772467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Other consequences of being out of balance</w:t>
      </w:r>
      <w:r>
        <w:tab/>
      </w:r>
      <w:r>
        <w:fldChar w:fldCharType="begin"/>
      </w:r>
      <w:r>
        <w:instrText xml:space="preserve"> PAGEREF _Toc139772468 \h </w:instrText>
      </w:r>
      <w:r>
        <w:fldChar w:fldCharType="separate"/>
      </w:r>
      <w:r>
        <w:t>51</w:t>
      </w:r>
      <w:r>
        <w:fldChar w:fldCharType="end"/>
      </w:r>
    </w:p>
    <w:p>
      <w:pPr>
        <w:pStyle w:val="TOC2"/>
        <w:tabs>
          <w:tab w:val="right" w:leader="dot" w:pos="7086"/>
        </w:tabs>
        <w:rPr>
          <w:b w:val="0"/>
          <w:sz w:val="24"/>
          <w:szCs w:val="24"/>
        </w:rPr>
      </w:pPr>
      <w:r>
        <w:rPr>
          <w:szCs w:val="30"/>
        </w:rPr>
        <w:t>Part 5 — Technical regulation</w:t>
      </w:r>
    </w:p>
    <w:p>
      <w:pPr>
        <w:pStyle w:val="TOC8"/>
        <w:rPr>
          <w:sz w:val="24"/>
          <w:szCs w:val="24"/>
        </w:rPr>
      </w:pPr>
      <w:r>
        <w:rPr>
          <w:szCs w:val="24"/>
        </w:rPr>
        <w:t>28</w:t>
      </w:r>
      <w:r>
        <w:rPr>
          <w:snapToGrid w:val="0"/>
          <w:szCs w:val="24"/>
        </w:rPr>
        <w:t>.</w:t>
      </w:r>
      <w:r>
        <w:rPr>
          <w:snapToGrid w:val="0"/>
          <w:szCs w:val="24"/>
        </w:rPr>
        <w:tab/>
        <w:t>Distribution Technical Code</w:t>
      </w:r>
      <w:r>
        <w:tab/>
      </w:r>
      <w:r>
        <w:fldChar w:fldCharType="begin"/>
      </w:r>
      <w:r>
        <w:instrText xml:space="preserve"> PAGEREF _Toc139772470 \h </w:instrText>
      </w:r>
      <w:r>
        <w:fldChar w:fldCharType="separate"/>
      </w:r>
      <w:r>
        <w:t>53</w:t>
      </w:r>
      <w:r>
        <w:fldChar w:fldCharType="end"/>
      </w:r>
    </w:p>
    <w:p>
      <w:pPr>
        <w:pStyle w:val="TOC8"/>
        <w:rPr>
          <w:sz w:val="24"/>
          <w:szCs w:val="24"/>
        </w:rPr>
      </w:pPr>
      <w:r>
        <w:rPr>
          <w:szCs w:val="24"/>
        </w:rPr>
        <w:t>29</w:t>
      </w:r>
      <w:r>
        <w:rPr>
          <w:snapToGrid w:val="0"/>
          <w:szCs w:val="24"/>
        </w:rPr>
        <w:t>.</w:t>
      </w:r>
      <w:r>
        <w:rPr>
          <w:snapToGrid w:val="0"/>
          <w:szCs w:val="24"/>
        </w:rPr>
        <w:tab/>
        <w:t>Network planning criteria</w:t>
      </w:r>
      <w:r>
        <w:tab/>
      </w:r>
      <w:r>
        <w:fldChar w:fldCharType="begin"/>
      </w:r>
      <w:r>
        <w:instrText xml:space="preserve"> PAGEREF _Toc139772471 \h </w:instrText>
      </w:r>
      <w:r>
        <w:fldChar w:fldCharType="separate"/>
      </w:r>
      <w:r>
        <w:t>56</w:t>
      </w:r>
      <w:r>
        <w:fldChar w:fldCharType="end"/>
      </w:r>
    </w:p>
    <w:p>
      <w:pPr>
        <w:pStyle w:val="TOC8"/>
        <w:rPr>
          <w:sz w:val="24"/>
          <w:szCs w:val="24"/>
        </w:rPr>
      </w:pPr>
      <w:r>
        <w:rPr>
          <w:szCs w:val="24"/>
        </w:rPr>
        <w:t>29A.</w:t>
      </w:r>
      <w:r>
        <w:rPr>
          <w:szCs w:val="24"/>
        </w:rPr>
        <w:tab/>
        <w:t>Distribution Technical Code, network planning criteria and distribution price schedule may form one or more documents</w:t>
      </w:r>
      <w:r>
        <w:tab/>
      </w:r>
      <w:r>
        <w:fldChar w:fldCharType="begin"/>
      </w:r>
      <w:r>
        <w:instrText xml:space="preserve"> PAGEREF _Toc139772472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Good electricity industry practice</w:t>
      </w:r>
      <w:r>
        <w:tab/>
      </w:r>
      <w:r>
        <w:fldChar w:fldCharType="begin"/>
      </w:r>
      <w:r>
        <w:instrText xml:space="preserve"> PAGEREF _Toc139772473 \h </w:instrText>
      </w:r>
      <w:r>
        <w:fldChar w:fldCharType="separate"/>
      </w:r>
      <w:r>
        <w:t>58</w:t>
      </w:r>
      <w:r>
        <w:fldChar w:fldCharType="end"/>
      </w:r>
    </w:p>
    <w:p>
      <w:pPr>
        <w:pStyle w:val="TOC8"/>
        <w:rPr>
          <w:sz w:val="24"/>
          <w:szCs w:val="24"/>
        </w:rPr>
      </w:pPr>
      <w:r>
        <w:rPr>
          <w:szCs w:val="24"/>
        </w:rPr>
        <w:t>31</w:t>
      </w:r>
      <w:r>
        <w:rPr>
          <w:snapToGrid w:val="0"/>
          <w:szCs w:val="24"/>
        </w:rPr>
        <w:t>.</w:t>
      </w:r>
      <w:r>
        <w:rPr>
          <w:snapToGrid w:val="0"/>
          <w:szCs w:val="24"/>
        </w:rPr>
        <w:tab/>
        <w:t>Interruption and curtailment powers</w:t>
      </w:r>
      <w:r>
        <w:tab/>
      </w:r>
      <w:r>
        <w:fldChar w:fldCharType="begin"/>
      </w:r>
      <w:r>
        <w:instrText xml:space="preserve"> PAGEREF _Toc139772474 \h </w:instrText>
      </w:r>
      <w:r>
        <w:fldChar w:fldCharType="separate"/>
      </w:r>
      <w:r>
        <w:t>59</w:t>
      </w:r>
      <w:r>
        <w:fldChar w:fldCharType="end"/>
      </w:r>
    </w:p>
    <w:p>
      <w:pPr>
        <w:pStyle w:val="TOC8"/>
        <w:rPr>
          <w:sz w:val="24"/>
          <w:szCs w:val="24"/>
        </w:rPr>
      </w:pPr>
      <w:r>
        <w:rPr>
          <w:szCs w:val="24"/>
        </w:rPr>
        <w:t>32</w:t>
      </w:r>
      <w:r>
        <w:rPr>
          <w:snapToGrid w:val="0"/>
          <w:szCs w:val="24"/>
        </w:rPr>
        <w:t>.</w:t>
      </w:r>
      <w:r>
        <w:rPr>
          <w:snapToGrid w:val="0"/>
          <w:szCs w:val="24"/>
        </w:rPr>
        <w:tab/>
        <w:t>Safety and security of system</w:t>
      </w:r>
      <w:r>
        <w:tab/>
      </w:r>
      <w:r>
        <w:fldChar w:fldCharType="begin"/>
      </w:r>
      <w:r>
        <w:instrText xml:space="preserve"> PAGEREF _Toc139772475 \h </w:instrText>
      </w:r>
      <w:r>
        <w:fldChar w:fldCharType="separate"/>
      </w:r>
      <w:r>
        <w:t>61</w:t>
      </w:r>
      <w:r>
        <w:fldChar w:fldCharType="end"/>
      </w:r>
    </w:p>
    <w:p>
      <w:pPr>
        <w:pStyle w:val="TOC8"/>
        <w:rPr>
          <w:sz w:val="24"/>
          <w:szCs w:val="24"/>
        </w:rPr>
      </w:pPr>
      <w:r>
        <w:rPr>
          <w:szCs w:val="24"/>
        </w:rPr>
        <w:t>33</w:t>
      </w:r>
      <w:r>
        <w:rPr>
          <w:snapToGrid w:val="0"/>
          <w:szCs w:val="24"/>
        </w:rPr>
        <w:t>.</w:t>
      </w:r>
      <w:r>
        <w:rPr>
          <w:snapToGrid w:val="0"/>
          <w:szCs w:val="24"/>
        </w:rPr>
        <w:tab/>
        <w:t>Maintenance</w:t>
      </w:r>
      <w:r>
        <w:tab/>
      </w:r>
      <w:r>
        <w:fldChar w:fldCharType="begin"/>
      </w:r>
      <w:r>
        <w:instrText xml:space="preserve"> PAGEREF _Toc139772476 \h </w:instrText>
      </w:r>
      <w:r>
        <w:fldChar w:fldCharType="separate"/>
      </w:r>
      <w:r>
        <w:t>62</w:t>
      </w:r>
      <w:r>
        <w:fldChar w:fldCharType="end"/>
      </w:r>
    </w:p>
    <w:p>
      <w:pPr>
        <w:pStyle w:val="TOC8"/>
        <w:rPr>
          <w:sz w:val="24"/>
          <w:szCs w:val="24"/>
        </w:rPr>
      </w:pPr>
      <w:r>
        <w:rPr>
          <w:szCs w:val="24"/>
        </w:rPr>
        <w:t>34</w:t>
      </w:r>
      <w:r>
        <w:rPr>
          <w:snapToGrid w:val="0"/>
          <w:szCs w:val="24"/>
        </w:rPr>
        <w:t>.</w:t>
      </w:r>
      <w:r>
        <w:rPr>
          <w:snapToGrid w:val="0"/>
          <w:szCs w:val="24"/>
        </w:rPr>
        <w:tab/>
        <w:t>Electricity generation and load forecast information</w:t>
      </w:r>
      <w:r>
        <w:tab/>
      </w:r>
      <w:r>
        <w:fldChar w:fldCharType="begin"/>
      </w:r>
      <w:r>
        <w:instrText xml:space="preserve"> PAGEREF _Toc139772477 \h </w:instrText>
      </w:r>
      <w:r>
        <w:fldChar w:fldCharType="separate"/>
      </w:r>
      <w:r>
        <w:t>63</w:t>
      </w:r>
      <w:r>
        <w:fldChar w:fldCharType="end"/>
      </w:r>
    </w:p>
    <w:p>
      <w:pPr>
        <w:pStyle w:val="TOC2"/>
        <w:tabs>
          <w:tab w:val="right" w:leader="dot" w:pos="7086"/>
        </w:tabs>
        <w:rPr>
          <w:b w:val="0"/>
          <w:sz w:val="24"/>
          <w:szCs w:val="24"/>
        </w:rPr>
      </w:pPr>
      <w:r>
        <w:rPr>
          <w:szCs w:val="30"/>
        </w:rPr>
        <w:t>Part 6 — Access terms</w:t>
      </w:r>
    </w:p>
    <w:p>
      <w:pPr>
        <w:pStyle w:val="TOC8"/>
        <w:rPr>
          <w:sz w:val="24"/>
          <w:szCs w:val="24"/>
        </w:rPr>
      </w:pPr>
      <w:r>
        <w:rPr>
          <w:szCs w:val="24"/>
        </w:rPr>
        <w:t>35</w:t>
      </w:r>
      <w:r>
        <w:rPr>
          <w:snapToGrid w:val="0"/>
          <w:szCs w:val="24"/>
        </w:rPr>
        <w:t>.</w:t>
      </w:r>
      <w:r>
        <w:rPr>
          <w:snapToGrid w:val="0"/>
          <w:szCs w:val="24"/>
        </w:rPr>
        <w:tab/>
        <w:t>Reasonable endeavours</w:t>
      </w:r>
      <w:r>
        <w:tab/>
      </w:r>
      <w:r>
        <w:fldChar w:fldCharType="begin"/>
      </w:r>
      <w:r>
        <w:instrText xml:space="preserve"> PAGEREF _Toc139772479 \h </w:instrText>
      </w:r>
      <w:r>
        <w:fldChar w:fldCharType="separate"/>
      </w:r>
      <w:r>
        <w:t>64</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Force majeure</w:t>
      </w:r>
      <w:r>
        <w:rPr>
          <w:snapToGrid w:val="0"/>
          <w:szCs w:val="24"/>
        </w:rPr>
        <w:t xml:space="preserve"> and interruption</w:t>
      </w:r>
      <w:r>
        <w:tab/>
      </w:r>
      <w:r>
        <w:fldChar w:fldCharType="begin"/>
      </w:r>
      <w:r>
        <w:instrText xml:space="preserve"> PAGEREF _Toc139772480 \h </w:instrText>
      </w:r>
      <w:r>
        <w:fldChar w:fldCharType="separate"/>
      </w:r>
      <w:r>
        <w:t>64</w:t>
      </w:r>
      <w:r>
        <w:fldChar w:fldCharType="end"/>
      </w:r>
    </w:p>
    <w:p>
      <w:pPr>
        <w:pStyle w:val="TOC8"/>
        <w:rPr>
          <w:sz w:val="24"/>
          <w:szCs w:val="24"/>
        </w:rPr>
      </w:pPr>
      <w:r>
        <w:rPr>
          <w:szCs w:val="24"/>
        </w:rPr>
        <w:t>37</w:t>
      </w:r>
      <w:r>
        <w:rPr>
          <w:snapToGrid w:val="0"/>
          <w:szCs w:val="24"/>
        </w:rPr>
        <w:t>.</w:t>
      </w:r>
      <w:r>
        <w:rPr>
          <w:snapToGrid w:val="0"/>
          <w:szCs w:val="24"/>
        </w:rPr>
        <w:tab/>
        <w:t>Effect of access to capacity</w:t>
      </w:r>
      <w:r>
        <w:tab/>
      </w:r>
      <w:r>
        <w:fldChar w:fldCharType="begin"/>
      </w:r>
      <w:r>
        <w:instrText xml:space="preserve"> PAGEREF _Toc139772481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Minimum term and renewal</w:t>
      </w:r>
      <w:r>
        <w:tab/>
      </w:r>
      <w:r>
        <w:fldChar w:fldCharType="begin"/>
      </w:r>
      <w:r>
        <w:instrText xml:space="preserve"> PAGEREF _Toc139772482 \h </w:instrText>
      </w:r>
      <w:r>
        <w:fldChar w:fldCharType="separate"/>
      </w:r>
      <w:r>
        <w:t>67</w:t>
      </w:r>
      <w:r>
        <w:fldChar w:fldCharType="end"/>
      </w:r>
    </w:p>
    <w:p>
      <w:pPr>
        <w:pStyle w:val="TOC8"/>
        <w:rPr>
          <w:sz w:val="24"/>
          <w:szCs w:val="24"/>
        </w:rPr>
      </w:pPr>
      <w:r>
        <w:rPr>
          <w:szCs w:val="24"/>
        </w:rPr>
        <w:t>39</w:t>
      </w:r>
      <w:r>
        <w:rPr>
          <w:snapToGrid w:val="0"/>
          <w:szCs w:val="24"/>
        </w:rPr>
        <w:t>.</w:t>
      </w:r>
      <w:r>
        <w:rPr>
          <w:snapToGrid w:val="0"/>
          <w:szCs w:val="24"/>
        </w:rPr>
        <w:tab/>
        <w:t>Contract maximum demand and declared sent</w:t>
      </w:r>
      <w:r>
        <w:rPr>
          <w:bCs/>
          <w:szCs w:val="24"/>
        </w:rPr>
        <w:noBreakHyphen/>
      </w:r>
      <w:r>
        <w:rPr>
          <w:snapToGrid w:val="0"/>
          <w:szCs w:val="24"/>
        </w:rPr>
        <w:t>out capacity</w:t>
      </w:r>
      <w:r>
        <w:tab/>
      </w:r>
      <w:r>
        <w:fldChar w:fldCharType="begin"/>
      </w:r>
      <w:r>
        <w:instrText xml:space="preserve"> PAGEREF _Toc139772483 \h </w:instrText>
      </w:r>
      <w:r>
        <w:fldChar w:fldCharType="separate"/>
      </w:r>
      <w:r>
        <w:t>67</w:t>
      </w:r>
      <w:r>
        <w:fldChar w:fldCharType="end"/>
      </w:r>
    </w:p>
    <w:p>
      <w:pPr>
        <w:pStyle w:val="TOC8"/>
        <w:rPr>
          <w:sz w:val="24"/>
          <w:szCs w:val="24"/>
        </w:rPr>
      </w:pPr>
      <w:r>
        <w:rPr>
          <w:szCs w:val="24"/>
        </w:rPr>
        <w:t>40</w:t>
      </w:r>
      <w:r>
        <w:rPr>
          <w:snapToGrid w:val="0"/>
          <w:szCs w:val="24"/>
        </w:rPr>
        <w:t>.</w:t>
      </w:r>
      <w:r>
        <w:rPr>
          <w:snapToGrid w:val="0"/>
          <w:szCs w:val="24"/>
        </w:rPr>
        <w:tab/>
        <w:t>Commencement date</w:t>
      </w:r>
      <w:r>
        <w:tab/>
      </w:r>
      <w:r>
        <w:fldChar w:fldCharType="begin"/>
      </w:r>
      <w:r>
        <w:instrText xml:space="preserve"> PAGEREF _Toc139772484 \h </w:instrText>
      </w:r>
      <w:r>
        <w:fldChar w:fldCharType="separate"/>
      </w:r>
      <w:r>
        <w:t>68</w:t>
      </w:r>
      <w:r>
        <w:fldChar w:fldCharType="end"/>
      </w:r>
    </w:p>
    <w:p>
      <w:pPr>
        <w:pStyle w:val="TOC2"/>
        <w:tabs>
          <w:tab w:val="right" w:leader="dot" w:pos="7086"/>
        </w:tabs>
        <w:rPr>
          <w:b w:val="0"/>
          <w:sz w:val="24"/>
          <w:szCs w:val="24"/>
        </w:rPr>
      </w:pPr>
      <w:r>
        <w:rPr>
          <w:szCs w:val="30"/>
        </w:rPr>
        <w:t>Part 7 — Enforcement, liability and insurance</w:t>
      </w:r>
    </w:p>
    <w:p>
      <w:pPr>
        <w:pStyle w:val="TOC8"/>
        <w:rPr>
          <w:sz w:val="24"/>
          <w:szCs w:val="24"/>
        </w:rPr>
      </w:pPr>
      <w:r>
        <w:rPr>
          <w:szCs w:val="24"/>
        </w:rPr>
        <w:t>41</w:t>
      </w:r>
      <w:r>
        <w:rPr>
          <w:snapToGrid w:val="0"/>
          <w:szCs w:val="24"/>
        </w:rPr>
        <w:t>.</w:t>
      </w:r>
      <w:r>
        <w:rPr>
          <w:snapToGrid w:val="0"/>
          <w:szCs w:val="24"/>
        </w:rPr>
        <w:tab/>
        <w:t>Enforcement</w:t>
      </w:r>
      <w:r>
        <w:tab/>
      </w:r>
      <w:r>
        <w:fldChar w:fldCharType="begin"/>
      </w:r>
      <w:r>
        <w:instrText xml:space="preserve"> PAGEREF _Toc139772486 \h </w:instrText>
      </w:r>
      <w:r>
        <w:fldChar w:fldCharType="separate"/>
      </w:r>
      <w:r>
        <w:t>69</w:t>
      </w:r>
      <w:r>
        <w:fldChar w:fldCharType="end"/>
      </w:r>
    </w:p>
    <w:p>
      <w:pPr>
        <w:pStyle w:val="TOC8"/>
        <w:rPr>
          <w:sz w:val="24"/>
          <w:szCs w:val="24"/>
        </w:rPr>
      </w:pPr>
      <w:r>
        <w:rPr>
          <w:szCs w:val="24"/>
        </w:rPr>
        <w:t>42</w:t>
      </w:r>
      <w:r>
        <w:rPr>
          <w:snapToGrid w:val="0"/>
          <w:szCs w:val="24"/>
        </w:rPr>
        <w:t>.</w:t>
      </w:r>
      <w:r>
        <w:rPr>
          <w:snapToGrid w:val="0"/>
          <w:szCs w:val="24"/>
        </w:rPr>
        <w:tab/>
        <w:t>Liability, insurance and indemnity</w:t>
      </w:r>
      <w:r>
        <w:tab/>
      </w:r>
      <w:r>
        <w:fldChar w:fldCharType="begin"/>
      </w:r>
      <w:r>
        <w:instrText xml:space="preserve"> PAGEREF _Toc139772487 \h </w:instrText>
      </w:r>
      <w:r>
        <w:fldChar w:fldCharType="separate"/>
      </w:r>
      <w:r>
        <w:t>70</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43</w:t>
      </w:r>
      <w:r>
        <w:rPr>
          <w:snapToGrid w:val="0"/>
          <w:szCs w:val="24"/>
        </w:rPr>
        <w:t>.</w:t>
      </w:r>
      <w:r>
        <w:rPr>
          <w:snapToGrid w:val="0"/>
          <w:szCs w:val="24"/>
        </w:rPr>
        <w:tab/>
        <w:t>Ancillary services</w:t>
      </w:r>
      <w:r>
        <w:tab/>
      </w:r>
      <w:r>
        <w:fldChar w:fldCharType="begin"/>
      </w:r>
      <w:r>
        <w:instrText xml:space="preserve"> PAGEREF _Toc139772489 \h </w:instrText>
      </w:r>
      <w:r>
        <w:fldChar w:fldCharType="separate"/>
      </w:r>
      <w:r>
        <w:t>73</w:t>
      </w:r>
      <w:r>
        <w:fldChar w:fldCharType="end"/>
      </w:r>
    </w:p>
    <w:p>
      <w:pPr>
        <w:pStyle w:val="TOC8"/>
        <w:rPr>
          <w:sz w:val="24"/>
          <w:szCs w:val="24"/>
        </w:rPr>
      </w:pPr>
      <w:r>
        <w:rPr>
          <w:szCs w:val="24"/>
        </w:rPr>
        <w:t>44</w:t>
      </w:r>
      <w:r>
        <w:rPr>
          <w:snapToGrid w:val="0"/>
          <w:szCs w:val="24"/>
        </w:rPr>
        <w:t>.</w:t>
      </w:r>
      <w:r>
        <w:rPr>
          <w:snapToGrid w:val="0"/>
          <w:szCs w:val="24"/>
        </w:rPr>
        <w:tab/>
        <w:t>Prudential requirements</w:t>
      </w:r>
      <w:r>
        <w:tab/>
      </w:r>
      <w:r>
        <w:fldChar w:fldCharType="begin"/>
      </w:r>
      <w:r>
        <w:instrText xml:space="preserve"> PAGEREF _Toc139772490 \h </w:instrText>
      </w:r>
      <w:r>
        <w:fldChar w:fldCharType="separate"/>
      </w:r>
      <w:r>
        <w:t>74</w:t>
      </w:r>
      <w:r>
        <w:fldChar w:fldCharType="end"/>
      </w:r>
    </w:p>
    <w:p>
      <w:pPr>
        <w:pStyle w:val="TOC8"/>
        <w:rPr>
          <w:sz w:val="24"/>
          <w:szCs w:val="24"/>
        </w:rPr>
      </w:pPr>
      <w:r>
        <w:rPr>
          <w:szCs w:val="24"/>
        </w:rPr>
        <w:t>45</w:t>
      </w:r>
      <w:r>
        <w:rPr>
          <w:snapToGrid w:val="0"/>
          <w:szCs w:val="24"/>
        </w:rPr>
        <w:t>.</w:t>
      </w:r>
      <w:r>
        <w:rPr>
          <w:snapToGrid w:val="0"/>
          <w:szCs w:val="24"/>
        </w:rPr>
        <w:tab/>
        <w:t>Title to electricity</w:t>
      </w:r>
      <w:r>
        <w:tab/>
      </w:r>
      <w:r>
        <w:fldChar w:fldCharType="begin"/>
      </w:r>
      <w:r>
        <w:instrText xml:space="preserve"> PAGEREF _Toc139772491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Assignment of distribution access agreements</w:t>
      </w:r>
      <w:r>
        <w:tab/>
      </w:r>
      <w:r>
        <w:fldChar w:fldCharType="begin"/>
      </w:r>
      <w:r>
        <w:instrText xml:space="preserve"> PAGEREF _Toc139772492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Essential terms</w:t>
      </w:r>
      <w:r>
        <w:tab/>
      </w:r>
      <w:r>
        <w:fldChar w:fldCharType="begin"/>
      </w:r>
      <w:r>
        <w:instrText xml:space="preserve"> PAGEREF _Toc139772493 \h </w:instrText>
      </w:r>
      <w:r>
        <w:fldChar w:fldCharType="separate"/>
      </w:r>
      <w:r>
        <w:t>76</w:t>
      </w:r>
      <w:r>
        <w:fldChar w:fldCharType="end"/>
      </w:r>
    </w:p>
    <w:p>
      <w:pPr>
        <w:pStyle w:val="TOC8"/>
        <w:rPr>
          <w:sz w:val="24"/>
          <w:szCs w:val="24"/>
        </w:rPr>
      </w:pPr>
      <w:r>
        <w:rPr>
          <w:szCs w:val="24"/>
        </w:rPr>
        <w:t>48</w:t>
      </w:r>
      <w:r>
        <w:rPr>
          <w:snapToGrid w:val="0"/>
          <w:szCs w:val="24"/>
        </w:rPr>
        <w:t>.</w:t>
      </w:r>
      <w:r>
        <w:rPr>
          <w:snapToGrid w:val="0"/>
          <w:szCs w:val="24"/>
        </w:rPr>
        <w:tab/>
        <w:t>Representations and warranties</w:t>
      </w:r>
      <w:r>
        <w:tab/>
      </w:r>
      <w:r>
        <w:fldChar w:fldCharType="begin"/>
      </w:r>
      <w:r>
        <w:instrText xml:space="preserve"> PAGEREF _Toc139772494 \h </w:instrText>
      </w:r>
      <w:r>
        <w:fldChar w:fldCharType="separate"/>
      </w:r>
      <w:r>
        <w:t>76</w:t>
      </w:r>
      <w:r>
        <w:fldChar w:fldCharType="end"/>
      </w:r>
    </w:p>
    <w:p>
      <w:pPr>
        <w:pStyle w:val="TOC8"/>
        <w:rPr>
          <w:sz w:val="24"/>
          <w:szCs w:val="24"/>
        </w:rPr>
      </w:pPr>
      <w:r>
        <w:rPr>
          <w:szCs w:val="24"/>
        </w:rPr>
        <w:t>49</w:t>
      </w:r>
      <w:r>
        <w:rPr>
          <w:snapToGrid w:val="0"/>
          <w:szCs w:val="24"/>
        </w:rPr>
        <w:t>.</w:t>
      </w:r>
      <w:r>
        <w:rPr>
          <w:snapToGrid w:val="0"/>
          <w:szCs w:val="24"/>
        </w:rPr>
        <w:tab/>
        <w:t>Payment arrangements</w:t>
      </w:r>
      <w:r>
        <w:tab/>
      </w:r>
      <w:r>
        <w:fldChar w:fldCharType="begin"/>
      </w:r>
      <w:r>
        <w:instrText xml:space="preserve"> PAGEREF _Toc139772495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Controllers</w:t>
      </w:r>
      <w:r>
        <w:tab/>
      </w:r>
      <w:r>
        <w:fldChar w:fldCharType="begin"/>
      </w:r>
      <w:r>
        <w:instrText xml:space="preserve"> PAGEREF _Toc139772496 \h </w:instrText>
      </w:r>
      <w:r>
        <w:fldChar w:fldCharType="separate"/>
      </w:r>
      <w:r>
        <w:t>79</w:t>
      </w:r>
      <w:r>
        <w:fldChar w:fldCharType="end"/>
      </w:r>
    </w:p>
    <w:p>
      <w:pPr>
        <w:pStyle w:val="TOC2"/>
        <w:tabs>
          <w:tab w:val="right" w:leader="dot" w:pos="7086"/>
        </w:tabs>
        <w:rPr>
          <w:b w:val="0"/>
          <w:sz w:val="24"/>
          <w:szCs w:val="24"/>
        </w:rPr>
      </w:pPr>
      <w:r>
        <w:rPr>
          <w:szCs w:val="30"/>
        </w:rPr>
        <w:t>Part 9 — Committed capacity and transitional provisions</w:t>
      </w:r>
    </w:p>
    <w:p>
      <w:pPr>
        <w:pStyle w:val="TOC8"/>
        <w:rPr>
          <w:sz w:val="24"/>
          <w:szCs w:val="24"/>
        </w:rPr>
      </w:pPr>
      <w:r>
        <w:rPr>
          <w:szCs w:val="24"/>
        </w:rPr>
        <w:t>51</w:t>
      </w:r>
      <w:r>
        <w:rPr>
          <w:snapToGrid w:val="0"/>
          <w:szCs w:val="24"/>
        </w:rPr>
        <w:t>.</w:t>
      </w:r>
      <w:r>
        <w:rPr>
          <w:snapToGrid w:val="0"/>
          <w:szCs w:val="24"/>
        </w:rPr>
        <w:tab/>
        <w:t>Interpretation</w:t>
      </w:r>
      <w:r>
        <w:tab/>
      </w:r>
      <w:r>
        <w:fldChar w:fldCharType="begin"/>
      </w:r>
      <w:r>
        <w:instrText xml:space="preserve"> PAGEREF _Toc139772498 \h </w:instrText>
      </w:r>
      <w:r>
        <w:fldChar w:fldCharType="separate"/>
      </w:r>
      <w:r>
        <w:t>80</w:t>
      </w:r>
      <w:r>
        <w:fldChar w:fldCharType="end"/>
      </w:r>
    </w:p>
    <w:p>
      <w:pPr>
        <w:pStyle w:val="TOC8"/>
        <w:rPr>
          <w:sz w:val="24"/>
          <w:szCs w:val="24"/>
        </w:rPr>
      </w:pPr>
      <w:r>
        <w:rPr>
          <w:szCs w:val="24"/>
        </w:rPr>
        <w:t>52.</w:t>
      </w:r>
      <w:r>
        <w:rPr>
          <w:szCs w:val="24"/>
        </w:rPr>
        <w:tab/>
        <w:t>Regional Power Corporation’s existing capacity</w:t>
      </w:r>
      <w:r>
        <w:tab/>
      </w:r>
      <w:r>
        <w:fldChar w:fldCharType="begin"/>
      </w:r>
      <w:r>
        <w:instrText xml:space="preserve"> PAGEREF _Toc139772499 \h </w:instrText>
      </w:r>
      <w:r>
        <w:fldChar w:fldCharType="separate"/>
      </w:r>
      <w:r>
        <w:t>80</w:t>
      </w:r>
      <w:r>
        <w:fldChar w:fldCharType="end"/>
      </w:r>
    </w:p>
    <w:p>
      <w:pPr>
        <w:pStyle w:val="TOC8"/>
        <w:rPr>
          <w:sz w:val="24"/>
          <w:szCs w:val="24"/>
        </w:rPr>
      </w:pPr>
      <w:r>
        <w:rPr>
          <w:szCs w:val="24"/>
        </w:rPr>
        <w:t>53</w:t>
      </w:r>
      <w:r>
        <w:rPr>
          <w:snapToGrid w:val="0"/>
          <w:szCs w:val="24"/>
        </w:rPr>
        <w:t>.</w:t>
      </w:r>
      <w:r>
        <w:rPr>
          <w:snapToGrid w:val="0"/>
          <w:szCs w:val="24"/>
        </w:rPr>
        <w:tab/>
        <w:t>Existing agreements</w:t>
      </w:r>
      <w:r>
        <w:tab/>
      </w:r>
      <w:r>
        <w:fldChar w:fldCharType="begin"/>
      </w:r>
      <w:r>
        <w:instrText xml:space="preserve"> PAGEREF _Toc139772500 \h </w:instrText>
      </w:r>
      <w:r>
        <w:fldChar w:fldCharType="separate"/>
      </w:r>
      <w:r>
        <w:t>80</w:t>
      </w:r>
      <w:r>
        <w:fldChar w:fldCharType="end"/>
      </w:r>
    </w:p>
    <w:p>
      <w:pPr>
        <w:pStyle w:val="TOC8"/>
        <w:rPr>
          <w:sz w:val="24"/>
          <w:szCs w:val="24"/>
        </w:rPr>
      </w:pPr>
      <w:r>
        <w:rPr>
          <w:szCs w:val="24"/>
        </w:rPr>
        <w:t>54</w:t>
      </w:r>
      <w:r>
        <w:rPr>
          <w:snapToGrid w:val="0"/>
          <w:szCs w:val="24"/>
        </w:rPr>
        <w:t>.</w:t>
      </w:r>
      <w:r>
        <w:rPr>
          <w:snapToGrid w:val="0"/>
          <w:szCs w:val="24"/>
        </w:rPr>
        <w:tab/>
        <w:t>Electricity Retail Corporation, RPC Retail and non</w:t>
      </w:r>
      <w:r>
        <w:rPr>
          <w:snapToGrid w:val="0"/>
          <w:szCs w:val="24"/>
        </w:rPr>
        <w:noBreakHyphen/>
        <w:t>eligible premises</w:t>
      </w:r>
      <w:r>
        <w:tab/>
      </w:r>
      <w:r>
        <w:fldChar w:fldCharType="begin"/>
      </w:r>
      <w:r>
        <w:instrText xml:space="preserve"> PAGEREF _Toc139772501 \h </w:instrText>
      </w:r>
      <w:r>
        <w:fldChar w:fldCharType="separate"/>
      </w:r>
      <w:r>
        <w:t>81</w:t>
      </w:r>
      <w:r>
        <w:fldChar w:fldCharType="end"/>
      </w:r>
    </w:p>
    <w:p>
      <w:pPr>
        <w:pStyle w:val="TOC2"/>
        <w:tabs>
          <w:tab w:val="right" w:leader="dot" w:pos="7086"/>
        </w:tabs>
        <w:rPr>
          <w:b w:val="0"/>
          <w:sz w:val="24"/>
          <w:szCs w:val="24"/>
        </w:rPr>
      </w:pPr>
      <w:r>
        <w:rPr>
          <w:szCs w:val="28"/>
        </w:rPr>
        <w:t>Schedule 1 — Access application flow chart</w:t>
      </w:r>
    </w:p>
    <w:p>
      <w:pPr>
        <w:pStyle w:val="TOC2"/>
        <w:tabs>
          <w:tab w:val="right" w:leader="dot" w:pos="7086"/>
        </w:tabs>
        <w:rPr>
          <w:b w:val="0"/>
          <w:sz w:val="24"/>
          <w:szCs w:val="24"/>
        </w:rPr>
      </w:pPr>
      <w:r>
        <w:rPr>
          <w:szCs w:val="28"/>
        </w:rPr>
        <w:t>Schedule 2 — Access information</w:t>
      </w:r>
    </w:p>
    <w:p>
      <w:pPr>
        <w:pStyle w:val="TOC2"/>
        <w:tabs>
          <w:tab w:val="right" w:leader="dot" w:pos="7086"/>
        </w:tabs>
        <w:rPr>
          <w:b w:val="0"/>
          <w:sz w:val="24"/>
          <w:szCs w:val="24"/>
        </w:rPr>
      </w:pPr>
      <w:r>
        <w:rPr>
          <w:szCs w:val="28"/>
        </w:rPr>
        <w:t>Part A — Information to be included in an access application</w:t>
      </w:r>
    </w:p>
    <w:p>
      <w:pPr>
        <w:pStyle w:val="TOC2"/>
        <w:tabs>
          <w:tab w:val="right" w:leader="dot" w:pos="7086"/>
        </w:tabs>
        <w:rPr>
          <w:b w:val="0"/>
          <w:sz w:val="24"/>
          <w:szCs w:val="24"/>
        </w:rPr>
      </w:pPr>
      <w:r>
        <w:rPr>
          <w:szCs w:val="28"/>
        </w:rPr>
        <w:t>Part B — Information to be included in a response</w:t>
      </w:r>
    </w:p>
    <w:p>
      <w:pPr>
        <w:pStyle w:val="TOC2"/>
        <w:tabs>
          <w:tab w:val="right" w:leader="dot" w:pos="7086"/>
        </w:tabs>
        <w:rPr>
          <w:b w:val="0"/>
          <w:sz w:val="24"/>
          <w:szCs w:val="24"/>
        </w:rPr>
      </w:pPr>
      <w:r>
        <w:rPr>
          <w:szCs w:val="28"/>
        </w:rPr>
        <w:t>Schedule 3 — Terms of an access offer</w:t>
      </w:r>
    </w:p>
    <w:p>
      <w:pPr>
        <w:pStyle w:val="TOC2"/>
        <w:tabs>
          <w:tab w:val="right" w:leader="dot" w:pos="7086"/>
        </w:tabs>
        <w:rPr>
          <w:b w:val="0"/>
          <w:sz w:val="24"/>
          <w:szCs w:val="24"/>
        </w:rPr>
      </w:pPr>
      <w:r>
        <w:rPr>
          <w:szCs w:val="28"/>
        </w:rPr>
        <w:t>Schedule 4 — Loss factor formula</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_Toc139772509 \h </w:instrText>
      </w:r>
      <w:r>
        <w:fldChar w:fldCharType="separate"/>
      </w:r>
      <w:r>
        <w:t>89</w:t>
      </w:r>
      <w:r>
        <w:fldChar w:fldCharType="end"/>
      </w:r>
    </w:p>
    <w:p>
      <w:pPr>
        <w:pStyle w:val="TOC2"/>
        <w:tabs>
          <w:tab w:val="right" w:leader="dot" w:pos="7086"/>
        </w:tabs>
        <w:rPr>
          <w:b w:val="0"/>
          <w:sz w:val="24"/>
          <w:szCs w:val="24"/>
        </w:rPr>
      </w:pPr>
      <w:r>
        <w:rPr>
          <w:szCs w:val="26"/>
        </w:rP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4</w:t>
            </w:r>
            <w:r>
              <w:rPr>
                <w:b/>
                <w:snapToGrid w:val="0"/>
                <w:sz w:val="22"/>
              </w:rPr>
              <w:t xml:space="preserve"> August 2006</w:t>
            </w:r>
          </w:p>
        </w:tc>
      </w:tr>
    </w:tbl>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2" w:name="_Toc111608516"/>
      <w:bookmarkStart w:id="3" w:name="_Toc111608647"/>
      <w:bookmarkStart w:id="4" w:name="_Toc111609163"/>
      <w:bookmarkStart w:id="5" w:name="_Toc111609956"/>
      <w:bookmarkStart w:id="6" w:name="_Toc112573403"/>
      <w:bookmarkStart w:id="7" w:name="_Toc112636804"/>
      <w:bookmarkStart w:id="8" w:name="_Toc113263161"/>
      <w:bookmarkStart w:id="9" w:name="_Toc113264543"/>
      <w:bookmarkStart w:id="10" w:name="_Toc113335383"/>
      <w:bookmarkStart w:id="11" w:name="_Toc113335561"/>
      <w:bookmarkStart w:id="12" w:name="_Toc113338433"/>
      <w:bookmarkStart w:id="13" w:name="_Toc113343815"/>
      <w:bookmarkStart w:id="14" w:name="_Toc113345020"/>
      <w:bookmarkStart w:id="15" w:name="_Toc113345421"/>
      <w:bookmarkStart w:id="16" w:name="_Toc113345613"/>
      <w:bookmarkStart w:id="17" w:name="_Toc113346291"/>
      <w:bookmarkStart w:id="18" w:name="_Toc113351311"/>
      <w:bookmarkStart w:id="19" w:name="_Toc113427855"/>
      <w:bookmarkStart w:id="20" w:name="_Toc113429937"/>
      <w:bookmarkStart w:id="21" w:name="_Toc114278379"/>
      <w:bookmarkStart w:id="22" w:name="_Toc114301405"/>
      <w:bookmarkStart w:id="23" w:name="_Toc114534947"/>
      <w:bookmarkStart w:id="24" w:name="_Toc114984107"/>
      <w:bookmarkStart w:id="25" w:name="_Toc115058200"/>
      <w:bookmarkStart w:id="26" w:name="_Toc115059272"/>
      <w:bookmarkStart w:id="27" w:name="_Toc115061032"/>
      <w:bookmarkStart w:id="28" w:name="_Toc115072285"/>
      <w:bookmarkStart w:id="29" w:name="_Toc115072552"/>
      <w:bookmarkStart w:id="30" w:name="_Toc115073942"/>
      <w:bookmarkStart w:id="31" w:name="_Toc115074665"/>
      <w:bookmarkStart w:id="32" w:name="_Toc115075960"/>
      <w:bookmarkStart w:id="33" w:name="_Toc115076884"/>
      <w:bookmarkStart w:id="34" w:name="_Toc115076998"/>
      <w:bookmarkStart w:id="35" w:name="_Toc115140167"/>
      <w:bookmarkStart w:id="36" w:name="_Toc115141099"/>
      <w:bookmarkStart w:id="37" w:name="_Toc115141322"/>
      <w:bookmarkStart w:id="38" w:name="_Toc115144365"/>
      <w:bookmarkStart w:id="39" w:name="_Toc115144671"/>
      <w:bookmarkStart w:id="40" w:name="_Toc115149687"/>
      <w:bookmarkStart w:id="41" w:name="_Toc115244730"/>
      <w:bookmarkStart w:id="42" w:name="_Toc116794051"/>
      <w:bookmarkStart w:id="43" w:name="_Toc116794430"/>
      <w:bookmarkStart w:id="44" w:name="_Toc116869163"/>
      <w:bookmarkStart w:id="45" w:name="_Toc116874768"/>
      <w:bookmarkStart w:id="46" w:name="_Toc116960570"/>
      <w:bookmarkStart w:id="47" w:name="_Toc116961233"/>
      <w:bookmarkStart w:id="48" w:name="_Toc116961351"/>
      <w:bookmarkStart w:id="49" w:name="_Toc116961469"/>
      <w:bookmarkStart w:id="50" w:name="_Toc116961587"/>
      <w:bookmarkStart w:id="51" w:name="_Toc116961705"/>
      <w:bookmarkStart w:id="52" w:name="_Toc116961823"/>
      <w:bookmarkStart w:id="53" w:name="_Toc116961941"/>
      <w:bookmarkStart w:id="54" w:name="_Toc116962059"/>
      <w:bookmarkStart w:id="55" w:name="_Toc116962177"/>
      <w:bookmarkStart w:id="56" w:name="_Toc116962295"/>
      <w:bookmarkStart w:id="57" w:name="_Toc116962413"/>
      <w:bookmarkStart w:id="58" w:name="_Toc116962536"/>
      <w:bookmarkStart w:id="59" w:name="_Toc116962654"/>
      <w:bookmarkStart w:id="60" w:name="_Toc116962823"/>
      <w:bookmarkStart w:id="61" w:name="_Toc116971064"/>
      <w:bookmarkStart w:id="62" w:name="_Toc116979883"/>
      <w:bookmarkStart w:id="63" w:name="_Toc117039708"/>
      <w:bookmarkStart w:id="64" w:name="_Toc117065448"/>
      <w:bookmarkStart w:id="65" w:name="_Toc117066940"/>
      <w:bookmarkStart w:id="66" w:name="_Toc117300966"/>
      <w:bookmarkStart w:id="67" w:name="_Toc117301099"/>
      <w:bookmarkStart w:id="68" w:name="_Toc117302095"/>
      <w:bookmarkStart w:id="69" w:name="_Toc117305565"/>
      <w:bookmarkStart w:id="70" w:name="_Toc117311541"/>
      <w:bookmarkStart w:id="71" w:name="_Toc117313144"/>
      <w:bookmarkStart w:id="72" w:name="_Toc117315630"/>
      <w:bookmarkStart w:id="73" w:name="_Toc117315793"/>
      <w:bookmarkStart w:id="74" w:name="_Toc117323122"/>
      <w:bookmarkStart w:id="75" w:name="_Toc117325911"/>
      <w:bookmarkStart w:id="76" w:name="_Toc117387545"/>
      <w:bookmarkStart w:id="77" w:name="_Toc117392644"/>
      <w:bookmarkStart w:id="78" w:name="_Toc117397006"/>
      <w:bookmarkStart w:id="79" w:name="_Toc117403416"/>
      <w:bookmarkStart w:id="80" w:name="_Toc117407568"/>
      <w:bookmarkStart w:id="81" w:name="_Toc117408073"/>
      <w:bookmarkStart w:id="82" w:name="_Toc117411232"/>
      <w:bookmarkStart w:id="83" w:name="_Toc117472133"/>
      <w:bookmarkStart w:id="84" w:name="_Toc117478478"/>
      <w:bookmarkStart w:id="85" w:name="_Toc117483416"/>
      <w:bookmarkStart w:id="86" w:name="_Toc117485280"/>
      <w:bookmarkStart w:id="87" w:name="_Toc117498806"/>
      <w:bookmarkStart w:id="88" w:name="_Toc117584544"/>
      <w:bookmarkStart w:id="89" w:name="_Toc117649280"/>
      <w:bookmarkStart w:id="90" w:name="_Toc117655153"/>
      <w:bookmarkStart w:id="91" w:name="_Toc117655529"/>
      <w:bookmarkStart w:id="92" w:name="_Toc117655817"/>
      <w:bookmarkStart w:id="93" w:name="_Toc117658002"/>
      <w:bookmarkStart w:id="94" w:name="_Toc117670978"/>
      <w:bookmarkStart w:id="95" w:name="_Toc117930308"/>
      <w:bookmarkStart w:id="96" w:name="_Toc118096518"/>
      <w:bookmarkStart w:id="97" w:name="_Toc118189565"/>
      <w:bookmarkStart w:id="98" w:name="_Toc118251192"/>
      <w:bookmarkStart w:id="99" w:name="_Toc118253585"/>
      <w:bookmarkStart w:id="100" w:name="_Toc118254891"/>
      <w:bookmarkStart w:id="101" w:name="_Toc118255123"/>
      <w:bookmarkStart w:id="102" w:name="_Toc118256372"/>
      <w:bookmarkStart w:id="103" w:name="_Toc118260213"/>
      <w:bookmarkStart w:id="104" w:name="_Toc118261746"/>
      <w:bookmarkStart w:id="105" w:name="_Toc118262519"/>
      <w:bookmarkStart w:id="106" w:name="_Toc118263229"/>
      <w:bookmarkStart w:id="107" w:name="_Toc118263485"/>
      <w:bookmarkStart w:id="108" w:name="_Toc118267144"/>
      <w:bookmarkStart w:id="109" w:name="_Toc118267575"/>
      <w:bookmarkStart w:id="110" w:name="_Toc118275747"/>
      <w:bookmarkStart w:id="111" w:name="_Toc118519703"/>
      <w:bookmarkStart w:id="112" w:name="_Toc118520138"/>
      <w:bookmarkStart w:id="113" w:name="_Toc118520269"/>
      <w:bookmarkStart w:id="114" w:name="_Toc118520400"/>
      <w:bookmarkStart w:id="115" w:name="_Toc118521811"/>
      <w:bookmarkStart w:id="116" w:name="_Toc118528771"/>
      <w:bookmarkStart w:id="117" w:name="_Toc118528902"/>
      <w:bookmarkStart w:id="118" w:name="_Toc118786302"/>
      <w:bookmarkStart w:id="119" w:name="_Toc118794249"/>
      <w:bookmarkStart w:id="120" w:name="_Toc118872911"/>
      <w:bookmarkStart w:id="121" w:name="_Toc118874135"/>
      <w:bookmarkStart w:id="122" w:name="_Toc118875506"/>
      <w:bookmarkStart w:id="123" w:name="_Toc118878828"/>
      <w:bookmarkStart w:id="124" w:name="_Toc118880721"/>
      <w:bookmarkStart w:id="125" w:name="_Toc118881089"/>
      <w:bookmarkStart w:id="126" w:name="_Toc119200702"/>
      <w:bookmarkStart w:id="127" w:name="_Toc119207626"/>
      <w:bookmarkStart w:id="128" w:name="_Toc119209167"/>
      <w:bookmarkStart w:id="129" w:name="_Toc119226052"/>
      <w:bookmarkStart w:id="130" w:name="_Toc119305071"/>
      <w:bookmarkStart w:id="131" w:name="_Toc119310271"/>
      <w:bookmarkStart w:id="132" w:name="_Toc119312563"/>
      <w:bookmarkStart w:id="133" w:name="_Toc119478756"/>
      <w:bookmarkStart w:id="134" w:name="_Toc119484546"/>
      <w:bookmarkStart w:id="135" w:name="_Toc119484857"/>
      <w:bookmarkStart w:id="136" w:name="_Toc119721658"/>
      <w:bookmarkStart w:id="137" w:name="_Toc119739851"/>
      <w:bookmarkStart w:id="138" w:name="_Toc119741441"/>
      <w:bookmarkStart w:id="139" w:name="_Toc119742253"/>
      <w:bookmarkStart w:id="140" w:name="_Toc119742580"/>
      <w:bookmarkStart w:id="141" w:name="_Toc119742730"/>
      <w:bookmarkStart w:id="142" w:name="_Toc119742860"/>
      <w:bookmarkStart w:id="143" w:name="_Toc119743454"/>
      <w:bookmarkStart w:id="144" w:name="_Toc119743660"/>
      <w:bookmarkStart w:id="145" w:name="_Toc119744487"/>
      <w:bookmarkStart w:id="146" w:name="_Toc119824661"/>
      <w:bookmarkStart w:id="147" w:name="_Toc119829960"/>
      <w:bookmarkStart w:id="148" w:name="_Toc119830092"/>
      <w:bookmarkStart w:id="149" w:name="_Toc119895482"/>
      <w:bookmarkStart w:id="150" w:name="_Toc119908734"/>
      <w:bookmarkStart w:id="151" w:name="_Toc119912702"/>
      <w:bookmarkStart w:id="152" w:name="_Toc119912952"/>
      <w:bookmarkStart w:id="153" w:name="_Toc119917403"/>
      <w:bookmarkStart w:id="154" w:name="_Toc119982355"/>
      <w:bookmarkStart w:id="155" w:name="_Toc119986915"/>
      <w:bookmarkStart w:id="156" w:name="_Toc120063443"/>
      <w:bookmarkStart w:id="157" w:name="_Toc120063959"/>
      <w:bookmarkStart w:id="158" w:name="_Toc120064301"/>
      <w:bookmarkStart w:id="159" w:name="_Toc120064433"/>
      <w:bookmarkStart w:id="160" w:name="_Toc120072132"/>
      <w:bookmarkStart w:id="161" w:name="_Toc120080495"/>
      <w:bookmarkStart w:id="162" w:name="_Toc120082274"/>
      <w:bookmarkStart w:id="163" w:name="_Toc120089065"/>
      <w:bookmarkStart w:id="164" w:name="_Toc120096287"/>
      <w:bookmarkStart w:id="165" w:name="_Toc120328388"/>
      <w:bookmarkStart w:id="166" w:name="_Toc120328520"/>
      <w:bookmarkStart w:id="167" w:name="_Toc120341157"/>
      <w:bookmarkStart w:id="168" w:name="_Toc120343805"/>
      <w:bookmarkStart w:id="169" w:name="_Toc120344085"/>
      <w:bookmarkStart w:id="170" w:name="_Toc120355093"/>
      <w:bookmarkStart w:id="171" w:name="_Toc120355225"/>
      <w:bookmarkStart w:id="172" w:name="_Toc120439252"/>
      <w:bookmarkStart w:id="173" w:name="_Toc120439384"/>
      <w:bookmarkStart w:id="174" w:name="_Toc120494376"/>
      <w:bookmarkStart w:id="175" w:name="_Toc120933045"/>
      <w:bookmarkStart w:id="176" w:name="_Toc120933177"/>
      <w:bookmarkStart w:id="177" w:name="_Toc120933309"/>
      <w:bookmarkStart w:id="178" w:name="_Toc122159455"/>
      <w:bookmarkStart w:id="179" w:name="_Toc122251119"/>
      <w:bookmarkStart w:id="180" w:name="_Toc122325114"/>
      <w:bookmarkStart w:id="181" w:name="_Toc122331149"/>
      <w:bookmarkStart w:id="182" w:name="_Toc122331275"/>
      <w:bookmarkStart w:id="183" w:name="_Toc122332013"/>
      <w:bookmarkStart w:id="184" w:name="_Toc122332139"/>
      <w:bookmarkStart w:id="185" w:name="_Toc122332575"/>
      <w:bookmarkStart w:id="186" w:name="_Toc122333110"/>
      <w:bookmarkStart w:id="187" w:name="_Toc122333696"/>
      <w:bookmarkStart w:id="188" w:name="_Toc122334224"/>
      <w:bookmarkStart w:id="189" w:name="_Toc122335614"/>
      <w:bookmarkStart w:id="190" w:name="_Toc122336736"/>
      <w:bookmarkStart w:id="191" w:name="_Toc122409838"/>
      <w:bookmarkStart w:id="192" w:name="_Toc122409963"/>
      <w:bookmarkStart w:id="193" w:name="_Toc122422995"/>
      <w:bookmarkStart w:id="194" w:name="_Toc122483763"/>
      <w:bookmarkStart w:id="195" w:name="_Toc122484027"/>
      <w:bookmarkStart w:id="196" w:name="_Toc122486241"/>
      <w:bookmarkStart w:id="197" w:name="_Toc122487254"/>
      <w:bookmarkStart w:id="198" w:name="_Toc122487519"/>
      <w:bookmarkStart w:id="199" w:name="_Toc122489114"/>
      <w:bookmarkStart w:id="200" w:name="_Toc122490624"/>
      <w:bookmarkStart w:id="201" w:name="_Toc122490750"/>
      <w:bookmarkStart w:id="202" w:name="_Toc122756274"/>
      <w:bookmarkStart w:id="203" w:name="_Toc122756400"/>
      <w:bookmarkStart w:id="204" w:name="_Toc122756526"/>
      <w:bookmarkStart w:id="205" w:name="_Toc122756652"/>
      <w:bookmarkStart w:id="206" w:name="_Toc122759630"/>
      <w:bookmarkStart w:id="207" w:name="_Toc122760983"/>
      <w:bookmarkStart w:id="208" w:name="_Toc122936983"/>
      <w:bookmarkStart w:id="209" w:name="_Toc122937230"/>
      <w:bookmarkStart w:id="210" w:name="_Toc123519211"/>
      <w:bookmarkStart w:id="211" w:name="_Toc123524578"/>
      <w:bookmarkStart w:id="212" w:name="_Toc123525068"/>
      <w:bookmarkStart w:id="213" w:name="_Toc123526460"/>
      <w:bookmarkStart w:id="214" w:name="_Toc123529151"/>
      <w:bookmarkStart w:id="215" w:name="_Toc123529589"/>
      <w:bookmarkStart w:id="216" w:name="_Toc123529799"/>
      <w:bookmarkStart w:id="217" w:name="_Toc123530805"/>
      <w:bookmarkStart w:id="218" w:name="_Toc123530931"/>
      <w:bookmarkStart w:id="219" w:name="_Toc123544855"/>
      <w:bookmarkStart w:id="220" w:name="_Toc123623744"/>
      <w:bookmarkStart w:id="221" w:name="_Toc123626604"/>
      <w:bookmarkStart w:id="222" w:name="_Toc123626730"/>
      <w:bookmarkStart w:id="223" w:name="_Toc123626856"/>
      <w:bookmarkStart w:id="224" w:name="_Toc123626982"/>
      <w:bookmarkStart w:id="225" w:name="_Toc124049587"/>
      <w:bookmarkStart w:id="226" w:name="_Toc124050130"/>
      <w:bookmarkStart w:id="227" w:name="_Toc124060749"/>
      <w:bookmarkStart w:id="228" w:name="_Toc124210433"/>
      <w:bookmarkStart w:id="229" w:name="_Toc124211199"/>
      <w:bookmarkStart w:id="230" w:name="_Toc124212641"/>
      <w:bookmarkStart w:id="231" w:name="_Toc124212767"/>
      <w:bookmarkStart w:id="232" w:name="_Toc124212893"/>
      <w:bookmarkStart w:id="233" w:name="_Toc124242848"/>
      <w:bookmarkStart w:id="234" w:name="_Toc124297371"/>
      <w:bookmarkStart w:id="235" w:name="_Toc124297705"/>
      <w:bookmarkStart w:id="236" w:name="_Toc125367545"/>
      <w:bookmarkStart w:id="237" w:name="_Toc125431818"/>
      <w:bookmarkStart w:id="238" w:name="_Toc128284713"/>
      <w:bookmarkStart w:id="239" w:name="_Toc128361963"/>
      <w:bookmarkStart w:id="240" w:name="_Toc129067325"/>
      <w:bookmarkStart w:id="241" w:name="_Toc129075321"/>
      <w:bookmarkStart w:id="242" w:name="_Toc131498649"/>
      <w:bookmarkStart w:id="243" w:name="_Toc131564504"/>
      <w:bookmarkStart w:id="244" w:name="_Toc131565392"/>
      <w:bookmarkStart w:id="245" w:name="_Toc132597361"/>
      <w:bookmarkStart w:id="246" w:name="_Toc133117082"/>
      <w:bookmarkStart w:id="247" w:name="_Toc133117212"/>
      <w:bookmarkStart w:id="248" w:name="_Toc133227842"/>
      <w:bookmarkStart w:id="249" w:name="_Toc139771988"/>
      <w:bookmarkStart w:id="250" w:name="_Toc139772438"/>
      <w:r>
        <w:rPr>
          <w:rStyle w:val="CharPartNo"/>
        </w:rPr>
        <w:t>Part 1</w:t>
      </w:r>
      <w:r>
        <w:rPr>
          <w:rStyle w:val="CharDivNo"/>
        </w:rPr>
        <w:t> </w:t>
      </w:r>
      <w:r>
        <w:t>—</w:t>
      </w:r>
      <w:r>
        <w:rPr>
          <w:rStyle w:val="CharDivText"/>
        </w:rPr>
        <w:t> </w:t>
      </w:r>
      <w:r>
        <w:rPr>
          <w:rStyle w:val="CharPartText"/>
        </w:rPr>
        <w:t>General</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23332722"/>
      <w:bookmarkStart w:id="252" w:name="_Toc425219441"/>
      <w:bookmarkStart w:id="253" w:name="_Toc426249308"/>
      <w:bookmarkStart w:id="254" w:name="_Toc449924704"/>
      <w:bookmarkStart w:id="255" w:name="_Toc449947722"/>
      <w:bookmarkStart w:id="256" w:name="_Toc454185713"/>
      <w:bookmarkStart w:id="257" w:name="_Toc515958686"/>
      <w:bookmarkStart w:id="258" w:name="_Toc133227843"/>
      <w:bookmarkStart w:id="259" w:name="_Toc139772439"/>
      <w:r>
        <w:rPr>
          <w:rStyle w:val="CharSectno"/>
        </w:rPr>
        <w:t>1</w:t>
      </w:r>
      <w:r>
        <w:t>.</w:t>
      </w:r>
      <w:r>
        <w:tab/>
        <w:t>Citation</w:t>
      </w:r>
      <w:bookmarkEnd w:id="251"/>
      <w:bookmarkEnd w:id="252"/>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60" w:name="_Toc28753058"/>
      <w:bookmarkStart w:id="261" w:name="_Toc131575649"/>
      <w:bookmarkStart w:id="262" w:name="_Toc139772440"/>
      <w:r>
        <w:rPr>
          <w:rStyle w:val="CharSectno"/>
        </w:rPr>
        <w:t>2</w:t>
      </w:r>
      <w:r>
        <w:rPr>
          <w:snapToGrid w:val="0"/>
        </w:rPr>
        <w:t>.</w:t>
      </w:r>
      <w:r>
        <w:rPr>
          <w:snapToGrid w:val="0"/>
        </w:rPr>
        <w:tab/>
        <w:t>Commencement</w:t>
      </w:r>
      <w:bookmarkEnd w:id="260"/>
      <w:bookmarkEnd w:id="261"/>
      <w:bookmarkEnd w:id="262"/>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63" w:name="_Toc28753059"/>
      <w:bookmarkStart w:id="264" w:name="_Toc131575650"/>
      <w:bookmarkStart w:id="265" w:name="_Toc139772441"/>
      <w:r>
        <w:rPr>
          <w:rStyle w:val="CharSectno"/>
        </w:rPr>
        <w:t>3</w:t>
      </w:r>
      <w:r>
        <w:rPr>
          <w:snapToGrid w:val="0"/>
        </w:rPr>
        <w:t>.</w:t>
      </w:r>
      <w:r>
        <w:rPr>
          <w:snapToGrid w:val="0"/>
        </w:rPr>
        <w:tab/>
        <w:t>Definitions</w:t>
      </w:r>
      <w:bookmarkEnd w:id="263"/>
      <w:bookmarkEnd w:id="264"/>
      <w:bookmarkEnd w:id="265"/>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bCs/>
        </w:rPr>
        <w:t>access information</w:t>
      </w:r>
      <w:r>
        <w:rPr>
          <w:b/>
        </w:rPr>
        <w:t>”</w:t>
      </w:r>
      <w:r>
        <w:t xml:space="preserve"> has the meaning given in regulation 14(1);</w:t>
      </w:r>
    </w:p>
    <w:p>
      <w:pPr>
        <w:pStyle w:val="Defstart"/>
      </w:pPr>
      <w:r>
        <w:rPr>
          <w:b/>
        </w:rPr>
        <w:tab/>
        <w:t>“</w:t>
      </w:r>
      <w:r>
        <w:rPr>
          <w:rStyle w:val="CharDefText"/>
          <w:bCs/>
        </w:rPr>
        <w:t>access offer</w:t>
      </w:r>
      <w:r>
        <w:rPr>
          <w:b/>
        </w:rPr>
        <w:t>”</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bCs/>
        </w:rPr>
        <w:t>ancillary services</w:t>
      </w:r>
      <w:r>
        <w:rPr>
          <w:b/>
        </w:rPr>
        <w:t>”</w:t>
      </w:r>
      <w:r>
        <w:t xml:space="preserve"> means the following services:</w:t>
      </w:r>
    </w:p>
    <w:p>
      <w:pPr>
        <w:pStyle w:val="Defpara"/>
      </w:pPr>
      <w:r>
        <w:tab/>
        <w:t>(a)</w:t>
      </w:r>
      <w:r>
        <w:tab/>
        <w:t>voltage control;</w:t>
      </w:r>
    </w:p>
    <w:p>
      <w:pPr>
        <w:pStyle w:val="Defpara"/>
      </w:pPr>
      <w:r>
        <w:tab/>
        <w:t>(b)</w:t>
      </w:r>
      <w:r>
        <w:tab/>
        <w:t>control system services;</w:t>
      </w:r>
    </w:p>
    <w:p>
      <w:pPr>
        <w:pStyle w:val="Defpara"/>
      </w:pPr>
      <w:r>
        <w:tab/>
        <w:t>(c)</w:t>
      </w:r>
      <w:r>
        <w:tab/>
        <w:t>spinning reserve; and</w:t>
      </w:r>
    </w:p>
    <w:p>
      <w:pPr>
        <w:pStyle w:val="Defpara"/>
      </w:pPr>
      <w:r>
        <w:tab/>
        <w:t>(d)</w:t>
      </w:r>
      <w:r>
        <w:tab/>
        <w:t>post</w:t>
      </w:r>
      <w:r>
        <w:noBreakHyphen/>
        <w:t>trip management;</w:t>
      </w:r>
    </w:p>
    <w:p>
      <w:pPr>
        <w:pStyle w:val="Defstart"/>
      </w:pPr>
      <w:r>
        <w:rPr>
          <w:b/>
        </w:rPr>
        <w:tab/>
        <w:t>“</w:t>
      </w:r>
      <w:r>
        <w:rPr>
          <w:rStyle w:val="CharDefText"/>
          <w:bCs/>
        </w:rPr>
        <w:t>applicable laws</w:t>
      </w:r>
      <w:r>
        <w:rPr>
          <w:b/>
        </w:rPr>
        <w:t>”</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bCs/>
        </w:rPr>
        <w:t>augment</w:t>
      </w:r>
      <w:r>
        <w:rPr>
          <w:b/>
        </w:rPr>
        <w:t>”</w:t>
      </w:r>
      <w:r>
        <w:t>, in relation to the electricity distribution network, means to enhance or expand the electricity distribution network;</w:t>
      </w:r>
    </w:p>
    <w:p>
      <w:pPr>
        <w:pStyle w:val="Defstart"/>
      </w:pPr>
      <w:r>
        <w:rPr>
          <w:b/>
        </w:rPr>
        <w:tab/>
        <w:t>“</w:t>
      </w:r>
      <w:r>
        <w:rPr>
          <w:rStyle w:val="CharDefText"/>
          <w:bCs/>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bCs/>
        </w:rPr>
        <w:t>connection</w:t>
      </w:r>
      <w:r>
        <w:rPr>
          <w:b/>
        </w:rPr>
        <w:t>”</w:t>
      </w:r>
      <w:r>
        <w:t xml:space="preserve"> means a distribution connection or a transmission connection;</w:t>
      </w:r>
    </w:p>
    <w:p>
      <w:pPr>
        <w:pStyle w:val="Defstart"/>
      </w:pPr>
      <w:r>
        <w:rPr>
          <w:b/>
        </w:rPr>
        <w:tab/>
        <w:t>“</w:t>
      </w:r>
      <w:r>
        <w:rPr>
          <w:rStyle w:val="CharDefText"/>
          <w:bCs/>
        </w:rPr>
        <w:t>connection equipment</w:t>
      </w:r>
      <w:r>
        <w:rPr>
          <w:b/>
        </w:rPr>
        <w: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w:t>
      </w:r>
      <w:r>
        <w:rPr>
          <w:rStyle w:val="CharDefText"/>
        </w:rPr>
        <w:t>conne</w:t>
      </w:r>
      <w:r>
        <w:rPr>
          <w:rStyle w:val="CharDefText"/>
          <w:bCs/>
        </w:rPr>
        <w:t>ction services</w:t>
      </w:r>
      <w:r>
        <w:rPr>
          <w:b/>
        </w:rPr>
        <w:t>”</w:t>
      </w:r>
      <w:r>
        <w:t>, in respect of a distribution connection, means the establishment and maintenance of that distribution connection;</w:t>
      </w:r>
    </w:p>
    <w:p>
      <w:pPr>
        <w:pStyle w:val="Defstart"/>
      </w:pPr>
      <w:r>
        <w:rPr>
          <w:b/>
        </w:rPr>
        <w:tab/>
        <w:t>“</w:t>
      </w:r>
      <w:r>
        <w:rPr>
          <w:rStyle w:val="CharDefText"/>
          <w:bCs/>
        </w:rPr>
        <w:t>contract maximum demand</w:t>
      </w:r>
      <w:r>
        <w:rPr>
          <w:b/>
        </w:rPr>
        <w:t>”</w:t>
      </w:r>
      <w:r>
        <w:t>, in respect of a distribution connection, means the contract maximum demand (expressed in kW) specified in the distribution access agreement in respect of the distribution connection;</w:t>
      </w:r>
    </w:p>
    <w:p>
      <w:pPr>
        <w:pStyle w:val="Defstart"/>
      </w:pPr>
      <w:r>
        <w:rPr>
          <w:b/>
        </w:rPr>
        <w:tab/>
        <w:t>“</w:t>
      </w:r>
      <w:r>
        <w:rPr>
          <w:rStyle w:val="CharDefText"/>
          <w:bCs/>
        </w:rPr>
        <w:t>control system services</w:t>
      </w:r>
      <w:r>
        <w:rPr>
          <w:b/>
        </w:rPr>
        <w:t>”</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w:t>
      </w:r>
      <w:r>
        <w:rPr>
          <w:rStyle w:val="CharDefText"/>
          <w:bCs/>
        </w:rPr>
        <w:t>controllers</w:t>
      </w:r>
      <w:r>
        <w:rPr>
          <w:b/>
        </w:rPr>
        <w:t>”</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bCs/>
        </w:rPr>
        <w:t>declared sent</w:t>
      </w:r>
      <w:r>
        <w:rPr>
          <w:rStyle w:val="CharDefText"/>
          <w:bCs/>
        </w:rPr>
        <w:noBreakHyphen/>
        <w:t>out capacity</w:t>
      </w:r>
      <w:r>
        <w:rPr>
          <w:b/>
        </w:rPr>
        <w:t>”</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w:t>
      </w:r>
      <w:r>
        <w:rPr>
          <w:rStyle w:val="CharDefText"/>
          <w:bCs/>
        </w:rPr>
        <w:t>disconnect</w:t>
      </w:r>
      <w:r>
        <w:rPr>
          <w:b/>
        </w:rPr>
        <w:t>”</w:t>
      </w:r>
      <w:r>
        <w:t>, in respect of a distribution connection, means to operate switching equipment so as to prevent the transfer of electricity through the distribution connection;</w:t>
      </w:r>
    </w:p>
    <w:p>
      <w:pPr>
        <w:pStyle w:val="Defstart"/>
        <w:keepNex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bCs/>
        </w:rPr>
        <w:t>distribution access services</w:t>
      </w:r>
      <w:r>
        <w:rPr>
          <w:b/>
        </w:rPr>
        <w:t>”</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w:t>
      </w:r>
      <w:r>
        <w:rPr>
          <w:rStyle w:val="CharDefText"/>
          <w:bCs/>
        </w:rPr>
        <w:t>distribution connection</w:t>
      </w:r>
      <w:r>
        <w:rPr>
          <w:b/>
        </w:rPr>
        <w:t>”</w:t>
      </w:r>
      <w:r>
        <w:t xml:space="preserve"> means a point at which electricity is transferred to or from the electricity distribution network;</w:t>
      </w:r>
    </w:p>
    <w:p>
      <w:pPr>
        <w:pStyle w:val="Defstart"/>
      </w:pPr>
      <w:r>
        <w:rPr>
          <w:b/>
        </w:rPr>
        <w:tab/>
        <w:t>“</w:t>
      </w:r>
      <w:r>
        <w:rPr>
          <w:rStyle w:val="CharDefText"/>
          <w:bCs/>
        </w:rPr>
        <w:t>distribution employee</w:t>
      </w:r>
      <w:r>
        <w:rPr>
          <w:b/>
        </w:rPr>
        <w:t>”</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w:t>
      </w:r>
      <w:r>
        <w:rPr>
          <w:rStyle w:val="CharDefText"/>
          <w:bCs/>
        </w:rPr>
        <w:t>distribution entry point</w:t>
      </w:r>
      <w:r>
        <w:rPr>
          <w:b/>
        </w:rPr>
        <w:t>”</w:t>
      </w:r>
      <w:r>
        <w:t xml:space="preserve"> means an entry point which is also a distribution connection;</w:t>
      </w:r>
    </w:p>
    <w:p>
      <w:pPr>
        <w:pStyle w:val="Defstart"/>
      </w:pPr>
      <w:r>
        <w:rPr>
          <w:b/>
        </w:rPr>
        <w:tab/>
        <w:t>“</w:t>
      </w:r>
      <w:r>
        <w:rPr>
          <w:rStyle w:val="CharDefText"/>
          <w:bCs/>
        </w:rPr>
        <w:t>distribution exit point</w:t>
      </w:r>
      <w:r>
        <w:rPr>
          <w:b/>
        </w:rPr>
        <w:t>”</w:t>
      </w:r>
      <w:r>
        <w:t xml:space="preserve"> means an exit point which is also a distribution connection;</w:t>
      </w:r>
    </w:p>
    <w:p>
      <w:pPr>
        <w:pStyle w:val="Defstart"/>
      </w:pPr>
      <w:r>
        <w:rPr>
          <w:b/>
        </w:rPr>
        <w:tab/>
        <w:t>“</w:t>
      </w:r>
      <w:r>
        <w:rPr>
          <w:rStyle w:val="CharDefText"/>
          <w:bCs/>
        </w:rPr>
        <w:t>distribution network services</w:t>
      </w:r>
      <w:r>
        <w:rPr>
          <w:b/>
        </w:rPr>
        <w:t>”</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t>“</w:t>
      </w:r>
      <w:r>
        <w:rPr>
          <w:rStyle w:val="CharDefText"/>
          <w:bCs/>
        </w:rPr>
        <w:t>distribution price schedule</w:t>
      </w:r>
      <w:r>
        <w:rPr>
          <w:b/>
        </w:rPr>
        <w:t>”</w:t>
      </w:r>
      <w:r>
        <w:t>, in respect of a financial year or other period of time, means the schedule of indicative prices referred to in clause 6(3)(b)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bCs/>
        </w:rPr>
        <w:t>electricity transmission network</w:t>
      </w:r>
      <w:r>
        <w:rPr>
          <w:b/>
        </w:rPr>
        <w:t>”</w:t>
      </w:r>
      <w:r>
        <w:t xml:space="preserve"> has the meaning given in the </w:t>
      </w:r>
      <w:r>
        <w:rPr>
          <w:i/>
        </w:rPr>
        <w:t>Electricity Transmission Regulations 1996</w:t>
      </w:r>
      <w:r>
        <w:t>;</w:t>
      </w:r>
    </w:p>
    <w:p>
      <w:pPr>
        <w:pStyle w:val="Defstart"/>
      </w:pPr>
      <w:r>
        <w:rPr>
          <w:b/>
        </w:rPr>
        <w:tab/>
        <w:t>“</w:t>
      </w:r>
      <w:r>
        <w:rPr>
          <w:rStyle w:val="CharDefText"/>
          <w:bCs/>
        </w:rPr>
        <w:t>eligible premises</w:t>
      </w:r>
      <w:r>
        <w:rPr>
          <w:b/>
        </w:rPr>
        <w:t>”</w:t>
      </w:r>
      <w:r>
        <w:t xml:space="preserve"> has the meaning given in regulation 51;</w:t>
      </w:r>
    </w:p>
    <w:p>
      <w:pPr>
        <w:pStyle w:val="Defstart"/>
      </w:pPr>
      <w:r>
        <w:rPr>
          <w:b/>
        </w:rPr>
        <w:tab/>
        <w:t>“</w:t>
      </w:r>
      <w:r>
        <w:rPr>
          <w:rStyle w:val="CharDefText"/>
          <w:bCs/>
        </w:rPr>
        <w:t>embedded generating unit</w:t>
      </w:r>
      <w:r>
        <w:rPr>
          <w:b/>
        </w:rPr>
        <w: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w:t>
      </w:r>
      <w:r>
        <w:rPr>
          <w:rStyle w:val="CharDefText"/>
          <w:bCs/>
        </w:rPr>
        <w:t>encumbrance</w:t>
      </w:r>
      <w:r>
        <w:rPr>
          <w:b/>
        </w:rPr>
        <w:t>”</w:t>
      </w:r>
      <w:r>
        <w:t xml:space="preserve"> includes a mortgage, pledge, lien, charge or other security interest;</w:t>
      </w:r>
    </w:p>
    <w:p>
      <w:pPr>
        <w:pStyle w:val="Defstart"/>
      </w:pPr>
      <w:r>
        <w:rPr>
          <w:b/>
        </w:rPr>
        <w:tab/>
        <w:t>“</w:t>
      </w:r>
      <w:r>
        <w:rPr>
          <w:rStyle w:val="CharDefText"/>
          <w:bCs/>
        </w:rPr>
        <w:t>entry point</w:t>
      </w:r>
      <w:r>
        <w:rPr>
          <w:b/>
        </w:rPr>
        <w: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t>“</w:t>
      </w:r>
      <w:r>
        <w:rPr>
          <w:rStyle w:val="CharDefText"/>
          <w:bCs/>
        </w:rPr>
        <w:t>exempt connection</w:t>
      </w:r>
      <w:r>
        <w:rPr>
          <w:b/>
        </w:rPr>
        <w:t>”</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w:t>
      </w:r>
      <w:r>
        <w:rPr>
          <w:rStyle w:val="CharDefText"/>
          <w:bCs/>
        </w:rPr>
        <w:t>existing agreement</w:t>
      </w:r>
      <w:r>
        <w:rPr>
          <w:b/>
        </w:rPr>
        <w:t>”</w:t>
      </w:r>
      <w:r>
        <w:t xml:space="preserve"> means an agreement, contract, understanding or arrangement under which a corporation provides access to electricity distribution capacity which —</w:t>
      </w:r>
    </w:p>
    <w:p>
      <w:pPr>
        <w:pStyle w:val="Defpara"/>
      </w:pPr>
      <w:r>
        <w:tab/>
        <w:t>(a)</w:t>
      </w:r>
      <w:r>
        <w:tab/>
        <w:t>was entered into prior to 1 April 2006; or</w:t>
      </w:r>
    </w:p>
    <w:p>
      <w:pPr>
        <w:pStyle w:val="Defpara"/>
      </w:pPr>
      <w:r>
        <w:tab/>
        <w:t>(b)</w:t>
      </w:r>
      <w:r>
        <w:tab/>
        <w:t>was entered into after 1 April 2006 with a person in respect of any eligible premises;</w:t>
      </w:r>
    </w:p>
    <w:p>
      <w:pPr>
        <w:pStyle w:val="Defstart"/>
      </w:pPr>
      <w:r>
        <w:rPr>
          <w:b/>
        </w:rPr>
        <w:tab/>
        <w:t>“</w:t>
      </w:r>
      <w:r>
        <w:rPr>
          <w:rStyle w:val="CharDefText"/>
          <w:bCs/>
        </w:rPr>
        <w:t>existing connection</w:t>
      </w:r>
      <w:r>
        <w:rPr>
          <w:b/>
        </w:rPr>
        <w:t>”</w:t>
      </w:r>
      <w:r>
        <w:t xml:space="preserve"> means a connection which exists as at 1 July 1997;</w:t>
      </w:r>
    </w:p>
    <w:p>
      <w:pPr>
        <w:pStyle w:val="Defstart"/>
      </w:pPr>
      <w:r>
        <w:rPr>
          <w:b/>
        </w:rPr>
        <w:tab/>
        <w:t>“</w:t>
      </w:r>
      <w:r>
        <w:rPr>
          <w:rStyle w:val="CharDefText"/>
          <w:bCs/>
        </w:rPr>
        <w:t>exit point</w:t>
      </w:r>
      <w:r>
        <w:rPr>
          <w:b/>
        </w:rPr>
        <w: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rStyle w:val="CharDefText"/>
          <w:bCs/>
          <w:i/>
          <w:iCs/>
        </w:rPr>
        <w:t>force majeure</w:t>
      </w:r>
      <w:r>
        <w:rPr>
          <w:rStyle w:val="CharDefText"/>
          <w:bCs/>
        </w:rPr>
        <w:t xml:space="preserve"> event</w:t>
      </w:r>
      <w:r>
        <w:rPr>
          <w:b/>
        </w:rPr>
        <w:t>”</w:t>
      </w:r>
      <w:r>
        <w:t xml:space="preserve"> has the meaning given in regulation 36(1);</w:t>
      </w:r>
    </w:p>
    <w:p>
      <w:pPr>
        <w:pStyle w:val="Defstart"/>
      </w:pPr>
      <w:r>
        <w:rPr>
          <w:b/>
        </w:rPr>
        <w:tab/>
        <w:t>“</w:t>
      </w:r>
      <w:r>
        <w:rPr>
          <w:rStyle w:val="CharDefText"/>
          <w:bCs/>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bCs/>
        </w:rPr>
        <w:t>good electricity industry practice</w:t>
      </w:r>
      <w:r>
        <w:rPr>
          <w:b/>
        </w:rPr>
        <w:t>”</w:t>
      </w:r>
      <w:r>
        <w:t xml:space="preserve"> has the meaning given in regulation 30(1);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w:t>
      </w:r>
      <w:r>
        <w:rPr>
          <w:rStyle w:val="CharDefText"/>
          <w:bCs/>
        </w:rPr>
        <w:t>linked transmission agreement</w:t>
      </w:r>
      <w:r>
        <w:rPr>
          <w:b/>
          <w:bCs/>
        </w:rPr>
        <w: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rPr>
          <w:i/>
          <w:vertAlign w:val="superscript"/>
        </w:rPr>
        <w:t> </w:t>
      </w:r>
      <w:r>
        <w:rPr>
          <w:iCs/>
          <w:vertAlign w:val="superscript"/>
        </w:rPr>
        <w:t>4</w:t>
      </w:r>
      <w:r>
        <w:rPr>
          <w:iCs/>
        </w:rPr>
        <w:t>;</w:t>
      </w:r>
    </w:p>
    <w:p>
      <w:pPr>
        <w:pStyle w:val="Defstart"/>
      </w:pPr>
      <w:r>
        <w:rPr>
          <w:b/>
        </w:rPr>
        <w:tab/>
        <w:t>“</w:t>
      </w:r>
      <w:r>
        <w:rPr>
          <w:rStyle w:val="CharDefText"/>
          <w:bCs/>
        </w:rPr>
        <w:t>metering equipment</w:t>
      </w:r>
      <w:r>
        <w:rPr>
          <w:b/>
        </w:rPr>
        <w: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r>
      <w:r>
        <w:tab/>
        <w:t>for the purposes of these regulations;</w:t>
      </w:r>
    </w:p>
    <w:p>
      <w:pPr>
        <w:pStyle w:val="Defstart"/>
      </w:pPr>
      <w:r>
        <w:rPr>
          <w:b/>
        </w:rPr>
        <w:tab/>
        <w:t>“</w:t>
      </w:r>
      <w:r>
        <w:rPr>
          <w:rStyle w:val="CharDefText"/>
          <w:bCs/>
        </w:rPr>
        <w:t>metering services</w:t>
      </w:r>
      <w:r>
        <w:rPr>
          <w:b/>
        </w:rPr>
        <w:t>”</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w:t>
      </w:r>
      <w:r>
        <w:rPr>
          <w:rStyle w:val="CharDefText"/>
          <w:bCs/>
        </w:rPr>
        <w:t>network planning criteria</w:t>
      </w:r>
      <w:r>
        <w:rPr>
          <w:b/>
        </w:rPr>
        <w:t>”</w:t>
      </w:r>
      <w:r>
        <w:t xml:space="preserve"> means the criteria developed by a corporation under regulation 29;</w:t>
      </w:r>
    </w:p>
    <w:p>
      <w:pPr>
        <w:pStyle w:val="Defstart"/>
        <w:keepNext/>
      </w:pPr>
      <w:r>
        <w:rPr>
          <w:b/>
        </w:rPr>
        <w:tab/>
        <w:t>“</w:t>
      </w:r>
      <w:r>
        <w:rPr>
          <w:rStyle w:val="CharDefText"/>
          <w:bCs/>
        </w:rPr>
        <w:t>outage</w:t>
      </w:r>
      <w:r>
        <w:rPr>
          <w:b/>
        </w:rPr>
        <w:t>”</w:t>
      </w:r>
      <w:r>
        <w:t xml:space="preserve"> means any planned or unplanned full or partial unavailability of plant or equipment;</w:t>
      </w:r>
    </w:p>
    <w:p>
      <w:pPr>
        <w:pStyle w:val="Defstart"/>
      </w:pPr>
      <w:r>
        <w:rPr>
          <w:b/>
        </w:rPr>
        <w:tab/>
        <w:t>“</w:t>
      </w:r>
      <w:r>
        <w:rPr>
          <w:rStyle w:val="CharDefText"/>
          <w:bCs/>
        </w:rPr>
        <w:t>post</w:t>
      </w:r>
      <w:r>
        <w:rPr>
          <w:rStyle w:val="CharDefText"/>
          <w:bCs/>
        </w:rPr>
        <w:noBreakHyphen/>
        <w:t>trip management</w:t>
      </w:r>
      <w:r>
        <w:rPr>
          <w:b/>
        </w:rPr>
        <w:t>”</w:t>
      </w:r>
      <w:r>
        <w:t xml:space="preserve"> means the maintenance of system security in the aftermath of trips;</w:t>
      </w:r>
    </w:p>
    <w:p>
      <w:pPr>
        <w:pStyle w:val="Defstart"/>
      </w:pPr>
      <w:r>
        <w:rPr>
          <w:b/>
        </w:rPr>
        <w:tab/>
        <w:t>“</w:t>
      </w:r>
      <w:r>
        <w:rPr>
          <w:rStyle w:val="CharDefText"/>
          <w:bCs/>
        </w:rPr>
        <w:t>preliminary assessment</w:t>
      </w:r>
      <w:r>
        <w:rPr>
          <w:b/>
        </w:rPr>
        <w: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w:t>
      </w:r>
      <w:r>
        <w:rPr>
          <w:rStyle w:val="CharDefText"/>
          <w:bCs/>
        </w:rPr>
        <w:t>premises</w:t>
      </w:r>
      <w:r>
        <w:rPr>
          <w:b/>
        </w:rPr>
        <w:t>”</w:t>
      </w:r>
      <w:r>
        <w:t xml:space="preserve"> has the meaning given in the </w:t>
      </w:r>
      <w:r>
        <w:rPr>
          <w:i/>
        </w:rPr>
        <w:t>Energy Operators (Powers) Act 1979</w:t>
      </w:r>
      <w:r>
        <w:rPr>
          <w:vertAlign w:val="superscript"/>
        </w:rPr>
        <w:t> 3</w:t>
      </w:r>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w:t>
      </w:r>
      <w:r>
        <w:rPr>
          <w:rStyle w:val="CharDefText"/>
          <w:bCs/>
        </w:rPr>
        <w:t>Referee</w:t>
      </w:r>
      <w:r>
        <w:rPr>
          <w:b/>
        </w:rPr>
        <w:t>”</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w:t>
      </w:r>
      <w:r>
        <w:rPr>
          <w:rStyle w:val="CharDefText"/>
          <w:bCs/>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bCs/>
        </w:rPr>
        <w:t>response</w:t>
      </w:r>
      <w:r>
        <w:rPr>
          <w:b/>
        </w:rPr>
        <w:t>”</w:t>
      </w:r>
      <w:r>
        <w:t xml:space="preserve"> in respect of an access application means the response given under regulation 8(8);</w:t>
      </w:r>
    </w:p>
    <w:p>
      <w:pPr>
        <w:pStyle w:val="Defstart"/>
      </w:pPr>
      <w:r>
        <w:rPr>
          <w:b/>
        </w:rPr>
        <w:tab/>
        <w:t>“</w:t>
      </w:r>
      <w:r>
        <w:rPr>
          <w:rStyle w:val="CharDefText"/>
          <w:bCs/>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bCs/>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bCs/>
        </w:rPr>
        <w:t>sub</w:t>
      </w:r>
      <w:r>
        <w:rPr>
          <w:rStyle w:val="CharDefText"/>
          <w:bCs/>
        </w:rPr>
        <w:noBreakHyphen/>
        <w:t>network</w:t>
      </w:r>
      <w:r>
        <w:rPr>
          <w:b/>
        </w:rPr>
        <w:t>”</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w:t>
      </w:r>
      <w:r>
        <w:rPr>
          <w:rStyle w:val="CharDefText"/>
          <w:bCs/>
        </w:rPr>
        <w:t>supervising officers</w:t>
      </w:r>
      <w:r>
        <w:rPr>
          <w:b/>
          <w:bCs/>
        </w:rPr>
        <w:t>”</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bCs/>
        </w:rPr>
        <w:t>technical compliance agreement</w:t>
      </w:r>
      <w:r>
        <w:rPr>
          <w:b/>
        </w:rPr>
        <w: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w:t>
      </w:r>
      <w:r>
        <w:rPr>
          <w:rStyle w:val="CharDefText"/>
          <w:bCs/>
        </w:rPr>
        <w:t>transfer point</w:t>
      </w:r>
      <w:r>
        <w:rPr>
          <w:b/>
        </w:rPr>
        <w:t>”</w:t>
      </w:r>
      <w:r>
        <w:t xml:space="preserve"> means a point at which electricity is transferred between the electricity transmission network and the electricity distribution network;</w:t>
      </w:r>
    </w:p>
    <w:p>
      <w:pPr>
        <w:pStyle w:val="Defstart"/>
      </w:pPr>
      <w:r>
        <w:rPr>
          <w:b/>
        </w:rPr>
        <w:tab/>
        <w:t>“</w:t>
      </w:r>
      <w:r>
        <w:rPr>
          <w:rStyle w:val="CharDefText"/>
          <w:bCs/>
        </w:rPr>
        <w:t>transmission access services</w:t>
      </w:r>
      <w:r>
        <w:rPr>
          <w:b/>
        </w:rPr>
        <w:t>”</w:t>
      </w:r>
      <w:r>
        <w:t xml:space="preserve"> has the meaning given to the term “access services” in the </w:t>
      </w:r>
      <w:r>
        <w:rPr>
          <w:i/>
        </w:rPr>
        <w:t>Electricity Transmission Regulations 1996</w:t>
      </w:r>
      <w:r>
        <w:t>;</w:t>
      </w:r>
    </w:p>
    <w:p>
      <w:pPr>
        <w:pStyle w:val="Defstart"/>
      </w:pPr>
      <w:r>
        <w:rPr>
          <w:b/>
        </w:rPr>
        <w:tab/>
        <w:t>“</w:t>
      </w:r>
      <w:r>
        <w:rPr>
          <w:rStyle w:val="CharDefText"/>
          <w:bCs/>
        </w:rPr>
        <w:t>transmission connection</w:t>
      </w:r>
      <w:r>
        <w:rPr>
          <w:b/>
        </w:rPr>
        <w:t>”</w:t>
      </w:r>
      <w:r>
        <w:t xml:space="preserve"> means a point at which electricity is transferred to or from the electricity transmission network;</w:t>
      </w:r>
    </w:p>
    <w:p>
      <w:pPr>
        <w:pStyle w:val="Defstart"/>
      </w:pPr>
      <w:r>
        <w:rPr>
          <w:b/>
        </w:rPr>
        <w:tab/>
        <w:t>“</w:t>
      </w:r>
      <w:r>
        <w:rPr>
          <w:rStyle w:val="CharDefText"/>
          <w:bCs/>
        </w:rPr>
        <w:t>transmission employee</w:t>
      </w:r>
      <w:r>
        <w:rPr>
          <w:b/>
        </w:rPr>
        <w:t>”</w:t>
      </w:r>
      <w:r>
        <w:t xml:space="preserve"> has the meaning given in the </w:t>
      </w:r>
      <w:r>
        <w:rPr>
          <w:i/>
        </w:rPr>
        <w:t>Electricity Transmission Regulations 1996</w:t>
      </w:r>
      <w:r>
        <w:t>;</w:t>
      </w:r>
    </w:p>
    <w:p>
      <w:pPr>
        <w:pStyle w:val="Defstart"/>
      </w:pPr>
      <w:r>
        <w:rPr>
          <w:b/>
        </w:rPr>
        <w:tab/>
        <w:t>“</w:t>
      </w:r>
      <w:r>
        <w:rPr>
          <w:rStyle w:val="CharDefText"/>
          <w:bCs/>
        </w:rPr>
        <w:t>transmission fee schedule</w:t>
      </w:r>
      <w:r>
        <w:rPr>
          <w:b/>
        </w:rPr>
        <w:t>”</w:t>
      </w:r>
      <w:r>
        <w:t xml:space="preserve"> has the meaning given to the term “fee schedule” in the </w:t>
      </w:r>
      <w:r>
        <w:rPr>
          <w:i/>
        </w:rPr>
        <w:t>Electricity Transmission Regulations 1996</w:t>
      </w:r>
      <w:r>
        <w:t>;</w:t>
      </w:r>
    </w:p>
    <w:p>
      <w:pPr>
        <w:pStyle w:val="Defstart"/>
      </w:pPr>
      <w:r>
        <w:rPr>
          <w:b/>
        </w:rPr>
        <w:tab/>
        <w:t>“</w:t>
      </w:r>
      <w:r>
        <w:rPr>
          <w:rStyle w:val="CharDefText"/>
          <w:bCs/>
        </w:rPr>
        <w:t>voltage control</w:t>
      </w:r>
      <w:r>
        <w:rPr>
          <w:b/>
        </w:rPr>
        <w:t>”</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w:t>
      </w:r>
    </w:p>
    <w:p>
      <w:pPr>
        <w:pStyle w:val="Heading5"/>
        <w:rPr>
          <w:snapToGrid w:val="0"/>
        </w:rPr>
      </w:pPr>
      <w:bookmarkStart w:id="266" w:name="_Toc28753060"/>
      <w:bookmarkStart w:id="267" w:name="_Toc131575651"/>
      <w:bookmarkStart w:id="268" w:name="_Toc139772442"/>
      <w:r>
        <w:rPr>
          <w:rStyle w:val="CharSectno"/>
        </w:rPr>
        <w:t>4</w:t>
      </w:r>
      <w:r>
        <w:rPr>
          <w:snapToGrid w:val="0"/>
        </w:rPr>
        <w:t>.</w:t>
      </w:r>
      <w:r>
        <w:rPr>
          <w:snapToGrid w:val="0"/>
        </w:rPr>
        <w:tab/>
        <w:t>Interpretation</w:t>
      </w:r>
      <w:bookmarkEnd w:id="266"/>
      <w:bookmarkEnd w:id="267"/>
      <w:bookmarkEnd w:id="268"/>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69" w:name="_Toc28753061"/>
      <w:bookmarkStart w:id="270" w:name="_Toc131575652"/>
      <w:bookmarkStart w:id="271" w:name="_Toc139772443"/>
      <w:r>
        <w:rPr>
          <w:rStyle w:val="CharSectno"/>
        </w:rPr>
        <w:t>5</w:t>
      </w:r>
      <w:r>
        <w:rPr>
          <w:snapToGrid w:val="0"/>
        </w:rPr>
        <w:t>.</w:t>
      </w:r>
      <w:r>
        <w:rPr>
          <w:snapToGrid w:val="0"/>
        </w:rPr>
        <w:tab/>
        <w:t>Electricity distribution network</w:t>
      </w:r>
      <w:bookmarkEnd w:id="269"/>
      <w:bookmarkEnd w:id="270"/>
      <w:bookmarkEnd w:id="271"/>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ind w:left="890" w:hanging="890"/>
      </w:pPr>
      <w:r>
        <w:tab/>
        <w:t>[Regulation 5 amended in Gazette 31 Dec 1998 p. 7400; 31 Mar 2006 p. 1306</w:t>
      </w:r>
      <w:r>
        <w:noBreakHyphen/>
        <w:t>7 and 1316.]</w:t>
      </w:r>
    </w:p>
    <w:p>
      <w:pPr>
        <w:pStyle w:val="Heading5"/>
        <w:rPr>
          <w:snapToGrid w:val="0"/>
        </w:rPr>
      </w:pPr>
      <w:bookmarkStart w:id="272" w:name="_Toc28753062"/>
      <w:bookmarkStart w:id="273" w:name="_Toc131575653"/>
      <w:bookmarkStart w:id="274" w:name="_Toc139772444"/>
      <w:r>
        <w:rPr>
          <w:rStyle w:val="CharSectno"/>
        </w:rPr>
        <w:t>6</w:t>
      </w:r>
      <w:r>
        <w:rPr>
          <w:snapToGrid w:val="0"/>
        </w:rPr>
        <w:t>.</w:t>
      </w:r>
      <w:r>
        <w:rPr>
          <w:snapToGrid w:val="0"/>
        </w:rPr>
        <w:tab/>
        <w:t>Prescribed fee</w:t>
      </w:r>
      <w:bookmarkEnd w:id="272"/>
      <w:bookmarkEnd w:id="273"/>
      <w:bookmarkEnd w:id="274"/>
    </w:p>
    <w:p>
      <w:pPr>
        <w:pStyle w:val="Ednotesubsection"/>
      </w:pPr>
      <w:r>
        <w:t>[(1), (2)</w:t>
      </w:r>
      <w:r>
        <w:tab/>
        <w:t>repealed]</w:t>
      </w:r>
    </w:p>
    <w:p>
      <w:pPr>
        <w:pStyle w:val="Subsection"/>
        <w:rPr>
          <w:snapToGrid w:val="0"/>
        </w:rPr>
      </w:pPr>
      <w:r>
        <w:rPr>
          <w:snapToGrid w:val="0"/>
        </w:rPr>
        <w:tab/>
        <w:t>(3)</w:t>
      </w:r>
      <w:r>
        <w:rPr>
          <w:snapToGrid w:val="0"/>
        </w:rPr>
        <w:tab/>
        <w:t>For the purposes of clauses 6(1)(d) and 6(3) of Schedule 6 to the Act and these regulations, the prescribed fee is $50.00.</w:t>
      </w:r>
    </w:p>
    <w:p>
      <w:pPr>
        <w:pStyle w:val="Footnotesection"/>
        <w:ind w:left="890" w:hanging="890"/>
      </w:pPr>
      <w:r>
        <w:tab/>
        <w:t>[Regulation 6 amended in Gazette 31 Mar 2006 p. 1308.]</w:t>
      </w:r>
    </w:p>
    <w:p>
      <w:pPr>
        <w:pStyle w:val="Heading2"/>
      </w:pPr>
      <w:bookmarkStart w:id="275" w:name="_Toc125451717"/>
      <w:bookmarkStart w:id="276" w:name="_Toc125452225"/>
      <w:bookmarkStart w:id="277" w:name="_Toc131575654"/>
      <w:bookmarkStart w:id="278" w:name="_Toc131575731"/>
      <w:bookmarkStart w:id="279" w:name="_Toc131912063"/>
      <w:bookmarkStart w:id="280" w:name="_Toc135538163"/>
      <w:bookmarkStart w:id="281" w:name="_Toc138227293"/>
      <w:bookmarkStart w:id="282" w:name="_Toc138489282"/>
      <w:bookmarkStart w:id="283" w:name="_Toc139771995"/>
      <w:bookmarkStart w:id="284" w:name="_Toc139772445"/>
      <w:r>
        <w:rPr>
          <w:rStyle w:val="CharPartNo"/>
        </w:rPr>
        <w:t>Part 2</w:t>
      </w:r>
      <w:r>
        <w:rPr>
          <w:rStyle w:val="CharDivNo"/>
        </w:rPr>
        <w:t> </w:t>
      </w:r>
      <w:r>
        <w:t>—</w:t>
      </w:r>
      <w:r>
        <w:rPr>
          <w:rStyle w:val="CharDivText"/>
        </w:rPr>
        <w:t> </w:t>
      </w:r>
      <w:r>
        <w:rPr>
          <w:rStyle w:val="CharPartText"/>
        </w:rPr>
        <w:t>Access</w:t>
      </w:r>
      <w:bookmarkEnd w:id="275"/>
      <w:bookmarkEnd w:id="276"/>
      <w:bookmarkEnd w:id="277"/>
      <w:bookmarkEnd w:id="278"/>
      <w:bookmarkEnd w:id="279"/>
      <w:bookmarkEnd w:id="280"/>
      <w:bookmarkEnd w:id="281"/>
      <w:bookmarkEnd w:id="282"/>
      <w:bookmarkEnd w:id="283"/>
      <w:bookmarkEnd w:id="284"/>
      <w:r>
        <w:rPr>
          <w:rStyle w:val="CharPartText"/>
        </w:rPr>
        <w:t xml:space="preserve"> </w:t>
      </w:r>
    </w:p>
    <w:p>
      <w:pPr>
        <w:pStyle w:val="Heading5"/>
        <w:rPr>
          <w:snapToGrid w:val="0"/>
        </w:rPr>
      </w:pPr>
      <w:bookmarkStart w:id="285" w:name="_Toc28753063"/>
      <w:bookmarkStart w:id="286" w:name="_Toc131575655"/>
      <w:bookmarkStart w:id="287" w:name="_Toc139772446"/>
      <w:r>
        <w:rPr>
          <w:rStyle w:val="CharSectno"/>
        </w:rPr>
        <w:t>7</w:t>
      </w:r>
      <w:r>
        <w:rPr>
          <w:snapToGrid w:val="0"/>
        </w:rPr>
        <w:t>.</w:t>
      </w:r>
      <w:r>
        <w:rPr>
          <w:snapToGrid w:val="0"/>
        </w:rPr>
        <w:tab/>
        <w:t>Access procedure</w:t>
      </w:r>
      <w:bookmarkEnd w:id="285"/>
      <w:bookmarkEnd w:id="286"/>
      <w:bookmarkEnd w:id="287"/>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288" w:name="_Toc28753064"/>
      <w:bookmarkStart w:id="289" w:name="_Toc131575656"/>
      <w:bookmarkStart w:id="290" w:name="_Toc139772447"/>
      <w:r>
        <w:rPr>
          <w:rStyle w:val="CharSectno"/>
        </w:rPr>
        <w:t>8</w:t>
      </w:r>
      <w:r>
        <w:rPr>
          <w:snapToGrid w:val="0"/>
        </w:rPr>
        <w:t>.</w:t>
      </w:r>
      <w:r>
        <w:rPr>
          <w:snapToGrid w:val="0"/>
        </w:rPr>
        <w:tab/>
        <w:t>Access application</w:t>
      </w:r>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291" w:name="_Toc28753065"/>
      <w:bookmarkStart w:id="292" w:name="_Toc131575657"/>
      <w:bookmarkStart w:id="293" w:name="_Toc139772448"/>
      <w:r>
        <w:rPr>
          <w:rStyle w:val="CharSectno"/>
        </w:rPr>
        <w:t>9</w:t>
      </w:r>
      <w:r>
        <w:rPr>
          <w:snapToGrid w:val="0"/>
        </w:rPr>
        <w:t>.</w:t>
      </w:r>
      <w:r>
        <w:rPr>
          <w:snapToGrid w:val="0"/>
        </w:rPr>
        <w:tab/>
        <w:t>Provision and use of information in respect of access application</w:t>
      </w:r>
      <w:bookmarkEnd w:id="291"/>
      <w:bookmarkEnd w:id="292"/>
      <w:bookmarkEnd w:id="293"/>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294" w:name="_Toc28753066"/>
      <w:bookmarkStart w:id="295" w:name="_Toc131575658"/>
      <w:bookmarkStart w:id="296" w:name="_Toc139772449"/>
      <w:r>
        <w:rPr>
          <w:rStyle w:val="CharSectno"/>
        </w:rPr>
        <w:t>10</w:t>
      </w:r>
      <w:r>
        <w:rPr>
          <w:snapToGrid w:val="0"/>
        </w:rPr>
        <w:t>.</w:t>
      </w:r>
      <w:r>
        <w:rPr>
          <w:snapToGrid w:val="0"/>
        </w:rPr>
        <w:tab/>
        <w:t>Preliminary assessment</w:t>
      </w:r>
      <w:bookmarkEnd w:id="294"/>
      <w:bookmarkEnd w:id="295"/>
      <w:bookmarkEnd w:id="296"/>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297" w:name="_Toc28753067"/>
      <w:bookmarkStart w:id="298" w:name="_Toc131575659"/>
      <w:bookmarkStart w:id="299" w:name="_Toc139772450"/>
      <w:r>
        <w:rPr>
          <w:rStyle w:val="CharSectno"/>
        </w:rPr>
        <w:t>11</w:t>
      </w:r>
      <w:r>
        <w:rPr>
          <w:snapToGrid w:val="0"/>
        </w:rPr>
        <w:t>.</w:t>
      </w:r>
      <w:r>
        <w:rPr>
          <w:snapToGrid w:val="0"/>
        </w:rPr>
        <w:tab/>
        <w:t>Access offer</w:t>
      </w:r>
      <w:bookmarkEnd w:id="297"/>
      <w:bookmarkEnd w:id="298"/>
      <w:bookmarkEnd w:id="299"/>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300" w:name="_Toc28753068"/>
      <w:bookmarkStart w:id="301" w:name="_Toc131575660"/>
      <w:bookmarkStart w:id="302" w:name="_Toc139772451"/>
      <w:r>
        <w:rPr>
          <w:rStyle w:val="CharSectno"/>
        </w:rPr>
        <w:t>12</w:t>
      </w:r>
      <w:r>
        <w:rPr>
          <w:snapToGrid w:val="0"/>
        </w:rPr>
        <w:t>.</w:t>
      </w:r>
      <w:r>
        <w:rPr>
          <w:snapToGrid w:val="0"/>
        </w:rPr>
        <w:tab/>
        <w:t>Capital contributions</w:t>
      </w:r>
      <w:bookmarkEnd w:id="300"/>
      <w:bookmarkEnd w:id="301"/>
      <w:bookmarkEnd w:id="302"/>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w:t>
      </w:r>
    </w:p>
    <w:p>
      <w:pPr>
        <w:pStyle w:val="Heading5"/>
        <w:rPr>
          <w:snapToGrid w:val="0"/>
        </w:rPr>
      </w:pPr>
      <w:bookmarkStart w:id="303" w:name="_Toc28753069"/>
      <w:bookmarkStart w:id="304" w:name="_Toc131575661"/>
      <w:bookmarkStart w:id="305" w:name="_Toc139772452"/>
      <w:r>
        <w:rPr>
          <w:rStyle w:val="CharSectno"/>
        </w:rPr>
        <w:t>13</w:t>
      </w:r>
      <w:r>
        <w:rPr>
          <w:snapToGrid w:val="0"/>
        </w:rPr>
        <w:t>.</w:t>
      </w:r>
      <w:r>
        <w:rPr>
          <w:snapToGrid w:val="0"/>
        </w:rPr>
        <w:tab/>
        <w:t>First come first served</w:t>
      </w:r>
      <w:bookmarkEnd w:id="303"/>
      <w:bookmarkEnd w:id="304"/>
      <w:bookmarkEnd w:id="30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bCs/>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06" w:name="_Toc28753070"/>
      <w:bookmarkStart w:id="307" w:name="_Toc131575662"/>
      <w:bookmarkStart w:id="308" w:name="_Toc139772453"/>
      <w:r>
        <w:rPr>
          <w:rStyle w:val="CharSectno"/>
        </w:rPr>
        <w:t>14</w:t>
      </w:r>
      <w:r>
        <w:rPr>
          <w:snapToGrid w:val="0"/>
        </w:rPr>
        <w:t>.</w:t>
      </w:r>
      <w:r>
        <w:rPr>
          <w:snapToGrid w:val="0"/>
        </w:rPr>
        <w:tab/>
        <w:t>Confidentiality</w:t>
      </w:r>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bCs/>
        </w:rPr>
        <w:t>access information</w:t>
      </w:r>
      <w:r>
        <w:rPr>
          <w:b/>
          <w:snapToGrid w:val="0"/>
        </w:rPr>
        <w:t>”</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09" w:name="_Toc28753071"/>
      <w:bookmarkStart w:id="310" w:name="_Toc131575663"/>
      <w:bookmarkStart w:id="311" w:name="_Toc139772454"/>
      <w:r>
        <w:rPr>
          <w:rStyle w:val="CharSectno"/>
        </w:rPr>
        <w:t>15</w:t>
      </w:r>
      <w:r>
        <w:rPr>
          <w:snapToGrid w:val="0"/>
        </w:rPr>
        <w:t>.</w:t>
      </w:r>
      <w:r>
        <w:rPr>
          <w:snapToGrid w:val="0"/>
        </w:rPr>
        <w:tab/>
        <w:t>Distribution access agreements</w:t>
      </w:r>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w:t>
      </w:r>
      <w:r>
        <w:noBreakHyphen/>
        <w:t>(6)</w:t>
      </w:r>
      <w:r>
        <w:tab/>
        <w:t>repealed]</w:t>
      </w:r>
    </w:p>
    <w:p>
      <w:pPr>
        <w:pStyle w:val="Footnotesection"/>
        <w:keepLines w:val="0"/>
      </w:pPr>
      <w:bookmarkStart w:id="312" w:name="_Toc28753072"/>
      <w:r>
        <w:tab/>
        <w:t>[Regulation 15 amended in Gazette 20 Jan 2006 p. 379; 31 Mar 2006 p. 1309, 1316 and 1318.]</w:t>
      </w:r>
    </w:p>
    <w:p>
      <w:pPr>
        <w:pStyle w:val="Heading5"/>
        <w:rPr>
          <w:snapToGrid w:val="0"/>
        </w:rPr>
      </w:pPr>
      <w:bookmarkStart w:id="313" w:name="_Toc131575664"/>
      <w:bookmarkStart w:id="314" w:name="_Toc139772455"/>
      <w:r>
        <w:rPr>
          <w:rStyle w:val="CharSectno"/>
        </w:rPr>
        <w:t>16</w:t>
      </w:r>
      <w:r>
        <w:rPr>
          <w:snapToGrid w:val="0"/>
        </w:rPr>
        <w:t>.</w:t>
      </w:r>
      <w:r>
        <w:rPr>
          <w:snapToGrid w:val="0"/>
        </w:rPr>
        <w:tab/>
        <w:t>Cost of processing access applications</w:t>
      </w:r>
      <w:bookmarkEnd w:id="312"/>
      <w:bookmarkEnd w:id="313"/>
      <w:bookmarkEnd w:id="314"/>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15" w:name="_Toc28753073"/>
      <w:bookmarkStart w:id="316" w:name="_Toc131575665"/>
      <w:bookmarkStart w:id="317" w:name="_Toc139772456"/>
      <w:r>
        <w:rPr>
          <w:rStyle w:val="CharSectno"/>
        </w:rPr>
        <w:t>17</w:t>
      </w:r>
      <w:r>
        <w:rPr>
          <w:snapToGrid w:val="0"/>
        </w:rPr>
        <w:t>.</w:t>
      </w:r>
      <w:r>
        <w:rPr>
          <w:snapToGrid w:val="0"/>
        </w:rPr>
        <w:tab/>
        <w:t>Suspension of time limits</w:t>
      </w:r>
      <w:bookmarkEnd w:id="315"/>
      <w:bookmarkEnd w:id="316"/>
      <w:bookmarkEnd w:id="317"/>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318" w:name="_Toc28753074"/>
      <w:bookmarkStart w:id="319" w:name="_Toc131575666"/>
      <w:bookmarkStart w:id="320" w:name="_Toc139772457"/>
      <w:r>
        <w:rPr>
          <w:rStyle w:val="CharSectno"/>
        </w:rPr>
        <w:t>18</w:t>
      </w:r>
      <w:r>
        <w:rPr>
          <w:snapToGrid w:val="0"/>
        </w:rPr>
        <w:t>.</w:t>
      </w:r>
      <w:r>
        <w:rPr>
          <w:snapToGrid w:val="0"/>
        </w:rPr>
        <w:tab/>
        <w:t>Metering</w:t>
      </w:r>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21" w:name="_Toc125451730"/>
      <w:bookmarkStart w:id="322" w:name="_Toc125452238"/>
      <w:bookmarkStart w:id="323" w:name="_Toc131575667"/>
      <w:bookmarkStart w:id="324" w:name="_Toc131575744"/>
      <w:bookmarkStart w:id="325" w:name="_Toc131912076"/>
      <w:bookmarkStart w:id="326" w:name="_Toc135538176"/>
      <w:bookmarkStart w:id="327" w:name="_Toc138227306"/>
      <w:bookmarkStart w:id="328" w:name="_Toc138489295"/>
      <w:bookmarkStart w:id="329" w:name="_Toc139772008"/>
      <w:bookmarkStart w:id="330" w:name="_Toc139772458"/>
      <w:r>
        <w:rPr>
          <w:rStyle w:val="CharPartNo"/>
        </w:rPr>
        <w:t>Part 3</w:t>
      </w:r>
      <w:r>
        <w:rPr>
          <w:rStyle w:val="CharDivNo"/>
        </w:rPr>
        <w:t> </w:t>
      </w:r>
      <w:r>
        <w:t>—</w:t>
      </w:r>
      <w:r>
        <w:rPr>
          <w:rStyle w:val="CharDivText"/>
        </w:rPr>
        <w:t> </w:t>
      </w:r>
      <w:r>
        <w:rPr>
          <w:rStyle w:val="CharPartText"/>
        </w:rPr>
        <w:t>Pricing methods, prices and charges</w:t>
      </w:r>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28753075"/>
      <w:bookmarkStart w:id="332" w:name="_Toc131575668"/>
      <w:bookmarkStart w:id="333" w:name="_Toc139772459"/>
      <w:r>
        <w:rPr>
          <w:rStyle w:val="CharSectno"/>
        </w:rPr>
        <w:t>19</w:t>
      </w:r>
      <w:r>
        <w:rPr>
          <w:snapToGrid w:val="0"/>
        </w:rPr>
        <w:t>.</w:t>
      </w:r>
      <w:r>
        <w:rPr>
          <w:snapToGrid w:val="0"/>
        </w:rPr>
        <w:tab/>
        <w:t>Pricing methods and prices</w:t>
      </w:r>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repealed]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w:t>
      </w:r>
    </w:p>
    <w:p>
      <w:pPr>
        <w:pStyle w:val="Heading5"/>
        <w:rPr>
          <w:snapToGrid w:val="0"/>
        </w:rPr>
      </w:pPr>
      <w:bookmarkStart w:id="334" w:name="_Toc28753076"/>
      <w:bookmarkStart w:id="335" w:name="_Toc131575669"/>
      <w:bookmarkStart w:id="336" w:name="_Toc139772460"/>
      <w:r>
        <w:rPr>
          <w:rStyle w:val="CharSectno"/>
        </w:rPr>
        <w:t>20</w:t>
      </w:r>
      <w:r>
        <w:rPr>
          <w:snapToGrid w:val="0"/>
        </w:rPr>
        <w:t>.</w:t>
      </w:r>
      <w:r>
        <w:rPr>
          <w:snapToGrid w:val="0"/>
        </w:rPr>
        <w:tab/>
        <w:t>Charges</w:t>
      </w:r>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w:t>
      </w:r>
      <w:r>
        <w:rPr>
          <w:rStyle w:val="CharDefText"/>
          <w:bCs/>
        </w:rPr>
        <w:t>Change</w:t>
      </w:r>
      <w:r>
        <w:rPr>
          <w:b/>
          <w:snapToGrid w:val="0"/>
        </w:rPr>
        <w:t>”</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w:t>
      </w:r>
      <w:r>
        <w:rPr>
          <w:rStyle w:val="CharDefText"/>
        </w:rPr>
        <w:t>tax</w:t>
      </w:r>
      <w:r>
        <w:rPr>
          <w:b/>
        </w:rPr>
        <w:t>”</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37" w:name="_Toc125451733"/>
      <w:bookmarkStart w:id="338" w:name="_Toc125452241"/>
      <w:bookmarkStart w:id="339" w:name="_Toc131575670"/>
      <w:bookmarkStart w:id="340" w:name="_Toc131575747"/>
      <w:bookmarkStart w:id="341" w:name="_Toc131912079"/>
      <w:bookmarkStart w:id="342" w:name="_Toc135538179"/>
      <w:bookmarkStart w:id="343" w:name="_Toc138227309"/>
      <w:bookmarkStart w:id="344" w:name="_Toc138489298"/>
      <w:bookmarkStart w:id="345" w:name="_Toc139772011"/>
      <w:bookmarkStart w:id="346" w:name="_Toc139772461"/>
      <w:r>
        <w:rPr>
          <w:rStyle w:val="CharPartNo"/>
        </w:rPr>
        <w:t>Part 4</w:t>
      </w:r>
      <w:r>
        <w:rPr>
          <w:rStyle w:val="CharDivNo"/>
        </w:rPr>
        <w:t> </w:t>
      </w:r>
      <w:r>
        <w:t>—</w:t>
      </w:r>
      <w:r>
        <w:rPr>
          <w:rStyle w:val="CharDivText"/>
        </w:rPr>
        <w:t> </w:t>
      </w:r>
      <w:r>
        <w:rPr>
          <w:rStyle w:val="CharPartText"/>
        </w:rPr>
        <w:t>Balancing</w:t>
      </w:r>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5"/>
        <w:spacing w:before="180"/>
        <w:rPr>
          <w:snapToGrid w:val="0"/>
        </w:rPr>
      </w:pPr>
      <w:bookmarkStart w:id="347" w:name="_Toc28753077"/>
      <w:bookmarkStart w:id="348" w:name="_Toc131575671"/>
      <w:bookmarkStart w:id="349" w:name="_Toc139772462"/>
      <w:r>
        <w:rPr>
          <w:rStyle w:val="CharSectno"/>
        </w:rPr>
        <w:t>21</w:t>
      </w:r>
      <w:r>
        <w:rPr>
          <w:snapToGrid w:val="0"/>
        </w:rPr>
        <w:t>.</w:t>
      </w:r>
      <w:r>
        <w:rPr>
          <w:snapToGrid w:val="0"/>
        </w:rPr>
        <w:tab/>
        <w:t>Standby arrangements</w:t>
      </w:r>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350" w:name="_Toc28753078"/>
      <w:bookmarkStart w:id="351" w:name="_Toc131575672"/>
      <w:bookmarkStart w:id="352" w:name="_Toc139772463"/>
      <w:r>
        <w:rPr>
          <w:rStyle w:val="CharSectno"/>
        </w:rPr>
        <w:t>22.</w:t>
      </w:r>
      <w:r>
        <w:rPr>
          <w:rStyle w:val="CharSectno"/>
        </w:rPr>
        <w:tab/>
        <w:t>Loss factors</w:t>
      </w:r>
      <w:bookmarkEnd w:id="350"/>
      <w:bookmarkEnd w:id="351"/>
      <w:bookmarkEnd w:id="352"/>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353" w:name="_Toc28753079"/>
      <w:bookmarkStart w:id="354" w:name="_Toc131575673"/>
      <w:bookmarkStart w:id="355" w:name="_Toc139772464"/>
      <w:r>
        <w:rPr>
          <w:rStyle w:val="CharSectno"/>
        </w:rPr>
        <w:t>23</w:t>
      </w:r>
      <w:r>
        <w:rPr>
          <w:snapToGrid w:val="0"/>
        </w:rPr>
        <w:t>.</w:t>
      </w:r>
      <w:r>
        <w:rPr>
          <w:snapToGrid w:val="0"/>
        </w:rPr>
        <w:tab/>
        <w:t>Interpretation of regulations 24, 25 and 27</w:t>
      </w:r>
      <w:bookmarkEnd w:id="353"/>
      <w:bookmarkEnd w:id="354"/>
      <w:bookmarkEnd w:id="355"/>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w:t>
      </w:r>
      <w:r>
        <w:rPr>
          <w:rStyle w:val="CharDefText"/>
          <w:bCs/>
        </w:rPr>
        <w:t>group of connections</w:t>
      </w:r>
      <w:r>
        <w:rPr>
          <w:b/>
          <w:snapToGrid w:val="0"/>
        </w:rPr>
        <w:t>”</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w:t>
      </w:r>
      <w:r>
        <w:rPr>
          <w:rStyle w:val="CharDefText"/>
          <w:bCs/>
        </w:rPr>
        <w:t>energy entry amount</w:t>
      </w:r>
      <w:r>
        <w:rPr>
          <w:b/>
          <w:snapToGrid w:val="0"/>
        </w:rPr>
        <w: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object w:dxaOrig="462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o:ole="" fillcolor="window">
            <v:imagedata r:id="rId22" o:title=""/>
          </v:shape>
          <o:OLEObject Type="Embed" ProgID="Equation.3" ShapeID="_x0000_i1025" DrawAspect="Content" ObjectID="_1644028791" r:id="rId23"/>
        </w:obje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b/>
          <w:snapToGrid w:val="0"/>
        </w:rPr>
        <w:t>“</w:t>
      </w:r>
      <w:r>
        <w:rPr>
          <w:rStyle w:val="CharDefText"/>
          <w:bCs/>
        </w:rPr>
        <w:t>energy exit amount</w:t>
      </w:r>
      <w:r>
        <w:rPr>
          <w:b/>
          <w:snapToGrid w:val="0"/>
        </w:rPr>
        <w: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object w:dxaOrig="4400" w:dyaOrig="680">
          <v:shape id="_x0000_i1026" type="#_x0000_t75" style="width:219.75pt;height:33.75pt" o:ole="" fillcolor="window">
            <v:imagedata r:id="rId24" o:title=""/>
          </v:shape>
          <o:OLEObject Type="Embed" ProgID="Equation.3" ShapeID="_x0000_i1026" DrawAspect="Content" ObjectID="_1644028792" r:id="rId25"/>
        </w:obje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bCs/>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356" w:name="_Toc28753080"/>
      <w:bookmarkStart w:id="357" w:name="_Toc131575674"/>
      <w:bookmarkStart w:id="358" w:name="_Toc139772465"/>
      <w:r>
        <w:rPr>
          <w:rStyle w:val="CharSectno"/>
        </w:rPr>
        <w:t>24</w:t>
      </w:r>
      <w:r>
        <w:rPr>
          <w:snapToGrid w:val="0"/>
        </w:rPr>
        <w:t>.</w:t>
      </w:r>
      <w:r>
        <w:rPr>
          <w:snapToGrid w:val="0"/>
        </w:rPr>
        <w:tab/>
        <w:t>Balancing</w:t>
      </w:r>
      <w:bookmarkEnd w:id="356"/>
      <w:bookmarkEnd w:id="357"/>
      <w:bookmarkEnd w:id="358"/>
      <w:r>
        <w:rPr>
          <w:snapToGrid w:val="0"/>
        </w:rPr>
        <w:t xml:space="preserve"> </w:t>
      </w:r>
    </w:p>
    <w:p>
      <w:pPr>
        <w:pStyle w:val="Subsection"/>
        <w:keepNext/>
        <w:keepLines/>
        <w:spacing w:before="12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bCs/>
        </w:rPr>
        <w:t>revised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object w:dxaOrig="2940" w:dyaOrig="620">
          <v:shape id="_x0000_i1027" type="#_x0000_t75" style="width:147pt;height:30.75pt" o:ole="" fillcolor="window">
            <v:imagedata r:id="rId26" o:title=""/>
          </v:shape>
          <o:OLEObject Type="Embed" ProgID="Equation.3" ShapeID="_x0000_i1027" DrawAspect="Content" ObjectID="_1644028793" r:id="rId27"/>
        </w:obje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b/>
          <w:snapToGrid w:val="0"/>
        </w:rPr>
        <w:t>“</w:t>
      </w:r>
      <w:r>
        <w:rPr>
          <w:rStyle w:val="CharDefText"/>
          <w:bCs/>
        </w:rPr>
        <w:t>adjusted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object w:dxaOrig="2600" w:dyaOrig="620">
          <v:shape id="_x0000_i1028" type="#_x0000_t75" style="width:129.75pt;height:30.75pt" o:ole="" fillcolor="window">
            <v:imagedata r:id="rId28" o:title=""/>
          </v:shape>
          <o:OLEObject Type="Embed" ProgID="Equation.3" ShapeID="_x0000_i1028" DrawAspect="Content" ObjectID="_1644028794" r:id="rId29"/>
        </w:obje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w:t>
      </w:r>
    </w:p>
    <w:p>
      <w:pPr>
        <w:pStyle w:val="Heading5"/>
        <w:spacing w:before="260"/>
        <w:rPr>
          <w:snapToGrid w:val="0"/>
        </w:rPr>
      </w:pPr>
      <w:bookmarkStart w:id="359" w:name="_Toc28753081"/>
      <w:bookmarkStart w:id="360" w:name="_Toc131575675"/>
      <w:bookmarkStart w:id="361" w:name="_Toc139772466"/>
      <w:r>
        <w:rPr>
          <w:rStyle w:val="CharSectno"/>
        </w:rPr>
        <w:t>25</w:t>
      </w:r>
      <w:r>
        <w:rPr>
          <w:snapToGrid w:val="0"/>
        </w:rPr>
        <w:t>.</w:t>
      </w:r>
      <w:r>
        <w:rPr>
          <w:snapToGrid w:val="0"/>
        </w:rPr>
        <w:tab/>
        <w:t>Excess standby generation charge</w:t>
      </w:r>
      <w:bookmarkEnd w:id="359"/>
      <w:bookmarkEnd w:id="360"/>
      <w:bookmarkEnd w:id="361"/>
      <w:r>
        <w:rPr>
          <w:snapToGrid w:val="0"/>
        </w:rPr>
        <w:t xml:space="preserve"> </w:t>
      </w:r>
    </w:p>
    <w:p>
      <w:pPr>
        <w:pStyle w:val="Subsection"/>
        <w:spacing w:before="20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bCs/>
        </w:rPr>
        <w:t>demand exit rate</w:t>
      </w:r>
      <w:r>
        <w:rPr>
          <w:b/>
          <w:snapToGrid w:val="0"/>
        </w:rPr>
        <w:t>”</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object w:dxaOrig="4400" w:dyaOrig="680">
          <v:shape id="_x0000_i1029" type="#_x0000_t75" style="width:219.75pt;height:33.75pt" o:ole="" fillcolor="window">
            <v:imagedata r:id="rId30" o:title=""/>
          </v:shape>
          <o:OLEObject Type="Embed" ProgID="Equation.3" ShapeID="_x0000_i1029" DrawAspect="Content" ObjectID="_1644028795" r:id="rId31"/>
        </w:obje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bCs/>
        </w:rPr>
        <w:t>demand entry rate</w:t>
      </w:r>
      <w:r>
        <w:rPr>
          <w:b/>
          <w:snapToGrid w:val="0"/>
        </w:rPr>
        <w:t>”</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object w:dxaOrig="4640" w:dyaOrig="740">
          <v:shape id="_x0000_i1030" type="#_x0000_t75" style="width:231.75pt;height:36.75pt" o:ole="" fillcolor="window">
            <v:imagedata r:id="rId32" o:title=""/>
          </v:shape>
          <o:OLEObject Type="Embed" ProgID="Equation.3" ShapeID="_x0000_i1030" DrawAspect="Content" ObjectID="_1644028796" r:id="rId33"/>
        </w:obje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bCs/>
        </w:rPr>
        <w:t>standby generation reservation</w:t>
      </w:r>
      <w:r>
        <w:rPr>
          <w:b/>
          <w:snapToGrid w:val="0"/>
        </w:rPr>
        <w:t>”</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w:t>
      </w:r>
      <w:r>
        <w:rPr>
          <w:rStyle w:val="CharDefText"/>
          <w:bCs/>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object w:dxaOrig="2380" w:dyaOrig="680">
          <v:shape id="_x0000_i1031" type="#_x0000_t75" style="width:119.25pt;height:33.75pt" o:ole="" fillcolor="window">
            <v:imagedata r:id="rId34" o:title=""/>
          </v:shape>
          <o:OLEObject Type="Embed" ProgID="Equation.3" ShapeID="_x0000_i1031" DrawAspect="Content" ObjectID="_1644028797" r:id="rId35"/>
        </w:obje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w:t>
      </w:r>
    </w:p>
    <w:p>
      <w:pPr>
        <w:pStyle w:val="Heading5"/>
        <w:rPr>
          <w:snapToGrid w:val="0"/>
        </w:rPr>
      </w:pPr>
      <w:bookmarkStart w:id="362" w:name="_Toc28753082"/>
      <w:bookmarkStart w:id="363" w:name="_Toc131575676"/>
      <w:bookmarkStart w:id="364" w:name="_Toc139772467"/>
      <w:r>
        <w:rPr>
          <w:rStyle w:val="CharSectno"/>
        </w:rPr>
        <w:t>26</w:t>
      </w:r>
      <w:r>
        <w:rPr>
          <w:snapToGrid w:val="0"/>
        </w:rPr>
        <w:t>.</w:t>
      </w:r>
      <w:r>
        <w:rPr>
          <w:snapToGrid w:val="0"/>
        </w:rPr>
        <w:tab/>
        <w:t>Excess network usage charge</w:t>
      </w:r>
      <w:bookmarkEnd w:id="362"/>
      <w:bookmarkEnd w:id="363"/>
      <w:bookmarkEnd w:id="364"/>
      <w:r>
        <w:rPr>
          <w:snapToGrid w:val="0"/>
        </w:rPr>
        <w:t xml:space="preserve"> </w:t>
      </w:r>
    </w:p>
    <w:p>
      <w:pPr>
        <w:pStyle w:val="Subsection"/>
        <w:keepNext/>
        <w:keepLines/>
        <w:spacing w:before="220"/>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b/>
          <w:snapToGrid w:val="0"/>
        </w:rPr>
        <w:t>“</w:t>
      </w:r>
      <w:r>
        <w:rPr>
          <w:rStyle w:val="CharDefText"/>
          <w:bCs/>
        </w:rPr>
        <w:t>excess amount</w:t>
      </w:r>
      <w:r>
        <w:rPr>
          <w:b/>
          <w:snapToGrid w:val="0"/>
        </w:rPr>
        <w: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object w:dxaOrig="3180" w:dyaOrig="680">
          <v:shape id="_x0000_i1032" type="#_x0000_t75" style="width:159pt;height:33.75pt" o:ole="" fillcolor="window">
            <v:imagedata r:id="rId36" o:title=""/>
          </v:shape>
          <o:OLEObject Type="Embed" ProgID="Equation.3" ShapeID="_x0000_i1032" DrawAspect="Content" ObjectID="_1644028798" r:id="rId37"/>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bCs/>
        </w:rPr>
        <w:t>excess rate</w:t>
      </w:r>
      <w:r>
        <w:rPr>
          <w:b/>
          <w:snapToGrid w:val="0"/>
        </w:rPr>
        <w:t>”</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object w:dxaOrig="3260" w:dyaOrig="680">
          <v:shape id="_x0000_i1033" type="#_x0000_t75" style="width:162.75pt;height:33.75pt" o:ole="" fillcolor="window">
            <v:imagedata r:id="rId38" o:title=""/>
          </v:shape>
          <o:OLEObject Type="Embed" ProgID="Equation.3" ShapeID="_x0000_i1033" DrawAspect="Content" ObjectID="_1644028799" r:id="rId39"/>
        </w:obje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w:t>
      </w:r>
    </w:p>
    <w:p>
      <w:pPr>
        <w:pStyle w:val="Heading5"/>
        <w:rPr>
          <w:snapToGrid w:val="0"/>
        </w:rPr>
      </w:pPr>
      <w:bookmarkStart w:id="365" w:name="_Toc28753083"/>
      <w:bookmarkStart w:id="366" w:name="_Toc131575677"/>
      <w:bookmarkStart w:id="367" w:name="_Toc139772468"/>
      <w:r>
        <w:rPr>
          <w:rStyle w:val="CharSectno"/>
        </w:rPr>
        <w:t>27</w:t>
      </w:r>
      <w:r>
        <w:rPr>
          <w:snapToGrid w:val="0"/>
        </w:rPr>
        <w:t>.</w:t>
      </w:r>
      <w:r>
        <w:rPr>
          <w:snapToGrid w:val="0"/>
        </w:rPr>
        <w:tab/>
        <w:t>Other consequences of being out of balance</w:t>
      </w:r>
      <w:bookmarkEnd w:id="365"/>
      <w:bookmarkEnd w:id="366"/>
      <w:bookmarkEnd w:id="367"/>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w:t>
      </w:r>
    </w:p>
    <w:p>
      <w:pPr>
        <w:pStyle w:val="Heading2"/>
      </w:pPr>
      <w:bookmarkStart w:id="368" w:name="_Toc125451741"/>
      <w:bookmarkStart w:id="369" w:name="_Toc125452249"/>
      <w:bookmarkStart w:id="370" w:name="_Toc131575678"/>
      <w:bookmarkStart w:id="371" w:name="_Toc131575755"/>
      <w:bookmarkStart w:id="372" w:name="_Toc131912087"/>
      <w:bookmarkStart w:id="373" w:name="_Toc135538187"/>
      <w:bookmarkStart w:id="374" w:name="_Toc138227317"/>
      <w:bookmarkStart w:id="375" w:name="_Toc138489306"/>
      <w:bookmarkStart w:id="376" w:name="_Toc139772019"/>
      <w:bookmarkStart w:id="377" w:name="_Toc139772469"/>
      <w:r>
        <w:rPr>
          <w:rStyle w:val="CharPartNo"/>
        </w:rPr>
        <w:t>Part 5</w:t>
      </w:r>
      <w:r>
        <w:rPr>
          <w:rStyle w:val="CharDivNo"/>
        </w:rPr>
        <w:t> </w:t>
      </w:r>
      <w:r>
        <w:t>—</w:t>
      </w:r>
      <w:r>
        <w:rPr>
          <w:rStyle w:val="CharDivText"/>
        </w:rPr>
        <w:t> </w:t>
      </w:r>
      <w:r>
        <w:rPr>
          <w:rStyle w:val="CharPartText"/>
        </w:rPr>
        <w:t>Technical regulation</w:t>
      </w:r>
      <w:bookmarkEnd w:id="368"/>
      <w:bookmarkEnd w:id="369"/>
      <w:bookmarkEnd w:id="370"/>
      <w:bookmarkEnd w:id="371"/>
      <w:bookmarkEnd w:id="372"/>
      <w:bookmarkEnd w:id="373"/>
      <w:bookmarkEnd w:id="374"/>
      <w:bookmarkEnd w:id="375"/>
      <w:bookmarkEnd w:id="376"/>
      <w:bookmarkEnd w:id="377"/>
      <w:r>
        <w:rPr>
          <w:rStyle w:val="CharPartText"/>
        </w:rPr>
        <w:t xml:space="preserve"> </w:t>
      </w:r>
    </w:p>
    <w:p>
      <w:pPr>
        <w:pStyle w:val="Heading5"/>
        <w:rPr>
          <w:snapToGrid w:val="0"/>
        </w:rPr>
      </w:pPr>
      <w:bookmarkStart w:id="378" w:name="_Toc28753084"/>
      <w:bookmarkStart w:id="379" w:name="_Toc131575679"/>
      <w:bookmarkStart w:id="380" w:name="_Toc139772470"/>
      <w:r>
        <w:rPr>
          <w:rStyle w:val="CharSectno"/>
        </w:rPr>
        <w:t>28</w:t>
      </w:r>
      <w:r>
        <w:rPr>
          <w:snapToGrid w:val="0"/>
        </w:rPr>
        <w:t>.</w:t>
      </w:r>
      <w:r>
        <w:rPr>
          <w:snapToGrid w:val="0"/>
        </w:rPr>
        <w:tab/>
        <w:t>Distribution Technical Code</w:t>
      </w:r>
      <w:bookmarkEnd w:id="378"/>
      <w:bookmarkEnd w:id="379"/>
      <w:bookmarkEnd w:id="380"/>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381" w:name="_Toc28753085"/>
      <w:bookmarkStart w:id="382" w:name="_Toc131575680"/>
      <w:bookmarkStart w:id="383" w:name="_Toc139772471"/>
      <w:r>
        <w:rPr>
          <w:rStyle w:val="CharSectno"/>
        </w:rPr>
        <w:t>29</w:t>
      </w:r>
      <w:r>
        <w:rPr>
          <w:snapToGrid w:val="0"/>
        </w:rPr>
        <w:t>.</w:t>
      </w:r>
      <w:r>
        <w:rPr>
          <w:snapToGrid w:val="0"/>
        </w:rPr>
        <w:tab/>
        <w:t>Network planning criteria</w:t>
      </w:r>
      <w:bookmarkEnd w:id="381"/>
      <w:bookmarkEnd w:id="382"/>
      <w:bookmarkEnd w:id="383"/>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384" w:name="_Toc28753086"/>
      <w:bookmarkStart w:id="385" w:name="_Toc131575681"/>
      <w:bookmarkStart w:id="386" w:name="_Toc139772472"/>
      <w:r>
        <w:rPr>
          <w:rStyle w:val="CharSectno"/>
        </w:rPr>
        <w:t>29A</w:t>
      </w:r>
      <w:r>
        <w:t>.</w:t>
      </w:r>
      <w:r>
        <w:tab/>
        <w:t>Distribution Technical Code, network planning criteria and distribution price schedule may form one or more documents</w:t>
      </w:r>
      <w:bookmarkEnd w:id="384"/>
      <w:bookmarkEnd w:id="385"/>
      <w:bookmarkEnd w:id="386"/>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387" w:name="_Toc28753087"/>
      <w:bookmarkStart w:id="388" w:name="_Toc131575682"/>
      <w:bookmarkStart w:id="389" w:name="_Toc139772473"/>
      <w:r>
        <w:rPr>
          <w:rStyle w:val="CharSectno"/>
        </w:rPr>
        <w:t>30</w:t>
      </w:r>
      <w:r>
        <w:rPr>
          <w:snapToGrid w:val="0"/>
        </w:rPr>
        <w:t>.</w:t>
      </w:r>
      <w:r>
        <w:rPr>
          <w:snapToGrid w:val="0"/>
        </w:rPr>
        <w:tab/>
        <w:t>Good electricity industry practice</w:t>
      </w:r>
      <w:bookmarkEnd w:id="387"/>
      <w:bookmarkEnd w:id="388"/>
      <w:bookmarkEnd w:id="389"/>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390" w:name="_Toc28753088"/>
      <w:bookmarkStart w:id="391" w:name="_Toc131575683"/>
      <w:bookmarkStart w:id="392" w:name="_Toc139772474"/>
      <w:r>
        <w:rPr>
          <w:rStyle w:val="CharSectno"/>
        </w:rPr>
        <w:t>31</w:t>
      </w:r>
      <w:r>
        <w:rPr>
          <w:snapToGrid w:val="0"/>
        </w:rPr>
        <w:t>.</w:t>
      </w:r>
      <w:r>
        <w:rPr>
          <w:snapToGrid w:val="0"/>
        </w:rPr>
        <w:tab/>
        <w:t>Interruption and curtailment powers</w:t>
      </w:r>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393" w:name="_Toc28753089"/>
      <w:bookmarkStart w:id="394" w:name="_Toc131575684"/>
      <w:bookmarkStart w:id="395" w:name="_Toc139772475"/>
      <w:r>
        <w:rPr>
          <w:rStyle w:val="CharSectno"/>
        </w:rPr>
        <w:t>32</w:t>
      </w:r>
      <w:r>
        <w:rPr>
          <w:snapToGrid w:val="0"/>
        </w:rPr>
        <w:t>.</w:t>
      </w:r>
      <w:r>
        <w:rPr>
          <w:snapToGrid w:val="0"/>
        </w:rPr>
        <w:tab/>
        <w:t>Safety and security of system</w:t>
      </w:r>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w:t>
      </w:r>
      <w:r>
        <w:rPr>
          <w:rStyle w:val="CharDefText"/>
          <w:bCs/>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396" w:name="_Toc28753090"/>
      <w:bookmarkStart w:id="397" w:name="_Toc131575685"/>
      <w:bookmarkStart w:id="398" w:name="_Toc139772476"/>
      <w:r>
        <w:rPr>
          <w:rStyle w:val="CharSectno"/>
        </w:rPr>
        <w:t>33</w:t>
      </w:r>
      <w:r>
        <w:rPr>
          <w:snapToGrid w:val="0"/>
        </w:rPr>
        <w:t>.</w:t>
      </w:r>
      <w:r>
        <w:rPr>
          <w:snapToGrid w:val="0"/>
        </w:rPr>
        <w:tab/>
        <w:t>Maintenance</w:t>
      </w:r>
      <w:bookmarkEnd w:id="396"/>
      <w:bookmarkEnd w:id="397"/>
      <w:bookmarkEnd w:id="398"/>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399" w:name="_Toc28753091"/>
      <w:bookmarkStart w:id="400" w:name="_Toc131575686"/>
      <w:bookmarkStart w:id="401" w:name="_Toc139772477"/>
      <w:r>
        <w:rPr>
          <w:rStyle w:val="CharSectno"/>
        </w:rPr>
        <w:t>34</w:t>
      </w:r>
      <w:r>
        <w:rPr>
          <w:snapToGrid w:val="0"/>
        </w:rPr>
        <w:t>.</w:t>
      </w:r>
      <w:r>
        <w:rPr>
          <w:snapToGrid w:val="0"/>
        </w:rPr>
        <w:tab/>
        <w:t>Electricity generation and load forecast information</w:t>
      </w:r>
      <w:bookmarkEnd w:id="399"/>
      <w:bookmarkEnd w:id="400"/>
      <w:bookmarkEnd w:id="401"/>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02" w:name="_Toc125451750"/>
      <w:bookmarkStart w:id="403" w:name="_Toc125452258"/>
      <w:bookmarkStart w:id="404" w:name="_Toc131575687"/>
      <w:bookmarkStart w:id="405" w:name="_Toc131575764"/>
      <w:bookmarkStart w:id="406" w:name="_Toc131912096"/>
      <w:bookmarkStart w:id="407" w:name="_Toc135538196"/>
      <w:bookmarkStart w:id="408" w:name="_Toc138227326"/>
      <w:bookmarkStart w:id="409" w:name="_Toc138489315"/>
      <w:bookmarkStart w:id="410" w:name="_Toc139772028"/>
      <w:bookmarkStart w:id="411" w:name="_Toc139772478"/>
      <w:r>
        <w:rPr>
          <w:rStyle w:val="CharPartNo"/>
        </w:rPr>
        <w:t>Part 6</w:t>
      </w:r>
      <w:r>
        <w:rPr>
          <w:rStyle w:val="CharDivNo"/>
        </w:rPr>
        <w:t> </w:t>
      </w:r>
      <w:r>
        <w:t>—</w:t>
      </w:r>
      <w:r>
        <w:rPr>
          <w:rStyle w:val="CharDivText"/>
        </w:rPr>
        <w:t> </w:t>
      </w:r>
      <w:r>
        <w:rPr>
          <w:rStyle w:val="CharPartText"/>
        </w:rPr>
        <w:t>Access terms</w:t>
      </w:r>
      <w:bookmarkEnd w:id="402"/>
      <w:bookmarkEnd w:id="403"/>
      <w:bookmarkEnd w:id="404"/>
      <w:bookmarkEnd w:id="405"/>
      <w:bookmarkEnd w:id="406"/>
      <w:bookmarkEnd w:id="407"/>
      <w:bookmarkEnd w:id="408"/>
      <w:bookmarkEnd w:id="409"/>
      <w:bookmarkEnd w:id="410"/>
      <w:bookmarkEnd w:id="411"/>
      <w:r>
        <w:rPr>
          <w:rStyle w:val="CharPartText"/>
        </w:rPr>
        <w:t xml:space="preserve"> </w:t>
      </w:r>
    </w:p>
    <w:p>
      <w:pPr>
        <w:pStyle w:val="Heading5"/>
        <w:rPr>
          <w:snapToGrid w:val="0"/>
        </w:rPr>
      </w:pPr>
      <w:bookmarkStart w:id="412" w:name="_Toc28753092"/>
      <w:bookmarkStart w:id="413" w:name="_Toc131575688"/>
      <w:bookmarkStart w:id="414" w:name="_Toc139772479"/>
      <w:r>
        <w:rPr>
          <w:rStyle w:val="CharSectno"/>
        </w:rPr>
        <w:t>35</w:t>
      </w:r>
      <w:r>
        <w:rPr>
          <w:snapToGrid w:val="0"/>
        </w:rPr>
        <w:t>.</w:t>
      </w:r>
      <w:r>
        <w:rPr>
          <w:snapToGrid w:val="0"/>
        </w:rPr>
        <w:tab/>
        <w:t>Reasonable endeavours</w:t>
      </w:r>
      <w:bookmarkEnd w:id="412"/>
      <w:bookmarkEnd w:id="413"/>
      <w:bookmarkEnd w:id="414"/>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15" w:name="_Toc28753093"/>
      <w:bookmarkStart w:id="416" w:name="_Toc131575689"/>
      <w:bookmarkStart w:id="417" w:name="_Toc139772480"/>
      <w:r>
        <w:rPr>
          <w:rStyle w:val="CharSectno"/>
        </w:rPr>
        <w:t>36</w:t>
      </w:r>
      <w:r>
        <w:rPr>
          <w:snapToGrid w:val="0"/>
        </w:rPr>
        <w:t>.</w:t>
      </w:r>
      <w:r>
        <w:rPr>
          <w:snapToGrid w:val="0"/>
        </w:rPr>
        <w:tab/>
      </w:r>
      <w:r>
        <w:rPr>
          <w:i/>
          <w:snapToGrid w:val="0"/>
        </w:rPr>
        <w:t>Force majeure</w:t>
      </w:r>
      <w:r>
        <w:rPr>
          <w:snapToGrid w:val="0"/>
        </w:rPr>
        <w:t xml:space="preserve"> and interruption</w:t>
      </w:r>
      <w:bookmarkEnd w:id="415"/>
      <w:bookmarkEnd w:id="416"/>
      <w:bookmarkEnd w:id="417"/>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w:t>
      </w:r>
      <w:r>
        <w:rPr>
          <w:rStyle w:val="CharDefText"/>
          <w:bCs/>
        </w:rPr>
        <w:t>affected person</w:t>
      </w:r>
      <w:r>
        <w:rPr>
          <w:b/>
          <w:snapToGrid w:val="0"/>
        </w:rPr>
        <w:t>”</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w:t>
      </w:r>
      <w:r>
        <w:rPr>
          <w:rStyle w:val="CharDefText"/>
          <w:bCs/>
        </w:rPr>
        <w:t>affected obligation</w:t>
      </w:r>
      <w:r>
        <w:rPr>
          <w:b/>
          <w:snapToGrid w:val="0"/>
        </w:rPr>
        <w:t>”</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18" w:name="_Toc28753094"/>
      <w:bookmarkStart w:id="419" w:name="_Toc131575690"/>
      <w:bookmarkStart w:id="420" w:name="_Toc139772481"/>
      <w:r>
        <w:rPr>
          <w:rStyle w:val="CharSectno"/>
        </w:rPr>
        <w:t>37</w:t>
      </w:r>
      <w:r>
        <w:rPr>
          <w:snapToGrid w:val="0"/>
        </w:rPr>
        <w:t>.</w:t>
      </w:r>
      <w:r>
        <w:rPr>
          <w:snapToGrid w:val="0"/>
        </w:rPr>
        <w:tab/>
        <w:t>Effect of access to capacity</w:t>
      </w:r>
      <w:bookmarkEnd w:id="418"/>
      <w:bookmarkEnd w:id="419"/>
      <w:bookmarkEnd w:id="420"/>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421" w:name="_Toc28753095"/>
      <w:bookmarkStart w:id="422" w:name="_Toc131575691"/>
      <w:bookmarkStart w:id="423" w:name="_Toc139772482"/>
      <w:r>
        <w:rPr>
          <w:rStyle w:val="CharSectno"/>
        </w:rPr>
        <w:t>38</w:t>
      </w:r>
      <w:r>
        <w:rPr>
          <w:snapToGrid w:val="0"/>
        </w:rPr>
        <w:t>.</w:t>
      </w:r>
      <w:r>
        <w:rPr>
          <w:snapToGrid w:val="0"/>
        </w:rPr>
        <w:tab/>
        <w:t>Minimum term and renewal</w:t>
      </w:r>
      <w:bookmarkEnd w:id="421"/>
      <w:bookmarkEnd w:id="422"/>
      <w:bookmarkEnd w:id="423"/>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424" w:name="_Toc28753096"/>
      <w:bookmarkStart w:id="425" w:name="_Toc131575692"/>
      <w:bookmarkStart w:id="426" w:name="_Toc139772483"/>
      <w:r>
        <w:rPr>
          <w:rStyle w:val="CharSectno"/>
        </w:rPr>
        <w:t>39</w:t>
      </w:r>
      <w:r>
        <w:rPr>
          <w:snapToGrid w:val="0"/>
        </w:rPr>
        <w:t>.</w:t>
      </w:r>
      <w:r>
        <w:rPr>
          <w:snapToGrid w:val="0"/>
        </w:rPr>
        <w:tab/>
        <w:t>Contract maximum demand and declared sent</w:t>
      </w:r>
      <w:r>
        <w:rPr>
          <w:rStyle w:val="CharDefText"/>
          <w:bCs/>
        </w:rPr>
        <w:noBreakHyphen/>
      </w:r>
      <w:r>
        <w:rPr>
          <w:snapToGrid w:val="0"/>
        </w:rPr>
        <w:t>out capacity</w:t>
      </w:r>
      <w:bookmarkEnd w:id="424"/>
      <w:bookmarkEnd w:id="425"/>
      <w:bookmarkEnd w:id="426"/>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427" w:name="_Toc28753097"/>
      <w:bookmarkStart w:id="428" w:name="_Toc131575693"/>
      <w:bookmarkStart w:id="429" w:name="_Toc139772484"/>
      <w:r>
        <w:rPr>
          <w:rStyle w:val="CharSectno"/>
        </w:rPr>
        <w:t>40</w:t>
      </w:r>
      <w:r>
        <w:rPr>
          <w:snapToGrid w:val="0"/>
        </w:rPr>
        <w:t>.</w:t>
      </w:r>
      <w:r>
        <w:rPr>
          <w:snapToGrid w:val="0"/>
        </w:rPr>
        <w:tab/>
        <w:t>Commencement date</w:t>
      </w:r>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430" w:name="_Toc125451757"/>
      <w:bookmarkStart w:id="431" w:name="_Toc125452265"/>
      <w:bookmarkStart w:id="432" w:name="_Toc131575694"/>
      <w:bookmarkStart w:id="433" w:name="_Toc131575771"/>
      <w:bookmarkStart w:id="434" w:name="_Toc131912103"/>
      <w:bookmarkStart w:id="435" w:name="_Toc135538203"/>
      <w:bookmarkStart w:id="436" w:name="_Toc138227333"/>
      <w:bookmarkStart w:id="437" w:name="_Toc138489322"/>
      <w:bookmarkStart w:id="438" w:name="_Toc139772035"/>
      <w:bookmarkStart w:id="439" w:name="_Toc139772485"/>
      <w:r>
        <w:rPr>
          <w:rStyle w:val="CharPartNo"/>
        </w:rPr>
        <w:t>Part 7</w:t>
      </w:r>
      <w:r>
        <w:rPr>
          <w:rStyle w:val="CharDivNo"/>
        </w:rPr>
        <w:t> </w:t>
      </w:r>
      <w:r>
        <w:t>—</w:t>
      </w:r>
      <w:r>
        <w:rPr>
          <w:rStyle w:val="CharDivText"/>
        </w:rPr>
        <w:t> </w:t>
      </w:r>
      <w:r>
        <w:rPr>
          <w:rStyle w:val="CharPartText"/>
        </w:rPr>
        <w:t>Enforcement, liability and insurance</w:t>
      </w:r>
      <w:bookmarkEnd w:id="430"/>
      <w:bookmarkEnd w:id="431"/>
      <w:bookmarkEnd w:id="432"/>
      <w:bookmarkEnd w:id="433"/>
      <w:bookmarkEnd w:id="434"/>
      <w:bookmarkEnd w:id="435"/>
      <w:bookmarkEnd w:id="436"/>
      <w:bookmarkEnd w:id="437"/>
      <w:bookmarkEnd w:id="438"/>
      <w:bookmarkEnd w:id="439"/>
      <w:r>
        <w:rPr>
          <w:rStyle w:val="CharPartText"/>
        </w:rPr>
        <w:t xml:space="preserve"> </w:t>
      </w:r>
    </w:p>
    <w:p>
      <w:pPr>
        <w:pStyle w:val="Heading5"/>
        <w:rPr>
          <w:snapToGrid w:val="0"/>
        </w:rPr>
      </w:pPr>
      <w:bookmarkStart w:id="440" w:name="_Toc28753098"/>
      <w:bookmarkStart w:id="441" w:name="_Toc131575695"/>
      <w:bookmarkStart w:id="442" w:name="_Toc139772486"/>
      <w:r>
        <w:rPr>
          <w:rStyle w:val="CharSectno"/>
        </w:rPr>
        <w:t>41</w:t>
      </w:r>
      <w:r>
        <w:rPr>
          <w:snapToGrid w:val="0"/>
        </w:rPr>
        <w:t>.</w:t>
      </w:r>
      <w:r>
        <w:rPr>
          <w:snapToGrid w:val="0"/>
        </w:rPr>
        <w:tab/>
        <w:t>Enforcement</w:t>
      </w:r>
      <w:bookmarkEnd w:id="440"/>
      <w:bookmarkEnd w:id="441"/>
      <w:bookmarkEnd w:id="442"/>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w:t>
      </w:r>
      <w:r>
        <w:rPr>
          <w:rStyle w:val="CharDefText"/>
          <w:bCs/>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443" w:name="_Toc28753099"/>
      <w:bookmarkStart w:id="444" w:name="_Toc131575696"/>
      <w:bookmarkStart w:id="445" w:name="_Toc139772487"/>
      <w:r>
        <w:rPr>
          <w:rStyle w:val="CharSectno"/>
        </w:rPr>
        <w:t>42</w:t>
      </w:r>
      <w:r>
        <w:rPr>
          <w:snapToGrid w:val="0"/>
        </w:rPr>
        <w:t>.</w:t>
      </w:r>
      <w:r>
        <w:rPr>
          <w:snapToGrid w:val="0"/>
        </w:rPr>
        <w:tab/>
        <w:t>Liability, insurance and indemnity</w:t>
      </w:r>
      <w:bookmarkEnd w:id="443"/>
      <w:bookmarkEnd w:id="444"/>
      <w:bookmarkEnd w:id="44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bCs/>
        </w:rPr>
        <w:t>direct damage</w:t>
      </w:r>
      <w:r>
        <w:rPr>
          <w:b/>
        </w:rPr>
        <w:t>”</w:t>
      </w:r>
      <w:r>
        <w:t xml:space="preserve"> suffered by a person means loss or damage suffered by the person which is not indirect damage;</w:t>
      </w:r>
    </w:p>
    <w:p>
      <w:pPr>
        <w:pStyle w:val="Defstart"/>
      </w:pPr>
      <w:r>
        <w:rPr>
          <w:b/>
        </w:rPr>
        <w:tab/>
        <w:t>“</w:t>
      </w:r>
      <w:r>
        <w:rPr>
          <w:rStyle w:val="CharDefText"/>
          <w:bCs/>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446" w:name="_Toc125451760"/>
      <w:bookmarkStart w:id="447" w:name="_Toc125452268"/>
      <w:bookmarkStart w:id="448" w:name="_Toc131575697"/>
      <w:bookmarkStart w:id="449" w:name="_Toc131575774"/>
      <w:bookmarkStart w:id="450" w:name="_Toc131912106"/>
      <w:bookmarkStart w:id="451" w:name="_Toc135538206"/>
      <w:bookmarkStart w:id="452" w:name="_Toc138227336"/>
      <w:bookmarkStart w:id="453" w:name="_Toc138489325"/>
      <w:bookmarkStart w:id="454" w:name="_Toc139772038"/>
      <w:bookmarkStart w:id="455" w:name="_Toc139772488"/>
      <w:r>
        <w:rPr>
          <w:rStyle w:val="CharPartNo"/>
        </w:rPr>
        <w:t>Part 8</w:t>
      </w:r>
      <w:r>
        <w:rPr>
          <w:rStyle w:val="CharDivNo"/>
        </w:rPr>
        <w:t> </w:t>
      </w:r>
      <w:r>
        <w:t>—</w:t>
      </w:r>
      <w:r>
        <w:rPr>
          <w:rStyle w:val="CharDivText"/>
        </w:rPr>
        <w:t> </w:t>
      </w:r>
      <w:r>
        <w:rPr>
          <w:rStyle w:val="CharPartText"/>
        </w:rPr>
        <w:t>Other matters</w:t>
      </w:r>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28753100"/>
      <w:bookmarkStart w:id="457" w:name="_Toc131575698"/>
      <w:bookmarkStart w:id="458" w:name="_Toc139772489"/>
      <w:r>
        <w:rPr>
          <w:rStyle w:val="CharSectno"/>
        </w:rPr>
        <w:t>43</w:t>
      </w:r>
      <w:r>
        <w:rPr>
          <w:snapToGrid w:val="0"/>
        </w:rPr>
        <w:t>.</w:t>
      </w:r>
      <w:r>
        <w:rPr>
          <w:snapToGrid w:val="0"/>
        </w:rPr>
        <w:tab/>
        <w:t>Ancillary services</w:t>
      </w:r>
      <w:bookmarkEnd w:id="456"/>
      <w:bookmarkEnd w:id="457"/>
      <w:bookmarkEnd w:id="458"/>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459" w:name="_Toc28753101"/>
      <w:bookmarkStart w:id="460" w:name="_Toc131575699"/>
      <w:bookmarkStart w:id="461" w:name="_Toc139772490"/>
      <w:r>
        <w:rPr>
          <w:rStyle w:val="CharSectno"/>
        </w:rPr>
        <w:t>44</w:t>
      </w:r>
      <w:r>
        <w:rPr>
          <w:snapToGrid w:val="0"/>
        </w:rPr>
        <w:t>.</w:t>
      </w:r>
      <w:r>
        <w:rPr>
          <w:snapToGrid w:val="0"/>
        </w:rPr>
        <w:tab/>
        <w:t>Prudential requirements</w:t>
      </w:r>
      <w:bookmarkEnd w:id="459"/>
      <w:bookmarkEnd w:id="460"/>
      <w:bookmarkEnd w:id="461"/>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462" w:name="_Toc28753102"/>
      <w:bookmarkStart w:id="463" w:name="_Toc131575700"/>
      <w:bookmarkStart w:id="464" w:name="_Toc139772491"/>
      <w:r>
        <w:rPr>
          <w:rStyle w:val="CharSectno"/>
        </w:rPr>
        <w:t>45</w:t>
      </w:r>
      <w:r>
        <w:rPr>
          <w:snapToGrid w:val="0"/>
        </w:rPr>
        <w:t>.</w:t>
      </w:r>
      <w:r>
        <w:rPr>
          <w:snapToGrid w:val="0"/>
        </w:rPr>
        <w:tab/>
        <w:t>Title to electricity</w:t>
      </w:r>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465" w:name="_Toc28753103"/>
      <w:bookmarkStart w:id="466" w:name="_Toc131575701"/>
      <w:bookmarkStart w:id="467" w:name="_Toc139772492"/>
      <w:r>
        <w:rPr>
          <w:rStyle w:val="CharSectno"/>
        </w:rPr>
        <w:t>46</w:t>
      </w:r>
      <w:r>
        <w:rPr>
          <w:snapToGrid w:val="0"/>
        </w:rPr>
        <w:t>.</w:t>
      </w:r>
      <w:r>
        <w:rPr>
          <w:snapToGrid w:val="0"/>
        </w:rPr>
        <w:tab/>
        <w:t>Assignment of distribution access agreements</w:t>
      </w:r>
      <w:bookmarkEnd w:id="465"/>
      <w:bookmarkEnd w:id="466"/>
      <w:bookmarkEnd w:id="467"/>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w:t>
      </w:r>
    </w:p>
    <w:p>
      <w:pPr>
        <w:pStyle w:val="Heading5"/>
        <w:rPr>
          <w:snapToGrid w:val="0"/>
        </w:rPr>
      </w:pPr>
      <w:bookmarkStart w:id="468" w:name="_Toc28753104"/>
      <w:bookmarkStart w:id="469" w:name="_Toc131575702"/>
      <w:bookmarkStart w:id="470" w:name="_Toc139772493"/>
      <w:r>
        <w:rPr>
          <w:rStyle w:val="CharSectno"/>
        </w:rPr>
        <w:t>47</w:t>
      </w:r>
      <w:r>
        <w:rPr>
          <w:snapToGrid w:val="0"/>
        </w:rPr>
        <w:t>.</w:t>
      </w:r>
      <w:r>
        <w:rPr>
          <w:snapToGrid w:val="0"/>
        </w:rPr>
        <w:tab/>
        <w:t>Essential terms</w:t>
      </w:r>
      <w:bookmarkEnd w:id="468"/>
      <w:bookmarkEnd w:id="469"/>
      <w:bookmarkEnd w:id="470"/>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6 to the Act:</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471" w:name="_Toc28753105"/>
      <w:bookmarkStart w:id="472" w:name="_Toc131575703"/>
      <w:bookmarkStart w:id="473" w:name="_Toc139772494"/>
      <w:r>
        <w:rPr>
          <w:rStyle w:val="CharSectno"/>
        </w:rPr>
        <w:t>48</w:t>
      </w:r>
      <w:r>
        <w:rPr>
          <w:snapToGrid w:val="0"/>
        </w:rPr>
        <w:t>.</w:t>
      </w:r>
      <w:r>
        <w:rPr>
          <w:snapToGrid w:val="0"/>
        </w:rPr>
        <w:tab/>
        <w:t>Representations and warranties</w:t>
      </w:r>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474" w:name="_Toc28753106"/>
      <w:bookmarkStart w:id="475" w:name="_Toc131575704"/>
      <w:bookmarkStart w:id="476" w:name="_Toc139772495"/>
      <w:r>
        <w:rPr>
          <w:rStyle w:val="CharSectno"/>
        </w:rPr>
        <w:t>49</w:t>
      </w:r>
      <w:r>
        <w:rPr>
          <w:snapToGrid w:val="0"/>
        </w:rPr>
        <w:t>.</w:t>
      </w:r>
      <w:r>
        <w:rPr>
          <w:snapToGrid w:val="0"/>
        </w:rPr>
        <w:tab/>
        <w:t>Payment arrangements</w:t>
      </w:r>
      <w:bookmarkEnd w:id="474"/>
      <w:bookmarkEnd w:id="475"/>
      <w:bookmarkEnd w:id="476"/>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477" w:name="_Toc28753107"/>
      <w:bookmarkStart w:id="478" w:name="_Toc131575705"/>
      <w:bookmarkStart w:id="479" w:name="_Toc139772496"/>
      <w:r>
        <w:rPr>
          <w:rStyle w:val="CharSectno"/>
        </w:rPr>
        <w:t>50</w:t>
      </w:r>
      <w:r>
        <w:rPr>
          <w:snapToGrid w:val="0"/>
        </w:rPr>
        <w:t>.</w:t>
      </w:r>
      <w:r>
        <w:rPr>
          <w:snapToGrid w:val="0"/>
        </w:rPr>
        <w:tab/>
        <w:t>Controllers</w:t>
      </w:r>
      <w:bookmarkEnd w:id="477"/>
      <w:bookmarkEnd w:id="478"/>
      <w:bookmarkEnd w:id="479"/>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480" w:name="_Toc125451769"/>
      <w:bookmarkStart w:id="481" w:name="_Toc125452277"/>
      <w:bookmarkStart w:id="482" w:name="_Toc131575706"/>
      <w:bookmarkStart w:id="483" w:name="_Toc131575783"/>
      <w:bookmarkStart w:id="484" w:name="_Toc131912115"/>
      <w:bookmarkStart w:id="485" w:name="_Toc135538215"/>
      <w:bookmarkStart w:id="486" w:name="_Toc138227345"/>
      <w:bookmarkStart w:id="487" w:name="_Toc138489334"/>
      <w:bookmarkStart w:id="488" w:name="_Toc139772047"/>
      <w:bookmarkStart w:id="489" w:name="_Toc139772497"/>
      <w:r>
        <w:rPr>
          <w:rStyle w:val="CharPartNo"/>
        </w:rPr>
        <w:t>Part 9</w:t>
      </w:r>
      <w:r>
        <w:rPr>
          <w:rStyle w:val="CharDivNo"/>
        </w:rPr>
        <w:t> </w:t>
      </w:r>
      <w:r>
        <w:t>—</w:t>
      </w:r>
      <w:r>
        <w:rPr>
          <w:rStyle w:val="CharDivText"/>
        </w:rPr>
        <w:t> </w:t>
      </w:r>
      <w:r>
        <w:rPr>
          <w:rStyle w:val="CharPartText"/>
        </w:rPr>
        <w:t>Committed capacity and transitional provisions</w:t>
      </w:r>
      <w:bookmarkEnd w:id="480"/>
      <w:bookmarkEnd w:id="481"/>
      <w:bookmarkEnd w:id="482"/>
      <w:bookmarkEnd w:id="483"/>
      <w:bookmarkEnd w:id="484"/>
      <w:bookmarkEnd w:id="485"/>
      <w:bookmarkEnd w:id="486"/>
      <w:bookmarkEnd w:id="487"/>
      <w:bookmarkEnd w:id="488"/>
      <w:bookmarkEnd w:id="489"/>
      <w:r>
        <w:rPr>
          <w:rStyle w:val="CharPartText"/>
        </w:rPr>
        <w:t xml:space="preserve"> </w:t>
      </w:r>
    </w:p>
    <w:p>
      <w:pPr>
        <w:pStyle w:val="Heading5"/>
        <w:rPr>
          <w:snapToGrid w:val="0"/>
        </w:rPr>
      </w:pPr>
      <w:bookmarkStart w:id="490" w:name="_Toc28753108"/>
      <w:bookmarkStart w:id="491" w:name="_Toc131575707"/>
      <w:bookmarkStart w:id="492" w:name="_Toc139772498"/>
      <w:r>
        <w:rPr>
          <w:rStyle w:val="CharSectno"/>
        </w:rPr>
        <w:t>51</w:t>
      </w:r>
      <w:r>
        <w:rPr>
          <w:snapToGrid w:val="0"/>
        </w:rPr>
        <w:t>.</w:t>
      </w:r>
      <w:r>
        <w:rPr>
          <w:snapToGrid w:val="0"/>
        </w:rPr>
        <w:tab/>
        <w:t>Interpretation</w:t>
      </w:r>
      <w:bookmarkEnd w:id="490"/>
      <w:bookmarkEnd w:id="491"/>
      <w:bookmarkEnd w:id="49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w:t>
      </w:r>
      <w:r>
        <w:rPr>
          <w:rStyle w:val="CharDefText"/>
          <w:bCs/>
          <w:snapToGrid w:val="0"/>
        </w:rPr>
        <w:t>eligible premises</w:t>
      </w:r>
      <w:r>
        <w:rPr>
          <w:b/>
        </w:rPr>
        <w:t>”</w:t>
      </w:r>
      <w:r>
        <w:t xml:space="preserve"> if a corporation is obliged to make available access for the transport of electricity to them under clause 2(1) of Schedule 6 to the Act.</w:t>
      </w:r>
    </w:p>
    <w:p>
      <w:pPr>
        <w:pStyle w:val="Footnotesection"/>
      </w:pPr>
      <w:r>
        <w:tab/>
        <w:t>[Regulation 51 amended in Gazette 31 Mar 2006 p. 1314 and 1318.]</w:t>
      </w:r>
    </w:p>
    <w:p>
      <w:pPr>
        <w:pStyle w:val="Heading5"/>
      </w:pPr>
      <w:bookmarkStart w:id="493" w:name="_Toc131575709"/>
      <w:bookmarkStart w:id="494" w:name="_Toc139772499"/>
      <w:bookmarkStart w:id="495" w:name="_Toc28753110"/>
      <w:r>
        <w:rPr>
          <w:rStyle w:val="CharSectno"/>
        </w:rPr>
        <w:t>52</w:t>
      </w:r>
      <w:r>
        <w:t>.</w:t>
      </w:r>
      <w:r>
        <w:tab/>
        <w:t>Regional Power Corporation’s existing capacity</w:t>
      </w:r>
      <w:bookmarkEnd w:id="493"/>
      <w:bookmarkEnd w:id="494"/>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496" w:name="_Toc131575710"/>
      <w:bookmarkStart w:id="497" w:name="_Toc139772500"/>
      <w:r>
        <w:rPr>
          <w:rStyle w:val="CharSectno"/>
        </w:rPr>
        <w:t>53</w:t>
      </w:r>
      <w:r>
        <w:rPr>
          <w:snapToGrid w:val="0"/>
        </w:rPr>
        <w:t>.</w:t>
      </w:r>
      <w:r>
        <w:rPr>
          <w:snapToGrid w:val="0"/>
        </w:rPr>
        <w:tab/>
        <w:t>Existing agreements</w:t>
      </w:r>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498" w:name="_Toc28753111"/>
      <w:bookmarkStart w:id="499" w:name="_Toc131575711"/>
      <w:bookmarkStart w:id="500" w:name="_Toc139772501"/>
      <w:r>
        <w:rPr>
          <w:rStyle w:val="CharSectno"/>
        </w:rPr>
        <w:t>54</w:t>
      </w:r>
      <w:r>
        <w:rPr>
          <w:snapToGrid w:val="0"/>
        </w:rPr>
        <w:t>.</w:t>
      </w:r>
      <w:r>
        <w:rPr>
          <w:snapToGrid w:val="0"/>
        </w:rPr>
        <w:tab/>
        <w:t>Electricity Retail Corporation, RPC Retail and non</w:t>
      </w:r>
      <w:r>
        <w:rPr>
          <w:snapToGrid w:val="0"/>
        </w:rPr>
        <w:noBreakHyphen/>
        <w:t>eligible premises</w:t>
      </w:r>
      <w:bookmarkEnd w:id="498"/>
      <w:bookmarkEnd w:id="499"/>
      <w:bookmarkEnd w:id="500"/>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 54 amended in Gazette 31 Mar 2006 p. 1315.]</w:t>
      </w:r>
    </w:p>
    <w:p>
      <w:pPr>
        <w:pStyle w:val="Ednotesubsection"/>
        <w:sectPr>
          <w:headerReference w:type="even" r:id="rId40"/>
          <w:headerReference w:type="default" r:id="rId41"/>
          <w:footerReference w:type="even" r:id="rId42"/>
          <w:footerReference w:type="default" r:id="rId43"/>
          <w:headerReference w:type="first" r:id="rId44"/>
          <w:footerReference w:type="first" r:id="rId45"/>
          <w:pgSz w:w="11906" w:h="16838" w:code="9"/>
          <w:pgMar w:top="2376" w:right="2405" w:bottom="3542" w:left="2405" w:header="706" w:footer="3380" w:gutter="0"/>
          <w:pgNumType w:start="1"/>
          <w:cols w:space="720"/>
          <w:noEndnote/>
          <w:titlePg/>
          <w:docGrid w:linePitch="326"/>
        </w:sectPr>
      </w:pPr>
    </w:p>
    <w:p>
      <w:pPr>
        <w:pStyle w:val="yScheduleHeading"/>
      </w:pPr>
      <w:bookmarkStart w:id="501" w:name="_Toc125452282"/>
      <w:bookmarkStart w:id="502" w:name="_Toc131575712"/>
      <w:bookmarkStart w:id="503" w:name="_Toc131575789"/>
      <w:bookmarkStart w:id="504" w:name="_Toc131912120"/>
      <w:bookmarkStart w:id="505" w:name="_Toc135538220"/>
      <w:bookmarkStart w:id="506" w:name="_Toc138227350"/>
      <w:bookmarkStart w:id="507" w:name="_Toc138489339"/>
      <w:bookmarkStart w:id="508" w:name="_Toc139772052"/>
      <w:bookmarkStart w:id="509" w:name="_Toc139772502"/>
      <w:r>
        <w:rPr>
          <w:rStyle w:val="CharSchNo"/>
        </w:rPr>
        <w:t>Schedule 1</w:t>
      </w:r>
      <w:r>
        <w:t> — </w:t>
      </w:r>
      <w:r>
        <w:rPr>
          <w:rStyle w:val="CharSchText"/>
        </w:rPr>
        <w:t>Access application flow chart</w:t>
      </w:r>
      <w:bookmarkEnd w:id="501"/>
      <w:bookmarkEnd w:id="502"/>
      <w:bookmarkEnd w:id="503"/>
      <w:bookmarkEnd w:id="504"/>
      <w:bookmarkEnd w:id="505"/>
      <w:bookmarkEnd w:id="506"/>
      <w:bookmarkEnd w:id="507"/>
      <w:bookmarkEnd w:id="508"/>
      <w:bookmarkEnd w:id="509"/>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510" w:name="_Toc125452283"/>
      <w:bookmarkStart w:id="511" w:name="_Toc131575713"/>
      <w:bookmarkStart w:id="512" w:name="_Toc131575790"/>
      <w:bookmarkStart w:id="513" w:name="_Toc131912121"/>
      <w:bookmarkStart w:id="514" w:name="_Toc135538221"/>
      <w:bookmarkStart w:id="515" w:name="_Toc138227351"/>
      <w:bookmarkStart w:id="516" w:name="_Toc138489340"/>
      <w:bookmarkStart w:id="517" w:name="_Toc139772053"/>
      <w:bookmarkStart w:id="518" w:name="_Toc139772503"/>
      <w:r>
        <w:rPr>
          <w:rStyle w:val="CharSchNo"/>
        </w:rPr>
        <w:t>Schedule 2</w:t>
      </w:r>
      <w:r>
        <w:t> — </w:t>
      </w:r>
      <w:r>
        <w:rPr>
          <w:rStyle w:val="CharSchText"/>
        </w:rPr>
        <w:t>Access information</w:t>
      </w:r>
      <w:bookmarkEnd w:id="510"/>
      <w:bookmarkEnd w:id="511"/>
      <w:bookmarkEnd w:id="512"/>
      <w:bookmarkEnd w:id="513"/>
      <w:bookmarkEnd w:id="514"/>
      <w:bookmarkEnd w:id="515"/>
      <w:bookmarkEnd w:id="516"/>
      <w:bookmarkEnd w:id="517"/>
      <w:bookmarkEnd w:id="518"/>
      <w:r>
        <w:t xml:space="preserve"> </w:t>
      </w:r>
    </w:p>
    <w:p>
      <w:pPr>
        <w:pStyle w:val="yShoulderClause"/>
        <w:rPr>
          <w:snapToGrid w:val="0"/>
        </w:rPr>
      </w:pPr>
      <w:r>
        <w:rPr>
          <w:snapToGrid w:val="0"/>
        </w:rPr>
        <w:t>[r. 8(6) &amp; (8)]</w:t>
      </w:r>
    </w:p>
    <w:p>
      <w:pPr>
        <w:pStyle w:val="yHeading2"/>
      </w:pPr>
      <w:bookmarkStart w:id="519" w:name="_Toc131575714"/>
      <w:bookmarkStart w:id="520" w:name="_Toc131575791"/>
      <w:bookmarkStart w:id="521" w:name="_Toc131912122"/>
      <w:bookmarkStart w:id="522" w:name="_Toc135538222"/>
      <w:bookmarkStart w:id="523" w:name="_Toc138227352"/>
      <w:bookmarkStart w:id="524" w:name="_Toc138489341"/>
      <w:bookmarkStart w:id="525" w:name="_Toc139772054"/>
      <w:bookmarkStart w:id="526" w:name="_Toc139772504"/>
      <w:r>
        <w:t>Part A — Information to be included in an access application</w:t>
      </w:r>
      <w:bookmarkEnd w:id="519"/>
      <w:bookmarkEnd w:id="520"/>
      <w:bookmarkEnd w:id="521"/>
      <w:bookmarkEnd w:id="522"/>
      <w:bookmarkEnd w:id="523"/>
      <w:bookmarkEnd w:id="524"/>
      <w:bookmarkEnd w:id="525"/>
      <w:bookmarkEnd w:id="526"/>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rPr>
          <w:rStyle w:val="CharDefText"/>
          <w:bCs/>
        </w:rP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527" w:name="_Toc131575715"/>
      <w:bookmarkStart w:id="528" w:name="_Toc131575792"/>
      <w:bookmarkStart w:id="529" w:name="_Toc131912123"/>
      <w:bookmarkStart w:id="530" w:name="_Toc135538223"/>
      <w:bookmarkStart w:id="531" w:name="_Toc138227353"/>
      <w:r>
        <w:tab/>
        <w:t>[Part A amended in Gazette 28 Dec 2001 p. 6717; 31 Mar 2006 p. 1315.]</w:t>
      </w:r>
    </w:p>
    <w:p>
      <w:pPr>
        <w:pStyle w:val="yHeading2"/>
      </w:pPr>
      <w:bookmarkStart w:id="532" w:name="_Toc138489342"/>
      <w:bookmarkStart w:id="533" w:name="_Toc139772055"/>
      <w:bookmarkStart w:id="534" w:name="_Toc139772505"/>
      <w:r>
        <w:t>Part B — Information to be included in a response</w:t>
      </w:r>
      <w:bookmarkEnd w:id="527"/>
      <w:bookmarkEnd w:id="528"/>
      <w:bookmarkEnd w:id="529"/>
      <w:bookmarkEnd w:id="530"/>
      <w:bookmarkEnd w:id="531"/>
      <w:bookmarkEnd w:id="532"/>
      <w:bookmarkEnd w:id="533"/>
      <w:bookmarkEnd w:id="534"/>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535" w:name="_Toc125452284"/>
      <w:bookmarkStart w:id="536" w:name="_Toc131575716"/>
      <w:bookmarkStart w:id="537" w:name="_Toc131575793"/>
      <w:bookmarkStart w:id="538" w:name="_Toc131912124"/>
      <w:bookmarkStart w:id="539" w:name="_Toc135538224"/>
      <w:bookmarkStart w:id="540" w:name="_Toc138227354"/>
      <w:bookmarkStart w:id="541" w:name="_Toc138489343"/>
      <w:bookmarkStart w:id="542" w:name="_Toc139772056"/>
      <w:bookmarkStart w:id="543" w:name="_Toc139772506"/>
      <w:r>
        <w:rPr>
          <w:rStyle w:val="CharSchNo"/>
        </w:rPr>
        <w:t>Schedule 3</w:t>
      </w:r>
      <w:r>
        <w:t> — </w:t>
      </w:r>
      <w:r>
        <w:rPr>
          <w:rStyle w:val="CharSchText"/>
        </w:rPr>
        <w:t>Terms of an access offer</w:t>
      </w:r>
      <w:bookmarkEnd w:id="535"/>
      <w:bookmarkEnd w:id="536"/>
      <w:bookmarkEnd w:id="537"/>
      <w:bookmarkEnd w:id="538"/>
      <w:bookmarkEnd w:id="539"/>
      <w:bookmarkEnd w:id="540"/>
      <w:bookmarkEnd w:id="541"/>
      <w:bookmarkEnd w:id="542"/>
      <w:bookmarkEnd w:id="543"/>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544" w:name="_Toc125452285"/>
      <w:bookmarkStart w:id="545" w:name="_Toc131575717"/>
      <w:bookmarkStart w:id="546" w:name="_Toc131575794"/>
      <w:bookmarkStart w:id="547" w:name="_Toc131912125"/>
      <w:bookmarkStart w:id="548" w:name="_Toc135538225"/>
      <w:bookmarkStart w:id="549" w:name="_Toc138227355"/>
      <w:bookmarkStart w:id="550" w:name="_Toc138489344"/>
      <w:bookmarkStart w:id="551" w:name="_Toc139772057"/>
      <w:bookmarkStart w:id="552" w:name="_Toc139772507"/>
      <w:r>
        <w:rPr>
          <w:rStyle w:val="CharSchNo"/>
        </w:rPr>
        <w:t>Schedule 4</w:t>
      </w:r>
      <w:r>
        <w:t> — </w:t>
      </w:r>
      <w:r>
        <w:rPr>
          <w:rStyle w:val="CharSchText"/>
        </w:rPr>
        <w:t>Loss factor formula</w:t>
      </w:r>
      <w:bookmarkEnd w:id="544"/>
      <w:bookmarkEnd w:id="545"/>
      <w:bookmarkEnd w:id="546"/>
      <w:bookmarkEnd w:id="547"/>
      <w:bookmarkEnd w:id="548"/>
      <w:bookmarkEnd w:id="549"/>
      <w:bookmarkEnd w:id="550"/>
      <w:bookmarkEnd w:id="551"/>
      <w:bookmarkEnd w:id="552"/>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object w:dxaOrig="1400" w:dyaOrig="580">
          <v:shape id="_x0000_i1034" type="#_x0000_t75" style="width:69.75pt;height:29.25pt" o:ole="" fillcolor="window">
            <v:imagedata r:id="rId46" o:title=""/>
          </v:shape>
          <o:OLEObject Type="Embed" ProgID="Equation.3" ShapeID="_x0000_i1034" DrawAspect="Content" ObjectID="_1644028800" r:id="rId47"/>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object w:dxaOrig="1640" w:dyaOrig="620">
          <v:shape id="_x0000_i1035" type="#_x0000_t75" style="width:81.75pt;height:30.75pt" o:ole="" fillcolor="window">
            <v:imagedata r:id="rId48" o:title=""/>
          </v:shape>
          <o:OLEObject Type="Embed" ProgID="Equation.3" ShapeID="_x0000_i1035" DrawAspect="Content" ObjectID="_1644028801" r:id="rId49"/>
        </w:obje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rPr>
          <w:rStyle w:val="CharDefText"/>
          <w:bCs/>
        </w:rP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50"/>
          <w:headerReference w:type="default" r:id="rId51"/>
          <w:headerReference w:type="first" r:id="rId52"/>
          <w:pgSz w:w="11906" w:h="16838" w:code="9"/>
          <w:pgMar w:top="2376" w:right="2405" w:bottom="3542" w:left="2405" w:header="706" w:footer="3380" w:gutter="0"/>
          <w:cols w:space="720"/>
          <w:noEndnote/>
          <w:docGrid w:linePitch="326"/>
        </w:sectPr>
      </w:pPr>
    </w:p>
    <w:p>
      <w:pPr>
        <w:pStyle w:val="nHeading2"/>
      </w:pPr>
      <w:bookmarkStart w:id="553" w:name="_Toc125451778"/>
      <w:bookmarkStart w:id="554" w:name="_Toc125452286"/>
      <w:bookmarkStart w:id="555" w:name="_Toc131575718"/>
      <w:bookmarkStart w:id="556" w:name="_Toc131575795"/>
      <w:bookmarkStart w:id="557" w:name="_Toc131912126"/>
      <w:bookmarkStart w:id="558" w:name="_Toc135538226"/>
      <w:bookmarkStart w:id="559" w:name="_Toc138227356"/>
      <w:bookmarkStart w:id="560" w:name="_Toc138489345"/>
      <w:bookmarkStart w:id="561" w:name="_Toc139772058"/>
      <w:bookmarkStart w:id="562" w:name="_Toc139772508"/>
      <w:r>
        <w:t>Notes</w:t>
      </w:r>
      <w:bookmarkEnd w:id="553"/>
      <w:bookmarkEnd w:id="554"/>
      <w:bookmarkEnd w:id="555"/>
      <w:bookmarkEnd w:id="556"/>
      <w:bookmarkEnd w:id="557"/>
      <w:bookmarkEnd w:id="558"/>
      <w:bookmarkEnd w:id="559"/>
      <w:bookmarkEnd w:id="560"/>
      <w:bookmarkEnd w:id="561"/>
      <w:bookmarkEnd w:id="562"/>
    </w:p>
    <w:p>
      <w:pPr>
        <w:pStyle w:val="nSubsection"/>
        <w:rPr>
          <w:snapToGrid w:val="0"/>
        </w:rPr>
      </w:pPr>
      <w:r>
        <w:rPr>
          <w:snapToGrid w:val="0"/>
          <w:vertAlign w:val="superscript"/>
        </w:rPr>
        <w:t>1</w:t>
      </w:r>
      <w:r>
        <w:rPr>
          <w:snapToGrid w:val="0"/>
        </w:rPr>
        <w:tab/>
        <w:t xml:space="preserve">This reprint is a compilation as at 4 August 2006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63" w:name="_Toc139772509"/>
      <w:r>
        <w:rPr>
          <w:snapToGrid w:val="0"/>
        </w:rPr>
        <w:t>Compilation table</w:t>
      </w:r>
      <w:bookmarkEnd w:id="563"/>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Borders>
              <w:bottom w:val="single" w:sz="8" w:space="0" w:color="auto"/>
            </w:tcBorders>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r>
        <w:rPr>
          <w:vertAlign w:val="superscript"/>
        </w:rPr>
        <w:t>4</w:t>
      </w:r>
      <w:r>
        <w:rPr>
          <w:vertAlign w:val="superscript"/>
        </w:rPr>
        <w:tab/>
      </w:r>
      <w:r>
        <w:t>Repealed by the Electricity Industry (Wholesale Market) Repeal Regulations 2006 which commenced 1 April 2006.</w:t>
      </w:r>
    </w:p>
    <w:p/>
    <w:p>
      <w:pPr>
        <w:sectPr>
          <w:headerReference w:type="even" r:id="rId53"/>
          <w:headerReference w:type="default" r:id="rId54"/>
          <w:headerReference w:type="first" r:id="rId55"/>
          <w:pgSz w:w="11906" w:h="16838" w:code="9"/>
          <w:pgMar w:top="2376" w:right="2404" w:bottom="3544" w:left="2404" w:header="720" w:footer="3380" w:gutter="0"/>
          <w:cols w:space="720"/>
          <w:noEndnote/>
          <w:docGrid w:linePitch="326"/>
        </w:sectPr>
      </w:pPr>
    </w:p>
    <w:p/>
    <w:sectPr>
      <w:headerReference w:type="even" r:id="rId56"/>
      <w:headerReference w:type="defaul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Electricity Distribution Regulations 1997</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rPr>
        <w:bC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fldChar w:fldCharType="end"/>
          </w:r>
        </w:p>
      </w:tc>
      <w:tc>
        <w:tcPr>
          <w:tcW w:w="5764" w:type="dxa"/>
        </w:tcPr>
        <w:p>
          <w:pPr>
            <w:pStyle w:val="HeaderTextLeft"/>
          </w:pPr>
          <w:fldSimple w:instr=" styleref CharSchText ">
            <w:r>
              <w:rPr>
                <w:noProof/>
              </w:rPr>
              <w:t>Access application flow chart</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fldSimple w:instr=" styleref CharSchText ">
            <w:r>
              <w:rPr>
                <w:noProof/>
              </w:rPr>
              <w:t>Access application flow chart</w:t>
            </w:r>
          </w:fldSimple>
        </w:p>
      </w:tc>
      <w:tc>
        <w:tcPr>
          <w:tcW w:w="1552" w:type="dxa"/>
          <w:gridSpan w:val="2"/>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oleObject" Target="embeddings/oleObject9.bin"/><Relationship Id="rId21" Type="http://schemas.openxmlformats.org/officeDocument/2006/relationships/image" Target="media/image2.png"/><Relationship Id="rId34" Type="http://schemas.openxmlformats.org/officeDocument/2006/relationships/image" Target="media/image9.wmf"/><Relationship Id="rId42" Type="http://schemas.openxmlformats.org/officeDocument/2006/relationships/footer" Target="footer7.xml"/><Relationship Id="rId47" Type="http://schemas.openxmlformats.org/officeDocument/2006/relationships/oleObject" Target="embeddings/oleObject10.bin"/><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2.bin"/><Relationship Id="rId33" Type="http://schemas.openxmlformats.org/officeDocument/2006/relationships/oleObject" Target="embeddings/oleObject6.bin"/><Relationship Id="rId38" Type="http://schemas.openxmlformats.org/officeDocument/2006/relationships/image" Target="media/image11.wmf"/><Relationship Id="rId46" Type="http://schemas.openxmlformats.org/officeDocument/2006/relationships/image" Target="media/image12.wmf"/><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4.bin"/><Relationship Id="rId41" Type="http://schemas.openxmlformats.org/officeDocument/2006/relationships/header" Target="header8.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8.bin"/><Relationship Id="rId40" Type="http://schemas.openxmlformats.org/officeDocument/2006/relationships/header" Target="header7.xml"/><Relationship Id="rId45" Type="http://schemas.openxmlformats.org/officeDocument/2006/relationships/footer" Target="footer9.xml"/><Relationship Id="rId53" Type="http://schemas.openxmlformats.org/officeDocument/2006/relationships/header" Target="header13.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1.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oleObject" Target="embeddings/oleObject11.bin"/><Relationship Id="rId57"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header" Target="header9.xml"/><Relationship Id="rId52"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3.bin"/><Relationship Id="rId30" Type="http://schemas.openxmlformats.org/officeDocument/2006/relationships/image" Target="media/image7.wmf"/><Relationship Id="rId35" Type="http://schemas.openxmlformats.org/officeDocument/2006/relationships/oleObject" Target="embeddings/oleObject7.bin"/><Relationship Id="rId43" Type="http://schemas.openxmlformats.org/officeDocument/2006/relationships/footer" Target="footer8.xml"/><Relationship Id="rId48" Type="http://schemas.openxmlformats.org/officeDocument/2006/relationships/image" Target="media/image13.wmf"/><Relationship Id="rId56" Type="http://schemas.openxmlformats.org/officeDocument/2006/relationships/header" Target="header16.xml"/><Relationship Id="rId8" Type="http://schemas.openxmlformats.org/officeDocument/2006/relationships/image" Target="media/image1.png"/><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21198</Words>
  <Characters>112141</Characters>
  <Application>Microsoft Office Word</Application>
  <DocSecurity>0</DocSecurity>
  <Lines>2951</Lines>
  <Paragraphs>1282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132057</CharactersWithSpaces>
  <SharedDoc>false</SharedDoc>
  <HLinks>
    <vt:vector size="12" baseType="variant">
      <vt:variant>
        <vt:i4>3014716</vt:i4>
      </vt:variant>
      <vt:variant>
        <vt:i4>5832</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1997 - 01-a0-02</dc:title>
  <dc:subject/>
  <dc:creator/>
  <cp:keywords/>
  <dc:description/>
  <cp:lastModifiedBy>svcMRProcess</cp:lastModifiedBy>
  <cp:revision>4</cp:revision>
  <cp:lastPrinted>2006-07-25T02:38:00Z</cp:lastPrinted>
  <dcterms:created xsi:type="dcterms:W3CDTF">2020-02-23T21:53:00Z</dcterms:created>
  <dcterms:modified xsi:type="dcterms:W3CDTF">2020-02-23T21:53:00Z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4408</vt:i4>
  </property>
  <property fmtid="{D5CDD505-2E9C-101B-9397-08002B2CF9AE}" pid="6" name="ReprintedAsAt">
    <vt:filetime>2006-08-03T16:00:00Z</vt:filetime>
  </property>
  <property fmtid="{D5CDD505-2E9C-101B-9397-08002B2CF9AE}" pid="7" name="ReprintNo">
    <vt:lpwstr>1</vt:lpwstr>
  </property>
  <property fmtid="{D5CDD505-2E9C-101B-9397-08002B2CF9AE}" pid="8" name="AsAtDate">
    <vt:lpwstr>04 Aug 2006</vt:lpwstr>
  </property>
  <property fmtid="{D5CDD505-2E9C-101B-9397-08002B2CF9AE}" pid="9" name="Suffix">
    <vt:lpwstr>01-a0-02</vt:lpwstr>
  </property>
</Properties>
</file>