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February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_Toc469996890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_Toc469996891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_Toc469996892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_Toc469996894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_Toc469996896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_Toc469996897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_Toc469996899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_Toc469996900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_Toc469996901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_Toc469996902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_Toc469996904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_Toc469996905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_Toc469996906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_Toc469996907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_Toc469996909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_Toc469996910 \h </w:instrText>
      </w:r>
      <w:r>
        <w:fldChar w:fldCharType="separate"/>
      </w:r>
      <w:r>
        <w:t>9</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_Toc469996911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_Toc469996912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_Toc469996913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_Toc469996914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_Toc469996918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February 2017</w:t>
            </w:r>
          </w:p>
        </w:tc>
      </w:tr>
    </w:tbl>
    <w:p>
      <w:pPr>
        <w:pStyle w:val="WA"/>
        <w:spacing w:before="12"/>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465774428"/>
      <w:bookmarkStart w:id="4" w:name="_Toc466281937"/>
      <w:bookmarkStart w:id="5" w:name="_Toc4699968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69996890"/>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46999689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9" w:name="_Toc469996892"/>
      <w:r>
        <w:rPr>
          <w:rStyle w:val="CharSectno"/>
        </w:rPr>
        <w:t>3</w:t>
      </w:r>
      <w:r>
        <w:t>.</w:t>
      </w:r>
      <w:r>
        <w:tab/>
        <w:t>Term used: section</w:t>
      </w:r>
      <w:bookmarkEnd w:id="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 w:name="_Toc465774432"/>
      <w:bookmarkStart w:id="11" w:name="_Toc466281941"/>
      <w:bookmarkStart w:id="12" w:name="_Toc469996893"/>
      <w:r>
        <w:rPr>
          <w:rStyle w:val="CharPartNo"/>
        </w:rPr>
        <w:t>Part 2</w:t>
      </w:r>
      <w:r>
        <w:rPr>
          <w:rStyle w:val="CharDivNo"/>
        </w:rPr>
        <w:t> </w:t>
      </w:r>
      <w:r>
        <w:t>—</w:t>
      </w:r>
      <w:r>
        <w:rPr>
          <w:rStyle w:val="CharDivText"/>
        </w:rPr>
        <w:t> </w:t>
      </w:r>
      <w:r>
        <w:rPr>
          <w:rStyle w:val="CharPartText"/>
        </w:rPr>
        <w:t>Prescribed Australian datum</w:t>
      </w:r>
      <w:bookmarkEnd w:id="10"/>
      <w:bookmarkEnd w:id="11"/>
      <w:bookmarkEnd w:id="12"/>
    </w:p>
    <w:p>
      <w:pPr>
        <w:pStyle w:val="Heading5"/>
      </w:pPr>
      <w:bookmarkStart w:id="13" w:name="_Toc469996894"/>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4" w:name="_Toc465774434"/>
      <w:bookmarkStart w:id="15" w:name="_Toc466281943"/>
      <w:bookmarkStart w:id="16" w:name="_Toc469996895"/>
      <w:r>
        <w:rPr>
          <w:rStyle w:val="CharPartNo"/>
        </w:rPr>
        <w:t>Part 3</w:t>
      </w:r>
      <w:r>
        <w:rPr>
          <w:rStyle w:val="CharDivNo"/>
        </w:rPr>
        <w:t> </w:t>
      </w:r>
      <w:r>
        <w:t>—</w:t>
      </w:r>
      <w:r>
        <w:rPr>
          <w:rStyle w:val="CharDivText"/>
        </w:rPr>
        <w:t> </w:t>
      </w:r>
      <w:r>
        <w:rPr>
          <w:rStyle w:val="CharPartText"/>
        </w:rPr>
        <w:t>Ballot procedures</w:t>
      </w:r>
      <w:bookmarkEnd w:id="14"/>
      <w:bookmarkEnd w:id="15"/>
      <w:bookmarkEnd w:id="16"/>
    </w:p>
    <w:p>
      <w:pPr>
        <w:pStyle w:val="Heading5"/>
      </w:pPr>
      <w:bookmarkStart w:id="17" w:name="_Toc469996896"/>
      <w:r>
        <w:rPr>
          <w:rStyle w:val="CharSectno"/>
        </w:rPr>
        <w:t>5</w:t>
      </w:r>
      <w:r>
        <w:t>.</w:t>
      </w:r>
      <w:r>
        <w:tab/>
        <w:t>Multiple applications: time of lodgment</w:t>
      </w:r>
      <w:bookmarkEnd w:id="17"/>
    </w:p>
    <w:p>
      <w:pPr>
        <w:pStyle w:val="Subsection"/>
      </w:pPr>
      <w:r>
        <w:tab/>
      </w:r>
      <w:r>
        <w:tab/>
        <w:t>For the purposes of sections 58(2)(b) and 203(2)(b), the time of 30 minutes is prescribed.</w:t>
      </w:r>
    </w:p>
    <w:p>
      <w:pPr>
        <w:pStyle w:val="Heading5"/>
      </w:pPr>
      <w:bookmarkStart w:id="18" w:name="_Toc469996897"/>
      <w:r>
        <w:rPr>
          <w:rStyle w:val="CharSectno"/>
        </w:rPr>
        <w:t>6</w:t>
      </w:r>
      <w:r>
        <w:t>.</w:t>
      </w:r>
      <w:r>
        <w:tab/>
        <w:t>Multiple applications: drawing of lots</w:t>
      </w:r>
      <w:bookmarkEnd w:id="18"/>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9" w:name="_Toc465774437"/>
      <w:bookmarkStart w:id="20" w:name="_Toc466281946"/>
      <w:bookmarkStart w:id="21" w:name="_Toc469996898"/>
      <w:r>
        <w:rPr>
          <w:rStyle w:val="CharPartNo"/>
        </w:rPr>
        <w:t>Part 4</w:t>
      </w:r>
      <w:r>
        <w:rPr>
          <w:rStyle w:val="CharDivNo"/>
        </w:rPr>
        <w:t> </w:t>
      </w:r>
      <w:r>
        <w:t>—</w:t>
      </w:r>
      <w:r>
        <w:rPr>
          <w:rStyle w:val="CharDivText"/>
        </w:rPr>
        <w:t> </w:t>
      </w:r>
      <w:r>
        <w:rPr>
          <w:rStyle w:val="CharPartText"/>
        </w:rPr>
        <w:t>Records and samples</w:t>
      </w:r>
      <w:bookmarkEnd w:id="19"/>
      <w:bookmarkEnd w:id="20"/>
      <w:bookmarkEnd w:id="21"/>
    </w:p>
    <w:p>
      <w:pPr>
        <w:pStyle w:val="Heading5"/>
      </w:pPr>
      <w:bookmarkStart w:id="22" w:name="_Toc469996899"/>
      <w:r>
        <w:rPr>
          <w:rStyle w:val="CharSectno"/>
        </w:rPr>
        <w:t>7</w:t>
      </w:r>
      <w:r>
        <w:t>.</w:t>
      </w:r>
      <w:r>
        <w:tab/>
        <w:t>Terms used</w:t>
      </w:r>
      <w:bookmarkEnd w:id="22"/>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3" w:name="_Toc469996900"/>
      <w:r>
        <w:rPr>
          <w:rStyle w:val="CharSectno"/>
        </w:rPr>
        <w:t>8</w:t>
      </w:r>
      <w:r>
        <w:t>.</w:t>
      </w:r>
      <w:r>
        <w:tab/>
        <w:t>Records</w:t>
      </w:r>
      <w:bookmarkEnd w:id="23"/>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4" w:name="_Toc469996901"/>
      <w:r>
        <w:rPr>
          <w:rStyle w:val="CharSectno"/>
        </w:rPr>
        <w:t>9</w:t>
      </w:r>
      <w:r>
        <w:t>.</w:t>
      </w:r>
      <w:r>
        <w:tab/>
        <w:t>Drill cores</w:t>
      </w:r>
      <w:bookmarkEnd w:id="2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5" w:name="_Toc469996902"/>
      <w:r>
        <w:rPr>
          <w:rStyle w:val="CharSectno"/>
        </w:rPr>
        <w:t>10</w:t>
      </w:r>
      <w:r>
        <w:t>.</w:t>
      </w:r>
      <w:r>
        <w:tab/>
        <w:t>Testing and analysis of samples</w:t>
      </w:r>
      <w:bookmarkEnd w:id="25"/>
    </w:p>
    <w:p>
      <w:pPr>
        <w:pStyle w:val="Subsection"/>
      </w:pPr>
      <w:r>
        <w:tab/>
      </w:r>
      <w:r>
        <w:tab/>
        <w:t>The Minister or an inspector may test or analyse a sample given to the Minister or inspector under section 371.</w:t>
      </w:r>
    </w:p>
    <w:p>
      <w:pPr>
        <w:pStyle w:val="Heading2"/>
      </w:pPr>
      <w:bookmarkStart w:id="26" w:name="_Toc465774442"/>
      <w:bookmarkStart w:id="27" w:name="_Toc466281951"/>
      <w:bookmarkStart w:id="28" w:name="_Toc469996903"/>
      <w:r>
        <w:rPr>
          <w:rStyle w:val="CharPartNo"/>
        </w:rPr>
        <w:t>Part 5</w:t>
      </w:r>
      <w:r>
        <w:rPr>
          <w:rStyle w:val="CharDivNo"/>
        </w:rPr>
        <w:t> </w:t>
      </w:r>
      <w:r>
        <w:t>—</w:t>
      </w:r>
      <w:r>
        <w:rPr>
          <w:rStyle w:val="CharDivText"/>
        </w:rPr>
        <w:t> </w:t>
      </w:r>
      <w:r>
        <w:rPr>
          <w:rStyle w:val="CharPartText"/>
        </w:rPr>
        <w:t>Restoration of environment</w:t>
      </w:r>
      <w:bookmarkEnd w:id="26"/>
      <w:bookmarkEnd w:id="27"/>
      <w:bookmarkEnd w:id="28"/>
    </w:p>
    <w:p>
      <w:pPr>
        <w:pStyle w:val="Heading5"/>
      </w:pPr>
      <w:bookmarkStart w:id="29" w:name="_Toc469996904"/>
      <w:r>
        <w:rPr>
          <w:rStyle w:val="CharSectno"/>
        </w:rPr>
        <w:t>11</w:t>
      </w:r>
      <w:r>
        <w:t>.</w:t>
      </w:r>
      <w:r>
        <w:tab/>
        <w:t>Terms used</w:t>
      </w:r>
      <w:bookmarkEnd w:id="2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0" w:name="_Toc469996905"/>
      <w:r>
        <w:rPr>
          <w:rStyle w:val="CharSectno"/>
        </w:rPr>
        <w:t>12</w:t>
      </w:r>
      <w:r>
        <w:t>.</w:t>
      </w:r>
      <w:r>
        <w:tab/>
        <w:t>Removal of unused mining property</w:t>
      </w:r>
      <w:bookmarkEnd w:id="3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1" w:name="_Toc469996906"/>
      <w:r>
        <w:rPr>
          <w:rStyle w:val="CharSectno"/>
        </w:rPr>
        <w:t>13</w:t>
      </w:r>
      <w:r>
        <w:t>.</w:t>
      </w:r>
      <w:r>
        <w:tab/>
        <w:t>Disposal of unused mining property</w:t>
      </w:r>
      <w:bookmarkEnd w:id="3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2" w:name="_Toc469996907"/>
      <w:r>
        <w:rPr>
          <w:rStyle w:val="CharSectno"/>
        </w:rPr>
        <w:t>14</w:t>
      </w:r>
      <w:r>
        <w:t>.</w:t>
      </w:r>
      <w:r>
        <w:tab/>
        <w:t>Direction to rehabilitate mining area</w:t>
      </w:r>
      <w:bookmarkEnd w:id="3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3" w:name="_Toc465774447"/>
      <w:bookmarkStart w:id="34" w:name="_Toc466281956"/>
      <w:bookmarkStart w:id="35" w:name="_Toc469996908"/>
      <w:r>
        <w:rPr>
          <w:rStyle w:val="CharPartNo"/>
        </w:rPr>
        <w:t>Part 6</w:t>
      </w:r>
      <w:r>
        <w:rPr>
          <w:rStyle w:val="CharDivNo"/>
        </w:rPr>
        <w:t> </w:t>
      </w:r>
      <w:r>
        <w:t>—</w:t>
      </w:r>
      <w:r>
        <w:rPr>
          <w:rStyle w:val="CharDivText"/>
        </w:rPr>
        <w:t> </w:t>
      </w:r>
      <w:r>
        <w:rPr>
          <w:rStyle w:val="CharPartText"/>
        </w:rPr>
        <w:t>Miscellaneous</w:t>
      </w:r>
      <w:bookmarkEnd w:id="33"/>
      <w:bookmarkEnd w:id="34"/>
      <w:bookmarkEnd w:id="35"/>
    </w:p>
    <w:p>
      <w:pPr>
        <w:pStyle w:val="Heading5"/>
      </w:pPr>
      <w:bookmarkStart w:id="36" w:name="_Toc469996909"/>
      <w:r>
        <w:rPr>
          <w:rStyle w:val="CharSectno"/>
        </w:rPr>
        <w:t>15</w:t>
      </w:r>
      <w:r>
        <w:t>.</w:t>
      </w:r>
      <w:r>
        <w:tab/>
        <w:t>Maps</w:t>
      </w:r>
      <w:bookmarkEnd w:id="3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7" w:name="_Toc469996910"/>
      <w:r>
        <w:rPr>
          <w:rStyle w:val="CharSectno"/>
        </w:rPr>
        <w:t>16</w:t>
      </w:r>
      <w:r>
        <w:t>.</w:t>
      </w:r>
      <w:r>
        <w:tab/>
        <w:t>Notice of caveat</w:t>
      </w:r>
      <w:bookmarkEnd w:id="37"/>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8" w:name="_Toc469996911"/>
      <w:r>
        <w:rPr>
          <w:rStyle w:val="CharSectno"/>
        </w:rPr>
        <w:t>17</w:t>
      </w:r>
      <w:r>
        <w:t>.</w:t>
      </w:r>
      <w:r>
        <w:tab/>
        <w:t>Copies of documents</w:t>
      </w:r>
      <w:bookmarkEnd w:id="38"/>
    </w:p>
    <w:p>
      <w:pPr>
        <w:pStyle w:val="Subsection"/>
      </w:pPr>
      <w:r>
        <w:tab/>
      </w:r>
      <w:r>
        <w:tab/>
        <w:t>The Minister or an inspector may take a copy of a document produced to the Minister or inspector under section 370.</w:t>
      </w:r>
    </w:p>
    <w:p>
      <w:pPr>
        <w:pStyle w:val="Heading5"/>
      </w:pPr>
      <w:bookmarkStart w:id="39" w:name="_Toc469996912"/>
      <w:r>
        <w:rPr>
          <w:rStyle w:val="CharSectno"/>
        </w:rPr>
        <w:t>18</w:t>
      </w:r>
      <w:r>
        <w:t>.</w:t>
      </w:r>
      <w:r>
        <w:tab/>
        <w:t>Discharge of security</w:t>
      </w:r>
      <w:bookmarkEnd w:id="3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40" w:name="_Toc469996913"/>
      <w:r>
        <w:rPr>
          <w:rStyle w:val="CharSectno"/>
        </w:rPr>
        <w:t>19</w:t>
      </w:r>
      <w:r>
        <w:t>.</w:t>
      </w:r>
      <w:r>
        <w:tab/>
        <w:t>Licence fees (s. 425(2))</w:t>
      </w:r>
      <w:bookmarkEnd w:id="4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1" w:name="_Toc469996914"/>
      <w:r>
        <w:rPr>
          <w:rStyle w:val="CharSectno"/>
        </w:rPr>
        <w:t>20</w:t>
      </w:r>
      <w:r>
        <w:t>.</w:t>
      </w:r>
      <w:r>
        <w:tab/>
        <w:t>Other fees</w:t>
      </w:r>
      <w:bookmarkEnd w:id="41"/>
    </w:p>
    <w:p>
      <w:pPr>
        <w:pStyle w:val="Subsection"/>
      </w:pPr>
      <w:r>
        <w:tab/>
      </w:r>
      <w:r>
        <w:tab/>
        <w:t>The fees specified in Schedule 2 are the fees prescribed in respect of the matters specified in that Schedule.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465774454"/>
      <w:bookmarkStart w:id="43" w:name="_Toc466281963"/>
      <w:bookmarkStart w:id="44" w:name="_Toc469996915"/>
      <w:r>
        <w:rPr>
          <w:rStyle w:val="CharSchNo"/>
        </w:rPr>
        <w:t>Schedule 1</w:t>
      </w:r>
      <w:r>
        <w:rPr>
          <w:rStyle w:val="CharSDivNo"/>
        </w:rPr>
        <w:t> </w:t>
      </w:r>
      <w:r>
        <w:t>—</w:t>
      </w:r>
      <w:r>
        <w:rPr>
          <w:rStyle w:val="CharSDivText"/>
        </w:rPr>
        <w:t> </w:t>
      </w:r>
      <w:r>
        <w:rPr>
          <w:rStyle w:val="CharSchText"/>
        </w:rPr>
        <w:t>Australian Fiducial Network geodetic stations</w:t>
      </w:r>
      <w:bookmarkEnd w:id="42"/>
      <w:bookmarkEnd w:id="43"/>
      <w:bookmarkEnd w:id="4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5" w:name="_Toc465774455"/>
      <w:bookmarkStart w:id="46" w:name="_Toc466281964"/>
      <w:bookmarkStart w:id="47" w:name="_Toc469996916"/>
      <w:r>
        <w:rPr>
          <w:rStyle w:val="CharSchNo"/>
        </w:rPr>
        <w:t>Schedule 2</w:t>
      </w:r>
      <w:r>
        <w:rPr>
          <w:rStyle w:val="CharSDivNo"/>
        </w:rPr>
        <w:t> </w:t>
      </w:r>
      <w:r>
        <w:t>—</w:t>
      </w:r>
      <w:r>
        <w:rPr>
          <w:rStyle w:val="CharSDivText"/>
        </w:rPr>
        <w:t> </w:t>
      </w:r>
      <w:r>
        <w:rPr>
          <w:rStyle w:val="CharSchText"/>
        </w:rPr>
        <w:t>Fees</w:t>
      </w:r>
      <w:bookmarkEnd w:id="45"/>
      <w:bookmarkEnd w:id="46"/>
      <w:bookmarkEnd w:id="47"/>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22.30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55.80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139.45</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139.45</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139.45</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5.60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5.60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55.80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139.45</w:t>
            </w:r>
          </w:p>
        </w:tc>
      </w:tr>
    </w:tbl>
    <w:p>
      <w:pPr>
        <w:pStyle w:val="yFootnotesection"/>
      </w:pPr>
      <w:r>
        <w:tab/>
        <w:t>[Schedule 2 inserted in Gazette 22 Jun 2012 p. 2796; amended in Gazette 26 Jul 2013 p. 3355-6; 20 Jun 2014 p. 2039; 26 Jun 2015 p. 2256</w:t>
      </w:r>
      <w:r>
        <w:noBreakHyphen/>
        <w:t>7; 24 Jun 2016 p. 2338.]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49" w:name="_Toc465774456"/>
      <w:bookmarkStart w:id="50" w:name="_Toc466281965"/>
      <w:bookmarkStart w:id="51" w:name="_Toc469996917"/>
      <w:r>
        <w:t>Notes</w:t>
      </w:r>
      <w:bookmarkEnd w:id="49"/>
      <w:bookmarkEnd w:id="50"/>
      <w:bookmarkEnd w:id="51"/>
    </w:p>
    <w:p>
      <w:pPr>
        <w:pStyle w:val="nSubsection"/>
      </w:pPr>
      <w:r>
        <w:rPr>
          <w:vertAlign w:val="superscript"/>
        </w:rPr>
        <w:t>1</w:t>
      </w:r>
      <w:r>
        <w:tab/>
        <w:t xml:space="preserve">This reprint is a compilation as at 10 February 2017 of the </w:t>
      </w:r>
      <w:r>
        <w:rPr>
          <w:i/>
          <w:noProof/>
        </w:rPr>
        <w:t>Offshore Minerals Regulations 2010</w:t>
      </w:r>
      <w:r>
        <w:t xml:space="preserve"> and includes the amendments made by the other written laws referred to in the following table.  The table also contains information about any reprint.</w:t>
      </w:r>
    </w:p>
    <w:p>
      <w:pPr>
        <w:pStyle w:val="nHeading3"/>
      </w:pPr>
      <w:bookmarkStart w:id="52" w:name="_Toc469996918"/>
      <w:r>
        <w:t>Compilation table</w:t>
      </w:r>
      <w:bookmarkEnd w:id="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4" w:name="_Toc465774458"/>
      <w:bookmarkStart w:id="55" w:name="_Toc466281967"/>
      <w:bookmarkStart w:id="56" w:name="_Toc469996919"/>
      <w:r>
        <w:rPr>
          <w:sz w:val="28"/>
        </w:rPr>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2843</Words>
  <Characters>13850</Characters>
  <Application>Microsoft Office Word</Application>
  <DocSecurity>0</DocSecurity>
  <Lines>554</Lines>
  <Paragraphs>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2010 - 01-a0-00</dc:title>
  <dc:subject/>
  <dc:creator/>
  <cp:keywords/>
  <dc:description/>
  <cp:lastModifiedBy>svcMRProcess</cp:lastModifiedBy>
  <cp:revision>4</cp:revision>
  <cp:lastPrinted>2017-02-13T07:38:00Z</cp:lastPrinted>
  <dcterms:created xsi:type="dcterms:W3CDTF">2017-02-22T03:03:00Z</dcterms:created>
  <dcterms:modified xsi:type="dcterms:W3CDTF">2017-02-22T03:03:00Z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10 Feb 2017</vt:lpwstr>
  </property>
  <property fmtid="{D5CDD505-2E9C-101B-9397-08002B2CF9AE}" pid="8" name="Suffix">
    <vt:lpwstr>01-a0-00</vt:lpwstr>
  </property>
  <property fmtid="{D5CDD505-2E9C-101B-9397-08002B2CF9AE}" pid="9" name="CommencementDate">
    <vt:lpwstr>20170210</vt:lpwstr>
  </property>
</Properties>
</file>