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February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_Toc475545967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_Toc475545968 \h </w:instrText>
      </w:r>
      <w:r>
        <w:fldChar w:fldCharType="separate"/>
      </w:r>
      <w:r>
        <w:t>1</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_Toc475545969 \h </w:instrText>
      </w:r>
      <w:r>
        <w:fldChar w:fldCharType="separate"/>
      </w:r>
      <w:r>
        <w:t>1</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_Toc475545970 \h </w:instrText>
      </w:r>
      <w:r>
        <w:fldChar w:fldCharType="separate"/>
      </w:r>
      <w:r>
        <w:t>1</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_Toc475545971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_Toc475545972 \h </w:instrText>
      </w:r>
      <w:r>
        <w:fldChar w:fldCharType="separate"/>
      </w:r>
      <w:r>
        <w:t>2</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_Toc475545973 \h </w:instrText>
      </w:r>
      <w:r>
        <w:fldChar w:fldCharType="separate"/>
      </w:r>
      <w:r>
        <w:t>2</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_Toc475545974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_Toc475545975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_Toc475545976 \h </w:instrText>
      </w:r>
      <w:r>
        <w:fldChar w:fldCharType="separate"/>
      </w:r>
      <w:r>
        <w:t>3</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_Toc475545977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_Toc475545980 \h </w:instrText>
      </w:r>
      <w:r>
        <w:fldChar w:fldCharType="separate"/>
      </w:r>
      <w:r>
        <w:t>5</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_Toc475545981 \h </w:instrText>
      </w:r>
      <w:r>
        <w:fldChar w:fldCharType="separate"/>
      </w:r>
      <w:r>
        <w:t>6</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_Toc475545982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_Toc475545985 \h </w:instrText>
      </w:r>
      <w:r>
        <w:fldChar w:fldCharType="separate"/>
      </w:r>
      <w:r>
        <w:t>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(additional residence requirement NDIS rule 4.1(c))</w:t>
      </w:r>
      <w:r>
        <w:tab/>
      </w:r>
      <w:r>
        <w:fldChar w:fldCharType="begin"/>
      </w:r>
      <w:r>
        <w:instrText xml:space="preserve"> PAGEREF _Toc475545987 \h </w:instrText>
      </w:r>
      <w:r>
        <w:fldChar w:fldCharType="separate"/>
      </w:r>
      <w:r>
        <w:t>7</w:t>
      </w:r>
      <w:r>
        <w:fldChar w:fldCharType="end"/>
      </w:r>
    </w:p>
    <w:p>
      <w:pPr>
        <w:pStyle w:val="TOC8"/>
        <w:rPr>
          <w:rFonts w:asciiTheme="minorHAnsi" w:eastAsiaTheme="minorEastAsia" w:hAnsiTheme="minorHAnsi" w:cstheme="minorBidi"/>
          <w:szCs w:val="22"/>
        </w:rPr>
      </w:pPr>
      <w:r>
        <w:t>16.</w:t>
      </w:r>
      <w:r>
        <w:tab/>
        <w:t xml:space="preserve">Qualifying residence requirement (additional residence requirement NDIS rules 4.6 </w:t>
      </w:r>
      <w:r>
        <w:noBreakHyphen/>
        <w:t xml:space="preserve"> 4.8)</w:t>
      </w:r>
      <w:r>
        <w:tab/>
      </w:r>
      <w:r>
        <w:fldChar w:fldCharType="begin"/>
      </w:r>
      <w:r>
        <w:instrText xml:space="preserve"> PAGEREF _Toc475545988 \h </w:instrText>
      </w:r>
      <w:r>
        <w:fldChar w:fldCharType="separate"/>
      </w:r>
      <w:r>
        <w:t>7</w:t>
      </w:r>
      <w:r>
        <w:fldChar w:fldCharType="end"/>
      </w:r>
    </w:p>
    <w:p>
      <w:pPr>
        <w:pStyle w:val="TOC8"/>
        <w:rPr>
          <w:rFonts w:asciiTheme="minorHAnsi" w:eastAsiaTheme="minorEastAsia" w:hAnsiTheme="minorHAnsi" w:cstheme="minorBidi"/>
          <w:szCs w:val="22"/>
        </w:rPr>
      </w:pPr>
      <w:r>
        <w:t>17.</w:t>
      </w:r>
      <w:r>
        <w:tab/>
        <w:t>Ongoing residence requirement to be met (additional residence requirement NDIS rule 4.1(c))</w:t>
      </w:r>
      <w:r>
        <w:tab/>
      </w:r>
      <w:r>
        <w:fldChar w:fldCharType="begin"/>
      </w:r>
      <w:r>
        <w:instrText xml:space="preserve"> PAGEREF _Toc475545989 \h </w:instrText>
      </w:r>
      <w:r>
        <w:fldChar w:fldCharType="separate"/>
      </w:r>
      <w:r>
        <w:t>11</w:t>
      </w:r>
      <w:r>
        <w:fldChar w:fldCharType="end"/>
      </w:r>
    </w:p>
    <w:p>
      <w:pPr>
        <w:pStyle w:val="TOC8"/>
        <w:rPr>
          <w:rFonts w:asciiTheme="minorHAnsi" w:eastAsiaTheme="minorEastAsia" w:hAnsiTheme="minorHAnsi" w:cstheme="minorBidi"/>
          <w:szCs w:val="22"/>
        </w:rPr>
      </w:pPr>
      <w:r>
        <w:t>18.</w:t>
      </w:r>
      <w:r>
        <w:tab/>
        <w:t xml:space="preserve">Ongoing residence requirement (additional residence requirement NDIS rules 4.9 </w:t>
      </w:r>
      <w:r>
        <w:noBreakHyphen/>
        <w:t xml:space="preserve"> 4.11)</w:t>
      </w:r>
      <w:r>
        <w:tab/>
      </w:r>
      <w:r>
        <w:fldChar w:fldCharType="begin"/>
      </w:r>
      <w:r>
        <w:instrText xml:space="preserve"> PAGEREF _Toc475545990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_Toc475545992 \h </w:instrText>
      </w:r>
      <w:r>
        <w:fldChar w:fldCharType="separate"/>
      </w:r>
      <w:r>
        <w:t>11</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_Toc475545993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_Toc475545995 \h </w:instrText>
      </w:r>
      <w:r>
        <w:fldChar w:fldCharType="separate"/>
      </w:r>
      <w:r>
        <w:t>13</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_Toc475545996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_Toc475545998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_Toc475546001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_Toc475546003 \h </w:instrText>
      </w:r>
      <w:r>
        <w:fldChar w:fldCharType="separate"/>
      </w:r>
      <w:r>
        <w:t>16</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_Toc475546004 \h </w:instrText>
      </w:r>
      <w:r>
        <w:fldChar w:fldCharType="separate"/>
      </w:r>
      <w:r>
        <w:t>17</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_Toc475546005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_Toc475546007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_Toc475546010 \h </w:instrText>
      </w:r>
      <w:r>
        <w:fldChar w:fldCharType="separate"/>
      </w:r>
      <w:r>
        <w:t>20</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_Toc475546011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_Toc475546013 \h </w:instrText>
      </w:r>
      <w:r>
        <w:fldChar w:fldCharType="separate"/>
      </w:r>
      <w:r>
        <w:t>21</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_Toc475546014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_Toc475546016 \h </w:instrText>
      </w:r>
      <w:r>
        <w:fldChar w:fldCharType="separate"/>
      </w:r>
      <w:r>
        <w:t>23</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_Toc475546017 \h </w:instrText>
      </w:r>
      <w:r>
        <w:fldChar w:fldCharType="separate"/>
      </w:r>
      <w:r>
        <w:t>24</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_Toc475546018 \h </w:instrText>
      </w:r>
      <w:r>
        <w:fldChar w:fldCharType="separate"/>
      </w:r>
      <w:r>
        <w:t>24</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_Toc475546019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_Toc475546021 \h </w:instrText>
      </w:r>
      <w:r>
        <w:fldChar w:fldCharType="separate"/>
      </w:r>
      <w:r>
        <w:t>25</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_Toc475546022 \h </w:instrText>
      </w:r>
      <w:r>
        <w:fldChar w:fldCharType="separate"/>
      </w:r>
      <w:r>
        <w:t>25</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_Toc475546023 \h </w:instrText>
      </w:r>
      <w:r>
        <w:fldChar w:fldCharType="separate"/>
      </w:r>
      <w:r>
        <w:t>28</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_Toc475546024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41.</w:t>
      </w:r>
      <w:r>
        <w:tab/>
        <w:t>Return of complaints received (s. 48A)</w:t>
      </w:r>
      <w:r>
        <w:tab/>
      </w:r>
      <w:r>
        <w:fldChar w:fldCharType="begin"/>
      </w:r>
      <w:r>
        <w:instrText xml:space="preserve"> PAGEREF _Toc475546026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Schedule 4 — Prescribed service providers and complaint returns</w:t>
      </w:r>
    </w:p>
    <w:p>
      <w:pPr>
        <w:pStyle w:val="TOC4"/>
        <w:tabs>
          <w:tab w:val="right" w:leader="dot" w:pos="7077"/>
        </w:tabs>
        <w:rPr>
          <w:rFonts w:asciiTheme="minorHAnsi" w:eastAsiaTheme="minorEastAsia" w:hAnsiTheme="minorHAnsi" w:cstheme="minorBidi"/>
          <w:b w:val="0"/>
          <w:szCs w:val="22"/>
        </w:rPr>
      </w:pPr>
      <w:r>
        <w:t>Division 1 — Service providers</w:t>
      </w:r>
    </w:p>
    <w:p>
      <w:pPr>
        <w:pStyle w:val="TOC4"/>
        <w:tabs>
          <w:tab w:val="right" w:leader="dot" w:pos="7077"/>
        </w:tabs>
        <w:rPr>
          <w:rFonts w:asciiTheme="minorHAnsi" w:eastAsiaTheme="minorEastAsia" w:hAnsiTheme="minorHAnsi" w:cstheme="minorBidi"/>
          <w:b w:val="0"/>
          <w:szCs w:val="22"/>
        </w:rPr>
      </w:pPr>
      <w:r>
        <w:t>Division 2 — Form of complaint return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_Toc475546034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February 2017</w:t>
            </w:r>
          </w:p>
        </w:tc>
      </w:tr>
    </w:tbl>
    <w:p>
      <w:pPr>
        <w:pStyle w:val="WA"/>
        <w:spacing w:before="12"/>
      </w:pPr>
      <w:r>
        <w:t>Western Australia</w:t>
      </w:r>
    </w:p>
    <w:p>
      <w:pPr>
        <w:pStyle w:val="PrincipalActReg"/>
      </w:pPr>
      <w:r>
        <w:t>Disability Services Act 1993</w:t>
      </w:r>
    </w:p>
    <w:p>
      <w:pPr>
        <w:pStyle w:val="NameofActReg"/>
      </w:pPr>
      <w:r>
        <w:t>Disability Services Regulations 2004</w:t>
      </w:r>
    </w:p>
    <w:p>
      <w:pPr>
        <w:pStyle w:val="Heading2"/>
        <w:pageBreakBefore w:val="0"/>
      </w:pPr>
      <w:bookmarkStart w:id="3" w:name="_Toc462824001"/>
      <w:bookmarkStart w:id="4" w:name="_Toc462824855"/>
      <w:bookmarkStart w:id="5" w:name="_Toc472608255"/>
      <w:bookmarkStart w:id="6" w:name="_Toc475545966"/>
      <w:r>
        <w:rPr>
          <w:rStyle w:val="CharPartNo"/>
        </w:rPr>
        <w:t>Part 1</w:t>
      </w:r>
      <w:r>
        <w:rPr>
          <w:rStyle w:val="CharDivNo"/>
        </w:rPr>
        <w:t> </w:t>
      </w:r>
      <w:r>
        <w:t>—</w:t>
      </w:r>
      <w:r>
        <w:rPr>
          <w:rStyle w:val="CharDivText"/>
        </w:rPr>
        <w:t> </w:t>
      </w:r>
      <w:r>
        <w:rPr>
          <w:rStyle w:val="CharPartText"/>
        </w:rPr>
        <w:t>General</w:t>
      </w:r>
      <w:bookmarkEnd w:id="3"/>
      <w:bookmarkEnd w:id="4"/>
      <w:bookmarkEnd w:id="5"/>
      <w:bookmarkEnd w:id="6"/>
    </w:p>
    <w:p>
      <w:pPr>
        <w:pStyle w:val="Footnoteheading"/>
      </w:pPr>
      <w:r>
        <w:tab/>
        <w:t>[Heading inserted in Gazette 30 Jun 2014 p. 2394.]</w:t>
      </w:r>
    </w:p>
    <w:p>
      <w:pPr>
        <w:pStyle w:val="Heading5"/>
      </w:pPr>
      <w:bookmarkStart w:id="7" w:name="_Toc475545967"/>
      <w:r>
        <w:rPr>
          <w:rStyle w:val="CharSectno"/>
        </w:rPr>
        <w:t>1</w:t>
      </w:r>
      <w:r>
        <w:t>.</w:t>
      </w:r>
      <w:r>
        <w:tab/>
        <w:t>Citation</w:t>
      </w:r>
      <w:bookmarkEnd w:id="7"/>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8" w:name="_Toc475545968"/>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9" w:name="_Toc475545969"/>
      <w:r>
        <w:rPr>
          <w:rStyle w:val="CharSectno"/>
        </w:rPr>
        <w:t>3</w:t>
      </w:r>
      <w:r>
        <w:t>.</w:t>
      </w:r>
      <w:r>
        <w:tab/>
        <w:t>Nominations for Board membership (s. 7)</w:t>
      </w:r>
      <w:bookmarkEnd w:id="9"/>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0" w:name="_Toc475545970"/>
      <w:r>
        <w:rPr>
          <w:rStyle w:val="CharSectno"/>
        </w:rPr>
        <w:t>4A</w:t>
      </w:r>
      <w:r>
        <w:t>.</w:t>
      </w:r>
      <w:r>
        <w:tab/>
        <w:t>Disability Service Standards (s. 12)</w:t>
      </w:r>
      <w:bookmarkEnd w:id="10"/>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1" w:name="_Toc475545971"/>
      <w:r>
        <w:rPr>
          <w:rStyle w:val="CharSectno"/>
        </w:rPr>
        <w:t>4</w:t>
      </w:r>
      <w:r>
        <w:t>.</w:t>
      </w:r>
      <w:r>
        <w:tab/>
        <w:t>Nominations for Council membership (s. 22)</w:t>
      </w:r>
      <w:bookmarkEnd w:id="11"/>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2" w:name="_Toc475545972"/>
      <w:r>
        <w:rPr>
          <w:rStyle w:val="CharSectno"/>
        </w:rPr>
        <w:t>5</w:t>
      </w:r>
      <w:r>
        <w:t>.</w:t>
      </w:r>
      <w:r>
        <w:tab/>
        <w:t>Procedure for public consultation by Council (s. 23)</w:t>
      </w:r>
      <w:bookmarkEnd w:id="12"/>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13" w:name="_Toc475545973"/>
      <w:r>
        <w:rPr>
          <w:rStyle w:val="CharSectno"/>
        </w:rPr>
        <w:t>6</w:t>
      </w:r>
      <w:r>
        <w:t>.</w:t>
      </w:r>
      <w:r>
        <w:tab/>
        <w:t>Public authorities to which Part 5 does not apply (s. 27)</w:t>
      </w:r>
      <w:bookmarkEnd w:id="13"/>
    </w:p>
    <w:p>
      <w:pPr>
        <w:pStyle w:val="Subsection"/>
      </w:pPr>
      <w:r>
        <w:tab/>
      </w:r>
      <w:r>
        <w:tab/>
        <w:t>Part 5 of the Act does not apply to any public authority except to a public authority specified in Schedule 1.</w:t>
      </w:r>
    </w:p>
    <w:p>
      <w:pPr>
        <w:pStyle w:val="Heading5"/>
      </w:pPr>
      <w:bookmarkStart w:id="14" w:name="_Toc475545974"/>
      <w:r>
        <w:rPr>
          <w:rStyle w:val="CharSectno"/>
        </w:rPr>
        <w:t>7</w:t>
      </w:r>
      <w:r>
        <w:t>.</w:t>
      </w:r>
      <w:r>
        <w:tab/>
        <w:t>Standards for disability access and inclusion plans (s. 28)</w:t>
      </w:r>
      <w:bookmarkEnd w:id="14"/>
    </w:p>
    <w:p>
      <w:pPr>
        <w:pStyle w:val="Subsection"/>
      </w:pPr>
      <w:r>
        <w:tab/>
      </w:r>
      <w:r>
        <w:tab/>
        <w:t>For the purposes of section 28(5) of the Act, the standards that a disability access and inclusion plan must meet are those specified in Schedule 2.</w:t>
      </w:r>
    </w:p>
    <w:p>
      <w:pPr>
        <w:pStyle w:val="Heading5"/>
      </w:pPr>
      <w:bookmarkStart w:id="15" w:name="_Toc475545975"/>
      <w:r>
        <w:rPr>
          <w:rStyle w:val="CharSectno"/>
        </w:rPr>
        <w:t>8</w:t>
      </w:r>
      <w:r>
        <w:t>.</w:t>
      </w:r>
      <w:r>
        <w:tab/>
        <w:t>Information in reports about disability access and inclusion plans (s. 29)</w:t>
      </w:r>
      <w:bookmarkEnd w:id="15"/>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6" w:name="_Toc475545976"/>
      <w:r>
        <w:rPr>
          <w:rStyle w:val="CharSectno"/>
        </w:rPr>
        <w:t>9</w:t>
      </w:r>
      <w:r>
        <w:t>.</w:t>
      </w:r>
      <w:r>
        <w:tab/>
        <w:t>Publication of disability access and inclusion plans (s. 29A)</w:t>
      </w:r>
      <w:bookmarkEnd w:id="16"/>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17" w:name="_Toc475545977"/>
      <w:r>
        <w:rPr>
          <w:rStyle w:val="CharSectno"/>
        </w:rPr>
        <w:t>10</w:t>
      </w:r>
      <w:r>
        <w:t>.</w:t>
      </w:r>
      <w:r>
        <w:tab/>
        <w:t>Procedure for public consultation by authorities (s. 28)</w:t>
      </w:r>
      <w:bookmarkEnd w:id="17"/>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18" w:name="_Toc462824013"/>
      <w:bookmarkStart w:id="19" w:name="_Toc462824867"/>
      <w:bookmarkStart w:id="20" w:name="_Toc472608267"/>
      <w:bookmarkStart w:id="21" w:name="_Toc475545978"/>
      <w:r>
        <w:rPr>
          <w:rStyle w:val="CharPartNo"/>
        </w:rPr>
        <w:t>Part 2</w:t>
      </w:r>
      <w:r>
        <w:rPr>
          <w:b w:val="0"/>
        </w:rPr>
        <w:t> </w:t>
      </w:r>
      <w:r>
        <w:t>—</w:t>
      </w:r>
      <w:r>
        <w:rPr>
          <w:b w:val="0"/>
        </w:rPr>
        <w:t> </w:t>
      </w:r>
      <w:r>
        <w:rPr>
          <w:rStyle w:val="CharPartText"/>
        </w:rPr>
        <w:t>Trial of disability services model</w:t>
      </w:r>
      <w:bookmarkEnd w:id="18"/>
      <w:bookmarkEnd w:id="19"/>
      <w:bookmarkEnd w:id="20"/>
      <w:bookmarkEnd w:id="21"/>
    </w:p>
    <w:p>
      <w:pPr>
        <w:pStyle w:val="Footnoteheading"/>
      </w:pPr>
      <w:r>
        <w:tab/>
        <w:t>[Heading inserted in Gazette 30 Jun 2014 p. 2395.]</w:t>
      </w:r>
    </w:p>
    <w:p>
      <w:pPr>
        <w:pStyle w:val="Heading3"/>
      </w:pPr>
      <w:bookmarkStart w:id="22" w:name="_Toc462824014"/>
      <w:bookmarkStart w:id="23" w:name="_Toc462824868"/>
      <w:bookmarkStart w:id="24" w:name="_Toc472608268"/>
      <w:bookmarkStart w:id="25" w:name="_Toc475545979"/>
      <w:r>
        <w:rPr>
          <w:rStyle w:val="CharDivNo"/>
        </w:rPr>
        <w:t>Division 1</w:t>
      </w:r>
      <w:r>
        <w:t> — </w:t>
      </w:r>
      <w:r>
        <w:rPr>
          <w:rStyle w:val="CharDivText"/>
        </w:rPr>
        <w:t>General</w:t>
      </w:r>
      <w:bookmarkEnd w:id="22"/>
      <w:bookmarkEnd w:id="23"/>
      <w:bookmarkEnd w:id="24"/>
      <w:bookmarkEnd w:id="25"/>
    </w:p>
    <w:p>
      <w:pPr>
        <w:pStyle w:val="Footnoteheading"/>
      </w:pPr>
      <w:r>
        <w:tab/>
        <w:t>[Heading inserted in Gazette 30 Jun 2014 p. 2395.]</w:t>
      </w:r>
    </w:p>
    <w:p>
      <w:pPr>
        <w:pStyle w:val="Heading5"/>
      </w:pPr>
      <w:bookmarkStart w:id="26" w:name="_Toc475545980"/>
      <w:r>
        <w:rPr>
          <w:rStyle w:val="CharSectno"/>
        </w:rPr>
        <w:t>11</w:t>
      </w:r>
      <w:r>
        <w:t>.</w:t>
      </w:r>
      <w:r>
        <w:tab/>
        <w:t>Terms used</w:t>
      </w:r>
      <w:bookmarkEnd w:id="26"/>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 30 Dec 2016 p. 5970.]</w:t>
      </w:r>
    </w:p>
    <w:p>
      <w:pPr>
        <w:pStyle w:val="Heading5"/>
      </w:pPr>
      <w:bookmarkStart w:id="27" w:name="_Toc475545981"/>
      <w:r>
        <w:rPr>
          <w:rStyle w:val="CharSectno"/>
        </w:rPr>
        <w:t>12</w:t>
      </w:r>
      <w:r>
        <w:t>.</w:t>
      </w:r>
      <w:r>
        <w:tab/>
        <w:t>Trial areas and periods (s. 26G)</w:t>
      </w:r>
      <w:bookmarkEnd w:id="27"/>
    </w:p>
    <w:p>
      <w:pPr>
        <w:pStyle w:val="Subsection"/>
      </w:pPr>
      <w:r>
        <w:tab/>
        <w:t>(1)</w:t>
      </w:r>
      <w:r>
        <w:tab/>
        <w:t>For the purposes of section 26G(1) of the Act, the Lower South West area, the Cockburn</w:t>
      </w:r>
      <w:r>
        <w:noBreakHyphen/>
        <w:t>Kwinana area, the Ranges area and the 2017 expansion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Subsection"/>
      </w:pPr>
      <w:r>
        <w:tab/>
        <w:t>(5)</w:t>
      </w:r>
      <w:r>
        <w:tab/>
        <w:t>For the purposes of section 26G(3) of the Act, the trial period for the 2017 expansion area begins on 1 January 2017 and ends on 30 June 2017.</w:t>
      </w:r>
    </w:p>
    <w:p>
      <w:pPr>
        <w:pStyle w:val="Footnotesection"/>
      </w:pPr>
      <w:r>
        <w:tab/>
        <w:t>[Regulation 12 inserted in Gazette 30 Jun 2014 p. 2396; amended in Gazette 14 Jun 2016 p. 1821; 30 Dec 2016 p. 5971.]</w:t>
      </w:r>
    </w:p>
    <w:p>
      <w:pPr>
        <w:pStyle w:val="Heading5"/>
      </w:pPr>
      <w:bookmarkStart w:id="28" w:name="_Toc475545982"/>
      <w:r>
        <w:rPr>
          <w:rStyle w:val="CharSectno"/>
        </w:rPr>
        <w:t>13</w:t>
      </w:r>
      <w:r>
        <w:t>.</w:t>
      </w:r>
      <w:r>
        <w:tab/>
        <w:t>Disclosure of information (s. 52)</w:t>
      </w:r>
      <w:bookmarkEnd w:id="28"/>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ageBreakBefore/>
        <w:spacing w:before="0"/>
      </w:pPr>
      <w:bookmarkStart w:id="29" w:name="_Toc462824018"/>
      <w:bookmarkStart w:id="30" w:name="_Toc462824872"/>
      <w:bookmarkStart w:id="31" w:name="_Toc472608272"/>
      <w:bookmarkStart w:id="32" w:name="_Toc475545983"/>
      <w:r>
        <w:rPr>
          <w:rStyle w:val="CharDivNo"/>
        </w:rPr>
        <w:t>Division 2</w:t>
      </w:r>
      <w:r>
        <w:t> — </w:t>
      </w:r>
      <w:r>
        <w:rPr>
          <w:rStyle w:val="CharDivText"/>
        </w:rPr>
        <w:t>Becoming a participant</w:t>
      </w:r>
      <w:bookmarkEnd w:id="29"/>
      <w:bookmarkEnd w:id="30"/>
      <w:bookmarkEnd w:id="31"/>
      <w:bookmarkEnd w:id="32"/>
      <w:r>
        <w:t xml:space="preserve"> </w:t>
      </w:r>
    </w:p>
    <w:p>
      <w:pPr>
        <w:pStyle w:val="Footnoteheading"/>
      </w:pPr>
      <w:r>
        <w:tab/>
        <w:t>[Heading inserted in Gazette 30 Jun 2014 p. 2396.]</w:t>
      </w:r>
    </w:p>
    <w:p>
      <w:pPr>
        <w:pStyle w:val="Heading4"/>
      </w:pPr>
      <w:bookmarkStart w:id="33" w:name="_Toc462824019"/>
      <w:bookmarkStart w:id="34" w:name="_Toc462824873"/>
      <w:bookmarkStart w:id="35" w:name="_Toc472608273"/>
      <w:bookmarkStart w:id="36" w:name="_Toc475545984"/>
      <w:r>
        <w:t>Subdivision 1 — General</w:t>
      </w:r>
      <w:bookmarkEnd w:id="33"/>
      <w:bookmarkEnd w:id="34"/>
      <w:bookmarkEnd w:id="35"/>
      <w:bookmarkEnd w:id="36"/>
    </w:p>
    <w:p>
      <w:pPr>
        <w:pStyle w:val="Footnoteheading"/>
      </w:pPr>
      <w:r>
        <w:tab/>
        <w:t>[Heading inserted in Gazette 30 Jun 2014 p. 2396.]</w:t>
      </w:r>
    </w:p>
    <w:p>
      <w:pPr>
        <w:pStyle w:val="Heading5"/>
      </w:pPr>
      <w:bookmarkStart w:id="37" w:name="_Toc475545985"/>
      <w:r>
        <w:rPr>
          <w:rStyle w:val="CharSectno"/>
        </w:rPr>
        <w:t>14</w:t>
      </w:r>
      <w:r>
        <w:t>.</w:t>
      </w:r>
      <w:r>
        <w:tab/>
        <w:t>References in regulation headings to comparable Commonwealth rules</w:t>
      </w:r>
      <w:bookmarkEnd w:id="37"/>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38" w:name="_Toc462824021"/>
      <w:bookmarkStart w:id="39" w:name="_Toc462824875"/>
      <w:bookmarkStart w:id="40" w:name="_Toc472608275"/>
      <w:bookmarkStart w:id="41" w:name="_Toc475545986"/>
      <w:r>
        <w:t>Subdivision 2 — Residence requirements</w:t>
      </w:r>
      <w:bookmarkEnd w:id="38"/>
      <w:bookmarkEnd w:id="39"/>
      <w:bookmarkEnd w:id="40"/>
      <w:bookmarkEnd w:id="41"/>
    </w:p>
    <w:p>
      <w:pPr>
        <w:pStyle w:val="Footnoteheading"/>
        <w:keepNext/>
      </w:pPr>
      <w:r>
        <w:tab/>
        <w:t>[Heading inserted in Gazette 30 Jun 2014 p. 2397.]</w:t>
      </w:r>
    </w:p>
    <w:p>
      <w:pPr>
        <w:pStyle w:val="Heading5"/>
      </w:pPr>
      <w:bookmarkStart w:id="42" w:name="_Toc475545987"/>
      <w:r>
        <w:rPr>
          <w:rStyle w:val="CharSectno"/>
        </w:rPr>
        <w:t>15</w:t>
      </w:r>
      <w:r>
        <w:t>.</w:t>
      </w:r>
      <w:r>
        <w:tab/>
        <w:t>Qualifying residence requirement to be met (additional residence requirement NDIS rule 4.1(c))</w:t>
      </w:r>
      <w:bookmarkEnd w:id="42"/>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43" w:name="_Toc475545988"/>
      <w:r>
        <w:rPr>
          <w:rStyle w:val="CharSectno"/>
        </w:rPr>
        <w:t>16</w:t>
      </w:r>
      <w:r>
        <w:t>.</w:t>
      </w:r>
      <w:r>
        <w:tab/>
        <w:t xml:space="preserve">Qualifying residence requirement (additional residence requirement NDIS rules 4.6 </w:t>
      </w:r>
      <w:r>
        <w:noBreakHyphen/>
        <w:t xml:space="preserve"> 4.8)</w:t>
      </w:r>
      <w:bookmarkEnd w:id="43"/>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in Gazette 30 Jun 2014 p. 2397-9; amended in Gazette 14 Jun 2016 p. 1821</w:t>
      </w:r>
      <w:r>
        <w:noBreakHyphen/>
        <w:t>2 and 1823; 30 Dec 2016 p. 5971</w:t>
      </w:r>
      <w:r>
        <w:noBreakHyphen/>
        <w:t>2.]</w:t>
      </w:r>
    </w:p>
    <w:p>
      <w:pPr>
        <w:pStyle w:val="Heading5"/>
        <w:keepNext w:val="0"/>
        <w:keepLines w:val="0"/>
        <w:pageBreakBefore/>
        <w:spacing w:before="0"/>
      </w:pPr>
      <w:bookmarkStart w:id="44" w:name="_Toc475545989"/>
      <w:r>
        <w:rPr>
          <w:rStyle w:val="CharSectno"/>
        </w:rPr>
        <w:t>17</w:t>
      </w:r>
      <w:r>
        <w:t>.</w:t>
      </w:r>
      <w:r>
        <w:tab/>
        <w:t>Ongoing residence requirement to be met (additional residence requirement NDIS rule 4.1(c))</w:t>
      </w:r>
      <w:bookmarkEnd w:id="44"/>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45" w:name="_Toc475545990"/>
      <w:r>
        <w:rPr>
          <w:rStyle w:val="CharSectno"/>
        </w:rPr>
        <w:t>18</w:t>
      </w:r>
      <w:r>
        <w:t>.</w:t>
      </w:r>
      <w:r>
        <w:tab/>
        <w:t xml:space="preserve">Ongoing residence requirement (additional residence requirement NDIS rules 4.9 </w:t>
      </w:r>
      <w:r>
        <w:noBreakHyphen/>
        <w:t xml:space="preserve"> 4.11)</w:t>
      </w:r>
      <w:bookmarkEnd w:id="45"/>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46" w:name="_Toc462824026"/>
      <w:bookmarkStart w:id="47" w:name="_Toc462824880"/>
      <w:bookmarkStart w:id="48" w:name="_Toc472608280"/>
      <w:bookmarkStart w:id="49" w:name="_Toc475545991"/>
      <w:r>
        <w:t>Subdivision 3 — Disability requirements</w:t>
      </w:r>
      <w:bookmarkEnd w:id="46"/>
      <w:bookmarkEnd w:id="47"/>
      <w:bookmarkEnd w:id="48"/>
      <w:bookmarkEnd w:id="49"/>
    </w:p>
    <w:p>
      <w:pPr>
        <w:pStyle w:val="Footnoteheading"/>
      </w:pPr>
      <w:r>
        <w:tab/>
        <w:t>[Heading inserted in Gazette 30 Jun 2014 p. 2400.]</w:t>
      </w:r>
    </w:p>
    <w:p>
      <w:pPr>
        <w:pStyle w:val="Heading5"/>
      </w:pPr>
      <w:bookmarkStart w:id="50" w:name="_Toc475545992"/>
      <w:r>
        <w:rPr>
          <w:rStyle w:val="CharSectno"/>
        </w:rPr>
        <w:t>19</w:t>
      </w:r>
      <w:r>
        <w:t>.</w:t>
      </w:r>
      <w:r>
        <w:tab/>
        <w:t xml:space="preserve">Disability requirement — permanent impairment (NDIS rules 5.4 </w:t>
      </w:r>
      <w:r>
        <w:noBreakHyphen/>
        <w:t xml:space="preserve"> 5.7)</w:t>
      </w:r>
      <w:bookmarkEnd w:id="50"/>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51" w:name="_Toc475545993"/>
      <w:r>
        <w:rPr>
          <w:rStyle w:val="CharSectno"/>
        </w:rPr>
        <w:t>20</w:t>
      </w:r>
      <w:r>
        <w:t>.</w:t>
      </w:r>
      <w:r>
        <w:tab/>
        <w:t>Disability requirement — substantially reduced functional capacity (NDIS rule 5.8)</w:t>
      </w:r>
      <w:bookmarkEnd w:id="51"/>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52" w:name="_Toc462824029"/>
      <w:bookmarkStart w:id="53" w:name="_Toc462824883"/>
      <w:bookmarkStart w:id="54" w:name="_Toc472608283"/>
      <w:bookmarkStart w:id="55" w:name="_Toc475545994"/>
      <w:r>
        <w:t>Subdivision 4 — Early intervention requirements</w:t>
      </w:r>
      <w:bookmarkEnd w:id="52"/>
      <w:bookmarkEnd w:id="53"/>
      <w:bookmarkEnd w:id="54"/>
      <w:bookmarkEnd w:id="55"/>
    </w:p>
    <w:p>
      <w:pPr>
        <w:pStyle w:val="Footnoteheading"/>
      </w:pPr>
      <w:r>
        <w:tab/>
        <w:t>[Heading inserted in Gazette 30 Jun 2014 p. 2402.]</w:t>
      </w:r>
    </w:p>
    <w:p>
      <w:pPr>
        <w:pStyle w:val="Heading5"/>
      </w:pPr>
      <w:bookmarkStart w:id="56" w:name="_Toc475545995"/>
      <w:r>
        <w:rPr>
          <w:rStyle w:val="CharSectno"/>
        </w:rPr>
        <w:t>21</w:t>
      </w:r>
      <w:r>
        <w:t>.</w:t>
      </w:r>
      <w:r>
        <w:tab/>
        <w:t xml:space="preserve">Early intervention requirement — permanent impairment (NDIS rules 6.4 </w:t>
      </w:r>
      <w:r>
        <w:noBreakHyphen/>
        <w:t xml:space="preserve"> 6.7)</w:t>
      </w:r>
      <w:bookmarkEnd w:id="56"/>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57" w:name="_Toc475545996"/>
      <w:r>
        <w:rPr>
          <w:rStyle w:val="CharSectno"/>
        </w:rPr>
        <w:t>22</w:t>
      </w:r>
      <w:r>
        <w:t>.</w:t>
      </w:r>
      <w:r>
        <w:tab/>
        <w:t>Early intervention requirement — supports to benefit person (NDIS rules 6.9 and 6.10)</w:t>
      </w:r>
      <w:bookmarkEnd w:id="57"/>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58" w:name="_Toc462824032"/>
      <w:bookmarkStart w:id="59" w:name="_Toc462824886"/>
      <w:bookmarkStart w:id="60" w:name="_Toc472608286"/>
      <w:bookmarkStart w:id="61" w:name="_Toc475545997"/>
      <w:r>
        <w:t>Subdivision 5 — Assessment tools</w:t>
      </w:r>
      <w:bookmarkEnd w:id="58"/>
      <w:bookmarkEnd w:id="59"/>
      <w:bookmarkEnd w:id="60"/>
      <w:bookmarkEnd w:id="61"/>
    </w:p>
    <w:p>
      <w:pPr>
        <w:pStyle w:val="Footnoteheading"/>
      </w:pPr>
      <w:r>
        <w:tab/>
        <w:t>[Heading inserted in Gazette 30 Jun 2014 p. 2404.]</w:t>
      </w:r>
    </w:p>
    <w:p>
      <w:pPr>
        <w:pStyle w:val="Heading5"/>
      </w:pPr>
      <w:bookmarkStart w:id="62" w:name="_Toc475545998"/>
      <w:r>
        <w:rPr>
          <w:rStyle w:val="CharSectno"/>
        </w:rPr>
        <w:t>23</w:t>
      </w:r>
      <w:r>
        <w:t>.</w:t>
      </w:r>
      <w:r>
        <w:tab/>
        <w:t>Assessment tools may be used (NDIS rule 7.1)</w:t>
      </w:r>
      <w:bookmarkEnd w:id="62"/>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63" w:name="_Toc462824034"/>
      <w:bookmarkStart w:id="64" w:name="_Toc462824888"/>
      <w:bookmarkStart w:id="65" w:name="_Toc472608288"/>
      <w:bookmarkStart w:id="66" w:name="_Toc475545999"/>
      <w:r>
        <w:rPr>
          <w:rStyle w:val="CharDivNo"/>
        </w:rPr>
        <w:t>Division 3</w:t>
      </w:r>
      <w:r>
        <w:t> — </w:t>
      </w:r>
      <w:r>
        <w:rPr>
          <w:rStyle w:val="CharDivText"/>
        </w:rPr>
        <w:t>Supports for participants</w:t>
      </w:r>
      <w:bookmarkEnd w:id="63"/>
      <w:bookmarkEnd w:id="64"/>
      <w:bookmarkEnd w:id="65"/>
      <w:bookmarkEnd w:id="66"/>
    </w:p>
    <w:p>
      <w:pPr>
        <w:pStyle w:val="Footnoteheading"/>
        <w:keepNext/>
      </w:pPr>
      <w:r>
        <w:tab/>
        <w:t>[Heading inserted in Gazette 30 Jun 2014 p. 2404.]</w:t>
      </w:r>
    </w:p>
    <w:p>
      <w:pPr>
        <w:pStyle w:val="Heading4"/>
      </w:pPr>
      <w:bookmarkStart w:id="67" w:name="_Toc462824035"/>
      <w:bookmarkStart w:id="68" w:name="_Toc462824889"/>
      <w:bookmarkStart w:id="69" w:name="_Toc472608289"/>
      <w:bookmarkStart w:id="70" w:name="_Toc475546000"/>
      <w:r>
        <w:t>Subdivision 1 — General</w:t>
      </w:r>
      <w:bookmarkEnd w:id="67"/>
      <w:bookmarkEnd w:id="68"/>
      <w:bookmarkEnd w:id="69"/>
      <w:bookmarkEnd w:id="70"/>
    </w:p>
    <w:p>
      <w:pPr>
        <w:pStyle w:val="Footnoteheading"/>
        <w:keepNext/>
      </w:pPr>
      <w:r>
        <w:tab/>
        <w:t>[Heading inserted in Gazette 30 Jun 2014 p. 2404.]</w:t>
      </w:r>
    </w:p>
    <w:p>
      <w:pPr>
        <w:pStyle w:val="Heading5"/>
      </w:pPr>
      <w:bookmarkStart w:id="71" w:name="_Toc475546001"/>
      <w:r>
        <w:rPr>
          <w:rStyle w:val="CharSectno"/>
        </w:rPr>
        <w:t>24</w:t>
      </w:r>
      <w:r>
        <w:t>.</w:t>
      </w:r>
      <w:r>
        <w:tab/>
        <w:t>References in regulation headings to comparable Commonwealth rules</w:t>
      </w:r>
      <w:bookmarkEnd w:id="71"/>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72" w:name="_Toc462824037"/>
      <w:bookmarkStart w:id="73" w:name="_Toc462824891"/>
      <w:bookmarkStart w:id="74" w:name="_Toc472608291"/>
      <w:bookmarkStart w:id="75" w:name="_Toc475546002"/>
      <w:r>
        <w:t>Subdivision 2 — Assessing proposed supports</w:t>
      </w:r>
      <w:bookmarkEnd w:id="72"/>
      <w:bookmarkEnd w:id="73"/>
      <w:bookmarkEnd w:id="74"/>
      <w:bookmarkEnd w:id="75"/>
    </w:p>
    <w:p>
      <w:pPr>
        <w:pStyle w:val="Footnoteheading"/>
      </w:pPr>
      <w:r>
        <w:tab/>
        <w:t>[Heading inserted in Gazette 30 Jun 2014 p. 2405.]</w:t>
      </w:r>
    </w:p>
    <w:p>
      <w:pPr>
        <w:pStyle w:val="Heading5"/>
      </w:pPr>
      <w:bookmarkStart w:id="76" w:name="_Toc475546003"/>
      <w:r>
        <w:rPr>
          <w:rStyle w:val="CharSectno"/>
        </w:rPr>
        <w:t>25</w:t>
      </w:r>
      <w:r>
        <w:t>.</w:t>
      </w:r>
      <w:r>
        <w:tab/>
        <w:t>Value for money (NDIS rule 3.1)</w:t>
      </w:r>
      <w:bookmarkEnd w:id="76"/>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77" w:name="_Toc475546004"/>
      <w:r>
        <w:rPr>
          <w:rStyle w:val="CharSectno"/>
        </w:rPr>
        <w:t>26</w:t>
      </w:r>
      <w:r>
        <w:t>.</w:t>
      </w:r>
      <w:r>
        <w:tab/>
        <w:t>Effective and beneficial and current good practice (NDIS rules 3.2 and 3.3)</w:t>
      </w:r>
      <w:bookmarkEnd w:id="77"/>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78" w:name="_Toc475546005"/>
      <w:r>
        <w:rPr>
          <w:rStyle w:val="CharSectno"/>
        </w:rPr>
        <w:t>27</w:t>
      </w:r>
      <w:r>
        <w:t>.</w:t>
      </w:r>
      <w:r>
        <w:tab/>
        <w:t>Reasonable family, carer and other support (NDIS rule 3.4)</w:t>
      </w:r>
      <w:bookmarkEnd w:id="78"/>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79" w:name="_Toc462824041"/>
      <w:bookmarkStart w:id="80" w:name="_Toc462824895"/>
      <w:bookmarkStart w:id="81" w:name="_Toc472608295"/>
      <w:bookmarkStart w:id="82" w:name="_Toc475546006"/>
      <w:r>
        <w:t>Subdivision 3 — Criteria for supports</w:t>
      </w:r>
      <w:bookmarkEnd w:id="79"/>
      <w:bookmarkEnd w:id="80"/>
      <w:bookmarkEnd w:id="81"/>
      <w:bookmarkEnd w:id="82"/>
    </w:p>
    <w:p>
      <w:pPr>
        <w:pStyle w:val="Footnoteheading"/>
      </w:pPr>
      <w:r>
        <w:tab/>
        <w:t>[Heading inserted in Gazette 30 Jun 2014 p. 2408.]</w:t>
      </w:r>
    </w:p>
    <w:p>
      <w:pPr>
        <w:pStyle w:val="Heading5"/>
      </w:pPr>
      <w:bookmarkStart w:id="83" w:name="_Toc475546007"/>
      <w:r>
        <w:rPr>
          <w:rStyle w:val="CharSectno"/>
        </w:rPr>
        <w:t>28</w:t>
      </w:r>
      <w:r>
        <w:t>.</w:t>
      </w:r>
      <w:r>
        <w:tab/>
        <w:t xml:space="preserve">General criteria for supports (NDIS rules 5.1 </w:t>
      </w:r>
      <w:r>
        <w:noBreakHyphen/>
        <w:t xml:space="preserve"> 5.3)</w:t>
      </w:r>
      <w:bookmarkEnd w:id="83"/>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84" w:name="_Toc462824043"/>
      <w:bookmarkStart w:id="85" w:name="_Toc462824897"/>
      <w:bookmarkStart w:id="86" w:name="_Toc472608297"/>
      <w:bookmarkStart w:id="87" w:name="_Toc475546008"/>
      <w:r>
        <w:rPr>
          <w:rStyle w:val="CharDivNo"/>
        </w:rPr>
        <w:t>Division 4</w:t>
      </w:r>
      <w:r>
        <w:t> — </w:t>
      </w:r>
      <w:r>
        <w:rPr>
          <w:rStyle w:val="CharDivText"/>
        </w:rPr>
        <w:t>Supports for participants — accounting for compensation</w:t>
      </w:r>
      <w:bookmarkEnd w:id="84"/>
      <w:bookmarkEnd w:id="85"/>
      <w:bookmarkEnd w:id="86"/>
      <w:bookmarkEnd w:id="87"/>
    </w:p>
    <w:p>
      <w:pPr>
        <w:pStyle w:val="Footnoteheading"/>
      </w:pPr>
      <w:r>
        <w:tab/>
        <w:t>[Heading inserted in Gazette 30 Jun 2014 p. 2409.]</w:t>
      </w:r>
    </w:p>
    <w:p>
      <w:pPr>
        <w:pStyle w:val="Heading4"/>
      </w:pPr>
      <w:bookmarkStart w:id="88" w:name="_Toc462824044"/>
      <w:bookmarkStart w:id="89" w:name="_Toc462824898"/>
      <w:bookmarkStart w:id="90" w:name="_Toc472608298"/>
      <w:bookmarkStart w:id="91" w:name="_Toc475546009"/>
      <w:r>
        <w:t>Subdivision 1 — General</w:t>
      </w:r>
      <w:bookmarkEnd w:id="88"/>
      <w:bookmarkEnd w:id="89"/>
      <w:bookmarkEnd w:id="90"/>
      <w:bookmarkEnd w:id="91"/>
    </w:p>
    <w:p>
      <w:pPr>
        <w:pStyle w:val="Footnoteheading"/>
      </w:pPr>
      <w:r>
        <w:tab/>
        <w:t>[Heading inserted in Gazette 30 Jun 2014 p. 2409.]</w:t>
      </w:r>
    </w:p>
    <w:p>
      <w:pPr>
        <w:pStyle w:val="Heading5"/>
      </w:pPr>
      <w:bookmarkStart w:id="92" w:name="_Toc475546010"/>
      <w:r>
        <w:rPr>
          <w:rStyle w:val="CharSectno"/>
        </w:rPr>
        <w:t>29</w:t>
      </w:r>
      <w:r>
        <w:t>.</w:t>
      </w:r>
      <w:r>
        <w:tab/>
        <w:t>Terms used</w:t>
      </w:r>
      <w:bookmarkEnd w:id="92"/>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93" w:name="_Toc475546011"/>
      <w:r>
        <w:rPr>
          <w:rStyle w:val="CharSectno"/>
        </w:rPr>
        <w:t>30</w:t>
      </w:r>
      <w:r>
        <w:t>.</w:t>
      </w:r>
      <w:r>
        <w:tab/>
        <w:t>References in regulation headings to comparable Commonwealth rules</w:t>
      </w:r>
      <w:bookmarkEnd w:id="93"/>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94" w:name="_Toc462824047"/>
      <w:bookmarkStart w:id="95" w:name="_Toc462824901"/>
      <w:bookmarkStart w:id="96" w:name="_Toc472608301"/>
      <w:bookmarkStart w:id="97" w:name="_Toc475546012"/>
      <w:r>
        <w:t>Subdivision 2 — Compensation</w:t>
      </w:r>
      <w:bookmarkEnd w:id="94"/>
      <w:bookmarkEnd w:id="95"/>
      <w:bookmarkEnd w:id="96"/>
      <w:bookmarkEnd w:id="97"/>
    </w:p>
    <w:p>
      <w:pPr>
        <w:pStyle w:val="Footnoteheading"/>
      </w:pPr>
      <w:r>
        <w:tab/>
        <w:t>[Heading inserted in Gazette 30 Jun 2014 p. 2410.]</w:t>
      </w:r>
    </w:p>
    <w:p>
      <w:pPr>
        <w:pStyle w:val="Heading5"/>
      </w:pPr>
      <w:bookmarkStart w:id="98" w:name="_Toc475546013"/>
      <w:r>
        <w:rPr>
          <w:rStyle w:val="CharSectno"/>
        </w:rPr>
        <w:t>31</w:t>
      </w:r>
      <w:r>
        <w:t>.</w:t>
      </w:r>
      <w:r>
        <w:tab/>
        <w:t>Application of Division (NDIS rules 3.1 and 3.2)</w:t>
      </w:r>
      <w:bookmarkEnd w:id="98"/>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spacing w:before="260"/>
      </w:pPr>
      <w:bookmarkStart w:id="99" w:name="_Toc475546014"/>
      <w:r>
        <w:rPr>
          <w:rStyle w:val="CharSectno"/>
        </w:rPr>
        <w:t>32</w:t>
      </w:r>
      <w:r>
        <w:t>.</w:t>
      </w:r>
      <w:r>
        <w:tab/>
        <w:t>Periodic payments (NDIS rule 3.3)</w:t>
      </w:r>
      <w:bookmarkEnd w:id="99"/>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100" w:name="_Toc462824050"/>
      <w:bookmarkStart w:id="101" w:name="_Toc462824904"/>
      <w:bookmarkStart w:id="102" w:name="_Toc472608304"/>
      <w:bookmarkStart w:id="103" w:name="_Toc475546015"/>
      <w:r>
        <w:t>Subdivision 3 — Compensation, or foregone compensation, to be taken into account</w:t>
      </w:r>
      <w:bookmarkEnd w:id="100"/>
      <w:bookmarkEnd w:id="101"/>
      <w:bookmarkEnd w:id="102"/>
      <w:bookmarkEnd w:id="103"/>
    </w:p>
    <w:p>
      <w:pPr>
        <w:pStyle w:val="Footnoteheading"/>
      </w:pPr>
      <w:r>
        <w:tab/>
        <w:t>[Heading inserted in Gazette 30 Jun 2014 p. 2413.]</w:t>
      </w:r>
    </w:p>
    <w:p>
      <w:pPr>
        <w:pStyle w:val="Heading5"/>
      </w:pPr>
      <w:bookmarkStart w:id="104" w:name="_Toc475546016"/>
      <w:r>
        <w:rPr>
          <w:rStyle w:val="CharSectno"/>
        </w:rPr>
        <w:t>33</w:t>
      </w:r>
      <w:r>
        <w:t>.</w:t>
      </w:r>
      <w:r>
        <w:tab/>
        <w:t>Funding to be reduced by compensation reduction amount (NDIS rules 3.5 and 3.6)</w:t>
      </w:r>
      <w:bookmarkEnd w:id="104"/>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105" w:name="_Toc475546017"/>
      <w:r>
        <w:rPr>
          <w:rStyle w:val="CharSectno"/>
        </w:rPr>
        <w:t>34</w:t>
      </w:r>
      <w:r>
        <w:t>.</w:t>
      </w:r>
      <w:r>
        <w:tab/>
        <w:t>Reduction may be amortised (NDIS rule 3.7)</w:t>
      </w:r>
      <w:bookmarkEnd w:id="105"/>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106" w:name="_Toc475546018"/>
      <w:r>
        <w:rPr>
          <w:rStyle w:val="CharSectno"/>
        </w:rPr>
        <w:t>35</w:t>
      </w:r>
      <w:r>
        <w:t>.</w:t>
      </w:r>
      <w:r>
        <w:tab/>
        <w:t>Commission may advise person as to likely compensation reduction amount (NDIS rule 3.8)</w:t>
      </w:r>
      <w:bookmarkEnd w:id="106"/>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107" w:name="_Toc475546019"/>
      <w:r>
        <w:rPr>
          <w:rStyle w:val="CharSectno"/>
        </w:rPr>
        <w:t>36</w:t>
      </w:r>
      <w:r>
        <w:t>.</w:t>
      </w:r>
      <w:r>
        <w:tab/>
        <w:t>Special circumstances (NDIS rule 3.10)</w:t>
      </w:r>
      <w:bookmarkEnd w:id="107"/>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108" w:name="_Toc462824055"/>
      <w:bookmarkStart w:id="109" w:name="_Toc462824909"/>
      <w:bookmarkStart w:id="110" w:name="_Toc472608309"/>
      <w:bookmarkStart w:id="111" w:name="_Toc475546020"/>
      <w:r>
        <w:t>Subdivision 4 — Compensation reduction amount</w:t>
      </w:r>
      <w:bookmarkEnd w:id="108"/>
      <w:bookmarkEnd w:id="109"/>
      <w:bookmarkEnd w:id="110"/>
      <w:bookmarkEnd w:id="111"/>
    </w:p>
    <w:p>
      <w:pPr>
        <w:pStyle w:val="Footnoteheading"/>
        <w:keepNext/>
      </w:pPr>
      <w:r>
        <w:tab/>
        <w:t>[Heading inserted in Gazette 30 Jun 2014 p. 2415.]</w:t>
      </w:r>
    </w:p>
    <w:p>
      <w:pPr>
        <w:pStyle w:val="Heading5"/>
      </w:pPr>
      <w:bookmarkStart w:id="112" w:name="_Toc475546021"/>
      <w:r>
        <w:rPr>
          <w:rStyle w:val="CharSectno"/>
        </w:rPr>
        <w:t>37</w:t>
      </w:r>
      <w:r>
        <w:t>.</w:t>
      </w:r>
      <w:r>
        <w:tab/>
        <w:t>Compensation reduction amount — support component objectively identified (NDIS rules 3.11 and 3.12)</w:t>
      </w:r>
      <w:bookmarkEnd w:id="112"/>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113" w:name="_Toc475546022"/>
      <w:r>
        <w:rPr>
          <w:rStyle w:val="CharSectno"/>
        </w:rPr>
        <w:t>38</w:t>
      </w:r>
      <w:r>
        <w:t>.</w:t>
      </w:r>
      <w:r>
        <w:tab/>
        <w:t xml:space="preserve">Compensation reduction amount — other circumstances (NDIS rules 3.13 </w:t>
      </w:r>
      <w:r>
        <w:noBreakHyphen/>
        <w:t xml:space="preserve"> 3.16)</w:t>
      </w:r>
      <w:bookmarkEnd w:id="113"/>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ageBreakBefore/>
        <w:spacing w:before="0"/>
      </w:pPr>
      <w:bookmarkStart w:id="114" w:name="_Toc475546023"/>
      <w:r>
        <w:rPr>
          <w:rStyle w:val="CharSectno"/>
        </w:rPr>
        <w:t>39</w:t>
      </w:r>
      <w:r>
        <w:t>.</w:t>
      </w:r>
      <w:r>
        <w:tab/>
        <w:t>Compensation reduction amount — participant in a Commonwealth, State or Territory statutory insurance scheme (NDIS rules 3.17 and 3.18)</w:t>
      </w:r>
      <w:bookmarkEnd w:id="114"/>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115" w:name="_Toc475546024"/>
      <w:r>
        <w:rPr>
          <w:rStyle w:val="CharSectno"/>
        </w:rPr>
        <w:t>40</w:t>
      </w:r>
      <w:r>
        <w:t>.</w:t>
      </w:r>
      <w:r>
        <w:tab/>
        <w:t xml:space="preserve">Compensation reduction amount — agreement to give up compensation (NDIS rules 3.19 </w:t>
      </w:r>
      <w:r>
        <w:noBreakHyphen/>
        <w:t xml:space="preserve"> 3.21)</w:t>
      </w:r>
      <w:bookmarkEnd w:id="115"/>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116" w:name="_Toc462824060"/>
      <w:bookmarkStart w:id="117" w:name="_Toc462824914"/>
      <w:bookmarkStart w:id="118" w:name="_Toc472608314"/>
      <w:bookmarkStart w:id="119" w:name="_Toc475546025"/>
      <w:r>
        <w:rPr>
          <w:rStyle w:val="CharPartNo"/>
        </w:rPr>
        <w:t>Part 3</w:t>
      </w:r>
      <w:r>
        <w:rPr>
          <w:rStyle w:val="CharDivNo"/>
        </w:rPr>
        <w:t> </w:t>
      </w:r>
      <w:r>
        <w:t>—</w:t>
      </w:r>
      <w:r>
        <w:rPr>
          <w:rStyle w:val="CharDivText"/>
        </w:rPr>
        <w:t> </w:t>
      </w:r>
      <w:r>
        <w:rPr>
          <w:rStyle w:val="CharPartText"/>
        </w:rPr>
        <w:t>Complaints</w:t>
      </w:r>
      <w:bookmarkEnd w:id="116"/>
      <w:bookmarkEnd w:id="117"/>
      <w:bookmarkEnd w:id="118"/>
      <w:bookmarkEnd w:id="119"/>
    </w:p>
    <w:p>
      <w:pPr>
        <w:pStyle w:val="Footnoteheading"/>
      </w:pPr>
      <w:r>
        <w:tab/>
        <w:t>[Heading inserted in Gazette 17 Jul 2015 p. 2915.]</w:t>
      </w:r>
    </w:p>
    <w:p>
      <w:pPr>
        <w:pStyle w:val="Heading5"/>
      </w:pPr>
      <w:bookmarkStart w:id="120" w:name="_Toc475546026"/>
      <w:r>
        <w:rPr>
          <w:rStyle w:val="CharSectno"/>
        </w:rPr>
        <w:t>41</w:t>
      </w:r>
      <w:r>
        <w:t>.</w:t>
      </w:r>
      <w:r>
        <w:tab/>
        <w:t>Return of complaints received (s. 48A)</w:t>
      </w:r>
      <w:bookmarkEnd w:id="120"/>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1" w:name="_Toc462824062"/>
      <w:bookmarkStart w:id="122" w:name="_Toc462824916"/>
      <w:bookmarkStart w:id="123" w:name="_Toc472608316"/>
      <w:bookmarkStart w:id="124" w:name="_Toc475546027"/>
      <w:r>
        <w:rPr>
          <w:rStyle w:val="CharSchNo"/>
        </w:rPr>
        <w:t>Schedule 1</w:t>
      </w:r>
      <w:r>
        <w:t> — </w:t>
      </w:r>
      <w:r>
        <w:rPr>
          <w:rStyle w:val="CharSchText"/>
        </w:rPr>
        <w:t>Public authorities to which Part 5 applies</w:t>
      </w:r>
      <w:bookmarkEnd w:id="121"/>
      <w:bookmarkEnd w:id="122"/>
      <w:bookmarkEnd w:id="123"/>
      <w:bookmarkEnd w:id="124"/>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 24 Jun 2016 p. 2311; 26 Aug 2016 p. 3653.]</w:t>
      </w:r>
    </w:p>
    <w:p>
      <w:pPr>
        <w:pStyle w:val="yScheduleHeading"/>
      </w:pPr>
      <w:bookmarkStart w:id="125" w:name="_Toc462824063"/>
      <w:bookmarkStart w:id="126" w:name="_Toc462824917"/>
      <w:bookmarkStart w:id="127" w:name="_Toc472608317"/>
      <w:bookmarkStart w:id="128" w:name="_Toc475546028"/>
      <w:r>
        <w:rPr>
          <w:rStyle w:val="CharSchNo"/>
        </w:rPr>
        <w:t>Schedule 2</w:t>
      </w:r>
      <w:r>
        <w:t> — </w:t>
      </w:r>
      <w:r>
        <w:rPr>
          <w:rStyle w:val="CharSchText"/>
        </w:rPr>
        <w:t>Standards for disability access and inclusion plans</w:t>
      </w:r>
      <w:bookmarkEnd w:id="125"/>
      <w:bookmarkEnd w:id="126"/>
      <w:bookmarkEnd w:id="127"/>
      <w:bookmarkEnd w:id="128"/>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129" w:name="_Toc462824064"/>
      <w:bookmarkStart w:id="130" w:name="_Toc462824918"/>
      <w:bookmarkStart w:id="131" w:name="_Toc472608318"/>
      <w:bookmarkStart w:id="132" w:name="_Toc475546029"/>
      <w:r>
        <w:rPr>
          <w:rStyle w:val="CharSchNo"/>
        </w:rPr>
        <w:t>Schedule 3</w:t>
      </w:r>
      <w:r>
        <w:t> — </w:t>
      </w:r>
      <w:r>
        <w:rPr>
          <w:rStyle w:val="CharSchText"/>
        </w:rPr>
        <w:t>Desired outcomes of disability access and inclusion plans</w:t>
      </w:r>
      <w:bookmarkEnd w:id="129"/>
      <w:bookmarkEnd w:id="130"/>
      <w:bookmarkEnd w:id="131"/>
      <w:bookmarkEnd w:id="132"/>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133" w:name="_Toc462824065"/>
      <w:bookmarkStart w:id="134" w:name="_Toc462824919"/>
      <w:bookmarkStart w:id="135" w:name="_Toc472608319"/>
      <w:bookmarkStart w:id="136" w:name="_Toc475546030"/>
      <w:r>
        <w:rPr>
          <w:rStyle w:val="CharSchNo"/>
        </w:rPr>
        <w:t>Schedule 4</w:t>
      </w:r>
      <w:r>
        <w:t> — </w:t>
      </w:r>
      <w:r>
        <w:rPr>
          <w:rStyle w:val="CharSchText"/>
        </w:rPr>
        <w:t>Prescribed service providers and complaint returns</w:t>
      </w:r>
      <w:bookmarkEnd w:id="133"/>
      <w:bookmarkEnd w:id="134"/>
      <w:bookmarkEnd w:id="135"/>
      <w:bookmarkEnd w:id="136"/>
    </w:p>
    <w:p>
      <w:pPr>
        <w:pStyle w:val="yShoulderClause"/>
      </w:pPr>
      <w:r>
        <w:t>[r. 41(2) and (3)]</w:t>
      </w:r>
    </w:p>
    <w:p>
      <w:pPr>
        <w:pStyle w:val="yFootnoteheading"/>
      </w:pPr>
      <w:r>
        <w:tab/>
        <w:t>[Heading inserted in Gazette 17 Jul 2015 p. 2916.]</w:t>
      </w:r>
    </w:p>
    <w:p>
      <w:pPr>
        <w:pStyle w:val="yHeading3"/>
      </w:pPr>
      <w:bookmarkStart w:id="137" w:name="_Toc462824066"/>
      <w:bookmarkStart w:id="138" w:name="_Toc462824920"/>
      <w:bookmarkStart w:id="139" w:name="_Toc472608320"/>
      <w:bookmarkStart w:id="140" w:name="_Toc475546031"/>
      <w:r>
        <w:rPr>
          <w:rStyle w:val="CharSDivNo"/>
        </w:rPr>
        <w:t>Division 1</w:t>
      </w:r>
      <w:r>
        <w:t> — </w:t>
      </w:r>
      <w:r>
        <w:rPr>
          <w:rStyle w:val="CharSDivText"/>
        </w:rPr>
        <w:t>Service providers</w:t>
      </w:r>
      <w:bookmarkEnd w:id="137"/>
      <w:bookmarkEnd w:id="138"/>
      <w:bookmarkEnd w:id="139"/>
      <w:bookmarkEnd w:id="140"/>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keepNext/>
            </w:pPr>
            <w:r>
              <w:t>The Cerebral Palsy Association Of Western Australia Ltd</w:t>
            </w:r>
          </w:p>
        </w:tc>
      </w:tr>
      <w:tr>
        <w:tc>
          <w:tcPr>
            <w:tcW w:w="5670" w:type="dxa"/>
          </w:tcPr>
          <w:p>
            <w:pPr>
              <w:pStyle w:val="yTableNAm"/>
              <w:keepNext/>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141" w:name="_Toc462824067"/>
      <w:bookmarkStart w:id="142" w:name="_Toc462824921"/>
      <w:bookmarkStart w:id="143" w:name="_Toc472608321"/>
      <w:bookmarkStart w:id="144" w:name="_Toc475546032"/>
      <w:r>
        <w:rPr>
          <w:rStyle w:val="CharSDivNo"/>
        </w:rPr>
        <w:t>Division 2</w:t>
      </w:r>
      <w:r>
        <w:t> — </w:t>
      </w:r>
      <w:r>
        <w:rPr>
          <w:rStyle w:val="CharSDivText"/>
        </w:rPr>
        <w:t>Form of complaint return</w:t>
      </w:r>
      <w:bookmarkEnd w:id="141"/>
      <w:bookmarkEnd w:id="142"/>
      <w:bookmarkEnd w:id="143"/>
      <w:bookmarkEnd w:id="144"/>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cantSplit/>
        </w:trPr>
        <w:tc>
          <w:tcPr>
            <w:tcW w:w="6871" w:type="dxa"/>
            <w:gridSpan w:val="12"/>
          </w:tcPr>
          <w:p>
            <w:pPr>
              <w:pStyle w:val="yTableNAm"/>
            </w:pPr>
            <w:r>
              <w:rPr>
                <w:b/>
                <w:szCs w:val="22"/>
              </w:rPr>
              <w:t>I.</w:t>
            </w:r>
            <w:r>
              <w:rPr>
                <w:b/>
                <w:szCs w:val="22"/>
              </w:rPr>
              <w:tab/>
              <w:t>Profile of the person making the complaint</w:t>
            </w:r>
          </w:p>
        </w:tc>
      </w:tr>
      <w:tr>
        <w:trPr>
          <w:cantSplit/>
        </w:trP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rPr>
          <w:cantSplit/>
        </w:trPr>
        <w:tc>
          <w:tcPr>
            <w:tcW w:w="6871" w:type="dxa"/>
            <w:gridSpan w:val="12"/>
          </w:tcPr>
          <w:p>
            <w:pPr>
              <w:pStyle w:val="yTableNAm"/>
            </w:pPr>
            <w:r>
              <w:rPr>
                <w:sz w:val="18"/>
                <w:szCs w:val="18"/>
              </w:rPr>
              <w:t>Question 1 is optional and your responses will not be submitted to HaDSCO</w:t>
            </w:r>
          </w:p>
        </w:tc>
      </w:tr>
      <w:tr>
        <w:trPr>
          <w:cantSplit/>
        </w:trP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rPr>
          <w:cantSplit/>
        </w:trPr>
        <w:tc>
          <w:tcPr>
            <w:tcW w:w="6871" w:type="dxa"/>
            <w:gridSpan w:val="12"/>
          </w:tcPr>
          <w:p>
            <w:pPr>
              <w:pStyle w:val="yTableNAm"/>
            </w:pPr>
            <w:r>
              <w:rPr>
                <w:sz w:val="18"/>
                <w:szCs w:val="18"/>
              </w:rPr>
              <w:t>Question 2 is optional and your responses will not be submitted to HaDSCO, apart from question 2c (postcode)</w:t>
            </w:r>
          </w:p>
        </w:tc>
      </w:tr>
      <w:tr>
        <w:trPr>
          <w:cantSplit/>
        </w:trP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tabs>
                <w:tab w:val="clear" w:pos="567"/>
              </w:tabs>
              <w:ind w:left="318" w:hanging="318"/>
              <w:rPr>
                <w:sz w:val="20"/>
              </w:rPr>
            </w:pP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rPr>
                <w:sz w:val="20"/>
              </w:rPr>
            </w:pPr>
          </w:p>
        </w:tc>
      </w:tr>
      <w:tr>
        <w:trPr>
          <w:cantSplit/>
        </w:trPr>
        <w:tc>
          <w:tcPr>
            <w:tcW w:w="425" w:type="dxa"/>
          </w:tcPr>
          <w:p>
            <w:pPr>
              <w:pStyle w:val="yTableNAm"/>
              <w:rPr>
                <w:sz w:val="20"/>
              </w:rPr>
            </w:pPr>
          </w:p>
        </w:tc>
        <w:tc>
          <w:tcPr>
            <w:tcW w:w="3261" w:type="dxa"/>
            <w:gridSpan w:val="7"/>
          </w:tcPr>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rPr>
          <w:cantSplit/>
        </w:trP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rPr>
          <w:cantSplit/>
        </w:trP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rPr>
          <w:cantSplit/>
        </w:trP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rPr>
          <w:cantSplit/>
        </w:trPr>
        <w:tc>
          <w:tcPr>
            <w:tcW w:w="6871" w:type="dxa"/>
            <w:gridSpan w:val="12"/>
          </w:tcPr>
          <w:p>
            <w:pPr>
              <w:pStyle w:val="yTableNAm"/>
            </w:pPr>
            <w:r>
              <w:rPr>
                <w:sz w:val="18"/>
                <w:szCs w:val="18"/>
              </w:rPr>
              <w:t>Question 4 is optional and will not be submitted to HaDSCO</w:t>
            </w:r>
          </w:p>
        </w:tc>
      </w:tr>
      <w:tr>
        <w:trPr>
          <w:cantSplit/>
        </w:trP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rPr>
          <w:cantSplit/>
        </w:trPr>
        <w:tc>
          <w:tcPr>
            <w:tcW w:w="6871" w:type="dxa"/>
            <w:gridSpan w:val="12"/>
          </w:tcPr>
          <w:p>
            <w:pPr>
              <w:pStyle w:val="yTableNAm"/>
              <w:keepNext/>
            </w:pPr>
            <w:r>
              <w:rPr>
                <w:sz w:val="18"/>
                <w:szCs w:val="18"/>
              </w:rPr>
              <w:t>Question 5 is optional and will not be submitted to HaDSCO, apart from Question 5c (postcode)</w:t>
            </w:r>
          </w:p>
        </w:tc>
      </w:tr>
      <w:tr>
        <w:trPr>
          <w:cantSplit/>
        </w:trP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rPr>
          <w:cantSplit/>
        </w:trPr>
        <w:tc>
          <w:tcPr>
            <w:tcW w:w="6871" w:type="dxa"/>
            <w:gridSpan w:val="12"/>
          </w:tcPr>
          <w:p>
            <w:pPr>
              <w:pStyle w:val="yTableNAm"/>
            </w:pPr>
            <w:r>
              <w:rPr>
                <w:sz w:val="18"/>
                <w:szCs w:val="18"/>
              </w:rPr>
              <w:t>Question 6 is optional and will not be submitted to HaDSCO</w:t>
            </w:r>
          </w:p>
        </w:tc>
      </w:tr>
      <w:tr>
        <w:trPr>
          <w:cantSplit/>
        </w:trP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rPr>
          <w:cantSplit/>
        </w:trP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rPr>
          <w:cantSplit/>
        </w:trP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rPr>
          <w:cantSplit/>
        </w:trP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rPr>
          <w:cantSplit/>
        </w:trP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rPr>
          <w:cantSplit/>
        </w:trPr>
        <w:tc>
          <w:tcPr>
            <w:tcW w:w="6871" w:type="dxa"/>
            <w:gridSpan w:val="12"/>
          </w:tcPr>
          <w:p>
            <w:pPr>
              <w:pStyle w:val="yTableNAm"/>
            </w:pPr>
            <w:r>
              <w:rPr>
                <w:b/>
                <w:szCs w:val="22"/>
              </w:rPr>
              <w:t>III.</w:t>
            </w:r>
            <w:r>
              <w:rPr>
                <w:b/>
                <w:szCs w:val="22"/>
              </w:rPr>
              <w:tab/>
              <w:t>Profile of the complaint</w:t>
            </w:r>
          </w:p>
        </w:tc>
      </w:tr>
      <w:tr>
        <w:trPr>
          <w:cantSplit/>
        </w:trP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rPr>
          <w:cantSplit/>
        </w:trPr>
        <w:tc>
          <w:tcPr>
            <w:tcW w:w="6871" w:type="dxa"/>
            <w:gridSpan w:val="12"/>
          </w:tcPr>
          <w:p>
            <w:pPr>
              <w:pStyle w:val="yTableNAm"/>
              <w:keepNext/>
            </w:pPr>
            <w:r>
              <w:rPr>
                <w:sz w:val="18"/>
                <w:szCs w:val="18"/>
              </w:rPr>
              <w:t>Note:  Complaints that are not closed at the end of a reporting period (30 June) will be automatically rolled over into the next reporting period.</w:t>
            </w:r>
          </w:p>
        </w:tc>
      </w:tr>
      <w:tr>
        <w:trPr>
          <w:cantSplit/>
        </w:trP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rPr>
          <w:cantSplit/>
        </w:trP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rPr>
          <w:cantSplit/>
        </w:trP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rPr>
          <w:cantSplit/>
        </w:trPr>
        <w:tc>
          <w:tcPr>
            <w:tcW w:w="6871" w:type="dxa"/>
            <w:gridSpan w:val="12"/>
          </w:tcPr>
          <w:p>
            <w:pPr>
              <w:pStyle w:val="yTableNAm"/>
              <w:keepNext/>
            </w:pPr>
            <w:r>
              <w:rPr>
                <w:sz w:val="18"/>
                <w:szCs w:val="18"/>
              </w:rPr>
              <w:t>Question 15 is optional and will not be submitted to HaDSCO</w:t>
            </w:r>
          </w:p>
        </w:tc>
      </w:tr>
      <w:tr>
        <w:trPr>
          <w:cantSplit/>
        </w:trP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rPr>
          <w:cantSplit/>
        </w:trP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p>
        </w:tc>
        <w:tc>
          <w:tcPr>
            <w:tcW w:w="4603" w:type="dxa"/>
            <w:gridSpan w:val="8"/>
          </w:tcPr>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559" w:type="dxa"/>
          </w:tcPr>
          <w:p>
            <w:pPr>
              <w:pStyle w:val="yTableNAm"/>
              <w:rPr>
                <w:sz w:val="20"/>
              </w:rPr>
            </w:pPr>
          </w:p>
        </w:tc>
        <w:tc>
          <w:tcPr>
            <w:tcW w:w="4745" w:type="dxa"/>
            <w:gridSpan w:val="9"/>
          </w:tcPr>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rPr>
          <w:cantSplit/>
        </w:trPr>
        <w:tc>
          <w:tcPr>
            <w:tcW w:w="6871" w:type="dxa"/>
            <w:gridSpan w:val="12"/>
          </w:tcPr>
          <w:p>
            <w:pPr>
              <w:pStyle w:val="yTableNAm"/>
            </w:pPr>
            <w:r>
              <w:rPr>
                <w:sz w:val="18"/>
                <w:szCs w:val="18"/>
              </w:rPr>
              <w:t>* Note: Complaints in this category will not be included in your report to HaDSCO.</w:t>
            </w:r>
          </w:p>
        </w:tc>
      </w:tr>
      <w:tr>
        <w:trPr>
          <w:cantSplit/>
        </w:trP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rPr>
          <w:cantSplit/>
        </w:trP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p>
        </w:tc>
        <w:tc>
          <w:tcPr>
            <w:tcW w:w="4603" w:type="dxa"/>
            <w:gridSpan w:val="8"/>
          </w:tcPr>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rPr>
          <w:cantSplit/>
        </w:trP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rPr>
          <w:cantSplit/>
        </w:trP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rPr>
          <w:cantSplit/>
        </w:trP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keepNext/>
              <w:tabs>
                <w:tab w:val="clear" w:pos="567"/>
              </w:tabs>
              <w:ind w:left="318" w:hanging="318"/>
            </w:pP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Answers</w:t>
            </w:r>
          </w:p>
          <w:p>
            <w:pPr>
              <w:pStyle w:val="yTableNAm"/>
              <w:keepNext/>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sz w:val="20"/>
              </w:rPr>
            </w:pPr>
          </w:p>
        </w:tc>
        <w:tc>
          <w:tcPr>
            <w:tcW w:w="3469" w:type="dxa"/>
            <w:gridSpan w:val="6"/>
          </w:tcPr>
          <w:p>
            <w:pPr>
              <w:pStyle w:val="yTableNAm"/>
              <w:tabs>
                <w:tab w:val="clear" w:pos="567"/>
              </w:tabs>
              <w:ind w:left="318" w:hanging="318"/>
              <w:rPr>
                <w:sz w:val="20"/>
              </w:rPr>
            </w:pP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rPr>
                <w:sz w:val="20"/>
              </w:rPr>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p>
        </w:tc>
      </w:tr>
      <w:tr>
        <w:trPr>
          <w:cantSplit/>
        </w:trPr>
        <w:tc>
          <w:tcPr>
            <w:tcW w:w="6871" w:type="dxa"/>
            <w:gridSpan w:val="12"/>
          </w:tcPr>
          <w:p>
            <w:pPr>
              <w:pStyle w:val="yTableNAm"/>
              <w:keepNext/>
            </w:pPr>
            <w:r>
              <w:rPr>
                <w:b/>
                <w:szCs w:val="22"/>
              </w:rPr>
              <w:t>IV.</w:t>
            </w:r>
            <w:r>
              <w:rPr>
                <w:b/>
                <w:szCs w:val="22"/>
              </w:rPr>
              <w:tab/>
              <w:t>Status of the complaint</w:t>
            </w:r>
          </w:p>
        </w:tc>
      </w:tr>
      <w:tr>
        <w:trPr>
          <w:cantSplit/>
        </w:trP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rPr>
          <w:cantSplit/>
        </w:trP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rPr>
          <w:cantSplit/>
        </w:trP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rPr>
          <w:cantSplit/>
        </w:trPr>
        <w:tc>
          <w:tcPr>
            <w:tcW w:w="567" w:type="dxa"/>
            <w:gridSpan w:val="2"/>
          </w:tcPr>
          <w:p>
            <w:pPr>
              <w:pStyle w:val="yTableNAm"/>
              <w:keepNext/>
            </w:pPr>
            <w:r>
              <w:rPr>
                <w:sz w:val="20"/>
              </w:rPr>
              <w:t>24.</w:t>
            </w:r>
          </w:p>
        </w:tc>
        <w:tc>
          <w:tcPr>
            <w:tcW w:w="6304" w:type="dxa"/>
            <w:gridSpan w:val="10"/>
          </w:tcPr>
          <w:p>
            <w:pPr>
              <w:pStyle w:val="yTableNAm"/>
              <w:keepNext/>
              <w:rPr>
                <w:sz w:val="20"/>
              </w:rPr>
            </w:pPr>
            <w:r>
              <w:rPr>
                <w:sz w:val="20"/>
              </w:rPr>
              <w:t>On what date was the complaint finalised/closed?</w:t>
            </w:r>
          </w:p>
          <w:p>
            <w:pPr>
              <w:pStyle w:val="yTableNAm"/>
              <w:keepNext/>
              <w:tabs>
                <w:tab w:val="clear" w:pos="567"/>
              </w:tabs>
              <w:ind w:left="318" w:hanging="318"/>
            </w:pPr>
            <w:r>
              <w:rPr>
                <w:sz w:val="20"/>
              </w:rPr>
              <w:t>1</w:t>
            </w:r>
            <w:r>
              <w:rPr>
                <w:sz w:val="20"/>
              </w:rPr>
              <w:tab/>
              <w:t>...................</w:t>
            </w:r>
            <w:r>
              <w:t xml:space="preserve"> </w:t>
            </w:r>
            <w:r>
              <w:rPr>
                <w:sz w:val="18"/>
                <w:szCs w:val="18"/>
              </w:rPr>
              <w:t>(dd/mm/yyyy)</w:t>
            </w:r>
          </w:p>
        </w:tc>
      </w:tr>
      <w:tr>
        <w:trPr>
          <w:cantSplit/>
        </w:trP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rPr>
          <w:cantSplit/>
        </w:trPr>
        <w:tc>
          <w:tcPr>
            <w:tcW w:w="567" w:type="dxa"/>
            <w:gridSpan w:val="2"/>
          </w:tcPr>
          <w:p>
            <w:pPr>
              <w:pStyle w:val="yTableNAm"/>
              <w:keepNext/>
            </w:pPr>
            <w:r>
              <w:rPr>
                <w:sz w:val="20"/>
              </w:rPr>
              <w:t>26.</w:t>
            </w:r>
          </w:p>
        </w:tc>
        <w:tc>
          <w:tcPr>
            <w:tcW w:w="6304" w:type="dxa"/>
            <w:gridSpan w:val="10"/>
          </w:tcPr>
          <w:p>
            <w:pPr>
              <w:pStyle w:val="yTableNAm"/>
              <w:keepNext/>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rPr>
          <w:cantSplit/>
        </w:trP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rPr>
          <w:cantSplit/>
        </w:trP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keepNext/>
              <w:rPr>
                <w:sz w:val="20"/>
              </w:rPr>
            </w:pPr>
            <w:r>
              <w:rPr>
                <w:sz w:val="20"/>
              </w:rPr>
              <w:t>29.</w:t>
            </w:r>
          </w:p>
        </w:tc>
        <w:tc>
          <w:tcPr>
            <w:tcW w:w="6304" w:type="dxa"/>
            <w:gridSpan w:val="10"/>
          </w:tcPr>
          <w:p>
            <w:pPr>
              <w:pStyle w:val="yTableNAm"/>
              <w:keepNext/>
              <w:rPr>
                <w:sz w:val="20"/>
              </w:rPr>
            </w:pPr>
            <w:r>
              <w:rPr>
                <w:sz w:val="20"/>
              </w:rPr>
              <w:t>To what extent do you agree or disagree with the following statements about this complaint.</w:t>
            </w:r>
          </w:p>
        </w:tc>
      </w:tr>
      <w:tr>
        <w:trPr>
          <w:cantSplit/>
        </w:trPr>
        <w:tc>
          <w:tcPr>
            <w:tcW w:w="567" w:type="dxa"/>
            <w:gridSpan w:val="2"/>
          </w:tcPr>
          <w:p>
            <w:pPr>
              <w:pStyle w:val="zyTableNAm"/>
              <w:keepNext/>
              <w:ind w:right="-108"/>
              <w:jc w:val="center"/>
              <w:rPr>
                <w:sz w:val="20"/>
              </w:rPr>
            </w:pPr>
          </w:p>
        </w:tc>
        <w:tc>
          <w:tcPr>
            <w:tcW w:w="1701" w:type="dxa"/>
            <w:gridSpan w:val="2"/>
          </w:tcPr>
          <w:p>
            <w:pPr>
              <w:pStyle w:val="zyTableNAm"/>
              <w:keepNext/>
              <w:tabs>
                <w:tab w:val="clear" w:pos="567"/>
              </w:tabs>
              <w:ind w:left="318" w:hanging="318"/>
              <w:jc w:val="center"/>
              <w:rPr>
                <w:sz w:val="20"/>
              </w:rPr>
            </w:pPr>
          </w:p>
        </w:tc>
        <w:tc>
          <w:tcPr>
            <w:tcW w:w="709" w:type="dxa"/>
            <w:tcBorders>
              <w:bottom w:val="single" w:sz="4" w:space="0" w:color="auto"/>
            </w:tcBorders>
            <w:vAlign w:val="bottom"/>
          </w:tcPr>
          <w:p>
            <w:pPr>
              <w:pStyle w:val="yTableNAm"/>
              <w:keepNext/>
              <w:tabs>
                <w:tab w:val="clear" w:pos="567"/>
              </w:tabs>
              <w:ind w:left="-108"/>
              <w:jc w:val="center"/>
            </w:pPr>
            <w:r>
              <w:rPr>
                <w:b/>
                <w:sz w:val="14"/>
                <w:szCs w:val="14"/>
              </w:rPr>
              <w:t>Strongly agree</w:t>
            </w:r>
          </w:p>
        </w:tc>
        <w:tc>
          <w:tcPr>
            <w:tcW w:w="709" w:type="dxa"/>
            <w:gridSpan w:val="3"/>
            <w:tcBorders>
              <w:bottom w:val="single" w:sz="4" w:space="0" w:color="auto"/>
            </w:tcBorders>
            <w:vAlign w:val="bottom"/>
          </w:tcPr>
          <w:p>
            <w:pPr>
              <w:pStyle w:val="yTableNAm"/>
              <w:keepNext/>
              <w:tabs>
                <w:tab w:val="clear" w:pos="567"/>
              </w:tabs>
              <w:ind w:left="-108"/>
              <w:jc w:val="center"/>
            </w:pPr>
            <w:r>
              <w:rPr>
                <w:b/>
                <w:sz w:val="14"/>
                <w:szCs w:val="14"/>
              </w:rPr>
              <w:t>Agree</w:t>
            </w:r>
          </w:p>
        </w:tc>
        <w:tc>
          <w:tcPr>
            <w:tcW w:w="850" w:type="dxa"/>
            <w:tcBorders>
              <w:bottom w:val="single" w:sz="4" w:space="0" w:color="auto"/>
            </w:tcBorders>
            <w:vAlign w:val="bottom"/>
          </w:tcPr>
          <w:p>
            <w:pPr>
              <w:pStyle w:val="yTableNAm"/>
              <w:keepNext/>
              <w:ind w:left="-108"/>
              <w:jc w:val="center"/>
            </w:pPr>
            <w:r>
              <w:rPr>
                <w:b/>
                <w:sz w:val="14"/>
                <w:szCs w:val="14"/>
              </w:rPr>
              <w:t>Neither agree nor disagree</w:t>
            </w:r>
          </w:p>
        </w:tc>
        <w:tc>
          <w:tcPr>
            <w:tcW w:w="851" w:type="dxa"/>
            <w:tcBorders>
              <w:bottom w:val="single" w:sz="4" w:space="0" w:color="auto"/>
            </w:tcBorders>
            <w:vAlign w:val="bottom"/>
          </w:tcPr>
          <w:p>
            <w:pPr>
              <w:pStyle w:val="yTableNAm"/>
              <w:keepNext/>
              <w:tabs>
                <w:tab w:val="clear" w:pos="567"/>
              </w:tabs>
              <w:ind w:left="-108"/>
              <w:jc w:val="center"/>
            </w:pPr>
            <w:r>
              <w:rPr>
                <w:b/>
                <w:sz w:val="14"/>
                <w:szCs w:val="14"/>
              </w:rPr>
              <w:t>Disagree</w:t>
            </w:r>
          </w:p>
        </w:tc>
        <w:tc>
          <w:tcPr>
            <w:tcW w:w="850" w:type="dxa"/>
            <w:tcBorders>
              <w:bottom w:val="single" w:sz="4" w:space="0" w:color="auto"/>
              <w:right w:val="dashed" w:sz="4" w:space="0" w:color="auto"/>
            </w:tcBorders>
            <w:vAlign w:val="bottom"/>
          </w:tcPr>
          <w:p>
            <w:pPr>
              <w:pStyle w:val="yTableNAm"/>
              <w:keepNext/>
              <w:tabs>
                <w:tab w:val="clear" w:pos="567"/>
              </w:tabs>
              <w:ind w:left="-108"/>
              <w:jc w:val="center"/>
            </w:pPr>
            <w:r>
              <w:rPr>
                <w:b/>
                <w:sz w:val="14"/>
                <w:szCs w:val="14"/>
              </w:rPr>
              <w:t>Strongly disagree</w:t>
            </w:r>
          </w:p>
        </w:tc>
        <w:tc>
          <w:tcPr>
            <w:tcW w:w="634" w:type="dxa"/>
            <w:tcBorders>
              <w:left w:val="dashed" w:sz="4" w:space="0" w:color="auto"/>
              <w:bottom w:val="single" w:sz="4" w:space="0" w:color="auto"/>
            </w:tcBorders>
            <w:vAlign w:val="bottom"/>
          </w:tcPr>
          <w:p>
            <w:pPr>
              <w:pStyle w:val="yTableNAm"/>
              <w:keepNext/>
              <w:tabs>
                <w:tab w:val="clear" w:pos="567"/>
              </w:tabs>
              <w:ind w:left="-108"/>
              <w:jc w:val="center"/>
            </w:pPr>
            <w:r>
              <w:rPr>
                <w:b/>
                <w:sz w:val="14"/>
                <w:szCs w:val="14"/>
              </w:rPr>
              <w:t>Don’t know</w:t>
            </w:r>
          </w:p>
        </w:tc>
      </w:tr>
      <w:tr>
        <w:trPr>
          <w:cantSplit/>
        </w:trP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rPr>
          <w:cantSplit/>
        </w:trP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rPr>
          <w:cantSplit/>
        </w:trP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bookmarkStart w:id="146" w:name="_Toc462824068"/>
      <w:bookmarkStart w:id="147" w:name="_Toc462824922"/>
      <w:bookmarkStart w:id="148" w:name="_Toc472608322"/>
      <w:bookmarkStart w:id="149" w:name="_Toc475546033"/>
    </w:p>
    <w:p>
      <w:pPr>
        <w:pStyle w:val="nHeading2"/>
      </w:pPr>
      <w:r>
        <w:t>Notes</w:t>
      </w:r>
      <w:bookmarkEnd w:id="146"/>
      <w:bookmarkEnd w:id="147"/>
      <w:bookmarkEnd w:id="148"/>
      <w:bookmarkEnd w:id="149"/>
    </w:p>
    <w:p>
      <w:pPr>
        <w:pStyle w:val="nSubsection"/>
      </w:pPr>
      <w:r>
        <w:rPr>
          <w:vertAlign w:val="superscript"/>
        </w:rPr>
        <w:t>1</w:t>
      </w:r>
      <w:r>
        <w:tab/>
        <w:t xml:space="preserve">This reprint is a compilation as at 10 February 2017 of the </w:t>
      </w:r>
      <w:r>
        <w:rPr>
          <w:i/>
          <w:noProof/>
        </w:rPr>
        <w:t>Disability Services Regulations 2004</w:t>
      </w:r>
      <w:r>
        <w:t xml:space="preserve"> and includes the amendments made by the other written laws referred to in the following table.  The table also contains information about any reprint.</w:t>
      </w:r>
    </w:p>
    <w:p>
      <w:pPr>
        <w:pStyle w:val="nHeading3"/>
        <w:rPr>
          <w:snapToGrid w:val="0"/>
        </w:rPr>
      </w:pPr>
      <w:bookmarkStart w:id="150" w:name="_Toc475546034"/>
      <w:r>
        <w:rPr>
          <w:snapToGrid w:val="0"/>
        </w:rPr>
        <w:t>Compilation table</w:t>
      </w:r>
      <w:bookmarkEnd w:id="15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p>
        </w:tc>
      </w:tr>
      <w:tr>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rFonts w:ascii="Times" w:hAnsi="Times"/>
                <w:bCs/>
                <w:snapToGrid w:val="0"/>
                <w:spacing w:val="-2"/>
              </w:rPr>
            </w:pPr>
            <w:r>
              <w:rPr>
                <w:rFonts w:ascii="Times" w:hAnsi="Times"/>
                <w:bCs/>
                <w:snapToGrid w:val="0"/>
                <w:spacing w:val="-2"/>
              </w:rPr>
              <w:t>r. 1 and 2: 30 Dec 2016 (see r. 2(a));</w:t>
            </w:r>
            <w:r>
              <w:rPr>
                <w:rFonts w:ascii="Times" w:hAnsi="Times"/>
                <w:bCs/>
                <w:snapToGrid w:val="0"/>
                <w:spacing w:val="-2"/>
              </w:rPr>
              <w:br/>
              <w:t>Regulations other than r. 1 and 2: 1 Jan 2017 (see r. 2(b))</w:t>
            </w:r>
          </w:p>
        </w:tc>
      </w:tr>
      <w:tr>
        <w:tc>
          <w:tcPr>
            <w:tcW w:w="7088" w:type="dxa"/>
            <w:gridSpan w:val="3"/>
            <w:tcBorders>
              <w:bottom w:val="single" w:sz="8" w:space="0" w:color="auto"/>
            </w:tcBorders>
            <w:shd w:val="clear" w:color="auto" w:fill="auto"/>
          </w:tcPr>
          <w:p>
            <w:pPr>
              <w:pStyle w:val="nTable"/>
              <w:keepNext/>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Disability Services Regulations 2004</w:t>
            </w:r>
            <w:r>
              <w:rPr>
                <w:rFonts w:ascii="Times" w:hAnsi="Times"/>
                <w:b/>
                <w:bCs/>
                <w:snapToGrid w:val="0"/>
                <w:spacing w:val="-2"/>
              </w:rPr>
              <w:t xml:space="preserve"> as at 10 Feb 2017</w:t>
            </w:r>
            <w:r>
              <w:rPr>
                <w:rFonts w:ascii="Times" w:hAnsi="Times"/>
                <w:bCs/>
                <w:snapToGrid w:val="0"/>
                <w:spacing w:val="-2"/>
              </w:rPr>
              <w:t xml:space="preserve"> (includes amendments listed above)</w:t>
            </w:r>
          </w:p>
        </w:tc>
      </w:tr>
    </w:tbl>
    <w:p/>
    <w:p>
      <w:p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52" w:name="_Toc472608324"/>
      <w:bookmarkStart w:id="153" w:name="_Toc475546035"/>
      <w:r>
        <w:rPr>
          <w:sz w:val="28"/>
        </w:rPr>
        <w:t>Defined terms</w:t>
      </w:r>
      <w:bookmarkEnd w:id="152"/>
      <w:bookmarkEnd w:id="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2017 expansion area</w:t>
      </w:r>
      <w:r>
        <w:tab/>
        <w:t>11</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Lower South West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plan</w:t>
      </w:r>
      <w:r>
        <w:tab/>
        <w:t>11</w:t>
      </w:r>
    </w:p>
    <w:p>
      <w:pPr>
        <w:pStyle w:val="DefinedTerms"/>
      </w:pPr>
      <w:r>
        <w:t>Ranges area</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45" w:name="Schedule"/>
    <w:bookmarkEnd w:id="1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51" w:name="Compilation"/>
    <w:bookmarkEnd w:id="15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4" w:name="DefinedTerms"/>
    <w:bookmarkEnd w:id="15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5" w:name="Coversheet"/>
    <w:bookmarkEnd w:id="15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lvlText w:val="%1."/>
      <w:lvlJc w:val="left"/>
      <w:pPr>
        <w:tabs>
          <w:tab w:val="num" w:pos="1492"/>
        </w:tabs>
        <w:ind w:left="1492" w:hanging="360"/>
      </w:pPr>
    </w:lvl>
  </w:abstractNum>
  <w:abstractNum w:abstractNumId="1">
    <w:nsid w:val="FFFFFF7D"/>
    <w:multiLevelType w:val="singleLevel"/>
    <w:tmpl w:val="896425E0"/>
    <w:lvl w:ilvl="0">
      <w:start w:val="1"/>
      <w:numFmt w:val="decimal"/>
      <w:lvlText w:val="%1."/>
      <w:lvlJc w:val="left"/>
      <w:pPr>
        <w:tabs>
          <w:tab w:val="num" w:pos="1209"/>
        </w:tabs>
        <w:ind w:left="1209" w:hanging="360"/>
      </w:pPr>
    </w:lvl>
  </w:abstractNum>
  <w:abstractNum w:abstractNumId="2">
    <w:nsid w:val="FFFFFF7E"/>
    <w:multiLevelType w:val="singleLevel"/>
    <w:tmpl w:val="779C0B36"/>
    <w:lvl w:ilvl="0">
      <w:start w:val="1"/>
      <w:numFmt w:val="decimal"/>
      <w:lvlText w:val="%1."/>
      <w:lvlJc w:val="left"/>
      <w:pPr>
        <w:tabs>
          <w:tab w:val="num" w:pos="926"/>
        </w:tabs>
        <w:ind w:left="926" w:hanging="360"/>
      </w:pPr>
    </w:lvl>
  </w:abstractNum>
  <w:abstractNum w:abstractNumId="3">
    <w:nsid w:val="FFFFFF7F"/>
    <w:multiLevelType w:val="singleLevel"/>
    <w:tmpl w:val="17D80762"/>
    <w:lvl w:ilvl="0">
      <w:start w:val="1"/>
      <w:numFmt w:val="decimal"/>
      <w:lvlText w:val="%1."/>
      <w:lvlJc w:val="left"/>
      <w:pPr>
        <w:tabs>
          <w:tab w:val="num" w:pos="643"/>
        </w:tabs>
        <w:ind w:left="643" w:hanging="360"/>
      </w:pPr>
    </w:lvl>
  </w:abstractNum>
  <w:abstractNum w:abstractNumId="4">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lvlText w:val="%1."/>
      <w:lvlJc w:val="left"/>
      <w:pPr>
        <w:tabs>
          <w:tab w:val="num" w:pos="360"/>
        </w:tabs>
        <w:ind w:left="360" w:hanging="360"/>
      </w:pPr>
    </w:lvl>
  </w:abstractNum>
  <w:abstractNum w:abstractNumId="9">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10143750"/>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6BC41-C1D0-4529-8496-FD8AAB169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11950</Words>
  <Characters>63577</Characters>
  <Application>Microsoft Office Word</Application>
  <DocSecurity>0</DocSecurity>
  <Lines>2050</Lines>
  <Paragraphs>1161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2004 - 02-a0-02</dc:title>
  <dc:subject/>
  <dc:creator/>
  <cp:keywords/>
  <dc:description/>
  <cp:lastModifiedBy>svcMRProcess</cp:lastModifiedBy>
  <cp:revision>4</cp:revision>
  <cp:lastPrinted>2017-02-22T09:01:00Z</cp:lastPrinted>
  <dcterms:created xsi:type="dcterms:W3CDTF">2018-09-11T05:32:00Z</dcterms:created>
  <dcterms:modified xsi:type="dcterms:W3CDTF">2018-09-11T05:32:00Z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CommencementDate">
    <vt:lpwstr>20170210</vt:lpwstr>
  </property>
  <property fmtid="{D5CDD505-2E9C-101B-9397-08002B2CF9AE}" pid="6" name="ReprintedAsAt">
    <vt:filetime>2017-02-09T16:00:00Z</vt:filetime>
  </property>
  <property fmtid="{D5CDD505-2E9C-101B-9397-08002B2CF9AE}" pid="7" name="ReprintNo">
    <vt:lpwstr>2</vt:lpwstr>
  </property>
  <property fmtid="{D5CDD505-2E9C-101B-9397-08002B2CF9AE}" pid="8" name="AsAtDate">
    <vt:lpwstr>10 Feb 2017</vt:lpwstr>
  </property>
  <property fmtid="{D5CDD505-2E9C-101B-9397-08002B2CF9AE}" pid="9" name="Suffix">
    <vt:lpwstr>02-a0-02</vt:lpwstr>
  </property>
</Properties>
</file>