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(Urine Sampling and Analysis)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_Toc476658271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_Toc476658272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_Toc476658273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_Toc476658274 \h </w:instrText>
      </w:r>
      <w:r>
        <w:fldChar w:fldCharType="separate"/>
      </w:r>
      <w:r>
        <w:t>2</w:t>
      </w:r>
      <w:r>
        <w:fldChar w:fldCharType="end"/>
      </w:r>
    </w:p>
    <w:p>
      <w:pPr>
        <w:pStyle w:val="TOC8"/>
        <w:rPr>
          <w:rFonts w:asciiTheme="minorHAnsi" w:eastAsiaTheme="minorEastAsia" w:hAnsiTheme="minorHAnsi" w:cstheme="minorBidi"/>
          <w:szCs w:val="22"/>
        </w:rPr>
      </w:pPr>
      <w:r>
        <w:t>4A.</w:t>
      </w:r>
      <w:r>
        <w:tab/>
        <w:t>Prescribed sample taker</w:t>
      </w:r>
      <w:r>
        <w:tab/>
      </w:r>
      <w:r>
        <w:fldChar w:fldCharType="begin"/>
      </w:r>
      <w:r>
        <w:instrText xml:space="preserve"> PAGEREF _Toc476658275 \h </w:instrText>
      </w:r>
      <w:r>
        <w:fldChar w:fldCharType="separate"/>
      </w:r>
      <w:r>
        <w:t>2</w:t>
      </w:r>
      <w:r>
        <w:fldChar w:fldCharType="end"/>
      </w:r>
    </w:p>
    <w:p>
      <w:pPr>
        <w:pStyle w:val="TOC8"/>
        <w:rPr>
          <w:rFonts w:asciiTheme="minorHAnsi" w:eastAsiaTheme="minorEastAsia" w:hAnsiTheme="minorHAnsi" w:cstheme="minorBidi"/>
          <w:szCs w:val="22"/>
        </w:rPr>
      </w:pPr>
      <w:r>
        <w:t>4B.</w:t>
      </w:r>
      <w:r>
        <w:tab/>
        <w:t>Prescribed particulars of sample delivery to analyst</w:t>
      </w:r>
      <w:r>
        <w:tab/>
      </w:r>
      <w:r>
        <w:fldChar w:fldCharType="begin"/>
      </w:r>
      <w:r>
        <w:instrText xml:space="preserve"> PAGEREF _Toc476658276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Urine sampling equipment to be provided by approved body</w:t>
      </w:r>
      <w:r>
        <w:tab/>
      </w:r>
      <w:r>
        <w:fldChar w:fldCharType="begin"/>
      </w:r>
      <w:r>
        <w:instrText xml:space="preserve"> PAGEREF _Toc476658277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Urine sampling equipment</w:t>
      </w:r>
      <w:r>
        <w:tab/>
      </w:r>
      <w:r>
        <w:fldChar w:fldCharType="begin"/>
      </w:r>
      <w:r>
        <w:instrText xml:space="preserve"> PAGEREF _Toc476658278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Preparation of urine sampling equipment</w:t>
      </w:r>
      <w:r>
        <w:tab/>
      </w:r>
      <w:r>
        <w:fldChar w:fldCharType="begin"/>
      </w:r>
      <w:r>
        <w:instrText xml:space="preserve"> PAGEREF _Toc476658279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collecting urine</w:t>
      </w:r>
      <w:r>
        <w:tab/>
      </w:r>
      <w:r>
        <w:fldChar w:fldCharType="begin"/>
      </w:r>
      <w:r>
        <w:instrText xml:space="preserve"> PAGEREF _Toc476658280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Certification of urine samples</w:t>
      </w:r>
      <w:r>
        <w:tab/>
      </w:r>
      <w:r>
        <w:fldChar w:fldCharType="begin"/>
      </w:r>
      <w:r>
        <w:instrText xml:space="preserve"> PAGEREF _Toc476658281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for purposes of Act s. 70(3b)</w:t>
      </w:r>
      <w:r>
        <w:tab/>
      </w:r>
      <w:r>
        <w:fldChar w:fldCharType="begin"/>
      </w:r>
      <w:r>
        <w:instrText xml:space="preserve"> PAGEREF _Toc476658282 \h </w:instrText>
      </w:r>
      <w:r>
        <w:fldChar w:fldCharType="separate"/>
      </w:r>
      <w:r>
        <w:t>5</w:t>
      </w:r>
      <w:r>
        <w:fldChar w:fldCharType="end"/>
      </w:r>
    </w:p>
    <w:p>
      <w:pPr>
        <w:pStyle w:val="TOC8"/>
        <w:rPr>
          <w:rFonts w:asciiTheme="minorHAnsi" w:eastAsiaTheme="minorEastAsia" w:hAnsiTheme="minorHAnsi" w:cstheme="minorBidi"/>
          <w:szCs w:val="22"/>
        </w:rPr>
      </w:pPr>
      <w:r>
        <w:t>12.</w:t>
      </w:r>
      <w:r>
        <w:tab/>
        <w:t>Fees for attendance, analysis</w:t>
      </w:r>
      <w:r>
        <w:tab/>
      </w:r>
      <w:r>
        <w:fldChar w:fldCharType="begin"/>
      </w:r>
      <w:r>
        <w:instrText xml:space="preserve"> PAGEREF _Toc476658283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_Toc476658286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3" w:name="_Toc47665827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4" w:name="_Toc47665827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5" w:name="_Toc476658273"/>
      <w:r>
        <w:rPr>
          <w:rStyle w:val="CharSectno"/>
        </w:rPr>
        <w:t>3</w:t>
      </w:r>
      <w:r>
        <w:rPr>
          <w:snapToGrid w:val="0"/>
        </w:rPr>
        <w:t>.</w:t>
      </w:r>
      <w:r>
        <w:rPr>
          <w:snapToGrid w:val="0"/>
        </w:rPr>
        <w:tab/>
        <w:t>Terms used</w:t>
      </w:r>
      <w:bookmarkEnd w:id="5"/>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Gazette 30 Jan 2001 p. 626; 11 Oct 2007 p. 5481; 10 Jan 2017 p. 227.]</w:t>
      </w:r>
    </w:p>
    <w:p>
      <w:pPr>
        <w:pStyle w:val="Heading5"/>
        <w:rPr>
          <w:snapToGrid w:val="0"/>
        </w:rPr>
      </w:pPr>
      <w:bookmarkStart w:id="6" w:name="_Toc476658274"/>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pPr>
      <w:bookmarkStart w:id="7" w:name="_Toc476658275"/>
      <w:r>
        <w:rPr>
          <w:rStyle w:val="CharSectno"/>
        </w:rPr>
        <w:t>4A</w:t>
      </w:r>
      <w:r>
        <w:t>.</w:t>
      </w:r>
      <w:r>
        <w:tab/>
        <w:t>Prescribed sample taker</w:t>
      </w:r>
      <w:bookmarkEnd w:id="7"/>
    </w:p>
    <w:p>
      <w:pPr>
        <w:pStyle w:val="Subsection"/>
      </w:pPr>
      <w:r>
        <w:tab/>
      </w:r>
      <w:r>
        <w:tab/>
        <w:t xml:space="preserve">For section 65 of the Act in paragraph (b) of the definition of the term </w:t>
      </w:r>
      <w:r>
        <w:rPr>
          <w:b/>
          <w:i/>
        </w:rPr>
        <w:t>prescribed sample taker</w:t>
      </w:r>
      <w:r>
        <w:t xml:space="preserve">, the following persons are prescribed for the purposes of each provision of the Act and these regulations in which the term is used — </w:t>
      </w:r>
    </w:p>
    <w:p>
      <w:pPr>
        <w:pStyle w:val="Indenta"/>
      </w:pPr>
      <w:r>
        <w:tab/>
        <w:t>(a)</w:t>
      </w:r>
      <w:r>
        <w:tab/>
        <w:t>pathology collector;</w:t>
      </w:r>
    </w:p>
    <w:p>
      <w:pPr>
        <w:pStyle w:val="Indenta"/>
      </w:pPr>
      <w:r>
        <w:tab/>
        <w:t>(b)</w:t>
      </w:r>
      <w:r>
        <w:tab/>
        <w:t>phlebotomist.</w:t>
      </w:r>
    </w:p>
    <w:p>
      <w:pPr>
        <w:pStyle w:val="Footnotesection"/>
      </w:pPr>
      <w:r>
        <w:tab/>
        <w:t xml:space="preserve">[Regulation 4A inserted: Gazette 7 Feb 2017 p. 1175.] </w:t>
      </w:r>
    </w:p>
    <w:p>
      <w:pPr>
        <w:pStyle w:val="Heading5"/>
      </w:pPr>
      <w:bookmarkStart w:id="8" w:name="_Toc476658276"/>
      <w:r>
        <w:rPr>
          <w:rStyle w:val="CharSectno"/>
        </w:rPr>
        <w:t>4B</w:t>
      </w:r>
      <w:r>
        <w:t>.</w:t>
      </w:r>
      <w:r>
        <w:tab/>
        <w:t>Prescribed particulars of sample delivery to analyst</w:t>
      </w:r>
      <w:bookmarkEnd w:id="8"/>
    </w:p>
    <w:p>
      <w:pPr>
        <w:pStyle w:val="Subsection"/>
      </w:pPr>
      <w:r>
        <w:tab/>
      </w:r>
      <w:r>
        <w:tab/>
        <w:t xml:space="preserve">For section 70B(1) of the Act, the prescribed particulars of a sample delivered to an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prescribed sample taker;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analyst.</w:t>
      </w:r>
    </w:p>
    <w:p>
      <w:pPr>
        <w:pStyle w:val="Footnotesection"/>
      </w:pPr>
      <w:r>
        <w:tab/>
        <w:t xml:space="preserve">[Regulation 4B inserted: Gazette 7 Feb 2017 p. 1175.] </w:t>
      </w:r>
    </w:p>
    <w:p>
      <w:pPr>
        <w:pStyle w:val="Heading5"/>
        <w:rPr>
          <w:snapToGrid w:val="0"/>
        </w:rPr>
      </w:pPr>
      <w:bookmarkStart w:id="9" w:name="_Toc476658277"/>
      <w:r>
        <w:rPr>
          <w:rStyle w:val="CharSectno"/>
        </w:rPr>
        <w:t>5</w:t>
      </w:r>
      <w:r>
        <w:rPr>
          <w:snapToGrid w:val="0"/>
        </w:rPr>
        <w:t>.</w:t>
      </w:r>
      <w:r>
        <w:rPr>
          <w:snapToGrid w:val="0"/>
        </w:rPr>
        <w:tab/>
        <w:t>Urine sampling equipment to be provided by approved body</w:t>
      </w:r>
      <w:bookmarkEnd w:id="9"/>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Gazette 29 Jun 1984 p. 1795; 30 Jan 2001 p. 626.] </w:t>
      </w:r>
    </w:p>
    <w:p>
      <w:pPr>
        <w:pStyle w:val="Heading5"/>
        <w:rPr>
          <w:snapToGrid w:val="0"/>
        </w:rPr>
      </w:pPr>
      <w:bookmarkStart w:id="10" w:name="_Toc476658278"/>
      <w:r>
        <w:rPr>
          <w:rStyle w:val="CharSectno"/>
        </w:rPr>
        <w:t>6</w:t>
      </w:r>
      <w:r>
        <w:rPr>
          <w:snapToGrid w:val="0"/>
        </w:rPr>
        <w:t>.</w:t>
      </w:r>
      <w:r>
        <w:rPr>
          <w:snapToGrid w:val="0"/>
        </w:rPr>
        <w:tab/>
        <w:t>Urine sampling equipment</w:t>
      </w:r>
      <w:bookmarkEnd w:id="10"/>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Gazette 30 Jan 2001 p. 626.] </w:t>
      </w:r>
    </w:p>
    <w:p>
      <w:pPr>
        <w:pStyle w:val="Heading5"/>
        <w:rPr>
          <w:snapToGrid w:val="0"/>
        </w:rPr>
      </w:pPr>
      <w:bookmarkStart w:id="11" w:name="_Toc476658279"/>
      <w:r>
        <w:rPr>
          <w:rStyle w:val="CharSectno"/>
        </w:rPr>
        <w:t>7</w:t>
      </w:r>
      <w:r>
        <w:rPr>
          <w:snapToGrid w:val="0"/>
        </w:rPr>
        <w:t>.</w:t>
      </w:r>
      <w:r>
        <w:rPr>
          <w:snapToGrid w:val="0"/>
        </w:rPr>
        <w:tab/>
        <w:t>Preparation of urine sampling equipment</w:t>
      </w:r>
      <w:bookmarkEnd w:id="11"/>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Gazette 29 Jun 1984 p. 1795; 30 Jan 2001 p. 626.] </w:t>
      </w:r>
    </w:p>
    <w:p>
      <w:pPr>
        <w:pStyle w:val="Heading5"/>
        <w:rPr>
          <w:snapToGrid w:val="0"/>
        </w:rPr>
      </w:pPr>
      <w:bookmarkStart w:id="12" w:name="_Toc476658280"/>
      <w:r>
        <w:rPr>
          <w:rStyle w:val="CharSectno"/>
        </w:rPr>
        <w:t>8</w:t>
      </w:r>
      <w:r>
        <w:rPr>
          <w:snapToGrid w:val="0"/>
        </w:rPr>
        <w:t>.</w:t>
      </w:r>
      <w:r>
        <w:rPr>
          <w:snapToGrid w:val="0"/>
        </w:rPr>
        <w:tab/>
        <w:t>Method of collecting urine</w:t>
      </w:r>
      <w:bookmarkEnd w:id="12"/>
      <w:r>
        <w:rPr>
          <w:snapToGrid w:val="0"/>
        </w:rPr>
        <w:t xml:space="preserve"> </w:t>
      </w:r>
    </w:p>
    <w:p>
      <w:pPr>
        <w:pStyle w:val="Subsection"/>
        <w:rPr>
          <w:snapToGrid w:val="0"/>
        </w:rPr>
      </w:pPr>
      <w:r>
        <w:rPr>
          <w:snapToGrid w:val="0"/>
        </w:rPr>
        <w:tab/>
        <w:t>(1)</w:t>
      </w:r>
      <w:r>
        <w:rPr>
          <w:snapToGrid w:val="0"/>
        </w:rPr>
        <w:tab/>
        <w:t xml:space="preserve">A urine sample shall be collected by a </w:t>
      </w:r>
      <w:r>
        <w:t xml:space="preserve">prescribed sample taker </w:t>
      </w:r>
      <w:r>
        <w:rPr>
          <w:snapToGrid w:val="0"/>
        </w:rPr>
        <w:t>in the container for collecting urine provided in the urine sampling equipment and no other.</w:t>
      </w:r>
    </w:p>
    <w:p>
      <w:pPr>
        <w:pStyle w:val="Subsection"/>
        <w:rPr>
          <w:snapToGrid w:val="0"/>
        </w:rPr>
      </w:pPr>
      <w:r>
        <w:rPr>
          <w:snapToGrid w:val="0"/>
        </w:rPr>
        <w:tab/>
        <w:t>(2)</w:t>
      </w:r>
      <w:r>
        <w:rPr>
          <w:snapToGrid w:val="0"/>
        </w:rPr>
        <w:tab/>
        <w:t xml:space="preserve">The </w:t>
      </w:r>
      <w:r>
        <w:t xml:space="preserve">prescribed sample taker </w:t>
      </w:r>
      <w:r>
        <w:rPr>
          <w:snapToGrid w:val="0"/>
        </w:rPr>
        <w:t>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[Regulation 8 amended: Gazette 30 Jan 2001 p. 626 and 627; 7 Feb 2017 p. 1175</w:t>
      </w:r>
      <w:r>
        <w:noBreakHyphen/>
        <w:t xml:space="preserve">6.] </w:t>
      </w:r>
    </w:p>
    <w:p>
      <w:pPr>
        <w:pStyle w:val="Heading5"/>
        <w:rPr>
          <w:snapToGrid w:val="0"/>
        </w:rPr>
      </w:pPr>
      <w:bookmarkStart w:id="13" w:name="_Toc476658281"/>
      <w:r>
        <w:rPr>
          <w:rStyle w:val="CharSectno"/>
        </w:rPr>
        <w:t>9</w:t>
      </w:r>
      <w:r>
        <w:rPr>
          <w:snapToGrid w:val="0"/>
        </w:rPr>
        <w:t>.</w:t>
      </w:r>
      <w:r>
        <w:rPr>
          <w:snapToGrid w:val="0"/>
        </w:rPr>
        <w:tab/>
        <w:t>Certification of urine samples</w:t>
      </w:r>
      <w:bookmarkEnd w:id="13"/>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 xml:space="preserve">the </w:t>
      </w:r>
      <w:r>
        <w:t xml:space="preserve">prescribed sample taker </w:t>
      </w:r>
      <w:r>
        <w:rPr>
          <w:snapToGrid w:val="0"/>
        </w:rPr>
        <w:t>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 xml:space="preserve">Upon the completion of 2 copies of Form 2, each of the specimen containers containing a portion of the urine sample shall be sealed in a separate package by the </w:t>
      </w:r>
      <w:r>
        <w:t xml:space="preserve">prescribed sample taker </w:t>
      </w:r>
      <w:r>
        <w:rPr>
          <w:snapToGrid w:val="0"/>
        </w:rPr>
        <w:t xml:space="preserve">and the </w:t>
      </w:r>
      <w:r>
        <w:t xml:space="preserve">police officer </w:t>
      </w:r>
      <w:r>
        <w:rPr>
          <w:snapToGrid w:val="0"/>
        </w:rPr>
        <w:t xml:space="preserve"> mentioned in this regulation.</w:t>
      </w:r>
    </w:p>
    <w:p>
      <w:pPr>
        <w:pStyle w:val="Footnotesection"/>
      </w:pPr>
      <w:r>
        <w:tab/>
        <w:t xml:space="preserve">[Regulation 9 amended: Gazette 30 Jan 2001 p. 626 and 627; 31 Dec 2009 p. 5318; 23 Dec 2014 p. 4938; 7 Feb 2017 p. 1176.] </w:t>
      </w:r>
    </w:p>
    <w:p>
      <w:pPr>
        <w:pStyle w:val="Ednotesection"/>
      </w:pPr>
      <w:r>
        <w:t>[</w:t>
      </w:r>
      <w:r>
        <w:rPr>
          <w:b/>
          <w:bCs/>
        </w:rPr>
        <w:t>10.</w:t>
      </w:r>
      <w:r>
        <w:tab/>
        <w:t>Deleted: Gazette 28 Nov 2006 p. 4898.]</w:t>
      </w:r>
    </w:p>
    <w:p>
      <w:pPr>
        <w:pStyle w:val="Heading5"/>
        <w:rPr>
          <w:snapToGrid w:val="0"/>
        </w:rPr>
      </w:pPr>
      <w:bookmarkStart w:id="14" w:name="_Toc476658282"/>
      <w:r>
        <w:rPr>
          <w:rStyle w:val="CharSectno"/>
        </w:rPr>
        <w:t>11</w:t>
      </w:r>
      <w:r>
        <w:rPr>
          <w:snapToGrid w:val="0"/>
        </w:rPr>
        <w:t>.</w:t>
      </w:r>
      <w:r>
        <w:rPr>
          <w:snapToGrid w:val="0"/>
        </w:rPr>
        <w:tab/>
        <w:t>Certificates for purposes of Act s. 70(3b)</w:t>
      </w:r>
      <w:bookmarkEnd w:id="14"/>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Gazette 11 Oct 2007 p. 5482.]</w:t>
      </w:r>
    </w:p>
    <w:p>
      <w:pPr>
        <w:pStyle w:val="Heading5"/>
      </w:pPr>
      <w:bookmarkStart w:id="15" w:name="_Toc476658283"/>
      <w:r>
        <w:rPr>
          <w:rStyle w:val="CharSectno"/>
        </w:rPr>
        <w:t>12</w:t>
      </w:r>
      <w:r>
        <w:t>.</w:t>
      </w:r>
      <w:r>
        <w:tab/>
        <w:t>Fees for attendance, analysis</w:t>
      </w:r>
      <w:bookmarkEnd w:id="15"/>
    </w:p>
    <w:p>
      <w:pPr>
        <w:pStyle w:val="Subsection"/>
      </w:pPr>
      <w:r>
        <w:tab/>
        <w:t>(1)</w:t>
      </w:r>
      <w:r>
        <w:tab/>
        <w:t xml:space="preserve">The fees for the attendance of a prescribed sample taker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$200; and</w:t>
      </w:r>
    </w:p>
    <w:p>
      <w:pPr>
        <w:pStyle w:val="Indenta"/>
      </w:pPr>
      <w:r>
        <w:tab/>
        <w:t>(b)</w:t>
      </w:r>
      <w:r>
        <w:tab/>
        <w:t>where the analysis is for drug content — $480.</w:t>
      </w:r>
    </w:p>
    <w:p>
      <w:pPr>
        <w:pStyle w:val="Subsection"/>
      </w:pPr>
      <w:r>
        <w:tab/>
        <w:t>(4)</w:t>
      </w:r>
      <w:r>
        <w:tab/>
        <w:t>Only one fee is payable if a sample of urine is analysed for both alcohol and drug content and that fee is $480.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Gazette 23 Dec 2014 p. 4937</w:t>
      </w:r>
      <w:r>
        <w:noBreakHyphen/>
        <w:t>8; amended: Gazette 7 Feb 2017 p. 1176.]</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6" w:name="_Toc473014446"/>
      <w:bookmarkStart w:id="17" w:name="_Toc473037260"/>
      <w:bookmarkStart w:id="18" w:name="_Toc474231289"/>
      <w:bookmarkStart w:id="19" w:name="_Toc476654108"/>
      <w:bookmarkStart w:id="20" w:name="_Toc476658284"/>
      <w:r>
        <w:rPr>
          <w:rStyle w:val="CharSchNo"/>
        </w:rPr>
        <w:t>Schedule</w:t>
      </w:r>
      <w:bookmarkEnd w:id="16"/>
      <w:bookmarkEnd w:id="17"/>
      <w:bookmarkEnd w:id="18"/>
      <w:bookmarkEnd w:id="19"/>
      <w:bookmarkEnd w:id="20"/>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prescribed sample taker:</w:t>
      </w:r>
    </w:p>
    <w:p>
      <w:pPr>
        <w:pStyle w:val="yTable"/>
        <w:spacing w:before="120"/>
      </w:pPr>
      <w:r>
        <w:t>I, ............................................................................................................................. prescribed sample taker, hereby certify that — </w:t>
      </w:r>
    </w:p>
    <w:p>
      <w:pPr>
        <w:pStyle w:val="yTable"/>
        <w:tabs>
          <w:tab w:val="left" w:pos="426"/>
        </w:tabs>
        <w:spacing w:before="120"/>
      </w:pPr>
      <w:r>
        <w:t>1.</w:t>
      </w:r>
      <w:r>
        <w:tab/>
        <w:t>At the hour of ............................................................................................ m. on the ....................................................... day of .................................................. 20................. I collected a sample of the urine of .................................................. of ................................................................................................., a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Prescribed sample taker: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Gazette 30 Jan 2001 p. 627; 31 Dec 2009 p. 5318; 4 Nov 2014 p. 4206; 23 Dec 2014 p. 4938; 7 Feb 2017 p. 1176</w:t>
      </w:r>
      <w:r>
        <w:noBreakHyphen/>
        <w:t>7.]</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2" w:name="_Toc473014447"/>
      <w:bookmarkStart w:id="23" w:name="_Toc473037261"/>
      <w:bookmarkStart w:id="24" w:name="_Toc474231290"/>
      <w:bookmarkStart w:id="25" w:name="_Toc476654109"/>
      <w:bookmarkStart w:id="26" w:name="_Toc476658285"/>
      <w:r>
        <w:t>Notes</w:t>
      </w:r>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476658286"/>
      <w:r>
        <w:rPr>
          <w:snapToGrid w:val="0"/>
        </w:rP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trPr>
          <w:cantSplit/>
        </w:trPr>
        <w:tc>
          <w:tcPr>
            <w:tcW w:w="3119" w:type="dxa"/>
          </w:tcPr>
          <w:p>
            <w:pPr>
              <w:pStyle w:val="nTable"/>
              <w:spacing w:after="40"/>
              <w:ind w:right="113"/>
              <w:rPr>
                <w:i/>
              </w:rPr>
            </w:pPr>
            <w:r>
              <w:rPr>
                <w:i/>
              </w:rPr>
              <w:t xml:space="preserve">Road Safety Commission Regulations Amendment (Public Health) Regulations 2016 </w:t>
            </w:r>
            <w:r>
              <w:t>Pt. 3</w:t>
            </w:r>
          </w:p>
        </w:tc>
        <w:tc>
          <w:tcPr>
            <w:tcW w:w="1276" w:type="dxa"/>
          </w:tcPr>
          <w:p>
            <w:pPr>
              <w:pStyle w:val="nTable"/>
              <w:spacing w:after="40"/>
            </w:pPr>
            <w:r>
              <w:t>10 Jan 2017 p. 225-7</w:t>
            </w:r>
          </w:p>
        </w:tc>
        <w:tc>
          <w:tcPr>
            <w:tcW w:w="2693" w:type="dxa"/>
          </w:tcPr>
          <w:p>
            <w:pPr>
              <w:pStyle w:val="nTable"/>
              <w:spacing w:after="40"/>
              <w:rPr>
                <w:spacing w:val="-2"/>
              </w:rPr>
            </w:pPr>
            <w:r>
              <w:t xml:space="preserve">24 Jan 2017 (see r. 2(b) and </w:t>
            </w:r>
            <w:r>
              <w:rPr>
                <w:i/>
              </w:rPr>
              <w:t>Gazette</w:t>
            </w:r>
            <w:r>
              <w:t xml:space="preserve"> 10 Jan 2017 p. 165)</w:t>
            </w:r>
          </w:p>
        </w:tc>
      </w:tr>
      <w:tr>
        <w:trPr>
          <w:cantSplit/>
        </w:trPr>
        <w:tc>
          <w:tcPr>
            <w:tcW w:w="3119" w:type="dxa"/>
            <w:tcBorders>
              <w:bottom w:val="single" w:sz="4" w:space="0" w:color="auto"/>
            </w:tcBorders>
          </w:tcPr>
          <w:p>
            <w:pPr>
              <w:pStyle w:val="nTable"/>
              <w:spacing w:after="40"/>
              <w:ind w:right="113"/>
              <w:rPr>
                <w:i/>
              </w:rPr>
            </w:pPr>
            <w:r>
              <w:rPr>
                <w:i/>
              </w:rPr>
              <w:t>Road Traffic Regulations Amendment Regulations 2017</w:t>
            </w:r>
            <w:r>
              <w:t xml:space="preserve"> Pt. 4</w:t>
            </w:r>
          </w:p>
        </w:tc>
        <w:tc>
          <w:tcPr>
            <w:tcW w:w="1276" w:type="dxa"/>
            <w:tcBorders>
              <w:bottom w:val="single" w:sz="4" w:space="0" w:color="auto"/>
            </w:tcBorders>
          </w:tcPr>
          <w:p>
            <w:pPr>
              <w:pStyle w:val="nTable"/>
              <w:spacing w:after="40"/>
            </w:pPr>
            <w:r>
              <w:t>7 Feb 2017 p. 1171</w:t>
            </w:r>
            <w:r>
              <w:noBreakHyphen/>
              <w:t>7</w:t>
            </w:r>
          </w:p>
        </w:tc>
        <w:tc>
          <w:tcPr>
            <w:tcW w:w="2693" w:type="dxa"/>
            <w:tcBorders>
              <w:bottom w:val="single" w:sz="4" w:space="0" w:color="auto"/>
            </w:tcBorders>
          </w:tcPr>
          <w:p>
            <w:pPr>
              <w:pStyle w:val="nTable"/>
              <w:spacing w:after="40"/>
            </w:pPr>
            <w:r>
              <w:t xml:space="preserve">10 Mar 2017 (see r. 2(b) and </w:t>
            </w:r>
            <w:r>
              <w:rPr>
                <w:i/>
              </w:rPr>
              <w:t>Gazette</w:t>
            </w:r>
            <w:r>
              <w:t xml:space="preserve"> 7 Feb 2017 p. 1158</w:t>
            </w:r>
            <w:r>
              <w:noBreakHyphen/>
              <w:t>9)</w:t>
            </w:r>
          </w:p>
        </w:tc>
      </w:tr>
    </w:tbl>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29" w:name="_Toc473014449"/>
      <w:bookmarkStart w:id="30" w:name="_Toc473037263"/>
      <w:bookmarkStart w:id="31" w:name="_Toc474231293"/>
      <w:bookmarkStart w:id="32" w:name="_Toc476654111"/>
      <w:bookmarkStart w:id="33" w:name="_Toc476658287"/>
      <w:r>
        <w:rPr>
          <w:sz w:val="28"/>
        </w:rPr>
        <w:t>Defined terms</w:t>
      </w:r>
      <w:bookmarkEnd w:id="29"/>
      <w:bookmarkEnd w:id="30"/>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subject</w:t>
      </w:r>
      <w:r>
        <w:tab/>
        <w:t>3</w:t>
      </w:r>
    </w:p>
    <w:p>
      <w:pPr>
        <w:pStyle w:val="DefinedTerms"/>
      </w:pPr>
      <w:r>
        <w:t>technologist</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09355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69EDB-BE9A-423B-9845-11321492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2350</Words>
  <Characters>12927</Characters>
  <Application>Microsoft Office Word</Application>
  <DocSecurity>0</DocSecurity>
  <Lines>403</Lines>
  <Paragraphs>254</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15023</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1983 - 02-h0-01</dc:title>
  <dc:subject/>
  <dc:creator/>
  <cp:keywords/>
  <dc:description/>
  <cp:lastModifiedBy>svcMRProcess</cp:lastModifiedBy>
  <cp:revision>4</cp:revision>
  <cp:lastPrinted>2010-08-02T06:45:00Z</cp:lastPrinted>
  <dcterms:created xsi:type="dcterms:W3CDTF">2019-01-25T06:46:00Z</dcterms:created>
  <dcterms:modified xsi:type="dcterms:W3CDTF">2019-01-25T06:46:00Z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CommencementDate">
    <vt:lpwstr>20170310</vt:lpwstr>
  </property>
  <property fmtid="{D5CDD505-2E9C-101B-9397-08002B2CF9AE}" pid="7" name="AsAtDate">
    <vt:lpwstr>10 Mar 2017</vt:lpwstr>
  </property>
  <property fmtid="{D5CDD505-2E9C-101B-9397-08002B2CF9AE}" pid="8" name="Suffix">
    <vt:lpwstr>02-h0-01</vt:lpwstr>
  </property>
</Properties>
</file>