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1.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62" name="Picture 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Legal Profession Act 2008</w:t>
      </w:r>
      <w:r>
        <w:fldChar w:fldCharType="end"/>
      </w:r>
    </w:p>
    <w:p>
      <w:pPr>
        <w:pStyle w:val="NameofActRegPage1"/>
        <w:spacing w:before="120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Legal Profession Regulations 2009</w:t>
      </w:r>
      <w:r>
        <w:rPr>
          <w:sz w:val="48"/>
        </w:rPr>
        <w:fldChar w:fldCharType="end"/>
      </w:r>
    </w:p>
    <w:p>
      <w:pPr>
        <w:pStyle w:val="ReprintNo"/>
      </w:pPr>
      <w:r>
        <w:t>Reprint 2:  The regulations as at 3 March 2017</w:t>
      </w:r>
    </w:p>
    <w:p>
      <w:pPr>
        <w:tabs>
          <w:tab w:val="left" w:pos="567"/>
          <w:tab w:val="left" w:pos="851"/>
        </w:tabs>
        <w:ind w:left="851" w:hanging="851"/>
        <w:rPr>
          <w:b/>
          <w:sz w:val="20"/>
        </w:rPr>
      </w:pPr>
      <w:r>
        <w:rPr>
          <w:b/>
          <w:sz w:val="22"/>
        </w:rPr>
        <w:br w:type="page"/>
      </w:r>
      <w:r>
        <w:rPr>
          <w:b/>
          <w:sz w:val="20"/>
        </w:rPr>
        <w:lastRenderedPageBreak/>
        <w:tab/>
      </w:r>
      <w:r>
        <w:rPr>
          <w:b/>
          <w:sz w:val="20"/>
        </w:rPr>
        <w:tab/>
        <w:t>Guide for using this reprint</w:t>
      </w:r>
    </w:p>
    <w:p>
      <w:pPr>
        <w:tabs>
          <w:tab w:val="left" w:pos="567"/>
          <w:tab w:val="left" w:pos="851"/>
        </w:tabs>
        <w:spacing w:before="120" w:after="60"/>
        <w:ind w:left="851" w:hanging="851"/>
        <w:rPr>
          <w:b/>
          <w:i/>
          <w:sz w:val="20"/>
        </w:rPr>
      </w:pPr>
      <w:r>
        <w:rPr>
          <w:b/>
          <w:i/>
          <w:sz w:val="20"/>
        </w:rPr>
        <w:tab/>
      </w:r>
      <w:r>
        <w:rPr>
          <w:b/>
          <w:i/>
          <w:sz w:val="20"/>
        </w:rPr>
        <w:tab/>
        <w:t>What the reprint includes</w:t>
      </w:r>
    </w:p>
    <w:p>
      <w:pPr>
        <w:ind w:left="567"/>
        <w:rPr>
          <w:sz w:val="20"/>
        </w:rPr>
      </w:pPr>
      <w:r>
        <w:rPr>
          <w:noProof/>
          <w:sz w:val="20"/>
        </w:rPr>
        <mc:AlternateContent>
          <mc:Choice Requires="wpg">
            <w:drawing>
              <wp:anchor distT="0" distB="0" distL="114300" distR="114300" simplePos="0" relativeHeight="251666432" behindDoc="0" locked="0" layoutInCell="1" allowOverlap="1">
                <wp:simplePos x="0" y="0"/>
                <wp:positionH relativeFrom="column">
                  <wp:posOffset>555625</wp:posOffset>
                </wp:positionH>
                <wp:positionV relativeFrom="paragraph">
                  <wp:posOffset>2540</wp:posOffset>
                </wp:positionV>
                <wp:extent cx="3987800" cy="342900"/>
                <wp:effectExtent l="0" t="0" r="12700" b="19050"/>
                <wp:wrapNone/>
                <wp:docPr id="24" name="Group 24"/>
                <wp:cNvGraphicFramePr/>
                <a:graphic xmlns:a="http://schemas.openxmlformats.org/drawingml/2006/main">
                  <a:graphicData uri="http://schemas.microsoft.com/office/word/2010/wordprocessingGroup">
                    <wpg:wgp>
                      <wpg:cNvGrpSpPr/>
                      <wpg:grpSpPr>
                        <a:xfrm>
                          <a:off x="0" y="0"/>
                          <a:ext cx="3987800" cy="342900"/>
                          <a:chOff x="0" y="0"/>
                          <a:chExt cx="3987800" cy="342900"/>
                        </a:xfrm>
                      </wpg:grpSpPr>
                      <wpg:grpSp>
                        <wpg:cNvPr id="38" name="Group 38"/>
                        <wpg:cNvGrpSpPr/>
                        <wpg:grpSpPr>
                          <a:xfrm>
                            <a:off x="819150" y="88900"/>
                            <a:ext cx="158115" cy="158115"/>
                            <a:chOff x="0" y="0"/>
                            <a:chExt cx="158115" cy="158115"/>
                          </a:xfrm>
                        </wpg:grpSpPr>
                        <wps:wsp>
                          <wps:cNvPr id="35" name="Straight Connector 35"/>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36" name="Straight Connector 36"/>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39" name="Group 39"/>
                        <wpg:cNvGrpSpPr/>
                        <wpg:grpSpPr>
                          <a:xfrm>
                            <a:off x="1828800" y="88900"/>
                            <a:ext cx="158115" cy="158115"/>
                            <a:chOff x="0" y="0"/>
                            <a:chExt cx="158115" cy="158115"/>
                          </a:xfrm>
                        </wpg:grpSpPr>
                        <wps:wsp>
                          <wps:cNvPr id="40" name="Straight Connector 40"/>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41" name="Straight Connector 41"/>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47" name="Group 47"/>
                        <wpg:cNvGrpSpPr/>
                        <wpg:grpSpPr>
                          <a:xfrm>
                            <a:off x="3079750" y="120650"/>
                            <a:ext cx="158115" cy="104140"/>
                            <a:chOff x="0" y="0"/>
                            <a:chExt cx="158115" cy="104140"/>
                          </a:xfrm>
                        </wpg:grpSpPr>
                        <wps:wsp>
                          <wps:cNvPr id="43" name="Straight Connector 43"/>
                          <wps:cNvCnPr/>
                          <wps:spPr>
                            <a:xfrm>
                              <a:off x="0" y="50800"/>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45" name="Straight Connector 45"/>
                          <wps:cNvCnPr/>
                          <wps:spPr>
                            <a:xfrm flipH="1" flipV="1">
                              <a:off x="76200" y="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46" name="Straight Connector 46"/>
                          <wps:cNvCnPr/>
                          <wps:spPr>
                            <a:xfrm rot="10800000" flipH="1">
                              <a:off x="76200" y="5715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s:wsp>
                        <wps:cNvPr id="25" name="Text Box 1"/>
                        <wps:cNvSpPr txBox="1"/>
                        <wps:spPr>
                          <a:xfrm>
                            <a:off x="0" y="0"/>
                            <a:ext cx="781050" cy="34163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Regulations as published</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32" name="Text Box 32"/>
                        <wps:cNvSpPr txBox="1"/>
                        <wps:spPr>
                          <a:xfrm>
                            <a:off x="1009650" y="0"/>
                            <a:ext cx="7810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legislative amendments</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33" name="Text Box 33"/>
                        <wps:cNvSpPr txBox="1"/>
                        <wps:spPr>
                          <a:xfrm>
                            <a:off x="2019300" y="0"/>
                            <a:ext cx="10096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i/>
                                  <w:sz w:val="18"/>
                                  <w:szCs w:val="18"/>
                                </w:rPr>
                              </w:pPr>
                              <w:r>
                                <w:rPr>
                                  <w:sz w:val="18"/>
                                  <w:szCs w:val="18"/>
                                </w:rPr>
                                <w:t>changes under the</w:t>
                              </w:r>
                              <w:r>
                                <w:rPr>
                                  <w:sz w:val="18"/>
                                  <w:szCs w:val="18"/>
                                </w:rPr>
                                <w:br/>
                              </w:r>
                              <w:r>
                                <w:rPr>
                                  <w:i/>
                                  <w:sz w:val="18"/>
                                  <w:szCs w:val="18"/>
                                </w:rPr>
                                <w:t>Reprints Act 1984</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34" name="Text Box 34"/>
                        <wps:cNvSpPr txBox="1"/>
                        <wps:spPr>
                          <a:xfrm>
                            <a:off x="3295650" y="0"/>
                            <a:ext cx="6921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this reprint</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g:wgp>
                  </a:graphicData>
                </a:graphic>
              </wp:anchor>
            </w:drawing>
          </mc:Choice>
          <mc:Fallback>
            <w:pict>
              <v:group id="Group 24" o:spid="_x0000_s1026" style="position:absolute;left:0;text-align:left;margin-left:43.75pt;margin-top:.2pt;width:314pt;height:27pt;z-index:251666432" coordsize="39878,34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">
                <v:group id="Group 38" o:spid="_x0000_s1027" style="position:absolute;left:8191;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Fj+knzCAAAA2wAAAA8A&#10;AAAAAAAAAAAAAAAAqgIAAGRycy9kb3ducmV2LnhtbFBLBQYAAAAABAAEAPoAAACZAwAAAAA=&#10;">
                  <v:line id="Straight Connector 35" o:spid="_x0000_s1028"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z4CYMQAAADbAAAADwAAAGRycy9kb3ducmV2LnhtbESPUWsCMRCE34X+h7AF3zRXRdHTKFIo&#10;iO1LbX/AelnvDi+ba7Lq6a9vCgUfh5n5hlmuO9eoC4VYezbwMsxAERfe1lwa+P56G8xARUG22Hgm&#10;AzeKsF499ZaYW3/lT7rspVQJwjFHA5VIm2sdi4ocxqFviZN39MGhJBlKbQNeE9w1epRlU+2w5rRQ&#10;YUuvFRWn/dkZ+Hn/2MbboRnJdHLfncJmNpdxNKb/3G0WoIQ6eYT/21trYDyBvy/pB+jVL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LPgJgxAAAANsAAAAPAAAAAAAAAAAA&#10;AAAAAKECAABkcnMvZG93bnJldi54bWxQSwUGAAAAAAQABAD5AAAAkgMAAAAA&#10;" strokecolor="#4579b8 [3044]"/>
                  <v:line id="Straight Connector 36" o:spid="_x0000_s1029"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T3M9MYAAADbAAAADwAAAGRycy9kb3ducmV2LnhtbESPT2sCMRTE7wW/Q3iCl6LZtlZlNUor&#10;CvVU/HPw+Eyeu8tuXtZN1O23b4RCj8PM/IaZLVpbiRs1vnCs4GWQgCDWzhScKTjs1/0JCB+QDVaO&#10;ScEPeVjMO08zTI2785Zuu5CJCGGfooI8hDqV0uucLPqBq4mjd3aNxRBlk0nT4D3CbSVfk2QkLRYc&#10;F3KsaZmTLndXq6Ash5vDZZ+8r5+P7vuiV6dSf46V6nXbjymIQG34D/+1v4yCtxE8vsQfIOe/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E9zPTGAAAA2wAAAA8AAAAAAAAA&#10;AAAAAAAAoQIAAGRycy9kb3ducmV2LnhtbFBLBQYAAAAABAAEAPkAAACUAwAAAAA=&#10;" strokecolor="#4579b8 [3044]"/>
                </v:group>
                <v:group id="Group 39" o:spid="_x0000_s1030" style="position:absolute;left:18288;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N7I358QAAADbAAAA&#10;DwAAAAAAAAAAAAAAAACqAgAAZHJzL2Rvd25yZXYueG1sUEsFBgAAAAAEAAQA+gAAAJsDAAAAAA==&#10;">
                  <v:line id="Straight Connector 40" o:spid="_x0000_s1031"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0/ShcEAAADbAAAADwAAAGRycy9kb3ducmV2LnhtbERPzWoCMRC+C32HMAVvmq1/2K1RRCiI&#10;9aL2Aaab6e7iZrImU1379M2h4PHj+1+sOteoK4VYezbwMsxAERfe1lwa+Dy9D+agoiBbbDyTgTtF&#10;WC2fegvMrb/xga5HKVUK4ZijgUqkzbWORUUO49C3xIn79sGhJBhKbQPeUrhr9CjLZtphzamhwpY2&#10;FRXn448zcPnYb+P9qxnJbPq7O4f1/FXG0Zj+c7d+AyXUyUP8795aA5O0Pn1JP0Av/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DT9KFwQAAANsAAAAPAAAAAAAAAAAAAAAA&#10;AKECAABkcnMvZG93bnJldi54bWxQSwUGAAAAAAQABAD5AAAAjwMAAAAA&#10;" strokecolor="#4579b8 [3044]"/>
                  <v:line id="Straight Connector 41" o:spid="_x0000_s1032"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tIn/cYAAADbAAAADwAAAGRycy9kb3ducmV2LnhtbESPQWvCQBSE74L/YXlCL6VuUrQt0TXY&#10;UsGepOqhx+fuMwnJvo3ZrcZ/3xUKHoeZ+YaZ571txJk6XzlWkI4TEMTamYoLBfvd6ukNhA/IBhvH&#10;pOBKHvLFcDDHzLgLf9N5GwoRIewzVFCG0GZSel2SRT92LXH0jq6zGKLsCmk6vES4beRzkrxIixXH&#10;hRJb+ihJ19tfq6CuJ1/70y6Zrh5/3OakPw+1fn9V6mHUL2cgAvXhHv5vr42CSQq3L/EHyMU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bSJ/3GAAAA2wAAAA8AAAAAAAAA&#10;AAAAAAAAoQIAAGRycy9kb3ducmV2LnhtbFBLBQYAAAAABAAEAPkAAACUAwAAAAA=&#10;" strokecolor="#4579b8 [3044]"/>
                </v:group>
                <v:group id="Group 47" o:spid="_x0000_s1033" style="position:absolute;left:30797;top:1206;width:1581;height:1041" coordsize="158115,1041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xZ3VzxgAAANsA&#10;AAAPAAAAAAAAAAAAAAAAAKoCAABkcnMvZG93bnJldi54bWxQSwUGAAAAAAQABAD6AAAAnQMAAAAA&#10;">
                  <v:line id="Straight Connector 43" o:spid="_x0000_s1034" style="position:absolute;visibility:visible;mso-wrap-style:square" from="0,50800" to="158115,508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51M8sQAAADbAAAADwAAAGRycy9kb3ducmV2LnhtbESPzWoCQRCE74G8w9ABb3E2/qEbR5FA&#10;QEwuMT5Au9PuLu70bGY6uvr0mYDgsaiqr6j5snONOlGItWcDL/0MFHHhbc2lgd33+/MUVBRki41n&#10;MnChCMvF48Mcc+vP/EWnrZQqQTjmaKASaXOtY1GRw9j3LXHyDj44lCRDqW3Ac4K7Rg+ybKId1pwW&#10;KmzpraLiuP11Bn4+Ptfxsm8GMhlfN8ewms5kGI3pPXWrV1BCndzDt/baGhgN4f9L+gF68Q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znUzyxAAAANsAAAAPAAAAAAAAAAAA&#10;AAAAAKECAABkcnMvZG93bnJldi54bWxQSwUGAAAAAAQABAD5AAAAkgMAAAAA&#10;" strokecolor="#4579b8 [3044]"/>
                  <v:line id="Straight Connector 45" o:spid="_x0000_s1035" style="position:absolute;flip:x y;visibility:visible;mso-wrap-style:square" from="76200,0" to="158115,469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JaGsQAAADbAAAADwAAAGRycy9kb3ducmV2LnhtbESPQWvCQBSE74L/YXmCt7qpaJHoKlVU&#10;7KkYe+ntkX0mwezbuLvG2F/fLRQ8DjPzDbNYdaYWLTlfWVbwOkpAEOdWV1wo+DrtXmYgfEDWWFsm&#10;BQ/ysFr2ewtMtb3zkdosFCJC2KeooAyhSaX0eUkG/cg2xNE7W2cwROkKqR3eI9zUcpwkb9JgxXGh&#10;xIY2JeWX7GYU6O3Pvq2v+cXIj8d6+zmZolt/KzUcdO9zEIG68Az/tw9awWQKf1/iD5DLX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34loaxAAAANsAAAAPAAAAAAAAAAAA&#10;AAAAAKECAABkcnMvZG93bnJldi54bWxQSwUGAAAAAAQABAD5AAAAkgMAAAAA&#10;" strokecolor="#4579b8 [3044]"/>
                  <v:line id="Straight Connector 46" o:spid="_x0000_s1036" style="position:absolute;rotation:180;flip:x;visibility:visible;mso-wrap-style:square" from="76200,57150" to="158115,1041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dTxj8QAAADbAAAADwAAAGRycy9kb3ducmV2LnhtbESPT2vCQBTE7wW/w/KE3ppNQ0hKdJUq&#10;FFrpxfTP+ZF9JsHs25BdTfTTuwWhx2FmfsMs15PpxJkG11pW8BzFIIgrq1uuFXx/vT29gHAeWWNn&#10;mRRcyMF6NXtYYqHtyHs6l74WAcKuQAWN930hpasaMugi2xMH72AHgz7IoZZ6wDHATSeTOM6kwZbD&#10;QoM9bRuqjuXJKIivnatOycduk+dtmaQ/7pcPn0o9zqfXBQhPk/8P39vvWkGawd+X8APk6gY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Z1PGPxAAAANsAAAAPAAAAAAAAAAAA&#10;AAAAAKECAABkcnMvZG93bnJldi54bWxQSwUGAAAAAAQABAD5AAAAkgMAAAAA&#10;" strokecolor="#4579b8 [3044]"/>
                </v:group>
                <v:shapetype id="_x0000_t202" coordsize="21600,21600" o:spt="202" path="m,l,21600r21600,l21600,xe">
                  <v:stroke joinstyle="miter"/>
                  <v:path gradientshapeok="t" o:connecttype="rect"/>
                </v:shapetype>
                <v:shape id="Text Box 1" o:spid="_x0000_s1037" type="#_x0000_t202" style="position:absolute;width:7810;height:34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TYxY8UA&#10;AADbAAAADwAAAGRycy9kb3ducmV2LnhtbESPQWvCQBSE74X+h+UJvTUbhUqNriKFlLb2UqMHb8/s&#10;Mwlm34bdVaO/3i0Uehxm5htmtuhNK87kfGNZwTBJQRCXVjdcKdgU+fMrCB+QNbaWScGVPCzmjw8z&#10;zLS98A+d16ESEcI+QwV1CF0mpS9rMugT2xFH72CdwRClq6R2eIlw08pRmo6lwYbjQo0dvdVUHtcn&#10;oyD/uvF7MS6/t/1pstsWtHf550qpp0G/nIII1If/8F/7QysYvcDvl/gD5Pw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dNjFjxQAAANsAAAAPAAAAAAAAAAAAAAAAAJgCAABkcnMv&#10;ZG93bnJldi54bWxQSwUGAAAAAAQABAD1AAAAigMAAAAA&#10;" fillcolor="white [3201]" strokeweight=".5pt">
                  <v:textbox inset="2mm,1mm,2mm,1mm">
                    <w:txbxContent>
                      <w:p w:rsidR="00FF30B7" w:rsidRDefault="00FF30B7">
                        <w:pPr>
                          <w:rPr>
                            <w:sz w:val="18"/>
                            <w:szCs w:val="18"/>
                          </w:rPr>
                        </w:pPr>
                        <w:r>
                          <w:rPr>
                            <w:sz w:val="18"/>
                            <w:szCs w:val="18"/>
                          </w:rPr>
                          <w:t>Regulations as published</w:t>
                        </w:r>
                      </w:p>
                    </w:txbxContent>
                  </v:textbox>
                </v:shape>
                <v:shape id="Text Box 32" o:spid="_x0000_s1038" type="#_x0000_t202" style="position:absolute;left:10096;width:7811;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wY/ysUA&#10;AADbAAAADwAAAGRycy9kb3ducmV2LnhtbESPQWvCQBSE74X+h+UJvTUbLUiNriKFlLb2UqMHb8/s&#10;Mwlm34bdVaO/3i0Uehxm5htmtuhNK87kfGNZwTBJQRCXVjdcKdgU+fMrCB+QNbaWScGVPCzmjw8z&#10;zLS98A+d16ESEcI+QwV1CF0mpS9rMugT2xFH72CdwRClq6R2eIlw08pRmo6lwYbjQo0dvdVUHtcn&#10;oyD/uvF7MS6/t/1pstsWtHf550qpp0G/nIII1If/8F/7Qyt4GcHvl/gD5Pw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XBj/KxQAAANsAAAAPAAAAAAAAAAAAAAAAAJgCAABkcnMv&#10;ZG93bnJldi54bWxQSwUGAAAAAAQABAD1AAAAigMAAAAA&#10;" fillcolor="white [3201]" strokeweight=".5pt">
                  <v:textbox inset="2mm,1mm,2mm,1mm">
                    <w:txbxContent>
                      <w:p w:rsidR="00FF30B7" w:rsidRDefault="00FF30B7">
                        <w:pPr>
                          <w:rPr>
                            <w:sz w:val="18"/>
                            <w:szCs w:val="18"/>
                          </w:rPr>
                        </w:pPr>
                        <w:r>
                          <w:rPr>
                            <w:sz w:val="18"/>
                            <w:szCs w:val="18"/>
                          </w:rPr>
                          <w:t>legislative amendments</w:t>
                        </w:r>
                      </w:p>
                    </w:txbxContent>
                  </v:textbox>
                </v:shape>
                <v:shape id="Text Box 33" o:spid="_x0000_s1039" type="#_x0000_t202" style="position:absolute;left:20193;width:10096;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EqaUcUA&#10;AADbAAAADwAAAGRycy9kb3ducmV2LnhtbESPQWvCQBSE74L/YXkFb7qpgtjUVYoQUetFUw+9vWZf&#10;k9Ds27C7atpf3xUEj8PMfMPMl51pxIWcry0reB4lIIgLq2suFXzk2XAGwgdkjY1lUvBLHpaLfm+O&#10;qbZXPtDlGEoRIexTVFCF0KZS+qIig35kW+LofVtnMETpSqkdXiPcNHKcJFNpsOa4UGFLq4qKn+PZ&#10;KMh2f7zOp8X+1J1fPk85fbls+67U4Kl7ewURqAuP8L290QomE7h9iT9ALv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4SppRxQAAANsAAAAPAAAAAAAAAAAAAAAAAJgCAABkcnMv&#10;ZG93bnJldi54bWxQSwUGAAAAAAQABAD1AAAAigMAAAAA&#10;" fillcolor="white [3201]" strokeweight=".5pt">
                  <v:textbox inset="2mm,1mm,2mm,1mm">
                    <w:txbxContent>
                      <w:p w:rsidR="00FF30B7" w:rsidRDefault="00FF30B7">
                        <w:pPr>
                          <w:rPr>
                            <w:i/>
                            <w:sz w:val="18"/>
                            <w:szCs w:val="18"/>
                          </w:rPr>
                        </w:pPr>
                        <w:r>
                          <w:rPr>
                            <w:sz w:val="18"/>
                            <w:szCs w:val="18"/>
                          </w:rPr>
                          <w:t>changes under the</w:t>
                        </w:r>
                        <w:r>
                          <w:rPr>
                            <w:sz w:val="18"/>
                            <w:szCs w:val="18"/>
                          </w:rPr>
                          <w:br/>
                        </w:r>
                        <w:r>
                          <w:rPr>
                            <w:i/>
                            <w:sz w:val="18"/>
                            <w:szCs w:val="18"/>
                          </w:rPr>
                          <w:t>Reprints Act 1984</w:t>
                        </w:r>
                      </w:p>
                    </w:txbxContent>
                  </v:textbox>
                </v:shape>
                <v:shape id="Text Box 34" o:spid="_x0000_s1040" type="#_x0000_t202" style="position:absolute;left:32956;width:6922;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6MCJcUA&#10;AADbAAAADwAAAGRycy9kb3ducmV2LnhtbESPQWvCQBSE70L/w/IK3nRTLdJGVylCxNZeavTg7Zl9&#10;TUKzb8Puqml/fVcQPA4z8w0zW3SmEWdyvras4GmYgCAurK65VLDLs8ELCB+QNTaWScEveVjMH3oz&#10;TLW98Bedt6EUEcI+RQVVCG0qpS8qMuiHtiWO3rd1BkOUrpTa4SXCTSNHSTKRBmuOCxW2tKyo+Nme&#10;jILs449X+aT43Hen18M+p6PL3jdK9R+7tymIQF24h2/ttVYwfobrl/gD5Pw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3owIlxQAAANsAAAAPAAAAAAAAAAAAAAAAAJgCAABkcnMv&#10;ZG93bnJldi54bWxQSwUGAAAAAAQABAD1AAAAigMAAAAA&#10;" fillcolor="white [3201]" strokeweight=".5pt">
                  <v:textbox inset="2mm,1mm,2mm,1mm">
                    <w:txbxContent>
                      <w:p w:rsidR="00FF30B7" w:rsidRDefault="00FF30B7">
                        <w:pPr>
                          <w:rPr>
                            <w:sz w:val="18"/>
                            <w:szCs w:val="18"/>
                          </w:rPr>
                        </w:pPr>
                        <w:r>
                          <w:rPr>
                            <w:sz w:val="18"/>
                            <w:szCs w:val="18"/>
                          </w:rPr>
                          <w:t>this reprint</w:t>
                        </w:r>
                      </w:p>
                    </w:txbxContent>
                  </v:textbox>
                </v:shape>
              </v:group>
            </w:pict>
          </mc:Fallback>
        </mc:AlternateContent>
      </w:r>
    </w:p>
    <w:p>
      <w:pPr>
        <w:tabs>
          <w:tab w:val="left" w:pos="567"/>
          <w:tab w:val="left" w:pos="851"/>
        </w:tabs>
        <w:spacing w:before="440"/>
        <w:ind w:left="851" w:hanging="851"/>
        <w:rPr>
          <w:b/>
          <w:i/>
          <w:sz w:val="20"/>
        </w:rPr>
      </w:pPr>
      <w:r>
        <w:rPr>
          <w:b/>
          <w:i/>
          <w:sz w:val="20"/>
        </w:rPr>
        <w:tab/>
      </w:r>
      <w:r>
        <w:rPr>
          <w:b/>
          <w:i/>
          <w:sz w:val="20"/>
        </w:rPr>
        <w:tab/>
        <w:t>Endnotes, Compilation table, and Table of provisions that have not come into operation</w:t>
      </w:r>
    </w:p>
    <w:p>
      <w:pPr>
        <w:tabs>
          <w:tab w:val="left" w:pos="567"/>
          <w:tab w:val="left" w:pos="851"/>
        </w:tabs>
        <w:ind w:left="851" w:hanging="851"/>
        <w:rPr>
          <w:sz w:val="20"/>
        </w:rPr>
      </w:pPr>
      <w:r>
        <w:rPr>
          <w:sz w:val="20"/>
        </w:rPr>
        <w:tab/>
        <w:t>1.</w:t>
      </w:r>
      <w:r>
        <w:rPr>
          <w:sz w:val="20"/>
        </w:rPr>
        <w:tab/>
        <w:t>Details about the original regulations and legislation that has amended its text are shown in the Compilation table in endnote 1, at the back of the reprint.  The table also shows any previous reprint.</w:t>
      </w:r>
    </w:p>
    <w:p>
      <w:pPr>
        <w:tabs>
          <w:tab w:val="left" w:pos="567"/>
          <w:tab w:val="left" w:pos="851"/>
        </w:tabs>
        <w:spacing w:before="60"/>
        <w:ind w:left="851" w:hanging="851"/>
        <w:rPr>
          <w:sz w:val="20"/>
        </w:rPr>
      </w:pPr>
      <w:r>
        <w:rPr>
          <w:sz w:val="20"/>
        </w:rPr>
        <w:tab/>
        <w:t>2.</w:t>
      </w:r>
      <w:r>
        <w:rPr>
          <w:sz w:val="20"/>
        </w:rPr>
        <w:tab/>
        <w:t>Transitional, savings, modifying or other provisions identified in the Compilation table may be important.  The table may refer to another endnote setting out the text of these provisions in full.</w:t>
      </w:r>
    </w:p>
    <w:p>
      <w:pPr>
        <w:tabs>
          <w:tab w:val="left" w:pos="567"/>
          <w:tab w:val="left" w:pos="851"/>
        </w:tabs>
        <w:spacing w:before="60"/>
        <w:ind w:left="851" w:hanging="851"/>
        <w:rPr>
          <w:sz w:val="20"/>
        </w:rPr>
      </w:pPr>
      <w:r>
        <w:rPr>
          <w:sz w:val="20"/>
        </w:rPr>
        <w:tab/>
        <w:t>3.</w:t>
      </w:r>
      <w:r>
        <w:rPr>
          <w:sz w:val="20"/>
        </w:rPr>
        <w:tab/>
        <w:t>A table of provisions that have not come into operation, to be found in endnote 1a if it is needed, lists any provisions of the regulations being reprinted that have not come into operation and any amendments that have not come into operation.  The full text is set out in another endnote that is referred to in the table.</w:t>
      </w:r>
    </w:p>
    <w:p>
      <w:pPr>
        <w:tabs>
          <w:tab w:val="left" w:pos="567"/>
          <w:tab w:val="left" w:pos="851"/>
        </w:tabs>
        <w:spacing w:before="120"/>
        <w:ind w:left="851" w:hanging="851"/>
        <w:rPr>
          <w:b/>
          <w:i/>
          <w:sz w:val="20"/>
        </w:rPr>
      </w:pPr>
      <w:r>
        <w:rPr>
          <w:b/>
          <w:sz w:val="20"/>
        </w:rPr>
        <w:tab/>
      </w:r>
      <w:r>
        <w:rPr>
          <w:b/>
          <w:sz w:val="20"/>
        </w:rPr>
        <w:tab/>
      </w:r>
      <w:r>
        <w:rPr>
          <w:b/>
          <w:i/>
          <w:sz w:val="20"/>
        </w:rPr>
        <w:t>Notes amongst text (italicised and within square brackets)</w:t>
      </w:r>
    </w:p>
    <w:p>
      <w:pPr>
        <w:tabs>
          <w:tab w:val="left" w:pos="567"/>
          <w:tab w:val="left" w:pos="851"/>
        </w:tabs>
        <w:ind w:left="851" w:hanging="851"/>
        <w:rPr>
          <w:sz w:val="20"/>
        </w:rPr>
      </w:pPr>
      <w:r>
        <w:rPr>
          <w:sz w:val="20"/>
        </w:rPr>
        <w:tab/>
        <w:t>1.</w:t>
      </w:r>
      <w:r>
        <w:rPr>
          <w:sz w:val="20"/>
        </w:rPr>
        <w:tab/>
        <w:t>If the reprint includes a regulation that was inserted, or has been amended, since the regulations being reprinted were made, editorial notes at the foot of the regulation give some history of how the regulation came to be as it is.  If the regulation replaced an earlier regulation, no history of the earlier regulation is given (the full history of the regulations is in the Compilation table).</w:t>
      </w:r>
    </w:p>
    <w:p>
      <w:pPr>
        <w:tabs>
          <w:tab w:val="left" w:pos="567"/>
          <w:tab w:val="left" w:pos="851"/>
        </w:tabs>
        <w:spacing w:before="60"/>
        <w:ind w:left="851" w:hanging="851"/>
        <w:rPr>
          <w:sz w:val="20"/>
        </w:rPr>
      </w:pPr>
      <w:r>
        <w:rPr>
          <w:sz w:val="20"/>
        </w:rPr>
        <w:tab/>
      </w:r>
      <w:r>
        <w:rPr>
          <w:sz w:val="20"/>
        </w:rPr>
        <w:tab/>
        <w:t>Notes of this kind may also be at the foot of Schedules or headings.</w:t>
      </w:r>
    </w:p>
    <w:p>
      <w:pPr>
        <w:tabs>
          <w:tab w:val="left" w:pos="567"/>
          <w:tab w:val="left" w:pos="851"/>
        </w:tabs>
        <w:spacing w:before="60"/>
        <w:ind w:left="851" w:hanging="851"/>
        <w:rPr>
          <w:sz w:val="20"/>
        </w:rPr>
      </w:pPr>
      <w:r>
        <w:rPr>
          <w:sz w:val="20"/>
        </w:rPr>
        <w:tab/>
        <w:t>2.</w:t>
      </w:r>
      <w:r>
        <w:rPr>
          <w:sz w:val="20"/>
        </w:rPr>
        <w:tab/>
        <w:t xml:space="preserve">The other kind of editorial note shows something has been — </w:t>
      </w:r>
    </w:p>
    <w:p>
      <w:pPr>
        <w:numPr>
          <w:ilvl w:val="0"/>
          <w:numId w:val="4"/>
        </w:numPr>
        <w:tabs>
          <w:tab w:val="num" w:pos="1197"/>
        </w:tabs>
        <w:ind w:left="1208" w:hanging="357"/>
        <w:rPr>
          <w:sz w:val="20"/>
        </w:rPr>
      </w:pPr>
      <w:r>
        <w:rPr>
          <w:sz w:val="20"/>
        </w:rPr>
        <w:t>removed (because it was repealed or deleted from the law); or</w:t>
      </w:r>
    </w:p>
    <w:p>
      <w:pPr>
        <w:numPr>
          <w:ilvl w:val="0"/>
          <w:numId w:val="4"/>
        </w:numPr>
        <w:tabs>
          <w:tab w:val="num" w:pos="1197"/>
        </w:tabs>
        <w:ind w:left="1208" w:hanging="357"/>
        <w:rPr>
          <w:sz w:val="20"/>
        </w:rPr>
      </w:pPr>
      <w:r>
        <w:rPr>
          <w:sz w:val="20"/>
        </w:rPr>
        <w:t xml:space="preserve">omitted under the </w:t>
      </w:r>
      <w:r>
        <w:rPr>
          <w:i/>
          <w:sz w:val="20"/>
        </w:rPr>
        <w:t>Reprints Act 1984</w:t>
      </w:r>
      <w:r>
        <w:rPr>
          <w:sz w:val="20"/>
        </w:rPr>
        <w:t xml:space="preserve"> s. 7(4) (because, although still technically part of the text, it no longer has any effect).</w:t>
      </w:r>
    </w:p>
    <w:p>
      <w:pPr>
        <w:spacing w:before="60"/>
        <w:ind w:left="851"/>
        <w:rPr>
          <w:sz w:val="20"/>
        </w:rPr>
      </w:pPr>
      <w:r>
        <w:rPr>
          <w:sz w:val="20"/>
        </w:rPr>
        <w:t>The text of anything removed or omitted can be found in an earlier reprint (if there is one) or one of the written laws identified in the Compilation table.</w:t>
      </w:r>
    </w:p>
    <w:p>
      <w:pPr>
        <w:tabs>
          <w:tab w:val="left" w:pos="567"/>
          <w:tab w:val="left" w:pos="851"/>
        </w:tabs>
        <w:spacing w:before="120"/>
        <w:ind w:left="851" w:hanging="851"/>
        <w:rPr>
          <w:b/>
          <w:i/>
          <w:sz w:val="20"/>
        </w:rPr>
      </w:pPr>
      <w:r>
        <w:rPr>
          <w:b/>
          <w:i/>
          <w:sz w:val="20"/>
        </w:rPr>
        <w:tab/>
      </w:r>
      <w:r>
        <w:rPr>
          <w:b/>
          <w:i/>
          <w:sz w:val="20"/>
        </w:rPr>
        <w:tab/>
        <w:t>Reprint numbering and date</w:t>
      </w:r>
    </w:p>
    <w:p>
      <w:pPr>
        <w:tabs>
          <w:tab w:val="left" w:pos="567"/>
          <w:tab w:val="left" w:pos="851"/>
        </w:tabs>
        <w:ind w:left="851" w:hanging="851"/>
        <w:rPr>
          <w:spacing w:val="-3"/>
          <w:sz w:val="20"/>
        </w:rPr>
      </w:pPr>
      <w:r>
        <w:rPr>
          <w:spacing w:val="-3"/>
          <w:sz w:val="20"/>
        </w:rPr>
        <w:tab/>
        <w:t>1.</w:t>
      </w:r>
      <w:r>
        <w:rPr>
          <w:spacing w:val="-3"/>
          <w:sz w:val="20"/>
        </w:rPr>
        <w:tab/>
        <w:t>The reprint number (in the footer of each page of the document) shows how many times the regulations have been reprinted.  For example, numbering a reprint as “Reprint 3” would mean that the reprint was the 3</w:t>
      </w:r>
      <w:r>
        <w:rPr>
          <w:spacing w:val="-3"/>
          <w:sz w:val="20"/>
          <w:vertAlign w:val="superscript"/>
        </w:rPr>
        <w:t>rd</w:t>
      </w:r>
      <w:r>
        <w:rPr>
          <w:spacing w:val="-3"/>
          <w:sz w:val="20"/>
        </w:rPr>
        <w:t xml:space="preserve"> reprint since the regulations were published.  Reprint numbering was implemented as from 1 January 2003.</w:t>
      </w:r>
    </w:p>
    <w:p>
      <w:pPr>
        <w:tabs>
          <w:tab w:val="left" w:pos="567"/>
        </w:tabs>
        <w:spacing w:before="60"/>
        <w:ind w:left="851" w:hanging="851"/>
        <w:rPr>
          <w:spacing w:val="-3"/>
          <w:sz w:val="20"/>
        </w:rPr>
      </w:pPr>
      <w:r>
        <w:rPr>
          <w:spacing w:val="-3"/>
          <w:sz w:val="20"/>
        </w:rPr>
        <w:tab/>
        <w:t>2.</w:t>
      </w:r>
      <w:r>
        <w:rPr>
          <w:spacing w:val="-3"/>
          <w:sz w:val="20"/>
        </w:rPr>
        <w:tab/>
        <w:t>The information in the reprint is current on the date shown as the date as at which the regulations are reprinted.  That date is not the date when the reprint was published by the State Law Publisher and it is probably not the date when the most recent amendment had effect.</w:t>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3 March 2017</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Legal Profession Regulations 2009</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_Toc476040961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_Toc476040962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_Toc476040963 \h </w:instrText>
      </w:r>
      <w:r>
        <w:fldChar w:fldCharType="separate"/>
      </w:r>
      <w:r>
        <w:t>1</w:t>
      </w:r>
      <w:r>
        <w:fldChar w:fldCharType="end"/>
      </w:r>
    </w:p>
    <w:p>
      <w:pPr>
        <w:pStyle w:val="TOC8"/>
        <w:rPr>
          <w:rFonts w:asciiTheme="minorHAnsi" w:eastAsiaTheme="minorEastAsia" w:hAnsiTheme="minorHAnsi" w:cstheme="minorBidi"/>
          <w:szCs w:val="22"/>
        </w:rPr>
      </w:pPr>
      <w:r>
        <w:t>4.</w:t>
      </w:r>
      <w:r>
        <w:tab/>
        <w:t>Home jurisdiction of associate, determining (Act s. 7(4)(b)(iii))</w:t>
      </w:r>
      <w:r>
        <w:tab/>
      </w:r>
      <w:r>
        <w:fldChar w:fldCharType="begin"/>
      </w:r>
      <w:r>
        <w:instrText xml:space="preserve"> PAGEREF _Toc476040964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Reservation of legal work and related matters</w:t>
      </w:r>
    </w:p>
    <w:p>
      <w:pPr>
        <w:pStyle w:val="TOC8"/>
        <w:rPr>
          <w:rFonts w:asciiTheme="minorHAnsi" w:eastAsiaTheme="minorEastAsia" w:hAnsiTheme="minorHAnsi" w:cstheme="minorBidi"/>
          <w:szCs w:val="22"/>
        </w:rPr>
      </w:pPr>
      <w:r>
        <w:t>5A.</w:t>
      </w:r>
      <w:r>
        <w:tab/>
        <w:t>Exceptions to prohibition on engaging in legal practice when not entitled (Act s. 12(3)(h))</w:t>
      </w:r>
      <w:r>
        <w:tab/>
      </w:r>
      <w:r>
        <w:fldChar w:fldCharType="begin"/>
      </w:r>
      <w:r>
        <w:instrText xml:space="preserve"> PAGEREF _Toc476040966 \h </w:instrText>
      </w:r>
      <w:r>
        <w:fldChar w:fldCharType="separate"/>
      </w:r>
      <w:r>
        <w:t>3</w:t>
      </w:r>
      <w:r>
        <w:fldChar w:fldCharType="end"/>
      </w:r>
    </w:p>
    <w:p>
      <w:pPr>
        <w:pStyle w:val="TOC8"/>
        <w:rPr>
          <w:rFonts w:asciiTheme="minorHAnsi" w:eastAsiaTheme="minorEastAsia" w:hAnsiTheme="minorHAnsi" w:cstheme="minorBidi"/>
          <w:szCs w:val="22"/>
        </w:rPr>
      </w:pPr>
      <w:r>
        <w:t>5.</w:t>
      </w:r>
      <w:r>
        <w:tab/>
        <w:t>Titles etc. who can use (Act s. 14(2))</w:t>
      </w:r>
      <w:r>
        <w:tab/>
      </w:r>
      <w:r>
        <w:fldChar w:fldCharType="begin"/>
      </w:r>
      <w:r>
        <w:instrText xml:space="preserve"> PAGEREF _Toc476040967 \h </w:instrText>
      </w:r>
      <w:r>
        <w:fldChar w:fldCharType="separate"/>
      </w:r>
      <w:r>
        <w:t>3</w:t>
      </w:r>
      <w:r>
        <w:fldChar w:fldCharType="end"/>
      </w:r>
    </w:p>
    <w:p>
      <w:pPr>
        <w:pStyle w:val="TOC8"/>
        <w:rPr>
          <w:rFonts w:asciiTheme="minorHAnsi" w:eastAsiaTheme="minorEastAsia" w:hAnsiTheme="minorHAnsi" w:cstheme="minorBidi"/>
          <w:szCs w:val="22"/>
        </w:rPr>
      </w:pPr>
      <w:r>
        <w:t>6.</w:t>
      </w:r>
      <w:r>
        <w:tab/>
        <w:t>Exemption from Act s. 15(2)(a) for some lay associates</w:t>
      </w:r>
      <w:r>
        <w:tab/>
      </w:r>
      <w:r>
        <w:fldChar w:fldCharType="begin"/>
      </w:r>
      <w:r>
        <w:instrText xml:space="preserve"> PAGEREF _Toc476040968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3 — Legal practice by Australian legal practitioners</w:t>
      </w:r>
    </w:p>
    <w:p>
      <w:pPr>
        <w:pStyle w:val="TOC8"/>
        <w:rPr>
          <w:rFonts w:asciiTheme="minorHAnsi" w:eastAsiaTheme="minorEastAsia" w:hAnsiTheme="minorHAnsi" w:cstheme="minorBidi"/>
          <w:szCs w:val="22"/>
        </w:rPr>
      </w:pPr>
      <w:r>
        <w:t>7.</w:t>
      </w:r>
      <w:r>
        <w:tab/>
        <w:t>Supervised legal practice, periods of to be taken into account (Act s. 50(2) and 72(2))</w:t>
      </w:r>
      <w:r>
        <w:tab/>
      </w:r>
      <w:r>
        <w:fldChar w:fldCharType="begin"/>
      </w:r>
      <w:r>
        <w:instrText xml:space="preserve"> PAGEREF _Toc476040970 \h </w:instrText>
      </w:r>
      <w:r>
        <w:fldChar w:fldCharType="separate"/>
      </w:r>
      <w:r>
        <w:t>10</w:t>
      </w:r>
      <w:r>
        <w:fldChar w:fldCharType="end"/>
      </w:r>
    </w:p>
    <w:p>
      <w:pPr>
        <w:pStyle w:val="TOC8"/>
        <w:rPr>
          <w:rFonts w:asciiTheme="minorHAnsi" w:eastAsiaTheme="minorEastAsia" w:hAnsiTheme="minorHAnsi" w:cstheme="minorBidi"/>
          <w:szCs w:val="22"/>
        </w:rPr>
      </w:pPr>
      <w:r>
        <w:t>8.</w:t>
      </w:r>
      <w:r>
        <w:tab/>
        <w:t>Register of local practising certificates, content of (Act s. 76(2))</w:t>
      </w:r>
      <w:r>
        <w:tab/>
      </w:r>
      <w:r>
        <w:fldChar w:fldCharType="begin"/>
      </w:r>
      <w:r>
        <w:instrText xml:space="preserve"> PAGEREF _Toc476040971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4 — Government lawyers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9.</w:t>
      </w:r>
      <w:r>
        <w:tab/>
        <w:t>Articled clerk, who is eligible to be principal for</w:t>
      </w:r>
      <w:r>
        <w:tab/>
      </w:r>
      <w:r>
        <w:fldChar w:fldCharType="begin"/>
      </w:r>
      <w:r>
        <w:instrText xml:space="preserve"> PAGEREF _Toc476040974 \h </w:instrText>
      </w:r>
      <w:r>
        <w:fldChar w:fldCharType="separate"/>
      </w:r>
      <w:r>
        <w:t>13</w:t>
      </w:r>
      <w:r>
        <w:fldChar w:fldCharType="end"/>
      </w:r>
    </w:p>
    <w:p>
      <w:pPr>
        <w:pStyle w:val="TOC8"/>
        <w:rPr>
          <w:rFonts w:asciiTheme="minorHAnsi" w:eastAsiaTheme="minorEastAsia" w:hAnsiTheme="minorHAnsi" w:cstheme="minorBidi"/>
          <w:szCs w:val="22"/>
        </w:rPr>
      </w:pPr>
      <w:r>
        <w:t>10.</w:t>
      </w:r>
      <w:r>
        <w:tab/>
        <w:t xml:space="preserve">Offices prescribed (Act s. 3 </w:t>
      </w:r>
      <w:r>
        <w:rPr>
          <w:i/>
        </w:rPr>
        <w:t>supervised legal practice</w:t>
      </w:r>
      <w:r>
        <w:t>)</w:t>
      </w:r>
      <w:r>
        <w:tab/>
      </w:r>
      <w:r>
        <w:fldChar w:fldCharType="begin"/>
      </w:r>
      <w:r>
        <w:instrText xml:space="preserve"> PAGEREF _Toc476040975 \h </w:instrText>
      </w:r>
      <w:r>
        <w:fldChar w:fldCharType="separate"/>
      </w:r>
      <w:r>
        <w:t>13</w:t>
      </w:r>
      <w:r>
        <w:fldChar w:fldCharType="end"/>
      </w:r>
    </w:p>
    <w:p>
      <w:pPr>
        <w:pStyle w:val="TOC8"/>
        <w:rPr>
          <w:rFonts w:asciiTheme="minorHAnsi" w:eastAsiaTheme="minorEastAsia" w:hAnsiTheme="minorHAnsi" w:cstheme="minorBidi"/>
          <w:szCs w:val="22"/>
        </w:rPr>
      </w:pPr>
      <w:r>
        <w:t>11.</w:t>
      </w:r>
      <w:r>
        <w:tab/>
        <w:t xml:space="preserve">Government agencies prescribed (Act s. 36(1) </w:t>
      </w:r>
      <w:r>
        <w:rPr>
          <w:i/>
          <w:iCs/>
        </w:rPr>
        <w:t>WA government lawyer</w:t>
      </w:r>
      <w:r>
        <w:rPr>
          <w:iCs/>
        </w:rPr>
        <w:t>)</w:t>
      </w:r>
      <w:r>
        <w:tab/>
      </w:r>
      <w:r>
        <w:fldChar w:fldCharType="begin"/>
      </w:r>
      <w:r>
        <w:instrText xml:space="preserve"> PAGEREF _Toc476040976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2 — Continuing professional development of WA government lawyers</w:t>
      </w:r>
    </w:p>
    <w:p>
      <w:pPr>
        <w:pStyle w:val="TOC8"/>
        <w:rPr>
          <w:rFonts w:asciiTheme="minorHAnsi" w:eastAsiaTheme="minorEastAsia" w:hAnsiTheme="minorHAnsi" w:cstheme="minorBidi"/>
          <w:szCs w:val="22"/>
        </w:rPr>
      </w:pPr>
      <w:r>
        <w:t>12.</w:t>
      </w:r>
      <w:r>
        <w:tab/>
        <w:t>Terms used</w:t>
      </w:r>
      <w:r>
        <w:tab/>
      </w:r>
      <w:r>
        <w:fldChar w:fldCharType="begin"/>
      </w:r>
      <w:r>
        <w:instrText xml:space="preserve"> PAGEREF _Toc476040978 \h </w:instrText>
      </w:r>
      <w:r>
        <w:fldChar w:fldCharType="separate"/>
      </w:r>
      <w:r>
        <w:t>17</w:t>
      </w:r>
      <w:r>
        <w:fldChar w:fldCharType="end"/>
      </w:r>
    </w:p>
    <w:p>
      <w:pPr>
        <w:pStyle w:val="TOC8"/>
        <w:rPr>
          <w:rFonts w:asciiTheme="minorHAnsi" w:eastAsiaTheme="minorEastAsia" w:hAnsiTheme="minorHAnsi" w:cstheme="minorBidi"/>
          <w:szCs w:val="22"/>
        </w:rPr>
      </w:pPr>
      <w:r>
        <w:t>13.</w:t>
      </w:r>
      <w:r>
        <w:tab/>
        <w:t>CPD arrangements, approval of etc.</w:t>
      </w:r>
      <w:r>
        <w:tab/>
      </w:r>
      <w:r>
        <w:fldChar w:fldCharType="begin"/>
      </w:r>
      <w:r>
        <w:instrText xml:space="preserve"> PAGEREF _Toc476040979 \h </w:instrText>
      </w:r>
      <w:r>
        <w:fldChar w:fldCharType="separate"/>
      </w:r>
      <w:r>
        <w:t>17</w:t>
      </w:r>
      <w:r>
        <w:fldChar w:fldCharType="end"/>
      </w:r>
    </w:p>
    <w:p>
      <w:pPr>
        <w:pStyle w:val="TOC8"/>
        <w:rPr>
          <w:rFonts w:asciiTheme="minorHAnsi" w:eastAsiaTheme="minorEastAsia" w:hAnsiTheme="minorHAnsi" w:cstheme="minorBidi"/>
          <w:szCs w:val="22"/>
        </w:rPr>
      </w:pPr>
      <w:r>
        <w:t>14.</w:t>
      </w:r>
      <w:r>
        <w:tab/>
        <w:t>CPD arrangements, review of</w:t>
      </w:r>
      <w:r>
        <w:tab/>
      </w:r>
      <w:r>
        <w:fldChar w:fldCharType="begin"/>
      </w:r>
      <w:r>
        <w:instrText xml:space="preserve"> PAGEREF _Toc476040980 \h </w:instrText>
      </w:r>
      <w:r>
        <w:fldChar w:fldCharType="separate"/>
      </w:r>
      <w:r>
        <w:t>18</w:t>
      </w:r>
      <w:r>
        <w:fldChar w:fldCharType="end"/>
      </w:r>
    </w:p>
    <w:p>
      <w:pPr>
        <w:pStyle w:val="TOC8"/>
        <w:rPr>
          <w:rFonts w:asciiTheme="minorHAnsi" w:eastAsiaTheme="minorEastAsia" w:hAnsiTheme="minorHAnsi" w:cstheme="minorBidi"/>
          <w:szCs w:val="22"/>
        </w:rPr>
      </w:pPr>
      <w:r>
        <w:t>15.</w:t>
      </w:r>
      <w:r>
        <w:tab/>
        <w:t>Approved CPD arrangements, effect of participation in</w:t>
      </w:r>
      <w:r>
        <w:tab/>
      </w:r>
      <w:r>
        <w:fldChar w:fldCharType="begin"/>
      </w:r>
      <w:r>
        <w:instrText xml:space="preserve"> PAGEREF _Toc476040981 \h </w:instrText>
      </w:r>
      <w:r>
        <w:fldChar w:fldCharType="separate"/>
      </w:r>
      <w:r>
        <w:t>19</w:t>
      </w:r>
      <w:r>
        <w:fldChar w:fldCharType="end"/>
      </w:r>
    </w:p>
    <w:p>
      <w:pPr>
        <w:pStyle w:val="TOC8"/>
        <w:rPr>
          <w:rFonts w:asciiTheme="minorHAnsi" w:eastAsiaTheme="minorEastAsia" w:hAnsiTheme="minorHAnsi" w:cstheme="minorBidi"/>
          <w:szCs w:val="22"/>
        </w:rPr>
      </w:pPr>
      <w:r>
        <w:t>16.</w:t>
      </w:r>
      <w:r>
        <w:tab/>
        <w:t>Employing authorities to notify Board of certain matters</w:t>
      </w:r>
      <w:r>
        <w:tab/>
      </w:r>
      <w:r>
        <w:fldChar w:fldCharType="begin"/>
      </w:r>
      <w:r>
        <w:instrText xml:space="preserve"> PAGEREF _Toc476040982 \h </w:instrText>
      </w:r>
      <w:r>
        <w:fldChar w:fldCharType="separate"/>
      </w:r>
      <w:r>
        <w:t>20</w:t>
      </w:r>
      <w:r>
        <w:fldChar w:fldCharType="end"/>
      </w:r>
    </w:p>
    <w:p>
      <w:pPr>
        <w:pStyle w:val="TOC8"/>
        <w:rPr>
          <w:rFonts w:asciiTheme="minorHAnsi" w:eastAsiaTheme="minorEastAsia" w:hAnsiTheme="minorHAnsi" w:cstheme="minorBidi"/>
          <w:szCs w:val="22"/>
        </w:rPr>
      </w:pPr>
      <w:r>
        <w:t>17.</w:t>
      </w:r>
      <w:r>
        <w:tab/>
        <w:t>Directions about CPD participation to WA government lawyers</w:t>
      </w:r>
      <w:r>
        <w:tab/>
      </w:r>
      <w:r>
        <w:fldChar w:fldCharType="begin"/>
      </w:r>
      <w:r>
        <w:instrText xml:space="preserve"> PAGEREF _Toc476040983 \h </w:instrText>
      </w:r>
      <w:r>
        <w:fldChar w:fldCharType="separate"/>
      </w:r>
      <w:r>
        <w:t>21</w:t>
      </w:r>
      <w:r>
        <w:fldChar w:fldCharType="end"/>
      </w:r>
    </w:p>
    <w:p>
      <w:pPr>
        <w:pStyle w:val="TOC8"/>
        <w:rPr>
          <w:rFonts w:asciiTheme="minorHAnsi" w:eastAsiaTheme="minorEastAsia" w:hAnsiTheme="minorHAnsi" w:cstheme="minorBidi"/>
          <w:szCs w:val="22"/>
        </w:rPr>
      </w:pPr>
      <w:r>
        <w:t>18.</w:t>
      </w:r>
      <w:r>
        <w:tab/>
        <w:t>Failing to comply with approved CPD arrangement, effect of</w:t>
      </w:r>
      <w:r>
        <w:tab/>
      </w:r>
      <w:r>
        <w:fldChar w:fldCharType="begin"/>
      </w:r>
      <w:r>
        <w:instrText xml:space="preserve"> PAGEREF _Toc476040984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Part 5 — Incorporated legal practices and multi</w:t>
      </w:r>
      <w:r>
        <w:noBreakHyphen/>
        <w:t>disciplinary partnerships</w:t>
      </w:r>
    </w:p>
    <w:p>
      <w:pPr>
        <w:pStyle w:val="TOC8"/>
        <w:rPr>
          <w:rFonts w:asciiTheme="minorHAnsi" w:eastAsiaTheme="minorEastAsia" w:hAnsiTheme="minorHAnsi" w:cstheme="minorBidi"/>
          <w:szCs w:val="22"/>
        </w:rPr>
      </w:pPr>
      <w:r>
        <w:t>19.</w:t>
      </w:r>
      <w:r>
        <w:tab/>
        <w:t>Community legal centre is not incorporated legal practice for Act s. 99</w:t>
      </w:r>
      <w:r>
        <w:tab/>
      </w:r>
      <w:r>
        <w:fldChar w:fldCharType="begin"/>
      </w:r>
      <w:r>
        <w:instrText xml:space="preserve"> PAGEREF _Toc476040986 \h </w:instrText>
      </w:r>
      <w:r>
        <w:fldChar w:fldCharType="separate"/>
      </w:r>
      <w:r>
        <w:t>22</w:t>
      </w:r>
      <w:r>
        <w:fldChar w:fldCharType="end"/>
      </w:r>
    </w:p>
    <w:p>
      <w:pPr>
        <w:pStyle w:val="TOC8"/>
        <w:rPr>
          <w:rFonts w:asciiTheme="minorHAnsi" w:eastAsiaTheme="minorEastAsia" w:hAnsiTheme="minorHAnsi" w:cstheme="minorBidi"/>
          <w:szCs w:val="22"/>
        </w:rPr>
      </w:pPr>
      <w:r>
        <w:t>20.</w:t>
      </w:r>
      <w:r>
        <w:tab/>
        <w:t>Act s. 100(2) is Corporations legislation displacement provision</w:t>
      </w:r>
      <w:r>
        <w:tab/>
      </w:r>
      <w:r>
        <w:fldChar w:fldCharType="begin"/>
      </w:r>
      <w:r>
        <w:instrText xml:space="preserve"> PAGEREF _Toc476040987 \h </w:instrText>
      </w:r>
      <w:r>
        <w:fldChar w:fldCharType="separate"/>
      </w:r>
      <w:r>
        <w:t>22</w:t>
      </w:r>
      <w:r>
        <w:fldChar w:fldCharType="end"/>
      </w:r>
    </w:p>
    <w:p>
      <w:pPr>
        <w:pStyle w:val="TOC8"/>
        <w:rPr>
          <w:rFonts w:asciiTheme="minorHAnsi" w:eastAsiaTheme="minorEastAsia" w:hAnsiTheme="minorHAnsi" w:cstheme="minorBidi"/>
          <w:szCs w:val="22"/>
        </w:rPr>
      </w:pPr>
      <w:r>
        <w:t>21.</w:t>
      </w:r>
      <w:r>
        <w:tab/>
        <w:t>Notice to Board, requirements as to (Act s. 102(1))</w:t>
      </w:r>
      <w:r>
        <w:tab/>
      </w:r>
      <w:r>
        <w:fldChar w:fldCharType="begin"/>
      </w:r>
      <w:r>
        <w:instrText xml:space="preserve"> PAGEREF _Toc476040988 \h </w:instrText>
      </w:r>
      <w:r>
        <w:fldChar w:fldCharType="separate"/>
      </w:r>
      <w:r>
        <w:t>22</w:t>
      </w:r>
      <w:r>
        <w:fldChar w:fldCharType="end"/>
      </w:r>
    </w:p>
    <w:p>
      <w:pPr>
        <w:pStyle w:val="TOC8"/>
        <w:rPr>
          <w:rFonts w:asciiTheme="minorHAnsi" w:eastAsiaTheme="minorEastAsia" w:hAnsiTheme="minorHAnsi" w:cstheme="minorBidi"/>
          <w:szCs w:val="22"/>
        </w:rPr>
      </w:pPr>
      <w:r>
        <w:t>22.</w:t>
      </w:r>
      <w:r>
        <w:tab/>
        <w:t>Period prescribed (Act s. 104)</w:t>
      </w:r>
      <w:r>
        <w:tab/>
      </w:r>
      <w:r>
        <w:fldChar w:fldCharType="begin"/>
      </w:r>
      <w:r>
        <w:instrText xml:space="preserve"> PAGEREF _Toc476040989 \h </w:instrText>
      </w:r>
      <w:r>
        <w:fldChar w:fldCharType="separate"/>
      </w:r>
      <w:r>
        <w:t>22</w:t>
      </w:r>
      <w:r>
        <w:fldChar w:fldCharType="end"/>
      </w:r>
    </w:p>
    <w:p>
      <w:pPr>
        <w:pStyle w:val="TOC8"/>
        <w:rPr>
          <w:rFonts w:asciiTheme="minorHAnsi" w:eastAsiaTheme="minorEastAsia" w:hAnsiTheme="minorHAnsi" w:cstheme="minorBidi"/>
          <w:szCs w:val="22"/>
        </w:rPr>
      </w:pPr>
      <w:r>
        <w:t>23.</w:t>
      </w:r>
      <w:r>
        <w:tab/>
        <w:t>Orders disqualifying etc., applications for etc. (Act s. 119, 120 and 145)</w:t>
      </w:r>
      <w:r>
        <w:tab/>
      </w:r>
      <w:r>
        <w:fldChar w:fldCharType="begin"/>
      </w:r>
      <w:r>
        <w:instrText xml:space="preserve"> PAGEREF _Toc476040990 \h </w:instrText>
      </w:r>
      <w:r>
        <w:fldChar w:fldCharType="separate"/>
      </w:r>
      <w:r>
        <w:t>23</w:t>
      </w:r>
      <w:r>
        <w:fldChar w:fldCharType="end"/>
      </w:r>
    </w:p>
    <w:p>
      <w:pPr>
        <w:pStyle w:val="TOC8"/>
        <w:rPr>
          <w:rFonts w:asciiTheme="minorHAnsi" w:eastAsiaTheme="minorEastAsia" w:hAnsiTheme="minorHAnsi" w:cstheme="minorBidi"/>
          <w:szCs w:val="22"/>
        </w:rPr>
      </w:pPr>
      <w:r>
        <w:t>24.</w:t>
      </w:r>
      <w:r>
        <w:tab/>
        <w:t>When Australian legal practitioner prohibited from partnership (Act s. 132(3))</w:t>
      </w:r>
      <w:r>
        <w:tab/>
      </w:r>
      <w:r>
        <w:fldChar w:fldCharType="begin"/>
      </w:r>
      <w:r>
        <w:instrText xml:space="preserve"> PAGEREF _Toc476040991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Part 6 — Legal practice by foreign lawyers</w:t>
      </w:r>
    </w:p>
    <w:p>
      <w:pPr>
        <w:pStyle w:val="TOC8"/>
        <w:rPr>
          <w:rFonts w:asciiTheme="minorHAnsi" w:eastAsiaTheme="minorEastAsia" w:hAnsiTheme="minorHAnsi" w:cstheme="minorBidi"/>
          <w:szCs w:val="22"/>
        </w:rPr>
      </w:pPr>
      <w:r>
        <w:t>25.</w:t>
      </w:r>
      <w:r>
        <w:tab/>
        <w:t>Legal services which may be provided (Act s. 154(1))</w:t>
      </w:r>
      <w:r>
        <w:tab/>
      </w:r>
      <w:r>
        <w:fldChar w:fldCharType="begin"/>
      </w:r>
      <w:r>
        <w:instrText xml:space="preserve"> PAGEREF _Toc476040993 \h </w:instrText>
      </w:r>
      <w:r>
        <w:fldChar w:fldCharType="separate"/>
      </w:r>
      <w:r>
        <w:t>26</w:t>
      </w:r>
      <w:r>
        <w:fldChar w:fldCharType="end"/>
      </w:r>
    </w:p>
    <w:p>
      <w:pPr>
        <w:pStyle w:val="TOC8"/>
        <w:rPr>
          <w:rFonts w:asciiTheme="minorHAnsi" w:eastAsiaTheme="minorEastAsia" w:hAnsiTheme="minorHAnsi" w:cstheme="minorBidi"/>
          <w:szCs w:val="22"/>
        </w:rPr>
      </w:pPr>
      <w:r>
        <w:t>26.</w:t>
      </w:r>
      <w:r>
        <w:tab/>
        <w:t>Trust money etc., which provisions in Act apply to (Act s. 161)</w:t>
      </w:r>
      <w:r>
        <w:tab/>
      </w:r>
      <w:r>
        <w:fldChar w:fldCharType="begin"/>
      </w:r>
      <w:r>
        <w:instrText xml:space="preserve"> PAGEREF _Toc476040994 \h </w:instrText>
      </w:r>
      <w:r>
        <w:fldChar w:fldCharType="separate"/>
      </w:r>
      <w:r>
        <w:t>26</w:t>
      </w:r>
      <w:r>
        <w:fldChar w:fldCharType="end"/>
      </w:r>
    </w:p>
    <w:p>
      <w:pPr>
        <w:pStyle w:val="TOC8"/>
        <w:rPr>
          <w:rFonts w:asciiTheme="minorHAnsi" w:eastAsiaTheme="minorEastAsia" w:hAnsiTheme="minorHAnsi" w:cstheme="minorBidi"/>
          <w:szCs w:val="22"/>
        </w:rPr>
      </w:pPr>
      <w:r>
        <w:t>27.</w:t>
      </w:r>
      <w:r>
        <w:tab/>
        <w:t>Professional indemnity insurance, form of disclosure statement as to (Act s. 162)</w:t>
      </w:r>
      <w:r>
        <w:tab/>
      </w:r>
      <w:r>
        <w:fldChar w:fldCharType="begin"/>
      </w:r>
      <w:r>
        <w:instrText xml:space="preserve"> PAGEREF _Toc476040995 \h </w:instrText>
      </w:r>
      <w:r>
        <w:fldChar w:fldCharType="separate"/>
      </w:r>
      <w:r>
        <w:t>27</w:t>
      </w:r>
      <w:r>
        <w:fldChar w:fldCharType="end"/>
      </w:r>
    </w:p>
    <w:p>
      <w:pPr>
        <w:pStyle w:val="TOC8"/>
        <w:rPr>
          <w:rFonts w:asciiTheme="minorHAnsi" w:eastAsiaTheme="minorEastAsia" w:hAnsiTheme="minorHAnsi" w:cstheme="minorBidi"/>
          <w:szCs w:val="22"/>
        </w:rPr>
      </w:pPr>
      <w:r>
        <w:t>28.</w:t>
      </w:r>
      <w:r>
        <w:tab/>
        <w:t>Guarantee Fund contributions, who must pay etc.</w:t>
      </w:r>
      <w:r>
        <w:tab/>
      </w:r>
      <w:r>
        <w:fldChar w:fldCharType="begin"/>
      </w:r>
      <w:r>
        <w:instrText xml:space="preserve"> PAGEREF _Toc476040996 \h </w:instrText>
      </w:r>
      <w:r>
        <w:fldChar w:fldCharType="separate"/>
      </w:r>
      <w:r>
        <w:t>28</w:t>
      </w:r>
      <w:r>
        <w:fldChar w:fldCharType="end"/>
      </w:r>
    </w:p>
    <w:p>
      <w:pPr>
        <w:pStyle w:val="TOC8"/>
        <w:rPr>
          <w:rFonts w:asciiTheme="minorHAnsi" w:eastAsiaTheme="minorEastAsia" w:hAnsiTheme="minorHAnsi" w:cstheme="minorBidi"/>
          <w:szCs w:val="22"/>
        </w:rPr>
      </w:pPr>
      <w:r>
        <w:t>29.</w:t>
      </w:r>
      <w:r>
        <w:tab/>
        <w:t>Guarantee Fund levy, who must pay</w:t>
      </w:r>
      <w:r>
        <w:tab/>
      </w:r>
      <w:r>
        <w:fldChar w:fldCharType="begin"/>
      </w:r>
      <w:r>
        <w:instrText xml:space="preserve"> PAGEREF _Toc476040997 \h </w:instrText>
      </w:r>
      <w:r>
        <w:fldChar w:fldCharType="separate"/>
      </w:r>
      <w:r>
        <w:t>28</w:t>
      </w:r>
      <w:r>
        <w:fldChar w:fldCharType="end"/>
      </w:r>
    </w:p>
    <w:p>
      <w:pPr>
        <w:pStyle w:val="TOC8"/>
        <w:rPr>
          <w:rFonts w:asciiTheme="minorHAnsi" w:eastAsiaTheme="minorEastAsia" w:hAnsiTheme="minorHAnsi" w:cstheme="minorBidi"/>
          <w:szCs w:val="22"/>
        </w:rPr>
      </w:pPr>
      <w:r>
        <w:t>30.</w:t>
      </w:r>
      <w:r>
        <w:tab/>
        <w:t>Failure to pay Guarantee Fund levy, Act s. 340 applies in case of</w:t>
      </w:r>
      <w:r>
        <w:tab/>
      </w:r>
      <w:r>
        <w:fldChar w:fldCharType="begin"/>
      </w:r>
      <w:r>
        <w:instrText xml:space="preserve"> PAGEREF _Toc476040998 \h </w:instrText>
      </w:r>
      <w:r>
        <w:fldChar w:fldCharType="separate"/>
      </w:r>
      <w:r>
        <w:t>29</w:t>
      </w:r>
      <w:r>
        <w:fldChar w:fldCharType="end"/>
      </w:r>
    </w:p>
    <w:p>
      <w:pPr>
        <w:pStyle w:val="TOC8"/>
        <w:rPr>
          <w:rFonts w:asciiTheme="minorHAnsi" w:eastAsiaTheme="minorEastAsia" w:hAnsiTheme="minorHAnsi" w:cstheme="minorBidi"/>
          <w:szCs w:val="22"/>
        </w:rPr>
      </w:pPr>
      <w:r>
        <w:t>31.</w:t>
      </w:r>
      <w:r>
        <w:tab/>
        <w:t>Locally registered foreign lawyer not covered by Guarantee Fund, disclosure duty of</w:t>
      </w:r>
      <w:r>
        <w:tab/>
      </w:r>
      <w:r>
        <w:fldChar w:fldCharType="begin"/>
      </w:r>
      <w:r>
        <w:instrText xml:space="preserve"> PAGEREF _Toc476040999 \h </w:instrText>
      </w:r>
      <w:r>
        <w:fldChar w:fldCharType="separate"/>
      </w:r>
      <w:r>
        <w:t>29</w:t>
      </w:r>
      <w:r>
        <w:fldChar w:fldCharType="end"/>
      </w:r>
    </w:p>
    <w:p>
      <w:pPr>
        <w:pStyle w:val="TOC8"/>
        <w:rPr>
          <w:rFonts w:asciiTheme="minorHAnsi" w:eastAsiaTheme="minorEastAsia" w:hAnsiTheme="minorHAnsi" w:cstheme="minorBidi"/>
          <w:szCs w:val="22"/>
        </w:rPr>
      </w:pPr>
      <w:r>
        <w:t>32.</w:t>
      </w:r>
      <w:r>
        <w:tab/>
        <w:t>Particulars prescribed for register (Act s. 198(2)(b))</w:t>
      </w:r>
      <w:r>
        <w:tab/>
      </w:r>
      <w:r>
        <w:fldChar w:fldCharType="begin"/>
      </w:r>
      <w:r>
        <w:instrText xml:space="preserve"> PAGEREF _Toc476041000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t>Part 7 — Trust money and trust accounts</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33.</w:t>
      </w:r>
      <w:r>
        <w:tab/>
        <w:t>Application of Part</w:t>
      </w:r>
      <w:r>
        <w:tab/>
      </w:r>
      <w:r>
        <w:fldChar w:fldCharType="begin"/>
      </w:r>
      <w:r>
        <w:instrText xml:space="preserve"> PAGEREF _Toc476041003 \h </w:instrText>
      </w:r>
      <w:r>
        <w:fldChar w:fldCharType="separate"/>
      </w:r>
      <w:r>
        <w:t>32</w:t>
      </w:r>
      <w:r>
        <w:fldChar w:fldCharType="end"/>
      </w:r>
    </w:p>
    <w:p>
      <w:pPr>
        <w:pStyle w:val="TOC8"/>
        <w:rPr>
          <w:rFonts w:asciiTheme="minorHAnsi" w:eastAsiaTheme="minorEastAsia" w:hAnsiTheme="minorHAnsi" w:cstheme="minorBidi"/>
          <w:szCs w:val="22"/>
        </w:rPr>
      </w:pPr>
      <w:r>
        <w:t>34.</w:t>
      </w:r>
      <w:r>
        <w:tab/>
        <w:t>Terms used</w:t>
      </w:r>
      <w:r>
        <w:tab/>
      </w:r>
      <w:r>
        <w:fldChar w:fldCharType="begin"/>
      </w:r>
      <w:r>
        <w:instrText xml:space="preserve"> PAGEREF _Toc476041004 \h </w:instrText>
      </w:r>
      <w:r>
        <w:fldChar w:fldCharType="separate"/>
      </w:r>
      <w:r>
        <w:t>32</w:t>
      </w:r>
      <w:r>
        <w:fldChar w:fldCharType="end"/>
      </w:r>
    </w:p>
    <w:p>
      <w:pPr>
        <w:pStyle w:val="TOC4"/>
        <w:tabs>
          <w:tab w:val="right" w:leader="dot" w:pos="7077"/>
        </w:tabs>
        <w:rPr>
          <w:rFonts w:asciiTheme="minorHAnsi" w:eastAsiaTheme="minorEastAsia" w:hAnsiTheme="minorHAnsi" w:cstheme="minorBidi"/>
          <w:b w:val="0"/>
          <w:szCs w:val="22"/>
        </w:rPr>
      </w:pPr>
      <w:r>
        <w:t>Division 2 — Computerised accounting systems</w:t>
      </w:r>
    </w:p>
    <w:p>
      <w:pPr>
        <w:pStyle w:val="TOC8"/>
        <w:rPr>
          <w:rFonts w:asciiTheme="minorHAnsi" w:eastAsiaTheme="minorEastAsia" w:hAnsiTheme="minorHAnsi" w:cstheme="minorBidi"/>
          <w:szCs w:val="22"/>
        </w:rPr>
      </w:pPr>
      <w:r>
        <w:t>35.</w:t>
      </w:r>
      <w:r>
        <w:tab/>
        <w:t>Application of Division</w:t>
      </w:r>
      <w:r>
        <w:tab/>
      </w:r>
      <w:r>
        <w:fldChar w:fldCharType="begin"/>
      </w:r>
      <w:r>
        <w:instrText xml:space="preserve"> PAGEREF _Toc476041006 \h </w:instrText>
      </w:r>
      <w:r>
        <w:fldChar w:fldCharType="separate"/>
      </w:r>
      <w:r>
        <w:t>33</w:t>
      </w:r>
      <w:r>
        <w:fldChar w:fldCharType="end"/>
      </w:r>
    </w:p>
    <w:p>
      <w:pPr>
        <w:pStyle w:val="TOC8"/>
        <w:rPr>
          <w:rFonts w:asciiTheme="minorHAnsi" w:eastAsiaTheme="minorEastAsia" w:hAnsiTheme="minorHAnsi" w:cstheme="minorBidi"/>
          <w:szCs w:val="22"/>
        </w:rPr>
      </w:pPr>
      <w:r>
        <w:t>36.</w:t>
      </w:r>
      <w:r>
        <w:tab/>
        <w:t>Trust records, paper copies of required</w:t>
      </w:r>
      <w:r>
        <w:tab/>
      </w:r>
      <w:r>
        <w:fldChar w:fldCharType="begin"/>
      </w:r>
      <w:r>
        <w:instrText xml:space="preserve"> PAGEREF _Toc476041007 \h </w:instrText>
      </w:r>
      <w:r>
        <w:fldChar w:fldCharType="separate"/>
      </w:r>
      <w:r>
        <w:t>33</w:t>
      </w:r>
      <w:r>
        <w:fldChar w:fldCharType="end"/>
      </w:r>
    </w:p>
    <w:p>
      <w:pPr>
        <w:pStyle w:val="TOC8"/>
        <w:rPr>
          <w:rFonts w:asciiTheme="minorHAnsi" w:eastAsiaTheme="minorEastAsia" w:hAnsiTheme="minorHAnsi" w:cstheme="minorBidi"/>
          <w:szCs w:val="22"/>
        </w:rPr>
      </w:pPr>
      <w:r>
        <w:t>37.</w:t>
      </w:r>
      <w:r>
        <w:tab/>
        <w:t>Chronological record of certain information required</w:t>
      </w:r>
      <w:r>
        <w:tab/>
      </w:r>
      <w:r>
        <w:fldChar w:fldCharType="begin"/>
      </w:r>
      <w:r>
        <w:instrText xml:space="preserve"> PAGEREF _Toc476041008 \h </w:instrText>
      </w:r>
      <w:r>
        <w:fldChar w:fldCharType="separate"/>
      </w:r>
      <w:r>
        <w:t>34</w:t>
      </w:r>
      <w:r>
        <w:fldChar w:fldCharType="end"/>
      </w:r>
    </w:p>
    <w:p>
      <w:pPr>
        <w:pStyle w:val="TOC8"/>
        <w:rPr>
          <w:rFonts w:asciiTheme="minorHAnsi" w:eastAsiaTheme="minorEastAsia" w:hAnsiTheme="minorHAnsi" w:cstheme="minorBidi"/>
          <w:szCs w:val="22"/>
        </w:rPr>
      </w:pPr>
      <w:r>
        <w:t>38.</w:t>
      </w:r>
      <w:r>
        <w:tab/>
        <w:t>Requirements as to systems etc.</w:t>
      </w:r>
      <w:r>
        <w:tab/>
      </w:r>
      <w:r>
        <w:fldChar w:fldCharType="begin"/>
      </w:r>
      <w:r>
        <w:instrText xml:space="preserve"> PAGEREF _Toc476041009 \h </w:instrText>
      </w:r>
      <w:r>
        <w:fldChar w:fldCharType="separate"/>
      </w:r>
      <w:r>
        <w:t>34</w:t>
      </w:r>
      <w:r>
        <w:fldChar w:fldCharType="end"/>
      </w:r>
    </w:p>
    <w:p>
      <w:pPr>
        <w:pStyle w:val="TOC8"/>
        <w:rPr>
          <w:rFonts w:asciiTheme="minorHAnsi" w:eastAsiaTheme="minorEastAsia" w:hAnsiTheme="minorHAnsi" w:cstheme="minorBidi"/>
          <w:szCs w:val="22"/>
        </w:rPr>
      </w:pPr>
      <w:r>
        <w:t>39.</w:t>
      </w:r>
      <w:r>
        <w:tab/>
        <w:t>Back</w:t>
      </w:r>
      <w:r>
        <w:noBreakHyphen/>
        <w:t>ups, requirements as to</w:t>
      </w:r>
      <w:r>
        <w:tab/>
      </w:r>
      <w:r>
        <w:fldChar w:fldCharType="begin"/>
      </w:r>
      <w:r>
        <w:instrText xml:space="preserve"> PAGEREF _Toc476041010 \h </w:instrText>
      </w:r>
      <w:r>
        <w:fldChar w:fldCharType="separate"/>
      </w:r>
      <w:r>
        <w:t>35</w:t>
      </w:r>
      <w:r>
        <w:fldChar w:fldCharType="end"/>
      </w:r>
    </w:p>
    <w:p>
      <w:pPr>
        <w:pStyle w:val="TOC4"/>
        <w:tabs>
          <w:tab w:val="right" w:leader="dot" w:pos="7077"/>
        </w:tabs>
        <w:rPr>
          <w:rFonts w:asciiTheme="minorHAnsi" w:eastAsiaTheme="minorEastAsia" w:hAnsiTheme="minorHAnsi" w:cstheme="minorBidi"/>
          <w:b w:val="0"/>
          <w:szCs w:val="22"/>
        </w:rPr>
      </w:pPr>
      <w:r>
        <w:t>Division 3 — General trust accounts</w:t>
      </w:r>
    </w:p>
    <w:p>
      <w:pPr>
        <w:pStyle w:val="TOC8"/>
        <w:rPr>
          <w:rFonts w:asciiTheme="minorHAnsi" w:eastAsiaTheme="minorEastAsia" w:hAnsiTheme="minorHAnsi" w:cstheme="minorBidi"/>
          <w:szCs w:val="22"/>
        </w:rPr>
      </w:pPr>
      <w:r>
        <w:t>40.</w:t>
      </w:r>
      <w:r>
        <w:tab/>
        <w:t>How account to be established and maintained (Act s. 214(2))</w:t>
      </w:r>
      <w:r>
        <w:tab/>
      </w:r>
      <w:r>
        <w:fldChar w:fldCharType="begin"/>
      </w:r>
      <w:r>
        <w:instrText xml:space="preserve"> PAGEREF _Toc476041012 \h </w:instrText>
      </w:r>
      <w:r>
        <w:fldChar w:fldCharType="separate"/>
      </w:r>
      <w:r>
        <w:t>35</w:t>
      </w:r>
      <w:r>
        <w:fldChar w:fldCharType="end"/>
      </w:r>
    </w:p>
    <w:p>
      <w:pPr>
        <w:pStyle w:val="TOC8"/>
        <w:rPr>
          <w:rFonts w:asciiTheme="minorHAnsi" w:eastAsiaTheme="minorEastAsia" w:hAnsiTheme="minorHAnsi" w:cstheme="minorBidi"/>
          <w:szCs w:val="22"/>
        </w:rPr>
      </w:pPr>
      <w:r>
        <w:t>41.</w:t>
      </w:r>
      <w:r>
        <w:tab/>
        <w:t>Trust money received, how to be receipted</w:t>
      </w:r>
      <w:r>
        <w:tab/>
      </w:r>
      <w:r>
        <w:fldChar w:fldCharType="begin"/>
      </w:r>
      <w:r>
        <w:instrText xml:space="preserve"> PAGEREF _Toc476041013 \h </w:instrText>
      </w:r>
      <w:r>
        <w:fldChar w:fldCharType="separate"/>
      </w:r>
      <w:r>
        <w:t>36</w:t>
      </w:r>
      <w:r>
        <w:fldChar w:fldCharType="end"/>
      </w:r>
    </w:p>
    <w:p>
      <w:pPr>
        <w:pStyle w:val="TOC8"/>
        <w:rPr>
          <w:rFonts w:asciiTheme="minorHAnsi" w:eastAsiaTheme="minorEastAsia" w:hAnsiTheme="minorHAnsi" w:cstheme="minorBidi"/>
          <w:szCs w:val="22"/>
        </w:rPr>
      </w:pPr>
      <w:r>
        <w:t>42.</w:t>
      </w:r>
      <w:r>
        <w:tab/>
        <w:t>Trust money not paid to general trust account by direct deposit, how to be dealt with</w:t>
      </w:r>
      <w:r>
        <w:tab/>
      </w:r>
      <w:r>
        <w:fldChar w:fldCharType="begin"/>
      </w:r>
      <w:r>
        <w:instrText xml:space="preserve"> PAGEREF _Toc476041014 \h </w:instrText>
      </w:r>
      <w:r>
        <w:fldChar w:fldCharType="separate"/>
      </w:r>
      <w:r>
        <w:t>37</w:t>
      </w:r>
      <w:r>
        <w:fldChar w:fldCharType="end"/>
      </w:r>
    </w:p>
    <w:p>
      <w:pPr>
        <w:pStyle w:val="TOC8"/>
        <w:rPr>
          <w:rFonts w:asciiTheme="minorHAnsi" w:eastAsiaTheme="minorEastAsia" w:hAnsiTheme="minorHAnsi" w:cstheme="minorBidi"/>
          <w:szCs w:val="22"/>
        </w:rPr>
      </w:pPr>
      <w:r>
        <w:t>43.</w:t>
      </w:r>
      <w:r>
        <w:tab/>
        <w:t>Period prescribed (Act s. 215(4))</w:t>
      </w:r>
      <w:r>
        <w:tab/>
      </w:r>
      <w:r>
        <w:fldChar w:fldCharType="begin"/>
      </w:r>
      <w:r>
        <w:instrText xml:space="preserve"> PAGEREF _Toc476041015 \h </w:instrText>
      </w:r>
      <w:r>
        <w:fldChar w:fldCharType="separate"/>
      </w:r>
      <w:r>
        <w:t>38</w:t>
      </w:r>
      <w:r>
        <w:fldChar w:fldCharType="end"/>
      </w:r>
    </w:p>
    <w:p>
      <w:pPr>
        <w:pStyle w:val="TOC8"/>
        <w:rPr>
          <w:rFonts w:asciiTheme="minorHAnsi" w:eastAsiaTheme="minorEastAsia" w:hAnsiTheme="minorHAnsi" w:cstheme="minorBidi"/>
          <w:szCs w:val="22"/>
        </w:rPr>
      </w:pPr>
      <w:r>
        <w:t>44.</w:t>
      </w:r>
      <w:r>
        <w:tab/>
        <w:t>Withdrawal of trust money by cheque, how to be dealt with</w:t>
      </w:r>
      <w:r>
        <w:tab/>
      </w:r>
      <w:r>
        <w:fldChar w:fldCharType="begin"/>
      </w:r>
      <w:r>
        <w:instrText xml:space="preserve"> PAGEREF _Toc476041016 \h </w:instrText>
      </w:r>
      <w:r>
        <w:fldChar w:fldCharType="separate"/>
      </w:r>
      <w:r>
        <w:t>38</w:t>
      </w:r>
      <w:r>
        <w:fldChar w:fldCharType="end"/>
      </w:r>
    </w:p>
    <w:p>
      <w:pPr>
        <w:pStyle w:val="TOC8"/>
        <w:rPr>
          <w:rFonts w:asciiTheme="minorHAnsi" w:eastAsiaTheme="minorEastAsia" w:hAnsiTheme="minorHAnsi" w:cstheme="minorBidi"/>
          <w:szCs w:val="22"/>
        </w:rPr>
      </w:pPr>
      <w:r>
        <w:t>45.</w:t>
      </w:r>
      <w:r>
        <w:tab/>
        <w:t>Withdrawal of trust money by electronic funds transfer, how to be dealt with</w:t>
      </w:r>
      <w:r>
        <w:tab/>
      </w:r>
      <w:r>
        <w:fldChar w:fldCharType="begin"/>
      </w:r>
      <w:r>
        <w:instrText xml:space="preserve"> PAGEREF _Toc476041017 \h </w:instrText>
      </w:r>
      <w:r>
        <w:fldChar w:fldCharType="separate"/>
      </w:r>
      <w:r>
        <w:t>40</w:t>
      </w:r>
      <w:r>
        <w:fldChar w:fldCharType="end"/>
      </w:r>
    </w:p>
    <w:p>
      <w:pPr>
        <w:pStyle w:val="TOC8"/>
        <w:rPr>
          <w:rFonts w:asciiTheme="minorHAnsi" w:eastAsiaTheme="minorEastAsia" w:hAnsiTheme="minorHAnsi" w:cstheme="minorBidi"/>
          <w:szCs w:val="22"/>
        </w:rPr>
      </w:pPr>
      <w:r>
        <w:t>46.</w:t>
      </w:r>
      <w:r>
        <w:tab/>
        <w:t>Trust account cash books required</w:t>
      </w:r>
      <w:r>
        <w:tab/>
      </w:r>
      <w:r>
        <w:fldChar w:fldCharType="begin"/>
      </w:r>
      <w:r>
        <w:instrText xml:space="preserve"> PAGEREF _Toc476041018 \h </w:instrText>
      </w:r>
      <w:r>
        <w:fldChar w:fldCharType="separate"/>
      </w:r>
      <w:r>
        <w:t>42</w:t>
      </w:r>
      <w:r>
        <w:fldChar w:fldCharType="end"/>
      </w:r>
    </w:p>
    <w:p>
      <w:pPr>
        <w:pStyle w:val="TOC8"/>
        <w:rPr>
          <w:rFonts w:asciiTheme="minorHAnsi" w:eastAsiaTheme="minorEastAsia" w:hAnsiTheme="minorHAnsi" w:cstheme="minorBidi"/>
          <w:szCs w:val="22"/>
        </w:rPr>
      </w:pPr>
      <w:r>
        <w:t>47.</w:t>
      </w:r>
      <w:r>
        <w:tab/>
        <w:t>Trust account receipts cash book, content of etc.</w:t>
      </w:r>
      <w:r>
        <w:tab/>
      </w:r>
      <w:r>
        <w:fldChar w:fldCharType="begin"/>
      </w:r>
      <w:r>
        <w:instrText xml:space="preserve"> PAGEREF _Toc476041019 \h </w:instrText>
      </w:r>
      <w:r>
        <w:fldChar w:fldCharType="separate"/>
      </w:r>
      <w:r>
        <w:t>42</w:t>
      </w:r>
      <w:r>
        <w:fldChar w:fldCharType="end"/>
      </w:r>
    </w:p>
    <w:p>
      <w:pPr>
        <w:pStyle w:val="TOC8"/>
        <w:rPr>
          <w:rFonts w:asciiTheme="minorHAnsi" w:eastAsiaTheme="minorEastAsia" w:hAnsiTheme="minorHAnsi" w:cstheme="minorBidi"/>
          <w:szCs w:val="22"/>
        </w:rPr>
      </w:pPr>
      <w:r>
        <w:t>48.</w:t>
      </w:r>
      <w:r>
        <w:tab/>
        <w:t>Trust account payments cash book, content of etc.</w:t>
      </w:r>
      <w:r>
        <w:tab/>
      </w:r>
      <w:r>
        <w:fldChar w:fldCharType="begin"/>
      </w:r>
      <w:r>
        <w:instrText xml:space="preserve"> PAGEREF _Toc476041020 \h </w:instrText>
      </w:r>
      <w:r>
        <w:fldChar w:fldCharType="separate"/>
      </w:r>
      <w:r>
        <w:t>43</w:t>
      </w:r>
      <w:r>
        <w:fldChar w:fldCharType="end"/>
      </w:r>
    </w:p>
    <w:p>
      <w:pPr>
        <w:pStyle w:val="TOC8"/>
        <w:rPr>
          <w:rFonts w:asciiTheme="minorHAnsi" w:eastAsiaTheme="minorEastAsia" w:hAnsiTheme="minorHAnsi" w:cstheme="minorBidi"/>
          <w:szCs w:val="22"/>
        </w:rPr>
      </w:pPr>
      <w:r>
        <w:t>49.</w:t>
      </w:r>
      <w:r>
        <w:tab/>
        <w:t>Trust ledger accounts, content of etc.</w:t>
      </w:r>
      <w:r>
        <w:tab/>
      </w:r>
      <w:r>
        <w:fldChar w:fldCharType="begin"/>
      </w:r>
      <w:r>
        <w:instrText xml:space="preserve"> PAGEREF _Toc476041021 \h </w:instrText>
      </w:r>
      <w:r>
        <w:fldChar w:fldCharType="separate"/>
      </w:r>
      <w:r>
        <w:t>44</w:t>
      </w:r>
      <w:r>
        <w:fldChar w:fldCharType="end"/>
      </w:r>
    </w:p>
    <w:p>
      <w:pPr>
        <w:pStyle w:val="TOC8"/>
        <w:rPr>
          <w:rFonts w:asciiTheme="minorHAnsi" w:eastAsiaTheme="minorEastAsia" w:hAnsiTheme="minorHAnsi" w:cstheme="minorBidi"/>
          <w:szCs w:val="22"/>
        </w:rPr>
      </w:pPr>
      <w:r>
        <w:t>50.</w:t>
      </w:r>
      <w:r>
        <w:tab/>
        <w:t>Transfers of trust money by journal entry, requirements for</w:t>
      </w:r>
      <w:r>
        <w:tab/>
      </w:r>
      <w:r>
        <w:fldChar w:fldCharType="begin"/>
      </w:r>
      <w:r>
        <w:instrText xml:space="preserve"> PAGEREF _Toc476041022 \h </w:instrText>
      </w:r>
      <w:r>
        <w:fldChar w:fldCharType="separate"/>
      </w:r>
      <w:r>
        <w:t>46</w:t>
      </w:r>
      <w:r>
        <w:fldChar w:fldCharType="end"/>
      </w:r>
    </w:p>
    <w:p>
      <w:pPr>
        <w:pStyle w:val="TOC8"/>
        <w:rPr>
          <w:rFonts w:asciiTheme="minorHAnsi" w:eastAsiaTheme="minorEastAsia" w:hAnsiTheme="minorHAnsi" w:cstheme="minorBidi"/>
          <w:szCs w:val="22"/>
        </w:rPr>
      </w:pPr>
      <w:r>
        <w:t>51.</w:t>
      </w:r>
      <w:r>
        <w:tab/>
        <w:t>Reconciliation of trust records, when required</w:t>
      </w:r>
      <w:r>
        <w:tab/>
      </w:r>
      <w:r>
        <w:fldChar w:fldCharType="begin"/>
      </w:r>
      <w:r>
        <w:instrText xml:space="preserve"> PAGEREF _Toc476041023 \h </w:instrText>
      </w:r>
      <w:r>
        <w:fldChar w:fldCharType="separate"/>
      </w:r>
      <w:r>
        <w:t>48</w:t>
      </w:r>
      <w:r>
        <w:fldChar w:fldCharType="end"/>
      </w:r>
    </w:p>
    <w:p>
      <w:pPr>
        <w:pStyle w:val="TOC8"/>
        <w:rPr>
          <w:rFonts w:asciiTheme="minorHAnsi" w:eastAsiaTheme="minorEastAsia" w:hAnsiTheme="minorHAnsi" w:cstheme="minorBidi"/>
          <w:szCs w:val="22"/>
        </w:rPr>
      </w:pPr>
      <w:r>
        <w:t>52.</w:t>
      </w:r>
      <w:r>
        <w:tab/>
        <w:t>Trust ledger account in name of law practice or legal practitioner associate, when permitted</w:t>
      </w:r>
      <w:r>
        <w:tab/>
      </w:r>
      <w:r>
        <w:fldChar w:fldCharType="begin"/>
      </w:r>
      <w:r>
        <w:instrText xml:space="preserve"> PAGEREF _Toc476041024 \h </w:instrText>
      </w:r>
      <w:r>
        <w:fldChar w:fldCharType="separate"/>
      </w:r>
      <w:r>
        <w:t>49</w:t>
      </w:r>
      <w:r>
        <w:fldChar w:fldCharType="end"/>
      </w:r>
    </w:p>
    <w:p>
      <w:pPr>
        <w:pStyle w:val="TOC8"/>
        <w:rPr>
          <w:rFonts w:asciiTheme="minorHAnsi" w:eastAsiaTheme="minorEastAsia" w:hAnsiTheme="minorHAnsi" w:cstheme="minorBidi"/>
          <w:szCs w:val="22"/>
        </w:rPr>
      </w:pPr>
      <w:r>
        <w:t>53.</w:t>
      </w:r>
      <w:r>
        <w:tab/>
        <w:t>Board to be notified of opening etc. of general trust account</w:t>
      </w:r>
      <w:r>
        <w:tab/>
      </w:r>
      <w:r>
        <w:fldChar w:fldCharType="begin"/>
      </w:r>
      <w:r>
        <w:instrText xml:space="preserve"> PAGEREF _Toc476041025 \h </w:instrText>
      </w:r>
      <w:r>
        <w:fldChar w:fldCharType="separate"/>
      </w:r>
      <w:r>
        <w:t>49</w:t>
      </w:r>
      <w:r>
        <w:fldChar w:fldCharType="end"/>
      </w:r>
    </w:p>
    <w:p>
      <w:pPr>
        <w:pStyle w:val="TOC4"/>
        <w:tabs>
          <w:tab w:val="right" w:leader="dot" w:pos="7077"/>
        </w:tabs>
        <w:rPr>
          <w:rFonts w:asciiTheme="minorHAnsi" w:eastAsiaTheme="minorEastAsia" w:hAnsiTheme="minorHAnsi" w:cstheme="minorBidi"/>
          <w:b w:val="0"/>
          <w:szCs w:val="22"/>
        </w:rPr>
      </w:pPr>
      <w:r>
        <w:t>Division 4 — Controlled money</w:t>
      </w:r>
    </w:p>
    <w:p>
      <w:pPr>
        <w:pStyle w:val="TOC8"/>
        <w:rPr>
          <w:rFonts w:asciiTheme="minorHAnsi" w:eastAsiaTheme="minorEastAsia" w:hAnsiTheme="minorHAnsi" w:cstheme="minorBidi"/>
          <w:szCs w:val="22"/>
        </w:rPr>
      </w:pPr>
      <w:r>
        <w:t>54.</w:t>
      </w:r>
      <w:r>
        <w:tab/>
        <w:t>How controlled money accounts to be maintained (Act s. 218(4))</w:t>
      </w:r>
      <w:r>
        <w:tab/>
      </w:r>
      <w:r>
        <w:fldChar w:fldCharType="begin"/>
      </w:r>
      <w:r>
        <w:instrText xml:space="preserve"> PAGEREF _Toc476041027 \h </w:instrText>
      </w:r>
      <w:r>
        <w:fldChar w:fldCharType="separate"/>
      </w:r>
      <w:r>
        <w:t>50</w:t>
      </w:r>
      <w:r>
        <w:fldChar w:fldCharType="end"/>
      </w:r>
    </w:p>
    <w:p>
      <w:pPr>
        <w:pStyle w:val="TOC8"/>
        <w:rPr>
          <w:rFonts w:asciiTheme="minorHAnsi" w:eastAsiaTheme="minorEastAsia" w:hAnsiTheme="minorHAnsi" w:cstheme="minorBidi"/>
          <w:szCs w:val="22"/>
        </w:rPr>
      </w:pPr>
      <w:r>
        <w:t>55.</w:t>
      </w:r>
      <w:r>
        <w:tab/>
        <w:t>Controlled money received, how to be receipted</w:t>
      </w:r>
      <w:r>
        <w:tab/>
      </w:r>
      <w:r>
        <w:fldChar w:fldCharType="begin"/>
      </w:r>
      <w:r>
        <w:instrText xml:space="preserve"> PAGEREF _Toc476041028 \h </w:instrText>
      </w:r>
      <w:r>
        <w:fldChar w:fldCharType="separate"/>
      </w:r>
      <w:r>
        <w:t>50</w:t>
      </w:r>
      <w:r>
        <w:fldChar w:fldCharType="end"/>
      </w:r>
    </w:p>
    <w:p>
      <w:pPr>
        <w:pStyle w:val="TOC8"/>
        <w:rPr>
          <w:rFonts w:asciiTheme="minorHAnsi" w:eastAsiaTheme="minorEastAsia" w:hAnsiTheme="minorHAnsi" w:cstheme="minorBidi"/>
          <w:szCs w:val="22"/>
        </w:rPr>
      </w:pPr>
      <w:r>
        <w:t>56.</w:t>
      </w:r>
      <w:r>
        <w:tab/>
        <w:t>Period prescribed (Act s. 218(5))</w:t>
      </w:r>
      <w:r>
        <w:tab/>
      </w:r>
      <w:r>
        <w:fldChar w:fldCharType="begin"/>
      </w:r>
      <w:r>
        <w:instrText xml:space="preserve"> PAGEREF _Toc476041029 \h </w:instrText>
      </w:r>
      <w:r>
        <w:fldChar w:fldCharType="separate"/>
      </w:r>
      <w:r>
        <w:t>52</w:t>
      </w:r>
      <w:r>
        <w:fldChar w:fldCharType="end"/>
      </w:r>
    </w:p>
    <w:p>
      <w:pPr>
        <w:pStyle w:val="TOC8"/>
        <w:rPr>
          <w:rFonts w:asciiTheme="minorHAnsi" w:eastAsiaTheme="minorEastAsia" w:hAnsiTheme="minorHAnsi" w:cstheme="minorBidi"/>
          <w:szCs w:val="22"/>
        </w:rPr>
      </w:pPr>
      <w:r>
        <w:t>57.</w:t>
      </w:r>
      <w:r>
        <w:tab/>
        <w:t>Withdrawal of controlled money, requirements for</w:t>
      </w:r>
      <w:r>
        <w:tab/>
      </w:r>
      <w:r>
        <w:fldChar w:fldCharType="begin"/>
      </w:r>
      <w:r>
        <w:instrText xml:space="preserve"> PAGEREF _Toc476041030 \h </w:instrText>
      </w:r>
      <w:r>
        <w:fldChar w:fldCharType="separate"/>
      </w:r>
      <w:r>
        <w:t>52</w:t>
      </w:r>
      <w:r>
        <w:fldChar w:fldCharType="end"/>
      </w:r>
    </w:p>
    <w:p>
      <w:pPr>
        <w:pStyle w:val="TOC8"/>
        <w:rPr>
          <w:rFonts w:asciiTheme="minorHAnsi" w:eastAsiaTheme="minorEastAsia" w:hAnsiTheme="minorHAnsi" w:cstheme="minorBidi"/>
          <w:szCs w:val="22"/>
        </w:rPr>
      </w:pPr>
      <w:r>
        <w:t>58.</w:t>
      </w:r>
      <w:r>
        <w:tab/>
        <w:t>Register of controlled money, content of etc.</w:t>
      </w:r>
      <w:r>
        <w:tab/>
      </w:r>
      <w:r>
        <w:fldChar w:fldCharType="begin"/>
      </w:r>
      <w:r>
        <w:instrText xml:space="preserve"> PAGEREF _Toc476041031 \h </w:instrText>
      </w:r>
      <w:r>
        <w:fldChar w:fldCharType="separate"/>
      </w:r>
      <w:r>
        <w:t>54</w:t>
      </w:r>
      <w:r>
        <w:fldChar w:fldCharType="end"/>
      </w:r>
    </w:p>
    <w:p>
      <w:pPr>
        <w:pStyle w:val="TOC4"/>
        <w:tabs>
          <w:tab w:val="right" w:leader="dot" w:pos="7077"/>
        </w:tabs>
        <w:rPr>
          <w:rFonts w:asciiTheme="minorHAnsi" w:eastAsiaTheme="minorEastAsia" w:hAnsiTheme="minorHAnsi" w:cstheme="minorBidi"/>
          <w:b w:val="0"/>
          <w:szCs w:val="22"/>
        </w:rPr>
      </w:pPr>
      <w:r>
        <w:t>Division 5 — Transit money</w:t>
      </w:r>
    </w:p>
    <w:p>
      <w:pPr>
        <w:pStyle w:val="TOC8"/>
        <w:rPr>
          <w:rFonts w:asciiTheme="minorHAnsi" w:eastAsiaTheme="minorEastAsia" w:hAnsiTheme="minorHAnsi" w:cstheme="minorBidi"/>
          <w:szCs w:val="22"/>
        </w:rPr>
      </w:pPr>
      <w:r>
        <w:t>59.</w:t>
      </w:r>
      <w:r>
        <w:tab/>
        <w:t>Transit money, records about required (Act s. 220)</w:t>
      </w:r>
      <w:r>
        <w:tab/>
      </w:r>
      <w:r>
        <w:fldChar w:fldCharType="begin"/>
      </w:r>
      <w:r>
        <w:instrText xml:space="preserve"> PAGEREF _Toc476041033 \h </w:instrText>
      </w:r>
      <w:r>
        <w:fldChar w:fldCharType="separate"/>
      </w:r>
      <w:r>
        <w:t>56</w:t>
      </w:r>
      <w:r>
        <w:fldChar w:fldCharType="end"/>
      </w:r>
    </w:p>
    <w:p>
      <w:pPr>
        <w:pStyle w:val="TOC4"/>
        <w:tabs>
          <w:tab w:val="right" w:leader="dot" w:pos="7077"/>
        </w:tabs>
        <w:rPr>
          <w:rFonts w:asciiTheme="minorHAnsi" w:eastAsiaTheme="minorEastAsia" w:hAnsiTheme="minorHAnsi" w:cstheme="minorBidi"/>
          <w:b w:val="0"/>
          <w:szCs w:val="22"/>
        </w:rPr>
      </w:pPr>
      <w:r>
        <w:t>Division 6 — Trust money generally</w:t>
      </w:r>
    </w:p>
    <w:p>
      <w:pPr>
        <w:pStyle w:val="TOC8"/>
        <w:rPr>
          <w:rFonts w:asciiTheme="minorHAnsi" w:eastAsiaTheme="minorEastAsia" w:hAnsiTheme="minorHAnsi" w:cstheme="minorBidi"/>
          <w:szCs w:val="22"/>
        </w:rPr>
      </w:pPr>
      <w:r>
        <w:t>60.</w:t>
      </w:r>
      <w:r>
        <w:tab/>
        <w:t>Trust account statements, requirements to give etc.</w:t>
      </w:r>
      <w:r>
        <w:tab/>
      </w:r>
      <w:r>
        <w:fldChar w:fldCharType="begin"/>
      </w:r>
      <w:r>
        <w:instrText xml:space="preserve"> PAGEREF _Toc476041035 \h </w:instrText>
      </w:r>
      <w:r>
        <w:fldChar w:fldCharType="separate"/>
      </w:r>
      <w:r>
        <w:t>56</w:t>
      </w:r>
      <w:r>
        <w:fldChar w:fldCharType="end"/>
      </w:r>
    </w:p>
    <w:p>
      <w:pPr>
        <w:pStyle w:val="TOC8"/>
        <w:rPr>
          <w:rFonts w:asciiTheme="minorHAnsi" w:eastAsiaTheme="minorEastAsia" w:hAnsiTheme="minorHAnsi" w:cstheme="minorBidi"/>
          <w:szCs w:val="22"/>
        </w:rPr>
      </w:pPr>
      <w:r>
        <w:t>61.</w:t>
      </w:r>
      <w:r>
        <w:tab/>
        <w:t>Sophisticated clients, application of r. 60 to</w:t>
      </w:r>
      <w:r>
        <w:tab/>
      </w:r>
      <w:r>
        <w:fldChar w:fldCharType="begin"/>
      </w:r>
      <w:r>
        <w:instrText xml:space="preserve"> PAGEREF _Toc476041036 \h </w:instrText>
      </w:r>
      <w:r>
        <w:fldChar w:fldCharType="separate"/>
      </w:r>
      <w:r>
        <w:t>57</w:t>
      </w:r>
      <w:r>
        <w:fldChar w:fldCharType="end"/>
      </w:r>
    </w:p>
    <w:p>
      <w:pPr>
        <w:pStyle w:val="TOC8"/>
        <w:rPr>
          <w:rFonts w:asciiTheme="minorHAnsi" w:eastAsiaTheme="minorEastAsia" w:hAnsiTheme="minorHAnsi" w:cstheme="minorBidi"/>
          <w:szCs w:val="22"/>
        </w:rPr>
      </w:pPr>
      <w:r>
        <w:t>62.</w:t>
      </w:r>
      <w:r>
        <w:tab/>
        <w:t>Invested trust money, register of required etc.</w:t>
      </w:r>
      <w:r>
        <w:tab/>
      </w:r>
      <w:r>
        <w:fldChar w:fldCharType="begin"/>
      </w:r>
      <w:r>
        <w:instrText xml:space="preserve"> PAGEREF _Toc476041037 \h </w:instrText>
      </w:r>
      <w:r>
        <w:fldChar w:fldCharType="separate"/>
      </w:r>
      <w:r>
        <w:t>58</w:t>
      </w:r>
      <w:r>
        <w:fldChar w:fldCharType="end"/>
      </w:r>
    </w:p>
    <w:p>
      <w:pPr>
        <w:pStyle w:val="TOC8"/>
        <w:rPr>
          <w:rFonts w:asciiTheme="minorHAnsi" w:eastAsiaTheme="minorEastAsia" w:hAnsiTheme="minorHAnsi" w:cstheme="minorBidi"/>
          <w:szCs w:val="22"/>
        </w:rPr>
      </w:pPr>
      <w:r>
        <w:t>63.</w:t>
      </w:r>
      <w:r>
        <w:tab/>
        <w:t>Trust money subject to specific power, dealings with (Act s. 221)</w:t>
      </w:r>
      <w:r>
        <w:tab/>
      </w:r>
      <w:r>
        <w:fldChar w:fldCharType="begin"/>
      </w:r>
      <w:r>
        <w:instrText xml:space="preserve"> PAGEREF _Toc476041038 \h </w:instrText>
      </w:r>
      <w:r>
        <w:fldChar w:fldCharType="separate"/>
      </w:r>
      <w:r>
        <w:t>59</w:t>
      </w:r>
      <w:r>
        <w:fldChar w:fldCharType="end"/>
      </w:r>
    </w:p>
    <w:p>
      <w:pPr>
        <w:pStyle w:val="TOC8"/>
        <w:rPr>
          <w:rFonts w:asciiTheme="minorHAnsi" w:eastAsiaTheme="minorEastAsia" w:hAnsiTheme="minorHAnsi" w:cstheme="minorBidi"/>
          <w:szCs w:val="22"/>
        </w:rPr>
      </w:pPr>
      <w:r>
        <w:t>64.</w:t>
      </w:r>
      <w:r>
        <w:tab/>
        <w:t>Powers and estates relating to trust money, register of</w:t>
      </w:r>
      <w:r>
        <w:tab/>
      </w:r>
      <w:r>
        <w:fldChar w:fldCharType="begin"/>
      </w:r>
      <w:r>
        <w:instrText xml:space="preserve"> PAGEREF _Toc476041039 \h </w:instrText>
      </w:r>
      <w:r>
        <w:fldChar w:fldCharType="separate"/>
      </w:r>
      <w:r>
        <w:t>59</w:t>
      </w:r>
      <w:r>
        <w:fldChar w:fldCharType="end"/>
      </w:r>
    </w:p>
    <w:p>
      <w:pPr>
        <w:pStyle w:val="TOC8"/>
        <w:rPr>
          <w:rFonts w:asciiTheme="minorHAnsi" w:eastAsiaTheme="minorEastAsia" w:hAnsiTheme="minorHAnsi" w:cstheme="minorBidi"/>
          <w:szCs w:val="22"/>
        </w:rPr>
      </w:pPr>
      <w:r>
        <w:t>65.</w:t>
      </w:r>
      <w:r>
        <w:tab/>
        <w:t>Withdrawing trust money for legal costs, procedures etc. for (Act s. 225(1)(b))</w:t>
      </w:r>
      <w:r>
        <w:tab/>
      </w:r>
      <w:r>
        <w:fldChar w:fldCharType="begin"/>
      </w:r>
      <w:r>
        <w:instrText xml:space="preserve"> PAGEREF _Toc476041040 \h </w:instrText>
      </w:r>
      <w:r>
        <w:fldChar w:fldCharType="separate"/>
      </w:r>
      <w:r>
        <w:t>60</w:t>
      </w:r>
      <w:r>
        <w:fldChar w:fldCharType="end"/>
      </w:r>
    </w:p>
    <w:p>
      <w:pPr>
        <w:pStyle w:val="TOC8"/>
        <w:rPr>
          <w:rFonts w:asciiTheme="minorHAnsi" w:eastAsiaTheme="minorEastAsia" w:hAnsiTheme="minorHAnsi" w:cstheme="minorBidi"/>
          <w:szCs w:val="22"/>
        </w:rPr>
      </w:pPr>
      <w:r>
        <w:t>66.</w:t>
      </w:r>
      <w:r>
        <w:tab/>
        <w:t>Trust records, how to be kept (Act s. 228)</w:t>
      </w:r>
      <w:r>
        <w:tab/>
      </w:r>
      <w:r>
        <w:fldChar w:fldCharType="begin"/>
      </w:r>
      <w:r>
        <w:instrText xml:space="preserve"> PAGEREF _Toc476041041 \h </w:instrText>
      </w:r>
      <w:r>
        <w:fldChar w:fldCharType="separate"/>
      </w:r>
      <w:r>
        <w:t>61</w:t>
      </w:r>
      <w:r>
        <w:fldChar w:fldCharType="end"/>
      </w:r>
    </w:p>
    <w:p>
      <w:pPr>
        <w:pStyle w:val="TOC8"/>
        <w:rPr>
          <w:rFonts w:asciiTheme="minorHAnsi" w:eastAsiaTheme="minorEastAsia" w:hAnsiTheme="minorHAnsi" w:cstheme="minorBidi"/>
          <w:szCs w:val="22"/>
        </w:rPr>
      </w:pPr>
      <w:r>
        <w:t>67.</w:t>
      </w:r>
      <w:r>
        <w:tab/>
        <w:t>Other records etc. required by these regulations, how long to be kept for</w:t>
      </w:r>
      <w:r>
        <w:tab/>
      </w:r>
      <w:r>
        <w:fldChar w:fldCharType="begin"/>
      </w:r>
      <w:r>
        <w:instrText xml:space="preserve"> PAGEREF _Toc476041042 \h </w:instrText>
      </w:r>
      <w:r>
        <w:fldChar w:fldCharType="separate"/>
      </w:r>
      <w:r>
        <w:t>62</w:t>
      </w:r>
      <w:r>
        <w:fldChar w:fldCharType="end"/>
      </w:r>
    </w:p>
    <w:p>
      <w:pPr>
        <w:pStyle w:val="TOC8"/>
        <w:rPr>
          <w:rFonts w:asciiTheme="minorHAnsi" w:eastAsiaTheme="minorEastAsia" w:hAnsiTheme="minorHAnsi" w:cstheme="minorBidi"/>
          <w:szCs w:val="22"/>
        </w:rPr>
      </w:pPr>
      <w:r>
        <w:t>68.</w:t>
      </w:r>
      <w:r>
        <w:tab/>
        <w:t>Board may require statement as to trust money</w:t>
      </w:r>
      <w:r>
        <w:tab/>
      </w:r>
      <w:r>
        <w:fldChar w:fldCharType="begin"/>
      </w:r>
      <w:r>
        <w:instrText xml:space="preserve"> PAGEREF _Toc476041043 \h </w:instrText>
      </w:r>
      <w:r>
        <w:fldChar w:fldCharType="separate"/>
      </w:r>
      <w:r>
        <w:t>62</w:t>
      </w:r>
      <w:r>
        <w:fldChar w:fldCharType="end"/>
      </w:r>
    </w:p>
    <w:p>
      <w:pPr>
        <w:pStyle w:val="TOC4"/>
        <w:tabs>
          <w:tab w:val="right" w:leader="dot" w:pos="7077"/>
        </w:tabs>
        <w:rPr>
          <w:rFonts w:asciiTheme="minorHAnsi" w:eastAsiaTheme="minorEastAsia" w:hAnsiTheme="minorHAnsi" w:cstheme="minorBidi"/>
          <w:b w:val="0"/>
          <w:szCs w:val="22"/>
        </w:rPr>
      </w:pPr>
      <w:r>
        <w:t>Division 7 — External examinations</w:t>
      </w:r>
    </w:p>
    <w:p>
      <w:pPr>
        <w:pStyle w:val="TOC8"/>
        <w:rPr>
          <w:rFonts w:asciiTheme="minorHAnsi" w:eastAsiaTheme="minorEastAsia" w:hAnsiTheme="minorHAnsi" w:cstheme="minorBidi"/>
          <w:szCs w:val="22"/>
        </w:rPr>
      </w:pPr>
      <w:r>
        <w:t>69.</w:t>
      </w:r>
      <w:r>
        <w:tab/>
        <w:t>External examiner, appointment of etc. (Act s. 237)</w:t>
      </w:r>
      <w:r>
        <w:tab/>
      </w:r>
      <w:r>
        <w:fldChar w:fldCharType="begin"/>
      </w:r>
      <w:r>
        <w:instrText xml:space="preserve"> PAGEREF _Toc476041045 \h </w:instrText>
      </w:r>
      <w:r>
        <w:fldChar w:fldCharType="separate"/>
      </w:r>
      <w:r>
        <w:t>63</w:t>
      </w:r>
      <w:r>
        <w:fldChar w:fldCharType="end"/>
      </w:r>
    </w:p>
    <w:p>
      <w:pPr>
        <w:pStyle w:val="TOC8"/>
        <w:rPr>
          <w:rFonts w:asciiTheme="minorHAnsi" w:eastAsiaTheme="minorEastAsia" w:hAnsiTheme="minorHAnsi" w:cstheme="minorBidi"/>
          <w:szCs w:val="22"/>
        </w:rPr>
      </w:pPr>
      <w:r>
        <w:t>70.</w:t>
      </w:r>
      <w:r>
        <w:tab/>
        <w:t>Board to be notified of each appointment of external examiner</w:t>
      </w:r>
      <w:r>
        <w:tab/>
      </w:r>
      <w:r>
        <w:fldChar w:fldCharType="begin"/>
      </w:r>
      <w:r>
        <w:instrText xml:space="preserve"> PAGEREF _Toc476041046 \h </w:instrText>
      </w:r>
      <w:r>
        <w:fldChar w:fldCharType="separate"/>
      </w:r>
      <w:r>
        <w:t>64</w:t>
      </w:r>
      <w:r>
        <w:fldChar w:fldCharType="end"/>
      </w:r>
    </w:p>
    <w:p>
      <w:pPr>
        <w:pStyle w:val="TOC8"/>
        <w:rPr>
          <w:rFonts w:asciiTheme="minorHAnsi" w:eastAsiaTheme="minorEastAsia" w:hAnsiTheme="minorHAnsi" w:cstheme="minorBidi"/>
          <w:szCs w:val="22"/>
        </w:rPr>
      </w:pPr>
      <w:r>
        <w:t>71.</w:t>
      </w:r>
      <w:r>
        <w:tab/>
        <w:t>Statutory declaration form prescribed (Act s. 239(3)(b))</w:t>
      </w:r>
      <w:r>
        <w:tab/>
      </w:r>
      <w:r>
        <w:fldChar w:fldCharType="begin"/>
      </w:r>
      <w:r>
        <w:instrText xml:space="preserve"> PAGEREF _Toc476041047 \h </w:instrText>
      </w:r>
      <w:r>
        <w:fldChar w:fldCharType="separate"/>
      </w:r>
      <w:r>
        <w:t>64</w:t>
      </w:r>
      <w:r>
        <w:fldChar w:fldCharType="end"/>
      </w:r>
    </w:p>
    <w:p>
      <w:pPr>
        <w:pStyle w:val="TOC8"/>
        <w:rPr>
          <w:rFonts w:asciiTheme="minorHAnsi" w:eastAsiaTheme="minorEastAsia" w:hAnsiTheme="minorHAnsi" w:cstheme="minorBidi"/>
          <w:szCs w:val="22"/>
        </w:rPr>
      </w:pPr>
      <w:r>
        <w:t>72.</w:t>
      </w:r>
      <w:r>
        <w:tab/>
        <w:t>External examiner’s report, content of prescribed (Act s. 240(3)(b))</w:t>
      </w:r>
      <w:r>
        <w:tab/>
      </w:r>
      <w:r>
        <w:fldChar w:fldCharType="begin"/>
      </w:r>
      <w:r>
        <w:instrText xml:space="preserve"> PAGEREF _Toc476041048 \h </w:instrText>
      </w:r>
      <w:r>
        <w:fldChar w:fldCharType="separate"/>
      </w:r>
      <w:r>
        <w:t>64</w:t>
      </w:r>
      <w:r>
        <w:fldChar w:fldCharType="end"/>
      </w:r>
    </w:p>
    <w:p>
      <w:pPr>
        <w:pStyle w:val="TOC8"/>
        <w:rPr>
          <w:rFonts w:asciiTheme="minorHAnsi" w:eastAsiaTheme="minorEastAsia" w:hAnsiTheme="minorHAnsi" w:cstheme="minorBidi"/>
          <w:szCs w:val="22"/>
        </w:rPr>
      </w:pPr>
      <w:r>
        <w:t>73A.</w:t>
      </w:r>
      <w:r>
        <w:tab/>
        <w:t>Board may grant exemptions from s. 237(1)</w:t>
      </w:r>
      <w:r>
        <w:tab/>
      </w:r>
      <w:r>
        <w:fldChar w:fldCharType="begin"/>
      </w:r>
      <w:r>
        <w:instrText xml:space="preserve"> PAGEREF _Toc476041049 \h </w:instrText>
      </w:r>
      <w:r>
        <w:fldChar w:fldCharType="separate"/>
      </w:r>
      <w:r>
        <w:t>64</w:t>
      </w:r>
      <w:r>
        <w:fldChar w:fldCharType="end"/>
      </w:r>
    </w:p>
    <w:p>
      <w:pPr>
        <w:pStyle w:val="TOC4"/>
        <w:tabs>
          <w:tab w:val="right" w:leader="dot" w:pos="7077"/>
        </w:tabs>
        <w:rPr>
          <w:rFonts w:asciiTheme="minorHAnsi" w:eastAsiaTheme="minorEastAsia" w:hAnsiTheme="minorHAnsi" w:cstheme="minorBidi"/>
          <w:b w:val="0"/>
          <w:szCs w:val="22"/>
        </w:rPr>
      </w:pPr>
      <w:r>
        <w:t>Division 8 — Miscellaneous</w:t>
      </w:r>
    </w:p>
    <w:p>
      <w:pPr>
        <w:pStyle w:val="TOC8"/>
        <w:rPr>
          <w:rFonts w:asciiTheme="minorHAnsi" w:eastAsiaTheme="minorEastAsia" w:hAnsiTheme="minorHAnsi" w:cstheme="minorBidi"/>
          <w:szCs w:val="22"/>
        </w:rPr>
      </w:pPr>
      <w:r>
        <w:t>73.</w:t>
      </w:r>
      <w:r>
        <w:tab/>
        <w:t>Trust money protocols identified (Act s. 209(4))</w:t>
      </w:r>
      <w:r>
        <w:tab/>
      </w:r>
      <w:r>
        <w:fldChar w:fldCharType="begin"/>
      </w:r>
      <w:r>
        <w:instrText xml:space="preserve"> PAGEREF _Toc476041051 \h </w:instrText>
      </w:r>
      <w:r>
        <w:fldChar w:fldCharType="separate"/>
      </w:r>
      <w:r>
        <w:t>64</w:t>
      </w:r>
      <w:r>
        <w:fldChar w:fldCharType="end"/>
      </w:r>
    </w:p>
    <w:p>
      <w:pPr>
        <w:pStyle w:val="TOC8"/>
        <w:rPr>
          <w:rFonts w:asciiTheme="minorHAnsi" w:eastAsiaTheme="minorEastAsia" w:hAnsiTheme="minorHAnsi" w:cstheme="minorBidi"/>
          <w:szCs w:val="22"/>
        </w:rPr>
      </w:pPr>
      <w:r>
        <w:t>74.</w:t>
      </w:r>
      <w:r>
        <w:tab/>
        <w:t>Law practice ceasing or ceasing to receive or hold trust money to notify Board</w:t>
      </w:r>
      <w:r>
        <w:tab/>
      </w:r>
      <w:r>
        <w:fldChar w:fldCharType="begin"/>
      </w:r>
      <w:r>
        <w:instrText xml:space="preserve"> PAGEREF _Toc476041052 \h </w:instrText>
      </w:r>
      <w:r>
        <w:fldChar w:fldCharType="separate"/>
      </w:r>
      <w:r>
        <w:t>65</w:t>
      </w:r>
      <w:r>
        <w:fldChar w:fldCharType="end"/>
      </w:r>
    </w:p>
    <w:p>
      <w:pPr>
        <w:pStyle w:val="TOC8"/>
        <w:rPr>
          <w:rFonts w:asciiTheme="minorHAnsi" w:eastAsiaTheme="minorEastAsia" w:hAnsiTheme="minorHAnsi" w:cstheme="minorBidi"/>
          <w:szCs w:val="22"/>
        </w:rPr>
      </w:pPr>
      <w:r>
        <w:t>75.</w:t>
      </w:r>
      <w:r>
        <w:tab/>
        <w:t>Notice required by Act s. 248, content of</w:t>
      </w:r>
      <w:r>
        <w:tab/>
      </w:r>
      <w:r>
        <w:fldChar w:fldCharType="begin"/>
      </w:r>
      <w:r>
        <w:instrText xml:space="preserve"> PAGEREF _Toc476041053 \h </w:instrText>
      </w:r>
      <w:r>
        <w:fldChar w:fldCharType="separate"/>
      </w:r>
      <w:r>
        <w:t>65</w:t>
      </w:r>
      <w:r>
        <w:fldChar w:fldCharType="end"/>
      </w:r>
    </w:p>
    <w:p>
      <w:pPr>
        <w:pStyle w:val="TOC8"/>
        <w:rPr>
          <w:rFonts w:asciiTheme="minorHAnsi" w:eastAsiaTheme="minorEastAsia" w:hAnsiTheme="minorHAnsi" w:cstheme="minorBidi"/>
          <w:szCs w:val="22"/>
        </w:rPr>
      </w:pPr>
      <w:r>
        <w:t>76.</w:t>
      </w:r>
      <w:r>
        <w:tab/>
        <w:t>Notice required by Act s. 249(1), content of</w:t>
      </w:r>
      <w:r>
        <w:tab/>
      </w:r>
      <w:r>
        <w:fldChar w:fldCharType="begin"/>
      </w:r>
      <w:r>
        <w:instrText xml:space="preserve"> PAGEREF _Toc476041054 \h </w:instrText>
      </w:r>
      <w:r>
        <w:fldChar w:fldCharType="separate"/>
      </w:r>
      <w:r>
        <w:t>66</w:t>
      </w:r>
      <w:r>
        <w:fldChar w:fldCharType="end"/>
      </w:r>
    </w:p>
    <w:p>
      <w:pPr>
        <w:pStyle w:val="TOC8"/>
        <w:rPr>
          <w:rFonts w:asciiTheme="minorHAnsi" w:eastAsiaTheme="minorEastAsia" w:hAnsiTheme="minorHAnsi" w:cstheme="minorBidi"/>
          <w:szCs w:val="22"/>
        </w:rPr>
      </w:pPr>
      <w:r>
        <w:t>77.</w:t>
      </w:r>
      <w:r>
        <w:tab/>
        <w:t>Exemptions from this Part, Board may grant etc.</w:t>
      </w:r>
      <w:r>
        <w:tab/>
      </w:r>
      <w:r>
        <w:fldChar w:fldCharType="begin"/>
      </w:r>
      <w:r>
        <w:instrText xml:space="preserve"> PAGEREF _Toc476041055 \h </w:instrText>
      </w:r>
      <w:r>
        <w:fldChar w:fldCharType="separate"/>
      </w:r>
      <w:r>
        <w:t>66</w:t>
      </w:r>
      <w:r>
        <w:fldChar w:fldCharType="end"/>
      </w:r>
    </w:p>
    <w:p>
      <w:pPr>
        <w:pStyle w:val="TOC2"/>
        <w:tabs>
          <w:tab w:val="right" w:leader="dot" w:pos="7077"/>
        </w:tabs>
        <w:rPr>
          <w:rFonts w:asciiTheme="minorHAnsi" w:eastAsiaTheme="minorEastAsia" w:hAnsiTheme="minorHAnsi" w:cstheme="minorBidi"/>
          <w:b w:val="0"/>
          <w:sz w:val="22"/>
          <w:szCs w:val="22"/>
        </w:rPr>
      </w:pPr>
      <w:r>
        <w:t>Part 8 — Costs disclosure and assessment</w:t>
      </w:r>
    </w:p>
    <w:p>
      <w:pPr>
        <w:pStyle w:val="TOC8"/>
        <w:rPr>
          <w:rFonts w:asciiTheme="minorHAnsi" w:eastAsiaTheme="minorEastAsia" w:hAnsiTheme="minorHAnsi" w:cstheme="minorBidi"/>
          <w:szCs w:val="22"/>
        </w:rPr>
      </w:pPr>
      <w:r>
        <w:t>78.</w:t>
      </w:r>
      <w:r>
        <w:tab/>
        <w:t>Substantial connection with this jurisdiction, when matter has (Act s. 258)</w:t>
      </w:r>
      <w:r>
        <w:tab/>
      </w:r>
      <w:r>
        <w:fldChar w:fldCharType="begin"/>
      </w:r>
      <w:r>
        <w:instrText xml:space="preserve"> PAGEREF _Toc476041057 \h </w:instrText>
      </w:r>
      <w:r>
        <w:fldChar w:fldCharType="separate"/>
      </w:r>
      <w:r>
        <w:t>67</w:t>
      </w:r>
      <w:r>
        <w:fldChar w:fldCharType="end"/>
      </w:r>
    </w:p>
    <w:p>
      <w:pPr>
        <w:pStyle w:val="TOC8"/>
        <w:rPr>
          <w:rFonts w:asciiTheme="minorHAnsi" w:eastAsiaTheme="minorEastAsia" w:hAnsiTheme="minorHAnsi" w:cstheme="minorBidi"/>
          <w:szCs w:val="22"/>
        </w:rPr>
      </w:pPr>
      <w:r>
        <w:t>79.</w:t>
      </w:r>
      <w:r>
        <w:tab/>
        <w:t>Maximum interest rate prescribed (Act s. 273(4))</w:t>
      </w:r>
      <w:r>
        <w:tab/>
      </w:r>
      <w:r>
        <w:fldChar w:fldCharType="begin"/>
      </w:r>
      <w:r>
        <w:instrText xml:space="preserve"> PAGEREF _Toc476041058 \h </w:instrText>
      </w:r>
      <w:r>
        <w:fldChar w:fldCharType="separate"/>
      </w:r>
      <w:r>
        <w:t>67</w:t>
      </w:r>
      <w:r>
        <w:fldChar w:fldCharType="end"/>
      </w:r>
    </w:p>
    <w:p>
      <w:pPr>
        <w:pStyle w:val="TOC8"/>
        <w:rPr>
          <w:rFonts w:asciiTheme="minorHAnsi" w:eastAsiaTheme="minorEastAsia" w:hAnsiTheme="minorHAnsi" w:cstheme="minorBidi"/>
          <w:szCs w:val="22"/>
        </w:rPr>
      </w:pPr>
      <w:r>
        <w:t>80.</w:t>
      </w:r>
      <w:r>
        <w:tab/>
        <w:t>Written statement, forms of prescribed etc. (Act s. 260(5) and (7))</w:t>
      </w:r>
      <w:r>
        <w:tab/>
      </w:r>
      <w:r>
        <w:fldChar w:fldCharType="begin"/>
      </w:r>
      <w:r>
        <w:instrText xml:space="preserve"> PAGEREF _Toc476041059 \h </w:instrText>
      </w:r>
      <w:r>
        <w:fldChar w:fldCharType="separate"/>
      </w:r>
      <w:r>
        <w:t>68</w:t>
      </w:r>
      <w:r>
        <w:fldChar w:fldCharType="end"/>
      </w:r>
    </w:p>
    <w:p>
      <w:pPr>
        <w:pStyle w:val="TOC8"/>
        <w:rPr>
          <w:rFonts w:asciiTheme="minorHAnsi" w:eastAsiaTheme="minorEastAsia" w:hAnsiTheme="minorHAnsi" w:cstheme="minorBidi"/>
          <w:szCs w:val="22"/>
        </w:rPr>
      </w:pPr>
      <w:r>
        <w:t>81.</w:t>
      </w:r>
      <w:r>
        <w:tab/>
        <w:t>Exceptions to disclosure requirement in Act s. 260 and 261(1) (Act s. 263(2)(f))</w:t>
      </w:r>
      <w:r>
        <w:tab/>
      </w:r>
      <w:r>
        <w:fldChar w:fldCharType="begin"/>
      </w:r>
      <w:r>
        <w:instrText xml:space="preserve"> PAGEREF _Toc476041060 \h </w:instrText>
      </w:r>
      <w:r>
        <w:fldChar w:fldCharType="separate"/>
      </w:r>
      <w:r>
        <w:t>68</w:t>
      </w:r>
      <w:r>
        <w:fldChar w:fldCharType="end"/>
      </w:r>
    </w:p>
    <w:p>
      <w:pPr>
        <w:pStyle w:val="TOC8"/>
        <w:rPr>
          <w:rFonts w:asciiTheme="minorHAnsi" w:eastAsiaTheme="minorEastAsia" w:hAnsiTheme="minorHAnsi" w:cstheme="minorBidi"/>
          <w:szCs w:val="22"/>
        </w:rPr>
      </w:pPr>
      <w:r>
        <w:t>82.</w:t>
      </w:r>
      <w:r>
        <w:tab/>
        <w:t>Written statement, form of prescribed (Act s. 291(3))</w:t>
      </w:r>
      <w:r>
        <w:tab/>
      </w:r>
      <w:r>
        <w:fldChar w:fldCharType="begin"/>
      </w:r>
      <w:r>
        <w:instrText xml:space="preserve"> PAGEREF _Toc476041061 \h </w:instrText>
      </w:r>
      <w:r>
        <w:fldChar w:fldCharType="separate"/>
      </w:r>
      <w:r>
        <w:t>69</w:t>
      </w:r>
      <w:r>
        <w:fldChar w:fldCharType="end"/>
      </w:r>
    </w:p>
    <w:p>
      <w:pPr>
        <w:pStyle w:val="TOC2"/>
        <w:tabs>
          <w:tab w:val="right" w:leader="dot" w:pos="7077"/>
        </w:tabs>
        <w:rPr>
          <w:rFonts w:asciiTheme="minorHAnsi" w:eastAsiaTheme="minorEastAsia" w:hAnsiTheme="minorHAnsi" w:cstheme="minorBidi"/>
          <w:b w:val="0"/>
          <w:sz w:val="22"/>
          <w:szCs w:val="22"/>
        </w:rPr>
      </w:pPr>
      <w:r>
        <w:t>Part 9 — Professional indemnity insurance</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83.</w:t>
      </w:r>
      <w:r>
        <w:tab/>
        <w:t>Terms used</w:t>
      </w:r>
      <w:r>
        <w:tab/>
      </w:r>
      <w:r>
        <w:fldChar w:fldCharType="begin"/>
      </w:r>
      <w:r>
        <w:instrText xml:space="preserve"> PAGEREF _Toc476041064 \h </w:instrText>
      </w:r>
      <w:r>
        <w:fldChar w:fldCharType="separate"/>
      </w:r>
      <w:r>
        <w:t>70</w:t>
      </w:r>
      <w:r>
        <w:fldChar w:fldCharType="end"/>
      </w:r>
    </w:p>
    <w:p>
      <w:pPr>
        <w:pStyle w:val="TOC4"/>
        <w:tabs>
          <w:tab w:val="right" w:leader="dot" w:pos="7077"/>
        </w:tabs>
        <w:rPr>
          <w:rFonts w:asciiTheme="minorHAnsi" w:eastAsiaTheme="minorEastAsia" w:hAnsiTheme="minorHAnsi" w:cstheme="minorBidi"/>
          <w:b w:val="0"/>
          <w:szCs w:val="22"/>
        </w:rPr>
      </w:pPr>
      <w:r>
        <w:t>Division 2 — PII arrangement and Law Mutual Fund</w:t>
      </w:r>
    </w:p>
    <w:p>
      <w:pPr>
        <w:pStyle w:val="TOC8"/>
        <w:rPr>
          <w:rFonts w:asciiTheme="minorHAnsi" w:eastAsiaTheme="minorEastAsia" w:hAnsiTheme="minorHAnsi" w:cstheme="minorBidi"/>
          <w:szCs w:val="22"/>
        </w:rPr>
      </w:pPr>
      <w:r>
        <w:t>84.</w:t>
      </w:r>
      <w:r>
        <w:tab/>
        <w:t>PII arrangement and scheme for PII, Law Society’s functions as to</w:t>
      </w:r>
      <w:r>
        <w:tab/>
      </w:r>
      <w:r>
        <w:fldChar w:fldCharType="begin"/>
      </w:r>
      <w:r>
        <w:instrText xml:space="preserve"> PAGEREF _Toc476041066 \h </w:instrText>
      </w:r>
      <w:r>
        <w:fldChar w:fldCharType="separate"/>
      </w:r>
      <w:r>
        <w:t>70</w:t>
      </w:r>
      <w:r>
        <w:fldChar w:fldCharType="end"/>
      </w:r>
    </w:p>
    <w:p>
      <w:pPr>
        <w:pStyle w:val="TOC8"/>
        <w:rPr>
          <w:rFonts w:asciiTheme="minorHAnsi" w:eastAsiaTheme="minorEastAsia" w:hAnsiTheme="minorHAnsi" w:cstheme="minorBidi"/>
          <w:szCs w:val="22"/>
        </w:rPr>
      </w:pPr>
      <w:r>
        <w:t>85.</w:t>
      </w:r>
      <w:r>
        <w:tab/>
        <w:t>Law Mutual Fund, maintenance of</w:t>
      </w:r>
      <w:r>
        <w:tab/>
      </w:r>
      <w:r>
        <w:fldChar w:fldCharType="begin"/>
      </w:r>
      <w:r>
        <w:instrText xml:space="preserve"> PAGEREF _Toc476041067 \h </w:instrText>
      </w:r>
      <w:r>
        <w:fldChar w:fldCharType="separate"/>
      </w:r>
      <w:r>
        <w:t>71</w:t>
      </w:r>
      <w:r>
        <w:fldChar w:fldCharType="end"/>
      </w:r>
    </w:p>
    <w:p>
      <w:pPr>
        <w:pStyle w:val="TOC8"/>
        <w:rPr>
          <w:rFonts w:asciiTheme="minorHAnsi" w:eastAsiaTheme="minorEastAsia" w:hAnsiTheme="minorHAnsi" w:cstheme="minorBidi"/>
          <w:szCs w:val="22"/>
        </w:rPr>
      </w:pPr>
      <w:r>
        <w:t>86.</w:t>
      </w:r>
      <w:r>
        <w:tab/>
        <w:t>Surplus funds in Law Mutual Fund, application of</w:t>
      </w:r>
      <w:r>
        <w:tab/>
      </w:r>
      <w:r>
        <w:fldChar w:fldCharType="begin"/>
      </w:r>
      <w:r>
        <w:instrText xml:space="preserve"> PAGEREF _Toc476041068 \h </w:instrText>
      </w:r>
      <w:r>
        <w:fldChar w:fldCharType="separate"/>
      </w:r>
      <w:r>
        <w:t>71</w:t>
      </w:r>
      <w:r>
        <w:fldChar w:fldCharType="end"/>
      </w:r>
    </w:p>
    <w:p>
      <w:pPr>
        <w:pStyle w:val="TOC4"/>
        <w:tabs>
          <w:tab w:val="right" w:leader="dot" w:pos="7077"/>
        </w:tabs>
        <w:rPr>
          <w:rFonts w:asciiTheme="minorHAnsi" w:eastAsiaTheme="minorEastAsia" w:hAnsiTheme="minorHAnsi" w:cstheme="minorBidi"/>
          <w:b w:val="0"/>
          <w:szCs w:val="22"/>
        </w:rPr>
      </w:pPr>
      <w:r>
        <w:t>Division 3 — Duties of law practices</w:t>
      </w:r>
    </w:p>
    <w:p>
      <w:pPr>
        <w:pStyle w:val="TOC8"/>
        <w:rPr>
          <w:rFonts w:asciiTheme="minorHAnsi" w:eastAsiaTheme="minorEastAsia" w:hAnsiTheme="minorHAnsi" w:cstheme="minorBidi"/>
          <w:szCs w:val="22"/>
        </w:rPr>
      </w:pPr>
      <w:r>
        <w:t>87.</w:t>
      </w:r>
      <w:r>
        <w:tab/>
        <w:t>PII, when required by law practice</w:t>
      </w:r>
      <w:r>
        <w:tab/>
      </w:r>
      <w:r>
        <w:fldChar w:fldCharType="begin"/>
      </w:r>
      <w:r>
        <w:instrText xml:space="preserve"> PAGEREF _Toc476041070 \h </w:instrText>
      </w:r>
      <w:r>
        <w:fldChar w:fldCharType="separate"/>
      </w:r>
      <w:r>
        <w:t>71</w:t>
      </w:r>
      <w:r>
        <w:fldChar w:fldCharType="end"/>
      </w:r>
    </w:p>
    <w:p>
      <w:pPr>
        <w:pStyle w:val="TOC8"/>
        <w:rPr>
          <w:rFonts w:asciiTheme="minorHAnsi" w:eastAsiaTheme="minorEastAsia" w:hAnsiTheme="minorHAnsi" w:cstheme="minorBidi"/>
          <w:szCs w:val="22"/>
        </w:rPr>
      </w:pPr>
      <w:r>
        <w:t>88.</w:t>
      </w:r>
      <w:r>
        <w:tab/>
        <w:t>Application for PII</w:t>
      </w:r>
      <w:r>
        <w:tab/>
      </w:r>
      <w:r>
        <w:fldChar w:fldCharType="begin"/>
      </w:r>
      <w:r>
        <w:instrText xml:space="preserve"> PAGEREF _Toc476041071 \h </w:instrText>
      </w:r>
      <w:r>
        <w:fldChar w:fldCharType="separate"/>
      </w:r>
      <w:r>
        <w:t>72</w:t>
      </w:r>
      <w:r>
        <w:fldChar w:fldCharType="end"/>
      </w:r>
    </w:p>
    <w:p>
      <w:pPr>
        <w:pStyle w:val="TOC8"/>
        <w:rPr>
          <w:rFonts w:asciiTheme="minorHAnsi" w:eastAsiaTheme="minorEastAsia" w:hAnsiTheme="minorHAnsi" w:cstheme="minorBidi"/>
          <w:szCs w:val="22"/>
        </w:rPr>
      </w:pPr>
      <w:r>
        <w:t>89.</w:t>
      </w:r>
      <w:r>
        <w:tab/>
        <w:t>Non-payment under r. 92 and 102(1)(a) etc., late lodgment fee for</w:t>
      </w:r>
      <w:r>
        <w:tab/>
      </w:r>
      <w:r>
        <w:fldChar w:fldCharType="begin"/>
      </w:r>
      <w:r>
        <w:instrText xml:space="preserve"> PAGEREF _Toc476041072 \h </w:instrText>
      </w:r>
      <w:r>
        <w:fldChar w:fldCharType="separate"/>
      </w:r>
      <w:r>
        <w:t>72</w:t>
      </w:r>
      <w:r>
        <w:fldChar w:fldCharType="end"/>
      </w:r>
    </w:p>
    <w:p>
      <w:pPr>
        <w:pStyle w:val="TOC8"/>
        <w:rPr>
          <w:rFonts w:asciiTheme="minorHAnsi" w:eastAsiaTheme="minorEastAsia" w:hAnsiTheme="minorHAnsi" w:cstheme="minorBidi"/>
          <w:szCs w:val="22"/>
        </w:rPr>
      </w:pPr>
      <w:r>
        <w:t>90.</w:t>
      </w:r>
      <w:r>
        <w:tab/>
        <w:t>Restructured law practice to apply for PII</w:t>
      </w:r>
      <w:r>
        <w:tab/>
      </w:r>
      <w:r>
        <w:fldChar w:fldCharType="begin"/>
      </w:r>
      <w:r>
        <w:instrText xml:space="preserve"> PAGEREF _Toc476041073 \h </w:instrText>
      </w:r>
      <w:r>
        <w:fldChar w:fldCharType="separate"/>
      </w:r>
      <w:r>
        <w:t>72</w:t>
      </w:r>
      <w:r>
        <w:fldChar w:fldCharType="end"/>
      </w:r>
    </w:p>
    <w:p>
      <w:pPr>
        <w:pStyle w:val="TOC8"/>
        <w:rPr>
          <w:rFonts w:asciiTheme="minorHAnsi" w:eastAsiaTheme="minorEastAsia" w:hAnsiTheme="minorHAnsi" w:cstheme="minorBidi"/>
          <w:szCs w:val="22"/>
        </w:rPr>
      </w:pPr>
      <w:r>
        <w:t>91.</w:t>
      </w:r>
      <w:r>
        <w:tab/>
        <w:t>Certificate of insurance, when Board to issue</w:t>
      </w:r>
      <w:r>
        <w:tab/>
      </w:r>
      <w:r>
        <w:fldChar w:fldCharType="begin"/>
      </w:r>
      <w:r>
        <w:instrText xml:space="preserve"> PAGEREF _Toc476041074 \h </w:instrText>
      </w:r>
      <w:r>
        <w:fldChar w:fldCharType="separate"/>
      </w:r>
      <w:r>
        <w:t>73</w:t>
      </w:r>
      <w:r>
        <w:fldChar w:fldCharType="end"/>
      </w:r>
    </w:p>
    <w:p>
      <w:pPr>
        <w:pStyle w:val="TOC8"/>
        <w:rPr>
          <w:rFonts w:asciiTheme="minorHAnsi" w:eastAsiaTheme="minorEastAsia" w:hAnsiTheme="minorHAnsi" w:cstheme="minorBidi"/>
          <w:szCs w:val="22"/>
        </w:rPr>
      </w:pPr>
      <w:r>
        <w:t>92.</w:t>
      </w:r>
      <w:r>
        <w:tab/>
        <w:t>Annual contribution for PII arrangement, assessment of etc.</w:t>
      </w:r>
      <w:r>
        <w:tab/>
      </w:r>
      <w:r>
        <w:fldChar w:fldCharType="begin"/>
      </w:r>
      <w:r>
        <w:instrText xml:space="preserve"> PAGEREF _Toc476041075 \h </w:instrText>
      </w:r>
      <w:r>
        <w:fldChar w:fldCharType="separate"/>
      </w:r>
      <w:r>
        <w:t>73</w:t>
      </w:r>
      <w:r>
        <w:fldChar w:fldCharType="end"/>
      </w:r>
    </w:p>
    <w:p>
      <w:pPr>
        <w:pStyle w:val="TOC8"/>
        <w:rPr>
          <w:rFonts w:asciiTheme="minorHAnsi" w:eastAsiaTheme="minorEastAsia" w:hAnsiTheme="minorHAnsi" w:cstheme="minorBidi"/>
          <w:szCs w:val="22"/>
        </w:rPr>
      </w:pPr>
      <w:r>
        <w:t>93.</w:t>
      </w:r>
      <w:r>
        <w:tab/>
        <w:t>Review of and appeal against r. 92 assessment</w:t>
      </w:r>
      <w:r>
        <w:tab/>
      </w:r>
      <w:r>
        <w:fldChar w:fldCharType="begin"/>
      </w:r>
      <w:r>
        <w:instrText xml:space="preserve"> PAGEREF _Toc476041076 \h </w:instrText>
      </w:r>
      <w:r>
        <w:fldChar w:fldCharType="separate"/>
      </w:r>
      <w:r>
        <w:t>75</w:t>
      </w:r>
      <w:r>
        <w:fldChar w:fldCharType="end"/>
      </w:r>
    </w:p>
    <w:p>
      <w:pPr>
        <w:pStyle w:val="TOC8"/>
        <w:rPr>
          <w:rFonts w:asciiTheme="minorHAnsi" w:eastAsiaTheme="minorEastAsia" w:hAnsiTheme="minorHAnsi" w:cstheme="minorBidi"/>
          <w:szCs w:val="22"/>
        </w:rPr>
      </w:pPr>
      <w:r>
        <w:t>94.</w:t>
      </w:r>
      <w:r>
        <w:tab/>
      </w:r>
      <w:r>
        <w:rPr>
          <w:spacing w:val="-2"/>
        </w:rPr>
        <w:t>Assessment on incorrect information, additional fee in case of</w:t>
      </w:r>
      <w:r>
        <w:tab/>
      </w:r>
      <w:r>
        <w:fldChar w:fldCharType="begin"/>
      </w:r>
      <w:r>
        <w:instrText xml:space="preserve"> PAGEREF _Toc476041077 \h </w:instrText>
      </w:r>
      <w:r>
        <w:fldChar w:fldCharType="separate"/>
      </w:r>
      <w:r>
        <w:t>75</w:t>
      </w:r>
      <w:r>
        <w:fldChar w:fldCharType="end"/>
      </w:r>
    </w:p>
    <w:p>
      <w:pPr>
        <w:pStyle w:val="TOC8"/>
        <w:rPr>
          <w:rFonts w:asciiTheme="minorHAnsi" w:eastAsiaTheme="minorEastAsia" w:hAnsiTheme="minorHAnsi" w:cstheme="minorBidi"/>
          <w:szCs w:val="22"/>
        </w:rPr>
      </w:pPr>
      <w:r>
        <w:t>95.</w:t>
      </w:r>
      <w:r>
        <w:tab/>
        <w:t>Exempt law practices</w:t>
      </w:r>
      <w:r>
        <w:tab/>
      </w:r>
      <w:r>
        <w:fldChar w:fldCharType="begin"/>
      </w:r>
      <w:r>
        <w:instrText xml:space="preserve"> PAGEREF _Toc476041078 \h </w:instrText>
      </w:r>
      <w:r>
        <w:fldChar w:fldCharType="separate"/>
      </w:r>
      <w:r>
        <w:t>76</w:t>
      </w:r>
      <w:r>
        <w:fldChar w:fldCharType="end"/>
      </w:r>
    </w:p>
    <w:p>
      <w:pPr>
        <w:pStyle w:val="TOC4"/>
        <w:tabs>
          <w:tab w:val="right" w:leader="dot" w:pos="7077"/>
        </w:tabs>
        <w:rPr>
          <w:rFonts w:asciiTheme="minorHAnsi" w:eastAsiaTheme="minorEastAsia" w:hAnsiTheme="minorHAnsi" w:cstheme="minorBidi"/>
          <w:b w:val="0"/>
          <w:szCs w:val="22"/>
        </w:rPr>
      </w:pPr>
      <w:r>
        <w:t>Division 4 — Duties of Australian legal practitioners</w:t>
      </w:r>
    </w:p>
    <w:p>
      <w:pPr>
        <w:pStyle w:val="TOC8"/>
        <w:rPr>
          <w:rFonts w:asciiTheme="minorHAnsi" w:eastAsiaTheme="minorEastAsia" w:hAnsiTheme="minorHAnsi" w:cstheme="minorBidi"/>
          <w:szCs w:val="22"/>
        </w:rPr>
      </w:pPr>
      <w:r>
        <w:t>96.</w:t>
      </w:r>
      <w:r>
        <w:tab/>
        <w:t>PII, when required by Australian legal practitioner</w:t>
      </w:r>
      <w:r>
        <w:tab/>
      </w:r>
      <w:r>
        <w:fldChar w:fldCharType="begin"/>
      </w:r>
      <w:r>
        <w:instrText xml:space="preserve"> PAGEREF _Toc476041080 \h </w:instrText>
      </w:r>
      <w:r>
        <w:fldChar w:fldCharType="separate"/>
      </w:r>
      <w:r>
        <w:t>76</w:t>
      </w:r>
      <w:r>
        <w:fldChar w:fldCharType="end"/>
      </w:r>
    </w:p>
    <w:p>
      <w:pPr>
        <w:pStyle w:val="TOC8"/>
        <w:rPr>
          <w:rFonts w:asciiTheme="minorHAnsi" w:eastAsiaTheme="minorEastAsia" w:hAnsiTheme="minorHAnsi" w:cstheme="minorBidi"/>
          <w:szCs w:val="22"/>
        </w:rPr>
      </w:pPr>
      <w:r>
        <w:t>97.</w:t>
      </w:r>
      <w:r>
        <w:tab/>
        <w:t>Exempt Australian legal practitioners</w:t>
      </w:r>
      <w:r>
        <w:tab/>
      </w:r>
      <w:r>
        <w:fldChar w:fldCharType="begin"/>
      </w:r>
      <w:r>
        <w:instrText xml:space="preserve"> PAGEREF _Toc476041081 \h </w:instrText>
      </w:r>
      <w:r>
        <w:fldChar w:fldCharType="separate"/>
      </w:r>
      <w:r>
        <w:t>76</w:t>
      </w:r>
      <w:r>
        <w:fldChar w:fldCharType="end"/>
      </w:r>
    </w:p>
    <w:p>
      <w:pPr>
        <w:pStyle w:val="TOC8"/>
        <w:rPr>
          <w:rFonts w:asciiTheme="minorHAnsi" w:eastAsiaTheme="minorEastAsia" w:hAnsiTheme="minorHAnsi" w:cstheme="minorBidi"/>
          <w:szCs w:val="22"/>
        </w:rPr>
      </w:pPr>
      <w:r>
        <w:t>98.</w:t>
      </w:r>
      <w:r>
        <w:tab/>
        <w:t>Australian legal practitioner to notify Law Society of claim to be exempt under r. 97</w:t>
      </w:r>
      <w:r>
        <w:tab/>
      </w:r>
      <w:r>
        <w:fldChar w:fldCharType="begin"/>
      </w:r>
      <w:r>
        <w:instrText xml:space="preserve"> PAGEREF _Toc476041082 \h </w:instrText>
      </w:r>
      <w:r>
        <w:fldChar w:fldCharType="separate"/>
      </w:r>
      <w:r>
        <w:t>79</w:t>
      </w:r>
      <w:r>
        <w:fldChar w:fldCharType="end"/>
      </w:r>
    </w:p>
    <w:p>
      <w:pPr>
        <w:pStyle w:val="TOC8"/>
        <w:rPr>
          <w:rFonts w:asciiTheme="minorHAnsi" w:eastAsiaTheme="minorEastAsia" w:hAnsiTheme="minorHAnsi" w:cstheme="minorBidi"/>
          <w:szCs w:val="22"/>
        </w:rPr>
      </w:pPr>
      <w:r>
        <w:t>99.</w:t>
      </w:r>
      <w:r>
        <w:tab/>
        <w:t>New local legal practitioner to notify Law Society of claim to be exempt</w:t>
      </w:r>
      <w:r>
        <w:tab/>
      </w:r>
      <w:r>
        <w:fldChar w:fldCharType="begin"/>
      </w:r>
      <w:r>
        <w:instrText xml:space="preserve"> PAGEREF _Toc476041083 \h </w:instrText>
      </w:r>
      <w:r>
        <w:fldChar w:fldCharType="separate"/>
      </w:r>
      <w:r>
        <w:t>80</w:t>
      </w:r>
      <w:r>
        <w:fldChar w:fldCharType="end"/>
      </w:r>
    </w:p>
    <w:p>
      <w:pPr>
        <w:pStyle w:val="TOC8"/>
        <w:rPr>
          <w:rFonts w:asciiTheme="minorHAnsi" w:eastAsiaTheme="minorEastAsia" w:hAnsiTheme="minorHAnsi" w:cstheme="minorBidi"/>
          <w:szCs w:val="22"/>
        </w:rPr>
      </w:pPr>
      <w:r>
        <w:t>100.</w:t>
      </w:r>
      <w:r>
        <w:tab/>
        <w:t>Certain employee practitioners to notify Law Society of status</w:t>
      </w:r>
      <w:r>
        <w:tab/>
      </w:r>
      <w:r>
        <w:fldChar w:fldCharType="begin"/>
      </w:r>
      <w:r>
        <w:instrText xml:space="preserve"> PAGEREF _Toc476041084 \h </w:instrText>
      </w:r>
      <w:r>
        <w:fldChar w:fldCharType="separate"/>
      </w:r>
      <w:r>
        <w:t>80</w:t>
      </w:r>
      <w:r>
        <w:fldChar w:fldCharType="end"/>
      </w:r>
    </w:p>
    <w:p>
      <w:pPr>
        <w:pStyle w:val="TOC8"/>
        <w:rPr>
          <w:rFonts w:asciiTheme="minorHAnsi" w:eastAsiaTheme="minorEastAsia" w:hAnsiTheme="minorHAnsi" w:cstheme="minorBidi"/>
          <w:szCs w:val="22"/>
        </w:rPr>
      </w:pPr>
      <w:r>
        <w:t>101.</w:t>
      </w:r>
      <w:r>
        <w:tab/>
        <w:t>Acceptable evidence for Board as to PII compliance (Act s. 40(3))</w:t>
      </w:r>
      <w:r>
        <w:tab/>
      </w:r>
      <w:r>
        <w:fldChar w:fldCharType="begin"/>
      </w:r>
      <w:r>
        <w:instrText xml:space="preserve"> PAGEREF _Toc476041085 \h </w:instrText>
      </w:r>
      <w:r>
        <w:fldChar w:fldCharType="separate"/>
      </w:r>
      <w:r>
        <w:t>81</w:t>
      </w:r>
      <w:r>
        <w:fldChar w:fldCharType="end"/>
      </w:r>
    </w:p>
    <w:p>
      <w:pPr>
        <w:pStyle w:val="TOC4"/>
        <w:tabs>
          <w:tab w:val="right" w:leader="dot" w:pos="7077"/>
        </w:tabs>
        <w:rPr>
          <w:rFonts w:asciiTheme="minorHAnsi" w:eastAsiaTheme="minorEastAsia" w:hAnsiTheme="minorHAnsi" w:cstheme="minorBidi"/>
          <w:b w:val="0"/>
          <w:szCs w:val="22"/>
        </w:rPr>
      </w:pPr>
      <w:r>
        <w:t>Division 5 — Miscellaneous</w:t>
      </w:r>
    </w:p>
    <w:p>
      <w:pPr>
        <w:pStyle w:val="TOC8"/>
        <w:rPr>
          <w:rFonts w:asciiTheme="minorHAnsi" w:eastAsiaTheme="minorEastAsia" w:hAnsiTheme="minorHAnsi" w:cstheme="minorBidi"/>
          <w:szCs w:val="22"/>
        </w:rPr>
      </w:pPr>
      <w:r>
        <w:t>102.</w:t>
      </w:r>
      <w:r>
        <w:tab/>
        <w:t>Administration levies, Law Society may fix etc.</w:t>
      </w:r>
      <w:r>
        <w:tab/>
      </w:r>
      <w:r>
        <w:fldChar w:fldCharType="begin"/>
      </w:r>
      <w:r>
        <w:instrText xml:space="preserve"> PAGEREF _Toc476041087 \h </w:instrText>
      </w:r>
      <w:r>
        <w:fldChar w:fldCharType="separate"/>
      </w:r>
      <w:r>
        <w:t>81</w:t>
      </w:r>
      <w:r>
        <w:fldChar w:fldCharType="end"/>
      </w:r>
    </w:p>
    <w:p>
      <w:pPr>
        <w:pStyle w:val="TOC8"/>
        <w:rPr>
          <w:rFonts w:asciiTheme="minorHAnsi" w:eastAsiaTheme="minorEastAsia" w:hAnsiTheme="minorHAnsi" w:cstheme="minorBidi"/>
          <w:szCs w:val="22"/>
        </w:rPr>
      </w:pPr>
      <w:r>
        <w:t>103.</w:t>
      </w:r>
      <w:r>
        <w:tab/>
        <w:t>Undertakings as to PII, Law Society may require etc.</w:t>
      </w:r>
      <w:r>
        <w:tab/>
      </w:r>
      <w:r>
        <w:fldChar w:fldCharType="begin"/>
      </w:r>
      <w:r>
        <w:instrText xml:space="preserve"> PAGEREF _Toc476041088 \h </w:instrText>
      </w:r>
      <w:r>
        <w:fldChar w:fldCharType="separate"/>
      </w:r>
      <w:r>
        <w:t>82</w:t>
      </w:r>
      <w:r>
        <w:fldChar w:fldCharType="end"/>
      </w:r>
    </w:p>
    <w:p>
      <w:pPr>
        <w:pStyle w:val="TOC8"/>
        <w:rPr>
          <w:rFonts w:asciiTheme="minorHAnsi" w:eastAsiaTheme="minorEastAsia" w:hAnsiTheme="minorHAnsi" w:cstheme="minorBidi"/>
          <w:szCs w:val="22"/>
        </w:rPr>
      </w:pPr>
      <w:r>
        <w:t>104.</w:t>
      </w:r>
      <w:r>
        <w:tab/>
        <w:t>Information about PII, Law Society may require etc.</w:t>
      </w:r>
      <w:r>
        <w:tab/>
      </w:r>
      <w:r>
        <w:fldChar w:fldCharType="begin"/>
      </w:r>
      <w:r>
        <w:instrText xml:space="preserve"> PAGEREF _Toc476041089 \h </w:instrText>
      </w:r>
      <w:r>
        <w:fldChar w:fldCharType="separate"/>
      </w:r>
      <w:r>
        <w:t>82</w:t>
      </w:r>
      <w:r>
        <w:fldChar w:fldCharType="end"/>
      </w:r>
    </w:p>
    <w:p>
      <w:pPr>
        <w:pStyle w:val="TOC8"/>
        <w:rPr>
          <w:rFonts w:asciiTheme="minorHAnsi" w:eastAsiaTheme="minorEastAsia" w:hAnsiTheme="minorHAnsi" w:cstheme="minorBidi"/>
          <w:szCs w:val="22"/>
        </w:rPr>
      </w:pPr>
      <w:r>
        <w:t>105.</w:t>
      </w:r>
      <w:r>
        <w:tab/>
        <w:t>Overdue amounts, interests on</w:t>
      </w:r>
      <w:r>
        <w:tab/>
      </w:r>
      <w:r>
        <w:fldChar w:fldCharType="begin"/>
      </w:r>
      <w:r>
        <w:instrText xml:space="preserve"> PAGEREF _Toc476041090 \h </w:instrText>
      </w:r>
      <w:r>
        <w:fldChar w:fldCharType="separate"/>
      </w:r>
      <w:r>
        <w:t>83</w:t>
      </w:r>
      <w:r>
        <w:fldChar w:fldCharType="end"/>
      </w:r>
    </w:p>
    <w:p>
      <w:pPr>
        <w:pStyle w:val="TOC8"/>
        <w:rPr>
          <w:rFonts w:asciiTheme="minorHAnsi" w:eastAsiaTheme="minorEastAsia" w:hAnsiTheme="minorHAnsi" w:cstheme="minorBidi"/>
          <w:szCs w:val="22"/>
        </w:rPr>
      </w:pPr>
      <w:r>
        <w:t>106.</w:t>
      </w:r>
      <w:r>
        <w:tab/>
        <w:t>Unpaid money, recovering</w:t>
      </w:r>
      <w:r>
        <w:tab/>
      </w:r>
      <w:r>
        <w:fldChar w:fldCharType="begin"/>
      </w:r>
      <w:r>
        <w:instrText xml:space="preserve"> PAGEREF _Toc476041091 \h </w:instrText>
      </w:r>
      <w:r>
        <w:fldChar w:fldCharType="separate"/>
      </w:r>
      <w:r>
        <w:t>84</w:t>
      </w:r>
      <w:r>
        <w:fldChar w:fldCharType="end"/>
      </w:r>
    </w:p>
    <w:p>
      <w:pPr>
        <w:pStyle w:val="TOC8"/>
        <w:rPr>
          <w:rFonts w:asciiTheme="minorHAnsi" w:eastAsiaTheme="minorEastAsia" w:hAnsiTheme="minorHAnsi" w:cstheme="minorBidi"/>
          <w:szCs w:val="22"/>
        </w:rPr>
      </w:pPr>
      <w:r>
        <w:t>107.</w:t>
      </w:r>
      <w:r>
        <w:tab/>
        <w:t>Compliance with regulations, Law Society’s powers to ascertain</w:t>
      </w:r>
      <w:r>
        <w:tab/>
      </w:r>
      <w:r>
        <w:fldChar w:fldCharType="begin"/>
      </w:r>
      <w:r>
        <w:instrText xml:space="preserve"> PAGEREF _Toc476041092 \h </w:instrText>
      </w:r>
      <w:r>
        <w:fldChar w:fldCharType="separate"/>
      </w:r>
      <w:r>
        <w:t>84</w:t>
      </w:r>
      <w:r>
        <w:fldChar w:fldCharType="end"/>
      </w:r>
    </w:p>
    <w:p>
      <w:pPr>
        <w:pStyle w:val="TOC2"/>
        <w:tabs>
          <w:tab w:val="right" w:leader="dot" w:pos="7077"/>
        </w:tabs>
        <w:rPr>
          <w:rFonts w:asciiTheme="minorHAnsi" w:eastAsiaTheme="minorEastAsia" w:hAnsiTheme="minorHAnsi" w:cstheme="minorBidi"/>
          <w:b w:val="0"/>
          <w:sz w:val="22"/>
          <w:szCs w:val="22"/>
        </w:rPr>
      </w:pPr>
      <w:r>
        <w:t>Part 10 — Fidelity cover</w:t>
      </w:r>
    </w:p>
    <w:p>
      <w:pPr>
        <w:pStyle w:val="TOC8"/>
        <w:rPr>
          <w:rFonts w:asciiTheme="minorHAnsi" w:eastAsiaTheme="minorEastAsia" w:hAnsiTheme="minorHAnsi" w:cstheme="minorBidi"/>
          <w:szCs w:val="22"/>
        </w:rPr>
      </w:pPr>
      <w:r>
        <w:t>108.</w:t>
      </w:r>
      <w:r>
        <w:tab/>
        <w:t>Fidelity protocols into which Trust may enter etc.</w:t>
      </w:r>
      <w:r>
        <w:tab/>
      </w:r>
      <w:r>
        <w:fldChar w:fldCharType="begin"/>
      </w:r>
      <w:r>
        <w:instrText xml:space="preserve"> PAGEREF _Toc476041094 \h </w:instrText>
      </w:r>
      <w:r>
        <w:fldChar w:fldCharType="separate"/>
      </w:r>
      <w:r>
        <w:t>85</w:t>
      </w:r>
      <w:r>
        <w:fldChar w:fldCharType="end"/>
      </w:r>
    </w:p>
    <w:p>
      <w:pPr>
        <w:pStyle w:val="TOC8"/>
        <w:rPr>
          <w:rFonts w:asciiTheme="minorHAnsi" w:eastAsiaTheme="minorEastAsia" w:hAnsiTheme="minorHAnsi" w:cstheme="minorBidi"/>
          <w:szCs w:val="22"/>
        </w:rPr>
      </w:pPr>
      <w:r>
        <w:t>109.</w:t>
      </w:r>
      <w:r>
        <w:tab/>
        <w:t>Trust accounts, payment of interest on (Act s. 387)</w:t>
      </w:r>
      <w:r>
        <w:tab/>
      </w:r>
      <w:r>
        <w:fldChar w:fldCharType="begin"/>
      </w:r>
      <w:r>
        <w:instrText xml:space="preserve"> PAGEREF _Toc476041095 \h </w:instrText>
      </w:r>
      <w:r>
        <w:fldChar w:fldCharType="separate"/>
      </w:r>
      <w:r>
        <w:t>85</w:t>
      </w:r>
      <w:r>
        <w:fldChar w:fldCharType="end"/>
      </w:r>
    </w:p>
    <w:p>
      <w:pPr>
        <w:pStyle w:val="TOC8"/>
        <w:rPr>
          <w:rFonts w:asciiTheme="minorHAnsi" w:eastAsiaTheme="minorEastAsia" w:hAnsiTheme="minorHAnsi" w:cstheme="minorBidi"/>
          <w:szCs w:val="22"/>
        </w:rPr>
      </w:pPr>
      <w:r>
        <w:t>110.</w:t>
      </w:r>
      <w:r>
        <w:tab/>
        <w:t>Bodies prescribed (Act s. 388(4))</w:t>
      </w:r>
      <w:r>
        <w:tab/>
      </w:r>
      <w:r>
        <w:fldChar w:fldCharType="begin"/>
      </w:r>
      <w:r>
        <w:instrText xml:space="preserve"> PAGEREF _Toc476041096 \h </w:instrText>
      </w:r>
      <w:r>
        <w:fldChar w:fldCharType="separate"/>
      </w:r>
      <w:r>
        <w:t>85</w:t>
      </w:r>
      <w:r>
        <w:fldChar w:fldCharType="end"/>
      </w:r>
    </w:p>
    <w:p>
      <w:pPr>
        <w:pStyle w:val="TOC2"/>
        <w:tabs>
          <w:tab w:val="right" w:leader="dot" w:pos="7077"/>
        </w:tabs>
        <w:rPr>
          <w:rFonts w:asciiTheme="minorHAnsi" w:eastAsiaTheme="minorEastAsia" w:hAnsiTheme="minorHAnsi" w:cstheme="minorBidi"/>
          <w:b w:val="0"/>
          <w:sz w:val="22"/>
          <w:szCs w:val="22"/>
        </w:rPr>
      </w:pPr>
      <w:r>
        <w:t>Part 11 — Publicising disciplinary action</w:t>
      </w:r>
    </w:p>
    <w:p>
      <w:pPr>
        <w:pStyle w:val="TOC8"/>
        <w:rPr>
          <w:rFonts w:asciiTheme="minorHAnsi" w:eastAsiaTheme="minorEastAsia" w:hAnsiTheme="minorHAnsi" w:cstheme="minorBidi"/>
          <w:szCs w:val="22"/>
        </w:rPr>
      </w:pPr>
      <w:r>
        <w:t>111.</w:t>
      </w:r>
      <w:r>
        <w:tab/>
        <w:t>Register of Disciplinary Action, content of (Act s. 452(2)(e))</w:t>
      </w:r>
      <w:r>
        <w:tab/>
      </w:r>
      <w:r>
        <w:fldChar w:fldCharType="begin"/>
      </w:r>
      <w:r>
        <w:instrText xml:space="preserve"> PAGEREF _Toc476041098 \h </w:instrText>
      </w:r>
      <w:r>
        <w:fldChar w:fldCharType="separate"/>
      </w:r>
      <w:r>
        <w:t>86</w:t>
      </w:r>
      <w:r>
        <w:fldChar w:fldCharType="end"/>
      </w:r>
    </w:p>
    <w:p>
      <w:pPr>
        <w:pStyle w:val="TOC2"/>
        <w:tabs>
          <w:tab w:val="right" w:leader="dot" w:pos="7077"/>
        </w:tabs>
        <w:rPr>
          <w:rFonts w:asciiTheme="minorHAnsi" w:eastAsiaTheme="minorEastAsia" w:hAnsiTheme="minorHAnsi" w:cstheme="minorBidi"/>
          <w:b w:val="0"/>
          <w:sz w:val="22"/>
          <w:szCs w:val="22"/>
        </w:rPr>
      </w:pPr>
      <w:r>
        <w:t>Part 12 — Miscellaneous</w:t>
      </w:r>
    </w:p>
    <w:p>
      <w:pPr>
        <w:pStyle w:val="TOC8"/>
        <w:rPr>
          <w:rFonts w:asciiTheme="minorHAnsi" w:eastAsiaTheme="minorEastAsia" w:hAnsiTheme="minorHAnsi" w:cstheme="minorBidi"/>
          <w:szCs w:val="22"/>
        </w:rPr>
      </w:pPr>
      <w:r>
        <w:t>112.</w:t>
      </w:r>
      <w:r>
        <w:tab/>
        <w:t>Approved forms, publication of</w:t>
      </w:r>
      <w:r>
        <w:tab/>
      </w:r>
      <w:r>
        <w:fldChar w:fldCharType="begin"/>
      </w:r>
      <w:r>
        <w:instrText xml:space="preserve"> PAGEREF _Toc476041100 \h </w:instrText>
      </w:r>
      <w:r>
        <w:fldChar w:fldCharType="separate"/>
      </w:r>
      <w:r>
        <w:t>87</w:t>
      </w:r>
      <w:r>
        <w:fldChar w:fldCharType="end"/>
      </w:r>
    </w:p>
    <w:p>
      <w:pPr>
        <w:pStyle w:val="TOC2"/>
        <w:tabs>
          <w:tab w:val="right" w:leader="dot" w:pos="7077"/>
        </w:tabs>
        <w:rPr>
          <w:rFonts w:asciiTheme="minorHAnsi" w:eastAsiaTheme="minorEastAsia" w:hAnsiTheme="minorHAnsi" w:cstheme="minorBidi"/>
          <w:b w:val="0"/>
          <w:sz w:val="22"/>
          <w:szCs w:val="22"/>
        </w:rPr>
      </w:pPr>
      <w:r>
        <w:t>Part 13 — Repeal and transitional provisions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113.</w:t>
      </w:r>
      <w:r>
        <w:tab/>
        <w:t>Terms used</w:t>
      </w:r>
      <w:r>
        <w:tab/>
      </w:r>
      <w:r>
        <w:fldChar w:fldCharType="begin"/>
      </w:r>
      <w:r>
        <w:instrText xml:space="preserve"> PAGEREF _Toc476041103 \h </w:instrText>
      </w:r>
      <w:r>
        <w:fldChar w:fldCharType="separate"/>
      </w:r>
      <w:r>
        <w:t>88</w:t>
      </w:r>
      <w:r>
        <w:fldChar w:fldCharType="end"/>
      </w:r>
    </w:p>
    <w:p>
      <w:pPr>
        <w:pStyle w:val="TOC4"/>
        <w:tabs>
          <w:tab w:val="right" w:leader="dot" w:pos="7077"/>
        </w:tabs>
        <w:rPr>
          <w:rFonts w:asciiTheme="minorHAnsi" w:eastAsiaTheme="minorEastAsia" w:hAnsiTheme="minorHAnsi" w:cstheme="minorBidi"/>
          <w:b w:val="0"/>
          <w:szCs w:val="22"/>
        </w:rPr>
      </w:pPr>
      <w:r>
        <w:t>Division 2 — Repeals</w:t>
      </w:r>
    </w:p>
    <w:p>
      <w:pPr>
        <w:pStyle w:val="TOC8"/>
        <w:rPr>
          <w:rFonts w:asciiTheme="minorHAnsi" w:eastAsiaTheme="minorEastAsia" w:hAnsiTheme="minorHAnsi" w:cstheme="minorBidi"/>
          <w:szCs w:val="22"/>
        </w:rPr>
      </w:pPr>
      <w:r>
        <w:t>114.</w:t>
      </w:r>
      <w:r>
        <w:tab/>
        <w:t>Repeals</w:t>
      </w:r>
      <w:r>
        <w:tab/>
      </w:r>
      <w:r>
        <w:fldChar w:fldCharType="begin"/>
      </w:r>
      <w:r>
        <w:instrText xml:space="preserve"> PAGEREF _Toc476041105 \h </w:instrText>
      </w:r>
      <w:r>
        <w:fldChar w:fldCharType="separate"/>
      </w:r>
      <w:r>
        <w:t>88</w:t>
      </w:r>
      <w:r>
        <w:fldChar w:fldCharType="end"/>
      </w:r>
    </w:p>
    <w:p>
      <w:pPr>
        <w:pStyle w:val="TOC4"/>
        <w:tabs>
          <w:tab w:val="right" w:leader="dot" w:pos="7077"/>
        </w:tabs>
        <w:rPr>
          <w:rFonts w:asciiTheme="minorHAnsi" w:eastAsiaTheme="minorEastAsia" w:hAnsiTheme="minorHAnsi" w:cstheme="minorBidi"/>
          <w:b w:val="0"/>
          <w:szCs w:val="22"/>
        </w:rPr>
      </w:pPr>
      <w:r>
        <w:t>Division 3 — Professional indemnity insurance</w:t>
      </w:r>
    </w:p>
    <w:p>
      <w:pPr>
        <w:pStyle w:val="TOC8"/>
        <w:rPr>
          <w:rFonts w:asciiTheme="minorHAnsi" w:eastAsiaTheme="minorEastAsia" w:hAnsiTheme="minorHAnsi" w:cstheme="minorBidi"/>
          <w:szCs w:val="22"/>
        </w:rPr>
      </w:pPr>
      <w:r>
        <w:t>115.</w:t>
      </w:r>
      <w:r>
        <w:tab/>
        <w:t>When insurance under previous arrangements has effect</w:t>
      </w:r>
      <w:r>
        <w:tab/>
      </w:r>
      <w:r>
        <w:fldChar w:fldCharType="begin"/>
      </w:r>
      <w:r>
        <w:instrText xml:space="preserve"> PAGEREF _Toc476041107 \h </w:instrText>
      </w:r>
      <w:r>
        <w:fldChar w:fldCharType="separate"/>
      </w:r>
      <w:r>
        <w:t>88</w:t>
      </w:r>
      <w:r>
        <w:fldChar w:fldCharType="end"/>
      </w:r>
    </w:p>
    <w:p>
      <w:pPr>
        <w:pStyle w:val="TOC8"/>
        <w:rPr>
          <w:rFonts w:asciiTheme="minorHAnsi" w:eastAsiaTheme="minorEastAsia" w:hAnsiTheme="minorHAnsi" w:cstheme="minorBidi"/>
          <w:szCs w:val="22"/>
        </w:rPr>
      </w:pPr>
      <w:r>
        <w:t>116.</w:t>
      </w:r>
      <w:r>
        <w:tab/>
        <w:t>Recovery of payments</w:t>
      </w:r>
      <w:r>
        <w:tab/>
      </w:r>
      <w:r>
        <w:fldChar w:fldCharType="begin"/>
      </w:r>
      <w:r>
        <w:instrText xml:space="preserve"> PAGEREF _Toc476041108 \h </w:instrText>
      </w:r>
      <w:r>
        <w:fldChar w:fldCharType="separate"/>
      </w:r>
      <w:r>
        <w:t>89</w:t>
      </w:r>
      <w:r>
        <w:fldChar w:fldCharType="end"/>
      </w:r>
    </w:p>
    <w:p>
      <w:pPr>
        <w:pStyle w:val="TOC4"/>
        <w:tabs>
          <w:tab w:val="right" w:leader="dot" w:pos="7077"/>
        </w:tabs>
        <w:rPr>
          <w:rFonts w:asciiTheme="minorHAnsi" w:eastAsiaTheme="minorEastAsia" w:hAnsiTheme="minorHAnsi" w:cstheme="minorBidi"/>
          <w:b w:val="0"/>
          <w:szCs w:val="22"/>
        </w:rPr>
      </w:pPr>
      <w:r>
        <w:t>Division 4 — Admission of local lawyers</w:t>
      </w:r>
    </w:p>
    <w:p>
      <w:pPr>
        <w:pStyle w:val="TOC8"/>
        <w:rPr>
          <w:rFonts w:asciiTheme="minorHAnsi" w:eastAsiaTheme="minorEastAsia" w:hAnsiTheme="minorHAnsi" w:cstheme="minorBidi"/>
          <w:szCs w:val="22"/>
        </w:rPr>
      </w:pPr>
      <w:r>
        <w:t>117.</w:t>
      </w:r>
      <w:r>
        <w:tab/>
        <w:t>Notices of intention to apply for admission not dealt with at 1 Mar 2009</w:t>
      </w:r>
      <w:r>
        <w:tab/>
      </w:r>
      <w:r>
        <w:fldChar w:fldCharType="begin"/>
      </w:r>
      <w:r>
        <w:instrText xml:space="preserve"> PAGEREF _Toc476041110 \h </w:instrText>
      </w:r>
      <w:r>
        <w:fldChar w:fldCharType="separate"/>
      </w:r>
      <w:r>
        <w:t>89</w:t>
      </w:r>
      <w:r>
        <w:fldChar w:fldCharType="end"/>
      </w:r>
    </w:p>
    <w:p>
      <w:pPr>
        <w:pStyle w:val="TOC8"/>
        <w:rPr>
          <w:rFonts w:asciiTheme="minorHAnsi" w:eastAsiaTheme="minorEastAsia" w:hAnsiTheme="minorHAnsi" w:cstheme="minorBidi"/>
          <w:szCs w:val="22"/>
        </w:rPr>
      </w:pPr>
      <w:r>
        <w:t>118.</w:t>
      </w:r>
      <w:r>
        <w:tab/>
        <w:t>Some applicants for admission may rely on certificate issued before 1 Mar 2009</w:t>
      </w:r>
      <w:r>
        <w:tab/>
      </w:r>
      <w:r>
        <w:fldChar w:fldCharType="begin"/>
      </w:r>
      <w:r>
        <w:instrText xml:space="preserve"> PAGEREF _Toc476041111 \h </w:instrText>
      </w:r>
      <w:r>
        <w:fldChar w:fldCharType="separate"/>
      </w:r>
      <w:r>
        <w:t>90</w:t>
      </w:r>
      <w:r>
        <w:fldChar w:fldCharType="end"/>
      </w:r>
    </w:p>
    <w:p>
      <w:pPr>
        <w:pStyle w:val="TOC8"/>
        <w:rPr>
          <w:rFonts w:asciiTheme="minorHAnsi" w:eastAsiaTheme="minorEastAsia" w:hAnsiTheme="minorHAnsi" w:cstheme="minorBidi"/>
          <w:szCs w:val="22"/>
        </w:rPr>
      </w:pPr>
      <w:r>
        <w:t>119.</w:t>
      </w:r>
      <w:r>
        <w:tab/>
        <w:t>Application for admission referred to in r. 117 and 118, public notice of</w:t>
      </w:r>
      <w:r>
        <w:tab/>
      </w:r>
      <w:r>
        <w:fldChar w:fldCharType="begin"/>
      </w:r>
      <w:r>
        <w:instrText xml:space="preserve"> PAGEREF _Toc476041112 \h </w:instrText>
      </w:r>
      <w:r>
        <w:fldChar w:fldCharType="separate"/>
      </w:r>
      <w:r>
        <w:t>91</w:t>
      </w:r>
      <w:r>
        <w:fldChar w:fldCharType="end"/>
      </w:r>
    </w:p>
    <w:p>
      <w:pPr>
        <w:pStyle w:val="TOC4"/>
        <w:tabs>
          <w:tab w:val="right" w:leader="dot" w:pos="7077"/>
        </w:tabs>
        <w:rPr>
          <w:rFonts w:asciiTheme="minorHAnsi" w:eastAsiaTheme="minorEastAsia" w:hAnsiTheme="minorHAnsi" w:cstheme="minorBidi"/>
          <w:b w:val="0"/>
          <w:szCs w:val="22"/>
        </w:rPr>
      </w:pPr>
      <w:r>
        <w:t>Division 5 — Trust money and trust accounts</w:t>
      </w:r>
    </w:p>
    <w:p>
      <w:pPr>
        <w:pStyle w:val="TOC8"/>
        <w:rPr>
          <w:rFonts w:asciiTheme="minorHAnsi" w:eastAsiaTheme="minorEastAsia" w:hAnsiTheme="minorHAnsi" w:cstheme="minorBidi"/>
          <w:szCs w:val="22"/>
        </w:rPr>
      </w:pPr>
      <w:r>
        <w:t>120.</w:t>
      </w:r>
      <w:r>
        <w:tab/>
        <w:t>2003 Act Part 10, operation of continued to 30 Jun 2009</w:t>
      </w:r>
      <w:r>
        <w:tab/>
      </w:r>
      <w:r>
        <w:fldChar w:fldCharType="begin"/>
      </w:r>
      <w:r>
        <w:instrText xml:space="preserve"> PAGEREF _Toc476041114 \h </w:instrText>
      </w:r>
      <w:r>
        <w:fldChar w:fldCharType="separate"/>
      </w:r>
      <w:r>
        <w:t>91</w:t>
      </w:r>
      <w:r>
        <w:fldChar w:fldCharType="end"/>
      </w:r>
    </w:p>
    <w:p>
      <w:pPr>
        <w:pStyle w:val="TOC4"/>
        <w:tabs>
          <w:tab w:val="right" w:leader="dot" w:pos="7077"/>
        </w:tabs>
        <w:rPr>
          <w:rFonts w:asciiTheme="minorHAnsi" w:eastAsiaTheme="minorEastAsia" w:hAnsiTheme="minorHAnsi" w:cstheme="minorBidi"/>
          <w:b w:val="0"/>
          <w:szCs w:val="22"/>
        </w:rPr>
      </w:pPr>
      <w:r>
        <w:t>Division 6 — Costs disclosure and agreements</w:t>
      </w:r>
    </w:p>
    <w:p>
      <w:pPr>
        <w:pStyle w:val="TOC8"/>
        <w:rPr>
          <w:rFonts w:asciiTheme="minorHAnsi" w:eastAsiaTheme="minorEastAsia" w:hAnsiTheme="minorHAnsi" w:cstheme="minorBidi"/>
          <w:szCs w:val="22"/>
        </w:rPr>
      </w:pPr>
      <w:r>
        <w:t>121.</w:t>
      </w:r>
      <w:r>
        <w:tab/>
        <w:t>Term used: relevant period</w:t>
      </w:r>
      <w:r>
        <w:tab/>
      </w:r>
      <w:r>
        <w:fldChar w:fldCharType="begin"/>
      </w:r>
      <w:r>
        <w:instrText xml:space="preserve"> PAGEREF _Toc476041116 \h </w:instrText>
      </w:r>
      <w:r>
        <w:fldChar w:fldCharType="separate"/>
      </w:r>
      <w:r>
        <w:t>91</w:t>
      </w:r>
      <w:r>
        <w:fldChar w:fldCharType="end"/>
      </w:r>
    </w:p>
    <w:p>
      <w:pPr>
        <w:pStyle w:val="TOC8"/>
        <w:rPr>
          <w:rFonts w:asciiTheme="minorHAnsi" w:eastAsiaTheme="minorEastAsia" w:hAnsiTheme="minorHAnsi" w:cstheme="minorBidi"/>
          <w:szCs w:val="22"/>
        </w:rPr>
      </w:pPr>
      <w:r>
        <w:t>122.</w:t>
      </w:r>
      <w:r>
        <w:tab/>
        <w:t>Costs disclosure under Act s. 260, 261 and 264, when required for matter in relevant period</w:t>
      </w:r>
      <w:r>
        <w:tab/>
      </w:r>
      <w:r>
        <w:fldChar w:fldCharType="begin"/>
      </w:r>
      <w:r>
        <w:instrText xml:space="preserve"> PAGEREF _Toc476041117 \h </w:instrText>
      </w:r>
      <w:r>
        <w:fldChar w:fldCharType="separate"/>
      </w:r>
      <w:r>
        <w:t>92</w:t>
      </w:r>
      <w:r>
        <w:fldChar w:fldCharType="end"/>
      </w:r>
    </w:p>
    <w:p>
      <w:pPr>
        <w:pStyle w:val="TOC8"/>
        <w:rPr>
          <w:rFonts w:asciiTheme="minorHAnsi" w:eastAsiaTheme="minorEastAsia" w:hAnsiTheme="minorHAnsi" w:cstheme="minorBidi"/>
          <w:szCs w:val="22"/>
        </w:rPr>
      </w:pPr>
      <w:r>
        <w:t>123A.</w:t>
      </w:r>
      <w:r>
        <w:tab/>
        <w:t>Costs agreements under 2003 Act s. 221 may be made in relevant period</w:t>
      </w:r>
      <w:r>
        <w:tab/>
      </w:r>
      <w:r>
        <w:fldChar w:fldCharType="begin"/>
      </w:r>
      <w:r>
        <w:instrText xml:space="preserve"> PAGEREF _Toc476041118 \h </w:instrText>
      </w:r>
      <w:r>
        <w:fldChar w:fldCharType="separate"/>
      </w:r>
      <w:r>
        <w:t>92</w:t>
      </w:r>
      <w:r>
        <w:fldChar w:fldCharType="end"/>
      </w:r>
    </w:p>
    <w:p>
      <w:pPr>
        <w:pStyle w:val="TOC4"/>
        <w:tabs>
          <w:tab w:val="right" w:leader="dot" w:pos="7077"/>
        </w:tabs>
        <w:rPr>
          <w:rFonts w:asciiTheme="minorHAnsi" w:eastAsiaTheme="minorEastAsia" w:hAnsiTheme="minorHAnsi" w:cstheme="minorBidi"/>
          <w:b w:val="0"/>
          <w:szCs w:val="22"/>
        </w:rPr>
      </w:pPr>
      <w:r>
        <w:t>Division 7 — Interstate legal practitioners</w:t>
      </w:r>
    </w:p>
    <w:p>
      <w:pPr>
        <w:pStyle w:val="TOC8"/>
        <w:rPr>
          <w:rFonts w:asciiTheme="minorHAnsi" w:eastAsiaTheme="minorEastAsia" w:hAnsiTheme="minorHAnsi" w:cstheme="minorBidi"/>
          <w:szCs w:val="22"/>
        </w:rPr>
      </w:pPr>
      <w:r>
        <w:t>123.</w:t>
      </w:r>
      <w:r>
        <w:tab/>
        <w:t>Supervised legal practice before 1 Mar 2009 etc. equates to required experience (Act s. 72)</w:t>
      </w:r>
      <w:r>
        <w:tab/>
      </w:r>
      <w:r>
        <w:fldChar w:fldCharType="begin"/>
      </w:r>
      <w:r>
        <w:instrText xml:space="preserve"> PAGEREF _Toc476041120 \h </w:instrText>
      </w:r>
      <w:r>
        <w:fldChar w:fldCharType="separate"/>
      </w:r>
      <w:r>
        <w:t>93</w:t>
      </w:r>
      <w:r>
        <w:fldChar w:fldCharType="end"/>
      </w:r>
    </w:p>
    <w:p>
      <w:pPr>
        <w:pStyle w:val="TOC2"/>
        <w:tabs>
          <w:tab w:val="right" w:leader="dot" w:pos="7077"/>
        </w:tabs>
        <w:rPr>
          <w:rFonts w:asciiTheme="minorHAnsi" w:eastAsiaTheme="minorEastAsia" w:hAnsiTheme="minorHAnsi" w:cstheme="minorBidi"/>
          <w:b w:val="0"/>
          <w:sz w:val="22"/>
          <w:szCs w:val="22"/>
        </w:rPr>
      </w:pPr>
      <w:r>
        <w:t>Schedule 1 — Forms</w:t>
      </w:r>
    </w:p>
    <w:p>
      <w:pPr>
        <w:pStyle w:val="TOC2"/>
        <w:tabs>
          <w:tab w:val="right" w:leader="dot" w:pos="7077"/>
        </w:tabs>
        <w:rPr>
          <w:rFonts w:asciiTheme="minorHAnsi" w:eastAsiaTheme="minorEastAsia" w:hAnsiTheme="minorHAnsi" w:cstheme="minorBidi"/>
          <w:b w:val="0"/>
          <w:sz w:val="22"/>
          <w:szCs w:val="22"/>
        </w:rPr>
      </w:pPr>
      <w:r>
        <w:t>Schedule 2 — Prescribed bodies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_Toc476041124 \h </w:instrText>
      </w:r>
      <w:r>
        <w:fldChar w:fldCharType="separate"/>
      </w:r>
      <w:r>
        <w:t>99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3 March 2017</w:t>
            </w:r>
          </w:p>
        </w:tc>
      </w:tr>
    </w:tbl>
    <w:p>
      <w:pPr>
        <w:pStyle w:val="WA"/>
        <w:spacing w:before="12"/>
      </w:pPr>
      <w:r>
        <w:t>Western Australia</w:t>
      </w:r>
    </w:p>
    <w:p>
      <w:pPr>
        <w:pStyle w:val="PrincipalActReg"/>
      </w:pPr>
      <w:r>
        <w:t>Legal Profession Act 2008</w:t>
      </w:r>
    </w:p>
    <w:p>
      <w:pPr>
        <w:pStyle w:val="NameofActReg"/>
      </w:pPr>
      <w:r>
        <w:t>Legal Profession Regulations 2009</w:t>
      </w:r>
    </w:p>
    <w:p>
      <w:pPr>
        <w:pStyle w:val="Heading2"/>
        <w:keepNext w:val="0"/>
        <w:pageBreakBefore w:val="0"/>
        <w:spacing w:before="240"/>
      </w:pPr>
      <w:bookmarkStart w:id="3" w:name="_Toc466893695"/>
      <w:bookmarkStart w:id="4" w:name="_Toc467498347"/>
      <w:bookmarkStart w:id="5" w:name="_Toc476040476"/>
      <w:bookmarkStart w:id="6" w:name="_Toc476040960"/>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p>
    <w:p>
      <w:pPr>
        <w:pStyle w:val="Heading5"/>
      </w:pPr>
      <w:bookmarkStart w:id="7" w:name="_Toc476040961"/>
      <w:r>
        <w:rPr>
          <w:rStyle w:val="CharSectno"/>
        </w:rPr>
        <w:t>1</w:t>
      </w:r>
      <w:r>
        <w:t>.</w:t>
      </w:r>
      <w:r>
        <w:tab/>
        <w:t>Citation</w:t>
      </w:r>
      <w:bookmarkEnd w:id="7"/>
    </w:p>
    <w:p>
      <w:pPr>
        <w:pStyle w:val="Subsection"/>
        <w:rPr>
          <w:i/>
        </w:rPr>
      </w:pPr>
      <w:r>
        <w:tab/>
      </w:r>
      <w:r>
        <w:tab/>
      </w:r>
      <w:bookmarkStart w:id="8" w:name="Start_Cursor"/>
      <w:bookmarkEnd w:id="8"/>
      <w:r>
        <w:rPr>
          <w:spacing w:val="-2"/>
        </w:rPr>
        <w:t>These</w:t>
      </w:r>
      <w:r>
        <w:t xml:space="preserve"> </w:t>
      </w:r>
      <w:r>
        <w:rPr>
          <w:spacing w:val="-2"/>
        </w:rPr>
        <w:t>regulations</w:t>
      </w:r>
      <w:r>
        <w:t xml:space="preserve"> are the </w:t>
      </w:r>
      <w:r>
        <w:rPr>
          <w:i/>
        </w:rPr>
        <w:t>Legal Profession Regulations 2009</w:t>
      </w:r>
      <w:r>
        <w:rPr>
          <w:vertAlign w:val="superscript"/>
        </w:rPr>
        <w:t> 1</w:t>
      </w:r>
      <w:r>
        <w:t>.</w:t>
      </w:r>
    </w:p>
    <w:p>
      <w:pPr>
        <w:pStyle w:val="Heading5"/>
        <w:rPr>
          <w:spacing w:val="-2"/>
        </w:rPr>
      </w:pPr>
      <w:bookmarkStart w:id="9" w:name="_Toc476040962"/>
      <w:r>
        <w:rPr>
          <w:rStyle w:val="CharSectno"/>
        </w:rPr>
        <w:t>2</w:t>
      </w:r>
      <w:r>
        <w:rPr>
          <w:spacing w:val="-2"/>
        </w:rPr>
        <w:t>.</w:t>
      </w:r>
      <w:r>
        <w:rPr>
          <w:spacing w:val="-2"/>
        </w:rPr>
        <w:tab/>
        <w:t>Commencement</w:t>
      </w:r>
      <w:bookmarkEnd w:id="9"/>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 xml:space="preserve">the rest of the regulations — on the day on which the </w:t>
      </w:r>
      <w:r>
        <w:rPr>
          <w:i/>
          <w:iCs/>
        </w:rPr>
        <w:t>Legal Profession Act 2008</w:t>
      </w:r>
      <w:r>
        <w:t xml:space="preserve"> section 598 comes into operation</w:t>
      </w:r>
      <w:r>
        <w:rPr>
          <w:vertAlign w:val="superscript"/>
        </w:rPr>
        <w:t> 1</w:t>
      </w:r>
      <w:r>
        <w:t>.</w:t>
      </w:r>
    </w:p>
    <w:p>
      <w:pPr>
        <w:pStyle w:val="Heading5"/>
      </w:pPr>
      <w:bookmarkStart w:id="10" w:name="_Toc476040963"/>
      <w:r>
        <w:rPr>
          <w:rStyle w:val="CharSectno"/>
        </w:rPr>
        <w:t>3</w:t>
      </w:r>
      <w:r>
        <w:t>.</w:t>
      </w:r>
      <w:r>
        <w:tab/>
        <w:t>Terms used</w:t>
      </w:r>
      <w:bookmarkEnd w:id="10"/>
    </w:p>
    <w:p>
      <w:pPr>
        <w:pStyle w:val="Subsection"/>
        <w:keepNext/>
      </w:pPr>
      <w:r>
        <w:tab/>
      </w:r>
      <w:r>
        <w:tab/>
        <w:t xml:space="preserve">In these regulations — </w:t>
      </w:r>
    </w:p>
    <w:p>
      <w:pPr>
        <w:pStyle w:val="Defstart"/>
      </w:pPr>
      <w:r>
        <w:tab/>
      </w:r>
      <w:r>
        <w:rPr>
          <w:rStyle w:val="CharDefText"/>
        </w:rPr>
        <w:t>community legal centre</w:t>
      </w:r>
      <w:r>
        <w:t xml:space="preserve"> has the meaning given in section 388(1) of the Act;</w:t>
      </w:r>
    </w:p>
    <w:p>
      <w:pPr>
        <w:pStyle w:val="Defstart"/>
      </w:pPr>
      <w:r>
        <w:rPr>
          <w:b/>
        </w:rPr>
        <w:tab/>
      </w:r>
      <w:r>
        <w:rPr>
          <w:rStyle w:val="CharDefText"/>
        </w:rPr>
        <w:t>entity</w:t>
      </w:r>
      <w:r>
        <w:t xml:space="preserve"> means an individual or a body;</w:t>
      </w:r>
    </w:p>
    <w:p>
      <w:pPr>
        <w:pStyle w:val="Defstart"/>
      </w:pPr>
      <w:r>
        <w:tab/>
      </w:r>
      <w:r>
        <w:rPr>
          <w:rStyle w:val="CharDefText"/>
        </w:rPr>
        <w:t xml:space="preserve">Legal Aid Commission </w:t>
      </w:r>
      <w:r>
        <w:t>has the meaning given in section 388(1) of the Act.</w:t>
      </w:r>
    </w:p>
    <w:p>
      <w:pPr>
        <w:pStyle w:val="Footnotesection"/>
      </w:pPr>
      <w:r>
        <w:tab/>
        <w:t>[Regulation 3 amended in Gazette 31 Jul 2015 p. 3118-19.]</w:t>
      </w:r>
    </w:p>
    <w:p>
      <w:pPr>
        <w:pStyle w:val="Heading5"/>
      </w:pPr>
      <w:bookmarkStart w:id="11" w:name="_Toc476040964"/>
      <w:r>
        <w:rPr>
          <w:rStyle w:val="CharSectno"/>
        </w:rPr>
        <w:t>4</w:t>
      </w:r>
      <w:r>
        <w:t>.</w:t>
      </w:r>
      <w:r>
        <w:tab/>
        <w:t>Home jurisdiction of associate, determining (Act s. 7(4)(b)(iii))</w:t>
      </w:r>
      <w:bookmarkEnd w:id="11"/>
    </w:p>
    <w:p>
      <w:pPr>
        <w:pStyle w:val="Subsection"/>
      </w:pPr>
      <w:r>
        <w:tab/>
        <w:t>(1)</w:t>
      </w:r>
      <w:r>
        <w:tab/>
        <w:t>This regulation applies to an associate of a law practice who is neither an Australian legal practitioner nor an Australian</w:t>
      </w:r>
      <w:r>
        <w:noBreakHyphen/>
        <w:t xml:space="preserve">registered foreign lawyer, if — </w:t>
      </w:r>
    </w:p>
    <w:p>
      <w:pPr>
        <w:pStyle w:val="Indenta"/>
      </w:pPr>
      <w:r>
        <w:tab/>
        <w:t>(a)</w:t>
      </w:r>
      <w:r>
        <w:tab/>
        <w:t>section 7(4)(b) of the Act is applicable to the associate; and</w:t>
      </w:r>
    </w:p>
    <w:p>
      <w:pPr>
        <w:pStyle w:val="Indenta"/>
      </w:pPr>
      <w:r>
        <w:tab/>
        <w:t>(b)</w:t>
      </w:r>
      <w:r>
        <w:tab/>
        <w:t>the home jurisdiction for the associate can be determined under neither section 7(4)(b)(i) nor section 7(4)(b)(ii).</w:t>
      </w:r>
    </w:p>
    <w:p>
      <w:pPr>
        <w:pStyle w:val="Subsection"/>
      </w:pPr>
      <w:r>
        <w:tab/>
        <w:t>(2)</w:t>
      </w:r>
      <w:r>
        <w:tab/>
        <w:t xml:space="preserve">For the purposes of section 7(4)(b)(iii) of the Act, the home jurisdiction for the associate is to be determined in accordance with the following criteria — </w:t>
      </w:r>
    </w:p>
    <w:p>
      <w:pPr>
        <w:pStyle w:val="Indenta"/>
      </w:pPr>
      <w:r>
        <w:tab/>
        <w:t>(a)</w:t>
      </w:r>
      <w:r>
        <w:tab/>
        <w:t xml:space="preserve">the jurisdiction of the associate’s place of residence in </w:t>
      </w:r>
      <w:smartTag w:uri="urn:schemas-microsoft-com:office:smarttags" w:element="place">
        <w:smartTag w:uri="urn:schemas-microsoft-com:office:smarttags" w:element="country-region">
          <w:r>
            <w:t>Australia</w:t>
          </w:r>
        </w:smartTag>
      </w:smartTag>
      <w:r>
        <w:t>; or</w:t>
      </w:r>
    </w:p>
    <w:p>
      <w:pPr>
        <w:pStyle w:val="Indenta"/>
      </w:pPr>
      <w:r>
        <w:tab/>
        <w:t>(b)</w:t>
      </w:r>
      <w:r>
        <w:tab/>
        <w:t xml:space="preserve">if the associate does not have a place of residence in </w:t>
      </w:r>
      <w:smartTag w:uri="urn:schemas-microsoft-com:office:smarttags" w:element="country-region">
        <w:r>
          <w:t>Australia</w:t>
        </w:r>
      </w:smartTag>
      <w:r>
        <w:t xml:space="preserve">  — the jurisdiction of the associate’s last place of residence in </w:t>
      </w:r>
      <w:smartTag w:uri="urn:schemas-microsoft-com:office:smarttags" w:element="place">
        <w:smartTag w:uri="urn:schemas-microsoft-com:office:smarttags" w:element="country-region">
          <w:r>
            <w:t>Australia</w:t>
          </w:r>
        </w:smartTag>
      </w:smartTag>
      <w:r>
        <w:t>.</w:t>
      </w:r>
    </w:p>
    <w:p>
      <w:pPr>
        <w:pStyle w:val="Heading2"/>
        <w:rPr>
          <w:rStyle w:val="CharPartText"/>
        </w:rPr>
      </w:pPr>
      <w:bookmarkStart w:id="12" w:name="_Toc466893700"/>
      <w:bookmarkStart w:id="13" w:name="_Toc467498352"/>
      <w:bookmarkStart w:id="14" w:name="_Toc476040481"/>
      <w:bookmarkStart w:id="15" w:name="_Toc476040965"/>
      <w:r>
        <w:rPr>
          <w:rStyle w:val="CharPartNo"/>
        </w:rPr>
        <w:t>Part 2</w:t>
      </w:r>
      <w:r>
        <w:rPr>
          <w:rStyle w:val="CharDivNo"/>
        </w:rPr>
        <w:t> </w:t>
      </w:r>
      <w:r>
        <w:t>—</w:t>
      </w:r>
      <w:r>
        <w:rPr>
          <w:rStyle w:val="CharDivText"/>
        </w:rPr>
        <w:t> </w:t>
      </w:r>
      <w:r>
        <w:rPr>
          <w:rStyle w:val="CharPartText"/>
        </w:rPr>
        <w:t>Reservation of legal work and related matters</w:t>
      </w:r>
      <w:bookmarkEnd w:id="12"/>
      <w:bookmarkEnd w:id="13"/>
      <w:bookmarkEnd w:id="14"/>
      <w:bookmarkEnd w:id="15"/>
    </w:p>
    <w:p>
      <w:pPr>
        <w:pStyle w:val="Heading5"/>
      </w:pPr>
      <w:bookmarkStart w:id="16" w:name="_Toc476040966"/>
      <w:r>
        <w:rPr>
          <w:rStyle w:val="CharSectno"/>
        </w:rPr>
        <w:t>5A</w:t>
      </w:r>
      <w:r>
        <w:t>.</w:t>
      </w:r>
      <w:r>
        <w:tab/>
        <w:t>Exceptions to prohibition on engaging in legal practice when not entitled (Act s. 12(3)(h))</w:t>
      </w:r>
      <w:bookmarkEnd w:id="16"/>
    </w:p>
    <w:p>
      <w:pPr>
        <w:pStyle w:val="Subsection"/>
      </w:pPr>
      <w:r>
        <w:tab/>
      </w:r>
      <w:r>
        <w:tab/>
        <w:t xml:space="preserve">For the purposes of section 12(3)(h) of the Act, section 12(2) of the Act does not apply to a person doing legal work under the supervision of an Australian legal practitioner as a paid employee of — </w:t>
      </w:r>
    </w:p>
    <w:p>
      <w:pPr>
        <w:pStyle w:val="Indenta"/>
      </w:pPr>
      <w:r>
        <w:tab/>
        <w:t>(a)</w:t>
      </w:r>
      <w:r>
        <w:tab/>
        <w:t>the Legal Aid Commission; or</w:t>
      </w:r>
    </w:p>
    <w:p>
      <w:pPr>
        <w:pStyle w:val="Indenta"/>
      </w:pPr>
      <w:r>
        <w:tab/>
        <w:t>(b)</w:t>
      </w:r>
      <w:r>
        <w:tab/>
        <w:t>a community legal centre; or</w:t>
      </w:r>
    </w:p>
    <w:p>
      <w:pPr>
        <w:pStyle w:val="Indenta"/>
      </w:pPr>
      <w:r>
        <w:tab/>
        <w:t>(c)</w:t>
      </w:r>
      <w:r>
        <w:tab/>
        <w:t>a corporation other than an incorporated legal practice.</w:t>
      </w:r>
    </w:p>
    <w:p>
      <w:pPr>
        <w:pStyle w:val="Footnotesection"/>
      </w:pPr>
      <w:r>
        <w:tab/>
        <w:t>[Regulation 5A inserted in Gazette 31 Jul 2015 p. 3119.]</w:t>
      </w:r>
    </w:p>
    <w:p>
      <w:pPr>
        <w:pStyle w:val="Heading5"/>
      </w:pPr>
      <w:bookmarkStart w:id="17" w:name="_Toc476040967"/>
      <w:r>
        <w:rPr>
          <w:rStyle w:val="CharSectno"/>
        </w:rPr>
        <w:t>5</w:t>
      </w:r>
      <w:r>
        <w:t>.</w:t>
      </w:r>
      <w:r>
        <w:tab/>
        <w:t>Titles etc. who can use (Act s. 14(2))</w:t>
      </w:r>
      <w:bookmarkEnd w:id="17"/>
    </w:p>
    <w:p>
      <w:pPr>
        <w:pStyle w:val="Subsection"/>
      </w:pPr>
      <w:r>
        <w:tab/>
        <w:t>(1)</w:t>
      </w:r>
      <w:r>
        <w:tab/>
        <w:t xml:space="preserve">In this regulation — </w:t>
      </w:r>
    </w:p>
    <w:p>
      <w:pPr>
        <w:pStyle w:val="Defstart"/>
      </w:pPr>
      <w:r>
        <w:tab/>
      </w:r>
      <w:r>
        <w:rPr>
          <w:rStyle w:val="CharDefText"/>
        </w:rPr>
        <w:t>Australian law</w:t>
      </w:r>
      <w:r>
        <w:t xml:space="preserve"> means a law of the Commonwealth or of a State or Territory;</w:t>
      </w:r>
    </w:p>
    <w:p>
      <w:pPr>
        <w:pStyle w:val="Defstart"/>
      </w:pPr>
      <w:r>
        <w:tab/>
      </w:r>
      <w:r>
        <w:rPr>
          <w:rStyle w:val="CharDefText"/>
        </w:rPr>
        <w:t>barrister’s indorsement</w:t>
      </w:r>
      <w:r>
        <w:t xml:space="preserve"> means a condition imposed by the Board on a local practising certificate requiring the practitioner to work solely as an independent barrister;</w:t>
      </w:r>
    </w:p>
    <w:p>
      <w:pPr>
        <w:pStyle w:val="Defstart"/>
      </w:pPr>
      <w:r>
        <w:tab/>
      </w:r>
      <w:r>
        <w:rPr>
          <w:rStyle w:val="CharDefText"/>
        </w:rPr>
        <w:t>employee</w:t>
      </w:r>
      <w:r>
        <w:t xml:space="preserve"> of an entity means a person who is employed or engaged under a contract of service or contract for services in or by the entity whether or not — </w:t>
      </w:r>
    </w:p>
    <w:p>
      <w:pPr>
        <w:pStyle w:val="Defpara"/>
      </w:pPr>
      <w:r>
        <w:tab/>
        <w:t>(a)</w:t>
      </w:r>
      <w:r>
        <w:tab/>
        <w:t>the person works full</w:t>
      </w:r>
      <w:r>
        <w:noBreakHyphen/>
        <w:t>time, part</w:t>
      </w:r>
      <w:r>
        <w:noBreakHyphen/>
        <w:t>time or on a temporary or casual basis; or</w:t>
      </w:r>
    </w:p>
    <w:p>
      <w:pPr>
        <w:pStyle w:val="Defpara"/>
      </w:pPr>
      <w:r>
        <w:tab/>
        <w:t>(b)</w:t>
      </w:r>
      <w:r>
        <w:tab/>
        <w:t>the person is a law clerk or articled clerk;</w:t>
      </w:r>
    </w:p>
    <w:p>
      <w:pPr>
        <w:pStyle w:val="Defstart"/>
      </w:pPr>
      <w:r>
        <w:tab/>
      </w:r>
      <w:r>
        <w:rPr>
          <w:rStyle w:val="CharDefText"/>
        </w:rPr>
        <w:t>government agency</w:t>
      </w:r>
      <w:r>
        <w:t xml:space="preserve"> means — </w:t>
      </w:r>
    </w:p>
    <w:p>
      <w:pPr>
        <w:pStyle w:val="Defpara"/>
      </w:pPr>
      <w:r>
        <w:tab/>
        <w:t>(a)</w:t>
      </w:r>
      <w:r>
        <w:tab/>
        <w:t>a government department of the Commonwealth or of a State or Territory; or</w:t>
      </w:r>
    </w:p>
    <w:p>
      <w:pPr>
        <w:pStyle w:val="Defpara"/>
      </w:pPr>
      <w:r>
        <w:tab/>
        <w:t>(b)</w:t>
      </w:r>
      <w:r>
        <w:tab/>
        <w:t>a body that is established by or under the law of the Commonwealth or a State or a Territory for a public purpose or to exercise governmental functions,</w:t>
      </w:r>
    </w:p>
    <w:p>
      <w:pPr>
        <w:pStyle w:val="Defstart"/>
      </w:pPr>
      <w:r>
        <w:tab/>
        <w:t>and includes an entity (or a class of entities) specified in the Table to regulation 11.</w:t>
      </w:r>
    </w:p>
    <w:p>
      <w:pPr>
        <w:pStyle w:val="Subsection"/>
      </w:pPr>
      <w:r>
        <w:tab/>
        <w:t>(2)</w:t>
      </w:r>
      <w:r>
        <w:tab/>
        <w:t>For the purposes of section 14(2) of the Act, the kinds of person specified in column 3 of the Table are persons who are entitled, in the circumstances specified opposite in column 4, to take or use a name, title or description specified opposite in column 2.</w:t>
      </w:r>
    </w:p>
    <w:p>
      <w:pPr>
        <w:pStyle w:val="THeadingNAm"/>
        <w:keepLines/>
      </w:pPr>
      <w:r>
        <w:t>Table</w:t>
      </w:r>
    </w:p>
    <w:tbl>
      <w:tblPr>
        <w:tblW w:w="0" w:type="auto"/>
        <w:tblInd w:w="5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97"/>
        <w:gridCol w:w="1596"/>
        <w:gridCol w:w="1425"/>
        <w:gridCol w:w="2508"/>
      </w:tblGrid>
      <w:tr>
        <w:trPr>
          <w:cantSplit/>
          <w:tblHeader/>
        </w:trPr>
        <w:tc>
          <w:tcPr>
            <w:tcW w:w="1197" w:type="dxa"/>
          </w:tcPr>
          <w:p>
            <w:pPr>
              <w:pStyle w:val="TableNAm"/>
              <w:keepNext/>
              <w:keepLines/>
              <w:spacing w:before="80"/>
              <w:rPr>
                <w:b/>
                <w:bCs/>
                <w:sz w:val="23"/>
                <w:szCs w:val="23"/>
              </w:rPr>
            </w:pPr>
            <w:r>
              <w:rPr>
                <w:b/>
                <w:bCs/>
                <w:sz w:val="23"/>
                <w:szCs w:val="23"/>
              </w:rPr>
              <w:t>Column 1</w:t>
            </w:r>
          </w:p>
        </w:tc>
        <w:tc>
          <w:tcPr>
            <w:tcW w:w="1596" w:type="dxa"/>
          </w:tcPr>
          <w:p>
            <w:pPr>
              <w:pStyle w:val="TableNAm"/>
              <w:keepNext/>
              <w:keepLines/>
              <w:spacing w:before="80"/>
              <w:rPr>
                <w:b/>
                <w:bCs/>
                <w:sz w:val="23"/>
                <w:szCs w:val="23"/>
              </w:rPr>
            </w:pPr>
            <w:r>
              <w:rPr>
                <w:b/>
                <w:bCs/>
                <w:sz w:val="23"/>
                <w:szCs w:val="23"/>
              </w:rPr>
              <w:t>Column 2</w:t>
            </w:r>
          </w:p>
        </w:tc>
        <w:tc>
          <w:tcPr>
            <w:tcW w:w="1425" w:type="dxa"/>
          </w:tcPr>
          <w:p>
            <w:pPr>
              <w:pStyle w:val="TableNAm"/>
              <w:keepNext/>
              <w:keepLines/>
              <w:spacing w:before="80"/>
              <w:rPr>
                <w:b/>
                <w:bCs/>
                <w:sz w:val="23"/>
                <w:szCs w:val="23"/>
              </w:rPr>
            </w:pPr>
            <w:r>
              <w:rPr>
                <w:b/>
                <w:bCs/>
                <w:sz w:val="23"/>
                <w:szCs w:val="23"/>
              </w:rPr>
              <w:t>Column 3</w:t>
            </w:r>
          </w:p>
        </w:tc>
        <w:tc>
          <w:tcPr>
            <w:tcW w:w="2508" w:type="dxa"/>
          </w:tcPr>
          <w:p>
            <w:pPr>
              <w:pStyle w:val="TableNAm"/>
              <w:keepNext/>
              <w:keepLines/>
              <w:spacing w:before="80"/>
              <w:rPr>
                <w:b/>
                <w:bCs/>
                <w:sz w:val="23"/>
                <w:szCs w:val="23"/>
              </w:rPr>
            </w:pPr>
            <w:r>
              <w:rPr>
                <w:b/>
                <w:bCs/>
                <w:sz w:val="23"/>
                <w:szCs w:val="23"/>
              </w:rPr>
              <w:t>Column 4</w:t>
            </w:r>
          </w:p>
        </w:tc>
      </w:tr>
      <w:tr>
        <w:trPr>
          <w:cantSplit/>
          <w:tblHeader/>
        </w:trPr>
        <w:tc>
          <w:tcPr>
            <w:tcW w:w="1197" w:type="dxa"/>
          </w:tcPr>
          <w:p>
            <w:pPr>
              <w:pStyle w:val="TableNAm"/>
              <w:keepNext/>
              <w:keepLines/>
              <w:spacing w:before="80"/>
              <w:rPr>
                <w:b/>
                <w:bCs/>
                <w:sz w:val="23"/>
                <w:szCs w:val="23"/>
              </w:rPr>
            </w:pPr>
            <w:r>
              <w:rPr>
                <w:b/>
                <w:bCs/>
                <w:sz w:val="23"/>
                <w:szCs w:val="23"/>
              </w:rPr>
              <w:t>Item</w:t>
            </w:r>
          </w:p>
        </w:tc>
        <w:tc>
          <w:tcPr>
            <w:tcW w:w="1596" w:type="dxa"/>
          </w:tcPr>
          <w:p>
            <w:pPr>
              <w:pStyle w:val="TableNAm"/>
              <w:keepNext/>
              <w:keepLines/>
              <w:spacing w:before="80"/>
              <w:rPr>
                <w:b/>
                <w:bCs/>
                <w:sz w:val="23"/>
                <w:szCs w:val="23"/>
              </w:rPr>
            </w:pPr>
            <w:r>
              <w:rPr>
                <w:b/>
                <w:bCs/>
                <w:sz w:val="23"/>
                <w:szCs w:val="23"/>
              </w:rPr>
              <w:t>Name, title or description</w:t>
            </w:r>
          </w:p>
        </w:tc>
        <w:tc>
          <w:tcPr>
            <w:tcW w:w="1425" w:type="dxa"/>
          </w:tcPr>
          <w:p>
            <w:pPr>
              <w:pStyle w:val="TableNAm"/>
              <w:keepNext/>
              <w:keepLines/>
              <w:spacing w:before="80"/>
              <w:rPr>
                <w:b/>
                <w:bCs/>
                <w:sz w:val="23"/>
                <w:szCs w:val="23"/>
              </w:rPr>
            </w:pPr>
            <w:r>
              <w:rPr>
                <w:b/>
                <w:bCs/>
                <w:sz w:val="23"/>
                <w:szCs w:val="23"/>
              </w:rPr>
              <w:t>Kinds of persons</w:t>
            </w:r>
          </w:p>
        </w:tc>
        <w:tc>
          <w:tcPr>
            <w:tcW w:w="2508" w:type="dxa"/>
          </w:tcPr>
          <w:p>
            <w:pPr>
              <w:pStyle w:val="TableNAm"/>
              <w:keepNext/>
              <w:keepLines/>
              <w:spacing w:before="80"/>
              <w:rPr>
                <w:b/>
                <w:bCs/>
                <w:sz w:val="23"/>
                <w:szCs w:val="23"/>
              </w:rPr>
            </w:pPr>
            <w:r>
              <w:rPr>
                <w:b/>
                <w:bCs/>
                <w:sz w:val="23"/>
                <w:szCs w:val="23"/>
              </w:rPr>
              <w:t>Circumstances</w:t>
            </w:r>
          </w:p>
        </w:tc>
      </w:tr>
      <w:tr>
        <w:trPr>
          <w:cantSplit/>
        </w:trPr>
        <w:tc>
          <w:tcPr>
            <w:tcW w:w="1197" w:type="dxa"/>
          </w:tcPr>
          <w:p>
            <w:pPr>
              <w:pStyle w:val="TableNAm"/>
              <w:spacing w:before="80"/>
              <w:rPr>
                <w:sz w:val="23"/>
                <w:szCs w:val="23"/>
              </w:rPr>
            </w:pPr>
            <w:r>
              <w:rPr>
                <w:sz w:val="23"/>
                <w:szCs w:val="23"/>
              </w:rPr>
              <w:t>1</w:t>
            </w:r>
          </w:p>
        </w:tc>
        <w:tc>
          <w:tcPr>
            <w:tcW w:w="1596" w:type="dxa"/>
          </w:tcPr>
          <w:p>
            <w:pPr>
              <w:pStyle w:val="TableNAm"/>
              <w:spacing w:before="80"/>
              <w:rPr>
                <w:sz w:val="23"/>
                <w:szCs w:val="23"/>
              </w:rPr>
            </w:pPr>
            <w:r>
              <w:rPr>
                <w:sz w:val="23"/>
                <w:szCs w:val="23"/>
              </w:rPr>
              <w:t>lawyer</w:t>
            </w:r>
          </w:p>
        </w:tc>
        <w:tc>
          <w:tcPr>
            <w:tcW w:w="1425" w:type="dxa"/>
          </w:tcPr>
          <w:p>
            <w:pPr>
              <w:pStyle w:val="TableNAm"/>
              <w:spacing w:before="80"/>
              <w:rPr>
                <w:sz w:val="23"/>
                <w:szCs w:val="23"/>
              </w:rPr>
            </w:pPr>
            <w:r>
              <w:rPr>
                <w:sz w:val="23"/>
                <w:szCs w:val="23"/>
              </w:rPr>
              <w:t>Australian lawyer</w:t>
            </w:r>
          </w:p>
        </w:tc>
        <w:tc>
          <w:tcPr>
            <w:tcW w:w="2508" w:type="dxa"/>
          </w:tcPr>
          <w:p>
            <w:pPr>
              <w:pStyle w:val="TableNAm"/>
              <w:spacing w:before="80"/>
              <w:rPr>
                <w:sz w:val="23"/>
                <w:szCs w:val="23"/>
              </w:rPr>
            </w:pPr>
            <w:r>
              <w:rPr>
                <w:sz w:val="23"/>
                <w:szCs w:val="23"/>
              </w:rPr>
              <w:t>all circumstances (no restriction)</w:t>
            </w:r>
          </w:p>
        </w:tc>
      </w:tr>
      <w:tr>
        <w:trPr>
          <w:cantSplit/>
        </w:trPr>
        <w:tc>
          <w:tcPr>
            <w:tcW w:w="1197" w:type="dxa"/>
          </w:tcPr>
          <w:p>
            <w:pPr>
              <w:pStyle w:val="TableNAm"/>
              <w:spacing w:before="80"/>
              <w:rPr>
                <w:sz w:val="23"/>
                <w:szCs w:val="23"/>
              </w:rPr>
            </w:pPr>
            <w:r>
              <w:rPr>
                <w:sz w:val="23"/>
                <w:szCs w:val="23"/>
              </w:rPr>
              <w:t>2</w:t>
            </w:r>
          </w:p>
        </w:tc>
        <w:tc>
          <w:tcPr>
            <w:tcW w:w="1596" w:type="dxa"/>
          </w:tcPr>
          <w:p>
            <w:pPr>
              <w:pStyle w:val="TableNAm"/>
              <w:spacing w:before="80"/>
              <w:rPr>
                <w:sz w:val="23"/>
                <w:szCs w:val="23"/>
              </w:rPr>
            </w:pPr>
            <w:r>
              <w:rPr>
                <w:sz w:val="23"/>
                <w:szCs w:val="23"/>
              </w:rPr>
              <w:t>lawyer</w:t>
            </w:r>
          </w:p>
        </w:tc>
        <w:tc>
          <w:tcPr>
            <w:tcW w:w="1425" w:type="dxa"/>
          </w:tcPr>
          <w:p>
            <w:pPr>
              <w:pStyle w:val="TableNAm"/>
              <w:spacing w:before="80"/>
              <w:rPr>
                <w:sz w:val="23"/>
                <w:szCs w:val="23"/>
              </w:rPr>
            </w:pPr>
            <w:r>
              <w:rPr>
                <w:sz w:val="23"/>
                <w:szCs w:val="23"/>
              </w:rPr>
              <w:t>Australian-registered foreign lawyer</w:t>
            </w:r>
          </w:p>
        </w:tc>
        <w:tc>
          <w:tcPr>
            <w:tcW w:w="2508" w:type="dxa"/>
          </w:tcPr>
          <w:p>
            <w:pPr>
              <w:pStyle w:val="TableNAm"/>
              <w:spacing w:before="80"/>
              <w:rPr>
                <w:sz w:val="23"/>
                <w:szCs w:val="23"/>
              </w:rPr>
            </w:pPr>
            <w:r>
              <w:rPr>
                <w:sz w:val="23"/>
                <w:szCs w:val="23"/>
              </w:rPr>
              <w:t>all circumstances (no restriction)</w:t>
            </w:r>
          </w:p>
        </w:tc>
      </w:tr>
      <w:tr>
        <w:trPr>
          <w:cantSplit/>
        </w:trPr>
        <w:tc>
          <w:tcPr>
            <w:tcW w:w="1197" w:type="dxa"/>
          </w:tcPr>
          <w:p>
            <w:pPr>
              <w:pStyle w:val="TableNAm"/>
              <w:spacing w:before="80"/>
              <w:rPr>
                <w:sz w:val="23"/>
                <w:szCs w:val="23"/>
              </w:rPr>
            </w:pPr>
            <w:r>
              <w:rPr>
                <w:sz w:val="23"/>
                <w:szCs w:val="23"/>
              </w:rPr>
              <w:t>3</w:t>
            </w:r>
          </w:p>
        </w:tc>
        <w:tc>
          <w:tcPr>
            <w:tcW w:w="1596" w:type="dxa"/>
          </w:tcPr>
          <w:p>
            <w:pPr>
              <w:pStyle w:val="TableNAm"/>
              <w:spacing w:before="80"/>
              <w:rPr>
                <w:sz w:val="23"/>
                <w:szCs w:val="23"/>
              </w:rPr>
            </w:pPr>
            <w:r>
              <w:rPr>
                <w:sz w:val="23"/>
                <w:szCs w:val="23"/>
              </w:rPr>
              <w:t>legal practitioner</w:t>
            </w:r>
          </w:p>
        </w:tc>
        <w:tc>
          <w:tcPr>
            <w:tcW w:w="1425" w:type="dxa"/>
          </w:tcPr>
          <w:p>
            <w:pPr>
              <w:pStyle w:val="TableNAm"/>
              <w:spacing w:before="80"/>
              <w:rPr>
                <w:sz w:val="23"/>
                <w:szCs w:val="23"/>
              </w:rPr>
            </w:pPr>
            <w:r>
              <w:rPr>
                <w:sz w:val="23"/>
                <w:szCs w:val="23"/>
              </w:rPr>
              <w:t>Australian legal practitioner</w:t>
            </w:r>
          </w:p>
        </w:tc>
        <w:tc>
          <w:tcPr>
            <w:tcW w:w="2508" w:type="dxa"/>
          </w:tcPr>
          <w:p>
            <w:pPr>
              <w:pStyle w:val="TableNAm"/>
              <w:spacing w:before="80"/>
              <w:rPr>
                <w:sz w:val="23"/>
                <w:szCs w:val="23"/>
              </w:rPr>
            </w:pPr>
            <w:r>
              <w:rPr>
                <w:sz w:val="23"/>
                <w:szCs w:val="23"/>
              </w:rPr>
              <w:t>all circumstances (no restriction)</w:t>
            </w:r>
          </w:p>
        </w:tc>
      </w:tr>
      <w:tr>
        <w:trPr>
          <w:cantSplit/>
        </w:trPr>
        <w:tc>
          <w:tcPr>
            <w:tcW w:w="1197" w:type="dxa"/>
          </w:tcPr>
          <w:p>
            <w:pPr>
              <w:pStyle w:val="TableNAm"/>
              <w:spacing w:before="80"/>
              <w:rPr>
                <w:sz w:val="23"/>
                <w:szCs w:val="23"/>
              </w:rPr>
            </w:pPr>
            <w:r>
              <w:rPr>
                <w:sz w:val="23"/>
                <w:szCs w:val="23"/>
              </w:rPr>
              <w:t>4</w:t>
            </w:r>
          </w:p>
        </w:tc>
        <w:tc>
          <w:tcPr>
            <w:tcW w:w="1596" w:type="dxa"/>
          </w:tcPr>
          <w:p>
            <w:pPr>
              <w:pStyle w:val="TableNAm"/>
              <w:spacing w:before="80"/>
              <w:rPr>
                <w:sz w:val="23"/>
                <w:szCs w:val="23"/>
              </w:rPr>
            </w:pPr>
            <w:r>
              <w:rPr>
                <w:sz w:val="23"/>
                <w:szCs w:val="23"/>
              </w:rPr>
              <w:t>legal practitioner</w:t>
            </w:r>
          </w:p>
        </w:tc>
        <w:tc>
          <w:tcPr>
            <w:tcW w:w="1425" w:type="dxa"/>
          </w:tcPr>
          <w:p>
            <w:pPr>
              <w:pStyle w:val="TableNAm"/>
              <w:spacing w:before="80"/>
              <w:rPr>
                <w:sz w:val="23"/>
                <w:szCs w:val="23"/>
              </w:rPr>
            </w:pPr>
            <w:r>
              <w:rPr>
                <w:sz w:val="23"/>
                <w:szCs w:val="23"/>
              </w:rPr>
              <w:t>Australian lawyer</w:t>
            </w:r>
          </w:p>
        </w:tc>
        <w:tc>
          <w:tcPr>
            <w:tcW w:w="2508" w:type="dxa"/>
          </w:tcPr>
          <w:p>
            <w:pPr>
              <w:pStyle w:val="TableNAm"/>
              <w:spacing w:before="80"/>
              <w:rPr>
                <w:sz w:val="23"/>
                <w:szCs w:val="23"/>
              </w:rPr>
            </w:pPr>
            <w:r>
              <w:rPr>
                <w:sz w:val="23"/>
                <w:szCs w:val="23"/>
              </w:rPr>
              <w:t>when the Australian lawyer, not holding an Australian practising certificate, engages in legal practice as an employee in a government agency in circumstances in which an Australian law permits an Australian lawyer to engage in legal practice of that kind without having to hold an Australian practising certificate</w:t>
            </w:r>
          </w:p>
        </w:tc>
      </w:tr>
      <w:tr>
        <w:trPr>
          <w:cantSplit/>
        </w:trPr>
        <w:tc>
          <w:tcPr>
            <w:tcW w:w="1197" w:type="dxa"/>
          </w:tcPr>
          <w:p>
            <w:pPr>
              <w:pStyle w:val="TableNAm"/>
              <w:spacing w:before="80"/>
              <w:rPr>
                <w:sz w:val="23"/>
                <w:szCs w:val="23"/>
              </w:rPr>
            </w:pPr>
            <w:r>
              <w:rPr>
                <w:sz w:val="23"/>
                <w:szCs w:val="23"/>
              </w:rPr>
              <w:t>5</w:t>
            </w:r>
          </w:p>
        </w:tc>
        <w:tc>
          <w:tcPr>
            <w:tcW w:w="1596" w:type="dxa"/>
          </w:tcPr>
          <w:p>
            <w:pPr>
              <w:pStyle w:val="TableNAm"/>
              <w:spacing w:before="80"/>
              <w:rPr>
                <w:sz w:val="23"/>
                <w:szCs w:val="23"/>
              </w:rPr>
            </w:pPr>
            <w:r>
              <w:rPr>
                <w:sz w:val="23"/>
                <w:szCs w:val="23"/>
              </w:rPr>
              <w:t xml:space="preserve">barrister and solicitor </w:t>
            </w:r>
          </w:p>
          <w:p>
            <w:pPr>
              <w:pStyle w:val="TableNAm"/>
              <w:spacing w:before="80"/>
              <w:rPr>
                <w:sz w:val="23"/>
                <w:szCs w:val="23"/>
              </w:rPr>
            </w:pPr>
            <w:r>
              <w:rPr>
                <w:sz w:val="23"/>
                <w:szCs w:val="23"/>
              </w:rPr>
              <w:t>solicitor and barrister</w:t>
            </w:r>
          </w:p>
          <w:p>
            <w:pPr>
              <w:pStyle w:val="TableNAm"/>
              <w:spacing w:before="80"/>
              <w:rPr>
                <w:sz w:val="23"/>
                <w:szCs w:val="23"/>
              </w:rPr>
            </w:pPr>
            <w:r>
              <w:rPr>
                <w:sz w:val="23"/>
                <w:szCs w:val="23"/>
              </w:rPr>
              <w:t>solicitor</w:t>
            </w:r>
          </w:p>
          <w:p>
            <w:pPr>
              <w:pStyle w:val="TableNAm"/>
              <w:spacing w:before="80"/>
              <w:rPr>
                <w:sz w:val="23"/>
                <w:szCs w:val="23"/>
              </w:rPr>
            </w:pPr>
            <w:r>
              <w:rPr>
                <w:sz w:val="23"/>
                <w:szCs w:val="23"/>
              </w:rPr>
              <w:t>attorney</w:t>
            </w:r>
          </w:p>
        </w:tc>
        <w:tc>
          <w:tcPr>
            <w:tcW w:w="1425" w:type="dxa"/>
          </w:tcPr>
          <w:p>
            <w:pPr>
              <w:pStyle w:val="TableNAm"/>
              <w:spacing w:before="80"/>
              <w:rPr>
                <w:sz w:val="23"/>
                <w:szCs w:val="23"/>
              </w:rPr>
            </w:pPr>
            <w:r>
              <w:rPr>
                <w:sz w:val="23"/>
                <w:szCs w:val="23"/>
              </w:rPr>
              <w:t>Australian legal practitioner</w:t>
            </w:r>
          </w:p>
        </w:tc>
        <w:tc>
          <w:tcPr>
            <w:tcW w:w="2508" w:type="dxa"/>
          </w:tcPr>
          <w:p>
            <w:pPr>
              <w:pStyle w:val="TableNAm"/>
              <w:spacing w:before="80"/>
              <w:rPr>
                <w:sz w:val="23"/>
                <w:szCs w:val="23"/>
              </w:rPr>
            </w:pPr>
            <w:r>
              <w:rPr>
                <w:sz w:val="23"/>
                <w:szCs w:val="23"/>
              </w:rPr>
              <w:t>when the Australian legal practitioner holds an Australian practising certificate and engages in legal practice in the manner of a solicitor</w:t>
            </w:r>
          </w:p>
        </w:tc>
      </w:tr>
      <w:tr>
        <w:trPr>
          <w:cantSplit/>
        </w:trPr>
        <w:tc>
          <w:tcPr>
            <w:tcW w:w="1197" w:type="dxa"/>
          </w:tcPr>
          <w:p>
            <w:pPr>
              <w:pStyle w:val="TableNAm"/>
              <w:spacing w:before="80"/>
              <w:rPr>
                <w:sz w:val="23"/>
                <w:szCs w:val="23"/>
              </w:rPr>
            </w:pPr>
            <w:r>
              <w:rPr>
                <w:sz w:val="23"/>
                <w:szCs w:val="23"/>
              </w:rPr>
              <w:t>6</w:t>
            </w:r>
          </w:p>
        </w:tc>
        <w:tc>
          <w:tcPr>
            <w:tcW w:w="1596" w:type="dxa"/>
          </w:tcPr>
          <w:p>
            <w:pPr>
              <w:pStyle w:val="TableNAm"/>
              <w:spacing w:before="80"/>
              <w:rPr>
                <w:sz w:val="23"/>
                <w:szCs w:val="23"/>
              </w:rPr>
            </w:pPr>
            <w:r>
              <w:rPr>
                <w:sz w:val="23"/>
                <w:szCs w:val="23"/>
              </w:rPr>
              <w:t xml:space="preserve">barrister and solicitor </w:t>
            </w:r>
          </w:p>
          <w:p>
            <w:pPr>
              <w:pStyle w:val="TableNAm"/>
              <w:spacing w:before="80"/>
              <w:rPr>
                <w:sz w:val="23"/>
                <w:szCs w:val="23"/>
              </w:rPr>
            </w:pPr>
            <w:r>
              <w:rPr>
                <w:sz w:val="23"/>
                <w:szCs w:val="23"/>
              </w:rPr>
              <w:t>solicitor and barrister</w:t>
            </w:r>
          </w:p>
          <w:p>
            <w:pPr>
              <w:pStyle w:val="TableNAm"/>
              <w:spacing w:before="80"/>
              <w:rPr>
                <w:sz w:val="23"/>
                <w:szCs w:val="23"/>
              </w:rPr>
            </w:pPr>
            <w:r>
              <w:rPr>
                <w:sz w:val="23"/>
                <w:szCs w:val="23"/>
              </w:rPr>
              <w:t>solicitor</w:t>
            </w:r>
          </w:p>
          <w:p>
            <w:pPr>
              <w:pStyle w:val="TableNAm"/>
              <w:spacing w:before="80"/>
              <w:rPr>
                <w:sz w:val="23"/>
                <w:szCs w:val="23"/>
              </w:rPr>
            </w:pPr>
            <w:r>
              <w:rPr>
                <w:sz w:val="23"/>
                <w:szCs w:val="23"/>
              </w:rPr>
              <w:t>attorney</w:t>
            </w:r>
          </w:p>
        </w:tc>
        <w:tc>
          <w:tcPr>
            <w:tcW w:w="1425" w:type="dxa"/>
          </w:tcPr>
          <w:p>
            <w:pPr>
              <w:pStyle w:val="TableNAm"/>
              <w:spacing w:before="80"/>
              <w:rPr>
                <w:sz w:val="23"/>
                <w:szCs w:val="23"/>
              </w:rPr>
            </w:pPr>
            <w:r>
              <w:rPr>
                <w:sz w:val="23"/>
                <w:szCs w:val="23"/>
              </w:rPr>
              <w:t>Australian lawyer</w:t>
            </w:r>
          </w:p>
        </w:tc>
        <w:tc>
          <w:tcPr>
            <w:tcW w:w="2508" w:type="dxa"/>
          </w:tcPr>
          <w:p>
            <w:pPr>
              <w:pStyle w:val="TableNAm"/>
              <w:spacing w:before="80"/>
              <w:rPr>
                <w:sz w:val="23"/>
                <w:szCs w:val="23"/>
              </w:rPr>
            </w:pPr>
            <w:r>
              <w:rPr>
                <w:sz w:val="23"/>
                <w:szCs w:val="23"/>
              </w:rPr>
              <w:t>when the Australian lawyer, not holding an Australian practising certificate, engages in legal practice in the manner of a solicitor as an employee in a government agency in circumstances in which an Australian law permits an Australian lawyer to engage in legal practice of that kind without having to hold an Australian practising certificate</w:t>
            </w:r>
          </w:p>
        </w:tc>
      </w:tr>
      <w:tr>
        <w:trPr>
          <w:cantSplit/>
          <w:trHeight w:val="4818"/>
        </w:trPr>
        <w:tc>
          <w:tcPr>
            <w:tcW w:w="1197" w:type="dxa"/>
          </w:tcPr>
          <w:p>
            <w:pPr>
              <w:pStyle w:val="TableNAm"/>
              <w:spacing w:before="80"/>
              <w:rPr>
                <w:sz w:val="23"/>
                <w:szCs w:val="23"/>
              </w:rPr>
            </w:pPr>
            <w:r>
              <w:rPr>
                <w:sz w:val="23"/>
                <w:szCs w:val="23"/>
              </w:rPr>
              <w:t>7</w:t>
            </w:r>
          </w:p>
        </w:tc>
        <w:tc>
          <w:tcPr>
            <w:tcW w:w="1596" w:type="dxa"/>
          </w:tcPr>
          <w:p>
            <w:pPr>
              <w:pStyle w:val="TableNAm"/>
              <w:spacing w:before="80"/>
              <w:rPr>
                <w:sz w:val="23"/>
                <w:szCs w:val="23"/>
              </w:rPr>
            </w:pPr>
            <w:r>
              <w:rPr>
                <w:sz w:val="23"/>
                <w:szCs w:val="23"/>
              </w:rPr>
              <w:t>barrister</w:t>
            </w:r>
          </w:p>
        </w:tc>
        <w:tc>
          <w:tcPr>
            <w:tcW w:w="1425" w:type="dxa"/>
          </w:tcPr>
          <w:p>
            <w:pPr>
              <w:pStyle w:val="TableNAm"/>
              <w:spacing w:before="80"/>
              <w:rPr>
                <w:sz w:val="23"/>
                <w:szCs w:val="23"/>
              </w:rPr>
            </w:pPr>
            <w:r>
              <w:rPr>
                <w:sz w:val="23"/>
                <w:szCs w:val="23"/>
              </w:rPr>
              <w:t>Australian legal practitioner</w:t>
            </w:r>
          </w:p>
        </w:tc>
        <w:tc>
          <w:tcPr>
            <w:tcW w:w="2508" w:type="dxa"/>
          </w:tcPr>
          <w:p>
            <w:pPr>
              <w:pStyle w:val="TableNAm"/>
              <w:spacing w:before="80"/>
              <w:rPr>
                <w:sz w:val="23"/>
                <w:szCs w:val="23"/>
              </w:rPr>
            </w:pPr>
            <w:r>
              <w:rPr>
                <w:sz w:val="23"/>
                <w:szCs w:val="23"/>
              </w:rPr>
              <w:t>when the Australian legal practitioner —</w:t>
            </w:r>
          </w:p>
          <w:p>
            <w:pPr>
              <w:pStyle w:val="TableNAm"/>
              <w:tabs>
                <w:tab w:val="clear" w:pos="567"/>
                <w:tab w:val="left" w:pos="459"/>
              </w:tabs>
              <w:spacing w:before="80"/>
              <w:ind w:left="459" w:hanging="459"/>
              <w:rPr>
                <w:sz w:val="23"/>
                <w:szCs w:val="23"/>
              </w:rPr>
            </w:pPr>
            <w:r>
              <w:rPr>
                <w:sz w:val="23"/>
                <w:szCs w:val="23"/>
              </w:rPr>
              <w:t>(a)</w:t>
            </w:r>
            <w:r>
              <w:rPr>
                <w:sz w:val="23"/>
                <w:szCs w:val="23"/>
              </w:rPr>
              <w:tab/>
              <w:t>holds an Australian practising certificate; and</w:t>
            </w:r>
          </w:p>
          <w:p>
            <w:pPr>
              <w:pStyle w:val="TableNAm"/>
              <w:tabs>
                <w:tab w:val="clear" w:pos="567"/>
                <w:tab w:val="left" w:pos="459"/>
              </w:tabs>
              <w:spacing w:before="80"/>
              <w:ind w:left="459" w:hanging="459"/>
              <w:rPr>
                <w:sz w:val="23"/>
                <w:szCs w:val="23"/>
              </w:rPr>
            </w:pPr>
            <w:r>
              <w:rPr>
                <w:sz w:val="23"/>
                <w:szCs w:val="23"/>
              </w:rPr>
              <w:t>(b)</w:t>
            </w:r>
            <w:r>
              <w:rPr>
                <w:sz w:val="23"/>
                <w:szCs w:val="23"/>
              </w:rPr>
              <w:tab/>
              <w:t>engages in legal practice in the manner of a barrister; and</w:t>
            </w:r>
          </w:p>
          <w:p>
            <w:pPr>
              <w:pStyle w:val="TableNAm"/>
              <w:tabs>
                <w:tab w:val="left" w:pos="459"/>
              </w:tabs>
              <w:spacing w:before="80"/>
              <w:ind w:left="459" w:hanging="459"/>
              <w:rPr>
                <w:sz w:val="23"/>
                <w:szCs w:val="23"/>
              </w:rPr>
            </w:pPr>
            <w:r>
              <w:rPr>
                <w:sz w:val="23"/>
                <w:szCs w:val="23"/>
              </w:rPr>
              <w:t>(c)</w:t>
            </w:r>
            <w:r>
              <w:rPr>
                <w:sz w:val="23"/>
                <w:szCs w:val="23"/>
              </w:rPr>
              <w:tab/>
              <w:t>in the case of a local legal practitioner — holds a local practising certificate with a barrister’s indorsement</w:t>
            </w:r>
          </w:p>
        </w:tc>
      </w:tr>
      <w:tr>
        <w:trPr>
          <w:cantSplit/>
        </w:trPr>
        <w:tc>
          <w:tcPr>
            <w:tcW w:w="1197" w:type="dxa"/>
          </w:tcPr>
          <w:p>
            <w:pPr>
              <w:pStyle w:val="TableNAm"/>
              <w:spacing w:before="80"/>
              <w:rPr>
                <w:sz w:val="23"/>
                <w:szCs w:val="23"/>
              </w:rPr>
            </w:pPr>
            <w:r>
              <w:rPr>
                <w:sz w:val="23"/>
                <w:szCs w:val="23"/>
              </w:rPr>
              <w:t>8</w:t>
            </w:r>
          </w:p>
        </w:tc>
        <w:tc>
          <w:tcPr>
            <w:tcW w:w="1596" w:type="dxa"/>
          </w:tcPr>
          <w:p>
            <w:pPr>
              <w:pStyle w:val="TableNAm"/>
              <w:spacing w:before="80"/>
              <w:rPr>
                <w:sz w:val="23"/>
                <w:szCs w:val="23"/>
              </w:rPr>
            </w:pPr>
            <w:r>
              <w:rPr>
                <w:sz w:val="23"/>
                <w:szCs w:val="23"/>
              </w:rPr>
              <w:t>barrister</w:t>
            </w:r>
          </w:p>
        </w:tc>
        <w:tc>
          <w:tcPr>
            <w:tcW w:w="1425" w:type="dxa"/>
          </w:tcPr>
          <w:p>
            <w:pPr>
              <w:pStyle w:val="TableNAm"/>
              <w:spacing w:before="80"/>
              <w:rPr>
                <w:sz w:val="23"/>
                <w:szCs w:val="23"/>
              </w:rPr>
            </w:pPr>
            <w:r>
              <w:rPr>
                <w:sz w:val="23"/>
                <w:szCs w:val="23"/>
              </w:rPr>
              <w:t>Australian lawyer</w:t>
            </w:r>
          </w:p>
        </w:tc>
        <w:tc>
          <w:tcPr>
            <w:tcW w:w="2508" w:type="dxa"/>
          </w:tcPr>
          <w:p>
            <w:pPr>
              <w:pStyle w:val="TableNAm"/>
              <w:spacing w:before="80"/>
              <w:rPr>
                <w:sz w:val="23"/>
                <w:szCs w:val="23"/>
              </w:rPr>
            </w:pPr>
            <w:r>
              <w:rPr>
                <w:sz w:val="23"/>
                <w:szCs w:val="23"/>
              </w:rPr>
              <w:t>when the Australian lawyer, not holding an Australian practising certificate, engages in legal practice in the manner of a barrister as an employee in a government agency in circumstances in which an Australian law permits an Australian lawyer to engage in legal practice of that kind without having to hold an Australian practising certificate</w:t>
            </w:r>
          </w:p>
        </w:tc>
      </w:tr>
      <w:tr>
        <w:trPr>
          <w:cantSplit/>
        </w:trPr>
        <w:tc>
          <w:tcPr>
            <w:tcW w:w="1197" w:type="dxa"/>
          </w:tcPr>
          <w:p>
            <w:pPr>
              <w:pStyle w:val="TableNAm"/>
              <w:spacing w:before="80"/>
              <w:rPr>
                <w:sz w:val="23"/>
                <w:szCs w:val="23"/>
              </w:rPr>
            </w:pPr>
            <w:r>
              <w:rPr>
                <w:sz w:val="23"/>
                <w:szCs w:val="23"/>
              </w:rPr>
              <w:t>9</w:t>
            </w:r>
          </w:p>
        </w:tc>
        <w:tc>
          <w:tcPr>
            <w:tcW w:w="1596" w:type="dxa"/>
          </w:tcPr>
          <w:p>
            <w:pPr>
              <w:pStyle w:val="TableNAm"/>
              <w:spacing w:before="80"/>
              <w:rPr>
                <w:sz w:val="23"/>
                <w:szCs w:val="23"/>
              </w:rPr>
            </w:pPr>
            <w:r>
              <w:rPr>
                <w:sz w:val="23"/>
                <w:szCs w:val="23"/>
              </w:rPr>
              <w:t>counsel</w:t>
            </w:r>
          </w:p>
        </w:tc>
        <w:tc>
          <w:tcPr>
            <w:tcW w:w="1425" w:type="dxa"/>
          </w:tcPr>
          <w:p>
            <w:pPr>
              <w:pStyle w:val="TableNAm"/>
              <w:spacing w:before="80"/>
              <w:rPr>
                <w:sz w:val="23"/>
                <w:szCs w:val="23"/>
              </w:rPr>
            </w:pPr>
            <w:r>
              <w:rPr>
                <w:sz w:val="23"/>
                <w:szCs w:val="23"/>
              </w:rPr>
              <w:t>Australian legal practitioner</w:t>
            </w:r>
          </w:p>
        </w:tc>
        <w:tc>
          <w:tcPr>
            <w:tcW w:w="2508" w:type="dxa"/>
          </w:tcPr>
          <w:p>
            <w:pPr>
              <w:pStyle w:val="TableNAm"/>
              <w:spacing w:before="80"/>
              <w:rPr>
                <w:sz w:val="23"/>
                <w:szCs w:val="23"/>
              </w:rPr>
            </w:pPr>
            <w:r>
              <w:rPr>
                <w:sz w:val="23"/>
                <w:szCs w:val="23"/>
              </w:rPr>
              <w:t>all circumstances (no restriction)</w:t>
            </w:r>
          </w:p>
        </w:tc>
      </w:tr>
      <w:tr>
        <w:trPr>
          <w:cantSplit/>
        </w:trPr>
        <w:tc>
          <w:tcPr>
            <w:tcW w:w="1197" w:type="dxa"/>
          </w:tcPr>
          <w:p>
            <w:pPr>
              <w:pStyle w:val="TableNAm"/>
              <w:spacing w:before="80"/>
              <w:rPr>
                <w:sz w:val="23"/>
                <w:szCs w:val="23"/>
              </w:rPr>
            </w:pPr>
            <w:r>
              <w:rPr>
                <w:sz w:val="23"/>
                <w:szCs w:val="23"/>
              </w:rPr>
              <w:t>10</w:t>
            </w:r>
          </w:p>
        </w:tc>
        <w:tc>
          <w:tcPr>
            <w:tcW w:w="1596" w:type="dxa"/>
          </w:tcPr>
          <w:p>
            <w:pPr>
              <w:pStyle w:val="TableNAm"/>
              <w:spacing w:before="80"/>
              <w:rPr>
                <w:sz w:val="23"/>
                <w:szCs w:val="23"/>
              </w:rPr>
            </w:pPr>
            <w:r>
              <w:rPr>
                <w:sz w:val="23"/>
                <w:szCs w:val="23"/>
              </w:rPr>
              <w:t>counsel</w:t>
            </w:r>
          </w:p>
        </w:tc>
        <w:tc>
          <w:tcPr>
            <w:tcW w:w="1425" w:type="dxa"/>
          </w:tcPr>
          <w:p>
            <w:pPr>
              <w:pStyle w:val="TableNAm"/>
              <w:spacing w:before="80"/>
              <w:rPr>
                <w:sz w:val="23"/>
                <w:szCs w:val="23"/>
              </w:rPr>
            </w:pPr>
            <w:r>
              <w:rPr>
                <w:sz w:val="23"/>
                <w:szCs w:val="23"/>
              </w:rPr>
              <w:t>Australian lawyer</w:t>
            </w:r>
          </w:p>
        </w:tc>
        <w:tc>
          <w:tcPr>
            <w:tcW w:w="2508" w:type="dxa"/>
          </w:tcPr>
          <w:p>
            <w:pPr>
              <w:pStyle w:val="TableNAm"/>
              <w:spacing w:before="80"/>
              <w:rPr>
                <w:sz w:val="23"/>
                <w:szCs w:val="23"/>
              </w:rPr>
            </w:pPr>
            <w:r>
              <w:rPr>
                <w:sz w:val="23"/>
                <w:szCs w:val="23"/>
              </w:rPr>
              <w:t>when the Australian lawyer, not holding an Australian practising certificate, engages in legal practice as an employee in a government agency in circumstances in which an Australian law permits an Australian lawyer to engage in legal practice of that kind without having to hold an Australian practising certificate</w:t>
            </w:r>
          </w:p>
        </w:tc>
      </w:tr>
      <w:tr>
        <w:trPr>
          <w:cantSplit/>
          <w:trHeight w:val="1663"/>
        </w:trPr>
        <w:tc>
          <w:tcPr>
            <w:tcW w:w="1197" w:type="dxa"/>
          </w:tcPr>
          <w:p>
            <w:pPr>
              <w:pStyle w:val="TableNAm"/>
              <w:spacing w:before="80"/>
              <w:rPr>
                <w:sz w:val="23"/>
                <w:szCs w:val="23"/>
              </w:rPr>
            </w:pPr>
            <w:r>
              <w:rPr>
                <w:sz w:val="23"/>
                <w:szCs w:val="23"/>
              </w:rPr>
              <w:t>11</w:t>
            </w:r>
          </w:p>
        </w:tc>
        <w:tc>
          <w:tcPr>
            <w:tcW w:w="1596" w:type="dxa"/>
          </w:tcPr>
          <w:p>
            <w:pPr>
              <w:pStyle w:val="TableNAm"/>
              <w:spacing w:before="80"/>
              <w:rPr>
                <w:sz w:val="23"/>
                <w:szCs w:val="23"/>
              </w:rPr>
            </w:pPr>
            <w:r>
              <w:rPr>
                <w:sz w:val="23"/>
                <w:szCs w:val="23"/>
              </w:rPr>
              <w:t>Senior Counsel or SC</w:t>
            </w:r>
          </w:p>
        </w:tc>
        <w:tc>
          <w:tcPr>
            <w:tcW w:w="1425" w:type="dxa"/>
          </w:tcPr>
          <w:p>
            <w:pPr>
              <w:pStyle w:val="TableNAm"/>
              <w:spacing w:before="80"/>
              <w:rPr>
                <w:sz w:val="23"/>
                <w:szCs w:val="23"/>
              </w:rPr>
            </w:pPr>
            <w:r>
              <w:rPr>
                <w:sz w:val="23"/>
                <w:szCs w:val="23"/>
              </w:rPr>
              <w:t>Australian lawyer</w:t>
            </w:r>
          </w:p>
        </w:tc>
        <w:tc>
          <w:tcPr>
            <w:tcW w:w="2508" w:type="dxa"/>
          </w:tcPr>
          <w:p>
            <w:pPr>
              <w:pStyle w:val="TableNAm"/>
              <w:spacing w:before="80"/>
              <w:rPr>
                <w:sz w:val="23"/>
                <w:szCs w:val="23"/>
              </w:rPr>
            </w:pPr>
            <w:r>
              <w:rPr>
                <w:sz w:val="23"/>
                <w:szCs w:val="23"/>
              </w:rPr>
              <w:t>when the Australian lawyer holds the status of Senior Counsel, as recognised by the High Court or a Supreme Court of any jurisdiction</w:t>
            </w:r>
          </w:p>
        </w:tc>
      </w:tr>
      <w:tr>
        <w:trPr>
          <w:cantSplit/>
        </w:trPr>
        <w:tc>
          <w:tcPr>
            <w:tcW w:w="1197" w:type="dxa"/>
          </w:tcPr>
          <w:p>
            <w:pPr>
              <w:pStyle w:val="TableNAm"/>
              <w:spacing w:before="80"/>
              <w:rPr>
                <w:sz w:val="23"/>
                <w:szCs w:val="23"/>
              </w:rPr>
            </w:pPr>
            <w:r>
              <w:rPr>
                <w:sz w:val="23"/>
                <w:szCs w:val="23"/>
              </w:rPr>
              <w:t>12</w:t>
            </w:r>
          </w:p>
        </w:tc>
        <w:tc>
          <w:tcPr>
            <w:tcW w:w="1596" w:type="dxa"/>
          </w:tcPr>
          <w:p>
            <w:pPr>
              <w:pStyle w:val="TableNAm"/>
              <w:spacing w:before="80"/>
              <w:rPr>
                <w:sz w:val="23"/>
                <w:szCs w:val="23"/>
              </w:rPr>
            </w:pPr>
            <w:r>
              <w:rPr>
                <w:sz w:val="23"/>
                <w:szCs w:val="23"/>
              </w:rPr>
              <w:t>Queen’s Counsel or QC</w:t>
            </w:r>
          </w:p>
          <w:p>
            <w:pPr>
              <w:pStyle w:val="TableNAm"/>
              <w:spacing w:before="80"/>
              <w:rPr>
                <w:sz w:val="23"/>
                <w:szCs w:val="23"/>
              </w:rPr>
            </w:pPr>
            <w:r>
              <w:rPr>
                <w:sz w:val="23"/>
                <w:szCs w:val="23"/>
              </w:rPr>
              <w:t>King’s Counsel or KC</w:t>
            </w:r>
          </w:p>
          <w:p>
            <w:pPr>
              <w:pStyle w:val="TableNAm"/>
              <w:spacing w:before="80"/>
              <w:rPr>
                <w:sz w:val="23"/>
                <w:szCs w:val="23"/>
              </w:rPr>
            </w:pPr>
            <w:r>
              <w:rPr>
                <w:sz w:val="23"/>
                <w:szCs w:val="23"/>
              </w:rPr>
              <w:t>Her Majesty’s Counsel</w:t>
            </w:r>
          </w:p>
          <w:p>
            <w:pPr>
              <w:pStyle w:val="TableNAm"/>
              <w:spacing w:before="80"/>
              <w:rPr>
                <w:sz w:val="23"/>
                <w:szCs w:val="23"/>
              </w:rPr>
            </w:pPr>
            <w:r>
              <w:rPr>
                <w:sz w:val="23"/>
                <w:szCs w:val="23"/>
              </w:rPr>
              <w:t>His Majesty’s Counsel</w:t>
            </w:r>
          </w:p>
        </w:tc>
        <w:tc>
          <w:tcPr>
            <w:tcW w:w="1425" w:type="dxa"/>
          </w:tcPr>
          <w:p>
            <w:pPr>
              <w:pStyle w:val="TableNAm"/>
              <w:spacing w:before="80"/>
              <w:rPr>
                <w:sz w:val="23"/>
                <w:szCs w:val="23"/>
              </w:rPr>
            </w:pPr>
            <w:r>
              <w:rPr>
                <w:sz w:val="23"/>
                <w:szCs w:val="23"/>
              </w:rPr>
              <w:t>Australian lawyer</w:t>
            </w:r>
          </w:p>
        </w:tc>
        <w:tc>
          <w:tcPr>
            <w:tcW w:w="2508" w:type="dxa"/>
          </w:tcPr>
          <w:p>
            <w:pPr>
              <w:pStyle w:val="TableNAm"/>
              <w:spacing w:before="80"/>
              <w:rPr>
                <w:sz w:val="23"/>
                <w:szCs w:val="23"/>
              </w:rPr>
            </w:pPr>
            <w:r>
              <w:rPr>
                <w:sz w:val="23"/>
                <w:szCs w:val="23"/>
              </w:rPr>
              <w:t>when the Australian lawyer holds the appropriate status as given by the Crown in any capacity or as recognised by the High Court or the Supreme Court of a jurisdiction</w:t>
            </w:r>
          </w:p>
        </w:tc>
      </w:tr>
      <w:tr>
        <w:trPr>
          <w:cantSplit/>
        </w:trPr>
        <w:tc>
          <w:tcPr>
            <w:tcW w:w="1197" w:type="dxa"/>
          </w:tcPr>
          <w:p>
            <w:pPr>
              <w:pStyle w:val="TableNAm"/>
              <w:spacing w:before="80"/>
              <w:rPr>
                <w:sz w:val="23"/>
                <w:szCs w:val="23"/>
              </w:rPr>
            </w:pPr>
            <w:r>
              <w:rPr>
                <w:sz w:val="23"/>
                <w:szCs w:val="23"/>
              </w:rPr>
              <w:t>13</w:t>
            </w:r>
          </w:p>
        </w:tc>
        <w:tc>
          <w:tcPr>
            <w:tcW w:w="1596" w:type="dxa"/>
          </w:tcPr>
          <w:p>
            <w:pPr>
              <w:pStyle w:val="TableNAm"/>
              <w:spacing w:before="80"/>
              <w:rPr>
                <w:sz w:val="23"/>
                <w:szCs w:val="23"/>
              </w:rPr>
            </w:pPr>
            <w:r>
              <w:rPr>
                <w:sz w:val="23"/>
                <w:szCs w:val="23"/>
              </w:rPr>
              <w:t>attorney</w:t>
            </w:r>
          </w:p>
        </w:tc>
        <w:tc>
          <w:tcPr>
            <w:tcW w:w="1425" w:type="dxa"/>
          </w:tcPr>
          <w:p>
            <w:pPr>
              <w:pStyle w:val="TableNAm"/>
              <w:spacing w:before="80"/>
              <w:rPr>
                <w:sz w:val="23"/>
                <w:szCs w:val="23"/>
              </w:rPr>
            </w:pPr>
            <w:r>
              <w:rPr>
                <w:sz w:val="23"/>
                <w:szCs w:val="23"/>
              </w:rPr>
              <w:t>Australian</w:t>
            </w:r>
            <w:r>
              <w:rPr>
                <w:sz w:val="23"/>
                <w:szCs w:val="23"/>
              </w:rPr>
              <w:noBreakHyphen/>
            </w:r>
            <w:r>
              <w:rPr>
                <w:sz w:val="23"/>
                <w:szCs w:val="23"/>
              </w:rPr>
              <w:br/>
              <w:t>registered foreign lawyer</w:t>
            </w:r>
          </w:p>
        </w:tc>
        <w:tc>
          <w:tcPr>
            <w:tcW w:w="2508" w:type="dxa"/>
          </w:tcPr>
          <w:p>
            <w:pPr>
              <w:pStyle w:val="TableNAm"/>
              <w:spacing w:before="80"/>
              <w:rPr>
                <w:sz w:val="23"/>
                <w:szCs w:val="23"/>
              </w:rPr>
            </w:pPr>
            <w:r>
              <w:rPr>
                <w:sz w:val="23"/>
                <w:szCs w:val="23"/>
              </w:rPr>
              <w:t>when entitled to use the name, title or description under section 157 of the Act</w:t>
            </w:r>
          </w:p>
        </w:tc>
      </w:tr>
      <w:tr>
        <w:trPr>
          <w:cantSplit/>
        </w:trPr>
        <w:tc>
          <w:tcPr>
            <w:tcW w:w="1197" w:type="dxa"/>
          </w:tcPr>
          <w:p>
            <w:pPr>
              <w:pStyle w:val="TableNAm"/>
              <w:spacing w:before="80"/>
              <w:rPr>
                <w:sz w:val="23"/>
                <w:szCs w:val="23"/>
              </w:rPr>
            </w:pPr>
            <w:r>
              <w:rPr>
                <w:sz w:val="23"/>
                <w:szCs w:val="23"/>
              </w:rPr>
              <w:t>14</w:t>
            </w:r>
          </w:p>
        </w:tc>
        <w:tc>
          <w:tcPr>
            <w:tcW w:w="1596" w:type="dxa"/>
          </w:tcPr>
          <w:p>
            <w:pPr>
              <w:pStyle w:val="TableNAm"/>
              <w:spacing w:before="80"/>
              <w:rPr>
                <w:sz w:val="23"/>
                <w:szCs w:val="23"/>
              </w:rPr>
            </w:pPr>
            <w:r>
              <w:rPr>
                <w:sz w:val="23"/>
                <w:szCs w:val="23"/>
              </w:rPr>
              <w:t>attorney</w:t>
            </w:r>
          </w:p>
        </w:tc>
        <w:tc>
          <w:tcPr>
            <w:tcW w:w="1425" w:type="dxa"/>
          </w:tcPr>
          <w:p>
            <w:pPr>
              <w:pStyle w:val="TableNAm"/>
              <w:spacing w:before="80"/>
              <w:rPr>
                <w:sz w:val="23"/>
                <w:szCs w:val="23"/>
              </w:rPr>
            </w:pPr>
            <w:r>
              <w:rPr>
                <w:sz w:val="23"/>
                <w:szCs w:val="23"/>
              </w:rPr>
              <w:t>patent attorney</w:t>
            </w:r>
          </w:p>
        </w:tc>
        <w:tc>
          <w:tcPr>
            <w:tcW w:w="2508" w:type="dxa"/>
          </w:tcPr>
          <w:p>
            <w:pPr>
              <w:pStyle w:val="TableNAm"/>
              <w:spacing w:before="80"/>
              <w:rPr>
                <w:sz w:val="23"/>
                <w:szCs w:val="23"/>
              </w:rPr>
            </w:pPr>
            <w:r>
              <w:rPr>
                <w:sz w:val="23"/>
                <w:szCs w:val="23"/>
              </w:rPr>
              <w:t>when using the expression “patent attorney”</w:t>
            </w:r>
          </w:p>
        </w:tc>
      </w:tr>
      <w:tr>
        <w:trPr>
          <w:cantSplit/>
        </w:trPr>
        <w:tc>
          <w:tcPr>
            <w:tcW w:w="1197" w:type="dxa"/>
          </w:tcPr>
          <w:p>
            <w:pPr>
              <w:pStyle w:val="TableNAm"/>
              <w:spacing w:before="80"/>
              <w:rPr>
                <w:sz w:val="23"/>
                <w:szCs w:val="23"/>
              </w:rPr>
            </w:pPr>
            <w:r>
              <w:rPr>
                <w:sz w:val="23"/>
                <w:szCs w:val="23"/>
              </w:rPr>
              <w:t>15</w:t>
            </w:r>
          </w:p>
        </w:tc>
        <w:tc>
          <w:tcPr>
            <w:tcW w:w="1596" w:type="dxa"/>
          </w:tcPr>
          <w:p>
            <w:pPr>
              <w:pStyle w:val="TableNAm"/>
              <w:spacing w:before="80"/>
              <w:rPr>
                <w:sz w:val="23"/>
                <w:szCs w:val="23"/>
              </w:rPr>
            </w:pPr>
            <w:r>
              <w:rPr>
                <w:sz w:val="23"/>
                <w:szCs w:val="23"/>
              </w:rPr>
              <w:t>attorney</w:t>
            </w:r>
          </w:p>
        </w:tc>
        <w:tc>
          <w:tcPr>
            <w:tcW w:w="1425" w:type="dxa"/>
          </w:tcPr>
          <w:p>
            <w:pPr>
              <w:pStyle w:val="TableNAm"/>
              <w:spacing w:before="80"/>
              <w:rPr>
                <w:sz w:val="23"/>
                <w:szCs w:val="23"/>
              </w:rPr>
            </w:pPr>
            <w:r>
              <w:rPr>
                <w:sz w:val="23"/>
                <w:szCs w:val="23"/>
              </w:rPr>
              <w:t>donee of a power of attorney</w:t>
            </w:r>
          </w:p>
        </w:tc>
        <w:tc>
          <w:tcPr>
            <w:tcW w:w="2508" w:type="dxa"/>
          </w:tcPr>
          <w:p>
            <w:pPr>
              <w:pStyle w:val="TableNAm"/>
              <w:spacing w:before="80"/>
              <w:rPr>
                <w:sz w:val="23"/>
                <w:szCs w:val="23"/>
              </w:rPr>
            </w:pPr>
            <w:r>
              <w:rPr>
                <w:sz w:val="23"/>
                <w:szCs w:val="23"/>
              </w:rPr>
              <w:t>when indicating that the donee holds or is acting under a power of attorney</w:t>
            </w:r>
          </w:p>
        </w:tc>
      </w:tr>
      <w:tr>
        <w:trPr>
          <w:cantSplit/>
        </w:trPr>
        <w:tc>
          <w:tcPr>
            <w:tcW w:w="1197" w:type="dxa"/>
          </w:tcPr>
          <w:p>
            <w:pPr>
              <w:pStyle w:val="TableNAm"/>
              <w:spacing w:before="80"/>
              <w:rPr>
                <w:sz w:val="23"/>
                <w:szCs w:val="23"/>
              </w:rPr>
            </w:pPr>
            <w:r>
              <w:rPr>
                <w:sz w:val="23"/>
                <w:szCs w:val="23"/>
              </w:rPr>
              <w:t>16</w:t>
            </w:r>
          </w:p>
        </w:tc>
        <w:tc>
          <w:tcPr>
            <w:tcW w:w="1596" w:type="dxa"/>
          </w:tcPr>
          <w:p>
            <w:pPr>
              <w:pStyle w:val="TableNAm"/>
              <w:spacing w:before="80"/>
              <w:rPr>
                <w:sz w:val="23"/>
                <w:szCs w:val="23"/>
              </w:rPr>
            </w:pPr>
            <w:r>
              <w:rPr>
                <w:sz w:val="23"/>
                <w:szCs w:val="23"/>
              </w:rPr>
              <w:t>attorney</w:t>
            </w:r>
          </w:p>
        </w:tc>
        <w:tc>
          <w:tcPr>
            <w:tcW w:w="1425" w:type="dxa"/>
          </w:tcPr>
          <w:p>
            <w:pPr>
              <w:pStyle w:val="TableNAm"/>
              <w:spacing w:before="80"/>
              <w:rPr>
                <w:sz w:val="23"/>
                <w:szCs w:val="23"/>
              </w:rPr>
            </w:pPr>
            <w:r>
              <w:rPr>
                <w:sz w:val="23"/>
                <w:szCs w:val="23"/>
              </w:rPr>
              <w:t>Attorney</w:t>
            </w:r>
            <w:r>
              <w:rPr>
                <w:sz w:val="23"/>
                <w:szCs w:val="23"/>
              </w:rPr>
              <w:noBreakHyphen/>
            </w:r>
            <w:r>
              <w:rPr>
                <w:sz w:val="23"/>
                <w:szCs w:val="23"/>
              </w:rPr>
              <w:br/>
              <w:t>General of a jurisdiction or a foreign country</w:t>
            </w:r>
          </w:p>
        </w:tc>
        <w:tc>
          <w:tcPr>
            <w:tcW w:w="2508" w:type="dxa"/>
          </w:tcPr>
          <w:p>
            <w:pPr>
              <w:pStyle w:val="TableNAm"/>
              <w:spacing w:before="80"/>
              <w:rPr>
                <w:sz w:val="23"/>
                <w:szCs w:val="23"/>
              </w:rPr>
            </w:pPr>
            <w:r>
              <w:rPr>
                <w:sz w:val="23"/>
                <w:szCs w:val="23"/>
              </w:rPr>
              <w:t>all circumstances (no restriction)</w:t>
            </w:r>
          </w:p>
        </w:tc>
      </w:tr>
      <w:tr>
        <w:trPr>
          <w:cantSplit/>
        </w:trPr>
        <w:tc>
          <w:tcPr>
            <w:tcW w:w="1197" w:type="dxa"/>
          </w:tcPr>
          <w:p>
            <w:pPr>
              <w:pStyle w:val="TableNAm"/>
              <w:spacing w:before="80"/>
              <w:rPr>
                <w:sz w:val="23"/>
                <w:szCs w:val="23"/>
              </w:rPr>
            </w:pPr>
            <w:r>
              <w:rPr>
                <w:sz w:val="23"/>
                <w:szCs w:val="23"/>
              </w:rPr>
              <w:t>17</w:t>
            </w:r>
          </w:p>
        </w:tc>
        <w:tc>
          <w:tcPr>
            <w:tcW w:w="1596" w:type="dxa"/>
          </w:tcPr>
          <w:p>
            <w:pPr>
              <w:pStyle w:val="TableNAm"/>
              <w:spacing w:before="80"/>
              <w:rPr>
                <w:sz w:val="23"/>
                <w:szCs w:val="23"/>
              </w:rPr>
            </w:pPr>
            <w:r>
              <w:rPr>
                <w:sz w:val="23"/>
                <w:szCs w:val="23"/>
              </w:rPr>
              <w:t>solicitor</w:t>
            </w:r>
          </w:p>
        </w:tc>
        <w:tc>
          <w:tcPr>
            <w:tcW w:w="1425" w:type="dxa"/>
          </w:tcPr>
          <w:p>
            <w:pPr>
              <w:pStyle w:val="TableNAm"/>
              <w:spacing w:before="80"/>
              <w:rPr>
                <w:sz w:val="23"/>
                <w:szCs w:val="23"/>
              </w:rPr>
            </w:pPr>
            <w:r>
              <w:rPr>
                <w:sz w:val="23"/>
                <w:szCs w:val="23"/>
              </w:rPr>
              <w:t>Solicitor</w:t>
            </w:r>
            <w:r>
              <w:rPr>
                <w:sz w:val="23"/>
                <w:szCs w:val="23"/>
              </w:rPr>
              <w:noBreakHyphen/>
            </w:r>
            <w:r>
              <w:rPr>
                <w:sz w:val="23"/>
                <w:szCs w:val="23"/>
              </w:rPr>
              <w:br/>
              <w:t>General of a jurisdiction or a foreign country</w:t>
            </w:r>
          </w:p>
        </w:tc>
        <w:tc>
          <w:tcPr>
            <w:tcW w:w="2508" w:type="dxa"/>
          </w:tcPr>
          <w:p>
            <w:pPr>
              <w:pStyle w:val="TableNAm"/>
              <w:spacing w:before="80"/>
              <w:rPr>
                <w:sz w:val="23"/>
                <w:szCs w:val="23"/>
              </w:rPr>
            </w:pPr>
            <w:r>
              <w:rPr>
                <w:sz w:val="23"/>
                <w:szCs w:val="23"/>
              </w:rPr>
              <w:t>all circumstances (no restriction)</w:t>
            </w:r>
          </w:p>
        </w:tc>
      </w:tr>
    </w:tbl>
    <w:p>
      <w:pPr>
        <w:pStyle w:val="Footnotesection"/>
      </w:pPr>
      <w:r>
        <w:tab/>
        <w:t>[Regulation 5 amended in Gazette 29 Jun 2012 p. 2951-2.]</w:t>
      </w:r>
    </w:p>
    <w:p>
      <w:pPr>
        <w:pStyle w:val="Heading5"/>
      </w:pPr>
      <w:bookmarkStart w:id="18" w:name="_Toc476040968"/>
      <w:r>
        <w:rPr>
          <w:rStyle w:val="CharSectno"/>
        </w:rPr>
        <w:t>6</w:t>
      </w:r>
      <w:r>
        <w:t>.</w:t>
      </w:r>
      <w:r>
        <w:tab/>
        <w:t>Exemption from Act s. 15(2)(a) for some lay associates</w:t>
      </w:r>
      <w:bookmarkEnd w:id="18"/>
    </w:p>
    <w:p>
      <w:pPr>
        <w:pStyle w:val="Subsection"/>
      </w:pPr>
      <w:r>
        <w:tab/>
        <w:t>(1)</w:t>
      </w:r>
      <w:r>
        <w:tab/>
        <w:t xml:space="preserve">In this regulation — </w:t>
      </w:r>
    </w:p>
    <w:p>
      <w:pPr>
        <w:pStyle w:val="Defstart"/>
      </w:pPr>
      <w:r>
        <w:tab/>
      </w:r>
      <w:r>
        <w:rPr>
          <w:rStyle w:val="CharDefText"/>
        </w:rPr>
        <w:t>lay associate</w:t>
      </w:r>
      <w:r>
        <w:t xml:space="preserve"> has the meaning given in section 15(1) of the Act.</w:t>
      </w:r>
    </w:p>
    <w:p>
      <w:pPr>
        <w:pStyle w:val="Subsection"/>
      </w:pPr>
      <w:r>
        <w:tab/>
        <w:t>(2)</w:t>
      </w:r>
      <w:r>
        <w:tab/>
        <w:t xml:space="preserve">Section 15(2)(a) does not apply in respect of a lay associate of a law practice who — </w:t>
      </w:r>
    </w:p>
    <w:p>
      <w:pPr>
        <w:pStyle w:val="Indenta"/>
      </w:pPr>
      <w:r>
        <w:tab/>
        <w:t>(a)</w:t>
      </w:r>
      <w:r>
        <w:tab/>
        <w:t>was a lay associate of the law practice immediately before this regulation came into operation; or</w:t>
      </w:r>
    </w:p>
    <w:p>
      <w:pPr>
        <w:pStyle w:val="Indenta"/>
      </w:pPr>
      <w:r>
        <w:tab/>
        <w:t>(b)</w:t>
      </w:r>
      <w:r>
        <w:tab/>
        <w:t>is undertaking approved practical legal training requirements (as defined in section 21(1) of the Act) with the law practice; or</w:t>
      </w:r>
    </w:p>
    <w:p>
      <w:pPr>
        <w:pStyle w:val="Indenta"/>
      </w:pPr>
      <w:r>
        <w:tab/>
        <w:t>(c)</w:t>
      </w:r>
      <w:r>
        <w:tab/>
        <w:t>does not provide legal or related services to the law practice.</w:t>
      </w:r>
    </w:p>
    <w:p>
      <w:pPr>
        <w:pStyle w:val="Heading2"/>
      </w:pPr>
      <w:bookmarkStart w:id="19" w:name="_Toc466893704"/>
      <w:bookmarkStart w:id="20" w:name="_Toc467498356"/>
      <w:bookmarkStart w:id="21" w:name="_Toc476040485"/>
      <w:bookmarkStart w:id="22" w:name="_Toc476040969"/>
      <w:r>
        <w:rPr>
          <w:rStyle w:val="CharPartNo"/>
        </w:rPr>
        <w:t>Part 3</w:t>
      </w:r>
      <w:r>
        <w:rPr>
          <w:rStyle w:val="CharDivNo"/>
        </w:rPr>
        <w:t> </w:t>
      </w:r>
      <w:r>
        <w:t>—</w:t>
      </w:r>
      <w:r>
        <w:rPr>
          <w:rStyle w:val="CharDivText"/>
        </w:rPr>
        <w:t> </w:t>
      </w:r>
      <w:r>
        <w:rPr>
          <w:rStyle w:val="CharPartText"/>
        </w:rPr>
        <w:t>Legal practice by Australian legal practitioners</w:t>
      </w:r>
      <w:bookmarkEnd w:id="19"/>
      <w:bookmarkEnd w:id="20"/>
      <w:bookmarkEnd w:id="21"/>
      <w:bookmarkEnd w:id="22"/>
    </w:p>
    <w:p>
      <w:pPr>
        <w:pStyle w:val="Heading5"/>
      </w:pPr>
      <w:bookmarkStart w:id="23" w:name="_Toc476040970"/>
      <w:r>
        <w:rPr>
          <w:rStyle w:val="CharSectno"/>
        </w:rPr>
        <w:t>7</w:t>
      </w:r>
      <w:r>
        <w:t>.</w:t>
      </w:r>
      <w:r>
        <w:tab/>
        <w:t>Supervised legal practice, periods of to be taken into account (Act s. 50(2) and 72(2))</w:t>
      </w:r>
      <w:bookmarkEnd w:id="23"/>
    </w:p>
    <w:p>
      <w:pPr>
        <w:pStyle w:val="Subsection"/>
      </w:pPr>
      <w:r>
        <w:tab/>
        <w:t>(1)</w:t>
      </w:r>
      <w:r>
        <w:tab/>
        <w:t xml:space="preserve">In this regulation — </w:t>
      </w:r>
    </w:p>
    <w:p>
      <w:pPr>
        <w:pStyle w:val="Defstart"/>
      </w:pPr>
      <w:r>
        <w:tab/>
      </w:r>
      <w:r>
        <w:rPr>
          <w:rStyle w:val="CharDefText"/>
        </w:rPr>
        <w:t>required experience</w:t>
      </w:r>
      <w:r>
        <w:t xml:space="preserve"> has the meaning given in sections 50(1) and 72(1) of the Act.</w:t>
      </w:r>
    </w:p>
    <w:p>
      <w:pPr>
        <w:pStyle w:val="Subsection"/>
      </w:pPr>
      <w:r>
        <w:tab/>
        <w:t>(2)</w:t>
      </w:r>
      <w:r>
        <w:tab/>
        <w:t>For the purposes of sections 50(2) and 72(2) of the Act, regard can be had to periods of supervised legal practice that satisfy the requirements of this regulation.</w:t>
      </w:r>
    </w:p>
    <w:p>
      <w:pPr>
        <w:pStyle w:val="Subsection"/>
      </w:pPr>
      <w:r>
        <w:tab/>
        <w:t>(3)</w:t>
      </w:r>
      <w:r>
        <w:tab/>
        <w:t xml:space="preserve">The following periods of supervised legal practice satisfy the requirements of this regulation — </w:t>
      </w:r>
    </w:p>
    <w:p>
      <w:pPr>
        <w:pStyle w:val="Indenta"/>
      </w:pPr>
      <w:r>
        <w:tab/>
        <w:t>(a)</w:t>
      </w:r>
      <w:r>
        <w:tab/>
        <w:t>one period of supervised legal practice, worked on a full</w:t>
      </w:r>
      <w:r>
        <w:noBreakHyphen/>
        <w:t>time basis, that is equal to the required experience worked out on a full</w:t>
      </w:r>
      <w:r>
        <w:noBreakHyphen/>
        <w:t>time basis; or</w:t>
      </w:r>
    </w:p>
    <w:p>
      <w:pPr>
        <w:pStyle w:val="Indenta"/>
      </w:pPr>
      <w:r>
        <w:tab/>
        <w:t>(b)</w:t>
      </w:r>
      <w:r>
        <w:tab/>
        <w:t>one period of supervised legal practice, worked on a part</w:t>
      </w:r>
      <w:r>
        <w:noBreakHyphen/>
        <w:t>time basis as approved by the Board or an interstate regulatory authority, that is equivalent to the required experience worked out on a full</w:t>
      </w:r>
      <w:r>
        <w:noBreakHyphen/>
        <w:t>time basis; or</w:t>
      </w:r>
    </w:p>
    <w:p>
      <w:pPr>
        <w:pStyle w:val="Indenta"/>
      </w:pPr>
      <w:r>
        <w:tab/>
        <w:t>(c)</w:t>
      </w:r>
      <w:r>
        <w:tab/>
        <w:t>2 or more periods of supervised legal practice, worked on either or both of those bases as approved by the Board or an interstate regulatory authority, that together are equal or equivalent to the required experience.</w:t>
      </w:r>
    </w:p>
    <w:p>
      <w:pPr>
        <w:pStyle w:val="Subsection"/>
      </w:pPr>
      <w:r>
        <w:tab/>
        <w:t>(4)</w:t>
      </w:r>
      <w:r>
        <w:tab/>
        <w:t xml:space="preserve">For the purposes of this regulation — </w:t>
      </w:r>
    </w:p>
    <w:p>
      <w:pPr>
        <w:pStyle w:val="Indenta"/>
      </w:pPr>
      <w:r>
        <w:tab/>
        <w:t>(a)</w:t>
      </w:r>
      <w:r>
        <w:tab/>
        <w:t>public holidays during a relevant period are to be included as days of supervised legal practice, whether or not the person engaged in legal practice on those days; and</w:t>
      </w:r>
    </w:p>
    <w:p>
      <w:pPr>
        <w:pStyle w:val="Indenta"/>
      </w:pPr>
      <w:r>
        <w:tab/>
        <w:t>(b)</w:t>
      </w:r>
      <w:r>
        <w:tab/>
        <w:t>normal periods of leave taken during a relevant period by the person are to be included as periods of supervised legal practice.</w:t>
      </w:r>
    </w:p>
    <w:p>
      <w:pPr>
        <w:pStyle w:val="Heading5"/>
      </w:pPr>
      <w:bookmarkStart w:id="24" w:name="_Toc476040971"/>
      <w:r>
        <w:rPr>
          <w:rStyle w:val="CharSectno"/>
        </w:rPr>
        <w:t>8</w:t>
      </w:r>
      <w:r>
        <w:t>.</w:t>
      </w:r>
      <w:r>
        <w:tab/>
        <w:t>Register of local practising certificates, content of (Act s. 76(2))</w:t>
      </w:r>
      <w:bookmarkEnd w:id="24"/>
    </w:p>
    <w:p>
      <w:pPr>
        <w:pStyle w:val="Subsection"/>
      </w:pPr>
      <w:r>
        <w:tab/>
        <w:t>(1)</w:t>
      </w:r>
      <w:r>
        <w:tab/>
        <w:t>For the purposes of section 76(2)(b) of the Act, the particulars referred to in subregulation (2) are prescribed as particulars to be included in the register kept under section 76 of the Act in relation to a local legal practitioner, except where the Board is required under subregulation (5) not to include them in the register.</w:t>
      </w:r>
    </w:p>
    <w:p>
      <w:pPr>
        <w:pStyle w:val="Subsection"/>
      </w:pPr>
      <w:r>
        <w:tab/>
        <w:t>(2)</w:t>
      </w:r>
      <w:r>
        <w:tab/>
        <w:t xml:space="preserve">The particulars to be included in the register are as follows — </w:t>
      </w:r>
    </w:p>
    <w:p>
      <w:pPr>
        <w:pStyle w:val="Indenta"/>
      </w:pPr>
      <w:r>
        <w:tab/>
        <w:t>(a)</w:t>
      </w:r>
      <w:r>
        <w:tab/>
        <w:t>the name of the local legal practitioner;</w:t>
      </w:r>
    </w:p>
    <w:p>
      <w:pPr>
        <w:pStyle w:val="Indenta"/>
      </w:pPr>
      <w:r>
        <w:tab/>
        <w:t>(b)</w:t>
      </w:r>
      <w:r>
        <w:tab/>
        <w:t>the type of local practising certificate held by the practitioner;</w:t>
      </w:r>
    </w:p>
    <w:p>
      <w:pPr>
        <w:pStyle w:val="Indenta"/>
      </w:pPr>
      <w:r>
        <w:tab/>
        <w:t>(c)</w:t>
      </w:r>
      <w:r>
        <w:tab/>
        <w:t>the name of the law practice of which the practitioner is an associate or, if the practitioner is not an associate of a law practice, the name of the entity of which the practitioner is a director, officer or employee or with which the practitioner is otherwise engaged in legal practice;</w:t>
      </w:r>
    </w:p>
    <w:p>
      <w:pPr>
        <w:pStyle w:val="Indenta"/>
      </w:pPr>
      <w:r>
        <w:tab/>
        <w:t>(d)</w:t>
      </w:r>
      <w:r>
        <w:tab/>
        <w:t>the contact details of the office of the law practice or other entity in this jurisdiction;</w:t>
      </w:r>
    </w:p>
    <w:p>
      <w:pPr>
        <w:pStyle w:val="Indenta"/>
      </w:pPr>
      <w:r>
        <w:tab/>
        <w:t>(e)</w:t>
      </w:r>
      <w:r>
        <w:tab/>
        <w:t xml:space="preserve">by way of separate additional entry, the name of the law practice or other entity and the contact details of the office of the law practice or other entity — </w:t>
      </w:r>
    </w:p>
    <w:p>
      <w:pPr>
        <w:pStyle w:val="Indenti"/>
      </w:pPr>
      <w:r>
        <w:tab/>
        <w:t>(i)</w:t>
      </w:r>
      <w:r>
        <w:tab/>
        <w:t>in this jurisdiction; and</w:t>
      </w:r>
    </w:p>
    <w:p>
      <w:pPr>
        <w:pStyle w:val="Indenti"/>
      </w:pPr>
      <w:r>
        <w:tab/>
        <w:t>(ii)</w:t>
      </w:r>
      <w:r>
        <w:tab/>
        <w:t>in any other jurisdictions in which it has an office, except where the Board considers those particulars need not be included in respect of an entity that is not a law practice;</w:t>
      </w:r>
    </w:p>
    <w:p>
      <w:pPr>
        <w:pStyle w:val="Indenta"/>
      </w:pPr>
      <w:r>
        <w:tab/>
        <w:t>(f)</w:t>
      </w:r>
      <w:r>
        <w:tab/>
        <w:t>any other particulars about the practitioner, law practice or other entity that the Board considers should be included.</w:t>
      </w:r>
    </w:p>
    <w:p>
      <w:pPr>
        <w:pStyle w:val="Subsection"/>
        <w:keepNext/>
      </w:pPr>
      <w:r>
        <w:tab/>
        <w:t>(3)</w:t>
      </w:r>
      <w:r>
        <w:tab/>
        <w:t xml:space="preserve">Contact details of an office are as follows — </w:t>
      </w:r>
    </w:p>
    <w:p>
      <w:pPr>
        <w:pStyle w:val="Indenta"/>
      </w:pPr>
      <w:r>
        <w:tab/>
        <w:t>(a)</w:t>
      </w:r>
      <w:r>
        <w:tab/>
        <w:t>its street address (the address where the office is physically located);</w:t>
      </w:r>
    </w:p>
    <w:p>
      <w:pPr>
        <w:pStyle w:val="Indenta"/>
      </w:pPr>
      <w:r>
        <w:tab/>
        <w:t>(b)</w:t>
      </w:r>
      <w:r>
        <w:tab/>
        <w:t>its postal address (a post office box number and the location and postcode of the post office), if any;</w:t>
      </w:r>
    </w:p>
    <w:p>
      <w:pPr>
        <w:pStyle w:val="Indenta"/>
      </w:pPr>
      <w:r>
        <w:tab/>
        <w:t>(c)</w:t>
      </w:r>
      <w:r>
        <w:tab/>
        <w:t>its DX address (the number of the exchange box in a document exchange (DX)), if any.</w:t>
      </w:r>
    </w:p>
    <w:p>
      <w:pPr>
        <w:pStyle w:val="Subsection"/>
      </w:pPr>
      <w:r>
        <w:tab/>
        <w:t>(4)</w:t>
      </w:r>
      <w:r>
        <w:tab/>
        <w:t>A local legal practitioner may, by notice in writing to the Board, request the Board not to include any or any specified particulars about the practitioner, law practice or other entity in the register, on the ground that special circumstances warrant the particulars not being publicly available (for example, if the safety or well</w:t>
      </w:r>
      <w:r>
        <w:noBreakHyphen/>
        <w:t>being of a person would be substantially affected by making the particulars publicly available).</w:t>
      </w:r>
    </w:p>
    <w:p>
      <w:pPr>
        <w:pStyle w:val="Subsection"/>
      </w:pPr>
      <w:r>
        <w:tab/>
        <w:t>(5)</w:t>
      </w:r>
      <w:r>
        <w:tab/>
        <w:t>If the Board is satisfied that those special circumstances exist, the Board is required not to include the particulars concerned in the register, unless the Board considers that the public interest in maintaining public access to the particulars outweighs any individual interest in the particulars not being publicly available.</w:t>
      </w:r>
    </w:p>
    <w:p>
      <w:pPr>
        <w:pStyle w:val="Heading2"/>
      </w:pPr>
      <w:bookmarkStart w:id="25" w:name="_Toc466893707"/>
      <w:bookmarkStart w:id="26" w:name="_Toc467498359"/>
      <w:bookmarkStart w:id="27" w:name="_Toc476040488"/>
      <w:bookmarkStart w:id="28" w:name="_Toc476040972"/>
      <w:r>
        <w:rPr>
          <w:rStyle w:val="CharPartNo"/>
        </w:rPr>
        <w:t>Part 4</w:t>
      </w:r>
      <w:r>
        <w:t> — </w:t>
      </w:r>
      <w:r>
        <w:rPr>
          <w:rStyle w:val="CharPartText"/>
        </w:rPr>
        <w:t>Government lawyers</w:t>
      </w:r>
      <w:bookmarkEnd w:id="25"/>
      <w:bookmarkEnd w:id="26"/>
      <w:bookmarkEnd w:id="27"/>
      <w:bookmarkEnd w:id="28"/>
    </w:p>
    <w:p>
      <w:pPr>
        <w:pStyle w:val="Heading3"/>
        <w:spacing w:before="220"/>
      </w:pPr>
      <w:bookmarkStart w:id="29" w:name="_Toc466893708"/>
      <w:bookmarkStart w:id="30" w:name="_Toc467498360"/>
      <w:bookmarkStart w:id="31" w:name="_Toc476040489"/>
      <w:bookmarkStart w:id="32" w:name="_Toc476040973"/>
      <w:r>
        <w:rPr>
          <w:rStyle w:val="CharDivNo"/>
        </w:rPr>
        <w:t>Division 1</w:t>
      </w:r>
      <w:r>
        <w:t> — </w:t>
      </w:r>
      <w:r>
        <w:rPr>
          <w:rStyle w:val="CharDivText"/>
        </w:rPr>
        <w:t>General</w:t>
      </w:r>
      <w:bookmarkEnd w:id="29"/>
      <w:bookmarkEnd w:id="30"/>
      <w:bookmarkEnd w:id="31"/>
      <w:bookmarkEnd w:id="32"/>
    </w:p>
    <w:p>
      <w:pPr>
        <w:pStyle w:val="Heading5"/>
      </w:pPr>
      <w:bookmarkStart w:id="33" w:name="_Toc476040974"/>
      <w:r>
        <w:rPr>
          <w:rStyle w:val="CharSectno"/>
        </w:rPr>
        <w:t>9</w:t>
      </w:r>
      <w:r>
        <w:t>.</w:t>
      </w:r>
      <w:r>
        <w:tab/>
        <w:t>Articled clerk, who is eligible to be principal for</w:t>
      </w:r>
      <w:bookmarkEnd w:id="33"/>
    </w:p>
    <w:p>
      <w:pPr>
        <w:pStyle w:val="Subsection"/>
      </w:pPr>
      <w:r>
        <w:tab/>
        <w:t>(1)</w:t>
      </w:r>
      <w:r>
        <w:tab/>
        <w:t xml:space="preserve">The following persons are eligible to be the principal for one or more articled clerks — </w:t>
      </w:r>
    </w:p>
    <w:p>
      <w:pPr>
        <w:pStyle w:val="Indenta"/>
        <w:spacing w:before="60"/>
      </w:pPr>
      <w:r>
        <w:tab/>
        <w:t>(a)</w:t>
      </w:r>
      <w:r>
        <w:tab/>
        <w:t>the State Solicitor;</w:t>
      </w:r>
    </w:p>
    <w:p>
      <w:pPr>
        <w:pStyle w:val="Indenta"/>
        <w:spacing w:before="60"/>
      </w:pPr>
      <w:r>
        <w:tab/>
        <w:t>(b)</w:t>
      </w:r>
      <w:r>
        <w:tab/>
        <w:t xml:space="preserve">the Director of Legal Aid appointed under the </w:t>
      </w:r>
      <w:r>
        <w:rPr>
          <w:i/>
          <w:iCs/>
        </w:rPr>
        <w:t>Legal Aid Commission Act 1976</w:t>
      </w:r>
      <w:r>
        <w:t xml:space="preserve"> section 18;</w:t>
      </w:r>
    </w:p>
    <w:p>
      <w:pPr>
        <w:pStyle w:val="Indenta"/>
        <w:spacing w:before="60"/>
      </w:pPr>
      <w:r>
        <w:tab/>
        <w:t>(c)</w:t>
      </w:r>
      <w:r>
        <w:tab/>
        <w:t xml:space="preserve">the Director of Public Prosecutions appointed under the </w:t>
      </w:r>
      <w:r>
        <w:rPr>
          <w:i/>
          <w:iCs/>
        </w:rPr>
        <w:t>Director of Public Prosecutions Act 1991</w:t>
      </w:r>
      <w:r>
        <w:t xml:space="preserve"> section 5;</w:t>
      </w:r>
    </w:p>
    <w:p>
      <w:pPr>
        <w:pStyle w:val="Indenta"/>
      </w:pPr>
      <w:r>
        <w:tab/>
        <w:t>(da)</w:t>
      </w:r>
      <w:r>
        <w:tab/>
        <w:t xml:space="preserve">the Commissioner of the Corruption and Crime Commission appointed under the </w:t>
      </w:r>
      <w:r>
        <w:rPr>
          <w:i/>
        </w:rPr>
        <w:t>Corruption, Crime and Misconduct Act 2003</w:t>
      </w:r>
      <w:r>
        <w:t xml:space="preserve"> Part 2 Division 1;</w:t>
      </w:r>
    </w:p>
    <w:p>
      <w:pPr>
        <w:pStyle w:val="Indenta"/>
        <w:spacing w:before="60"/>
      </w:pPr>
      <w:r>
        <w:tab/>
        <w:t>(d)</w:t>
      </w:r>
      <w:r>
        <w:tab/>
        <w:t xml:space="preserve">the Director in </w:t>
      </w:r>
      <w:smartTag w:uri="urn:schemas-microsoft-com:office:smarttags" w:element="place">
        <w:smartTag w:uri="urn:schemas-microsoft-com:office:smarttags" w:element="State">
          <w:r>
            <w:t>Western Australia</w:t>
          </w:r>
        </w:smartTag>
      </w:smartTag>
      <w:r>
        <w:t xml:space="preserve"> of the Australian Government Solicitor established by the </w:t>
      </w:r>
      <w:r>
        <w:rPr>
          <w:i/>
          <w:iCs/>
        </w:rPr>
        <w:t xml:space="preserve">Judiciary Act 1903 </w:t>
      </w:r>
      <w:r>
        <w:t>(Commonwealth);</w:t>
      </w:r>
    </w:p>
    <w:p>
      <w:pPr>
        <w:pStyle w:val="Indenta"/>
        <w:spacing w:before="60"/>
      </w:pPr>
      <w:r>
        <w:tab/>
        <w:t>(e)</w:t>
      </w:r>
      <w:r>
        <w:tab/>
        <w:t xml:space="preserve">the Regional Commissioner of the Australian Securities and Investment Commission in </w:t>
      </w:r>
      <w:smartTag w:uri="urn:schemas-microsoft-com:office:smarttags" w:element="place">
        <w:smartTag w:uri="urn:schemas-microsoft-com:office:smarttags" w:element="State">
          <w:r>
            <w:t>Western Australia</w:t>
          </w:r>
        </w:smartTag>
      </w:smartTag>
      <w:r>
        <w:t>;</w:t>
      </w:r>
    </w:p>
    <w:p>
      <w:pPr>
        <w:pStyle w:val="Indenta"/>
        <w:spacing w:before="60"/>
      </w:pPr>
      <w:r>
        <w:tab/>
        <w:t>(f)</w:t>
      </w:r>
      <w:r>
        <w:tab/>
        <w:t xml:space="preserve">the Deputy Director, Perth Office of the Office of the Director of Public Prosecutions established by the </w:t>
      </w:r>
      <w:r>
        <w:rPr>
          <w:i/>
          <w:iCs/>
        </w:rPr>
        <w:t>Director of Public Prosecutions Act 1983</w:t>
      </w:r>
      <w:r>
        <w:t xml:space="preserve"> (Commonwealth).</w:t>
      </w:r>
    </w:p>
    <w:p>
      <w:pPr>
        <w:pStyle w:val="Subsection"/>
      </w:pPr>
      <w:r>
        <w:tab/>
        <w:t>(2)</w:t>
      </w:r>
      <w:r>
        <w:tab/>
        <w:t>Subregulation (1) does not operate to restrict the persons who are eligible under the rules to be the principal for an articled clerk.</w:t>
      </w:r>
    </w:p>
    <w:p>
      <w:pPr>
        <w:pStyle w:val="Footnotesection"/>
      </w:pPr>
      <w:r>
        <w:tab/>
        <w:t>[Regulation 9 amended in Gazette 16 Oct 2015 p. 4151.]</w:t>
      </w:r>
    </w:p>
    <w:p>
      <w:pPr>
        <w:pStyle w:val="Heading5"/>
      </w:pPr>
      <w:bookmarkStart w:id="34" w:name="_Toc476040975"/>
      <w:r>
        <w:rPr>
          <w:rStyle w:val="CharSectno"/>
        </w:rPr>
        <w:t>10</w:t>
      </w:r>
      <w:r>
        <w:t>.</w:t>
      </w:r>
      <w:r>
        <w:tab/>
        <w:t xml:space="preserve">Offices prescribed (Act s. 3 </w:t>
      </w:r>
      <w:r>
        <w:rPr>
          <w:i/>
        </w:rPr>
        <w:t>supervised legal practice</w:t>
      </w:r>
      <w:r>
        <w:t>)</w:t>
      </w:r>
      <w:bookmarkEnd w:id="34"/>
    </w:p>
    <w:p>
      <w:pPr>
        <w:pStyle w:val="Subsection"/>
      </w:pPr>
      <w:r>
        <w:tab/>
        <w:t>(1)</w:t>
      </w:r>
      <w:r>
        <w:tab/>
        <w:t xml:space="preserve">WA government lawyers who are eligible under the rules to be the principal for an articled clerk are prescribed for the purpose of paragraph (c)(iv) of the definition of </w:t>
      </w:r>
      <w:r>
        <w:rPr>
          <w:b/>
          <w:bCs/>
          <w:i/>
          <w:iCs/>
        </w:rPr>
        <w:t>supervised legal practice</w:t>
      </w:r>
      <w:r>
        <w:t xml:space="preserve"> in section 3 of the Act.</w:t>
      </w:r>
    </w:p>
    <w:p>
      <w:pPr>
        <w:pStyle w:val="Subsection"/>
      </w:pPr>
      <w:r>
        <w:tab/>
        <w:t>(2A)</w:t>
      </w:r>
      <w:r>
        <w:tab/>
        <w:t xml:space="preserve">The holder of the office of the Commissioner of the Corruption and Crime Commission, appointed under the </w:t>
      </w:r>
      <w:r>
        <w:rPr>
          <w:i/>
        </w:rPr>
        <w:t>Corruption, Crime and Misconduct Act 2003</w:t>
      </w:r>
      <w:r>
        <w:t xml:space="preserve"> Part 2 Division 1, is prescribed for the purposes of paragraph (c)(iv) of the definition of </w:t>
      </w:r>
      <w:r>
        <w:rPr>
          <w:b/>
          <w:i/>
        </w:rPr>
        <w:t>supervised legal practice</w:t>
      </w:r>
      <w:r>
        <w:t xml:space="preserve"> in section 3 of the Act.</w:t>
      </w:r>
    </w:p>
    <w:p>
      <w:pPr>
        <w:pStyle w:val="Subsection"/>
      </w:pPr>
      <w:r>
        <w:tab/>
        <w:t>(2)</w:t>
      </w:r>
      <w:r>
        <w:tab/>
        <w:t xml:space="preserve">The following office holders are prescribed for the purpose of paragraph (d)(iii) of the definition of </w:t>
      </w:r>
      <w:r>
        <w:rPr>
          <w:b/>
          <w:bCs/>
          <w:i/>
          <w:iCs/>
        </w:rPr>
        <w:t>supervised legal practice</w:t>
      </w:r>
      <w:r>
        <w:t xml:space="preserve"> in section 3 of the Act — </w:t>
      </w:r>
    </w:p>
    <w:p>
      <w:pPr>
        <w:pStyle w:val="Indenta"/>
        <w:spacing w:before="60"/>
      </w:pPr>
      <w:r>
        <w:tab/>
        <w:t>(a)</w:t>
      </w:r>
      <w:r>
        <w:tab/>
        <w:t>an office holder listed in regulation 9(1)(d), (e) or (f);</w:t>
      </w:r>
    </w:p>
    <w:p>
      <w:pPr>
        <w:pStyle w:val="Indenta"/>
      </w:pPr>
      <w:r>
        <w:tab/>
        <w:t>(b)</w:t>
      </w:r>
      <w:r>
        <w:tab/>
        <w:t>any other interstate government lawyer who is eligible under the rules to be the principal for an articled clerk.</w:t>
      </w:r>
    </w:p>
    <w:p>
      <w:pPr>
        <w:pStyle w:val="Footnotesection"/>
      </w:pPr>
      <w:r>
        <w:tab/>
        <w:t>[Regulation 10 amended in Gazette 16 Oct 2015 p. 4151.]</w:t>
      </w:r>
    </w:p>
    <w:p>
      <w:pPr>
        <w:pStyle w:val="Heading5"/>
        <w:rPr>
          <w:iCs/>
        </w:rPr>
      </w:pPr>
      <w:bookmarkStart w:id="35" w:name="_Toc476040976"/>
      <w:r>
        <w:rPr>
          <w:rStyle w:val="CharSectno"/>
        </w:rPr>
        <w:t>11</w:t>
      </w:r>
      <w:r>
        <w:t>.</w:t>
      </w:r>
      <w:r>
        <w:tab/>
        <w:t xml:space="preserve">Government agencies prescribed (Act s. 36(1) </w:t>
      </w:r>
      <w:r>
        <w:rPr>
          <w:i/>
          <w:iCs/>
        </w:rPr>
        <w:t>WA government lawyer</w:t>
      </w:r>
      <w:r>
        <w:rPr>
          <w:iCs/>
        </w:rPr>
        <w:t>)</w:t>
      </w:r>
      <w:bookmarkEnd w:id="35"/>
    </w:p>
    <w:p>
      <w:pPr>
        <w:pStyle w:val="Subsection"/>
      </w:pPr>
      <w:r>
        <w:tab/>
      </w:r>
      <w:r>
        <w:tab/>
        <w:t xml:space="preserve">The entities listed in the Table are prescribed for the purposes of the definition of </w:t>
      </w:r>
      <w:r>
        <w:rPr>
          <w:b/>
          <w:bCs/>
          <w:i/>
          <w:iCs/>
        </w:rPr>
        <w:t>WA government lawyer</w:t>
      </w:r>
      <w:r>
        <w:t xml:space="preserve"> in section 36(1) of the Act.</w:t>
      </w:r>
    </w:p>
    <w:p>
      <w:pPr>
        <w:pStyle w:val="THeadingNAm"/>
        <w:keepLines/>
      </w:pPr>
      <w:r>
        <w:t>Table</w:t>
      </w:r>
    </w:p>
    <w:tbl>
      <w:tblPr>
        <w:tblW w:w="0" w:type="auto"/>
        <w:tblInd w:w="675" w:type="dxa"/>
        <w:tblLayout w:type="fixed"/>
        <w:tblLook w:val="0000" w:firstRow="0" w:lastRow="0" w:firstColumn="0" w:lastColumn="0" w:noHBand="0" w:noVBand="0"/>
      </w:tblPr>
      <w:tblGrid>
        <w:gridCol w:w="851"/>
        <w:gridCol w:w="5528"/>
      </w:tblGrid>
      <w:tr>
        <w:trPr>
          <w:cantSplit/>
          <w:tblHeader/>
        </w:trPr>
        <w:tc>
          <w:tcPr>
            <w:tcW w:w="851" w:type="dxa"/>
            <w:tcBorders>
              <w:top w:val="single" w:sz="4" w:space="0" w:color="auto"/>
              <w:bottom w:val="single" w:sz="4" w:space="0" w:color="auto"/>
            </w:tcBorders>
          </w:tcPr>
          <w:p>
            <w:pPr>
              <w:pStyle w:val="TableNAm"/>
              <w:rPr>
                <w:b/>
                <w:bCs/>
              </w:rPr>
            </w:pPr>
            <w:r>
              <w:rPr>
                <w:b/>
                <w:bCs/>
              </w:rPr>
              <w:t>Item</w:t>
            </w:r>
          </w:p>
        </w:tc>
        <w:tc>
          <w:tcPr>
            <w:tcW w:w="5528" w:type="dxa"/>
            <w:tcBorders>
              <w:top w:val="single" w:sz="4" w:space="0" w:color="auto"/>
              <w:bottom w:val="single" w:sz="4" w:space="0" w:color="auto"/>
            </w:tcBorders>
          </w:tcPr>
          <w:p>
            <w:pPr>
              <w:pStyle w:val="TableNAm"/>
              <w:rPr>
                <w:b/>
                <w:bCs/>
              </w:rPr>
            </w:pPr>
            <w:r>
              <w:rPr>
                <w:b/>
                <w:bCs/>
              </w:rPr>
              <w:t>Government agency</w:t>
            </w:r>
          </w:p>
        </w:tc>
      </w:tr>
      <w:tr>
        <w:trPr>
          <w:cantSplit/>
        </w:trPr>
        <w:tc>
          <w:tcPr>
            <w:tcW w:w="851" w:type="dxa"/>
          </w:tcPr>
          <w:p>
            <w:pPr>
              <w:pStyle w:val="TableNAm"/>
            </w:pPr>
            <w:r>
              <w:t>1</w:t>
            </w:r>
          </w:p>
        </w:tc>
        <w:tc>
          <w:tcPr>
            <w:tcW w:w="5528" w:type="dxa"/>
          </w:tcPr>
          <w:p>
            <w:pPr>
              <w:pStyle w:val="TableNAm"/>
            </w:pPr>
            <w:r>
              <w:t xml:space="preserve">An agency as defined in the </w:t>
            </w:r>
            <w:r>
              <w:rPr>
                <w:i/>
                <w:iCs/>
              </w:rPr>
              <w:t>Public Sector Management Act 1994</w:t>
            </w:r>
            <w:r>
              <w:t xml:space="preserve"> section 3(1)</w:t>
            </w:r>
          </w:p>
        </w:tc>
      </w:tr>
      <w:tr>
        <w:trPr>
          <w:cantSplit/>
        </w:trPr>
        <w:tc>
          <w:tcPr>
            <w:tcW w:w="851" w:type="dxa"/>
          </w:tcPr>
          <w:p>
            <w:pPr>
              <w:pStyle w:val="TableNAm"/>
            </w:pPr>
            <w:r>
              <w:t>2</w:t>
            </w:r>
          </w:p>
        </w:tc>
        <w:tc>
          <w:tcPr>
            <w:tcW w:w="5528" w:type="dxa"/>
          </w:tcPr>
          <w:p>
            <w:pPr>
              <w:pStyle w:val="TableNAm"/>
            </w:pPr>
            <w:r>
              <w:t>The office of a Minister of the State</w:t>
            </w:r>
          </w:p>
        </w:tc>
      </w:tr>
      <w:tr>
        <w:trPr>
          <w:cantSplit/>
        </w:trPr>
        <w:tc>
          <w:tcPr>
            <w:tcW w:w="851" w:type="dxa"/>
          </w:tcPr>
          <w:p>
            <w:pPr>
              <w:pStyle w:val="TableNAm"/>
            </w:pPr>
            <w:r>
              <w:t>3</w:t>
            </w:r>
          </w:p>
        </w:tc>
        <w:tc>
          <w:tcPr>
            <w:tcW w:w="5528" w:type="dxa"/>
          </w:tcPr>
          <w:p>
            <w:pPr>
              <w:pStyle w:val="TableNAm"/>
              <w:rPr>
                <w:i/>
                <w:iCs/>
              </w:rPr>
            </w:pPr>
            <w:r>
              <w:t xml:space="preserve">The office of the Solicitor General appointed under the </w:t>
            </w:r>
            <w:r>
              <w:rPr>
                <w:i/>
                <w:iCs/>
              </w:rPr>
              <w:t>Solicitor</w:t>
            </w:r>
            <w:r>
              <w:rPr>
                <w:i/>
                <w:iCs/>
              </w:rPr>
              <w:noBreakHyphen/>
              <w:t>General Act 1969</w:t>
            </w:r>
          </w:p>
        </w:tc>
      </w:tr>
      <w:tr>
        <w:trPr>
          <w:cantSplit/>
        </w:trPr>
        <w:tc>
          <w:tcPr>
            <w:tcW w:w="851" w:type="dxa"/>
          </w:tcPr>
          <w:p>
            <w:pPr>
              <w:pStyle w:val="TableNAm"/>
            </w:pPr>
            <w:r>
              <w:t>4</w:t>
            </w:r>
          </w:p>
        </w:tc>
        <w:tc>
          <w:tcPr>
            <w:tcW w:w="5528" w:type="dxa"/>
          </w:tcPr>
          <w:p>
            <w:pPr>
              <w:pStyle w:val="TableNAm"/>
              <w:rPr>
                <w:i/>
                <w:iCs/>
              </w:rPr>
            </w:pPr>
            <w:r>
              <w:t xml:space="preserve">A department of the staff of Parliament referred to in the </w:t>
            </w:r>
            <w:r>
              <w:rPr>
                <w:i/>
                <w:iCs/>
              </w:rPr>
              <w:t>Parliamentary and Electorate Staff (Employment) Act 1992</w:t>
            </w:r>
          </w:p>
        </w:tc>
      </w:tr>
      <w:tr>
        <w:trPr>
          <w:cantSplit/>
        </w:trPr>
        <w:tc>
          <w:tcPr>
            <w:tcW w:w="6379" w:type="dxa"/>
            <w:gridSpan w:val="2"/>
          </w:tcPr>
          <w:p>
            <w:pPr>
              <w:pStyle w:val="TableNAm"/>
              <w:tabs>
                <w:tab w:val="clear" w:pos="567"/>
                <w:tab w:val="left" w:pos="864"/>
              </w:tabs>
              <w:rPr>
                <w:i/>
              </w:rPr>
            </w:pPr>
            <w:r>
              <w:rPr>
                <w:i/>
              </w:rPr>
              <w:t>[5</w:t>
            </w:r>
            <w:r>
              <w:rPr>
                <w:i/>
              </w:rPr>
              <w:tab/>
              <w:t>deleted]</w:t>
            </w:r>
          </w:p>
        </w:tc>
      </w:tr>
      <w:tr>
        <w:trPr>
          <w:cantSplit/>
        </w:trPr>
        <w:tc>
          <w:tcPr>
            <w:tcW w:w="851" w:type="dxa"/>
          </w:tcPr>
          <w:p>
            <w:pPr>
              <w:pStyle w:val="TableNAm"/>
            </w:pPr>
            <w:r>
              <w:t>6</w:t>
            </w:r>
          </w:p>
        </w:tc>
        <w:tc>
          <w:tcPr>
            <w:tcW w:w="5528" w:type="dxa"/>
          </w:tcPr>
          <w:p>
            <w:pPr>
              <w:pStyle w:val="TableNAm"/>
            </w:pPr>
            <w:r>
              <w:t xml:space="preserve">The office of the Commissioner for Children and Young People established under the </w:t>
            </w:r>
            <w:r>
              <w:rPr>
                <w:i/>
                <w:iCs/>
              </w:rPr>
              <w:t>Commissioner for Children and Young People Act 2006</w:t>
            </w:r>
          </w:p>
        </w:tc>
      </w:tr>
      <w:tr>
        <w:trPr>
          <w:cantSplit/>
        </w:trPr>
        <w:tc>
          <w:tcPr>
            <w:tcW w:w="851" w:type="dxa"/>
          </w:tcPr>
          <w:p>
            <w:pPr>
              <w:pStyle w:val="TableNAm"/>
            </w:pPr>
            <w:r>
              <w:t>7</w:t>
            </w:r>
          </w:p>
        </w:tc>
        <w:tc>
          <w:tcPr>
            <w:tcW w:w="5528" w:type="dxa"/>
          </w:tcPr>
          <w:p>
            <w:pPr>
              <w:pStyle w:val="TableNAm"/>
            </w:pPr>
            <w:r>
              <w:t xml:space="preserve">The office of the person designated as the Commissioner for the purposes of the </w:t>
            </w:r>
            <w:r>
              <w:rPr>
                <w:i/>
                <w:iCs/>
              </w:rPr>
              <w:t>Fair Trading Act 2010</w:t>
            </w:r>
          </w:p>
        </w:tc>
      </w:tr>
      <w:tr>
        <w:trPr>
          <w:cantSplit/>
        </w:trPr>
        <w:tc>
          <w:tcPr>
            <w:tcW w:w="851" w:type="dxa"/>
          </w:tcPr>
          <w:p>
            <w:pPr>
              <w:pStyle w:val="TableNAm"/>
            </w:pPr>
            <w:r>
              <w:t>8</w:t>
            </w:r>
          </w:p>
        </w:tc>
        <w:tc>
          <w:tcPr>
            <w:tcW w:w="5528" w:type="dxa"/>
          </w:tcPr>
          <w:p>
            <w:pPr>
              <w:pStyle w:val="TableNAm"/>
              <w:keepNext/>
              <w:keepLines/>
              <w:rPr>
                <w:i/>
                <w:iCs/>
              </w:rPr>
            </w:pPr>
            <w:r>
              <w:t xml:space="preserve">The office of the Corruption and Crime Commission established under the </w:t>
            </w:r>
            <w:r>
              <w:rPr>
                <w:i/>
              </w:rPr>
              <w:t>Corruption, Crime and Misconduct Act 2003</w:t>
            </w:r>
          </w:p>
        </w:tc>
      </w:tr>
      <w:tr>
        <w:trPr>
          <w:cantSplit/>
        </w:trPr>
        <w:tc>
          <w:tcPr>
            <w:tcW w:w="851" w:type="dxa"/>
          </w:tcPr>
          <w:p>
            <w:pPr>
              <w:pStyle w:val="TableNAm"/>
            </w:pPr>
            <w:r>
              <w:t>9</w:t>
            </w:r>
          </w:p>
        </w:tc>
        <w:tc>
          <w:tcPr>
            <w:tcW w:w="5528" w:type="dxa"/>
          </w:tcPr>
          <w:p>
            <w:pPr>
              <w:pStyle w:val="TableNAm"/>
            </w:pPr>
            <w:r>
              <w:t xml:space="preserve">The office of the Parliamentary Inspector of the Corruption and Crime Commission established under the </w:t>
            </w:r>
            <w:r>
              <w:rPr>
                <w:i/>
              </w:rPr>
              <w:t>Corruption, Crime and Misconduct Act 2003</w:t>
            </w:r>
          </w:p>
        </w:tc>
      </w:tr>
      <w:tr>
        <w:trPr>
          <w:cantSplit/>
        </w:trPr>
        <w:tc>
          <w:tcPr>
            <w:tcW w:w="851" w:type="dxa"/>
          </w:tcPr>
          <w:p>
            <w:pPr>
              <w:pStyle w:val="TableNAm"/>
            </w:pPr>
            <w:r>
              <w:t>10</w:t>
            </w:r>
          </w:p>
        </w:tc>
        <w:tc>
          <w:tcPr>
            <w:tcW w:w="5528" w:type="dxa"/>
          </w:tcPr>
          <w:p>
            <w:pPr>
              <w:pStyle w:val="TableNAm"/>
              <w:rPr>
                <w:i/>
                <w:iCs/>
              </w:rPr>
            </w:pPr>
            <w:r>
              <w:t xml:space="preserve">The office of the Commissioner for Equal </w:t>
            </w:r>
            <w:smartTag w:uri="urn:schemas-microsoft-com:office:smarttags" w:element="place">
              <w:r>
                <w:t>Opportunity</w:t>
              </w:r>
            </w:smartTag>
            <w:r>
              <w:t xml:space="preserve"> established under the </w:t>
            </w:r>
            <w:r>
              <w:rPr>
                <w:i/>
                <w:iCs/>
              </w:rPr>
              <w:t>Equal Opportunity Act 1984</w:t>
            </w:r>
          </w:p>
        </w:tc>
      </w:tr>
      <w:tr>
        <w:trPr>
          <w:cantSplit/>
        </w:trPr>
        <w:tc>
          <w:tcPr>
            <w:tcW w:w="851" w:type="dxa"/>
          </w:tcPr>
          <w:p>
            <w:pPr>
              <w:pStyle w:val="TableNAm"/>
            </w:pPr>
            <w:r>
              <w:t>11A</w:t>
            </w:r>
          </w:p>
        </w:tc>
        <w:tc>
          <w:tcPr>
            <w:tcW w:w="5528" w:type="dxa"/>
          </w:tcPr>
          <w:p>
            <w:pPr>
              <w:pStyle w:val="TableNAm"/>
            </w:pPr>
            <w:r>
              <w:t xml:space="preserve">The Health and Disability Services Complaints Office continued by the </w:t>
            </w:r>
            <w:r>
              <w:rPr>
                <w:i/>
              </w:rPr>
              <w:t>Health and Disability Services (Complaints) Act 1995</w:t>
            </w:r>
            <w:r>
              <w:t xml:space="preserve"> section 6(1)</w:t>
            </w:r>
          </w:p>
        </w:tc>
      </w:tr>
      <w:tr>
        <w:trPr>
          <w:cantSplit/>
        </w:trPr>
        <w:tc>
          <w:tcPr>
            <w:tcW w:w="851" w:type="dxa"/>
          </w:tcPr>
          <w:p>
            <w:pPr>
              <w:pStyle w:val="TableNAm"/>
            </w:pPr>
            <w:r>
              <w:t>11</w:t>
            </w:r>
          </w:p>
        </w:tc>
        <w:tc>
          <w:tcPr>
            <w:tcW w:w="5528" w:type="dxa"/>
          </w:tcPr>
          <w:p>
            <w:pPr>
              <w:pStyle w:val="TableNAm"/>
              <w:rPr>
                <w:i/>
                <w:iCs/>
              </w:rPr>
            </w:pPr>
            <w:r>
              <w:t xml:space="preserve">The office of the Information Commissioner established under the </w:t>
            </w:r>
            <w:r>
              <w:rPr>
                <w:i/>
                <w:iCs/>
              </w:rPr>
              <w:t>Freedom of Information Act 1992</w:t>
            </w:r>
          </w:p>
        </w:tc>
      </w:tr>
      <w:tr>
        <w:trPr>
          <w:cantSplit/>
        </w:trPr>
        <w:tc>
          <w:tcPr>
            <w:tcW w:w="851" w:type="dxa"/>
          </w:tcPr>
          <w:p>
            <w:pPr>
              <w:pStyle w:val="TableNAm"/>
            </w:pPr>
            <w:r>
              <w:t>12</w:t>
            </w:r>
          </w:p>
        </w:tc>
        <w:tc>
          <w:tcPr>
            <w:tcW w:w="5528" w:type="dxa"/>
          </w:tcPr>
          <w:p>
            <w:pPr>
              <w:pStyle w:val="TableNAm"/>
              <w:rPr>
                <w:i/>
                <w:iCs/>
              </w:rPr>
            </w:pPr>
            <w:r>
              <w:t xml:space="preserve">The office of the Public Advocate created under the </w:t>
            </w:r>
            <w:r>
              <w:rPr>
                <w:i/>
                <w:iCs/>
              </w:rPr>
              <w:t>Guardianship and Administration Act 1990</w:t>
            </w:r>
          </w:p>
        </w:tc>
      </w:tr>
      <w:tr>
        <w:trPr>
          <w:cantSplit/>
        </w:trPr>
        <w:tc>
          <w:tcPr>
            <w:tcW w:w="851" w:type="dxa"/>
          </w:tcPr>
          <w:p>
            <w:pPr>
              <w:pStyle w:val="TableNAm"/>
            </w:pPr>
            <w:r>
              <w:t>13</w:t>
            </w:r>
          </w:p>
        </w:tc>
        <w:tc>
          <w:tcPr>
            <w:tcW w:w="5528" w:type="dxa"/>
          </w:tcPr>
          <w:p>
            <w:pPr>
              <w:pStyle w:val="TableNAm"/>
              <w:rPr>
                <w:i/>
                <w:iCs/>
              </w:rPr>
            </w:pPr>
            <w:r>
              <w:t xml:space="preserve">The office of the Heritage Council of Western Australia established under the </w:t>
            </w:r>
            <w:r>
              <w:rPr>
                <w:i/>
                <w:iCs/>
              </w:rPr>
              <w:t xml:space="preserve">Heritage of </w:t>
            </w:r>
            <w:smartTag w:uri="urn:schemas-microsoft-com:office:smarttags" w:element="place">
              <w:smartTag w:uri="urn:schemas-microsoft-com:office:smarttags" w:element="State">
                <w:r>
                  <w:rPr>
                    <w:i/>
                    <w:iCs/>
                  </w:rPr>
                  <w:t>Western Australia</w:t>
                </w:r>
              </w:smartTag>
            </w:smartTag>
            <w:r>
              <w:rPr>
                <w:i/>
                <w:iCs/>
              </w:rPr>
              <w:t xml:space="preserve"> Act 1990</w:t>
            </w:r>
          </w:p>
        </w:tc>
      </w:tr>
      <w:tr>
        <w:trPr>
          <w:cantSplit/>
        </w:trPr>
        <w:tc>
          <w:tcPr>
            <w:tcW w:w="851" w:type="dxa"/>
          </w:tcPr>
          <w:p>
            <w:pPr>
              <w:pStyle w:val="TableNAm"/>
            </w:pPr>
            <w:r>
              <w:t>14</w:t>
            </w:r>
          </w:p>
        </w:tc>
        <w:tc>
          <w:tcPr>
            <w:tcW w:w="5528" w:type="dxa"/>
          </w:tcPr>
          <w:p>
            <w:pPr>
              <w:pStyle w:val="TableNAm"/>
              <w:rPr>
                <w:i/>
                <w:iCs/>
              </w:rPr>
            </w:pPr>
            <w:r>
              <w:t xml:space="preserve">The office of The Western Australian Industrial Relations Commission established under the </w:t>
            </w:r>
            <w:r>
              <w:rPr>
                <w:i/>
                <w:iCs/>
              </w:rPr>
              <w:t>Industrial Relations Act 1979</w:t>
            </w:r>
          </w:p>
        </w:tc>
      </w:tr>
      <w:tr>
        <w:trPr>
          <w:cantSplit/>
        </w:trPr>
        <w:tc>
          <w:tcPr>
            <w:tcW w:w="851" w:type="dxa"/>
          </w:tcPr>
          <w:p>
            <w:pPr>
              <w:pStyle w:val="TableNAm"/>
            </w:pPr>
            <w:r>
              <w:t>15</w:t>
            </w:r>
          </w:p>
        </w:tc>
        <w:tc>
          <w:tcPr>
            <w:tcW w:w="5528" w:type="dxa"/>
          </w:tcPr>
          <w:p>
            <w:pPr>
              <w:pStyle w:val="TableNAm"/>
              <w:rPr>
                <w:i/>
                <w:iCs/>
              </w:rPr>
            </w:pPr>
            <w:r>
              <w:t xml:space="preserve">The office of the Law Reform Commission of Western Australia established under the </w:t>
            </w:r>
            <w:r>
              <w:rPr>
                <w:i/>
                <w:iCs/>
              </w:rPr>
              <w:t>Law Reform Commission Act 1972</w:t>
            </w:r>
          </w:p>
        </w:tc>
      </w:tr>
      <w:tr>
        <w:trPr>
          <w:cantSplit/>
        </w:trPr>
        <w:tc>
          <w:tcPr>
            <w:tcW w:w="6379" w:type="dxa"/>
            <w:gridSpan w:val="2"/>
          </w:tcPr>
          <w:p>
            <w:pPr>
              <w:pStyle w:val="TableNAm"/>
              <w:tabs>
                <w:tab w:val="clear" w:pos="567"/>
                <w:tab w:val="left" w:pos="864"/>
              </w:tabs>
              <w:rPr>
                <w:i/>
                <w:iCs/>
              </w:rPr>
            </w:pPr>
            <w:r>
              <w:rPr>
                <w:i/>
              </w:rPr>
              <w:t xml:space="preserve">[16 </w:t>
            </w:r>
            <w:r>
              <w:rPr>
                <w:i/>
              </w:rPr>
              <w:tab/>
              <w:t>deleted]</w:t>
            </w:r>
          </w:p>
        </w:tc>
      </w:tr>
      <w:tr>
        <w:trPr>
          <w:cantSplit/>
        </w:trPr>
        <w:tc>
          <w:tcPr>
            <w:tcW w:w="851" w:type="dxa"/>
          </w:tcPr>
          <w:p>
            <w:pPr>
              <w:pStyle w:val="TableNAm"/>
            </w:pPr>
            <w:r>
              <w:t>17</w:t>
            </w:r>
          </w:p>
        </w:tc>
        <w:tc>
          <w:tcPr>
            <w:tcW w:w="5528" w:type="dxa"/>
          </w:tcPr>
          <w:p>
            <w:pPr>
              <w:pStyle w:val="TableNAm"/>
              <w:rPr>
                <w:i/>
                <w:iCs/>
              </w:rPr>
            </w:pPr>
            <w:r>
              <w:t xml:space="preserve">The office of the Mental Health Tribunal established by the </w:t>
            </w:r>
            <w:r>
              <w:rPr>
                <w:i/>
              </w:rPr>
              <w:t>Mental Health Act 2014</w:t>
            </w:r>
            <w:r>
              <w:t xml:space="preserve"> section 380</w:t>
            </w:r>
          </w:p>
        </w:tc>
      </w:tr>
      <w:tr>
        <w:trPr>
          <w:cantSplit/>
        </w:trPr>
        <w:tc>
          <w:tcPr>
            <w:tcW w:w="851" w:type="dxa"/>
          </w:tcPr>
          <w:p>
            <w:pPr>
              <w:pStyle w:val="TableNAm"/>
            </w:pPr>
            <w:r>
              <w:t>18</w:t>
            </w:r>
          </w:p>
        </w:tc>
        <w:tc>
          <w:tcPr>
            <w:tcW w:w="5528" w:type="dxa"/>
          </w:tcPr>
          <w:p>
            <w:pPr>
              <w:pStyle w:val="TableNAm"/>
              <w:rPr>
                <w:i/>
                <w:iCs/>
              </w:rPr>
            </w:pPr>
            <w:r>
              <w:t xml:space="preserve">The office of the Mentally Impaired Accused Review Board established under the </w:t>
            </w:r>
            <w:r>
              <w:rPr>
                <w:i/>
              </w:rPr>
              <w:t>Criminal Law (Mentally Impaired Accused) Act 1996</w:t>
            </w:r>
            <w:r>
              <w:t xml:space="preserve"> section 41</w:t>
            </w:r>
          </w:p>
        </w:tc>
      </w:tr>
      <w:tr>
        <w:trPr>
          <w:cantSplit/>
        </w:trPr>
        <w:tc>
          <w:tcPr>
            <w:tcW w:w="851" w:type="dxa"/>
          </w:tcPr>
          <w:p>
            <w:pPr>
              <w:pStyle w:val="TableNAm"/>
            </w:pPr>
            <w:r>
              <w:t>19</w:t>
            </w:r>
          </w:p>
        </w:tc>
        <w:tc>
          <w:tcPr>
            <w:tcW w:w="5528" w:type="dxa"/>
          </w:tcPr>
          <w:p>
            <w:pPr>
              <w:pStyle w:val="TableNAm"/>
              <w:rPr>
                <w:i/>
                <w:iCs/>
              </w:rPr>
            </w:pPr>
            <w:r>
              <w:t xml:space="preserve">The office of the Commission for Occupational Safety and Health established under the </w:t>
            </w:r>
            <w:r>
              <w:rPr>
                <w:i/>
                <w:iCs/>
              </w:rPr>
              <w:t>Occupational Safety and Health Act 1984</w:t>
            </w:r>
          </w:p>
        </w:tc>
      </w:tr>
      <w:tr>
        <w:trPr>
          <w:cantSplit/>
        </w:trPr>
        <w:tc>
          <w:tcPr>
            <w:tcW w:w="851" w:type="dxa"/>
          </w:tcPr>
          <w:p>
            <w:pPr>
              <w:pStyle w:val="TableNAm"/>
            </w:pPr>
            <w:r>
              <w:t>20</w:t>
            </w:r>
          </w:p>
        </w:tc>
        <w:tc>
          <w:tcPr>
            <w:tcW w:w="5528" w:type="dxa"/>
          </w:tcPr>
          <w:p>
            <w:pPr>
              <w:pStyle w:val="TableNAm"/>
              <w:rPr>
                <w:i/>
                <w:iCs/>
              </w:rPr>
            </w:pPr>
            <w:r>
              <w:t xml:space="preserve">The office of the Parliamentary Commissioner for Administrative Investigations established under the </w:t>
            </w:r>
            <w:r>
              <w:rPr>
                <w:i/>
                <w:iCs/>
              </w:rPr>
              <w:t>Parliamentary Commissioner Act 1971</w:t>
            </w:r>
          </w:p>
        </w:tc>
      </w:tr>
      <w:tr>
        <w:trPr>
          <w:cantSplit/>
        </w:trPr>
        <w:tc>
          <w:tcPr>
            <w:tcW w:w="851" w:type="dxa"/>
          </w:tcPr>
          <w:p>
            <w:pPr>
              <w:pStyle w:val="TableNAm"/>
            </w:pPr>
            <w:r>
              <w:t>21</w:t>
            </w:r>
          </w:p>
        </w:tc>
        <w:tc>
          <w:tcPr>
            <w:tcW w:w="5528" w:type="dxa"/>
          </w:tcPr>
          <w:p>
            <w:pPr>
              <w:pStyle w:val="TableNAm"/>
              <w:rPr>
                <w:i/>
                <w:iCs/>
              </w:rPr>
            </w:pPr>
            <w:r>
              <w:t xml:space="preserve">The Police Force of </w:t>
            </w:r>
            <w:smartTag w:uri="urn:schemas-microsoft-com:office:smarttags" w:element="place">
              <w:smartTag w:uri="urn:schemas-microsoft-com:office:smarttags" w:element="State">
                <w:r>
                  <w:t>Western Australia</w:t>
                </w:r>
              </w:smartTag>
            </w:smartTag>
          </w:p>
        </w:tc>
      </w:tr>
      <w:tr>
        <w:trPr>
          <w:cantSplit/>
        </w:trPr>
        <w:tc>
          <w:tcPr>
            <w:tcW w:w="851" w:type="dxa"/>
          </w:tcPr>
          <w:p>
            <w:pPr>
              <w:pStyle w:val="TableNAm"/>
            </w:pPr>
            <w:r>
              <w:t>22</w:t>
            </w:r>
          </w:p>
        </w:tc>
        <w:tc>
          <w:tcPr>
            <w:tcW w:w="5528" w:type="dxa"/>
          </w:tcPr>
          <w:p>
            <w:pPr>
              <w:pStyle w:val="TableNAm"/>
              <w:rPr>
                <w:i/>
                <w:iCs/>
              </w:rPr>
            </w:pPr>
            <w:r>
              <w:t xml:space="preserve">The office of the Prisoners Review Board established under the </w:t>
            </w:r>
            <w:r>
              <w:rPr>
                <w:i/>
                <w:iCs/>
              </w:rPr>
              <w:t>Sentence Administration Act 2003</w:t>
            </w:r>
          </w:p>
        </w:tc>
      </w:tr>
      <w:tr>
        <w:trPr>
          <w:cantSplit/>
        </w:trPr>
        <w:tc>
          <w:tcPr>
            <w:tcW w:w="6379" w:type="dxa"/>
            <w:gridSpan w:val="2"/>
          </w:tcPr>
          <w:p>
            <w:pPr>
              <w:pStyle w:val="TableNAm"/>
              <w:tabs>
                <w:tab w:val="clear" w:pos="567"/>
                <w:tab w:val="left" w:pos="864"/>
              </w:tabs>
              <w:rPr>
                <w:i/>
                <w:iCs/>
              </w:rPr>
            </w:pPr>
            <w:r>
              <w:rPr>
                <w:i/>
              </w:rPr>
              <w:t xml:space="preserve">[23 </w:t>
            </w:r>
            <w:r>
              <w:rPr>
                <w:i/>
              </w:rPr>
              <w:tab/>
              <w:t>deleted]</w:t>
            </w:r>
          </w:p>
        </w:tc>
      </w:tr>
      <w:tr>
        <w:trPr>
          <w:cantSplit/>
        </w:trPr>
        <w:tc>
          <w:tcPr>
            <w:tcW w:w="851" w:type="dxa"/>
          </w:tcPr>
          <w:p>
            <w:pPr>
              <w:pStyle w:val="TableNAm"/>
            </w:pPr>
            <w:r>
              <w:t>24</w:t>
            </w:r>
          </w:p>
        </w:tc>
        <w:tc>
          <w:tcPr>
            <w:tcW w:w="5528" w:type="dxa"/>
          </w:tcPr>
          <w:p>
            <w:pPr>
              <w:pStyle w:val="TableNAm"/>
              <w:rPr>
                <w:i/>
                <w:iCs/>
              </w:rPr>
            </w:pPr>
            <w:r>
              <w:t xml:space="preserve">The Public Trust Office established under the </w:t>
            </w:r>
            <w:r>
              <w:rPr>
                <w:i/>
                <w:iCs/>
              </w:rPr>
              <w:t>Public Trustee Act 1941</w:t>
            </w:r>
          </w:p>
        </w:tc>
      </w:tr>
      <w:tr>
        <w:trPr>
          <w:cantSplit/>
        </w:trPr>
        <w:tc>
          <w:tcPr>
            <w:tcW w:w="6379" w:type="dxa"/>
            <w:gridSpan w:val="2"/>
          </w:tcPr>
          <w:p>
            <w:pPr>
              <w:pStyle w:val="TableNAm"/>
              <w:tabs>
                <w:tab w:val="clear" w:pos="567"/>
                <w:tab w:val="left" w:pos="864"/>
              </w:tabs>
              <w:rPr>
                <w:i/>
                <w:iCs/>
              </w:rPr>
            </w:pPr>
            <w:r>
              <w:rPr>
                <w:i/>
              </w:rPr>
              <w:t xml:space="preserve">[26 </w:t>
            </w:r>
            <w:r>
              <w:rPr>
                <w:i/>
              </w:rPr>
              <w:tab/>
              <w:t>deleted]</w:t>
            </w:r>
          </w:p>
        </w:tc>
      </w:tr>
      <w:tr>
        <w:trPr>
          <w:cantSplit/>
        </w:trPr>
        <w:tc>
          <w:tcPr>
            <w:tcW w:w="851" w:type="dxa"/>
            <w:tcBorders>
              <w:bottom w:val="single" w:sz="4" w:space="0" w:color="auto"/>
            </w:tcBorders>
          </w:tcPr>
          <w:p>
            <w:pPr>
              <w:pStyle w:val="TableNAm"/>
            </w:pPr>
            <w:r>
              <w:t>27</w:t>
            </w:r>
          </w:p>
        </w:tc>
        <w:tc>
          <w:tcPr>
            <w:tcW w:w="5528" w:type="dxa"/>
            <w:tcBorders>
              <w:bottom w:val="single" w:sz="4" w:space="0" w:color="auto"/>
            </w:tcBorders>
          </w:tcPr>
          <w:p>
            <w:pPr>
              <w:pStyle w:val="TableNAm"/>
              <w:rPr>
                <w:iCs/>
              </w:rPr>
            </w:pPr>
            <w:r>
              <w:t xml:space="preserve">Water Corporation established by the </w:t>
            </w:r>
            <w:r>
              <w:rPr>
                <w:i/>
                <w:iCs/>
              </w:rPr>
              <w:t>Water Corporations Act 1995</w:t>
            </w:r>
            <w:r>
              <w:rPr>
                <w:iCs/>
                <w:vertAlign w:val="superscript"/>
              </w:rPr>
              <w:t> 2</w:t>
            </w:r>
          </w:p>
        </w:tc>
      </w:tr>
    </w:tbl>
    <w:p>
      <w:pPr>
        <w:pStyle w:val="Footnotesection"/>
      </w:pPr>
      <w:r>
        <w:tab/>
        <w:t xml:space="preserve">[Regulation 11 amended in Gazette </w:t>
      </w:r>
      <w:r>
        <w:rPr>
          <w:szCs w:val="24"/>
        </w:rPr>
        <w:t>11 Feb 2011 p. 504; 3 Jun 2011 p. 1982; 22 Jul 2011 p. 3019; 6 Mar 2012 p. 894; 1 May 2012 p. 1805; 26 Jun 2015 p. 2271; 29 Dec 2015 p. 5178.]</w:t>
      </w:r>
    </w:p>
    <w:p>
      <w:pPr>
        <w:pStyle w:val="Heading3"/>
        <w:pageBreakBefore/>
        <w:spacing w:before="0"/>
      </w:pPr>
      <w:bookmarkStart w:id="36" w:name="_Toc466893712"/>
      <w:bookmarkStart w:id="37" w:name="_Toc467498364"/>
      <w:bookmarkStart w:id="38" w:name="_Toc476040493"/>
      <w:bookmarkStart w:id="39" w:name="_Toc476040977"/>
      <w:r>
        <w:rPr>
          <w:rStyle w:val="CharDivNo"/>
        </w:rPr>
        <w:t>Division 2</w:t>
      </w:r>
      <w:r>
        <w:t> — </w:t>
      </w:r>
      <w:r>
        <w:rPr>
          <w:rStyle w:val="CharDivText"/>
        </w:rPr>
        <w:t>Continuing professional development of WA government lawyers</w:t>
      </w:r>
      <w:bookmarkEnd w:id="36"/>
      <w:bookmarkEnd w:id="37"/>
      <w:bookmarkEnd w:id="38"/>
      <w:bookmarkEnd w:id="39"/>
    </w:p>
    <w:p>
      <w:pPr>
        <w:pStyle w:val="Heading5"/>
        <w:spacing w:before="180"/>
      </w:pPr>
      <w:bookmarkStart w:id="40" w:name="_Toc476040978"/>
      <w:r>
        <w:rPr>
          <w:rStyle w:val="CharSectno"/>
        </w:rPr>
        <w:t>12</w:t>
      </w:r>
      <w:r>
        <w:t>.</w:t>
      </w:r>
      <w:r>
        <w:tab/>
        <w:t>Terms used</w:t>
      </w:r>
      <w:bookmarkEnd w:id="40"/>
    </w:p>
    <w:p>
      <w:pPr>
        <w:pStyle w:val="Subsection"/>
      </w:pPr>
      <w:r>
        <w:tab/>
        <w:t>(1)</w:t>
      </w:r>
      <w:r>
        <w:tab/>
        <w:t xml:space="preserve">In this Division — </w:t>
      </w:r>
    </w:p>
    <w:p>
      <w:pPr>
        <w:pStyle w:val="Defstart"/>
      </w:pPr>
      <w:r>
        <w:tab/>
      </w:r>
      <w:r>
        <w:rPr>
          <w:rStyle w:val="CharDefText"/>
        </w:rPr>
        <w:t>approved CPD arrangements</w:t>
      </w:r>
      <w:r>
        <w:t xml:space="preserve"> means arrangements for continuing professional development of WA government lawyers that are approved under regulation 13;</w:t>
      </w:r>
    </w:p>
    <w:p>
      <w:pPr>
        <w:pStyle w:val="Defstart"/>
      </w:pPr>
      <w:r>
        <w:tab/>
      </w:r>
      <w:r>
        <w:rPr>
          <w:rStyle w:val="CharDefText"/>
        </w:rPr>
        <w:t>CPD rules</w:t>
      </w:r>
      <w:r>
        <w:t xml:space="preserve"> means the rules made by the Board in relation to continuing professional development of local legal practitioners;</w:t>
      </w:r>
    </w:p>
    <w:p>
      <w:pPr>
        <w:pStyle w:val="Defstart"/>
      </w:pPr>
      <w:r>
        <w:tab/>
      </w:r>
      <w:r>
        <w:rPr>
          <w:rStyle w:val="CharDefText"/>
        </w:rPr>
        <w:t>employing authority</w:t>
      </w:r>
      <w:r>
        <w:t xml:space="preserve"> has the meaning given in section 36(1) of the Act;</w:t>
      </w:r>
    </w:p>
    <w:p>
      <w:pPr>
        <w:pStyle w:val="Defstart"/>
      </w:pPr>
      <w:r>
        <w:tab/>
      </w:r>
      <w:r>
        <w:rPr>
          <w:rStyle w:val="CharDefText"/>
        </w:rPr>
        <w:t>government agency</w:t>
      </w:r>
      <w:r>
        <w:t xml:space="preserve"> has the meaning given in section 36(1) of the Act;</w:t>
      </w:r>
    </w:p>
    <w:p>
      <w:pPr>
        <w:pStyle w:val="Defstart"/>
      </w:pPr>
      <w:r>
        <w:tab/>
      </w:r>
      <w:r>
        <w:rPr>
          <w:rStyle w:val="CharDefText"/>
        </w:rPr>
        <w:t>QA provider</w:t>
      </w:r>
      <w:r>
        <w:t xml:space="preserve"> means an entity approved under the CPD rules as a quality assured provider of professional development activities;</w:t>
      </w:r>
    </w:p>
    <w:p>
      <w:pPr>
        <w:pStyle w:val="Defstart"/>
      </w:pPr>
      <w:r>
        <w:tab/>
      </w:r>
      <w:r>
        <w:rPr>
          <w:rStyle w:val="CharDefText"/>
        </w:rPr>
        <w:t>WA government lawyer</w:t>
      </w:r>
      <w:r>
        <w:t xml:space="preserve"> has the meaning given in section 36(1) of the Act.</w:t>
      </w:r>
    </w:p>
    <w:p>
      <w:pPr>
        <w:pStyle w:val="Subsection"/>
      </w:pPr>
      <w:r>
        <w:tab/>
        <w:t>(2)</w:t>
      </w:r>
      <w:r>
        <w:tab/>
        <w:t>In this Division, a reference to a WA government lawyer includes a WA government lawyer who holds a current local practising certificate.</w:t>
      </w:r>
    </w:p>
    <w:p>
      <w:pPr>
        <w:pStyle w:val="Footnotesection"/>
      </w:pPr>
      <w:r>
        <w:tab/>
        <w:t>[Regulation 12 amended in Gazette 11 Apr 2014 p. 1017.]</w:t>
      </w:r>
    </w:p>
    <w:p>
      <w:pPr>
        <w:pStyle w:val="Heading5"/>
        <w:spacing w:before="180"/>
      </w:pPr>
      <w:bookmarkStart w:id="41" w:name="_Toc476040979"/>
      <w:r>
        <w:rPr>
          <w:rStyle w:val="CharSectno"/>
        </w:rPr>
        <w:t>13</w:t>
      </w:r>
      <w:r>
        <w:t>.</w:t>
      </w:r>
      <w:r>
        <w:tab/>
        <w:t>CPD arrangements, approval of etc.</w:t>
      </w:r>
      <w:bookmarkEnd w:id="41"/>
    </w:p>
    <w:p>
      <w:pPr>
        <w:pStyle w:val="Subsection"/>
      </w:pPr>
      <w:r>
        <w:tab/>
        <w:t>(1)</w:t>
      </w:r>
      <w:r>
        <w:tab/>
        <w:t xml:space="preserve">An employing authority of one or more WA government lawyers must — </w:t>
      </w:r>
    </w:p>
    <w:p>
      <w:pPr>
        <w:pStyle w:val="Indenta"/>
      </w:pPr>
      <w:r>
        <w:tab/>
        <w:t>(a)</w:t>
      </w:r>
      <w:r>
        <w:tab/>
        <w:t>make arrangements for the continuing professional development of the lawyers; and</w:t>
      </w:r>
    </w:p>
    <w:p>
      <w:pPr>
        <w:pStyle w:val="Indenta"/>
      </w:pPr>
      <w:r>
        <w:tab/>
        <w:t>(b)</w:t>
      </w:r>
      <w:r>
        <w:tab/>
        <w:t>submit to the Attorney General a description of the arrangements.</w:t>
      </w:r>
    </w:p>
    <w:p>
      <w:pPr>
        <w:pStyle w:val="Subsection"/>
        <w:spacing w:before="120"/>
      </w:pPr>
      <w:r>
        <w:tab/>
        <w:t>(2)</w:t>
      </w:r>
      <w:r>
        <w:tab/>
        <w:t xml:space="preserve">An employing authority must comply with subregulation (1) — </w:t>
      </w:r>
    </w:p>
    <w:p>
      <w:pPr>
        <w:pStyle w:val="Indenta"/>
      </w:pPr>
      <w:r>
        <w:tab/>
        <w:t>(a)</w:t>
      </w:r>
      <w:r>
        <w:tab/>
        <w:t>in relation to a WA government lawyer employed before 1 January 2010 — not later than that date; or</w:t>
      </w:r>
    </w:p>
    <w:p>
      <w:pPr>
        <w:pStyle w:val="Indenta"/>
      </w:pPr>
      <w:r>
        <w:tab/>
        <w:t>(b)</w:t>
      </w:r>
      <w:r>
        <w:tab/>
        <w:t>otherwise — as soon as practicable after becoming the employing authority of a WA government lawyer.</w:t>
      </w:r>
    </w:p>
    <w:p>
      <w:pPr>
        <w:pStyle w:val="Subsection"/>
      </w:pPr>
      <w:r>
        <w:tab/>
        <w:t>(3)</w:t>
      </w:r>
      <w:r>
        <w:tab/>
        <w:t>The Attorney General may approve or refuse to approve the arrangements.</w:t>
      </w:r>
    </w:p>
    <w:p>
      <w:pPr>
        <w:pStyle w:val="Subsection"/>
      </w:pPr>
      <w:r>
        <w:tab/>
        <w:t>(4)</w:t>
      </w:r>
      <w:r>
        <w:tab/>
        <w:t>The approval of the Attorney General may specify the duration of the approval.</w:t>
      </w:r>
    </w:p>
    <w:p>
      <w:pPr>
        <w:pStyle w:val="Subsection"/>
      </w:pPr>
      <w:r>
        <w:tab/>
        <w:t>(5)</w:t>
      </w:r>
      <w:r>
        <w:tab/>
        <w:t>If the arrangements are refused approval, the employing authority must make other arrangements and another submission within such time as the Attorney General directs.</w:t>
      </w:r>
    </w:p>
    <w:p>
      <w:pPr>
        <w:pStyle w:val="Heading5"/>
      </w:pPr>
      <w:bookmarkStart w:id="42" w:name="_Toc476040980"/>
      <w:r>
        <w:rPr>
          <w:rStyle w:val="CharSectno"/>
        </w:rPr>
        <w:t>14</w:t>
      </w:r>
      <w:r>
        <w:t>.</w:t>
      </w:r>
      <w:r>
        <w:tab/>
        <w:t>CPD arrangements, review of</w:t>
      </w:r>
      <w:bookmarkEnd w:id="42"/>
    </w:p>
    <w:p>
      <w:pPr>
        <w:pStyle w:val="Subsection"/>
      </w:pPr>
      <w:r>
        <w:tab/>
        <w:t>(1)</w:t>
      </w:r>
      <w:r>
        <w:tab/>
        <w:t>An employing authority may review its approved CPD arrangements at any time and make a further submission for approval under regulation 13.</w:t>
      </w:r>
    </w:p>
    <w:p>
      <w:pPr>
        <w:pStyle w:val="Subsection"/>
      </w:pPr>
      <w:r>
        <w:tab/>
        <w:t>(2)</w:t>
      </w:r>
      <w:r>
        <w:tab/>
        <w:t xml:space="preserve">An employing authority that has approved CPD arrangements must, in accordance with subregulation (3) — </w:t>
      </w:r>
    </w:p>
    <w:p>
      <w:pPr>
        <w:pStyle w:val="Indenta"/>
      </w:pPr>
      <w:r>
        <w:tab/>
        <w:t>(a)</w:t>
      </w:r>
      <w:r>
        <w:tab/>
        <w:t>review the arrangements; and</w:t>
      </w:r>
    </w:p>
    <w:p>
      <w:pPr>
        <w:pStyle w:val="Indenta"/>
      </w:pPr>
      <w:r>
        <w:tab/>
        <w:t>(b)</w:t>
      </w:r>
      <w:r>
        <w:tab/>
        <w:t>make a further submission for approval under regulation 13.</w:t>
      </w:r>
    </w:p>
    <w:p>
      <w:pPr>
        <w:pStyle w:val="Subsection"/>
        <w:keepNext/>
      </w:pPr>
      <w:r>
        <w:tab/>
        <w:t>(3)</w:t>
      </w:r>
      <w:r>
        <w:tab/>
        <w:t xml:space="preserve">The employing authority must act under subregulation (2) — </w:t>
      </w:r>
    </w:p>
    <w:p>
      <w:pPr>
        <w:pStyle w:val="Indenta"/>
      </w:pPr>
      <w:r>
        <w:tab/>
        <w:t>(a)</w:t>
      </w:r>
      <w:r>
        <w:tab/>
        <w:t>if the Attorney General has specified the duration of the approval of the arrangements — before the approval ceases to have effect; or</w:t>
      </w:r>
    </w:p>
    <w:p>
      <w:pPr>
        <w:pStyle w:val="Indenta"/>
      </w:pPr>
      <w:r>
        <w:tab/>
        <w:t>(b)</w:t>
      </w:r>
      <w:r>
        <w:tab/>
        <w:t>otherwise — not later than 2 years after the Attorney General last approved the arrangements.</w:t>
      </w:r>
    </w:p>
    <w:p>
      <w:pPr>
        <w:pStyle w:val="Subsection"/>
      </w:pPr>
      <w:r>
        <w:tab/>
        <w:t>(4)</w:t>
      </w:r>
      <w:r>
        <w:tab/>
        <w:t xml:space="preserve">The employing authority of one or more prescribed WA government lawyers does not have to comply with subregulations (2) and (3) if — </w:t>
      </w:r>
    </w:p>
    <w:p>
      <w:pPr>
        <w:pStyle w:val="Indenta"/>
      </w:pPr>
      <w:r>
        <w:tab/>
        <w:t>(a)</w:t>
      </w:r>
      <w:r>
        <w:tab/>
        <w:t xml:space="preserve">the Attorney General has (whether before or after the commencement of the </w:t>
      </w:r>
      <w:r>
        <w:rPr>
          <w:i/>
        </w:rPr>
        <w:t>Legal Profession Amendment Regulations 2014</w:t>
      </w:r>
      <w:r>
        <w:rPr>
          <w:vertAlign w:val="superscript"/>
        </w:rPr>
        <w:t> 1</w:t>
      </w:r>
      <w:r>
        <w:t>) previously approved under regulation 13 arrangements for the continuing professional development of the lawyers; and</w:t>
      </w:r>
    </w:p>
    <w:p>
      <w:pPr>
        <w:pStyle w:val="Indenta"/>
      </w:pPr>
      <w:r>
        <w:tab/>
        <w:t>(b)</w:t>
      </w:r>
      <w:r>
        <w:tab/>
        <w:t xml:space="preserve">the arrangements require the lawyers — </w:t>
      </w:r>
    </w:p>
    <w:p>
      <w:pPr>
        <w:pStyle w:val="Indenti"/>
      </w:pPr>
      <w:r>
        <w:tab/>
        <w:t>(i)</w:t>
      </w:r>
      <w:r>
        <w:tab/>
        <w:t>to complete professional development activities provided by QA providers, in accordance with substantially the same requirements that apply to local legal practitioners under the CPD rules; or</w:t>
      </w:r>
    </w:p>
    <w:p>
      <w:pPr>
        <w:pStyle w:val="Indenti"/>
      </w:pPr>
      <w:r>
        <w:tab/>
        <w:t>(ii)</w:t>
      </w:r>
      <w:r>
        <w:tab/>
        <w:t>to complete professional development activities provided by an officer who is to be taken under regulation 15(4) to be a QA provider; or</w:t>
      </w:r>
    </w:p>
    <w:p>
      <w:pPr>
        <w:pStyle w:val="Indenti"/>
      </w:pPr>
      <w:r>
        <w:tab/>
        <w:t>(iii)</w:t>
      </w:r>
      <w:r>
        <w:tab/>
        <w:t>to complete a combination of the professional development activities referred to in subparagraphs (i) and (ii);</w:t>
      </w:r>
    </w:p>
    <w:p>
      <w:pPr>
        <w:pStyle w:val="Indenta"/>
      </w:pPr>
      <w:r>
        <w:tab/>
      </w:r>
      <w:r>
        <w:tab/>
        <w:t>and</w:t>
      </w:r>
    </w:p>
    <w:p>
      <w:pPr>
        <w:pStyle w:val="Indenta"/>
      </w:pPr>
      <w:r>
        <w:tab/>
        <w:t>(c)</w:t>
      </w:r>
      <w:r>
        <w:tab/>
        <w:t>the arrangements do not provide for the lawyers to undertake any professional development activities other than those activities referred to in paragraph (b).</w:t>
      </w:r>
    </w:p>
    <w:p>
      <w:pPr>
        <w:pStyle w:val="Subsection"/>
      </w:pPr>
      <w:r>
        <w:tab/>
        <w:t>(5)</w:t>
      </w:r>
      <w:r>
        <w:tab/>
        <w:t xml:space="preserve">In subregulation (4) — </w:t>
      </w:r>
    </w:p>
    <w:p>
      <w:pPr>
        <w:pStyle w:val="Defstart"/>
      </w:pPr>
      <w:r>
        <w:tab/>
      </w:r>
      <w:r>
        <w:rPr>
          <w:rStyle w:val="CharDefText"/>
        </w:rPr>
        <w:t>prescribed WA government lawyer</w:t>
      </w:r>
      <w:r>
        <w:t xml:space="preserve"> means a WA government lawyer other than a lawyer — </w:t>
      </w:r>
    </w:p>
    <w:p>
      <w:pPr>
        <w:pStyle w:val="Defpara"/>
      </w:pPr>
      <w:r>
        <w:tab/>
        <w:t>(a)</w:t>
      </w:r>
      <w:r>
        <w:tab/>
        <w:t xml:space="preserve">referred to in the definition of </w:t>
      </w:r>
      <w:r>
        <w:rPr>
          <w:b/>
          <w:i/>
        </w:rPr>
        <w:t xml:space="preserve">WA government lawyer </w:t>
      </w:r>
      <w:r>
        <w:t>paragraph (a), (b) or (c) in section 36(1) of the Act; or</w:t>
      </w:r>
    </w:p>
    <w:p>
      <w:pPr>
        <w:pStyle w:val="Defpara"/>
      </w:pPr>
      <w:r>
        <w:tab/>
        <w:t>(b)</w:t>
      </w:r>
      <w:r>
        <w:tab/>
        <w:t>employed in the government agency referred to in item 3 of the Table to regulation 11.</w:t>
      </w:r>
    </w:p>
    <w:p>
      <w:pPr>
        <w:pStyle w:val="Footnotesection"/>
      </w:pPr>
      <w:r>
        <w:tab/>
        <w:t>[Regulation 14 amended in Gazette 11 Apr 2014 p. 1018; 19 Jul 2016 p. 2959.]</w:t>
      </w:r>
    </w:p>
    <w:p>
      <w:pPr>
        <w:pStyle w:val="Heading5"/>
      </w:pPr>
      <w:bookmarkStart w:id="43" w:name="_Toc476040981"/>
      <w:r>
        <w:rPr>
          <w:rStyle w:val="CharSectno"/>
        </w:rPr>
        <w:t>15</w:t>
      </w:r>
      <w:r>
        <w:t>.</w:t>
      </w:r>
      <w:r>
        <w:tab/>
        <w:t>Approved CPD arrangements, effect of participation in</w:t>
      </w:r>
      <w:bookmarkEnd w:id="43"/>
    </w:p>
    <w:p>
      <w:pPr>
        <w:pStyle w:val="Subsection"/>
      </w:pPr>
      <w:r>
        <w:tab/>
        <w:t>(1)</w:t>
      </w:r>
      <w:r>
        <w:tab/>
        <w:t>A WA government lawyer is not required to comply with continuing professional development or continuing legal education requirements for local legal practitioners except as provided in this Part.</w:t>
      </w:r>
    </w:p>
    <w:p>
      <w:pPr>
        <w:pStyle w:val="Subsection"/>
      </w:pPr>
      <w:r>
        <w:tab/>
        <w:t>(2)</w:t>
      </w:r>
      <w:r>
        <w:tab/>
        <w:t>Participation by a WA government lawyer in an activity under an approved CPD arrangement in accordance with the arrangement is to be taken to be an approved CPD activity for the purposes of the CPD rules.</w:t>
      </w:r>
    </w:p>
    <w:p>
      <w:pPr>
        <w:pStyle w:val="Subsection"/>
      </w:pPr>
      <w:r>
        <w:tab/>
        <w:t>(3)</w:t>
      </w:r>
      <w:r>
        <w:tab/>
        <w:t>Participation by a WA government lawyer in an approved CPD arrangement in accordance with the arrangement is to be taken to be compliance with any continuing professional development or continuing legal education requirements imposed under the Act.</w:t>
      </w:r>
    </w:p>
    <w:p>
      <w:pPr>
        <w:pStyle w:val="Subsection"/>
      </w:pPr>
      <w:r>
        <w:tab/>
        <w:t>(4)</w:t>
      </w:r>
      <w:r>
        <w:tab/>
        <w:t>The State Solicitor, Parliamentary Counsel, Director of Public Prosecutions and Solicitor</w:t>
      </w:r>
      <w:r>
        <w:noBreakHyphen/>
        <w:t>General are each to be taken to be a QA provider when providing continuing professional development to a WA government lawyer under an approved CPD arrangement, whether the lawyer is employed in the office of any of those officers or in a government agency referred to in regulation 11.</w:t>
      </w:r>
    </w:p>
    <w:p>
      <w:pPr>
        <w:pStyle w:val="Footnotesection"/>
      </w:pPr>
      <w:r>
        <w:tab/>
        <w:t>[Regulation 15 amended in Gazette 11 Apr 2014 p. 1018-19.]</w:t>
      </w:r>
    </w:p>
    <w:p>
      <w:pPr>
        <w:pStyle w:val="Heading5"/>
      </w:pPr>
      <w:bookmarkStart w:id="44" w:name="_Toc476040982"/>
      <w:r>
        <w:rPr>
          <w:rStyle w:val="CharSectno"/>
        </w:rPr>
        <w:t>16</w:t>
      </w:r>
      <w:r>
        <w:t>.</w:t>
      </w:r>
      <w:r>
        <w:tab/>
        <w:t>Employing authorities to notify Board of certain matters</w:t>
      </w:r>
      <w:bookmarkEnd w:id="44"/>
    </w:p>
    <w:p>
      <w:pPr>
        <w:pStyle w:val="Subsection"/>
      </w:pPr>
      <w:r>
        <w:tab/>
        <w:t>(1)</w:t>
      </w:r>
      <w:r>
        <w:tab/>
        <w:t xml:space="preserve">In this regulation — </w:t>
      </w:r>
    </w:p>
    <w:p>
      <w:pPr>
        <w:pStyle w:val="Defstart"/>
      </w:pPr>
      <w:r>
        <w:tab/>
      </w:r>
      <w:r>
        <w:rPr>
          <w:rStyle w:val="CharDefText"/>
        </w:rPr>
        <w:t>CPD period</w:t>
      </w:r>
      <w:r>
        <w:t xml:space="preserve"> means the period from 1 April to 31 March.</w:t>
      </w:r>
    </w:p>
    <w:p>
      <w:pPr>
        <w:pStyle w:val="Subsection"/>
        <w:spacing w:before="140"/>
      </w:pPr>
      <w:r>
        <w:tab/>
        <w:t>(2)</w:t>
      </w:r>
      <w:r>
        <w:tab/>
        <w:t>WA government lawyers are not required to report to the Board in relation to their compliance with the CPD rules or approved CPD arrangements.</w:t>
      </w:r>
    </w:p>
    <w:p>
      <w:pPr>
        <w:pStyle w:val="Subsection"/>
        <w:spacing w:before="140"/>
      </w:pPr>
      <w:r>
        <w:tab/>
        <w:t>(3)</w:t>
      </w:r>
      <w:r>
        <w:tab/>
        <w:t xml:space="preserve">Before 1 July in each year, each employing authority of a WA government lawyer must give written notice to the Board of — </w:t>
      </w:r>
    </w:p>
    <w:p>
      <w:pPr>
        <w:pStyle w:val="Indenta"/>
        <w:spacing w:before="60"/>
      </w:pPr>
      <w:r>
        <w:tab/>
        <w:t>(a)</w:t>
      </w:r>
      <w:r>
        <w:tab/>
        <w:t>the name of each WA government lawyer employed by or under the employing authority in the previous CPD period; and</w:t>
      </w:r>
    </w:p>
    <w:p>
      <w:pPr>
        <w:pStyle w:val="Indenta"/>
        <w:spacing w:before="60"/>
      </w:pPr>
      <w:r>
        <w:tab/>
        <w:t>(b)</w:t>
      </w:r>
      <w:r>
        <w:tab/>
        <w:t>the name of any WA government lawyer employed by or under the employing authority in the previous CPD period who has not complied with the approved CPD arrangements for that lawyer for that period.</w:t>
      </w:r>
    </w:p>
    <w:p>
      <w:pPr>
        <w:pStyle w:val="Subsection"/>
        <w:spacing w:before="140"/>
      </w:pPr>
      <w:r>
        <w:tab/>
        <w:t>(4)</w:t>
      </w:r>
      <w:r>
        <w:tab/>
        <w:t xml:space="preserve">An employing authority must give the Board written notice of — </w:t>
      </w:r>
    </w:p>
    <w:p>
      <w:pPr>
        <w:pStyle w:val="Indenta"/>
        <w:spacing w:before="60"/>
      </w:pPr>
      <w:r>
        <w:tab/>
        <w:t>(a)</w:t>
      </w:r>
      <w:r>
        <w:tab/>
        <w:t>the name of any person who commences employment as a WA government lawyer by or under the employing authority; and</w:t>
      </w:r>
    </w:p>
    <w:p>
      <w:pPr>
        <w:pStyle w:val="Indenta"/>
        <w:spacing w:before="60"/>
      </w:pPr>
      <w:r>
        <w:tab/>
        <w:t>(b)</w:t>
      </w:r>
      <w:r>
        <w:tab/>
        <w:t>the name of any person who ceases to be a WA government lawyer employed by or under the employing authority.</w:t>
      </w:r>
    </w:p>
    <w:p>
      <w:pPr>
        <w:pStyle w:val="Subsection"/>
        <w:spacing w:before="140"/>
      </w:pPr>
      <w:r>
        <w:tab/>
        <w:t>(5)</w:t>
      </w:r>
      <w:r>
        <w:tab/>
        <w:t>The Board may request the employing authority of a WA government lawyer to provide information to the Board in relation to the continuing professional development provided by the employing authority.</w:t>
      </w:r>
    </w:p>
    <w:p>
      <w:pPr>
        <w:pStyle w:val="Heading5"/>
      </w:pPr>
      <w:bookmarkStart w:id="45" w:name="_Toc476040983"/>
      <w:r>
        <w:rPr>
          <w:rStyle w:val="CharSectno"/>
        </w:rPr>
        <w:t>17</w:t>
      </w:r>
      <w:r>
        <w:t>.</w:t>
      </w:r>
      <w:r>
        <w:tab/>
        <w:t>Directions about CPD participation to WA government lawyers</w:t>
      </w:r>
      <w:bookmarkEnd w:id="45"/>
    </w:p>
    <w:p>
      <w:pPr>
        <w:pStyle w:val="Subsection"/>
        <w:spacing w:before="140"/>
      </w:pPr>
      <w:r>
        <w:tab/>
      </w:r>
      <w:r>
        <w:tab/>
        <w:t xml:space="preserve">The following entities may give directions to WA government lawyers in their respective offices in relation to participation in approved CPD arrangements — </w:t>
      </w:r>
    </w:p>
    <w:p>
      <w:pPr>
        <w:pStyle w:val="Indenta"/>
        <w:spacing w:before="60"/>
      </w:pPr>
      <w:r>
        <w:tab/>
        <w:t>(a)</w:t>
      </w:r>
      <w:r>
        <w:tab/>
        <w:t>the State Solicitor;</w:t>
      </w:r>
    </w:p>
    <w:p>
      <w:pPr>
        <w:pStyle w:val="Indenta"/>
        <w:spacing w:before="60"/>
      </w:pPr>
      <w:r>
        <w:tab/>
        <w:t>(b)</w:t>
      </w:r>
      <w:r>
        <w:tab/>
        <w:t>the Parliamentary Counsel;</w:t>
      </w:r>
    </w:p>
    <w:p>
      <w:pPr>
        <w:pStyle w:val="Indenta"/>
        <w:spacing w:before="60"/>
      </w:pPr>
      <w:r>
        <w:tab/>
        <w:t>(c)</w:t>
      </w:r>
      <w:r>
        <w:tab/>
        <w:t>the Director of Public Prosecutions;</w:t>
      </w:r>
    </w:p>
    <w:p>
      <w:pPr>
        <w:pStyle w:val="Indenta"/>
        <w:spacing w:before="60"/>
      </w:pPr>
      <w:r>
        <w:tab/>
        <w:t>(d)</w:t>
      </w:r>
      <w:r>
        <w:tab/>
        <w:t>the employing authority of a WA government lawyer.</w:t>
      </w:r>
    </w:p>
    <w:p>
      <w:pPr>
        <w:pStyle w:val="Heading5"/>
      </w:pPr>
      <w:bookmarkStart w:id="46" w:name="_Toc476040984"/>
      <w:r>
        <w:rPr>
          <w:rStyle w:val="CharSectno"/>
        </w:rPr>
        <w:t>18</w:t>
      </w:r>
      <w:r>
        <w:t>.</w:t>
      </w:r>
      <w:r>
        <w:tab/>
        <w:t>Failing to comply with approved CPD arrangement, effect of</w:t>
      </w:r>
      <w:bookmarkEnd w:id="46"/>
    </w:p>
    <w:p>
      <w:pPr>
        <w:pStyle w:val="Subsection"/>
      </w:pPr>
      <w:r>
        <w:tab/>
      </w:r>
      <w:r>
        <w:tab/>
        <w:t>The failure of a WA government lawyer to comply with a requirement of an approved CPD arrangement is capable of constituting unsatisfactory professional conduct or professional misconduct.</w:t>
      </w:r>
    </w:p>
    <w:p>
      <w:pPr>
        <w:pStyle w:val="Heading2"/>
      </w:pPr>
      <w:bookmarkStart w:id="47" w:name="_Toc466893720"/>
      <w:bookmarkStart w:id="48" w:name="_Toc467498372"/>
      <w:bookmarkStart w:id="49" w:name="_Toc476040501"/>
      <w:bookmarkStart w:id="50" w:name="_Toc476040985"/>
      <w:r>
        <w:rPr>
          <w:rStyle w:val="CharPartNo"/>
        </w:rPr>
        <w:t>Part 5</w:t>
      </w:r>
      <w:r>
        <w:rPr>
          <w:rStyle w:val="CharDivNo"/>
        </w:rPr>
        <w:t> </w:t>
      </w:r>
      <w:r>
        <w:t>—</w:t>
      </w:r>
      <w:r>
        <w:rPr>
          <w:rStyle w:val="CharDivText"/>
        </w:rPr>
        <w:t> </w:t>
      </w:r>
      <w:r>
        <w:rPr>
          <w:rStyle w:val="CharPartText"/>
        </w:rPr>
        <w:t>Incorporated legal practices and multi</w:t>
      </w:r>
      <w:r>
        <w:rPr>
          <w:rStyle w:val="CharPartText"/>
        </w:rPr>
        <w:noBreakHyphen/>
        <w:t>disciplinary partnerships</w:t>
      </w:r>
      <w:bookmarkEnd w:id="47"/>
      <w:bookmarkEnd w:id="48"/>
      <w:bookmarkEnd w:id="49"/>
      <w:bookmarkEnd w:id="50"/>
    </w:p>
    <w:p>
      <w:pPr>
        <w:pStyle w:val="Heading5"/>
      </w:pPr>
      <w:bookmarkStart w:id="51" w:name="_Toc476040986"/>
      <w:r>
        <w:rPr>
          <w:rStyle w:val="CharSectno"/>
        </w:rPr>
        <w:t>19</w:t>
      </w:r>
      <w:r>
        <w:t>.</w:t>
      </w:r>
      <w:r>
        <w:tab/>
        <w:t>Community legal centre is not incorporated legal practice for Act s. 99</w:t>
      </w:r>
      <w:bookmarkEnd w:id="51"/>
    </w:p>
    <w:p>
      <w:pPr>
        <w:pStyle w:val="Subsection"/>
      </w:pPr>
      <w:r>
        <w:tab/>
      </w:r>
      <w:r>
        <w:tab/>
        <w:t>For the purposes of section 99(2)(c) of the Act, community legal centres are not incorporated legal practices.</w:t>
      </w:r>
    </w:p>
    <w:p>
      <w:pPr>
        <w:pStyle w:val="Heading5"/>
      </w:pPr>
      <w:bookmarkStart w:id="52" w:name="_Toc476040987"/>
      <w:r>
        <w:rPr>
          <w:rStyle w:val="CharSectno"/>
        </w:rPr>
        <w:t>20</w:t>
      </w:r>
      <w:r>
        <w:t>.</w:t>
      </w:r>
      <w:r>
        <w:tab/>
        <w:t>Act s. 100(2) is Corporations legislation displacement provision</w:t>
      </w:r>
      <w:bookmarkEnd w:id="52"/>
    </w:p>
    <w:p>
      <w:pPr>
        <w:pStyle w:val="Subsection"/>
      </w:pPr>
      <w:r>
        <w:tab/>
      </w:r>
      <w:r>
        <w:tab/>
        <w:t>Section 100(2) of the Act is declared to be a Corporations legislation displacement provision for the purposes of the Corporations Act section 5G in relation to the Corporations legislation.</w:t>
      </w:r>
    </w:p>
    <w:p>
      <w:pPr>
        <w:pStyle w:val="Heading5"/>
      </w:pPr>
      <w:bookmarkStart w:id="53" w:name="_Toc476040988"/>
      <w:r>
        <w:rPr>
          <w:rStyle w:val="CharSectno"/>
        </w:rPr>
        <w:t>21</w:t>
      </w:r>
      <w:r>
        <w:t>.</w:t>
      </w:r>
      <w:r>
        <w:tab/>
        <w:t>Notice to Board, requirements as to (Act s. 102(1))</w:t>
      </w:r>
      <w:bookmarkEnd w:id="53"/>
    </w:p>
    <w:p>
      <w:pPr>
        <w:pStyle w:val="Subsection"/>
      </w:pPr>
      <w:r>
        <w:tab/>
        <w:t>(1)</w:t>
      </w:r>
      <w:r>
        <w:tab/>
        <w:t xml:space="preserve">A notice given under section 102(1) must be accompanied by — </w:t>
      </w:r>
    </w:p>
    <w:p>
      <w:pPr>
        <w:pStyle w:val="Indenta"/>
      </w:pPr>
      <w:r>
        <w:tab/>
        <w:t>(a)</w:t>
      </w:r>
      <w:r>
        <w:tab/>
        <w:t>a copy of the corporation’s constitution or other constituent documents; and</w:t>
      </w:r>
    </w:p>
    <w:p>
      <w:pPr>
        <w:pStyle w:val="Indenta"/>
      </w:pPr>
      <w:r>
        <w:tab/>
        <w:t>(b)</w:t>
      </w:r>
      <w:r>
        <w:tab/>
        <w:t>documentary evidence of the directors and officers of the corporation.</w:t>
      </w:r>
    </w:p>
    <w:p>
      <w:pPr>
        <w:pStyle w:val="Subsection"/>
      </w:pPr>
      <w:r>
        <w:tab/>
        <w:t>(2)</w:t>
      </w:r>
      <w:r>
        <w:tab/>
        <w:t>While the corporation continues to provide legal services it must notify the Board of any change in any of the information given under subregulation (1).</w:t>
      </w:r>
    </w:p>
    <w:p>
      <w:pPr>
        <w:pStyle w:val="Heading5"/>
      </w:pPr>
      <w:bookmarkStart w:id="54" w:name="_Toc476040989"/>
      <w:r>
        <w:rPr>
          <w:rStyle w:val="CharSectno"/>
        </w:rPr>
        <w:t>22</w:t>
      </w:r>
      <w:r>
        <w:t>.</w:t>
      </w:r>
      <w:r>
        <w:tab/>
        <w:t>Period prescribed (Act s. 104)</w:t>
      </w:r>
      <w:bookmarkEnd w:id="54"/>
    </w:p>
    <w:p>
      <w:pPr>
        <w:pStyle w:val="Subsection"/>
      </w:pPr>
      <w:r>
        <w:tab/>
      </w:r>
      <w:r>
        <w:tab/>
        <w:t>For the purposes of section 104 of the Act, the prescribed period within which a corporation must give a notice under that section is 14 days after the corporation ceases to engage in legal practice in this jurisdiction.</w:t>
      </w:r>
    </w:p>
    <w:p>
      <w:pPr>
        <w:pStyle w:val="Heading5"/>
      </w:pPr>
      <w:bookmarkStart w:id="55" w:name="_Toc476040990"/>
      <w:r>
        <w:rPr>
          <w:rStyle w:val="CharSectno"/>
        </w:rPr>
        <w:t>23</w:t>
      </w:r>
      <w:r>
        <w:t>.</w:t>
      </w:r>
      <w:r>
        <w:tab/>
        <w:t>Orders disqualifying etc., applications for etc. (Act s. 119, 120 and 145)</w:t>
      </w:r>
      <w:bookmarkEnd w:id="55"/>
    </w:p>
    <w:p>
      <w:pPr>
        <w:pStyle w:val="Subsection"/>
        <w:keepNext/>
        <w:keepLines/>
      </w:pPr>
      <w:r>
        <w:tab/>
        <w:t>(1)</w:t>
      </w:r>
      <w:r>
        <w:tab/>
        <w:t xml:space="preserve">This regulation applies to — </w:t>
      </w:r>
    </w:p>
    <w:p>
      <w:pPr>
        <w:pStyle w:val="Indenta"/>
      </w:pPr>
      <w:r>
        <w:tab/>
        <w:t>(a)</w:t>
      </w:r>
      <w:r>
        <w:tab/>
        <w:t>an order made under section 119 of the Act disqualifying a corporation from providing legal services in this jurisdiction; or</w:t>
      </w:r>
    </w:p>
    <w:p>
      <w:pPr>
        <w:pStyle w:val="Indenta"/>
      </w:pPr>
      <w:r>
        <w:tab/>
        <w:t>(b)</w:t>
      </w:r>
      <w:r>
        <w:tab/>
        <w:t>an order made under section 120 of the Act disqualifying a person from managing a corporation that is an incorporated legal practice; or</w:t>
      </w:r>
    </w:p>
    <w:p>
      <w:pPr>
        <w:pStyle w:val="Indenta"/>
      </w:pPr>
      <w:r>
        <w:tab/>
        <w:t>(c)</w:t>
      </w:r>
      <w:r>
        <w:tab/>
        <w:t>an order made under section 145 of the Act prohibiting an Australian legal practitioner from being a partner of a specified person,</w:t>
      </w:r>
    </w:p>
    <w:p>
      <w:pPr>
        <w:pStyle w:val="Subsection"/>
      </w:pPr>
      <w:r>
        <w:tab/>
      </w:r>
      <w:r>
        <w:tab/>
        <w:t>being an order made on the application of the Board or the Complaints Committee.</w:t>
      </w:r>
    </w:p>
    <w:p>
      <w:pPr>
        <w:pStyle w:val="Subsection"/>
      </w:pPr>
      <w:r>
        <w:tab/>
        <w:t>(2)</w:t>
      </w:r>
      <w:r>
        <w:tab/>
        <w:t>The Board or the Complaints Committee or both of them may publicise an order in any manner the Board or Complaints Committee thinks fit.</w:t>
      </w:r>
    </w:p>
    <w:p>
      <w:pPr>
        <w:pStyle w:val="Subsection"/>
      </w:pPr>
      <w:r>
        <w:tab/>
        <w:t>(3)</w:t>
      </w:r>
      <w:r>
        <w:tab/>
        <w:t xml:space="preserve">The applicant for an order — </w:t>
      </w:r>
    </w:p>
    <w:p>
      <w:pPr>
        <w:pStyle w:val="Indenta"/>
      </w:pPr>
      <w:r>
        <w:tab/>
        <w:t>(a)</w:t>
      </w:r>
      <w:r>
        <w:tab/>
        <w:t>must, as soon as practicable after an order is made, give written notice of the order to the corresponding authority of every other jurisdiction; and</w:t>
      </w:r>
    </w:p>
    <w:p>
      <w:pPr>
        <w:pStyle w:val="Indenta"/>
      </w:pPr>
      <w:r>
        <w:tab/>
        <w:t>(b)</w:t>
      </w:r>
      <w:r>
        <w:tab/>
        <w:t>may give written notice of the order to any regulatory authority of any jurisdiction.</w:t>
      </w:r>
    </w:p>
    <w:p>
      <w:pPr>
        <w:pStyle w:val="Subsection"/>
      </w:pPr>
      <w:r>
        <w:tab/>
        <w:t>(4)</w:t>
      </w:r>
      <w:r>
        <w:tab/>
        <w:t xml:space="preserve">The notice under subregulation (3) for an order made under section 119 of the Act — </w:t>
      </w:r>
    </w:p>
    <w:p>
      <w:pPr>
        <w:pStyle w:val="Indenta"/>
      </w:pPr>
      <w:r>
        <w:tab/>
        <w:t>(a)</w:t>
      </w:r>
      <w:r>
        <w:tab/>
        <w:t xml:space="preserve">must state — </w:t>
      </w:r>
    </w:p>
    <w:p>
      <w:pPr>
        <w:pStyle w:val="Indenti"/>
      </w:pPr>
      <w:r>
        <w:tab/>
        <w:t>(i)</w:t>
      </w:r>
      <w:r>
        <w:tab/>
        <w:t>the corporation’s name; and</w:t>
      </w:r>
    </w:p>
    <w:p>
      <w:pPr>
        <w:pStyle w:val="Indenti"/>
      </w:pPr>
      <w:r>
        <w:tab/>
        <w:t>(ii)</w:t>
      </w:r>
      <w:r>
        <w:tab/>
        <w:t>the Australian Company Number (ACN) of the corporation; and</w:t>
      </w:r>
    </w:p>
    <w:p>
      <w:pPr>
        <w:pStyle w:val="Indenti"/>
      </w:pPr>
      <w:r>
        <w:tab/>
        <w:t>(iii)</w:t>
      </w:r>
      <w:r>
        <w:tab/>
        <w:t>the office or business address of the corporation as last known to the Board or Complaints Committee; and</w:t>
      </w:r>
    </w:p>
    <w:p>
      <w:pPr>
        <w:pStyle w:val="Indenti"/>
      </w:pPr>
      <w:r>
        <w:tab/>
        <w:t>(iv)</w:t>
      </w:r>
      <w:r>
        <w:tab/>
        <w:t>the date of the order;</w:t>
      </w:r>
    </w:p>
    <w:p>
      <w:pPr>
        <w:pStyle w:val="Indenta"/>
      </w:pPr>
      <w:r>
        <w:tab/>
      </w:r>
      <w:r>
        <w:tab/>
        <w:t>and</w:t>
      </w:r>
    </w:p>
    <w:p>
      <w:pPr>
        <w:pStyle w:val="Indenta"/>
      </w:pPr>
      <w:r>
        <w:tab/>
        <w:t>(b)</w:t>
      </w:r>
      <w:r>
        <w:tab/>
        <w:t>may contain other relevant information; and</w:t>
      </w:r>
    </w:p>
    <w:p>
      <w:pPr>
        <w:pStyle w:val="Indenta"/>
      </w:pPr>
      <w:r>
        <w:tab/>
        <w:t>(c)</w:t>
      </w:r>
      <w:r>
        <w:tab/>
        <w:t>may be accompanied by a copy or summary of, or extract from, the order.</w:t>
      </w:r>
    </w:p>
    <w:p>
      <w:pPr>
        <w:pStyle w:val="Subsection"/>
      </w:pPr>
      <w:r>
        <w:tab/>
        <w:t>(5)</w:t>
      </w:r>
      <w:r>
        <w:tab/>
        <w:t xml:space="preserve">The notice under subregulation (3) for an order made under section 120 or 145 of the Act — </w:t>
      </w:r>
    </w:p>
    <w:p>
      <w:pPr>
        <w:pStyle w:val="Indenta"/>
        <w:spacing w:before="70"/>
      </w:pPr>
      <w:r>
        <w:tab/>
        <w:t>(a)</w:t>
      </w:r>
      <w:r>
        <w:tab/>
        <w:t xml:space="preserve">must state — </w:t>
      </w:r>
    </w:p>
    <w:p>
      <w:pPr>
        <w:pStyle w:val="Indenti"/>
        <w:spacing w:before="70"/>
      </w:pPr>
      <w:r>
        <w:tab/>
        <w:t>(i)</w:t>
      </w:r>
      <w:r>
        <w:tab/>
        <w:t>the person’s name; and</w:t>
      </w:r>
    </w:p>
    <w:p>
      <w:pPr>
        <w:pStyle w:val="Indenti"/>
        <w:spacing w:before="70"/>
      </w:pPr>
      <w:r>
        <w:tab/>
        <w:t>(ii)</w:t>
      </w:r>
      <w:r>
        <w:tab/>
        <w:t>the person’s address as last known to the Board; and</w:t>
      </w:r>
    </w:p>
    <w:p>
      <w:pPr>
        <w:pStyle w:val="Indenti"/>
        <w:spacing w:before="70"/>
      </w:pPr>
      <w:r>
        <w:tab/>
        <w:t>(iii)</w:t>
      </w:r>
      <w:r>
        <w:tab/>
        <w:t>the date of the order;</w:t>
      </w:r>
    </w:p>
    <w:p>
      <w:pPr>
        <w:pStyle w:val="Indenta"/>
        <w:spacing w:before="70"/>
      </w:pPr>
      <w:r>
        <w:tab/>
      </w:r>
      <w:r>
        <w:tab/>
        <w:t>and</w:t>
      </w:r>
    </w:p>
    <w:p>
      <w:pPr>
        <w:pStyle w:val="Indenta"/>
        <w:spacing w:before="70"/>
      </w:pPr>
      <w:r>
        <w:tab/>
        <w:t>(b)</w:t>
      </w:r>
      <w:r>
        <w:tab/>
        <w:t>may contain other relevant information; and</w:t>
      </w:r>
    </w:p>
    <w:p>
      <w:pPr>
        <w:pStyle w:val="Indenta"/>
        <w:spacing w:before="70"/>
      </w:pPr>
      <w:r>
        <w:tab/>
        <w:t>(c)</w:t>
      </w:r>
      <w:r>
        <w:tab/>
        <w:t>may be accompanied by a copy or summary of, or extract from, the order.</w:t>
      </w:r>
    </w:p>
    <w:p>
      <w:pPr>
        <w:pStyle w:val="Subsection"/>
      </w:pPr>
      <w:r>
        <w:tab/>
        <w:t>(6)</w:t>
      </w:r>
      <w:r>
        <w:tab/>
        <w:t>No liability (including liability in defamation) is incurred by a protected person in respect of anything done or omitted to be done in good faith for the purposes of this regulation.</w:t>
      </w:r>
    </w:p>
    <w:p>
      <w:pPr>
        <w:pStyle w:val="Subsection"/>
      </w:pPr>
      <w:r>
        <w:tab/>
        <w:t>(7)</w:t>
      </w:r>
      <w:r>
        <w:tab/>
        <w:t xml:space="preserve">In subregulation (6) — </w:t>
      </w:r>
    </w:p>
    <w:p>
      <w:pPr>
        <w:pStyle w:val="Defstart"/>
      </w:pPr>
      <w:r>
        <w:tab/>
      </w:r>
      <w:r>
        <w:rPr>
          <w:rStyle w:val="CharDefText"/>
        </w:rPr>
        <w:t>protected person</w:t>
      </w:r>
      <w:r>
        <w:t xml:space="preserve"> means any of the following — </w:t>
      </w:r>
    </w:p>
    <w:p>
      <w:pPr>
        <w:pStyle w:val="Defpara"/>
        <w:spacing w:before="70"/>
      </w:pPr>
      <w:r>
        <w:tab/>
        <w:t>(a)</w:t>
      </w:r>
      <w:r>
        <w:tab/>
        <w:t>the State;</w:t>
      </w:r>
    </w:p>
    <w:p>
      <w:pPr>
        <w:pStyle w:val="Defpara"/>
        <w:spacing w:before="70"/>
      </w:pPr>
      <w:r>
        <w:tab/>
        <w:t>(b)</w:t>
      </w:r>
      <w:r>
        <w:tab/>
        <w:t>the Board;</w:t>
      </w:r>
    </w:p>
    <w:p>
      <w:pPr>
        <w:pStyle w:val="Defpara"/>
        <w:spacing w:before="70"/>
      </w:pPr>
      <w:r>
        <w:tab/>
        <w:t>(c)</w:t>
      </w:r>
      <w:r>
        <w:tab/>
        <w:t>the Complaints Committee;</w:t>
      </w:r>
    </w:p>
    <w:p>
      <w:pPr>
        <w:pStyle w:val="Defpara"/>
        <w:spacing w:before="70"/>
      </w:pPr>
      <w:r>
        <w:tab/>
        <w:t>(d)</w:t>
      </w:r>
      <w:r>
        <w:tab/>
        <w:t>a member of the Board or the Complaints Committee;</w:t>
      </w:r>
    </w:p>
    <w:p>
      <w:pPr>
        <w:pStyle w:val="Defpara"/>
        <w:spacing w:before="70"/>
      </w:pPr>
      <w:r>
        <w:tab/>
        <w:t>(e)</w:t>
      </w:r>
      <w:r>
        <w:tab/>
        <w:t>a person responsible for keeping the whole or any part of a register or any similar record in or by which an order is publicised;</w:t>
      </w:r>
    </w:p>
    <w:p>
      <w:pPr>
        <w:pStyle w:val="Defpara"/>
        <w:spacing w:before="70"/>
      </w:pPr>
      <w:r>
        <w:tab/>
        <w:t>(f)</w:t>
      </w:r>
      <w:r>
        <w:tab/>
        <w:t>an internet service provider or internet content host;</w:t>
      </w:r>
    </w:p>
    <w:p>
      <w:pPr>
        <w:pStyle w:val="Defpara"/>
        <w:spacing w:before="70"/>
      </w:pPr>
      <w:r>
        <w:tab/>
        <w:t>(g)</w:t>
      </w:r>
      <w:r>
        <w:tab/>
        <w:t>a person acting at the direction of the State or an entity referred to in this definition.</w:t>
      </w:r>
    </w:p>
    <w:p>
      <w:pPr>
        <w:pStyle w:val="Heading5"/>
      </w:pPr>
      <w:bookmarkStart w:id="56" w:name="_Toc476040991"/>
      <w:r>
        <w:rPr>
          <w:rStyle w:val="CharSectno"/>
        </w:rPr>
        <w:t>24</w:t>
      </w:r>
      <w:r>
        <w:t>.</w:t>
      </w:r>
      <w:r>
        <w:tab/>
        <w:t>When Australian legal practitioner prohibited from partnership (Act s. 132(3))</w:t>
      </w:r>
      <w:bookmarkEnd w:id="56"/>
    </w:p>
    <w:p>
      <w:pPr>
        <w:pStyle w:val="Subsection"/>
      </w:pPr>
      <w:r>
        <w:tab/>
        <w:t>(1)</w:t>
      </w:r>
      <w:r>
        <w:tab/>
        <w:t xml:space="preserve">In this regulation — </w:t>
      </w:r>
    </w:p>
    <w:p>
      <w:pPr>
        <w:pStyle w:val="Defstart"/>
      </w:pPr>
      <w:r>
        <w:tab/>
      </w:r>
      <w:r>
        <w:rPr>
          <w:rStyle w:val="CharDefText"/>
        </w:rPr>
        <w:t>external administrator</w:t>
      </w:r>
      <w:r>
        <w:t xml:space="preserve"> means — </w:t>
      </w:r>
    </w:p>
    <w:p>
      <w:pPr>
        <w:pStyle w:val="Defpara"/>
      </w:pPr>
      <w:r>
        <w:tab/>
        <w:t>(a)</w:t>
      </w:r>
      <w:r>
        <w:tab/>
        <w:t>a Corporations Act administrator as defined in section 124(1) of the Act; or</w:t>
      </w:r>
    </w:p>
    <w:p>
      <w:pPr>
        <w:pStyle w:val="Defpara"/>
      </w:pPr>
      <w:r>
        <w:tab/>
        <w:t>(b)</w:t>
      </w:r>
      <w:r>
        <w:tab/>
        <w:t>a person who is appointed under legislation (whether or not legislation of this jurisdiction) to a position equivalent to a position covered by paragraph (a); or</w:t>
      </w:r>
    </w:p>
    <w:p>
      <w:pPr>
        <w:pStyle w:val="Defpara"/>
      </w:pPr>
      <w:r>
        <w:tab/>
        <w:t>(c)</w:t>
      </w:r>
      <w:r>
        <w:tab/>
        <w:t>an agent for the mortgagee.</w:t>
      </w:r>
    </w:p>
    <w:p>
      <w:pPr>
        <w:pStyle w:val="Subsection"/>
      </w:pPr>
      <w:r>
        <w:tab/>
        <w:t>(2)</w:t>
      </w:r>
      <w:r>
        <w:tab/>
        <w:t>An Australian legal practitioner must not be in partnership with a person who conducts a managed investment scheme where the business of the partnership includes the provision of legal services, except where the person conducts the managed investment scheme in the person’s capacity as an external administrator.</w:t>
      </w:r>
    </w:p>
    <w:p>
      <w:pPr>
        <w:pStyle w:val="Footnotesection"/>
      </w:pPr>
      <w:r>
        <w:tab/>
        <w:t>[Regulation 24 inserted in Gazette 30 Aug 2011 p. 3507-8.]</w:t>
      </w:r>
    </w:p>
    <w:p>
      <w:pPr>
        <w:pStyle w:val="Heading2"/>
      </w:pPr>
      <w:bookmarkStart w:id="57" w:name="_Toc466893727"/>
      <w:bookmarkStart w:id="58" w:name="_Toc467498379"/>
      <w:bookmarkStart w:id="59" w:name="_Toc476040508"/>
      <w:bookmarkStart w:id="60" w:name="_Toc476040992"/>
      <w:r>
        <w:rPr>
          <w:rStyle w:val="CharPartNo"/>
        </w:rPr>
        <w:t>Part 6</w:t>
      </w:r>
      <w:r>
        <w:rPr>
          <w:rStyle w:val="CharDivNo"/>
        </w:rPr>
        <w:t> </w:t>
      </w:r>
      <w:r>
        <w:t>—</w:t>
      </w:r>
      <w:r>
        <w:rPr>
          <w:rStyle w:val="CharDivText"/>
        </w:rPr>
        <w:t> </w:t>
      </w:r>
      <w:r>
        <w:rPr>
          <w:rStyle w:val="CharPartText"/>
        </w:rPr>
        <w:t>Legal practice by foreign lawyers</w:t>
      </w:r>
      <w:bookmarkEnd w:id="57"/>
      <w:bookmarkEnd w:id="58"/>
      <w:bookmarkEnd w:id="59"/>
      <w:bookmarkEnd w:id="60"/>
    </w:p>
    <w:p>
      <w:pPr>
        <w:pStyle w:val="Heading5"/>
        <w:spacing w:before="180"/>
      </w:pPr>
      <w:bookmarkStart w:id="61" w:name="_Toc476040993"/>
      <w:r>
        <w:rPr>
          <w:rStyle w:val="CharSectno"/>
        </w:rPr>
        <w:t>25</w:t>
      </w:r>
      <w:r>
        <w:t>.</w:t>
      </w:r>
      <w:r>
        <w:tab/>
        <w:t>Legal services which may be provided (Act s. 154(1))</w:t>
      </w:r>
      <w:bookmarkEnd w:id="61"/>
    </w:p>
    <w:p>
      <w:pPr>
        <w:pStyle w:val="Subsection"/>
        <w:spacing w:before="120"/>
      </w:pPr>
      <w:r>
        <w:tab/>
        <w:t>(1)</w:t>
      </w:r>
      <w:r>
        <w:tab/>
        <w:t xml:space="preserve">For the purposes of section 154(1)(b) of the Act, arbitration proceedings in which — </w:t>
      </w:r>
    </w:p>
    <w:p>
      <w:pPr>
        <w:pStyle w:val="Indenta"/>
        <w:spacing w:before="60"/>
      </w:pPr>
      <w:r>
        <w:tab/>
        <w:t>(a)</w:t>
      </w:r>
      <w:r>
        <w:tab/>
        <w:t>the arbitrator is not required to apply the rules of evidence; and</w:t>
      </w:r>
    </w:p>
    <w:p>
      <w:pPr>
        <w:pStyle w:val="Indenta"/>
        <w:spacing w:before="60"/>
      </w:pPr>
      <w:r>
        <w:tab/>
        <w:t>(b)</w:t>
      </w:r>
      <w:r>
        <w:tab/>
        <w:t>knowledge of Australian law is not essential,</w:t>
      </w:r>
    </w:p>
    <w:p>
      <w:pPr>
        <w:pStyle w:val="Subsection"/>
        <w:spacing w:before="100"/>
      </w:pPr>
      <w:r>
        <w:tab/>
      </w:r>
      <w:r>
        <w:tab/>
        <w:t>are prescribed as a kind of arbitration proceedings in relation to which an Australian</w:t>
      </w:r>
      <w:r>
        <w:noBreakHyphen/>
        <w:t>registered foreign lawyer may provide legal services (including appearances).</w:t>
      </w:r>
    </w:p>
    <w:p>
      <w:pPr>
        <w:pStyle w:val="Subsection"/>
        <w:spacing w:before="120"/>
      </w:pPr>
      <w:r>
        <w:tab/>
        <w:t>(2)</w:t>
      </w:r>
      <w:r>
        <w:tab/>
        <w:t>For the purposes of section 154(1)(d) of the Act, all forms of dispute resolution are prescribed as kinds of dispute resolution in relation to which an Australian</w:t>
      </w:r>
      <w:r>
        <w:noBreakHyphen/>
        <w:t xml:space="preserve">registered foreign lawyer may provide legal services, except to the extent to which — </w:t>
      </w:r>
    </w:p>
    <w:p>
      <w:pPr>
        <w:pStyle w:val="Indenta"/>
        <w:spacing w:before="56"/>
      </w:pPr>
      <w:r>
        <w:tab/>
        <w:t>(a)</w:t>
      </w:r>
      <w:r>
        <w:tab/>
        <w:t>the provisions of other legislation applying to dispute resolution; or</w:t>
      </w:r>
    </w:p>
    <w:p>
      <w:pPr>
        <w:pStyle w:val="Indenta"/>
        <w:spacing w:before="56"/>
      </w:pPr>
      <w:r>
        <w:tab/>
        <w:t>(b)</w:t>
      </w:r>
      <w:r>
        <w:tab/>
        <w:t>the requirements of a body responsible for dispute resolution; or</w:t>
      </w:r>
    </w:p>
    <w:p>
      <w:pPr>
        <w:pStyle w:val="Indenta"/>
        <w:spacing w:before="56"/>
      </w:pPr>
      <w:r>
        <w:tab/>
        <w:t>(c)</w:t>
      </w:r>
      <w:r>
        <w:tab/>
        <w:t>the provisions of a contract that provides for dispute resolution,</w:t>
      </w:r>
    </w:p>
    <w:p>
      <w:pPr>
        <w:pStyle w:val="Subsection"/>
        <w:spacing w:before="120"/>
      </w:pPr>
      <w:r>
        <w:tab/>
      </w:r>
      <w:r>
        <w:tab/>
        <w:t>restrict participation in dispute resolution to persons of a specified class that does not include Australian</w:t>
      </w:r>
      <w:r>
        <w:noBreakHyphen/>
        <w:t>registered foreign lawyers.</w:t>
      </w:r>
    </w:p>
    <w:p>
      <w:pPr>
        <w:pStyle w:val="Subsection"/>
        <w:spacing w:before="120"/>
      </w:pPr>
      <w:r>
        <w:tab/>
        <w:t>(3)</w:t>
      </w:r>
      <w:r>
        <w:tab/>
        <w:t xml:space="preserve">In subregulation (2) — </w:t>
      </w:r>
    </w:p>
    <w:p>
      <w:pPr>
        <w:pStyle w:val="Defstart"/>
        <w:spacing w:before="60"/>
      </w:pPr>
      <w:r>
        <w:tab/>
      </w:r>
      <w:r>
        <w:rPr>
          <w:rStyle w:val="CharDefText"/>
        </w:rPr>
        <w:t>dispute resolution</w:t>
      </w:r>
      <w:r>
        <w:t xml:space="preserve"> means conciliation, mediation and other forms of consensual dispute resolution.</w:t>
      </w:r>
    </w:p>
    <w:p>
      <w:pPr>
        <w:pStyle w:val="Heading5"/>
        <w:spacing w:before="180"/>
      </w:pPr>
      <w:bookmarkStart w:id="62" w:name="_Toc476040994"/>
      <w:r>
        <w:rPr>
          <w:rStyle w:val="CharSectno"/>
        </w:rPr>
        <w:t>26</w:t>
      </w:r>
      <w:r>
        <w:t>.</w:t>
      </w:r>
      <w:r>
        <w:tab/>
        <w:t>Trust money etc., which provisions in Act apply to (Act s. 161)</w:t>
      </w:r>
      <w:bookmarkEnd w:id="62"/>
    </w:p>
    <w:p>
      <w:pPr>
        <w:pStyle w:val="Subsection"/>
        <w:spacing w:before="120"/>
      </w:pPr>
      <w:r>
        <w:tab/>
      </w:r>
      <w:r>
        <w:tab/>
        <w:t xml:space="preserve">For the purposes of section 161 of the Act — </w:t>
      </w:r>
    </w:p>
    <w:p>
      <w:pPr>
        <w:pStyle w:val="Indenta"/>
        <w:spacing w:before="60"/>
      </w:pPr>
      <w:r>
        <w:tab/>
        <w:t>(a)</w:t>
      </w:r>
      <w:r>
        <w:tab/>
        <w:t>the provisions of Part 9 of the Act and any other provisions of the Act (other than Part 12 of the Act) relating to trust money and trust accounts; and</w:t>
      </w:r>
    </w:p>
    <w:p>
      <w:pPr>
        <w:pStyle w:val="Indenta"/>
      </w:pPr>
      <w:r>
        <w:tab/>
        <w:t>(b)</w:t>
      </w:r>
      <w:r>
        <w:tab/>
        <w:t>the provisions of Part 7 of these regulations and any other provisions of these regulations relating to trust money and trust accounts; and</w:t>
      </w:r>
    </w:p>
    <w:p>
      <w:pPr>
        <w:pStyle w:val="Indenta"/>
      </w:pPr>
      <w:r>
        <w:tab/>
        <w:t>(c)</w:t>
      </w:r>
      <w:r>
        <w:tab/>
        <w:t>any provisions of any legal profession rules relating to trust money and trust accounts,</w:t>
      </w:r>
    </w:p>
    <w:p>
      <w:pPr>
        <w:pStyle w:val="Subsection"/>
      </w:pPr>
      <w:r>
        <w:tab/>
      </w:r>
      <w:r>
        <w:tab/>
        <w:t>apply to Australian</w:t>
      </w:r>
      <w:r>
        <w:noBreakHyphen/>
        <w:t>registered foreign lawyers as if a reference in those provisions to a law practice or an Australian legal practitioner were a reference to an Australian</w:t>
      </w:r>
      <w:r>
        <w:noBreakHyphen/>
        <w:t>registered foreign lawyer.</w:t>
      </w:r>
    </w:p>
    <w:p>
      <w:pPr>
        <w:pStyle w:val="Heading5"/>
      </w:pPr>
      <w:bookmarkStart w:id="63" w:name="_Toc476040995"/>
      <w:r>
        <w:rPr>
          <w:rStyle w:val="CharSectno"/>
        </w:rPr>
        <w:t>27</w:t>
      </w:r>
      <w:r>
        <w:t>.</w:t>
      </w:r>
      <w:r>
        <w:tab/>
        <w:t>Professional indemnity insurance, form of disclosure statement as to (Act s. 162)</w:t>
      </w:r>
      <w:bookmarkEnd w:id="63"/>
    </w:p>
    <w:p>
      <w:pPr>
        <w:pStyle w:val="Subsection"/>
      </w:pPr>
      <w:r>
        <w:tab/>
        <w:t>(1)</w:t>
      </w:r>
      <w:r>
        <w:tab/>
        <w:t>For the purposes of section 162(1)(b)(ii) of the Act a disclosure statement must be in English or, if the client does not have a reasonable understanding of English, in some other language of which the client has a reasonable understanding.</w:t>
      </w:r>
    </w:p>
    <w:p>
      <w:pPr>
        <w:pStyle w:val="Subsection"/>
      </w:pPr>
      <w:r>
        <w:tab/>
        <w:t>(2)</w:t>
      </w:r>
      <w:r>
        <w:tab/>
        <w:t xml:space="preserve">For the purposes of section 162(1)(c) of the Act a disclosure statement must — </w:t>
      </w:r>
    </w:p>
    <w:p>
      <w:pPr>
        <w:pStyle w:val="Indenta"/>
      </w:pPr>
      <w:r>
        <w:tab/>
        <w:t>(a)</w:t>
      </w:r>
      <w:r>
        <w:tab/>
        <w:t>be in English or, if the client does not have a reasonable understanding of English, in some other language of which the client has a reasonable understanding; and</w:t>
      </w:r>
    </w:p>
    <w:p>
      <w:pPr>
        <w:pStyle w:val="Indenta"/>
      </w:pPr>
      <w:r>
        <w:tab/>
        <w:t>(b)</w:t>
      </w:r>
      <w:r>
        <w:tab/>
        <w:t xml:space="preserve">state that the foreign lawyer does not have — </w:t>
      </w:r>
    </w:p>
    <w:p>
      <w:pPr>
        <w:pStyle w:val="Indenti"/>
      </w:pPr>
      <w:r>
        <w:tab/>
        <w:t>(i)</w:t>
      </w:r>
      <w:r>
        <w:tab/>
        <w:t>professional indemnity insurance that conforms with the requirements for professional indemnity insurance applicable for Australian lawyers in any jurisdiction; or</w:t>
      </w:r>
    </w:p>
    <w:p>
      <w:pPr>
        <w:pStyle w:val="Indenti"/>
      </w:pPr>
      <w:r>
        <w:tab/>
        <w:t>(ii)</w:t>
      </w:r>
      <w:r>
        <w:tab/>
        <w:t>professional indemnity insurance that covers the practice of foreign law in this jurisdiction and that complies with the relevant requirements of a foreign law or foreign registration authority.</w:t>
      </w:r>
    </w:p>
    <w:p>
      <w:pPr>
        <w:pStyle w:val="Heading5"/>
        <w:pageBreakBefore/>
        <w:spacing w:before="0"/>
      </w:pPr>
      <w:bookmarkStart w:id="64" w:name="_Toc476040996"/>
      <w:r>
        <w:rPr>
          <w:rStyle w:val="CharSectno"/>
        </w:rPr>
        <w:t>28</w:t>
      </w:r>
      <w:r>
        <w:t>.</w:t>
      </w:r>
      <w:r>
        <w:tab/>
        <w:t>Guarantee Fund contributions, who must pay etc.</w:t>
      </w:r>
      <w:bookmarkEnd w:id="64"/>
    </w:p>
    <w:p>
      <w:pPr>
        <w:pStyle w:val="Subsection"/>
        <w:keepNext/>
      </w:pPr>
      <w:r>
        <w:tab/>
        <w:t>(1)</w:t>
      </w:r>
      <w:r>
        <w:tab/>
        <w:t xml:space="preserve">This regulation applies to a locally registered foreign lawyer who — </w:t>
      </w:r>
    </w:p>
    <w:p>
      <w:pPr>
        <w:pStyle w:val="Indenta"/>
      </w:pPr>
      <w:r>
        <w:tab/>
        <w:t>(a)</w:t>
      </w:r>
      <w:r>
        <w:tab/>
        <w:t>is practising, or intends to practise, foreign law in this jurisdiction as an associate of a law practice; and</w:t>
      </w:r>
    </w:p>
    <w:p>
      <w:pPr>
        <w:pStyle w:val="Indenta"/>
      </w:pPr>
      <w:r>
        <w:tab/>
        <w:t>(b)</w:t>
      </w:r>
      <w:r>
        <w:tab/>
        <w:t>has applied for the grant or renewal of registration as a foreign lawyer under the Act.</w:t>
      </w:r>
    </w:p>
    <w:p>
      <w:pPr>
        <w:pStyle w:val="Subsection"/>
      </w:pPr>
      <w:r>
        <w:tab/>
        <w:t>(2)</w:t>
      </w:r>
      <w:r>
        <w:tab/>
        <w:t>A foreign lawyer to whom this regulation applies must, when his or her application for the grant of registration as a foreign lawyer under the Act is granted by the Board, pay to the Board for application to the Guarantee Fund the contribution to the Guarantee Fund for the year ending on 30 June during which the registration is to be in force.</w:t>
      </w:r>
    </w:p>
    <w:p>
      <w:pPr>
        <w:pStyle w:val="Subsection"/>
      </w:pPr>
      <w:r>
        <w:tab/>
        <w:t>(3)</w:t>
      </w:r>
      <w:r>
        <w:tab/>
        <w:t>A foreign lawyer to whom this regulation applies must, for each of the 4 years following the year in which payment is made under subregulation (3), when his or her application for the renewal of registration as a foreign lawyer under the Act is granted by the Board, pay to the Board for application to the Guarantee Fund the contribution to the Guarantee Fund for the year ending on 30 June during which the registration is to be in force.</w:t>
      </w:r>
    </w:p>
    <w:p>
      <w:pPr>
        <w:pStyle w:val="Subsection"/>
      </w:pPr>
      <w:r>
        <w:tab/>
        <w:t>(4)</w:t>
      </w:r>
      <w:r>
        <w:tab/>
        <w:t>The amount of contribution is an amount that is the same as the amount that would have to be paid under section 337 of the Act if the foreign lawyer were a local legal practitioner required to make a payment under that section.</w:t>
      </w:r>
    </w:p>
    <w:p>
      <w:pPr>
        <w:pStyle w:val="Heading5"/>
      </w:pPr>
      <w:bookmarkStart w:id="65" w:name="_Toc476040997"/>
      <w:r>
        <w:rPr>
          <w:rStyle w:val="CharSectno"/>
        </w:rPr>
        <w:t>29</w:t>
      </w:r>
      <w:r>
        <w:t>.</w:t>
      </w:r>
      <w:r>
        <w:tab/>
        <w:t>Guarantee Fund levy, who must pay</w:t>
      </w:r>
      <w:bookmarkEnd w:id="65"/>
    </w:p>
    <w:p>
      <w:pPr>
        <w:pStyle w:val="Subsection"/>
      </w:pPr>
      <w:r>
        <w:tab/>
      </w:r>
      <w:r>
        <w:tab/>
        <w:t>Section 339 of the Act applies to a locally registered foreign lawyer practising in this jurisdiction as an associate of a law practice in the same way as it applies to a local legal practitioner.</w:t>
      </w:r>
    </w:p>
    <w:p>
      <w:pPr>
        <w:pStyle w:val="Heading5"/>
      </w:pPr>
      <w:bookmarkStart w:id="66" w:name="_Toc476040998"/>
      <w:r>
        <w:rPr>
          <w:rStyle w:val="CharSectno"/>
        </w:rPr>
        <w:t>30</w:t>
      </w:r>
      <w:r>
        <w:t>.</w:t>
      </w:r>
      <w:r>
        <w:tab/>
        <w:t>Failure to pay Guarantee Fund levy, Act s. 340 applies in case of</w:t>
      </w:r>
      <w:bookmarkEnd w:id="66"/>
    </w:p>
    <w:p>
      <w:pPr>
        <w:pStyle w:val="Subsection"/>
      </w:pPr>
      <w:r>
        <w:tab/>
        <w:t>(1)</w:t>
      </w:r>
      <w:r>
        <w:tab/>
        <w:t>Section 340 of the Act applies to a locally registered foreign lawyer practising in this jurisdiction as an associate of a law practice in the same way as it applies to a local legal practitioner with the modification made by subregulation (2).</w:t>
      </w:r>
    </w:p>
    <w:p>
      <w:pPr>
        <w:pStyle w:val="Subsection"/>
      </w:pPr>
      <w:r>
        <w:tab/>
        <w:t>(2)</w:t>
      </w:r>
      <w:r>
        <w:tab/>
        <w:t>Section 340 of the Act applies under this regulation as if a reference in that section to a local practising certificate were a reference to a local registration certificate within the meaning of section 150 of the Act.</w:t>
      </w:r>
    </w:p>
    <w:p>
      <w:pPr>
        <w:pStyle w:val="Heading5"/>
      </w:pPr>
      <w:bookmarkStart w:id="67" w:name="_Toc476040999"/>
      <w:r>
        <w:rPr>
          <w:rStyle w:val="CharSectno"/>
        </w:rPr>
        <w:t>31</w:t>
      </w:r>
      <w:r>
        <w:t>.</w:t>
      </w:r>
      <w:r>
        <w:tab/>
        <w:t>Locally registered foreign lawyer not covered by Guarantee Fund, disclosure duty of</w:t>
      </w:r>
      <w:bookmarkEnd w:id="67"/>
    </w:p>
    <w:p>
      <w:pPr>
        <w:pStyle w:val="Subsection"/>
      </w:pPr>
      <w:r>
        <w:tab/>
        <w:t>(1)</w:t>
      </w:r>
      <w:r>
        <w:tab/>
        <w:t>This regulation applies to a locally registered foreign lawyer practising foreign law in this jurisdiction otherwise than as an associate of a law practice.</w:t>
      </w:r>
    </w:p>
    <w:p>
      <w:pPr>
        <w:pStyle w:val="Subsection"/>
      </w:pPr>
      <w:r>
        <w:tab/>
        <w:t>(2)</w:t>
      </w:r>
      <w:r>
        <w:tab/>
        <w:t>A foreign lawyer to whom this regulation applies may not practise foreign law in this jurisdiction on behalf of a client unless he or she has provided the client with a disclosure statement in respect of the foreign lawyer’s lack of cover by the Guarantee Fund.</w:t>
      </w:r>
    </w:p>
    <w:p>
      <w:pPr>
        <w:pStyle w:val="Subsection"/>
      </w:pPr>
      <w:r>
        <w:tab/>
        <w:t>(3)</w:t>
      </w:r>
      <w:r>
        <w:tab/>
        <w:t xml:space="preserve">A disclosure statement under subregulation (2) is not valid unless — </w:t>
      </w:r>
    </w:p>
    <w:p>
      <w:pPr>
        <w:pStyle w:val="Indenta"/>
      </w:pPr>
      <w:r>
        <w:tab/>
        <w:t>(a)</w:t>
      </w:r>
      <w:r>
        <w:tab/>
        <w:t>it is in writing; and</w:t>
      </w:r>
    </w:p>
    <w:p>
      <w:pPr>
        <w:pStyle w:val="Indenta"/>
      </w:pPr>
      <w:r>
        <w:tab/>
        <w:t>(b)</w:t>
      </w:r>
      <w:r>
        <w:tab/>
        <w:t>it is in English or, if the client does not have a reasonable understanding of English, in some other language of which the client has a reasonable understanding; and</w:t>
      </w:r>
    </w:p>
    <w:p>
      <w:pPr>
        <w:pStyle w:val="Indenta"/>
      </w:pPr>
      <w:r>
        <w:tab/>
        <w:t>(c)</w:t>
      </w:r>
      <w:r>
        <w:tab/>
        <w:t>it states that the client is not covered by the Guarantee Fund with respect to the practice of foreign law in this jurisdiction; and</w:t>
      </w:r>
    </w:p>
    <w:p>
      <w:pPr>
        <w:pStyle w:val="Indenta"/>
      </w:pPr>
      <w:r>
        <w:tab/>
        <w:t>(d)</w:t>
      </w:r>
      <w:r>
        <w:tab/>
        <w:t>it states that Australian legal practitioners generally are covered by the Guarantee Fund.</w:t>
      </w:r>
    </w:p>
    <w:p>
      <w:pPr>
        <w:pStyle w:val="Heading5"/>
      </w:pPr>
      <w:bookmarkStart w:id="68" w:name="_Toc476041000"/>
      <w:r>
        <w:rPr>
          <w:rStyle w:val="CharSectno"/>
        </w:rPr>
        <w:t>32</w:t>
      </w:r>
      <w:r>
        <w:t>.</w:t>
      </w:r>
      <w:r>
        <w:tab/>
        <w:t>Particulars prescribed for register (Act s. 198(2)(b))</w:t>
      </w:r>
      <w:bookmarkEnd w:id="68"/>
    </w:p>
    <w:p>
      <w:pPr>
        <w:pStyle w:val="Subsection"/>
      </w:pPr>
      <w:r>
        <w:tab/>
        <w:t>(1)</w:t>
      </w:r>
      <w:r>
        <w:tab/>
        <w:t>For the purposes of section 198(2)(b) of the Act, the particulars mentioned in subregulation (2) are prescribed as particulars to be included in the register kept under section 198 of the Act in relation to a locally registered foreign lawyer, except if the Board is required by subregulation (5) not to include them in the register.</w:t>
      </w:r>
    </w:p>
    <w:p>
      <w:pPr>
        <w:pStyle w:val="Subsection"/>
      </w:pPr>
      <w:r>
        <w:tab/>
        <w:t>(2)</w:t>
      </w:r>
      <w:r>
        <w:tab/>
        <w:t xml:space="preserve">The particulars to be included in the register are as follows — </w:t>
      </w:r>
    </w:p>
    <w:p>
      <w:pPr>
        <w:pStyle w:val="Indenta"/>
      </w:pPr>
      <w:r>
        <w:tab/>
        <w:t>(a)</w:t>
      </w:r>
      <w:r>
        <w:tab/>
        <w:t>the name of the foreign lawyer;</w:t>
      </w:r>
    </w:p>
    <w:p>
      <w:pPr>
        <w:pStyle w:val="Indenta"/>
      </w:pPr>
      <w:r>
        <w:tab/>
        <w:t>(b)</w:t>
      </w:r>
      <w:r>
        <w:tab/>
        <w:t>the name of the partnership of which the lawyer is a member or, if the lawyer is not a member or employee of a partnership, the name of the entity of which the lawyer is a director, officer or employee or with which the lawyer is otherwise engaged in legal practice;</w:t>
      </w:r>
    </w:p>
    <w:p>
      <w:pPr>
        <w:pStyle w:val="Indenta"/>
      </w:pPr>
      <w:r>
        <w:tab/>
        <w:t>(c)</w:t>
      </w:r>
      <w:r>
        <w:tab/>
        <w:t>the contact details of the office of the partnership or other entity in this jurisdiction;</w:t>
      </w:r>
    </w:p>
    <w:p>
      <w:pPr>
        <w:pStyle w:val="Indenta"/>
      </w:pPr>
      <w:r>
        <w:tab/>
        <w:t>(d)</w:t>
      </w:r>
      <w:r>
        <w:tab/>
        <w:t xml:space="preserve">by way of separate additional entry, the name of the partnership or other entity and the contact details of the office of the partnership or other entity — </w:t>
      </w:r>
    </w:p>
    <w:p>
      <w:pPr>
        <w:pStyle w:val="Indenti"/>
      </w:pPr>
      <w:r>
        <w:tab/>
        <w:t>(i)</w:t>
      </w:r>
      <w:r>
        <w:tab/>
        <w:t>in this jurisdiction; and</w:t>
      </w:r>
    </w:p>
    <w:p>
      <w:pPr>
        <w:pStyle w:val="Indenti"/>
      </w:pPr>
      <w:r>
        <w:tab/>
        <w:t>(ii)</w:t>
      </w:r>
      <w:r>
        <w:tab/>
        <w:t>in any other jurisdictions in which it has an office, except where the Board considers those particulars need not be included in respect of an entity that is not a law practice;</w:t>
      </w:r>
    </w:p>
    <w:p>
      <w:pPr>
        <w:pStyle w:val="Indenta"/>
      </w:pPr>
      <w:r>
        <w:tab/>
        <w:t>(e)</w:t>
      </w:r>
      <w:r>
        <w:tab/>
        <w:t>details of the foreign registration authority or authorities by which the lawyer is registered to engage in legal practice in a foreign country or foreign countries;</w:t>
      </w:r>
    </w:p>
    <w:p>
      <w:pPr>
        <w:pStyle w:val="Indenta"/>
      </w:pPr>
      <w:r>
        <w:tab/>
        <w:t>(f)</w:t>
      </w:r>
      <w:r>
        <w:tab/>
        <w:t>any other particulars about the lawyer, partnership or other entity that the Board considers should be included.</w:t>
      </w:r>
    </w:p>
    <w:p>
      <w:pPr>
        <w:pStyle w:val="Subsection"/>
      </w:pPr>
      <w:r>
        <w:tab/>
        <w:t>(3)</w:t>
      </w:r>
      <w:r>
        <w:tab/>
        <w:t xml:space="preserve">Contact details of an office are as follows — </w:t>
      </w:r>
    </w:p>
    <w:p>
      <w:pPr>
        <w:pStyle w:val="Indenta"/>
      </w:pPr>
      <w:r>
        <w:tab/>
        <w:t>(a)</w:t>
      </w:r>
      <w:r>
        <w:tab/>
        <w:t>its street address (the address where the office is physically located);</w:t>
      </w:r>
    </w:p>
    <w:p>
      <w:pPr>
        <w:pStyle w:val="Indenta"/>
      </w:pPr>
      <w:r>
        <w:tab/>
        <w:t>(b)</w:t>
      </w:r>
      <w:r>
        <w:tab/>
        <w:t>its postal address (a post office box number and the location and postcode of the post office), if any;</w:t>
      </w:r>
    </w:p>
    <w:p>
      <w:pPr>
        <w:pStyle w:val="Indenta"/>
      </w:pPr>
      <w:r>
        <w:tab/>
        <w:t>(c)</w:t>
      </w:r>
      <w:r>
        <w:tab/>
        <w:t>its DX address (the number of the exchange box in a document exchange (DX)), if any.</w:t>
      </w:r>
    </w:p>
    <w:p>
      <w:pPr>
        <w:pStyle w:val="Subsection"/>
      </w:pPr>
      <w:r>
        <w:tab/>
        <w:t>(4)</w:t>
      </w:r>
      <w:r>
        <w:tab/>
        <w:t>A locally registered foreign lawyer may, by notice in writing to the Board, request the Board not to include any or any specified particulars about the lawyer, partnership or other entity in the register, on the ground that special circumstances warrant the particulars not being publicly available (for example, if the safety or well</w:t>
      </w:r>
      <w:r>
        <w:noBreakHyphen/>
        <w:t>being of a person would be substantially affected by making the particulars publicly available).</w:t>
      </w:r>
    </w:p>
    <w:p>
      <w:pPr>
        <w:pStyle w:val="Subsection"/>
      </w:pPr>
      <w:r>
        <w:tab/>
        <w:t>(5)</w:t>
      </w:r>
      <w:r>
        <w:tab/>
        <w:t>If the Board is satisfied that those special circumstances exist, the Board is required not to include the particulars concerned in the register, unless the Board considers that the public interest in maintaining public access to the particulars outweighs any individual interest in the particulars not being publicly available.</w:t>
      </w:r>
    </w:p>
    <w:p>
      <w:pPr>
        <w:pStyle w:val="Heading2"/>
      </w:pPr>
      <w:bookmarkStart w:id="69" w:name="_Toc466893736"/>
      <w:bookmarkStart w:id="70" w:name="_Toc467498388"/>
      <w:bookmarkStart w:id="71" w:name="_Toc476040517"/>
      <w:bookmarkStart w:id="72" w:name="_Toc476041001"/>
      <w:r>
        <w:rPr>
          <w:rStyle w:val="CharPartNo"/>
        </w:rPr>
        <w:t>Part 7</w:t>
      </w:r>
      <w:r>
        <w:t> — </w:t>
      </w:r>
      <w:r>
        <w:rPr>
          <w:rStyle w:val="CharPartText"/>
        </w:rPr>
        <w:t>Trust money and trust accounts</w:t>
      </w:r>
      <w:bookmarkEnd w:id="69"/>
      <w:bookmarkEnd w:id="70"/>
      <w:bookmarkEnd w:id="71"/>
      <w:bookmarkEnd w:id="72"/>
    </w:p>
    <w:p>
      <w:pPr>
        <w:pStyle w:val="Heading3"/>
      </w:pPr>
      <w:bookmarkStart w:id="73" w:name="_Toc466893737"/>
      <w:bookmarkStart w:id="74" w:name="_Toc467498389"/>
      <w:bookmarkStart w:id="75" w:name="_Toc476040518"/>
      <w:bookmarkStart w:id="76" w:name="_Toc476041002"/>
      <w:r>
        <w:rPr>
          <w:rStyle w:val="CharDivNo"/>
        </w:rPr>
        <w:t>Division 1</w:t>
      </w:r>
      <w:r>
        <w:t> — </w:t>
      </w:r>
      <w:r>
        <w:rPr>
          <w:rStyle w:val="CharDivText"/>
        </w:rPr>
        <w:t>Preliminary matters</w:t>
      </w:r>
      <w:bookmarkEnd w:id="73"/>
      <w:bookmarkEnd w:id="74"/>
      <w:bookmarkEnd w:id="75"/>
      <w:bookmarkEnd w:id="76"/>
    </w:p>
    <w:p>
      <w:pPr>
        <w:pStyle w:val="Heading5"/>
      </w:pPr>
      <w:bookmarkStart w:id="77" w:name="_Toc476041003"/>
      <w:r>
        <w:rPr>
          <w:rStyle w:val="CharSectno"/>
        </w:rPr>
        <w:t>33</w:t>
      </w:r>
      <w:r>
        <w:t>.</w:t>
      </w:r>
      <w:r>
        <w:tab/>
        <w:t>Application of Part</w:t>
      </w:r>
      <w:bookmarkEnd w:id="77"/>
    </w:p>
    <w:p>
      <w:pPr>
        <w:pStyle w:val="Subsection"/>
      </w:pPr>
      <w:r>
        <w:tab/>
      </w:r>
      <w:r>
        <w:tab/>
        <w:t xml:space="preserve">This Part has effect for the purposes of Part 9 of the Act, and accordingly applies to a law practice in respect of — </w:t>
      </w:r>
    </w:p>
    <w:p>
      <w:pPr>
        <w:pStyle w:val="Indenta"/>
      </w:pPr>
      <w:r>
        <w:tab/>
        <w:t>(a)</w:t>
      </w:r>
      <w:r>
        <w:tab/>
        <w:t>trust money received by the practice in this jurisdiction, unless the practice has an office in one or more other jurisdictions but not in this jurisdiction; and</w:t>
      </w:r>
    </w:p>
    <w:p>
      <w:pPr>
        <w:pStyle w:val="Indenta"/>
      </w:pPr>
      <w:r>
        <w:tab/>
        <w:t>(b)</w:t>
      </w:r>
      <w:r>
        <w:tab/>
        <w:t>trust money received by the practice in another jurisdiction, if the practice has an office in this jurisdiction but in no other jurisdiction; and</w:t>
      </w:r>
    </w:p>
    <w:p>
      <w:pPr>
        <w:pStyle w:val="Indenta"/>
      </w:pPr>
      <w:r>
        <w:tab/>
        <w:t>(c)</w:t>
      </w:r>
      <w:r>
        <w:tab/>
        <w:t xml:space="preserve">trust money received by the practice in another jurisdiction, if the practice has an office in — </w:t>
      </w:r>
    </w:p>
    <w:p>
      <w:pPr>
        <w:pStyle w:val="Indenti"/>
      </w:pPr>
      <w:r>
        <w:tab/>
        <w:t>(i)</w:t>
      </w:r>
      <w:r>
        <w:tab/>
        <w:t>this jurisdiction; and</w:t>
      </w:r>
    </w:p>
    <w:p>
      <w:pPr>
        <w:pStyle w:val="Indenti"/>
      </w:pPr>
      <w:r>
        <w:tab/>
        <w:t>(ii)</w:t>
      </w:r>
      <w:r>
        <w:tab/>
        <w:t>one or more other jurisdictions but not in the jurisdiction in which the money was received,</w:t>
      </w:r>
    </w:p>
    <w:p>
      <w:pPr>
        <w:pStyle w:val="Indenta"/>
      </w:pPr>
      <w:r>
        <w:tab/>
      </w:r>
      <w:r>
        <w:tab/>
        <w:t>unless the money is dealt with in accordance with the corresponding law of a jurisdiction in which the practice has an office.</w:t>
      </w:r>
    </w:p>
    <w:p>
      <w:pPr>
        <w:pStyle w:val="Heading5"/>
      </w:pPr>
      <w:bookmarkStart w:id="78" w:name="_Toc476041004"/>
      <w:r>
        <w:rPr>
          <w:rStyle w:val="CharSectno"/>
        </w:rPr>
        <w:t>34</w:t>
      </w:r>
      <w:r>
        <w:t>.</w:t>
      </w:r>
      <w:r>
        <w:tab/>
        <w:t>Terms used</w:t>
      </w:r>
      <w:bookmarkEnd w:id="78"/>
    </w:p>
    <w:p>
      <w:pPr>
        <w:pStyle w:val="Subsection"/>
      </w:pPr>
      <w:r>
        <w:tab/>
      </w:r>
      <w:r>
        <w:tab/>
        <w:t xml:space="preserve">In this Part — </w:t>
      </w:r>
    </w:p>
    <w:p>
      <w:pPr>
        <w:pStyle w:val="Defstart"/>
      </w:pPr>
      <w:r>
        <w:tab/>
      </w:r>
      <w:r>
        <w:rPr>
          <w:rStyle w:val="CharDefText"/>
        </w:rPr>
        <w:t>BSB number</w:t>
      </w:r>
      <w:r>
        <w:t xml:space="preserve"> (Bank State Branch number) means the number assigned to identify a particular branch of a particular ADI;</w:t>
      </w:r>
    </w:p>
    <w:p>
      <w:pPr>
        <w:pStyle w:val="Defstart"/>
      </w:pPr>
      <w:r>
        <w:tab/>
      </w:r>
      <w:r>
        <w:rPr>
          <w:rStyle w:val="CharDefText"/>
        </w:rPr>
        <w:t>matter description</w:t>
      </w:r>
      <w:r>
        <w:t xml:space="preserve"> means a brief phrase or expression assigned by a law practice to describe a matter;</w:t>
      </w:r>
    </w:p>
    <w:p>
      <w:pPr>
        <w:pStyle w:val="Defstart"/>
      </w:pPr>
      <w:r>
        <w:tab/>
      </w:r>
      <w:r>
        <w:rPr>
          <w:rStyle w:val="CharDefText"/>
        </w:rPr>
        <w:t>matter reference</w:t>
      </w:r>
      <w:r>
        <w:t xml:space="preserve"> means a number or other reference assigned by a law practice to identify a matter;</w:t>
      </w:r>
    </w:p>
    <w:p>
      <w:pPr>
        <w:pStyle w:val="Defstart"/>
      </w:pPr>
      <w:r>
        <w:tab/>
      </w:r>
      <w:r>
        <w:rPr>
          <w:rStyle w:val="CharDefText"/>
        </w:rPr>
        <w:t>trust money</w:t>
      </w:r>
      <w:r>
        <w:t xml:space="preserve"> means trust money in respect of which this Part for the time being applies, as mentioned in regulation 33.</w:t>
      </w:r>
    </w:p>
    <w:p>
      <w:pPr>
        <w:pStyle w:val="Heading3"/>
      </w:pPr>
      <w:bookmarkStart w:id="79" w:name="_Toc466893740"/>
      <w:bookmarkStart w:id="80" w:name="_Toc467498392"/>
      <w:bookmarkStart w:id="81" w:name="_Toc476040521"/>
      <w:bookmarkStart w:id="82" w:name="_Toc476041005"/>
      <w:r>
        <w:rPr>
          <w:rStyle w:val="CharDivNo"/>
        </w:rPr>
        <w:t>Division 2</w:t>
      </w:r>
      <w:r>
        <w:t> — </w:t>
      </w:r>
      <w:r>
        <w:rPr>
          <w:rStyle w:val="CharDivText"/>
        </w:rPr>
        <w:t>Computerised accounting systems</w:t>
      </w:r>
      <w:bookmarkEnd w:id="79"/>
      <w:bookmarkEnd w:id="80"/>
      <w:bookmarkEnd w:id="81"/>
      <w:bookmarkEnd w:id="82"/>
    </w:p>
    <w:p>
      <w:pPr>
        <w:pStyle w:val="Heading5"/>
      </w:pPr>
      <w:bookmarkStart w:id="83" w:name="_Toc476041006"/>
      <w:r>
        <w:rPr>
          <w:rStyle w:val="CharSectno"/>
        </w:rPr>
        <w:t>35</w:t>
      </w:r>
      <w:r>
        <w:t>.</w:t>
      </w:r>
      <w:r>
        <w:tab/>
        <w:t>Application of Division</w:t>
      </w:r>
      <w:bookmarkEnd w:id="83"/>
    </w:p>
    <w:p>
      <w:pPr>
        <w:pStyle w:val="Subsection"/>
        <w:spacing w:before="140"/>
      </w:pPr>
      <w:r>
        <w:tab/>
      </w:r>
      <w:r>
        <w:tab/>
        <w:t>This Division applies where a law practice maintains trust records (including records relating to controlled money) by means of a computerised accounting system.</w:t>
      </w:r>
    </w:p>
    <w:p>
      <w:pPr>
        <w:pStyle w:val="Heading5"/>
      </w:pPr>
      <w:bookmarkStart w:id="84" w:name="_Toc476041007"/>
      <w:r>
        <w:rPr>
          <w:rStyle w:val="CharSectno"/>
        </w:rPr>
        <w:t>36</w:t>
      </w:r>
      <w:r>
        <w:t>.</w:t>
      </w:r>
      <w:r>
        <w:tab/>
        <w:t>Trust records, paper copies of required</w:t>
      </w:r>
      <w:bookmarkEnd w:id="84"/>
    </w:p>
    <w:p>
      <w:pPr>
        <w:pStyle w:val="Subsection"/>
        <w:spacing w:before="140"/>
      </w:pPr>
      <w:r>
        <w:tab/>
        <w:t>(1)</w:t>
      </w:r>
      <w:r>
        <w:tab/>
        <w:t xml:space="preserve">The law practice must print a paper copy of trust records as follows — </w:t>
      </w:r>
    </w:p>
    <w:p>
      <w:pPr>
        <w:pStyle w:val="Indenta"/>
        <w:spacing w:before="60"/>
      </w:pPr>
      <w:r>
        <w:tab/>
        <w:t>(a)</w:t>
      </w:r>
      <w:r>
        <w:tab/>
        <w:t>trust account receipts and payments cash books are to be printed monthly as at the end of each month, unless a copy of the books as at the end of the month is kept in electronic form that is readable or reportable on demand;</w:t>
      </w:r>
    </w:p>
    <w:p>
      <w:pPr>
        <w:pStyle w:val="Indenta"/>
        <w:spacing w:before="60"/>
      </w:pPr>
      <w:r>
        <w:tab/>
        <w:t>(b)</w:t>
      </w:r>
      <w:r>
        <w:tab/>
        <w:t>reconciliation statements prepared under regulation 51 are to be printed as at the end of each month;</w:t>
      </w:r>
    </w:p>
    <w:p>
      <w:pPr>
        <w:pStyle w:val="Indenta"/>
        <w:spacing w:before="60"/>
      </w:pPr>
      <w:r>
        <w:tab/>
        <w:t>(c)</w:t>
      </w:r>
      <w:r>
        <w:tab/>
        <w:t>lists of trust account ledgers and their balances are to be printed monthly as at the end of each month;</w:t>
      </w:r>
    </w:p>
    <w:p>
      <w:pPr>
        <w:pStyle w:val="Indenta"/>
        <w:spacing w:before="60"/>
      </w:pPr>
      <w:r>
        <w:tab/>
        <w:t>(d)</w:t>
      </w:r>
      <w:r>
        <w:tab/>
        <w:t>lists of controlled money accounts and their balances are to be printed monthly as at the end of each month;</w:t>
      </w:r>
    </w:p>
    <w:p>
      <w:pPr>
        <w:pStyle w:val="Indenta"/>
        <w:spacing w:before="60"/>
      </w:pPr>
      <w:r>
        <w:tab/>
        <w:t>(e)</w:t>
      </w:r>
      <w:r>
        <w:tab/>
        <w:t>trust ledger accounts, the register of controlled money and the trust account transfer journal are to be printed before they are archived or deleted from the system;</w:t>
      </w:r>
    </w:p>
    <w:p>
      <w:pPr>
        <w:pStyle w:val="Indenta"/>
        <w:spacing w:before="60"/>
      </w:pPr>
      <w:r>
        <w:tab/>
        <w:t>(f)</w:t>
      </w:r>
      <w:r>
        <w:tab/>
        <w:t>trust ledger account and controlled money account details are to be printed on request by and provided to an investigator as defined in section 205(1) of the Act.</w:t>
      </w:r>
    </w:p>
    <w:p>
      <w:pPr>
        <w:pStyle w:val="Subsection"/>
        <w:spacing w:before="140"/>
      </w:pPr>
      <w:r>
        <w:tab/>
        <w:t>(2)</w:t>
      </w:r>
      <w:r>
        <w:tab/>
        <w:t>The trust records printed monthly as at the end of a month under subregulation (1)(a) to (d) must be printed within 15 working days after the end of the month.</w:t>
      </w:r>
    </w:p>
    <w:p>
      <w:pPr>
        <w:pStyle w:val="Subsection"/>
        <w:spacing w:before="140"/>
      </w:pPr>
      <w:r>
        <w:tab/>
        <w:t>(3)</w:t>
      </w:r>
      <w:r>
        <w:tab/>
        <w:t>The paper copies printed under subregulation (1) must be kept by the law practice, except where they are printed on request under that subregulation.</w:t>
      </w:r>
    </w:p>
    <w:p>
      <w:pPr>
        <w:pStyle w:val="Subsection"/>
        <w:spacing w:before="140"/>
      </w:pPr>
      <w:r>
        <w:tab/>
        <w:t>(4)</w:t>
      </w:r>
      <w:r>
        <w:tab/>
        <w:t>The electronic copy of the trust account cash books under subregulation (1)(a) must be kept by the law practice.</w:t>
      </w:r>
    </w:p>
    <w:p>
      <w:pPr>
        <w:pStyle w:val="Heading5"/>
      </w:pPr>
      <w:bookmarkStart w:id="85" w:name="_Toc476041008"/>
      <w:r>
        <w:rPr>
          <w:rStyle w:val="CharSectno"/>
        </w:rPr>
        <w:t>37</w:t>
      </w:r>
      <w:r>
        <w:t>.</w:t>
      </w:r>
      <w:r>
        <w:tab/>
        <w:t>Chronological record of certain information required</w:t>
      </w:r>
      <w:bookmarkEnd w:id="85"/>
    </w:p>
    <w:p>
      <w:pPr>
        <w:pStyle w:val="Subsection"/>
      </w:pPr>
      <w:r>
        <w:tab/>
        <w:t>(1)</w:t>
      </w:r>
      <w:r>
        <w:tab/>
        <w:t xml:space="preserve">The law practice must maintain a record, compiled in chronological sequence, of the creation, amendment or deletion of information in its computerised accounting system in relation to the following — </w:t>
      </w:r>
    </w:p>
    <w:p>
      <w:pPr>
        <w:pStyle w:val="Indenta"/>
      </w:pPr>
      <w:r>
        <w:tab/>
        <w:t>(a)</w:t>
      </w:r>
      <w:r>
        <w:tab/>
        <w:t>client name;</w:t>
      </w:r>
    </w:p>
    <w:p>
      <w:pPr>
        <w:pStyle w:val="Indenta"/>
      </w:pPr>
      <w:r>
        <w:tab/>
        <w:t>(b)</w:t>
      </w:r>
      <w:r>
        <w:tab/>
        <w:t>client address;</w:t>
      </w:r>
    </w:p>
    <w:p>
      <w:pPr>
        <w:pStyle w:val="Indenta"/>
      </w:pPr>
      <w:r>
        <w:tab/>
        <w:t>(c)</w:t>
      </w:r>
      <w:r>
        <w:tab/>
        <w:t>matter reference;</w:t>
      </w:r>
    </w:p>
    <w:p>
      <w:pPr>
        <w:pStyle w:val="Indenta"/>
      </w:pPr>
      <w:r>
        <w:tab/>
        <w:t>(d)</w:t>
      </w:r>
      <w:r>
        <w:tab/>
        <w:t>matter description;</w:t>
      </w:r>
    </w:p>
    <w:p>
      <w:pPr>
        <w:pStyle w:val="Indenta"/>
      </w:pPr>
      <w:r>
        <w:tab/>
        <w:t>(e)</w:t>
      </w:r>
      <w:r>
        <w:tab/>
        <w:t>ledger account number or other descriptor.</w:t>
      </w:r>
    </w:p>
    <w:p>
      <w:pPr>
        <w:pStyle w:val="Subsection"/>
      </w:pPr>
      <w:r>
        <w:tab/>
        <w:t>(2)</w:t>
      </w:r>
      <w:r>
        <w:tab/>
        <w:t>The record must be kept by the law practice.</w:t>
      </w:r>
    </w:p>
    <w:p>
      <w:pPr>
        <w:pStyle w:val="Heading5"/>
      </w:pPr>
      <w:bookmarkStart w:id="86" w:name="_Toc476041009"/>
      <w:r>
        <w:rPr>
          <w:rStyle w:val="CharSectno"/>
        </w:rPr>
        <w:t>38</w:t>
      </w:r>
      <w:r>
        <w:t>.</w:t>
      </w:r>
      <w:r>
        <w:tab/>
        <w:t>Requirements as to systems etc.</w:t>
      </w:r>
      <w:bookmarkEnd w:id="86"/>
    </w:p>
    <w:p>
      <w:pPr>
        <w:pStyle w:val="Subsection"/>
      </w:pPr>
      <w:r>
        <w:tab/>
        <w:t>(1)</w:t>
      </w:r>
      <w:r>
        <w:tab/>
        <w:t>The law practice must ensure that its computerised accounting system is not capable of accepting, in respect of a trust ledger account, the entry of a transaction resulting in a debit balance to the account, unless a contemporaneous record of the transaction is made in a manner that enables the production in a permanent form, on demand, of a separate chronological report of all occurrences of that kind.</w:t>
      </w:r>
    </w:p>
    <w:p>
      <w:pPr>
        <w:pStyle w:val="Subsection"/>
      </w:pPr>
      <w:r>
        <w:tab/>
        <w:t>(2)</w:t>
      </w:r>
      <w:r>
        <w:tab/>
        <w:t xml:space="preserve">The law practice must ensure that the system is not capable of deleting a trust ledger account unless — </w:t>
      </w:r>
    </w:p>
    <w:p>
      <w:pPr>
        <w:pStyle w:val="Indenta"/>
      </w:pPr>
      <w:r>
        <w:tab/>
        <w:t>(a)</w:t>
      </w:r>
      <w:r>
        <w:tab/>
        <w:t>the balance of the account is zero and all outstanding cheques have been presented; and</w:t>
      </w:r>
    </w:p>
    <w:p>
      <w:pPr>
        <w:pStyle w:val="Indenta"/>
      </w:pPr>
      <w:r>
        <w:tab/>
        <w:t>(b)</w:t>
      </w:r>
      <w:r>
        <w:tab/>
        <w:t>when the account is deleted, a copy of the account is kept in a permanent form.</w:t>
      </w:r>
    </w:p>
    <w:p>
      <w:pPr>
        <w:pStyle w:val="Subsection"/>
      </w:pPr>
      <w:r>
        <w:tab/>
        <w:t>(3)</w:t>
      </w:r>
      <w:r>
        <w:tab/>
        <w:t>The law practice must ensure that any entry in a record produced in a permanent form appears in a chronological sequence.</w:t>
      </w:r>
    </w:p>
    <w:p>
      <w:pPr>
        <w:pStyle w:val="Subsection"/>
      </w:pPr>
      <w:r>
        <w:tab/>
        <w:t>(4)</w:t>
      </w:r>
      <w:r>
        <w:tab/>
        <w:t>The law practice must ensure that each page of each printed record is numbered sequentially or is printed in such a way that no page can be extracted.</w:t>
      </w:r>
    </w:p>
    <w:p>
      <w:pPr>
        <w:pStyle w:val="Subsection"/>
      </w:pPr>
      <w:r>
        <w:tab/>
        <w:t>(5)</w:t>
      </w:r>
      <w:r>
        <w:tab/>
        <w:t>The law practice must ensure that its computerised accounting system is not capable of amending the particulars of a transaction already recorded otherwise than by a transaction separately recorded that makes the amendment.</w:t>
      </w:r>
    </w:p>
    <w:p>
      <w:pPr>
        <w:pStyle w:val="Subsection"/>
        <w:spacing w:before="140"/>
      </w:pPr>
      <w:r>
        <w:tab/>
        <w:t>(6)</w:t>
      </w:r>
      <w:r>
        <w:tab/>
        <w:t>The law practice must ensure that its computerised accounting system requires input in every field of a data entry screen intended to receive information required by this Part to be included in trust records.</w:t>
      </w:r>
    </w:p>
    <w:p>
      <w:pPr>
        <w:pStyle w:val="Heading5"/>
      </w:pPr>
      <w:bookmarkStart w:id="87" w:name="_Toc476041010"/>
      <w:r>
        <w:rPr>
          <w:rStyle w:val="CharSectno"/>
        </w:rPr>
        <w:t>39</w:t>
      </w:r>
      <w:r>
        <w:t>.</w:t>
      </w:r>
      <w:r>
        <w:tab/>
        <w:t>Back</w:t>
      </w:r>
      <w:r>
        <w:noBreakHyphen/>
        <w:t>ups, requirements as to</w:t>
      </w:r>
      <w:bookmarkEnd w:id="87"/>
    </w:p>
    <w:p>
      <w:pPr>
        <w:pStyle w:val="Subsection"/>
        <w:spacing w:before="140"/>
      </w:pPr>
      <w:r>
        <w:tab/>
      </w:r>
      <w:r>
        <w:tab/>
        <w:t xml:space="preserve">The law practice must ensure that — </w:t>
      </w:r>
    </w:p>
    <w:p>
      <w:pPr>
        <w:pStyle w:val="Indenta"/>
        <w:spacing w:before="60"/>
      </w:pPr>
      <w:r>
        <w:tab/>
        <w:t>(a)</w:t>
      </w:r>
      <w:r>
        <w:tab/>
        <w:t>a back</w:t>
      </w:r>
      <w:r>
        <w:noBreakHyphen/>
        <w:t>up copy of all records required by this Part is made not less frequently than once each month; and</w:t>
      </w:r>
    </w:p>
    <w:p>
      <w:pPr>
        <w:pStyle w:val="Indenta"/>
        <w:spacing w:before="60"/>
      </w:pPr>
      <w:r>
        <w:tab/>
        <w:t>(b)</w:t>
      </w:r>
      <w:r>
        <w:tab/>
        <w:t>each back</w:t>
      </w:r>
      <w:r>
        <w:noBreakHyphen/>
        <w:t>up is kept by the law practice; and</w:t>
      </w:r>
    </w:p>
    <w:p>
      <w:pPr>
        <w:pStyle w:val="Indenta"/>
        <w:spacing w:before="60"/>
      </w:pPr>
      <w:r>
        <w:tab/>
        <w:t>(c)</w:t>
      </w:r>
      <w:r>
        <w:tab/>
        <w:t>a complete set of back</w:t>
      </w:r>
      <w:r>
        <w:noBreakHyphen/>
        <w:t>up copies is kept in a separate location so that any incident that may adversely affect the records would not also affect the back</w:t>
      </w:r>
      <w:r>
        <w:noBreakHyphen/>
        <w:t>up copy.</w:t>
      </w:r>
    </w:p>
    <w:p>
      <w:pPr>
        <w:pStyle w:val="Heading3"/>
      </w:pPr>
      <w:bookmarkStart w:id="88" w:name="_Toc466893746"/>
      <w:bookmarkStart w:id="89" w:name="_Toc467498398"/>
      <w:bookmarkStart w:id="90" w:name="_Toc476040527"/>
      <w:bookmarkStart w:id="91" w:name="_Toc476041011"/>
      <w:r>
        <w:rPr>
          <w:rStyle w:val="CharDivNo"/>
        </w:rPr>
        <w:t>Division 3</w:t>
      </w:r>
      <w:r>
        <w:t> — </w:t>
      </w:r>
      <w:r>
        <w:rPr>
          <w:rStyle w:val="CharDivText"/>
        </w:rPr>
        <w:t>General trust accounts</w:t>
      </w:r>
      <w:bookmarkEnd w:id="88"/>
      <w:bookmarkEnd w:id="89"/>
      <w:bookmarkEnd w:id="90"/>
      <w:bookmarkEnd w:id="91"/>
    </w:p>
    <w:p>
      <w:pPr>
        <w:pStyle w:val="Heading5"/>
        <w:spacing w:before="200"/>
      </w:pPr>
      <w:bookmarkStart w:id="92" w:name="_Toc476041012"/>
      <w:r>
        <w:rPr>
          <w:rStyle w:val="CharSectno"/>
        </w:rPr>
        <w:t>40</w:t>
      </w:r>
      <w:r>
        <w:t>.</w:t>
      </w:r>
      <w:r>
        <w:tab/>
        <w:t>How account to be established and maintained (Act s. 214(2))</w:t>
      </w:r>
      <w:bookmarkEnd w:id="92"/>
    </w:p>
    <w:p>
      <w:pPr>
        <w:pStyle w:val="Subsection"/>
        <w:spacing w:before="140"/>
      </w:pPr>
      <w:r>
        <w:tab/>
        <w:t>(1)</w:t>
      </w:r>
      <w:r>
        <w:tab/>
        <w:t>A law practice may at any time establish a general trust account that satisfies the requirements of this regulation, but must, as soon as practicable after receiving trust money that is required to be paid into a general trust account, establish a general trust account that satisfies those requirements if the practice does not already have such a general trust account.</w:t>
      </w:r>
    </w:p>
    <w:p>
      <w:pPr>
        <w:pStyle w:val="Subsection"/>
        <w:keepNext/>
        <w:keepLines/>
        <w:spacing w:before="140"/>
      </w:pPr>
      <w:r>
        <w:tab/>
        <w:t>(2)</w:t>
      </w:r>
      <w:r>
        <w:tab/>
        <w:t xml:space="preserve">A general trust account satisfies the requirements of this regulation if — </w:t>
      </w:r>
    </w:p>
    <w:p>
      <w:pPr>
        <w:pStyle w:val="Indenta"/>
        <w:spacing w:before="60"/>
      </w:pPr>
      <w:r>
        <w:tab/>
        <w:t>(a)</w:t>
      </w:r>
      <w:r>
        <w:tab/>
        <w:t>the account is established in this jurisdiction, before or after the commencement of this regulation, with an ADI; and</w:t>
      </w:r>
    </w:p>
    <w:p>
      <w:pPr>
        <w:pStyle w:val="Indenta"/>
        <w:spacing w:before="60"/>
      </w:pPr>
      <w:r>
        <w:tab/>
        <w:t>(b)</w:t>
      </w:r>
      <w:r>
        <w:tab/>
        <w:t>the account is and is to be maintained in this jurisdiction; and</w:t>
      </w:r>
    </w:p>
    <w:p>
      <w:pPr>
        <w:pStyle w:val="Indenta"/>
      </w:pPr>
      <w:r>
        <w:tab/>
        <w:t>(c)</w:t>
      </w:r>
      <w:r>
        <w:tab/>
        <w:t xml:space="preserve">the name of the account includes — </w:t>
      </w:r>
    </w:p>
    <w:p>
      <w:pPr>
        <w:pStyle w:val="Indenti"/>
      </w:pPr>
      <w:r>
        <w:tab/>
        <w:t>(i)</w:t>
      </w:r>
      <w:r>
        <w:tab/>
        <w:t>the name of the law practice or the business name under which the law practice engages in legal practice; and</w:t>
      </w:r>
    </w:p>
    <w:p>
      <w:pPr>
        <w:pStyle w:val="Indenti"/>
      </w:pPr>
      <w:r>
        <w:tab/>
        <w:t>(ii)</w:t>
      </w:r>
      <w:r>
        <w:tab/>
        <w:t>the expression “law practice trust account” or “law practice trust a/c”;</w:t>
      </w:r>
    </w:p>
    <w:p>
      <w:pPr>
        <w:pStyle w:val="Indenta"/>
      </w:pPr>
      <w:r>
        <w:tab/>
      </w:r>
      <w:r>
        <w:tab/>
        <w:t>and</w:t>
      </w:r>
    </w:p>
    <w:p>
      <w:pPr>
        <w:pStyle w:val="Indenta"/>
      </w:pPr>
      <w:r>
        <w:tab/>
        <w:t>(d)</w:t>
      </w:r>
      <w:r>
        <w:tab/>
        <w:t>the account is of a kind that is for the time being approved by the Board.</w:t>
      </w:r>
    </w:p>
    <w:p>
      <w:pPr>
        <w:pStyle w:val="Subsection"/>
      </w:pPr>
      <w:r>
        <w:tab/>
        <w:t>(3)</w:t>
      </w:r>
      <w:r>
        <w:tab/>
        <w:t>Subregulation (2)(c) does not apply to an account established in this jurisdiction before the commencement of this regulation.</w:t>
      </w:r>
    </w:p>
    <w:p>
      <w:pPr>
        <w:pStyle w:val="Subsection"/>
      </w:pPr>
      <w:r>
        <w:tab/>
        <w:t>(4)</w:t>
      </w:r>
      <w:r>
        <w:tab/>
        <w:t>Subregulation (2)(c)(ii) does not require the repetition of the words “law practice” if those words form part of the name or business name of the law practice.</w:t>
      </w:r>
    </w:p>
    <w:p>
      <w:pPr>
        <w:pStyle w:val="Heading5"/>
      </w:pPr>
      <w:bookmarkStart w:id="93" w:name="_Toc476041013"/>
      <w:r>
        <w:rPr>
          <w:rStyle w:val="CharSectno"/>
        </w:rPr>
        <w:t>41</w:t>
      </w:r>
      <w:r>
        <w:t>.</w:t>
      </w:r>
      <w:r>
        <w:tab/>
        <w:t>Trust money received, how to be receipted</w:t>
      </w:r>
      <w:bookmarkEnd w:id="93"/>
    </w:p>
    <w:p>
      <w:pPr>
        <w:pStyle w:val="Subsection"/>
      </w:pPr>
      <w:r>
        <w:tab/>
        <w:t>(1)</w:t>
      </w:r>
      <w:r>
        <w:tab/>
        <w:t>This regulation applies if a law practice receives trust money that is required to be paid into a general trust account.</w:t>
      </w:r>
    </w:p>
    <w:p>
      <w:pPr>
        <w:pStyle w:val="Subsection"/>
      </w:pPr>
      <w:r>
        <w:tab/>
        <w:t>(2)</w:t>
      </w:r>
      <w:r>
        <w:tab/>
        <w:t>After receiving the trust money, the law practice must make out a receipt.</w:t>
      </w:r>
    </w:p>
    <w:p>
      <w:pPr>
        <w:pStyle w:val="Subsection"/>
      </w:pPr>
      <w:r>
        <w:tab/>
        <w:t>(3)</w:t>
      </w:r>
      <w:r>
        <w:tab/>
        <w:t xml:space="preserve">The receipt must be made out as soon as practicable — </w:t>
      </w:r>
    </w:p>
    <w:p>
      <w:pPr>
        <w:pStyle w:val="Indenta"/>
      </w:pPr>
      <w:r>
        <w:tab/>
        <w:t>(a)</w:t>
      </w:r>
      <w:r>
        <w:tab/>
        <w:t>after the trust money is received, except as provided by paragraph (b); or</w:t>
      </w:r>
    </w:p>
    <w:p>
      <w:pPr>
        <w:pStyle w:val="Indenta"/>
      </w:pPr>
      <w:r>
        <w:tab/>
        <w:t>(b)</w:t>
      </w:r>
      <w:r>
        <w:tab/>
        <w:t>in the case of trust money received by direct deposit — after the law practice receives or accesses notice or confirmation (in written or electronic form) of the deposit from the ADI concerned.</w:t>
      </w:r>
    </w:p>
    <w:p>
      <w:pPr>
        <w:pStyle w:val="Subsection"/>
      </w:pPr>
      <w:r>
        <w:tab/>
        <w:t>(4)</w:t>
      </w:r>
      <w:r>
        <w:tab/>
        <w:t>The receipt, containing the required particulars, must be made out in duplicate, whether by way of making a carbon copy or otherwise, unless at the time the receipt is made out those particulars are recorded by computer program in the trust account receipts cash book.</w:t>
      </w:r>
    </w:p>
    <w:p>
      <w:pPr>
        <w:pStyle w:val="Subsection"/>
      </w:pPr>
      <w:r>
        <w:tab/>
        <w:t>(5)</w:t>
      </w:r>
      <w:r>
        <w:tab/>
        <w:t xml:space="preserve">For the purposes of subregulation (4), the </w:t>
      </w:r>
      <w:r>
        <w:rPr>
          <w:rStyle w:val="CharDefText"/>
        </w:rPr>
        <w:t>required particulars</w:t>
      </w:r>
      <w:r>
        <w:t xml:space="preserve"> are as follows — </w:t>
      </w:r>
    </w:p>
    <w:p>
      <w:pPr>
        <w:pStyle w:val="Indenta"/>
      </w:pPr>
      <w:r>
        <w:tab/>
        <w:t>(a)</w:t>
      </w:r>
      <w:r>
        <w:tab/>
        <w:t>the date the receipt is made out and, if different, the date of receipt of the money;</w:t>
      </w:r>
    </w:p>
    <w:p>
      <w:pPr>
        <w:pStyle w:val="Indenta"/>
      </w:pPr>
      <w:r>
        <w:tab/>
        <w:t>(b)</w:t>
      </w:r>
      <w:r>
        <w:tab/>
        <w:t>the amount of money received;</w:t>
      </w:r>
    </w:p>
    <w:p>
      <w:pPr>
        <w:pStyle w:val="Indenta"/>
      </w:pPr>
      <w:r>
        <w:tab/>
        <w:t>(c)</w:t>
      </w:r>
      <w:r>
        <w:tab/>
        <w:t>the form in which the money was received;</w:t>
      </w:r>
    </w:p>
    <w:p>
      <w:pPr>
        <w:pStyle w:val="Indenta"/>
      </w:pPr>
      <w:r>
        <w:tab/>
        <w:t>(d)</w:t>
      </w:r>
      <w:r>
        <w:tab/>
        <w:t>the name of the person from whom the money was received;</w:t>
      </w:r>
    </w:p>
    <w:p>
      <w:pPr>
        <w:pStyle w:val="Indenta"/>
      </w:pPr>
      <w:r>
        <w:tab/>
        <w:t>(e)</w:t>
      </w:r>
      <w:r>
        <w:tab/>
        <w:t>details clearly identifying the name of the client in respect of whom the money was received and the matter description and matter reference;</w:t>
      </w:r>
    </w:p>
    <w:p>
      <w:pPr>
        <w:pStyle w:val="Indenta"/>
      </w:pPr>
      <w:r>
        <w:tab/>
        <w:t>(f)</w:t>
      </w:r>
      <w:r>
        <w:tab/>
        <w:t>particulars sufficient to identify the purpose for which the money was received;</w:t>
      </w:r>
    </w:p>
    <w:p>
      <w:pPr>
        <w:pStyle w:val="Indenta"/>
      </w:pPr>
      <w:r>
        <w:tab/>
        <w:t>(g)</w:t>
      </w:r>
      <w:r>
        <w:tab/>
        <w:t>the name of the law practice, or the business name under which the law practice engages in legal practice, and the expression “trust account” or “trust a/c”;</w:t>
      </w:r>
    </w:p>
    <w:p>
      <w:pPr>
        <w:pStyle w:val="Indenta"/>
      </w:pPr>
      <w:r>
        <w:tab/>
        <w:t>(h)</w:t>
      </w:r>
      <w:r>
        <w:tab/>
        <w:t>the name of the person who made out the receipt;</w:t>
      </w:r>
    </w:p>
    <w:p>
      <w:pPr>
        <w:pStyle w:val="Indenta"/>
      </w:pPr>
      <w:r>
        <w:tab/>
        <w:t>(i)</w:t>
      </w:r>
      <w:r>
        <w:tab/>
        <w:t>the number of the receipt.</w:t>
      </w:r>
    </w:p>
    <w:p>
      <w:pPr>
        <w:pStyle w:val="Subsection"/>
      </w:pPr>
      <w:r>
        <w:tab/>
        <w:t>(6)</w:t>
      </w:r>
      <w:r>
        <w:tab/>
        <w:t>The original receipt must be delivered, on request, to the person from whom the trust money was received.</w:t>
      </w:r>
    </w:p>
    <w:p>
      <w:pPr>
        <w:pStyle w:val="Subsection"/>
      </w:pPr>
      <w:r>
        <w:tab/>
        <w:t>(7)</w:t>
      </w:r>
      <w:r>
        <w:tab/>
        <w:t>Receipts must be consecutively numbered and issued in consecutive sequence.</w:t>
      </w:r>
    </w:p>
    <w:p>
      <w:pPr>
        <w:pStyle w:val="Subsection"/>
      </w:pPr>
      <w:r>
        <w:tab/>
        <w:t>(8)</w:t>
      </w:r>
      <w:r>
        <w:tab/>
        <w:t>If a receipt is cancelled or not delivered, the original receipt must be kept.</w:t>
      </w:r>
    </w:p>
    <w:p>
      <w:pPr>
        <w:pStyle w:val="Heading5"/>
      </w:pPr>
      <w:bookmarkStart w:id="94" w:name="_Toc476041014"/>
      <w:r>
        <w:rPr>
          <w:rStyle w:val="CharSectno"/>
        </w:rPr>
        <w:t>42</w:t>
      </w:r>
      <w:r>
        <w:t>.</w:t>
      </w:r>
      <w:r>
        <w:tab/>
        <w:t>Trust money not paid to general trust account by direct deposit, how to be dealt with</w:t>
      </w:r>
      <w:bookmarkEnd w:id="94"/>
    </w:p>
    <w:p>
      <w:pPr>
        <w:pStyle w:val="Subsection"/>
      </w:pPr>
      <w:r>
        <w:tab/>
        <w:t>(1)</w:t>
      </w:r>
      <w:r>
        <w:tab/>
        <w:t>This regulation applies if a law practice receives trust money that is required to be paid into a general trust account and the money is not paid into a general trust account by direct deposit.</w:t>
      </w:r>
    </w:p>
    <w:p>
      <w:pPr>
        <w:pStyle w:val="Subsection"/>
      </w:pPr>
      <w:r>
        <w:tab/>
        <w:t>(2)</w:t>
      </w:r>
      <w:r>
        <w:tab/>
        <w:t>A deposit record must be produced to the ADI at the time the deposit is made.</w:t>
      </w:r>
    </w:p>
    <w:p>
      <w:pPr>
        <w:pStyle w:val="Subsection"/>
      </w:pPr>
      <w:r>
        <w:tab/>
        <w:t>(3)</w:t>
      </w:r>
      <w:r>
        <w:tab/>
        <w:t xml:space="preserve">The following particulars must be recorded on the deposit record — </w:t>
      </w:r>
    </w:p>
    <w:p>
      <w:pPr>
        <w:pStyle w:val="Indenta"/>
      </w:pPr>
      <w:r>
        <w:tab/>
        <w:t>(a)</w:t>
      </w:r>
      <w:r>
        <w:tab/>
        <w:t>the date of the deposit;</w:t>
      </w:r>
    </w:p>
    <w:p>
      <w:pPr>
        <w:pStyle w:val="Indenta"/>
      </w:pPr>
      <w:r>
        <w:tab/>
        <w:t>(b)</w:t>
      </w:r>
      <w:r>
        <w:tab/>
        <w:t>the amount of the deposit;</w:t>
      </w:r>
    </w:p>
    <w:p>
      <w:pPr>
        <w:pStyle w:val="Indenta"/>
      </w:pPr>
      <w:r>
        <w:tab/>
        <w:t>(c)</w:t>
      </w:r>
      <w:r>
        <w:tab/>
        <w:t>whether the deposit consists of cheques, notes or coins (and the amount of each);</w:t>
      </w:r>
    </w:p>
    <w:p>
      <w:pPr>
        <w:pStyle w:val="Indenta"/>
      </w:pPr>
      <w:r>
        <w:tab/>
        <w:t>(d)</w:t>
      </w:r>
      <w:r>
        <w:tab/>
        <w:t xml:space="preserve">for each cheque — </w:t>
      </w:r>
    </w:p>
    <w:p>
      <w:pPr>
        <w:pStyle w:val="Indenti"/>
      </w:pPr>
      <w:r>
        <w:tab/>
        <w:t>(i)</w:t>
      </w:r>
      <w:r>
        <w:tab/>
        <w:t>the name of the drawer of the cheque;</w:t>
      </w:r>
    </w:p>
    <w:p>
      <w:pPr>
        <w:pStyle w:val="Indenti"/>
      </w:pPr>
      <w:r>
        <w:tab/>
        <w:t>(ii)</w:t>
      </w:r>
      <w:r>
        <w:tab/>
        <w:t>the name and branch (or BSB number) of the ADI on which the cheque is drawn;</w:t>
      </w:r>
    </w:p>
    <w:p>
      <w:pPr>
        <w:pStyle w:val="Indenti"/>
      </w:pPr>
      <w:r>
        <w:tab/>
        <w:t>(iii)</w:t>
      </w:r>
      <w:r>
        <w:tab/>
        <w:t>the amount of the cheque.</w:t>
      </w:r>
    </w:p>
    <w:p>
      <w:pPr>
        <w:pStyle w:val="Subsection"/>
      </w:pPr>
      <w:r>
        <w:tab/>
        <w:t>(4)</w:t>
      </w:r>
      <w:r>
        <w:tab/>
        <w:t>The deposit record must be made out in duplicate, whether by way of making a carbon copy or otherwise.</w:t>
      </w:r>
    </w:p>
    <w:p>
      <w:pPr>
        <w:pStyle w:val="Subsection"/>
      </w:pPr>
      <w:r>
        <w:tab/>
        <w:t>(5)</w:t>
      </w:r>
      <w:r>
        <w:tab/>
        <w:t>The duplicate deposit record must be kept for each deposit to the general trust account and must be kept in a deposit book or be otherwise securely filed in the order in which the deposits were made.</w:t>
      </w:r>
    </w:p>
    <w:p>
      <w:pPr>
        <w:pStyle w:val="Heading5"/>
      </w:pPr>
      <w:bookmarkStart w:id="95" w:name="_Toc476041015"/>
      <w:r>
        <w:rPr>
          <w:rStyle w:val="CharSectno"/>
        </w:rPr>
        <w:t>43</w:t>
      </w:r>
      <w:r>
        <w:t>.</w:t>
      </w:r>
      <w:r>
        <w:tab/>
        <w:t>Period prescribed (Act s. 215(4))</w:t>
      </w:r>
      <w:bookmarkEnd w:id="95"/>
    </w:p>
    <w:p>
      <w:pPr>
        <w:pStyle w:val="Subsection"/>
      </w:pPr>
      <w:r>
        <w:tab/>
      </w:r>
      <w:r>
        <w:tab/>
        <w:t>For the purposes of section 215(4) of the Act, the period for which a written direction mentioned in section 215(2)(a) of the Act must be kept is 7 years after the finalisation of the matter to which the direction relates.</w:t>
      </w:r>
    </w:p>
    <w:p>
      <w:pPr>
        <w:pStyle w:val="Heading5"/>
      </w:pPr>
      <w:bookmarkStart w:id="96" w:name="_Toc476041016"/>
      <w:r>
        <w:rPr>
          <w:rStyle w:val="CharSectno"/>
        </w:rPr>
        <w:t>44</w:t>
      </w:r>
      <w:r>
        <w:t>.</w:t>
      </w:r>
      <w:r>
        <w:tab/>
        <w:t>Withdrawal of trust money by cheque, how to be dealt with</w:t>
      </w:r>
      <w:bookmarkEnd w:id="96"/>
    </w:p>
    <w:p>
      <w:pPr>
        <w:pStyle w:val="Subsection"/>
      </w:pPr>
      <w:r>
        <w:tab/>
        <w:t>(1)</w:t>
      </w:r>
      <w:r>
        <w:tab/>
        <w:t xml:space="preserve">In this regulation — </w:t>
      </w:r>
    </w:p>
    <w:p>
      <w:pPr>
        <w:pStyle w:val="Defstart"/>
      </w:pPr>
      <w:r>
        <w:tab/>
      </w:r>
      <w:r>
        <w:rPr>
          <w:rStyle w:val="CharDefText"/>
        </w:rPr>
        <w:t>associate</w:t>
      </w:r>
      <w:r>
        <w:t xml:space="preserve"> means an associate of a law practice;</w:t>
      </w:r>
    </w:p>
    <w:p>
      <w:pPr>
        <w:pStyle w:val="Defstart"/>
      </w:pPr>
      <w:r>
        <w:tab/>
      </w:r>
      <w:r>
        <w:rPr>
          <w:rStyle w:val="CharDefText"/>
        </w:rPr>
        <w:t>authorised</w:t>
      </w:r>
      <w:r>
        <w:t xml:space="preserve"> means authorised by the law practice to sign cheques drawn on the general trust account.</w:t>
      </w:r>
    </w:p>
    <w:p>
      <w:pPr>
        <w:pStyle w:val="Subsection"/>
      </w:pPr>
      <w:r>
        <w:tab/>
        <w:t>(2)</w:t>
      </w:r>
      <w:r>
        <w:tab/>
        <w:t>This regulation applies to the withdrawal of trust money from a general trust account of a law practice by cheque.</w:t>
      </w:r>
    </w:p>
    <w:p>
      <w:pPr>
        <w:pStyle w:val="Subsection"/>
        <w:keepNext/>
      </w:pPr>
      <w:r>
        <w:tab/>
        <w:t>(3)</w:t>
      </w:r>
      <w:r>
        <w:tab/>
        <w:t xml:space="preserve">A cheque — </w:t>
      </w:r>
    </w:p>
    <w:p>
      <w:pPr>
        <w:pStyle w:val="Indenta"/>
      </w:pPr>
      <w:r>
        <w:tab/>
        <w:t>(a)</w:t>
      </w:r>
      <w:r>
        <w:tab/>
        <w:t>must be made payable to or to the order of a stated person or persons and not to bearer or cash; and</w:t>
      </w:r>
    </w:p>
    <w:p>
      <w:pPr>
        <w:pStyle w:val="Indenta"/>
      </w:pPr>
      <w:r>
        <w:tab/>
        <w:t>(b)</w:t>
      </w:r>
      <w:r>
        <w:tab/>
        <w:t>must be crossed “not negotiable”; and</w:t>
      </w:r>
    </w:p>
    <w:p>
      <w:pPr>
        <w:pStyle w:val="Indenta"/>
      </w:pPr>
      <w:r>
        <w:tab/>
        <w:t>(c)</w:t>
      </w:r>
      <w:r>
        <w:tab/>
        <w:t xml:space="preserve">must include — </w:t>
      </w:r>
    </w:p>
    <w:p>
      <w:pPr>
        <w:pStyle w:val="Indenti"/>
      </w:pPr>
      <w:r>
        <w:tab/>
        <w:t>(i)</w:t>
      </w:r>
      <w:r>
        <w:tab/>
        <w:t>the name of the law practice or the business name under which the law practice engages in legal practice; and</w:t>
      </w:r>
    </w:p>
    <w:p>
      <w:pPr>
        <w:pStyle w:val="Indenti"/>
      </w:pPr>
      <w:r>
        <w:tab/>
        <w:t>(ii)</w:t>
      </w:r>
      <w:r>
        <w:tab/>
        <w:t>the expression “law practice trust account” or “law practice trust a/c”.</w:t>
      </w:r>
    </w:p>
    <w:p>
      <w:pPr>
        <w:pStyle w:val="Subsection"/>
      </w:pPr>
      <w:r>
        <w:tab/>
        <w:t>(4)</w:t>
      </w:r>
      <w:r>
        <w:tab/>
        <w:t xml:space="preserve">A cheque must be signed — </w:t>
      </w:r>
    </w:p>
    <w:p>
      <w:pPr>
        <w:pStyle w:val="Indenta"/>
      </w:pPr>
      <w:r>
        <w:tab/>
        <w:t>(a)</w:t>
      </w:r>
      <w:r>
        <w:tab/>
        <w:t>by an authorised principal of the law practice; or</w:t>
      </w:r>
    </w:p>
    <w:p>
      <w:pPr>
        <w:pStyle w:val="Indenta"/>
      </w:pPr>
      <w:r>
        <w:tab/>
        <w:t>(b)</w:t>
      </w:r>
      <w:r>
        <w:tab/>
        <w:t xml:space="preserve">if a principal referred to in paragraph (a) is not available — </w:t>
      </w:r>
    </w:p>
    <w:p>
      <w:pPr>
        <w:pStyle w:val="Indenti"/>
      </w:pPr>
      <w:r>
        <w:tab/>
        <w:t>(i)</w:t>
      </w:r>
      <w:r>
        <w:tab/>
        <w:t>by an authorised legal practitioner associate; or</w:t>
      </w:r>
    </w:p>
    <w:p>
      <w:pPr>
        <w:pStyle w:val="Indenti"/>
      </w:pPr>
      <w:r>
        <w:tab/>
        <w:t>(ii)</w:t>
      </w:r>
      <w:r>
        <w:tab/>
        <w:t>by an authorised Australian legal practitioner who holds an unrestricted practising certificate authorising the receipt of trust money; or</w:t>
      </w:r>
    </w:p>
    <w:p>
      <w:pPr>
        <w:pStyle w:val="Indenti"/>
      </w:pPr>
      <w:r>
        <w:tab/>
        <w:t>(iii)</w:t>
      </w:r>
      <w:r>
        <w:tab/>
        <w:t>by 2 or more authorised associates jointly.</w:t>
      </w:r>
    </w:p>
    <w:p>
      <w:pPr>
        <w:pStyle w:val="Subsection"/>
      </w:pPr>
      <w:r>
        <w:tab/>
        <w:t>(5)</w:t>
      </w:r>
      <w:r>
        <w:tab/>
        <w:t>A written record of the required particulars (including a record in the form of a cheque butt) must be kept of each payment made by cheque, whether by way of making a carbon copy or otherwise, unless at the time the cheque is issued those particulars are recorded by computer program in the trust account payments cash book.</w:t>
      </w:r>
    </w:p>
    <w:p>
      <w:pPr>
        <w:pStyle w:val="Subsection"/>
      </w:pPr>
      <w:r>
        <w:tab/>
        <w:t>(6)</w:t>
      </w:r>
      <w:r>
        <w:tab/>
        <w:t>If, at the time the cheque is issued, the required particulars are recorded by computer program in the trust account payments cash book, a written record must be kept that is sufficient to enable the accuracy of the particulars recorded by the computer program to be verified.</w:t>
      </w:r>
    </w:p>
    <w:p>
      <w:pPr>
        <w:pStyle w:val="Subsection"/>
        <w:keepNext/>
      </w:pPr>
      <w:r>
        <w:tab/>
        <w:t>(7)</w:t>
      </w:r>
      <w:r>
        <w:tab/>
        <w:t xml:space="preserve">For the purposes of subregulations (5) and (6), the </w:t>
      </w:r>
      <w:r>
        <w:rPr>
          <w:rStyle w:val="CharDefText"/>
        </w:rPr>
        <w:t>required particulars</w:t>
      </w:r>
      <w:r>
        <w:t xml:space="preserve"> are as follows — </w:t>
      </w:r>
    </w:p>
    <w:p>
      <w:pPr>
        <w:pStyle w:val="Indenta"/>
      </w:pPr>
      <w:r>
        <w:tab/>
        <w:t>(a)</w:t>
      </w:r>
      <w:r>
        <w:tab/>
        <w:t>the date and number of the cheque;</w:t>
      </w:r>
    </w:p>
    <w:p>
      <w:pPr>
        <w:pStyle w:val="Indenta"/>
      </w:pPr>
      <w:r>
        <w:tab/>
        <w:t>(b)</w:t>
      </w:r>
      <w:r>
        <w:tab/>
        <w:t>the amount ordered to be paid by the cheque;</w:t>
      </w:r>
    </w:p>
    <w:p>
      <w:pPr>
        <w:pStyle w:val="Indenta"/>
      </w:pPr>
      <w:r>
        <w:tab/>
        <w:t>(c)</w:t>
      </w:r>
      <w:r>
        <w:tab/>
        <w:t>the name of the person to whom the payment is to be made or, in the case of a cheque made payable to an ADI, the name of the ADI and the name of the person receiving the benefit of the payment;</w:t>
      </w:r>
    </w:p>
    <w:p>
      <w:pPr>
        <w:pStyle w:val="Indenta"/>
      </w:pPr>
      <w:r>
        <w:tab/>
        <w:t>(d)</w:t>
      </w:r>
      <w:r>
        <w:tab/>
        <w:t>details clearly identifying the name of the person on whose behalf the payment was made and the matter reference;</w:t>
      </w:r>
    </w:p>
    <w:p>
      <w:pPr>
        <w:pStyle w:val="Indenta"/>
      </w:pPr>
      <w:r>
        <w:tab/>
        <w:t>(e)</w:t>
      </w:r>
      <w:r>
        <w:tab/>
        <w:t>details clearly identifying the ledger account to be debited;</w:t>
      </w:r>
    </w:p>
    <w:p>
      <w:pPr>
        <w:pStyle w:val="Indenta"/>
      </w:pPr>
      <w:r>
        <w:tab/>
        <w:t>(f)</w:t>
      </w:r>
      <w:r>
        <w:tab/>
        <w:t>particulars sufficient to identify the purpose for which the payment was made.</w:t>
      </w:r>
    </w:p>
    <w:p>
      <w:pPr>
        <w:pStyle w:val="Subsection"/>
      </w:pPr>
      <w:r>
        <w:tab/>
        <w:t>(8)</w:t>
      </w:r>
      <w:r>
        <w:tab/>
        <w:t>Written records relating to payments by cheque (including cheque requisitions) must be kept in the order in which the cheques were issued.</w:t>
      </w:r>
    </w:p>
    <w:p>
      <w:pPr>
        <w:pStyle w:val="Subsection"/>
      </w:pPr>
      <w:r>
        <w:tab/>
        <w:t>(9)</w:t>
      </w:r>
      <w:r>
        <w:tab/>
        <w:t>Subregulation (3)(c) does not apply to an account established in this jurisdiction before the commencement of this regulation.</w:t>
      </w:r>
    </w:p>
    <w:p>
      <w:pPr>
        <w:pStyle w:val="Subsection"/>
      </w:pPr>
      <w:r>
        <w:tab/>
        <w:t>(10)</w:t>
      </w:r>
      <w:r>
        <w:tab/>
        <w:t>Subregulation (3)(c)(ii) does not require the repetition of the words “law practice” if those words form part of the name or business name of the law practice.</w:t>
      </w:r>
    </w:p>
    <w:p>
      <w:pPr>
        <w:pStyle w:val="Heading5"/>
      </w:pPr>
      <w:bookmarkStart w:id="97" w:name="_Toc476041017"/>
      <w:r>
        <w:rPr>
          <w:rStyle w:val="CharSectno"/>
        </w:rPr>
        <w:t>45</w:t>
      </w:r>
      <w:r>
        <w:t>.</w:t>
      </w:r>
      <w:r>
        <w:tab/>
        <w:t>Withdrawal of trust money by electronic funds transfer, how to be dealt with</w:t>
      </w:r>
      <w:bookmarkEnd w:id="97"/>
    </w:p>
    <w:p>
      <w:pPr>
        <w:pStyle w:val="Subsection"/>
      </w:pPr>
      <w:r>
        <w:tab/>
        <w:t>(1)</w:t>
      </w:r>
      <w:r>
        <w:tab/>
        <w:t xml:space="preserve">In this regulation — </w:t>
      </w:r>
    </w:p>
    <w:p>
      <w:pPr>
        <w:pStyle w:val="Defstart"/>
      </w:pPr>
      <w:r>
        <w:tab/>
      </w:r>
      <w:r>
        <w:rPr>
          <w:rStyle w:val="CharDefText"/>
        </w:rPr>
        <w:t>associate</w:t>
      </w:r>
      <w:r>
        <w:t xml:space="preserve"> means an associate of a law practice;</w:t>
      </w:r>
    </w:p>
    <w:p>
      <w:pPr>
        <w:pStyle w:val="Defstart"/>
      </w:pPr>
      <w:r>
        <w:tab/>
      </w:r>
      <w:r>
        <w:rPr>
          <w:rStyle w:val="CharDefText"/>
        </w:rPr>
        <w:t>authorised</w:t>
      </w:r>
      <w:r>
        <w:t xml:space="preserve"> means authorised by the law practice to effect, direct or give authority for an electronic funds transfer from the general trust account.</w:t>
      </w:r>
    </w:p>
    <w:p>
      <w:pPr>
        <w:pStyle w:val="Subsection"/>
      </w:pPr>
      <w:r>
        <w:tab/>
        <w:t>(2)</w:t>
      </w:r>
      <w:r>
        <w:tab/>
        <w:t>This regulation applies to the withdrawal of trust money from a general trust account of a law practice by electronic funds transfer.</w:t>
      </w:r>
    </w:p>
    <w:p>
      <w:pPr>
        <w:pStyle w:val="Subsection"/>
      </w:pPr>
      <w:r>
        <w:tab/>
        <w:t>(3)</w:t>
      </w:r>
      <w:r>
        <w:tab/>
        <w:t xml:space="preserve">An electronic funds transfer must be effected by, under the direction of or with the authority of — </w:t>
      </w:r>
    </w:p>
    <w:p>
      <w:pPr>
        <w:pStyle w:val="Indenta"/>
      </w:pPr>
      <w:r>
        <w:tab/>
        <w:t>(a)</w:t>
      </w:r>
      <w:r>
        <w:tab/>
        <w:t>an authorised principal of the law practice; or</w:t>
      </w:r>
    </w:p>
    <w:p>
      <w:pPr>
        <w:pStyle w:val="Indenta"/>
      </w:pPr>
      <w:r>
        <w:tab/>
        <w:t>(b)</w:t>
      </w:r>
      <w:r>
        <w:tab/>
        <w:t xml:space="preserve">if a principal referred to in paragraph (a) is not available — </w:t>
      </w:r>
    </w:p>
    <w:p>
      <w:pPr>
        <w:pStyle w:val="Indenti"/>
      </w:pPr>
      <w:r>
        <w:tab/>
        <w:t>(i)</w:t>
      </w:r>
      <w:r>
        <w:tab/>
        <w:t>an authorised legal practitioner associate; or</w:t>
      </w:r>
    </w:p>
    <w:p>
      <w:pPr>
        <w:pStyle w:val="Indenti"/>
      </w:pPr>
      <w:r>
        <w:tab/>
        <w:t>(ii)</w:t>
      </w:r>
      <w:r>
        <w:tab/>
        <w:t>an authorised Australian legal practitioner who holds an unrestricted practising certificate authorising the receipt of trust money; or</w:t>
      </w:r>
    </w:p>
    <w:p>
      <w:pPr>
        <w:pStyle w:val="Indenti"/>
      </w:pPr>
      <w:r>
        <w:tab/>
        <w:t>(iii)</w:t>
      </w:r>
      <w:r>
        <w:tab/>
        <w:t>2 or more authorised associates jointly.</w:t>
      </w:r>
    </w:p>
    <w:p>
      <w:pPr>
        <w:pStyle w:val="Subsection"/>
      </w:pPr>
      <w:r>
        <w:tab/>
        <w:t>(4)</w:t>
      </w:r>
      <w:r>
        <w:tab/>
        <w:t>A written record of the required particulars must be kept of each payment unless at the time the electronic funds transfer is effected those particulars are recorded by computer program in the trust account payments cash book.</w:t>
      </w:r>
    </w:p>
    <w:p>
      <w:pPr>
        <w:pStyle w:val="Subsection"/>
      </w:pPr>
      <w:r>
        <w:tab/>
        <w:t>(5)</w:t>
      </w:r>
      <w:r>
        <w:tab/>
        <w:t>If at the time the electronic funds transfer is effected the required particulars are recorded by computer program in the trust account payments cash book, a written record must be kept that is sufficient to enable the accuracy of the particulars recorded by the computer program to be verified.</w:t>
      </w:r>
    </w:p>
    <w:p>
      <w:pPr>
        <w:pStyle w:val="Subsection"/>
      </w:pPr>
      <w:r>
        <w:tab/>
        <w:t>(6)</w:t>
      </w:r>
      <w:r>
        <w:tab/>
        <w:t xml:space="preserve">For the purposes of subregulations (4) and (5), the </w:t>
      </w:r>
      <w:r>
        <w:rPr>
          <w:rStyle w:val="CharDefText"/>
        </w:rPr>
        <w:t>required particulars</w:t>
      </w:r>
      <w:r>
        <w:t xml:space="preserve"> are as follows — </w:t>
      </w:r>
    </w:p>
    <w:p>
      <w:pPr>
        <w:pStyle w:val="Indenta"/>
      </w:pPr>
      <w:r>
        <w:tab/>
        <w:t>(a)</w:t>
      </w:r>
      <w:r>
        <w:tab/>
        <w:t>the date and number of the transaction;</w:t>
      </w:r>
    </w:p>
    <w:p>
      <w:pPr>
        <w:pStyle w:val="Indenta"/>
      </w:pPr>
      <w:r>
        <w:tab/>
        <w:t>(b)</w:t>
      </w:r>
      <w:r>
        <w:tab/>
        <w:t>the amount transferred;</w:t>
      </w:r>
    </w:p>
    <w:p>
      <w:pPr>
        <w:pStyle w:val="Indenta"/>
      </w:pPr>
      <w:r>
        <w:tab/>
        <w:t>(c)</w:t>
      </w:r>
      <w:r>
        <w:tab/>
        <w:t>the name and number of the account to which the amount was transferred and relevant BSB number;</w:t>
      </w:r>
    </w:p>
    <w:p>
      <w:pPr>
        <w:pStyle w:val="Indenta"/>
      </w:pPr>
      <w:r>
        <w:tab/>
        <w:t>(d)</w:t>
      </w:r>
      <w:r>
        <w:tab/>
        <w:t>the name of the person to whom the payment was made or, for a payment to an ADI, the name or BSB number of the ADI and the name of the person receiving the benefit of the payment;</w:t>
      </w:r>
    </w:p>
    <w:p>
      <w:pPr>
        <w:pStyle w:val="Indenta"/>
      </w:pPr>
      <w:r>
        <w:tab/>
        <w:t>(e)</w:t>
      </w:r>
      <w:r>
        <w:tab/>
        <w:t>details clearly identifying the name of the person on whose behalf the payment was made and the matter reference;</w:t>
      </w:r>
    </w:p>
    <w:p>
      <w:pPr>
        <w:pStyle w:val="Indenta"/>
      </w:pPr>
      <w:r>
        <w:tab/>
        <w:t>(f)</w:t>
      </w:r>
      <w:r>
        <w:tab/>
        <w:t>details clearly identifying the ledger account to be debited;</w:t>
      </w:r>
    </w:p>
    <w:p>
      <w:pPr>
        <w:pStyle w:val="Indenta"/>
      </w:pPr>
      <w:r>
        <w:tab/>
        <w:t>(g)</w:t>
      </w:r>
      <w:r>
        <w:tab/>
        <w:t>particulars sufficient to identify the purpose for which the payment was made.</w:t>
      </w:r>
    </w:p>
    <w:p>
      <w:pPr>
        <w:pStyle w:val="Subsection"/>
      </w:pPr>
      <w:r>
        <w:tab/>
        <w:t>(7)</w:t>
      </w:r>
      <w:r>
        <w:tab/>
        <w:t>Written records relating to payments by electronic funds transfer (including transfer requisitions) must be kept in the order in which the transfers were effected.</w:t>
      </w:r>
    </w:p>
    <w:p>
      <w:pPr>
        <w:pStyle w:val="Heading5"/>
      </w:pPr>
      <w:bookmarkStart w:id="98" w:name="_Toc476041018"/>
      <w:r>
        <w:rPr>
          <w:rStyle w:val="CharSectno"/>
        </w:rPr>
        <w:t>46</w:t>
      </w:r>
      <w:r>
        <w:t>.</w:t>
      </w:r>
      <w:r>
        <w:tab/>
        <w:t>Trust account cash books required</w:t>
      </w:r>
      <w:bookmarkEnd w:id="98"/>
    </w:p>
    <w:p>
      <w:pPr>
        <w:pStyle w:val="Subsection"/>
      </w:pPr>
      <w:r>
        <w:tab/>
      </w:r>
      <w:r>
        <w:tab/>
        <w:t xml:space="preserve">A law practice that keeps a general trust account must keep the following trust account cash books — </w:t>
      </w:r>
    </w:p>
    <w:p>
      <w:pPr>
        <w:pStyle w:val="Indenta"/>
      </w:pPr>
      <w:r>
        <w:tab/>
        <w:t>(a)</w:t>
      </w:r>
      <w:r>
        <w:tab/>
        <w:t>a trust account receipts cash book in accordance with regulation 47;</w:t>
      </w:r>
    </w:p>
    <w:p>
      <w:pPr>
        <w:pStyle w:val="Indenta"/>
      </w:pPr>
      <w:r>
        <w:tab/>
        <w:t>(b)</w:t>
      </w:r>
      <w:r>
        <w:tab/>
        <w:t>a trust account payments cash book in accordance with regulation 48.</w:t>
      </w:r>
    </w:p>
    <w:p>
      <w:pPr>
        <w:pStyle w:val="Heading5"/>
      </w:pPr>
      <w:bookmarkStart w:id="99" w:name="_Toc476041019"/>
      <w:r>
        <w:rPr>
          <w:rStyle w:val="CharSectno"/>
        </w:rPr>
        <w:t>47</w:t>
      </w:r>
      <w:r>
        <w:t>.</w:t>
      </w:r>
      <w:r>
        <w:tab/>
        <w:t>Trust account receipts cash book, content of etc.</w:t>
      </w:r>
      <w:bookmarkEnd w:id="99"/>
    </w:p>
    <w:p>
      <w:pPr>
        <w:pStyle w:val="Subsection"/>
      </w:pPr>
      <w:r>
        <w:tab/>
        <w:t>(1)</w:t>
      </w:r>
      <w:r>
        <w:tab/>
        <w:t xml:space="preserve">The following particulars must be recorded in a law practice’s trust account receipts cash book in respect of each receipt of trust money — </w:t>
      </w:r>
    </w:p>
    <w:p>
      <w:pPr>
        <w:pStyle w:val="Indenta"/>
      </w:pPr>
      <w:r>
        <w:tab/>
        <w:t>(a)</w:t>
      </w:r>
      <w:r>
        <w:tab/>
        <w:t>the date a receipt was made out for the money and, if different, the date of receipt of the money;</w:t>
      </w:r>
    </w:p>
    <w:p>
      <w:pPr>
        <w:pStyle w:val="Indenta"/>
      </w:pPr>
      <w:r>
        <w:tab/>
        <w:t>(b)</w:t>
      </w:r>
      <w:r>
        <w:tab/>
        <w:t>the receipt number;</w:t>
      </w:r>
    </w:p>
    <w:p>
      <w:pPr>
        <w:pStyle w:val="Indenta"/>
      </w:pPr>
      <w:r>
        <w:tab/>
        <w:t>(c)</w:t>
      </w:r>
      <w:r>
        <w:tab/>
        <w:t>the amount of money received;</w:t>
      </w:r>
    </w:p>
    <w:p>
      <w:pPr>
        <w:pStyle w:val="Indenta"/>
      </w:pPr>
      <w:r>
        <w:tab/>
        <w:t>(d)</w:t>
      </w:r>
      <w:r>
        <w:tab/>
        <w:t>the form in which the money was received;</w:t>
      </w:r>
    </w:p>
    <w:p>
      <w:pPr>
        <w:pStyle w:val="Indenta"/>
      </w:pPr>
      <w:r>
        <w:tab/>
        <w:t>(e)</w:t>
      </w:r>
      <w:r>
        <w:tab/>
        <w:t>the name of the person from whom the money was received;</w:t>
      </w:r>
    </w:p>
    <w:p>
      <w:pPr>
        <w:pStyle w:val="Indenta"/>
      </w:pPr>
      <w:r>
        <w:tab/>
        <w:t>(f)</w:t>
      </w:r>
      <w:r>
        <w:tab/>
        <w:t>details clearly identifying the name of the client in respect of whom the money was received and the matter description and matter reference;</w:t>
      </w:r>
    </w:p>
    <w:p>
      <w:pPr>
        <w:pStyle w:val="Indenta"/>
        <w:spacing w:before="60"/>
      </w:pPr>
      <w:r>
        <w:tab/>
        <w:t>(g)</w:t>
      </w:r>
      <w:r>
        <w:tab/>
        <w:t>particulars sufficient to identify the purpose for which the money was received;</w:t>
      </w:r>
    </w:p>
    <w:p>
      <w:pPr>
        <w:pStyle w:val="Indenta"/>
        <w:spacing w:before="60"/>
      </w:pPr>
      <w:r>
        <w:tab/>
        <w:t>(h)</w:t>
      </w:r>
      <w:r>
        <w:tab/>
        <w:t>details clearly identifying the ledger account to be credited.</w:t>
      </w:r>
    </w:p>
    <w:p>
      <w:pPr>
        <w:pStyle w:val="Subsection"/>
      </w:pPr>
      <w:r>
        <w:tab/>
        <w:t>(2)</w:t>
      </w:r>
      <w:r>
        <w:tab/>
        <w:t>The date and amount of each deposit in the general trust account must be recorded in the trust account receipts cash book.</w:t>
      </w:r>
    </w:p>
    <w:p>
      <w:pPr>
        <w:pStyle w:val="Subsection"/>
      </w:pPr>
      <w:r>
        <w:tab/>
        <w:t>(3)</w:t>
      </w:r>
      <w:r>
        <w:tab/>
        <w:t>The particulars in respect of receipts must be recorded in the order in which the receipts are made out.</w:t>
      </w:r>
    </w:p>
    <w:p>
      <w:pPr>
        <w:pStyle w:val="Subsection"/>
      </w:pPr>
      <w:r>
        <w:tab/>
        <w:t>(4)</w:t>
      </w:r>
      <w:r>
        <w:tab/>
        <w:t>The particulars in respect of a receipt must be recorded within 5 working days counting from and including the day the receipt was made out.</w:t>
      </w:r>
    </w:p>
    <w:p>
      <w:pPr>
        <w:pStyle w:val="Heading5"/>
      </w:pPr>
      <w:bookmarkStart w:id="100" w:name="_Toc476041020"/>
      <w:r>
        <w:rPr>
          <w:rStyle w:val="CharSectno"/>
        </w:rPr>
        <w:t>48</w:t>
      </w:r>
      <w:r>
        <w:t>.</w:t>
      </w:r>
      <w:r>
        <w:tab/>
        <w:t>Trust account payments cash book, content of etc.</w:t>
      </w:r>
      <w:bookmarkEnd w:id="100"/>
    </w:p>
    <w:p>
      <w:pPr>
        <w:pStyle w:val="Subsection"/>
      </w:pPr>
      <w:r>
        <w:tab/>
        <w:t>(1)</w:t>
      </w:r>
      <w:r>
        <w:tab/>
        <w:t xml:space="preserve">The following particulars must be recorded in a law practice’s trust account payments cash book in respect of each payment of trust money by cheque — </w:t>
      </w:r>
    </w:p>
    <w:p>
      <w:pPr>
        <w:pStyle w:val="Indenta"/>
        <w:spacing w:before="60"/>
      </w:pPr>
      <w:r>
        <w:tab/>
        <w:t>(a)</w:t>
      </w:r>
      <w:r>
        <w:tab/>
        <w:t>the date and number of the cheque;</w:t>
      </w:r>
    </w:p>
    <w:p>
      <w:pPr>
        <w:pStyle w:val="Indenta"/>
        <w:spacing w:before="60"/>
      </w:pPr>
      <w:r>
        <w:tab/>
        <w:t>(b)</w:t>
      </w:r>
      <w:r>
        <w:tab/>
        <w:t>the amount ordered to be paid by the cheque;</w:t>
      </w:r>
    </w:p>
    <w:p>
      <w:pPr>
        <w:pStyle w:val="Indenta"/>
        <w:spacing w:before="60"/>
      </w:pPr>
      <w:r>
        <w:tab/>
        <w:t>(c)</w:t>
      </w:r>
      <w:r>
        <w:tab/>
        <w:t>the name of the person to whom the payment is to be made or, in the case of a cheque made payable to an ADI, the name or BSB number of the ADI and the name of the person receiving the benefit of the payment;</w:t>
      </w:r>
    </w:p>
    <w:p>
      <w:pPr>
        <w:pStyle w:val="Indenta"/>
        <w:spacing w:before="60"/>
      </w:pPr>
      <w:r>
        <w:tab/>
        <w:t>(d)</w:t>
      </w:r>
      <w:r>
        <w:tab/>
        <w:t>details clearly identifying the name of the person on whose behalf the payment was made and the matter reference;</w:t>
      </w:r>
    </w:p>
    <w:p>
      <w:pPr>
        <w:pStyle w:val="Indenta"/>
        <w:spacing w:before="60"/>
      </w:pPr>
      <w:r>
        <w:tab/>
        <w:t>(e)</w:t>
      </w:r>
      <w:r>
        <w:tab/>
        <w:t>details clearly identifying the ledger account to be debited;</w:t>
      </w:r>
    </w:p>
    <w:p>
      <w:pPr>
        <w:pStyle w:val="Indenta"/>
        <w:spacing w:before="60"/>
      </w:pPr>
      <w:r>
        <w:tab/>
        <w:t>(f)</w:t>
      </w:r>
      <w:r>
        <w:tab/>
        <w:t>particulars sufficient to identify the purpose for which the payment was made.</w:t>
      </w:r>
    </w:p>
    <w:p>
      <w:pPr>
        <w:pStyle w:val="Subsection"/>
      </w:pPr>
      <w:r>
        <w:tab/>
        <w:t>(2)</w:t>
      </w:r>
      <w:r>
        <w:tab/>
        <w:t xml:space="preserve">The following particulars must be recorded in a law practice’s trust accounts payments cash book in respect of each payment of trust money by electronic funds transfer — </w:t>
      </w:r>
    </w:p>
    <w:p>
      <w:pPr>
        <w:pStyle w:val="Indenta"/>
      </w:pPr>
      <w:r>
        <w:tab/>
        <w:t>(a)</w:t>
      </w:r>
      <w:r>
        <w:tab/>
        <w:t>the date and number of the transaction;</w:t>
      </w:r>
    </w:p>
    <w:p>
      <w:pPr>
        <w:pStyle w:val="Indenta"/>
      </w:pPr>
      <w:r>
        <w:tab/>
        <w:t>(b)</w:t>
      </w:r>
      <w:r>
        <w:tab/>
        <w:t>the amount transferred;</w:t>
      </w:r>
    </w:p>
    <w:p>
      <w:pPr>
        <w:pStyle w:val="Indenta"/>
      </w:pPr>
      <w:r>
        <w:tab/>
        <w:t>(c)</w:t>
      </w:r>
      <w:r>
        <w:tab/>
        <w:t>the name and number of the account to which the amount was transferred and the relevant BSB number;</w:t>
      </w:r>
    </w:p>
    <w:p>
      <w:pPr>
        <w:pStyle w:val="Indenta"/>
      </w:pPr>
      <w:r>
        <w:tab/>
        <w:t>(d)</w:t>
      </w:r>
      <w:r>
        <w:tab/>
        <w:t>the name of the person to whom the payment was made or, in the case of a payment to an ADI, the name or BSB number of the ADI and the name of the person receiving the benefit of the payment;</w:t>
      </w:r>
    </w:p>
    <w:p>
      <w:pPr>
        <w:pStyle w:val="Indenta"/>
      </w:pPr>
      <w:r>
        <w:tab/>
        <w:t>(e)</w:t>
      </w:r>
      <w:r>
        <w:tab/>
        <w:t>details clearly identifying the name of the person on whose behalf the payment was made and the matter reference;</w:t>
      </w:r>
    </w:p>
    <w:p>
      <w:pPr>
        <w:pStyle w:val="Indenta"/>
      </w:pPr>
      <w:r>
        <w:tab/>
        <w:t>(f)</w:t>
      </w:r>
      <w:r>
        <w:tab/>
        <w:t>details clearly identifying the ledger account to be debited;</w:t>
      </w:r>
    </w:p>
    <w:p>
      <w:pPr>
        <w:pStyle w:val="Indenta"/>
      </w:pPr>
      <w:r>
        <w:tab/>
        <w:t>(g)</w:t>
      </w:r>
      <w:r>
        <w:tab/>
        <w:t>particulars sufficient to identify the purpose for which the payment was made.</w:t>
      </w:r>
    </w:p>
    <w:p>
      <w:pPr>
        <w:pStyle w:val="Subsection"/>
      </w:pPr>
      <w:r>
        <w:tab/>
        <w:t>(3)</w:t>
      </w:r>
      <w:r>
        <w:tab/>
        <w:t>The particulars in respect of payments must be recorded in the order in which the payments are made.</w:t>
      </w:r>
    </w:p>
    <w:p>
      <w:pPr>
        <w:pStyle w:val="Subsection"/>
      </w:pPr>
      <w:r>
        <w:tab/>
        <w:t>(4)</w:t>
      </w:r>
      <w:r>
        <w:tab/>
        <w:t>The particulars in respect of a payment must be recorded within 5 working days counting from and including the day the payment was made.</w:t>
      </w:r>
    </w:p>
    <w:p>
      <w:pPr>
        <w:pStyle w:val="Heading5"/>
      </w:pPr>
      <w:bookmarkStart w:id="101" w:name="_Toc476041021"/>
      <w:r>
        <w:rPr>
          <w:rStyle w:val="CharSectno"/>
        </w:rPr>
        <w:t>49</w:t>
      </w:r>
      <w:r>
        <w:t>.</w:t>
      </w:r>
      <w:r>
        <w:tab/>
        <w:t>Trust ledger accounts, content of etc.</w:t>
      </w:r>
      <w:bookmarkEnd w:id="101"/>
    </w:p>
    <w:p>
      <w:pPr>
        <w:pStyle w:val="Subsection"/>
      </w:pPr>
      <w:r>
        <w:tab/>
        <w:t>(1)</w:t>
      </w:r>
      <w:r>
        <w:tab/>
        <w:t>A law practice that maintains a general trust account must keep a trust account ledger containing separate trust ledger accounts in relation to each client of the practice in each matter for which trust money has been received by the practice.</w:t>
      </w:r>
    </w:p>
    <w:p>
      <w:pPr>
        <w:pStyle w:val="Subsection"/>
      </w:pPr>
      <w:r>
        <w:tab/>
        <w:t>(2)</w:t>
      </w:r>
      <w:r>
        <w:tab/>
        <w:t xml:space="preserve">The following particulars must be recorded in the title of a trust ledger account — </w:t>
      </w:r>
    </w:p>
    <w:p>
      <w:pPr>
        <w:pStyle w:val="Indenta"/>
      </w:pPr>
      <w:r>
        <w:tab/>
        <w:t>(a)</w:t>
      </w:r>
      <w:r>
        <w:tab/>
        <w:t>the name of the person for or on behalf of whom the trust money was paid;</w:t>
      </w:r>
    </w:p>
    <w:p>
      <w:pPr>
        <w:pStyle w:val="Indenta"/>
      </w:pPr>
      <w:r>
        <w:tab/>
        <w:t>(b)</w:t>
      </w:r>
      <w:r>
        <w:tab/>
        <w:t>the person’s address;</w:t>
      </w:r>
    </w:p>
    <w:p>
      <w:pPr>
        <w:pStyle w:val="Indenta"/>
      </w:pPr>
      <w:r>
        <w:tab/>
        <w:t>(c)</w:t>
      </w:r>
      <w:r>
        <w:tab/>
        <w:t>particulars sufficient to identify the matter in relation to which the trust money was received.</w:t>
      </w:r>
    </w:p>
    <w:p>
      <w:pPr>
        <w:pStyle w:val="Subsection"/>
      </w:pPr>
      <w:r>
        <w:tab/>
        <w:t>(3)</w:t>
      </w:r>
      <w:r>
        <w:tab/>
        <w:t>Details of any changes in the title of a trust ledger account must be recorded.</w:t>
      </w:r>
    </w:p>
    <w:p>
      <w:pPr>
        <w:pStyle w:val="Subsection"/>
      </w:pPr>
      <w:r>
        <w:tab/>
        <w:t>(4)</w:t>
      </w:r>
      <w:r>
        <w:tab/>
        <w:t xml:space="preserve">The following particulars must be recorded in the trust ledger account in respect of each receipt of trust money for the matter — </w:t>
      </w:r>
    </w:p>
    <w:p>
      <w:pPr>
        <w:pStyle w:val="Indenta"/>
      </w:pPr>
      <w:r>
        <w:tab/>
        <w:t>(a)</w:t>
      </w:r>
      <w:r>
        <w:tab/>
        <w:t>the date a receipt was made out for the money and, if different, the date of receipt of the money;</w:t>
      </w:r>
    </w:p>
    <w:p>
      <w:pPr>
        <w:pStyle w:val="Indenta"/>
      </w:pPr>
      <w:r>
        <w:tab/>
        <w:t>(b)</w:t>
      </w:r>
      <w:r>
        <w:tab/>
        <w:t>the receipt number;</w:t>
      </w:r>
    </w:p>
    <w:p>
      <w:pPr>
        <w:pStyle w:val="Indenta"/>
      </w:pPr>
      <w:r>
        <w:tab/>
        <w:t>(c)</w:t>
      </w:r>
      <w:r>
        <w:tab/>
        <w:t>the amount of money received;</w:t>
      </w:r>
    </w:p>
    <w:p>
      <w:pPr>
        <w:pStyle w:val="Indenta"/>
      </w:pPr>
      <w:r>
        <w:tab/>
        <w:t>(d)</w:t>
      </w:r>
      <w:r>
        <w:tab/>
        <w:t>the name of the person from whom the money was received;</w:t>
      </w:r>
    </w:p>
    <w:p>
      <w:pPr>
        <w:pStyle w:val="Indenta"/>
      </w:pPr>
      <w:r>
        <w:tab/>
        <w:t>(e)</w:t>
      </w:r>
      <w:r>
        <w:tab/>
        <w:t>particulars sufficient to identify the purpose for which the money was received.</w:t>
      </w:r>
    </w:p>
    <w:p>
      <w:pPr>
        <w:pStyle w:val="Subsection"/>
      </w:pPr>
      <w:r>
        <w:tab/>
        <w:t>(5)</w:t>
      </w:r>
      <w:r>
        <w:tab/>
        <w:t xml:space="preserve">The following particulars must be recorded in the trust ledger account in respect of each payment of trust money by cheque — </w:t>
      </w:r>
    </w:p>
    <w:p>
      <w:pPr>
        <w:pStyle w:val="Indenta"/>
      </w:pPr>
      <w:r>
        <w:tab/>
        <w:t>(a)</w:t>
      </w:r>
      <w:r>
        <w:tab/>
        <w:t>the date and number of the cheque;</w:t>
      </w:r>
    </w:p>
    <w:p>
      <w:pPr>
        <w:pStyle w:val="Indenta"/>
      </w:pPr>
      <w:r>
        <w:tab/>
        <w:t>(b)</w:t>
      </w:r>
      <w:r>
        <w:tab/>
        <w:t>the amount ordered to be paid by the cheque;</w:t>
      </w:r>
    </w:p>
    <w:p>
      <w:pPr>
        <w:pStyle w:val="Indenta"/>
      </w:pPr>
      <w:r>
        <w:tab/>
        <w:t>(c)</w:t>
      </w:r>
      <w:r>
        <w:tab/>
        <w:t>the name of the person to whom the payment is to be made or, in the case of a cheque made payable to an ADI, the name or BSB number of the ADI and the name of the person receiving the benefit of the payment;</w:t>
      </w:r>
    </w:p>
    <w:p>
      <w:pPr>
        <w:pStyle w:val="Indenta"/>
      </w:pPr>
      <w:r>
        <w:tab/>
        <w:t>(d)</w:t>
      </w:r>
      <w:r>
        <w:tab/>
        <w:t>particulars sufficient to identify the purpose for which the payment was made.</w:t>
      </w:r>
    </w:p>
    <w:p>
      <w:pPr>
        <w:pStyle w:val="Subsection"/>
      </w:pPr>
      <w:r>
        <w:tab/>
        <w:t>(6)</w:t>
      </w:r>
      <w:r>
        <w:tab/>
        <w:t xml:space="preserve">The following particulars must be recorded in the trust ledger account in respect of each payment of trust money by electronic funds transfer — </w:t>
      </w:r>
    </w:p>
    <w:p>
      <w:pPr>
        <w:pStyle w:val="Indenta"/>
      </w:pPr>
      <w:r>
        <w:tab/>
        <w:t>(a)</w:t>
      </w:r>
      <w:r>
        <w:tab/>
        <w:t>the date and number of the transaction;</w:t>
      </w:r>
    </w:p>
    <w:p>
      <w:pPr>
        <w:pStyle w:val="Indenta"/>
      </w:pPr>
      <w:r>
        <w:tab/>
        <w:t>(b)</w:t>
      </w:r>
      <w:r>
        <w:tab/>
        <w:t>the amount transferred;</w:t>
      </w:r>
    </w:p>
    <w:p>
      <w:pPr>
        <w:pStyle w:val="Indenta"/>
      </w:pPr>
      <w:r>
        <w:tab/>
        <w:t>(c)</w:t>
      </w:r>
      <w:r>
        <w:tab/>
        <w:t>the name and number of the account to which the amount was transferred and the relevant BSB number;</w:t>
      </w:r>
    </w:p>
    <w:p>
      <w:pPr>
        <w:pStyle w:val="Indenta"/>
      </w:pPr>
      <w:r>
        <w:tab/>
        <w:t>(d)</w:t>
      </w:r>
      <w:r>
        <w:tab/>
        <w:t>the name of the person to whom the payment was made or, in the case of a payment to an ADI, the name or BSB number of the ADI and the name of the person receiving the benefit of the payment;</w:t>
      </w:r>
    </w:p>
    <w:p>
      <w:pPr>
        <w:pStyle w:val="Indenta"/>
      </w:pPr>
      <w:r>
        <w:tab/>
        <w:t>(e)</w:t>
      </w:r>
      <w:r>
        <w:tab/>
        <w:t>particulars sufficient to identify the purpose for which the payment was made.</w:t>
      </w:r>
    </w:p>
    <w:p>
      <w:pPr>
        <w:pStyle w:val="Subsection"/>
      </w:pPr>
      <w:r>
        <w:tab/>
        <w:t>(7)</w:t>
      </w:r>
      <w:r>
        <w:tab/>
        <w:t xml:space="preserve">The following particulars must be recorded in the trust ledger account in respect of each transfer of trust money effected by a journal entry — </w:t>
      </w:r>
    </w:p>
    <w:p>
      <w:pPr>
        <w:pStyle w:val="Indenta"/>
      </w:pPr>
      <w:r>
        <w:tab/>
        <w:t>(a)</w:t>
      </w:r>
      <w:r>
        <w:tab/>
        <w:t>the date of the transfer;</w:t>
      </w:r>
    </w:p>
    <w:p>
      <w:pPr>
        <w:pStyle w:val="Indenta"/>
      </w:pPr>
      <w:r>
        <w:tab/>
        <w:t>(b)</w:t>
      </w:r>
      <w:r>
        <w:tab/>
        <w:t>the amount transferred;</w:t>
      </w:r>
    </w:p>
    <w:p>
      <w:pPr>
        <w:pStyle w:val="Indenta"/>
      </w:pPr>
      <w:r>
        <w:tab/>
        <w:t>(c)</w:t>
      </w:r>
      <w:r>
        <w:tab/>
        <w:t>the journal reference number;</w:t>
      </w:r>
    </w:p>
    <w:p>
      <w:pPr>
        <w:pStyle w:val="Indenta"/>
      </w:pPr>
      <w:r>
        <w:tab/>
        <w:t>(d)</w:t>
      </w:r>
      <w:r>
        <w:tab/>
        <w:t>the name of the other trust ledger account from which or to which the money was transferred;</w:t>
      </w:r>
    </w:p>
    <w:p>
      <w:pPr>
        <w:pStyle w:val="Indenta"/>
      </w:pPr>
      <w:r>
        <w:tab/>
        <w:t>(e)</w:t>
      </w:r>
      <w:r>
        <w:tab/>
        <w:t>particulars sufficient to identify the purpose for which the payment was made.</w:t>
      </w:r>
    </w:p>
    <w:p>
      <w:pPr>
        <w:pStyle w:val="Subsection"/>
      </w:pPr>
      <w:r>
        <w:tab/>
        <w:t>(8)</w:t>
      </w:r>
      <w:r>
        <w:tab/>
        <w:t>Transactions relating to trust money must be recorded in the trust ledger account in the order in which the transactions occur.</w:t>
      </w:r>
    </w:p>
    <w:p>
      <w:pPr>
        <w:pStyle w:val="Subsection"/>
      </w:pPr>
      <w:r>
        <w:tab/>
        <w:t>(9)</w:t>
      </w:r>
      <w:r>
        <w:tab/>
        <w:t>The particulars in respect of a receipt, payment or transfer of trust money must be recorded within 5 working days counting from and including the day the receipt was made out, the payment was made or the transfer was effected, as the case requires.</w:t>
      </w:r>
    </w:p>
    <w:p>
      <w:pPr>
        <w:pStyle w:val="Subsection"/>
      </w:pPr>
      <w:r>
        <w:tab/>
        <w:t>(10)</w:t>
      </w:r>
      <w:r>
        <w:tab/>
        <w:t>The trust ledger account balance is to be recorded in the trust ledger account after each receipt, payment or transfer of trust money.</w:t>
      </w:r>
    </w:p>
    <w:p>
      <w:pPr>
        <w:pStyle w:val="Heading5"/>
      </w:pPr>
      <w:bookmarkStart w:id="102" w:name="_Toc476041022"/>
      <w:r>
        <w:rPr>
          <w:rStyle w:val="CharSectno"/>
        </w:rPr>
        <w:t>50</w:t>
      </w:r>
      <w:r>
        <w:t>.</w:t>
      </w:r>
      <w:r>
        <w:tab/>
        <w:t>Transfers of trust money by journal entry, requirements for</w:t>
      </w:r>
      <w:bookmarkEnd w:id="102"/>
    </w:p>
    <w:p>
      <w:pPr>
        <w:pStyle w:val="Subsection"/>
      </w:pPr>
      <w:r>
        <w:tab/>
        <w:t>(1)</w:t>
      </w:r>
      <w:r>
        <w:tab/>
        <w:t xml:space="preserve">Trust money may be transferred by journal entry from one trust ledger account in a law practice’s trust ledger to another trust ledger account in the trust ledger, but only if — </w:t>
      </w:r>
    </w:p>
    <w:p>
      <w:pPr>
        <w:pStyle w:val="Indenta"/>
      </w:pPr>
      <w:r>
        <w:tab/>
        <w:t>(a)</w:t>
      </w:r>
      <w:r>
        <w:tab/>
        <w:t>the law practice is entitled to withdraw the money and pay it to the other trust ledger account; and</w:t>
      </w:r>
    </w:p>
    <w:p>
      <w:pPr>
        <w:pStyle w:val="Indenta"/>
      </w:pPr>
      <w:r>
        <w:tab/>
        <w:t>(b)</w:t>
      </w:r>
      <w:r>
        <w:tab/>
        <w:t>subregulation (2) is complied with.</w:t>
      </w:r>
    </w:p>
    <w:p>
      <w:pPr>
        <w:pStyle w:val="Subsection"/>
      </w:pPr>
      <w:r>
        <w:tab/>
        <w:t>(2)</w:t>
      </w:r>
      <w:r>
        <w:tab/>
        <w:t xml:space="preserve">The transfer must be authorised in writing — </w:t>
      </w:r>
    </w:p>
    <w:p>
      <w:pPr>
        <w:pStyle w:val="Indenta"/>
      </w:pPr>
      <w:r>
        <w:tab/>
        <w:t>(a)</w:t>
      </w:r>
      <w:r>
        <w:tab/>
        <w:t>by an authorised principal of the law practice; or</w:t>
      </w:r>
    </w:p>
    <w:p>
      <w:pPr>
        <w:pStyle w:val="Indenta"/>
      </w:pPr>
      <w:r>
        <w:tab/>
        <w:t>(b)</w:t>
      </w:r>
      <w:r>
        <w:tab/>
        <w:t xml:space="preserve">if a principal referred to in paragraph (a) is not available — </w:t>
      </w:r>
    </w:p>
    <w:p>
      <w:pPr>
        <w:pStyle w:val="Indenti"/>
      </w:pPr>
      <w:r>
        <w:tab/>
        <w:t>(i)</w:t>
      </w:r>
      <w:r>
        <w:tab/>
        <w:t>by an authorised legal practitioner associate; or</w:t>
      </w:r>
    </w:p>
    <w:p>
      <w:pPr>
        <w:pStyle w:val="Indenti"/>
      </w:pPr>
      <w:r>
        <w:tab/>
        <w:t>(ii)</w:t>
      </w:r>
      <w:r>
        <w:tab/>
        <w:t>by an authorised Australian legal practitioner who holds an unrestricted practising certificate authorising the receipt of trust money; or</w:t>
      </w:r>
    </w:p>
    <w:p>
      <w:pPr>
        <w:pStyle w:val="Indenti"/>
      </w:pPr>
      <w:r>
        <w:tab/>
        <w:t>(iii)</w:t>
      </w:r>
      <w:r>
        <w:tab/>
        <w:t xml:space="preserve">by 2 or more authorised associates jointly; </w:t>
      </w:r>
    </w:p>
    <w:p>
      <w:pPr>
        <w:pStyle w:val="Indenta"/>
      </w:pPr>
      <w:r>
        <w:tab/>
      </w:r>
      <w:r>
        <w:tab/>
        <w:t>or</w:t>
      </w:r>
    </w:p>
    <w:p>
      <w:pPr>
        <w:pStyle w:val="Indenta"/>
      </w:pPr>
      <w:r>
        <w:tab/>
        <w:t>(c)</w:t>
      </w:r>
      <w:r>
        <w:tab/>
        <w:t>by an external intervener for the practice.</w:t>
      </w:r>
    </w:p>
    <w:p>
      <w:pPr>
        <w:pStyle w:val="Subsection"/>
      </w:pPr>
      <w:r>
        <w:tab/>
        <w:t>(3)</w:t>
      </w:r>
      <w:r>
        <w:tab/>
        <w:t xml:space="preserve">For the purposes of subregulation (2) — </w:t>
      </w:r>
    </w:p>
    <w:p>
      <w:pPr>
        <w:pStyle w:val="Defstart"/>
      </w:pPr>
      <w:r>
        <w:tab/>
      </w:r>
      <w:r>
        <w:rPr>
          <w:rStyle w:val="CharDefText"/>
        </w:rPr>
        <w:t>associate</w:t>
      </w:r>
      <w:r>
        <w:t xml:space="preserve"> means an associate of a law practice;</w:t>
      </w:r>
    </w:p>
    <w:p>
      <w:pPr>
        <w:pStyle w:val="Defstart"/>
      </w:pPr>
      <w:r>
        <w:tab/>
      </w:r>
      <w:r>
        <w:rPr>
          <w:rStyle w:val="CharDefText"/>
        </w:rPr>
        <w:t>authorised</w:t>
      </w:r>
      <w:r>
        <w:t xml:space="preserve"> means authorised by the law practice or an external intervener for the practice to effect, direct or give authority for the transfer of trust money by journal entry from one trust ledger account in the practice’s trust ledger to another trust ledger account in the trust ledger;</w:t>
      </w:r>
    </w:p>
    <w:p>
      <w:pPr>
        <w:pStyle w:val="Defstart"/>
      </w:pPr>
      <w:r>
        <w:tab/>
      </w:r>
      <w:r>
        <w:rPr>
          <w:rStyle w:val="CharDefText"/>
        </w:rPr>
        <w:t>external intervener</w:t>
      </w:r>
      <w:r>
        <w:t xml:space="preserve"> has the same meaning as in section 471 of the Act.</w:t>
      </w:r>
    </w:p>
    <w:p>
      <w:pPr>
        <w:pStyle w:val="Subsection"/>
      </w:pPr>
      <w:r>
        <w:tab/>
        <w:t>(4)</w:t>
      </w:r>
      <w:r>
        <w:tab/>
        <w:t>A law practice must keep a trust account transfer journal if it transfers trust money by journal entry.</w:t>
      </w:r>
    </w:p>
    <w:p>
      <w:pPr>
        <w:pStyle w:val="Subsection"/>
      </w:pPr>
      <w:r>
        <w:tab/>
        <w:t>(5)</w:t>
      </w:r>
      <w:r>
        <w:tab/>
        <w:t xml:space="preserve">The following particulars must be recorded in the trust account transfer journal in respect of each transfer of trust money by journal entry — </w:t>
      </w:r>
    </w:p>
    <w:p>
      <w:pPr>
        <w:pStyle w:val="Indenta"/>
      </w:pPr>
      <w:r>
        <w:tab/>
        <w:t>(a)</w:t>
      </w:r>
      <w:r>
        <w:tab/>
        <w:t>the date of the transfer;</w:t>
      </w:r>
    </w:p>
    <w:p>
      <w:pPr>
        <w:pStyle w:val="Indenta"/>
      </w:pPr>
      <w:r>
        <w:tab/>
        <w:t>(b)</w:t>
      </w:r>
      <w:r>
        <w:tab/>
        <w:t>the trust ledger account from which the money is transferred (including its identifying reference);</w:t>
      </w:r>
    </w:p>
    <w:p>
      <w:pPr>
        <w:pStyle w:val="Indenta"/>
      </w:pPr>
      <w:r>
        <w:tab/>
        <w:t>(c)</w:t>
      </w:r>
      <w:r>
        <w:tab/>
        <w:t>the trust ledger account to which the money is transferred (including its identifying reference);</w:t>
      </w:r>
    </w:p>
    <w:p>
      <w:pPr>
        <w:pStyle w:val="Indenta"/>
      </w:pPr>
      <w:r>
        <w:tab/>
        <w:t>(d)</w:t>
      </w:r>
      <w:r>
        <w:tab/>
        <w:t>the amount transferred;</w:t>
      </w:r>
    </w:p>
    <w:p>
      <w:pPr>
        <w:pStyle w:val="Indenta"/>
      </w:pPr>
      <w:r>
        <w:tab/>
        <w:t>(e)</w:t>
      </w:r>
      <w:r>
        <w:tab/>
        <w:t>particulars sufficient to identify the purpose for which the transfer is made, the matter reference and a short description of the matter.</w:t>
      </w:r>
    </w:p>
    <w:p>
      <w:pPr>
        <w:pStyle w:val="Subsection"/>
      </w:pPr>
      <w:r>
        <w:tab/>
        <w:t>(6)</w:t>
      </w:r>
      <w:r>
        <w:tab/>
        <w:t>Journal pages or entries must be consecutively numbered.</w:t>
      </w:r>
    </w:p>
    <w:p>
      <w:pPr>
        <w:pStyle w:val="Subsection"/>
      </w:pPr>
      <w:r>
        <w:tab/>
        <w:t>(7)</w:t>
      </w:r>
      <w:r>
        <w:tab/>
        <w:t>A law practice must keep particulars of the authorisation for each transfer of trust money by journal entry, whether in the trust account transfer journal or in some other way.</w:t>
      </w:r>
    </w:p>
    <w:p>
      <w:pPr>
        <w:pStyle w:val="Heading5"/>
      </w:pPr>
      <w:bookmarkStart w:id="103" w:name="_Toc476041023"/>
      <w:r>
        <w:rPr>
          <w:rStyle w:val="CharSectno"/>
        </w:rPr>
        <w:t>51</w:t>
      </w:r>
      <w:r>
        <w:t>.</w:t>
      </w:r>
      <w:r>
        <w:tab/>
        <w:t>Reconciliation of trust records, when required</w:t>
      </w:r>
      <w:bookmarkEnd w:id="103"/>
    </w:p>
    <w:p>
      <w:pPr>
        <w:pStyle w:val="Subsection"/>
      </w:pPr>
      <w:r>
        <w:tab/>
        <w:t>(1)</w:t>
      </w:r>
      <w:r>
        <w:tab/>
        <w:t>A law practice that maintains one or more general trust accounts must reconcile the trust records relating to the only or each account.</w:t>
      </w:r>
    </w:p>
    <w:p>
      <w:pPr>
        <w:pStyle w:val="Subsection"/>
      </w:pPr>
      <w:r>
        <w:tab/>
        <w:t>(2)</w:t>
      </w:r>
      <w:r>
        <w:tab/>
        <w:t xml:space="preserve">The trust records relating to a general trust account are to be reconciled as at the end of each month by preparing — </w:t>
      </w:r>
    </w:p>
    <w:p>
      <w:pPr>
        <w:pStyle w:val="Indenta"/>
      </w:pPr>
      <w:r>
        <w:tab/>
        <w:t>(a)</w:t>
      </w:r>
      <w:r>
        <w:tab/>
        <w:t xml:space="preserve">a statement — </w:t>
      </w:r>
    </w:p>
    <w:p>
      <w:pPr>
        <w:pStyle w:val="Indenti"/>
      </w:pPr>
      <w:r>
        <w:tab/>
        <w:t>(i)</w:t>
      </w:r>
      <w:r>
        <w:tab/>
        <w:t>reconciling the general trust account balance as shown in ADI records with the balance of the practice’s trust account cash books; and</w:t>
      </w:r>
    </w:p>
    <w:p>
      <w:pPr>
        <w:pStyle w:val="Indenti"/>
      </w:pPr>
      <w:r>
        <w:tab/>
        <w:t>(ii)</w:t>
      </w:r>
      <w:r>
        <w:tab/>
        <w:t xml:space="preserve">showing the date the statement was prepared; </w:t>
      </w:r>
    </w:p>
    <w:p>
      <w:pPr>
        <w:pStyle w:val="Indenta"/>
      </w:pPr>
      <w:r>
        <w:tab/>
      </w:r>
      <w:r>
        <w:tab/>
        <w:t>and</w:t>
      </w:r>
    </w:p>
    <w:p>
      <w:pPr>
        <w:pStyle w:val="Indenta"/>
        <w:keepNext/>
        <w:keepLines/>
      </w:pPr>
      <w:r>
        <w:tab/>
        <w:t>(b)</w:t>
      </w:r>
      <w:r>
        <w:tab/>
        <w:t xml:space="preserve">a statement — </w:t>
      </w:r>
    </w:p>
    <w:p>
      <w:pPr>
        <w:pStyle w:val="Indenti"/>
      </w:pPr>
      <w:r>
        <w:tab/>
        <w:t>(i)</w:t>
      </w:r>
      <w:r>
        <w:tab/>
        <w:t>reconciling the balance of the trust ledger accounts with the balance of the practice’s trust account cash books; and</w:t>
      </w:r>
    </w:p>
    <w:p>
      <w:pPr>
        <w:pStyle w:val="Indenti"/>
      </w:pPr>
      <w:r>
        <w:tab/>
        <w:t>(ii)</w:t>
      </w:r>
      <w:r>
        <w:tab/>
        <w:t>containing a list of the practice’s trust ledger accounts showing the name, identifying reference and balance of each and a short description of the matter to which each relates; and</w:t>
      </w:r>
    </w:p>
    <w:p>
      <w:pPr>
        <w:pStyle w:val="Indenti"/>
      </w:pPr>
      <w:r>
        <w:tab/>
        <w:t>(iii)</w:t>
      </w:r>
      <w:r>
        <w:tab/>
        <w:t>showing the date the statement was prepared.</w:t>
      </w:r>
    </w:p>
    <w:p>
      <w:pPr>
        <w:pStyle w:val="Subsection"/>
      </w:pPr>
      <w:r>
        <w:tab/>
        <w:t>(3)</w:t>
      </w:r>
      <w:r>
        <w:tab/>
        <w:t>The statements must be prepared within 15 working days after the end of the month concerned.</w:t>
      </w:r>
    </w:p>
    <w:p>
      <w:pPr>
        <w:pStyle w:val="Subsection"/>
      </w:pPr>
      <w:r>
        <w:tab/>
        <w:t>(4)</w:t>
      </w:r>
      <w:r>
        <w:tab/>
        <w:t>The statement must be kept by the law practice.</w:t>
      </w:r>
    </w:p>
    <w:p>
      <w:pPr>
        <w:pStyle w:val="Heading5"/>
      </w:pPr>
      <w:bookmarkStart w:id="104" w:name="_Toc476041024"/>
      <w:r>
        <w:rPr>
          <w:rStyle w:val="CharSectno"/>
        </w:rPr>
        <w:t>52</w:t>
      </w:r>
      <w:r>
        <w:t>.</w:t>
      </w:r>
      <w:r>
        <w:tab/>
        <w:t>Trust ledger account in name of law practice or legal practitioner associate, when permitted</w:t>
      </w:r>
      <w:bookmarkEnd w:id="104"/>
    </w:p>
    <w:p>
      <w:pPr>
        <w:pStyle w:val="Subsection"/>
      </w:pPr>
      <w:r>
        <w:tab/>
        <w:t>(1)</w:t>
      </w:r>
      <w:r>
        <w:tab/>
        <w:t>A law practice must not maintain a trust ledger account in the name of the practice or a legal practitioner associate of the practice except as authorised by this regulation.</w:t>
      </w:r>
    </w:p>
    <w:p>
      <w:pPr>
        <w:pStyle w:val="Subsection"/>
      </w:pPr>
      <w:r>
        <w:tab/>
        <w:t>(2)</w:t>
      </w:r>
      <w:r>
        <w:tab/>
        <w:t xml:space="preserve">A law practice may maintain in its trust ledger — </w:t>
      </w:r>
    </w:p>
    <w:p>
      <w:pPr>
        <w:pStyle w:val="Indenta"/>
      </w:pPr>
      <w:r>
        <w:tab/>
        <w:t>(a)</w:t>
      </w:r>
      <w:r>
        <w:tab/>
        <w:t>a trust ledger account in the practice’s name, but only for the purpose of aggregating in the account, by transfer from other accounts in the trust ledger, money properly due to the practice for legal costs; and</w:t>
      </w:r>
    </w:p>
    <w:p>
      <w:pPr>
        <w:pStyle w:val="Indenta"/>
      </w:pPr>
      <w:r>
        <w:tab/>
        <w:t>(b)</w:t>
      </w:r>
      <w:r>
        <w:tab/>
        <w:t>a trust ledger account in a legal practitioner associate’s name, but only in respect of money in which the associate has a personal and beneficial interest as a vendor, purchaser, lessor or lessee or in another similar capacity.</w:t>
      </w:r>
    </w:p>
    <w:p>
      <w:pPr>
        <w:pStyle w:val="Subsection"/>
      </w:pPr>
      <w:r>
        <w:tab/>
        <w:t>(3)</w:t>
      </w:r>
      <w:r>
        <w:tab/>
        <w:t>In a case to which subregulation (2)(a) applies, the law practice must ensure that the money in the trust ledger account is withdrawn from the general trust account not later than one month after the day on which the money was transferred to the trust ledger account.</w:t>
      </w:r>
    </w:p>
    <w:p>
      <w:pPr>
        <w:pStyle w:val="Subsection"/>
      </w:pPr>
      <w:r>
        <w:tab/>
        <w:t>(4)</w:t>
      </w:r>
      <w:r>
        <w:tab/>
        <w:t>In a case to which subregulation (2)(b) applies, the law practice must ensure that the money in the trust ledger account is withdrawn from the general trust account at the conclusion of the matter to which the money relates.</w:t>
      </w:r>
    </w:p>
    <w:p>
      <w:pPr>
        <w:pStyle w:val="Heading5"/>
      </w:pPr>
      <w:bookmarkStart w:id="105" w:name="_Toc476041025"/>
      <w:r>
        <w:rPr>
          <w:rStyle w:val="CharSectno"/>
        </w:rPr>
        <w:t>53</w:t>
      </w:r>
      <w:r>
        <w:t>.</w:t>
      </w:r>
      <w:r>
        <w:tab/>
        <w:t>Board to be notified of opening etc. of general trust account</w:t>
      </w:r>
      <w:bookmarkEnd w:id="105"/>
    </w:p>
    <w:p>
      <w:pPr>
        <w:pStyle w:val="Subsection"/>
      </w:pPr>
      <w:r>
        <w:tab/>
        <w:t>(1)</w:t>
      </w:r>
      <w:r>
        <w:tab/>
        <w:t xml:space="preserve">In this regulation — </w:t>
      </w:r>
    </w:p>
    <w:p>
      <w:pPr>
        <w:pStyle w:val="Defstart"/>
      </w:pPr>
      <w:r>
        <w:tab/>
      </w:r>
      <w:r>
        <w:rPr>
          <w:rStyle w:val="CharDefText"/>
        </w:rPr>
        <w:t>law practice</w:t>
      </w:r>
      <w:r>
        <w:t xml:space="preserve"> includes a former law practice and the persons who were principals of a law practice immediately before the law practice ceased to exist as a law practice or to engage in legal practice in this jurisdiction.</w:t>
      </w:r>
    </w:p>
    <w:p>
      <w:pPr>
        <w:pStyle w:val="Subsection"/>
      </w:pPr>
      <w:r>
        <w:tab/>
        <w:t>(2)</w:t>
      </w:r>
      <w:r>
        <w:tab/>
        <w:t>Within 14 days after establishing a general trust account, a law practice must give the Board written notice of that fact.</w:t>
      </w:r>
    </w:p>
    <w:p>
      <w:pPr>
        <w:pStyle w:val="Subsection"/>
      </w:pPr>
      <w:r>
        <w:tab/>
        <w:t>(3)</w:t>
      </w:r>
      <w:r>
        <w:tab/>
        <w:t>Within 14 days after the closure of a general trust account maintained by it, a law practice must give the Board written notice of that fact.</w:t>
      </w:r>
    </w:p>
    <w:p>
      <w:pPr>
        <w:pStyle w:val="Subsection"/>
      </w:pPr>
      <w:r>
        <w:tab/>
        <w:t>(4)</w:t>
      </w:r>
      <w:r>
        <w:tab/>
        <w:t>A notice under this regulation given by a law practice must include particulars sufficient to identify the general trust accounts of the practice.</w:t>
      </w:r>
    </w:p>
    <w:p>
      <w:pPr>
        <w:pStyle w:val="Subsection"/>
      </w:pPr>
      <w:r>
        <w:tab/>
        <w:t>(5)</w:t>
      </w:r>
      <w:r>
        <w:tab/>
        <w:t xml:space="preserve">Despite anything else in this regulation — </w:t>
      </w:r>
    </w:p>
    <w:p>
      <w:pPr>
        <w:pStyle w:val="Indenta"/>
      </w:pPr>
      <w:r>
        <w:tab/>
        <w:t>(a)</w:t>
      </w:r>
      <w:r>
        <w:tab/>
        <w:t>subregulation (2) does not apply to a general trust account established before the commencement of this regulation; and</w:t>
      </w:r>
    </w:p>
    <w:p>
      <w:pPr>
        <w:pStyle w:val="Indenta"/>
      </w:pPr>
      <w:r>
        <w:tab/>
        <w:t>(b)</w:t>
      </w:r>
      <w:r>
        <w:tab/>
        <w:t>subregulation (3) does not apply to a general trust account that was closed before the commencement of this regulation.</w:t>
      </w:r>
    </w:p>
    <w:p>
      <w:pPr>
        <w:pStyle w:val="Heading3"/>
        <w:spacing w:before="280"/>
      </w:pPr>
      <w:bookmarkStart w:id="106" w:name="_Toc466893761"/>
      <w:bookmarkStart w:id="107" w:name="_Toc467498413"/>
      <w:bookmarkStart w:id="108" w:name="_Toc476040542"/>
      <w:bookmarkStart w:id="109" w:name="_Toc476041026"/>
      <w:r>
        <w:rPr>
          <w:rStyle w:val="CharDivNo"/>
        </w:rPr>
        <w:t>Division 4</w:t>
      </w:r>
      <w:r>
        <w:t> — </w:t>
      </w:r>
      <w:r>
        <w:rPr>
          <w:rStyle w:val="CharDivText"/>
        </w:rPr>
        <w:t>Controlled money</w:t>
      </w:r>
      <w:bookmarkEnd w:id="106"/>
      <w:bookmarkEnd w:id="107"/>
      <w:bookmarkEnd w:id="108"/>
      <w:bookmarkEnd w:id="109"/>
    </w:p>
    <w:p>
      <w:pPr>
        <w:pStyle w:val="Heading5"/>
      </w:pPr>
      <w:bookmarkStart w:id="110" w:name="_Toc476041027"/>
      <w:r>
        <w:rPr>
          <w:rStyle w:val="CharSectno"/>
        </w:rPr>
        <w:t>54</w:t>
      </w:r>
      <w:r>
        <w:t>.</w:t>
      </w:r>
      <w:r>
        <w:tab/>
        <w:t>How controlled money accounts to be maintained (Act s. 218(4))</w:t>
      </w:r>
      <w:bookmarkEnd w:id="110"/>
    </w:p>
    <w:p>
      <w:pPr>
        <w:pStyle w:val="Subsection"/>
      </w:pPr>
      <w:r>
        <w:tab/>
        <w:t>(1)</w:t>
      </w:r>
      <w:r>
        <w:tab/>
        <w:t xml:space="preserve">For the purposes of section 218(4) of the Act, a controlled money account must be maintained under an account name that includes the following particulars — </w:t>
      </w:r>
    </w:p>
    <w:p>
      <w:pPr>
        <w:pStyle w:val="Indenta"/>
      </w:pPr>
      <w:r>
        <w:tab/>
        <w:t>(a)</w:t>
      </w:r>
      <w:r>
        <w:tab/>
        <w:t>the name of the law practice concerned;</w:t>
      </w:r>
    </w:p>
    <w:p>
      <w:pPr>
        <w:pStyle w:val="Indenta"/>
      </w:pPr>
      <w:r>
        <w:tab/>
        <w:t>(b)</w:t>
      </w:r>
      <w:r>
        <w:tab/>
        <w:t>the expression “controlled money account” or the abbreviation “CMA” or “CMA/c”;</w:t>
      </w:r>
    </w:p>
    <w:p>
      <w:pPr>
        <w:pStyle w:val="Indenta"/>
      </w:pPr>
      <w:r>
        <w:tab/>
        <w:t>(c)</w:t>
      </w:r>
      <w:r>
        <w:tab/>
        <w:t>such particulars as are sufficient to identify the purpose of the account and to distinguish the account from any other account maintained by the law practice.</w:t>
      </w:r>
    </w:p>
    <w:p>
      <w:pPr>
        <w:pStyle w:val="Subsection"/>
      </w:pPr>
      <w:r>
        <w:tab/>
        <w:t>(2)</w:t>
      </w:r>
      <w:r>
        <w:tab/>
        <w:t>This regulation does not apply to an account established in this jurisdiction before the commencement of this regulation.</w:t>
      </w:r>
    </w:p>
    <w:p>
      <w:pPr>
        <w:pStyle w:val="Heading5"/>
      </w:pPr>
      <w:bookmarkStart w:id="111" w:name="_Toc476041028"/>
      <w:r>
        <w:rPr>
          <w:rStyle w:val="CharSectno"/>
        </w:rPr>
        <w:t>55</w:t>
      </w:r>
      <w:r>
        <w:t>.</w:t>
      </w:r>
      <w:r>
        <w:tab/>
        <w:t>Controlled money received, how to be receipted</w:t>
      </w:r>
      <w:bookmarkEnd w:id="111"/>
    </w:p>
    <w:p>
      <w:pPr>
        <w:pStyle w:val="Subsection"/>
      </w:pPr>
      <w:r>
        <w:tab/>
        <w:t>(1)</w:t>
      </w:r>
      <w:r>
        <w:tab/>
        <w:t>This regulation applies if a law practice receives controlled money.</w:t>
      </w:r>
    </w:p>
    <w:p>
      <w:pPr>
        <w:pStyle w:val="Subsection"/>
      </w:pPr>
      <w:r>
        <w:tab/>
        <w:t>(2)</w:t>
      </w:r>
      <w:r>
        <w:tab/>
        <w:t>The law practice must operate a single controlled money receipt system for the receipt of controlled money for all its controlled money accounts.</w:t>
      </w:r>
    </w:p>
    <w:p>
      <w:pPr>
        <w:pStyle w:val="Subsection"/>
      </w:pPr>
      <w:r>
        <w:tab/>
        <w:t>(3)</w:t>
      </w:r>
      <w:r>
        <w:tab/>
        <w:t>After receiving controlled money, the law practice must make out a receipt.</w:t>
      </w:r>
    </w:p>
    <w:p>
      <w:pPr>
        <w:pStyle w:val="Subsection"/>
      </w:pPr>
      <w:r>
        <w:tab/>
        <w:t>(4)</w:t>
      </w:r>
      <w:r>
        <w:tab/>
        <w:t xml:space="preserve">The receipt must be made out as soon as practicable — </w:t>
      </w:r>
    </w:p>
    <w:p>
      <w:pPr>
        <w:pStyle w:val="Indenta"/>
      </w:pPr>
      <w:r>
        <w:tab/>
        <w:t>(a)</w:t>
      </w:r>
      <w:r>
        <w:tab/>
        <w:t>after the controlled money is received, except as provided by paragraph (b); or</w:t>
      </w:r>
    </w:p>
    <w:p>
      <w:pPr>
        <w:pStyle w:val="Indenta"/>
      </w:pPr>
      <w:r>
        <w:tab/>
        <w:t>(b)</w:t>
      </w:r>
      <w:r>
        <w:tab/>
        <w:t>in the case of controlled money received by direct deposit — after the law practice receives or accesses notice or confirmation (in written or electronic form) of the deposit from the ADI concerned.</w:t>
      </w:r>
    </w:p>
    <w:p>
      <w:pPr>
        <w:pStyle w:val="Subsection"/>
      </w:pPr>
      <w:r>
        <w:tab/>
        <w:t>(5)</w:t>
      </w:r>
      <w:r>
        <w:tab/>
        <w:t>The receipt, containing the required particulars, must be made out in duplicate, whether by way of making a carbon copy or otherwise, unless at the time the receipt is made out those particulars are recorded by computer program in the register of controlled money.</w:t>
      </w:r>
    </w:p>
    <w:p>
      <w:pPr>
        <w:pStyle w:val="Subsection"/>
      </w:pPr>
      <w:r>
        <w:tab/>
        <w:t>(6)</w:t>
      </w:r>
      <w:r>
        <w:tab/>
        <w:t xml:space="preserve">For the purposes of subregulation (5), the </w:t>
      </w:r>
      <w:r>
        <w:rPr>
          <w:rStyle w:val="CharDefText"/>
        </w:rPr>
        <w:t>required particulars</w:t>
      </w:r>
      <w:r>
        <w:t xml:space="preserve"> are as follows — </w:t>
      </w:r>
    </w:p>
    <w:p>
      <w:pPr>
        <w:pStyle w:val="Indenta"/>
      </w:pPr>
      <w:r>
        <w:tab/>
        <w:t>(a)</w:t>
      </w:r>
      <w:r>
        <w:tab/>
        <w:t>the date the receipt is made out and, if different, the date of receipt of the money;</w:t>
      </w:r>
    </w:p>
    <w:p>
      <w:pPr>
        <w:pStyle w:val="Indenta"/>
      </w:pPr>
      <w:r>
        <w:tab/>
        <w:t>(b)</w:t>
      </w:r>
      <w:r>
        <w:tab/>
        <w:t>the amount of money received;</w:t>
      </w:r>
    </w:p>
    <w:p>
      <w:pPr>
        <w:pStyle w:val="Indenta"/>
      </w:pPr>
      <w:r>
        <w:tab/>
        <w:t>(c)</w:t>
      </w:r>
      <w:r>
        <w:tab/>
        <w:t>the form in which the money was received;</w:t>
      </w:r>
    </w:p>
    <w:p>
      <w:pPr>
        <w:pStyle w:val="Indenta"/>
      </w:pPr>
      <w:r>
        <w:tab/>
        <w:t>(d)</w:t>
      </w:r>
      <w:r>
        <w:tab/>
        <w:t>the name of the person from whom the money was received;</w:t>
      </w:r>
    </w:p>
    <w:p>
      <w:pPr>
        <w:pStyle w:val="Indenta"/>
      </w:pPr>
      <w:r>
        <w:tab/>
        <w:t>(e)</w:t>
      </w:r>
      <w:r>
        <w:tab/>
        <w:t>details clearly identifying the name of the person on whose behalf the money was received and the matter description and matter reference;</w:t>
      </w:r>
    </w:p>
    <w:p>
      <w:pPr>
        <w:pStyle w:val="Indenta"/>
      </w:pPr>
      <w:r>
        <w:tab/>
        <w:t>(f)</w:t>
      </w:r>
      <w:r>
        <w:tab/>
        <w:t>particulars sufficient to identify the purpose for which the money was received;</w:t>
      </w:r>
    </w:p>
    <w:p>
      <w:pPr>
        <w:pStyle w:val="Indenta"/>
      </w:pPr>
      <w:r>
        <w:tab/>
        <w:t>(g)</w:t>
      </w:r>
      <w:r>
        <w:tab/>
        <w:t>the name of and other details clearly identifying the controlled money account to be credited, unless the account has not been established by the time the receipt is made out;</w:t>
      </w:r>
    </w:p>
    <w:p>
      <w:pPr>
        <w:pStyle w:val="Indenta"/>
      </w:pPr>
      <w:r>
        <w:tab/>
        <w:t>(h)</w:t>
      </w:r>
      <w:r>
        <w:tab/>
        <w:t>the name of the law practice, or the business name under which the law practice engages in legal practice, and the expression “controlled money receipt”;</w:t>
      </w:r>
    </w:p>
    <w:p>
      <w:pPr>
        <w:pStyle w:val="Indenta"/>
      </w:pPr>
      <w:r>
        <w:tab/>
        <w:t>(i)</w:t>
      </w:r>
      <w:r>
        <w:tab/>
        <w:t>the name of the person who made out the receipt;</w:t>
      </w:r>
    </w:p>
    <w:p>
      <w:pPr>
        <w:pStyle w:val="Indenta"/>
      </w:pPr>
      <w:r>
        <w:tab/>
        <w:t>(j)</w:t>
      </w:r>
      <w:r>
        <w:tab/>
        <w:t>the number of the receipt.</w:t>
      </w:r>
    </w:p>
    <w:p>
      <w:pPr>
        <w:pStyle w:val="Subsection"/>
      </w:pPr>
      <w:r>
        <w:tab/>
        <w:t>(7)</w:t>
      </w:r>
      <w:r>
        <w:tab/>
        <w:t>If the controlled money account to be credited has not been established by the time the receipt is made out, the name of and other details clearly identifying the account when established must be included on the duplicate receipt (if any).</w:t>
      </w:r>
    </w:p>
    <w:p>
      <w:pPr>
        <w:pStyle w:val="Subsection"/>
      </w:pPr>
      <w:r>
        <w:tab/>
        <w:t>(8)</w:t>
      </w:r>
      <w:r>
        <w:tab/>
        <w:t>The original receipt must be delivered, on request, to the person from whom the controlled money was received.</w:t>
      </w:r>
    </w:p>
    <w:p>
      <w:pPr>
        <w:pStyle w:val="Subsection"/>
      </w:pPr>
      <w:r>
        <w:tab/>
        <w:t>(9)</w:t>
      </w:r>
      <w:r>
        <w:tab/>
        <w:t>Receipts must be consecutively numbered and issued in consecutive sequence.</w:t>
      </w:r>
    </w:p>
    <w:p>
      <w:pPr>
        <w:pStyle w:val="Subsection"/>
      </w:pPr>
      <w:r>
        <w:tab/>
        <w:t>(10)</w:t>
      </w:r>
      <w:r>
        <w:tab/>
        <w:t>If a receipt is cancelled or not delivered, the original receipt must be kept.</w:t>
      </w:r>
    </w:p>
    <w:p>
      <w:pPr>
        <w:pStyle w:val="Subsection"/>
      </w:pPr>
      <w:r>
        <w:tab/>
        <w:t>(11)</w:t>
      </w:r>
      <w:r>
        <w:tab/>
        <w:t>A receipt is not required to be made out for any interest or other income received from the investment of controlled money and credited directly to a controlled money account.</w:t>
      </w:r>
    </w:p>
    <w:p>
      <w:pPr>
        <w:pStyle w:val="Heading5"/>
      </w:pPr>
      <w:bookmarkStart w:id="112" w:name="_Toc476041029"/>
      <w:r>
        <w:rPr>
          <w:rStyle w:val="CharSectno"/>
        </w:rPr>
        <w:t>56</w:t>
      </w:r>
      <w:r>
        <w:t>.</w:t>
      </w:r>
      <w:r>
        <w:tab/>
        <w:t>Period prescribed (Act s. 218(5))</w:t>
      </w:r>
      <w:bookmarkEnd w:id="112"/>
    </w:p>
    <w:p>
      <w:pPr>
        <w:pStyle w:val="Subsection"/>
      </w:pPr>
      <w:r>
        <w:tab/>
      </w:r>
      <w:r>
        <w:tab/>
        <w:t>For the purposes of section 218(5) of the Act, the prescribed period for which a written direction referred to in section 218(1) of the Act is to be kept is 7 years after finalisation of the matter to which the direction relates.</w:t>
      </w:r>
    </w:p>
    <w:p>
      <w:pPr>
        <w:pStyle w:val="Heading5"/>
      </w:pPr>
      <w:bookmarkStart w:id="113" w:name="_Toc476041030"/>
      <w:r>
        <w:rPr>
          <w:rStyle w:val="CharSectno"/>
        </w:rPr>
        <w:t>57</w:t>
      </w:r>
      <w:r>
        <w:t>.</w:t>
      </w:r>
      <w:r>
        <w:tab/>
        <w:t>Withdrawal of controlled money, requirements for</w:t>
      </w:r>
      <w:bookmarkEnd w:id="113"/>
    </w:p>
    <w:p>
      <w:pPr>
        <w:pStyle w:val="Subsection"/>
        <w:spacing w:before="140"/>
      </w:pPr>
      <w:r>
        <w:tab/>
        <w:t>(1)</w:t>
      </w:r>
      <w:r>
        <w:tab/>
        <w:t xml:space="preserve">In this regulation — </w:t>
      </w:r>
    </w:p>
    <w:p>
      <w:pPr>
        <w:pStyle w:val="Defstart"/>
      </w:pPr>
      <w:r>
        <w:tab/>
      </w:r>
      <w:r>
        <w:rPr>
          <w:rStyle w:val="CharDefText"/>
        </w:rPr>
        <w:t>associate</w:t>
      </w:r>
      <w:r>
        <w:t xml:space="preserve"> means an associate of the law practice;</w:t>
      </w:r>
    </w:p>
    <w:p>
      <w:pPr>
        <w:pStyle w:val="Defstart"/>
      </w:pPr>
      <w:r>
        <w:tab/>
      </w:r>
      <w:r>
        <w:rPr>
          <w:rStyle w:val="CharDefText"/>
        </w:rPr>
        <w:t>authorised</w:t>
      </w:r>
      <w:r>
        <w:t xml:space="preserve"> means authorised by the law practice to effect, direct or give authority for a withdrawal of money from the controlled money account.</w:t>
      </w:r>
    </w:p>
    <w:p>
      <w:pPr>
        <w:pStyle w:val="Subsection"/>
      </w:pPr>
      <w:r>
        <w:tab/>
        <w:t>(2)</w:t>
      </w:r>
      <w:r>
        <w:tab/>
        <w:t xml:space="preserve">A withdrawal of money from a controlled money account of a law practice must be effected by, under the direction of or with the authority of — </w:t>
      </w:r>
    </w:p>
    <w:p>
      <w:pPr>
        <w:pStyle w:val="Indenta"/>
      </w:pPr>
      <w:r>
        <w:tab/>
        <w:t>(a)</w:t>
      </w:r>
      <w:r>
        <w:tab/>
        <w:t>an authorised principal of the law practice; or</w:t>
      </w:r>
    </w:p>
    <w:p>
      <w:pPr>
        <w:pStyle w:val="Indenta"/>
      </w:pPr>
      <w:r>
        <w:tab/>
        <w:t>(b)</w:t>
      </w:r>
      <w:r>
        <w:tab/>
        <w:t xml:space="preserve">if a principal referred to in paragraph (a) is not available — </w:t>
      </w:r>
    </w:p>
    <w:p>
      <w:pPr>
        <w:pStyle w:val="Indenti"/>
      </w:pPr>
      <w:r>
        <w:tab/>
        <w:t>(i)</w:t>
      </w:r>
      <w:r>
        <w:tab/>
        <w:t>an authorised legal practitioner associate; or</w:t>
      </w:r>
    </w:p>
    <w:p>
      <w:pPr>
        <w:pStyle w:val="Indenti"/>
      </w:pPr>
      <w:r>
        <w:tab/>
        <w:t>(ii)</w:t>
      </w:r>
      <w:r>
        <w:tab/>
        <w:t>an authorised Australian legal practitioner who holds an unrestricted practising certificate authorising the receipt of trust money; or</w:t>
      </w:r>
    </w:p>
    <w:p>
      <w:pPr>
        <w:pStyle w:val="Indenti"/>
      </w:pPr>
      <w:r>
        <w:tab/>
        <w:t>(iii)</w:t>
      </w:r>
      <w:r>
        <w:tab/>
        <w:t>2 or more authorised associates jointly.</w:t>
      </w:r>
    </w:p>
    <w:p>
      <w:pPr>
        <w:pStyle w:val="Subsection"/>
      </w:pPr>
      <w:r>
        <w:tab/>
        <w:t>(3)</w:t>
      </w:r>
      <w:r>
        <w:tab/>
        <w:t>A written record of the required particulars must be kept of each withdrawal unless at the time the withdrawal is made those particulars are recorded by computer program.</w:t>
      </w:r>
    </w:p>
    <w:p>
      <w:pPr>
        <w:pStyle w:val="Subsection"/>
      </w:pPr>
      <w:r>
        <w:tab/>
        <w:t>(4)</w:t>
      </w:r>
      <w:r>
        <w:tab/>
        <w:t>If at the time the withdrawal is made the required particulars are recorded by computer program, a written record must be kept that is sufficient to enable the accuracy of the particulars recorded by the computer program to be verified.</w:t>
      </w:r>
    </w:p>
    <w:p>
      <w:pPr>
        <w:pStyle w:val="Subsection"/>
      </w:pPr>
      <w:r>
        <w:tab/>
        <w:t>(5)</w:t>
      </w:r>
      <w:r>
        <w:tab/>
        <w:t xml:space="preserve">For the purposes of subregulations (3) and (4), the </w:t>
      </w:r>
      <w:r>
        <w:rPr>
          <w:rStyle w:val="CharDefText"/>
        </w:rPr>
        <w:t>required particulars</w:t>
      </w:r>
      <w:r>
        <w:t xml:space="preserve"> are as follows — </w:t>
      </w:r>
    </w:p>
    <w:p>
      <w:pPr>
        <w:pStyle w:val="Indenta"/>
      </w:pPr>
      <w:r>
        <w:tab/>
        <w:t>(a)</w:t>
      </w:r>
      <w:r>
        <w:tab/>
        <w:t>the date and number of the transaction;</w:t>
      </w:r>
    </w:p>
    <w:p>
      <w:pPr>
        <w:pStyle w:val="Indenta"/>
      </w:pPr>
      <w:r>
        <w:tab/>
        <w:t>(b)</w:t>
      </w:r>
      <w:r>
        <w:tab/>
        <w:t>the amount withdrawn;</w:t>
      </w:r>
    </w:p>
    <w:p>
      <w:pPr>
        <w:pStyle w:val="Indenta"/>
      </w:pPr>
      <w:r>
        <w:tab/>
        <w:t>(c)</w:t>
      </w:r>
      <w:r>
        <w:tab/>
        <w:t>in the case of a transfer made by electronic funds transfer — the name and number of the account to which the amount was transferred and the relevant BSB number;</w:t>
      </w:r>
    </w:p>
    <w:p>
      <w:pPr>
        <w:pStyle w:val="Indenta"/>
      </w:pPr>
      <w:r>
        <w:tab/>
        <w:t>(d)</w:t>
      </w:r>
      <w:r>
        <w:tab/>
        <w:t>the name of the person to whom payment is to be made or, in the case of a payment to an ADI, the name or BSB number of the ADI and the name of the person receiving the benefit of the payment;</w:t>
      </w:r>
    </w:p>
    <w:p>
      <w:pPr>
        <w:pStyle w:val="Indenta"/>
      </w:pPr>
      <w:r>
        <w:tab/>
        <w:t>(e)</w:t>
      </w:r>
      <w:r>
        <w:tab/>
        <w:t>details clearly identifying the name of the person on whose behalf the payment was made and the matter reference;</w:t>
      </w:r>
    </w:p>
    <w:p>
      <w:pPr>
        <w:pStyle w:val="Indenta"/>
      </w:pPr>
      <w:r>
        <w:tab/>
        <w:t>(f)</w:t>
      </w:r>
      <w:r>
        <w:tab/>
        <w:t>particulars sufficient to identify the purpose for which the payment was made;</w:t>
      </w:r>
    </w:p>
    <w:p>
      <w:pPr>
        <w:pStyle w:val="Indenta"/>
      </w:pPr>
      <w:r>
        <w:tab/>
        <w:t>(g)</w:t>
      </w:r>
      <w:r>
        <w:tab/>
        <w:t>the person or persons effecting, directing or authorising the withdrawal.</w:t>
      </w:r>
    </w:p>
    <w:p>
      <w:pPr>
        <w:pStyle w:val="Subsection"/>
      </w:pPr>
      <w:r>
        <w:tab/>
        <w:t>(6)</w:t>
      </w:r>
      <w:r>
        <w:tab/>
        <w:t>The particulars are to be recorded in the order in which the payments are recorded and are to be recorded separately for each controlled money account.</w:t>
      </w:r>
    </w:p>
    <w:p>
      <w:pPr>
        <w:pStyle w:val="Heading5"/>
      </w:pPr>
      <w:bookmarkStart w:id="114" w:name="_Toc476041031"/>
      <w:r>
        <w:rPr>
          <w:rStyle w:val="CharSectno"/>
        </w:rPr>
        <w:t>58</w:t>
      </w:r>
      <w:r>
        <w:t>.</w:t>
      </w:r>
      <w:r>
        <w:tab/>
        <w:t>Register of controlled money, content of etc.</w:t>
      </w:r>
      <w:bookmarkEnd w:id="114"/>
    </w:p>
    <w:p>
      <w:pPr>
        <w:pStyle w:val="Subsection"/>
      </w:pPr>
      <w:r>
        <w:tab/>
        <w:t>(1)</w:t>
      </w:r>
      <w:r>
        <w:tab/>
        <w:t>A law practice that receives controlled money must maintain a register of controlled money consisting of the records of controlled money movements for the controlled money accounts of the practice.</w:t>
      </w:r>
    </w:p>
    <w:p>
      <w:pPr>
        <w:pStyle w:val="Subsection"/>
      </w:pPr>
      <w:r>
        <w:tab/>
        <w:t>(2)</w:t>
      </w:r>
      <w:r>
        <w:tab/>
        <w:t>A separate record of controlled money movements must be maintained for each controlled money account.</w:t>
      </w:r>
    </w:p>
    <w:p>
      <w:pPr>
        <w:pStyle w:val="Subsection"/>
      </w:pPr>
      <w:r>
        <w:tab/>
        <w:t>(3)</w:t>
      </w:r>
      <w:r>
        <w:tab/>
        <w:t xml:space="preserve">A record of controlled money movements for a controlled money account must record the following information — </w:t>
      </w:r>
    </w:p>
    <w:p>
      <w:pPr>
        <w:pStyle w:val="Indenta"/>
      </w:pPr>
      <w:r>
        <w:tab/>
        <w:t>(a)</w:t>
      </w:r>
      <w:r>
        <w:tab/>
        <w:t>the name of the person on whose behalf the controlled money is held;</w:t>
      </w:r>
    </w:p>
    <w:p>
      <w:pPr>
        <w:pStyle w:val="Indenta"/>
      </w:pPr>
      <w:r>
        <w:tab/>
        <w:t>(b)</w:t>
      </w:r>
      <w:r>
        <w:tab/>
        <w:t>the person’s address;</w:t>
      </w:r>
    </w:p>
    <w:p>
      <w:pPr>
        <w:pStyle w:val="Indenta"/>
      </w:pPr>
      <w:r>
        <w:tab/>
        <w:t>(c)</w:t>
      </w:r>
      <w:r>
        <w:tab/>
        <w:t>particulars sufficient to identify the matter;</w:t>
      </w:r>
    </w:p>
    <w:p>
      <w:pPr>
        <w:pStyle w:val="Indenta"/>
      </w:pPr>
      <w:r>
        <w:tab/>
        <w:t>(d)</w:t>
      </w:r>
      <w:r>
        <w:tab/>
        <w:t>any changes to the information referred to in paragraphs (a) to (c).</w:t>
      </w:r>
    </w:p>
    <w:p>
      <w:pPr>
        <w:pStyle w:val="Subsection"/>
      </w:pPr>
      <w:r>
        <w:tab/>
        <w:t>(4)</w:t>
      </w:r>
      <w:r>
        <w:tab/>
        <w:t xml:space="preserve">The following particulars must be recorded in a record of controlled money movements for a controlled money account — </w:t>
      </w:r>
    </w:p>
    <w:p>
      <w:pPr>
        <w:pStyle w:val="Indenta"/>
      </w:pPr>
      <w:r>
        <w:tab/>
        <w:t>(a)</w:t>
      </w:r>
      <w:r>
        <w:tab/>
        <w:t>the date the controlled money was received;</w:t>
      </w:r>
    </w:p>
    <w:p>
      <w:pPr>
        <w:pStyle w:val="Indenta"/>
      </w:pPr>
      <w:r>
        <w:tab/>
        <w:t>(b)</w:t>
      </w:r>
      <w:r>
        <w:tab/>
        <w:t>the number of the receipt;</w:t>
      </w:r>
    </w:p>
    <w:p>
      <w:pPr>
        <w:pStyle w:val="Indenta"/>
      </w:pPr>
      <w:r>
        <w:tab/>
        <w:t>(c)</w:t>
      </w:r>
      <w:r>
        <w:tab/>
        <w:t>the date the money was deposited in the controlled money account;</w:t>
      </w:r>
    </w:p>
    <w:p>
      <w:pPr>
        <w:pStyle w:val="Indenta"/>
      </w:pPr>
      <w:r>
        <w:tab/>
        <w:t>(d)</w:t>
      </w:r>
      <w:r>
        <w:tab/>
        <w:t>the name of and other details clearly identifying the controlled money account;</w:t>
      </w:r>
    </w:p>
    <w:p>
      <w:pPr>
        <w:pStyle w:val="Indenta"/>
      </w:pPr>
      <w:r>
        <w:tab/>
        <w:t>(e)</w:t>
      </w:r>
      <w:r>
        <w:tab/>
        <w:t>the amount of controlled money deposited;</w:t>
      </w:r>
    </w:p>
    <w:p>
      <w:pPr>
        <w:pStyle w:val="Indenta"/>
      </w:pPr>
      <w:r>
        <w:tab/>
        <w:t>(f)</w:t>
      </w:r>
      <w:r>
        <w:tab/>
        <w:t>details of the deposit sufficient to identify the deposit;</w:t>
      </w:r>
    </w:p>
    <w:p>
      <w:pPr>
        <w:pStyle w:val="Indenta"/>
      </w:pPr>
      <w:r>
        <w:tab/>
        <w:t>(g)</w:t>
      </w:r>
      <w:r>
        <w:tab/>
        <w:t>interest received;</w:t>
      </w:r>
    </w:p>
    <w:p>
      <w:pPr>
        <w:pStyle w:val="Indenta"/>
      </w:pPr>
      <w:r>
        <w:tab/>
        <w:t>(h)</w:t>
      </w:r>
      <w:r>
        <w:tab/>
        <w:t>details of any payments from the controlled money account, including the particulars required to be recorded under regulation 57(5).</w:t>
      </w:r>
    </w:p>
    <w:p>
      <w:pPr>
        <w:pStyle w:val="Subsection"/>
      </w:pPr>
      <w:r>
        <w:tab/>
        <w:t>(5)</w:t>
      </w:r>
      <w:r>
        <w:tab/>
        <w:t>With the exception of interest and other income received in respect of controlled money, particulars of receipts and payments must be entered in the register as soon as practicable after the controlled money is received by the law practice or any payment is made.</w:t>
      </w:r>
    </w:p>
    <w:p>
      <w:pPr>
        <w:pStyle w:val="Subsection"/>
      </w:pPr>
      <w:r>
        <w:tab/>
        <w:t>(6)</w:t>
      </w:r>
      <w:r>
        <w:tab/>
        <w:t>Interest and other income received in respect of controlled money must be entered in the register as soon as practicable after the law practice is notified of its receipt.</w:t>
      </w:r>
    </w:p>
    <w:p>
      <w:pPr>
        <w:pStyle w:val="Subsection"/>
      </w:pPr>
      <w:r>
        <w:tab/>
        <w:t>(7)</w:t>
      </w:r>
      <w:r>
        <w:tab/>
        <w:t>The law practice must keep as part of its trust records all supporting information (including ADI statements and notifications of interest received) relating to controlled money.</w:t>
      </w:r>
    </w:p>
    <w:p>
      <w:pPr>
        <w:pStyle w:val="Subsection"/>
      </w:pPr>
      <w:r>
        <w:tab/>
        <w:t>(8)</w:t>
      </w:r>
      <w:r>
        <w:tab/>
        <w:t xml:space="preserve">Within 15 working days after each month, the law practice must prepare and keep as a permanent record a statement as at the end of the month — </w:t>
      </w:r>
    </w:p>
    <w:p>
      <w:pPr>
        <w:pStyle w:val="Indenta"/>
      </w:pPr>
      <w:r>
        <w:tab/>
        <w:t>(a)</w:t>
      </w:r>
      <w:r>
        <w:tab/>
        <w:t xml:space="preserve">containing a list of the practice’s controlled money accounts showing — </w:t>
      </w:r>
    </w:p>
    <w:p>
      <w:pPr>
        <w:pStyle w:val="Indenti"/>
      </w:pPr>
      <w:r>
        <w:tab/>
        <w:t>(i)</w:t>
      </w:r>
      <w:r>
        <w:tab/>
        <w:t>the name, number and balance of each account in the register; and</w:t>
      </w:r>
    </w:p>
    <w:p>
      <w:pPr>
        <w:pStyle w:val="Indenti"/>
      </w:pPr>
      <w:r>
        <w:tab/>
        <w:t>(ii)</w:t>
      </w:r>
      <w:r>
        <w:tab/>
        <w:t>the name of the person on whose behalf the controlled money in each account was held; and</w:t>
      </w:r>
    </w:p>
    <w:p>
      <w:pPr>
        <w:pStyle w:val="Indenti"/>
      </w:pPr>
      <w:r>
        <w:tab/>
        <w:t>(iii)</w:t>
      </w:r>
      <w:r>
        <w:tab/>
        <w:t>a short description of the matter to which each account relates;</w:t>
      </w:r>
    </w:p>
    <w:p>
      <w:pPr>
        <w:pStyle w:val="Indenta"/>
      </w:pPr>
      <w:r>
        <w:tab/>
      </w:r>
      <w:r>
        <w:tab/>
        <w:t>and</w:t>
      </w:r>
    </w:p>
    <w:p>
      <w:pPr>
        <w:pStyle w:val="Indenta"/>
      </w:pPr>
      <w:r>
        <w:tab/>
        <w:t>(b)</w:t>
      </w:r>
      <w:r>
        <w:tab/>
        <w:t>showing the date the statement was prepared.</w:t>
      </w:r>
    </w:p>
    <w:p>
      <w:pPr>
        <w:pStyle w:val="Heading3"/>
      </w:pPr>
      <w:bookmarkStart w:id="115" w:name="_Toc466893767"/>
      <w:bookmarkStart w:id="116" w:name="_Toc467498419"/>
      <w:bookmarkStart w:id="117" w:name="_Toc476040548"/>
      <w:bookmarkStart w:id="118" w:name="_Toc476041032"/>
      <w:r>
        <w:rPr>
          <w:rStyle w:val="CharDivNo"/>
        </w:rPr>
        <w:t>Division 5</w:t>
      </w:r>
      <w:r>
        <w:t> — </w:t>
      </w:r>
      <w:r>
        <w:rPr>
          <w:rStyle w:val="CharDivText"/>
        </w:rPr>
        <w:t>Transit money</w:t>
      </w:r>
      <w:bookmarkEnd w:id="115"/>
      <w:bookmarkEnd w:id="116"/>
      <w:bookmarkEnd w:id="117"/>
      <w:bookmarkEnd w:id="118"/>
    </w:p>
    <w:p>
      <w:pPr>
        <w:pStyle w:val="Heading5"/>
      </w:pPr>
      <w:bookmarkStart w:id="119" w:name="_Toc476041033"/>
      <w:r>
        <w:rPr>
          <w:rStyle w:val="CharSectno"/>
        </w:rPr>
        <w:t>59</w:t>
      </w:r>
      <w:r>
        <w:t>.</w:t>
      </w:r>
      <w:r>
        <w:tab/>
        <w:t>Transit money, records about required (Act s. 220)</w:t>
      </w:r>
      <w:bookmarkEnd w:id="119"/>
    </w:p>
    <w:p>
      <w:pPr>
        <w:pStyle w:val="Subsection"/>
      </w:pPr>
      <w:r>
        <w:tab/>
        <w:t>(1)</w:t>
      </w:r>
      <w:r>
        <w:tab/>
        <w:t>This regulation has effect for the purposes of section 220 of the Act.</w:t>
      </w:r>
    </w:p>
    <w:p>
      <w:pPr>
        <w:pStyle w:val="Subsection"/>
      </w:pPr>
      <w:r>
        <w:tab/>
        <w:t>(2)</w:t>
      </w:r>
      <w:r>
        <w:tab/>
        <w:t>A law practice must, in respect of transit money received by the practice, record and keep brief particulars sufficient to identify the relevant transaction and any purpose for which the money was received.</w:t>
      </w:r>
    </w:p>
    <w:p>
      <w:pPr>
        <w:pStyle w:val="Heading3"/>
      </w:pPr>
      <w:bookmarkStart w:id="120" w:name="_Toc466893769"/>
      <w:bookmarkStart w:id="121" w:name="_Toc467498421"/>
      <w:bookmarkStart w:id="122" w:name="_Toc476040550"/>
      <w:bookmarkStart w:id="123" w:name="_Toc476041034"/>
      <w:r>
        <w:rPr>
          <w:rStyle w:val="CharDivNo"/>
        </w:rPr>
        <w:t>Division 6</w:t>
      </w:r>
      <w:r>
        <w:t> — </w:t>
      </w:r>
      <w:r>
        <w:rPr>
          <w:rStyle w:val="CharDivText"/>
        </w:rPr>
        <w:t>Trust money generally</w:t>
      </w:r>
      <w:bookmarkEnd w:id="120"/>
      <w:bookmarkEnd w:id="121"/>
      <w:bookmarkEnd w:id="122"/>
      <w:bookmarkEnd w:id="123"/>
    </w:p>
    <w:p>
      <w:pPr>
        <w:pStyle w:val="Heading5"/>
      </w:pPr>
      <w:bookmarkStart w:id="124" w:name="_Toc476041035"/>
      <w:r>
        <w:rPr>
          <w:rStyle w:val="CharSectno"/>
        </w:rPr>
        <w:t>60</w:t>
      </w:r>
      <w:r>
        <w:t>.</w:t>
      </w:r>
      <w:r>
        <w:tab/>
        <w:t>Trust account statements, requirements to give etc.</w:t>
      </w:r>
      <w:bookmarkEnd w:id="124"/>
    </w:p>
    <w:p>
      <w:pPr>
        <w:pStyle w:val="Subsection"/>
      </w:pPr>
      <w:r>
        <w:tab/>
        <w:t>(1)</w:t>
      </w:r>
      <w:r>
        <w:tab/>
        <w:t>A law practice must furnish a trust account statement to each person for whom or on whose behalf trust money (other than transit money) is held or controlled by the law practice or an associate of the practice.</w:t>
      </w:r>
    </w:p>
    <w:p>
      <w:pPr>
        <w:pStyle w:val="Subsection"/>
      </w:pPr>
      <w:r>
        <w:tab/>
        <w:t>(2)</w:t>
      </w:r>
      <w:r>
        <w:tab/>
        <w:t>In the case of trust money in relation to which the law practice is required to maintain a trust ledger account, the practice must furnish a separate statement for each trust ledger account.</w:t>
      </w:r>
    </w:p>
    <w:p>
      <w:pPr>
        <w:pStyle w:val="Subsection"/>
      </w:pPr>
      <w:r>
        <w:tab/>
        <w:t>(3)</w:t>
      </w:r>
      <w:r>
        <w:tab/>
        <w:t>In the case of controlled money in relation to which the law practice is required to maintain a record of controlled money movements, the practice must furnish a separate statement for each record.</w:t>
      </w:r>
    </w:p>
    <w:p>
      <w:pPr>
        <w:pStyle w:val="Subsection"/>
      </w:pPr>
      <w:r>
        <w:tab/>
        <w:t>(4)</w:t>
      </w:r>
      <w:r>
        <w:tab/>
        <w:t>In the case of trust money subject to a power given to the law practice or an associate of the practice in relation to which the practice is required to keep a record of all dealings with the money to which the practice or associate is a party, the practice must furnish a separate statement for each record.</w:t>
      </w:r>
    </w:p>
    <w:p>
      <w:pPr>
        <w:pStyle w:val="Subsection"/>
        <w:keepNext/>
      </w:pPr>
      <w:r>
        <w:tab/>
        <w:t>(5)</w:t>
      </w:r>
      <w:r>
        <w:tab/>
        <w:t xml:space="preserve">A trust account statement is to contain particulars of — </w:t>
      </w:r>
    </w:p>
    <w:p>
      <w:pPr>
        <w:pStyle w:val="Indenta"/>
      </w:pPr>
      <w:r>
        <w:tab/>
        <w:t>(a)</w:t>
      </w:r>
      <w:r>
        <w:tab/>
        <w:t>all the information required to be kept under this Part in relation to the trust money included in the relevant ledger account or record; and</w:t>
      </w:r>
    </w:p>
    <w:p>
      <w:pPr>
        <w:pStyle w:val="Indenta"/>
      </w:pPr>
      <w:r>
        <w:tab/>
        <w:t>(b)</w:t>
      </w:r>
      <w:r>
        <w:tab/>
        <w:t>the remaining balance (if any) of the money.</w:t>
      </w:r>
    </w:p>
    <w:p>
      <w:pPr>
        <w:pStyle w:val="Subsection"/>
      </w:pPr>
      <w:r>
        <w:tab/>
        <w:t>(6)</w:t>
      </w:r>
      <w:r>
        <w:tab/>
        <w:t xml:space="preserve">A trust account statement is to be furnished — </w:t>
      </w:r>
    </w:p>
    <w:p>
      <w:pPr>
        <w:pStyle w:val="Indenta"/>
      </w:pPr>
      <w:r>
        <w:tab/>
        <w:t>(a)</w:t>
      </w:r>
      <w:r>
        <w:tab/>
        <w:t>as soon as practicable after completion of the matter to which the ledger account or record relates; or</w:t>
      </w:r>
    </w:p>
    <w:p>
      <w:pPr>
        <w:pStyle w:val="Indenta"/>
      </w:pPr>
      <w:r>
        <w:tab/>
        <w:t>(b)</w:t>
      </w:r>
      <w:r>
        <w:tab/>
        <w:t>as soon as practicable after the person for whom or on whose behalf the money is held or controlled makes a reasonable request for the statement during the course of the matter; or</w:t>
      </w:r>
    </w:p>
    <w:p>
      <w:pPr>
        <w:pStyle w:val="Indenta"/>
      </w:pPr>
      <w:r>
        <w:tab/>
        <w:t>(c)</w:t>
      </w:r>
      <w:r>
        <w:tab/>
        <w:t>except as provided by subsection (7), as soon as practicable after 30 June in each year.</w:t>
      </w:r>
    </w:p>
    <w:p>
      <w:pPr>
        <w:pStyle w:val="Subsection"/>
      </w:pPr>
      <w:r>
        <w:tab/>
        <w:t>(7)</w:t>
      </w:r>
      <w:r>
        <w:tab/>
        <w:t xml:space="preserve">The law practice is not required to give a trust account statement under subsection (6)(c) in relation to a ledger account or record if at 30 June — </w:t>
      </w:r>
    </w:p>
    <w:p>
      <w:pPr>
        <w:pStyle w:val="Indenta"/>
      </w:pPr>
      <w:r>
        <w:tab/>
        <w:t>(a)</w:t>
      </w:r>
      <w:r>
        <w:tab/>
        <w:t>the ledger account or record has been open for less than 6 months; or</w:t>
      </w:r>
    </w:p>
    <w:p>
      <w:pPr>
        <w:pStyle w:val="Indenta"/>
      </w:pPr>
      <w:r>
        <w:tab/>
        <w:t>(b)</w:t>
      </w:r>
      <w:r>
        <w:tab/>
        <w:t>the balance of the ledger account or record is zero and no transaction affecting the account has taken place within the previous 12 months; or</w:t>
      </w:r>
    </w:p>
    <w:p>
      <w:pPr>
        <w:pStyle w:val="Indenta"/>
      </w:pPr>
      <w:r>
        <w:tab/>
        <w:t>(c)</w:t>
      </w:r>
      <w:r>
        <w:tab/>
        <w:t>a trust account statement has been given within the previous 12 months and there has been no subsequent transaction affecting the ledger account or record.</w:t>
      </w:r>
    </w:p>
    <w:p>
      <w:pPr>
        <w:pStyle w:val="Subsection"/>
      </w:pPr>
      <w:r>
        <w:tab/>
        <w:t>(8)</w:t>
      </w:r>
      <w:r>
        <w:tab/>
        <w:t>The law practice must keep a copy of a trust account statement furnished under this regulation.</w:t>
      </w:r>
    </w:p>
    <w:p>
      <w:pPr>
        <w:pStyle w:val="Heading5"/>
      </w:pPr>
      <w:bookmarkStart w:id="125" w:name="_Toc476041036"/>
      <w:r>
        <w:rPr>
          <w:rStyle w:val="CharSectno"/>
        </w:rPr>
        <w:t>61</w:t>
      </w:r>
      <w:r>
        <w:t>.</w:t>
      </w:r>
      <w:r>
        <w:tab/>
        <w:t>Sophisticated clients, application of r. 60 to</w:t>
      </w:r>
      <w:bookmarkEnd w:id="125"/>
    </w:p>
    <w:p>
      <w:pPr>
        <w:pStyle w:val="Subsection"/>
      </w:pPr>
      <w:r>
        <w:tab/>
        <w:t>(1)</w:t>
      </w:r>
      <w:r>
        <w:tab/>
        <w:t xml:space="preserve">In this regulation — </w:t>
      </w:r>
    </w:p>
    <w:p>
      <w:pPr>
        <w:pStyle w:val="Defstart"/>
      </w:pPr>
      <w:r>
        <w:tab/>
      </w:r>
      <w:r>
        <w:rPr>
          <w:rStyle w:val="CharDefText"/>
        </w:rPr>
        <w:t>sophisticated client</w:t>
      </w:r>
      <w:r>
        <w:t xml:space="preserve"> has the same meaning as in section 252 of the Act.</w:t>
      </w:r>
    </w:p>
    <w:p>
      <w:pPr>
        <w:pStyle w:val="Subsection"/>
      </w:pPr>
      <w:r>
        <w:tab/>
        <w:t>(2)</w:t>
      </w:r>
      <w:r>
        <w:tab/>
        <w:t>Regulation 60 does not apply to a sophisticated client to the extent to which the client directs the law practice not to provide trust account statements under that regulation.</w:t>
      </w:r>
    </w:p>
    <w:p>
      <w:pPr>
        <w:pStyle w:val="Subsection"/>
      </w:pPr>
      <w:r>
        <w:tab/>
        <w:t>(3)</w:t>
      </w:r>
      <w:r>
        <w:tab/>
        <w:t>If the sophisticated client directs the law practice to provide trust account statements on a basis different from that prescribed by regulation 60, the law practice must provide those statements as directed, except to the extent to which the direction is unreasonably onerous.</w:t>
      </w:r>
    </w:p>
    <w:p>
      <w:pPr>
        <w:pStyle w:val="Subsection"/>
      </w:pPr>
      <w:r>
        <w:tab/>
        <w:t>(4)</w:t>
      </w:r>
      <w:r>
        <w:tab/>
        <w:t>The law practice must keep a copy of a trust account statement furnished under this regulation.</w:t>
      </w:r>
    </w:p>
    <w:p>
      <w:pPr>
        <w:pStyle w:val="Heading5"/>
      </w:pPr>
      <w:bookmarkStart w:id="126" w:name="_Toc476041037"/>
      <w:r>
        <w:rPr>
          <w:rStyle w:val="CharSectno"/>
        </w:rPr>
        <w:t>62</w:t>
      </w:r>
      <w:r>
        <w:t>.</w:t>
      </w:r>
      <w:r>
        <w:tab/>
        <w:t>Invested trust money, register of required etc.</w:t>
      </w:r>
      <w:bookmarkEnd w:id="126"/>
    </w:p>
    <w:p>
      <w:pPr>
        <w:pStyle w:val="Subsection"/>
      </w:pPr>
      <w:r>
        <w:tab/>
        <w:t>(1)</w:t>
      </w:r>
      <w:r>
        <w:tab/>
        <w:t>This regulation applies if trust money referred to in section 206(3) of the Act is invested by a law practice for or on behalf of a client, but this regulation does not itself confer power to make investments.</w:t>
      </w:r>
    </w:p>
    <w:p>
      <w:pPr>
        <w:pStyle w:val="Subsection"/>
      </w:pPr>
      <w:r>
        <w:tab/>
        <w:t>(2)</w:t>
      </w:r>
      <w:r>
        <w:tab/>
        <w:t>The law practice must maintain a register of investments of trust money.</w:t>
      </w:r>
    </w:p>
    <w:p>
      <w:pPr>
        <w:pStyle w:val="Subsection"/>
      </w:pPr>
      <w:r>
        <w:tab/>
        <w:t>(3)</w:t>
      </w:r>
      <w:r>
        <w:tab/>
        <w:t xml:space="preserve">The register must record the following information in relation to each investment — </w:t>
      </w:r>
    </w:p>
    <w:p>
      <w:pPr>
        <w:pStyle w:val="Indenta"/>
      </w:pPr>
      <w:r>
        <w:tab/>
        <w:t>(a)</w:t>
      </w:r>
      <w:r>
        <w:tab/>
        <w:t>the name in which the investment is held;</w:t>
      </w:r>
    </w:p>
    <w:p>
      <w:pPr>
        <w:pStyle w:val="Indenta"/>
      </w:pPr>
      <w:r>
        <w:tab/>
        <w:t>(b)</w:t>
      </w:r>
      <w:r>
        <w:tab/>
        <w:t>the name of the person on whose behalf the investment is made;</w:t>
      </w:r>
    </w:p>
    <w:p>
      <w:pPr>
        <w:pStyle w:val="Indenta"/>
      </w:pPr>
      <w:r>
        <w:tab/>
        <w:t>(c)</w:t>
      </w:r>
      <w:r>
        <w:tab/>
        <w:t>the person’s address;</w:t>
      </w:r>
    </w:p>
    <w:p>
      <w:pPr>
        <w:pStyle w:val="Indenta"/>
      </w:pPr>
      <w:r>
        <w:tab/>
        <w:t>(d)</w:t>
      </w:r>
      <w:r>
        <w:tab/>
        <w:t>particulars sufficient to identify the investment;</w:t>
      </w:r>
    </w:p>
    <w:p>
      <w:pPr>
        <w:pStyle w:val="Indenta"/>
      </w:pPr>
      <w:r>
        <w:tab/>
        <w:t>(e)</w:t>
      </w:r>
      <w:r>
        <w:tab/>
        <w:t>the amount invested;</w:t>
      </w:r>
    </w:p>
    <w:p>
      <w:pPr>
        <w:pStyle w:val="Indenta"/>
      </w:pPr>
      <w:r>
        <w:tab/>
        <w:t>(f)</w:t>
      </w:r>
      <w:r>
        <w:tab/>
        <w:t>the date the investment was made;</w:t>
      </w:r>
    </w:p>
    <w:p>
      <w:pPr>
        <w:pStyle w:val="Indenta"/>
      </w:pPr>
      <w:r>
        <w:tab/>
        <w:t>(g)</w:t>
      </w:r>
      <w:r>
        <w:tab/>
        <w:t xml:space="preserve">particulars sufficient to identify the source of the investment, including, for example — </w:t>
      </w:r>
    </w:p>
    <w:p>
      <w:pPr>
        <w:pStyle w:val="Indenti"/>
      </w:pPr>
      <w:r>
        <w:tab/>
        <w:t>(i)</w:t>
      </w:r>
      <w:r>
        <w:tab/>
        <w:t>a reference to the relevant trust ledger; and</w:t>
      </w:r>
    </w:p>
    <w:p>
      <w:pPr>
        <w:pStyle w:val="Indenti"/>
      </w:pPr>
      <w:r>
        <w:tab/>
        <w:t>(ii)</w:t>
      </w:r>
      <w:r>
        <w:tab/>
        <w:t>a reference to the written authority to make the investment; and</w:t>
      </w:r>
    </w:p>
    <w:p>
      <w:pPr>
        <w:pStyle w:val="Indenti"/>
      </w:pPr>
      <w:r>
        <w:tab/>
        <w:t>(iii)</w:t>
      </w:r>
      <w:r>
        <w:tab/>
        <w:t>the number of the cheque for the amount to be invested;</w:t>
      </w:r>
    </w:p>
    <w:p>
      <w:pPr>
        <w:pStyle w:val="Indenta"/>
      </w:pPr>
      <w:r>
        <w:tab/>
        <w:t>(h)</w:t>
      </w:r>
      <w:r>
        <w:tab/>
        <w:t>details of any documents evidencing the investment;</w:t>
      </w:r>
    </w:p>
    <w:p>
      <w:pPr>
        <w:pStyle w:val="Indenta"/>
      </w:pPr>
      <w:r>
        <w:tab/>
        <w:t>(i)</w:t>
      </w:r>
      <w:r>
        <w:tab/>
        <w:t>details of any interest received from the investment or credited directly to the investment;</w:t>
      </w:r>
    </w:p>
    <w:p>
      <w:pPr>
        <w:pStyle w:val="Indenta"/>
      </w:pPr>
      <w:r>
        <w:tab/>
        <w:t>(j)</w:t>
      </w:r>
      <w:r>
        <w:tab/>
        <w:t>details of the repayment of the investment and any interest, on maturity or otherwise.</w:t>
      </w:r>
    </w:p>
    <w:p>
      <w:pPr>
        <w:pStyle w:val="Subsection"/>
      </w:pPr>
      <w:r>
        <w:tab/>
        <w:t>(4)</w:t>
      </w:r>
      <w:r>
        <w:tab/>
        <w:t>This regulation does not require particulars to be recorded in the register if the particulars are required to be recorded elsewhere by another regulation.</w:t>
      </w:r>
    </w:p>
    <w:p>
      <w:pPr>
        <w:pStyle w:val="Heading5"/>
      </w:pPr>
      <w:bookmarkStart w:id="127" w:name="_Toc476041038"/>
      <w:r>
        <w:rPr>
          <w:rStyle w:val="CharSectno"/>
        </w:rPr>
        <w:t>63</w:t>
      </w:r>
      <w:r>
        <w:t>.</w:t>
      </w:r>
      <w:r>
        <w:tab/>
        <w:t>Trust money subject to specific power, dealings with (Act s. 221)</w:t>
      </w:r>
      <w:bookmarkEnd w:id="127"/>
    </w:p>
    <w:p>
      <w:pPr>
        <w:pStyle w:val="Subsection"/>
      </w:pPr>
      <w:r>
        <w:tab/>
        <w:t>(1)</w:t>
      </w:r>
      <w:r>
        <w:tab/>
        <w:t>This regulation has effect for the purposes of section 221 of the Act.</w:t>
      </w:r>
    </w:p>
    <w:p>
      <w:pPr>
        <w:pStyle w:val="Subsection"/>
      </w:pPr>
      <w:r>
        <w:tab/>
        <w:t>(2)</w:t>
      </w:r>
      <w:r>
        <w:tab/>
        <w:t xml:space="preserve">If a law practice or an associate of the practice is given a power to deal with trust money for or on behalf of another person, the practice must keep — </w:t>
      </w:r>
    </w:p>
    <w:p>
      <w:pPr>
        <w:pStyle w:val="Indenta"/>
      </w:pPr>
      <w:r>
        <w:tab/>
        <w:t>(a)</w:t>
      </w:r>
      <w:r>
        <w:tab/>
        <w:t>a record of all dealings with the money to which the practice or associate is a party; and</w:t>
      </w:r>
    </w:p>
    <w:p>
      <w:pPr>
        <w:pStyle w:val="Indenta"/>
      </w:pPr>
      <w:r>
        <w:tab/>
        <w:t>(b)</w:t>
      </w:r>
      <w:r>
        <w:tab/>
        <w:t>all supporting information in relation to the dealings,</w:t>
      </w:r>
    </w:p>
    <w:p>
      <w:pPr>
        <w:pStyle w:val="Subsection"/>
      </w:pPr>
      <w:r>
        <w:tab/>
      </w:r>
      <w:r>
        <w:tab/>
        <w:t>in a manner that enables the dealings to be clearly understood.</w:t>
      </w:r>
    </w:p>
    <w:p>
      <w:pPr>
        <w:pStyle w:val="Subsection"/>
      </w:pPr>
      <w:r>
        <w:tab/>
        <w:t>(3)</w:t>
      </w:r>
      <w:r>
        <w:tab/>
        <w:t>The record, supporting information and power must be kept by the law practice as part of the practice’s trust records.</w:t>
      </w:r>
    </w:p>
    <w:p>
      <w:pPr>
        <w:pStyle w:val="Heading5"/>
      </w:pPr>
      <w:bookmarkStart w:id="128" w:name="_Toc476041039"/>
      <w:r>
        <w:rPr>
          <w:rStyle w:val="CharSectno"/>
        </w:rPr>
        <w:t>64</w:t>
      </w:r>
      <w:r>
        <w:t>.</w:t>
      </w:r>
      <w:r>
        <w:tab/>
        <w:t>Powers and estates relating to trust money, register of</w:t>
      </w:r>
      <w:bookmarkEnd w:id="128"/>
    </w:p>
    <w:p>
      <w:pPr>
        <w:pStyle w:val="Subsection"/>
      </w:pPr>
      <w:r>
        <w:tab/>
        <w:t>(1)</w:t>
      </w:r>
      <w:r>
        <w:tab/>
        <w:t>A law practice must maintain a register of powers and estates in respect of which the law practice or an associate of the practice is acting or entitled to act, alone or jointly with the law practice or one or more associates of the practice, in relation to trust money.</w:t>
      </w:r>
    </w:p>
    <w:p>
      <w:pPr>
        <w:pStyle w:val="Subsection"/>
      </w:pPr>
      <w:r>
        <w:tab/>
        <w:t>(2)</w:t>
      </w:r>
      <w:r>
        <w:tab/>
        <w:t>Subregulation (1) does not apply where the law practice or associate is also required to act jointly with one or more persons who are not associates of the practice.</w:t>
      </w:r>
    </w:p>
    <w:p>
      <w:pPr>
        <w:pStyle w:val="Subsection"/>
        <w:keepNext/>
      </w:pPr>
      <w:r>
        <w:tab/>
        <w:t>(3)</w:t>
      </w:r>
      <w:r>
        <w:tab/>
        <w:t xml:space="preserve">The register of powers and estates must record — </w:t>
      </w:r>
    </w:p>
    <w:p>
      <w:pPr>
        <w:pStyle w:val="Indenta"/>
      </w:pPr>
      <w:r>
        <w:tab/>
        <w:t>(a)</w:t>
      </w:r>
      <w:r>
        <w:tab/>
        <w:t>the name and address of the donor and date of each power; and</w:t>
      </w:r>
    </w:p>
    <w:p>
      <w:pPr>
        <w:pStyle w:val="Indenta"/>
      </w:pPr>
      <w:r>
        <w:tab/>
        <w:t>(b)</w:t>
      </w:r>
      <w:r>
        <w:tab/>
        <w:t>the name and date of death of the deceased in respect of each estate of which the law practice or associate is executor or administrator.</w:t>
      </w:r>
    </w:p>
    <w:p>
      <w:pPr>
        <w:pStyle w:val="Heading5"/>
      </w:pPr>
      <w:bookmarkStart w:id="129" w:name="_Toc476041040"/>
      <w:r>
        <w:rPr>
          <w:rStyle w:val="CharSectno"/>
        </w:rPr>
        <w:t>65</w:t>
      </w:r>
      <w:r>
        <w:t>.</w:t>
      </w:r>
      <w:r>
        <w:tab/>
        <w:t>Withdrawing trust money for legal costs, procedures etc. for (Act s. 225(1)(b))</w:t>
      </w:r>
      <w:bookmarkEnd w:id="129"/>
    </w:p>
    <w:p>
      <w:pPr>
        <w:pStyle w:val="Subsection"/>
      </w:pPr>
      <w:r>
        <w:tab/>
        <w:t>(1)</w:t>
      </w:r>
      <w:r>
        <w:tab/>
        <w:t>This regulation prescribes, for the purposes of section 225(1)(b) of the Act, the procedure for the withdrawal of trust money held in a general trust account or controlled money account of a law practice for payment of legal costs owing to the practice by the person for whom the trust money was paid into the account.</w:t>
      </w:r>
    </w:p>
    <w:p>
      <w:pPr>
        <w:pStyle w:val="Subsection"/>
      </w:pPr>
      <w:r>
        <w:tab/>
        <w:t>(2)</w:t>
      </w:r>
      <w:r>
        <w:tab/>
        <w:t>The trust money may be withdrawn in accordance with the procedure set out in either subregulation (3) or (4).</w:t>
      </w:r>
    </w:p>
    <w:p>
      <w:pPr>
        <w:pStyle w:val="Subsection"/>
      </w:pPr>
      <w:r>
        <w:tab/>
        <w:t>(3)</w:t>
      </w:r>
      <w:r>
        <w:tab/>
        <w:t xml:space="preserve">The law practice may withdraw the trust money — </w:t>
      </w:r>
    </w:p>
    <w:p>
      <w:pPr>
        <w:pStyle w:val="Indenta"/>
      </w:pPr>
      <w:r>
        <w:tab/>
        <w:t>(a)</w:t>
      </w:r>
      <w:r>
        <w:tab/>
        <w:t xml:space="preserve">if — </w:t>
      </w:r>
    </w:p>
    <w:p>
      <w:pPr>
        <w:pStyle w:val="Indenti"/>
      </w:pPr>
      <w:r>
        <w:tab/>
        <w:t>(i)</w:t>
      </w:r>
      <w:r>
        <w:tab/>
        <w:t>the money is withdrawn in accordance with a costs agreement that complies with the legislation under which it is made and that authorises the withdrawal; or</w:t>
      </w:r>
    </w:p>
    <w:p>
      <w:pPr>
        <w:pStyle w:val="Indenti"/>
      </w:pPr>
      <w:r>
        <w:tab/>
        <w:t>(ii)</w:t>
      </w:r>
      <w:r>
        <w:tab/>
        <w:t>the money is withdrawn in accordance with instructions that have been received by the practice and that authorise the withdrawal; or</w:t>
      </w:r>
    </w:p>
    <w:p>
      <w:pPr>
        <w:pStyle w:val="Indenti"/>
        <w:spacing w:before="60"/>
      </w:pPr>
      <w:r>
        <w:tab/>
        <w:t>(iii)</w:t>
      </w:r>
      <w:r>
        <w:tab/>
        <w:t>the money is owed to the practice by way of reimbursement of money already paid by the practice on behalf of the person;</w:t>
      </w:r>
    </w:p>
    <w:p>
      <w:pPr>
        <w:pStyle w:val="Indenta"/>
        <w:spacing w:before="60"/>
      </w:pPr>
      <w:r>
        <w:tab/>
      </w:r>
      <w:r>
        <w:tab/>
        <w:t>and</w:t>
      </w:r>
    </w:p>
    <w:p>
      <w:pPr>
        <w:pStyle w:val="Indenta"/>
        <w:spacing w:before="60"/>
      </w:pPr>
      <w:r>
        <w:tab/>
        <w:t>(b)</w:t>
      </w:r>
      <w:r>
        <w:tab/>
        <w:t xml:space="preserve">if, before effecting the withdrawal, the practice gives or sends to the person — </w:t>
      </w:r>
    </w:p>
    <w:p>
      <w:pPr>
        <w:pStyle w:val="Indenti"/>
        <w:spacing w:before="60"/>
      </w:pPr>
      <w:r>
        <w:tab/>
        <w:t>(i)</w:t>
      </w:r>
      <w:r>
        <w:tab/>
        <w:t>a request for payment, referring to the proposed withdrawal; or</w:t>
      </w:r>
    </w:p>
    <w:p>
      <w:pPr>
        <w:pStyle w:val="Indenti"/>
        <w:spacing w:before="60"/>
      </w:pPr>
      <w:r>
        <w:tab/>
        <w:t>(ii)</w:t>
      </w:r>
      <w:r>
        <w:tab/>
        <w:t>a written notice of withdrawal.</w:t>
      </w:r>
    </w:p>
    <w:p>
      <w:pPr>
        <w:pStyle w:val="Subsection"/>
      </w:pPr>
      <w:r>
        <w:tab/>
        <w:t>(4)</w:t>
      </w:r>
      <w:r>
        <w:tab/>
        <w:t xml:space="preserve">The law practice may withdraw the trust money — </w:t>
      </w:r>
    </w:p>
    <w:p>
      <w:pPr>
        <w:pStyle w:val="Indenta"/>
        <w:spacing w:before="60"/>
      </w:pPr>
      <w:r>
        <w:tab/>
        <w:t>(a)</w:t>
      </w:r>
      <w:r>
        <w:tab/>
        <w:t>if the practice has given the person a bill relating to the money; and</w:t>
      </w:r>
    </w:p>
    <w:p>
      <w:pPr>
        <w:pStyle w:val="Indenta"/>
        <w:spacing w:before="60"/>
      </w:pPr>
      <w:r>
        <w:tab/>
        <w:t>(b)</w:t>
      </w:r>
      <w:r>
        <w:tab/>
        <w:t xml:space="preserve">if — </w:t>
      </w:r>
    </w:p>
    <w:p>
      <w:pPr>
        <w:pStyle w:val="Indenti"/>
        <w:spacing w:before="60"/>
      </w:pPr>
      <w:r>
        <w:tab/>
        <w:t>(i)</w:t>
      </w:r>
      <w:r>
        <w:tab/>
        <w:t>the person has not objected to withdrawal of the money within 7 days after being given the bill; or</w:t>
      </w:r>
    </w:p>
    <w:p>
      <w:pPr>
        <w:pStyle w:val="Indenti"/>
        <w:spacing w:before="60"/>
      </w:pPr>
      <w:r>
        <w:tab/>
        <w:t>(ii)</w:t>
      </w:r>
      <w:r>
        <w:tab/>
        <w:t>the person has objected within 7 days after being given the bill but has not applied for a review of the legal costs under the Act within 60 days after being given the bill; or</w:t>
      </w:r>
    </w:p>
    <w:p>
      <w:pPr>
        <w:pStyle w:val="Indenti"/>
        <w:spacing w:before="60"/>
      </w:pPr>
      <w:r>
        <w:tab/>
        <w:t>(iii)</w:t>
      </w:r>
      <w:r>
        <w:tab/>
        <w:t>the money otherwise becomes legally payable.</w:t>
      </w:r>
    </w:p>
    <w:p>
      <w:pPr>
        <w:pStyle w:val="Subsection"/>
      </w:pPr>
      <w:r>
        <w:tab/>
        <w:t>(5)</w:t>
      </w:r>
      <w:r>
        <w:tab/>
        <w:t xml:space="preserve">Instructions mentioned in subregulation (3)(a)(ii) — </w:t>
      </w:r>
    </w:p>
    <w:p>
      <w:pPr>
        <w:pStyle w:val="Indenta"/>
        <w:spacing w:before="60"/>
      </w:pPr>
      <w:r>
        <w:tab/>
        <w:t>(a)</w:t>
      </w:r>
      <w:r>
        <w:tab/>
        <w:t>if given in writing, must be kept as a permanent record; or</w:t>
      </w:r>
    </w:p>
    <w:p>
      <w:pPr>
        <w:pStyle w:val="Indenta"/>
        <w:spacing w:before="60"/>
      </w:pPr>
      <w:r>
        <w:tab/>
        <w:t>(b)</w:t>
      </w:r>
      <w:r>
        <w:tab/>
        <w:t>if not given in writing, must be confirmed in writing either before, or not later than 5 working days after, the law practice effects the withdrawal and a copy must be kept as a permanent record.</w:t>
      </w:r>
    </w:p>
    <w:p>
      <w:pPr>
        <w:pStyle w:val="Subsection"/>
      </w:pPr>
      <w:r>
        <w:tab/>
        <w:t>(6)</w:t>
      </w:r>
      <w:r>
        <w:tab/>
        <w:t>For the purposes of subregulation (3)(a)(iii), money is taken to have been paid by the law practice on behalf of the person when the relevant account of the practice has been debited.</w:t>
      </w:r>
    </w:p>
    <w:p>
      <w:pPr>
        <w:pStyle w:val="Heading5"/>
        <w:rPr>
          <w:rStyle w:val="DraftersNotes"/>
        </w:rPr>
      </w:pPr>
      <w:bookmarkStart w:id="130" w:name="_Toc476041041"/>
      <w:r>
        <w:rPr>
          <w:rStyle w:val="CharSectno"/>
        </w:rPr>
        <w:t>66</w:t>
      </w:r>
      <w:r>
        <w:t>.</w:t>
      </w:r>
      <w:r>
        <w:tab/>
        <w:t>Trust records, how to be kept (Act s. 228)</w:t>
      </w:r>
      <w:bookmarkEnd w:id="130"/>
    </w:p>
    <w:p>
      <w:pPr>
        <w:pStyle w:val="Subsection"/>
      </w:pPr>
      <w:r>
        <w:tab/>
        <w:t>(1)</w:t>
      </w:r>
      <w:r>
        <w:tab/>
        <w:t>This regulation has effect for the purposes of section 228 of the Act for the keeping in a permanent form of a law practice’s trust records in relation to trust money received by the practice.</w:t>
      </w:r>
    </w:p>
    <w:p>
      <w:pPr>
        <w:pStyle w:val="Subsection"/>
        <w:keepNext/>
      </w:pPr>
      <w:r>
        <w:tab/>
        <w:t>(2)</w:t>
      </w:r>
      <w:r>
        <w:tab/>
        <w:t xml:space="preserve">The trust records are to be kept for a period of 7 years after — </w:t>
      </w:r>
    </w:p>
    <w:p>
      <w:pPr>
        <w:pStyle w:val="Indenta"/>
      </w:pPr>
      <w:r>
        <w:tab/>
        <w:t>(a)</w:t>
      </w:r>
      <w:r>
        <w:tab/>
        <w:t xml:space="preserve">in the case of a trust record referred to in paragraphs (a) to (m) of the definition of </w:t>
      </w:r>
      <w:r>
        <w:rPr>
          <w:b/>
          <w:bCs/>
          <w:i/>
          <w:iCs/>
        </w:rPr>
        <w:t>trust records</w:t>
      </w:r>
      <w:r>
        <w:t xml:space="preserve"> in section 205(1) of the Act — the only or the last transaction entry in the record; or</w:t>
      </w:r>
    </w:p>
    <w:p>
      <w:pPr>
        <w:pStyle w:val="Indenta"/>
      </w:pPr>
      <w:r>
        <w:tab/>
        <w:t>(b)</w:t>
      </w:r>
      <w:r>
        <w:tab/>
        <w:t>in the case of any other trust record — finalisation of the matter to which the records relates.</w:t>
      </w:r>
    </w:p>
    <w:p>
      <w:pPr>
        <w:pStyle w:val="Subsection"/>
      </w:pPr>
      <w:r>
        <w:tab/>
        <w:t>(3)</w:t>
      </w:r>
      <w:r>
        <w:tab/>
        <w:t>This regulation does not apply to a written direction referred to in section 215(2)(a) or 218(1) of the Act.</w:t>
      </w:r>
    </w:p>
    <w:p>
      <w:pPr>
        <w:pStyle w:val="Heading5"/>
      </w:pPr>
      <w:bookmarkStart w:id="131" w:name="_Toc476041042"/>
      <w:r>
        <w:rPr>
          <w:rStyle w:val="CharSectno"/>
        </w:rPr>
        <w:t>67</w:t>
      </w:r>
      <w:r>
        <w:t>.</w:t>
      </w:r>
      <w:r>
        <w:tab/>
        <w:t>Other records etc. required by these regulations, how long to be kept for</w:t>
      </w:r>
      <w:bookmarkEnd w:id="131"/>
    </w:p>
    <w:p>
      <w:pPr>
        <w:pStyle w:val="Subsection"/>
      </w:pPr>
      <w:r>
        <w:tab/>
        <w:t>(1)</w:t>
      </w:r>
      <w:r>
        <w:tab/>
        <w:t>A record maintained under regulation 37 is, so far as it relates to particular information, to be kept by the law practice for a period of 7 years after finalisation of the matter to which the record relates.</w:t>
      </w:r>
    </w:p>
    <w:p>
      <w:pPr>
        <w:pStyle w:val="Subsection"/>
      </w:pPr>
      <w:r>
        <w:tab/>
        <w:t>(2)</w:t>
      </w:r>
      <w:r>
        <w:tab/>
        <w:t>Any other record or information required by this Part to be kept by a law practice is to be kept for a period of 7 years after finalisation of the matter to which the record relates.</w:t>
      </w:r>
    </w:p>
    <w:p>
      <w:pPr>
        <w:pStyle w:val="Subsection"/>
      </w:pPr>
      <w:r>
        <w:tab/>
        <w:t>(3)</w:t>
      </w:r>
      <w:r>
        <w:tab/>
        <w:t>This regulation does not apply to records to which regulation 43, 56 or 66 applies.</w:t>
      </w:r>
    </w:p>
    <w:p>
      <w:pPr>
        <w:pStyle w:val="Heading5"/>
      </w:pPr>
      <w:bookmarkStart w:id="132" w:name="_Toc476041043"/>
      <w:r>
        <w:rPr>
          <w:rStyle w:val="CharSectno"/>
        </w:rPr>
        <w:t>68</w:t>
      </w:r>
      <w:r>
        <w:t>.</w:t>
      </w:r>
      <w:r>
        <w:tab/>
        <w:t>Board may require statement as to trust money</w:t>
      </w:r>
      <w:bookmarkEnd w:id="132"/>
    </w:p>
    <w:p>
      <w:pPr>
        <w:pStyle w:val="Subsection"/>
      </w:pPr>
      <w:r>
        <w:tab/>
        <w:t>(1)</w:t>
      </w:r>
      <w:r>
        <w:tab/>
        <w:t xml:space="preserve">The Board may, by notice given under this regulation, require a law practice to give the Board a statement — </w:t>
      </w:r>
    </w:p>
    <w:p>
      <w:pPr>
        <w:pStyle w:val="Indenta"/>
      </w:pPr>
      <w:r>
        <w:tab/>
        <w:t>(a)</w:t>
      </w:r>
      <w:r>
        <w:tab/>
        <w:t>specifying whether or not the practice has, during a period specified by the Board, received or held trust money; and</w:t>
      </w:r>
    </w:p>
    <w:p>
      <w:pPr>
        <w:pStyle w:val="Indenta"/>
        <w:spacing w:before="70"/>
      </w:pPr>
      <w:r>
        <w:tab/>
        <w:t>(b)</w:t>
      </w:r>
      <w:r>
        <w:tab/>
        <w:t xml:space="preserve">if it has received or held trust money during that period, specifying to which of the following categories the trust money belongs — </w:t>
      </w:r>
    </w:p>
    <w:p>
      <w:pPr>
        <w:pStyle w:val="Indenti"/>
        <w:spacing w:before="70"/>
      </w:pPr>
      <w:r>
        <w:tab/>
        <w:t>(i)</w:t>
      </w:r>
      <w:r>
        <w:tab/>
        <w:t>general trust money (being trust money other than that referred to in subparagraphs (ii) to (iv));</w:t>
      </w:r>
    </w:p>
    <w:p>
      <w:pPr>
        <w:pStyle w:val="Indenti"/>
        <w:spacing w:before="70"/>
      </w:pPr>
      <w:r>
        <w:tab/>
        <w:t>(ii)</w:t>
      </w:r>
      <w:r>
        <w:tab/>
        <w:t>controlled money;</w:t>
      </w:r>
    </w:p>
    <w:p>
      <w:pPr>
        <w:pStyle w:val="Indenti"/>
        <w:spacing w:before="70"/>
      </w:pPr>
      <w:r>
        <w:tab/>
        <w:t>(iii)</w:t>
      </w:r>
      <w:r>
        <w:tab/>
        <w:t>transit money;</w:t>
      </w:r>
    </w:p>
    <w:p>
      <w:pPr>
        <w:pStyle w:val="Indenti"/>
        <w:spacing w:before="70"/>
      </w:pPr>
      <w:r>
        <w:tab/>
        <w:t>(iv)</w:t>
      </w:r>
      <w:r>
        <w:tab/>
        <w:t>money subject to a power.</w:t>
      </w:r>
    </w:p>
    <w:p>
      <w:pPr>
        <w:pStyle w:val="Subsection"/>
      </w:pPr>
      <w:r>
        <w:tab/>
        <w:t>(2)</w:t>
      </w:r>
      <w:r>
        <w:tab/>
        <w:t>A notice may be given so as to apply in respect of one or more periods (whether they occur annually or otherwise), and may be withdrawn or varied by a further notice.</w:t>
      </w:r>
    </w:p>
    <w:p>
      <w:pPr>
        <w:pStyle w:val="Subsection"/>
      </w:pPr>
      <w:r>
        <w:tab/>
        <w:t>(3)</w:t>
      </w:r>
      <w:r>
        <w:tab/>
        <w:t>A notice may specify the time by which or the period during which the requirement must be complied with.</w:t>
      </w:r>
    </w:p>
    <w:p>
      <w:pPr>
        <w:pStyle w:val="Subsection"/>
      </w:pPr>
      <w:r>
        <w:tab/>
        <w:t>(4)</w:t>
      </w:r>
      <w:r>
        <w:tab/>
        <w:t xml:space="preserve">A notice is given to — </w:t>
      </w:r>
    </w:p>
    <w:p>
      <w:pPr>
        <w:pStyle w:val="Indenta"/>
        <w:spacing w:before="60"/>
      </w:pPr>
      <w:r>
        <w:tab/>
        <w:t>(a)</w:t>
      </w:r>
      <w:r>
        <w:tab/>
        <w:t>a particular law practice by sending the notice by post to the practice; or</w:t>
      </w:r>
    </w:p>
    <w:p>
      <w:pPr>
        <w:pStyle w:val="Indenta"/>
        <w:spacing w:before="60"/>
      </w:pPr>
      <w:r>
        <w:tab/>
        <w:t>(b)</w:t>
      </w:r>
      <w:r>
        <w:tab/>
        <w:t>a particular class of law practices by publishing the notice in a circular distributed generally to law practices of the class or in a magazine or other publication available generally to law practices of the class.</w:t>
      </w:r>
    </w:p>
    <w:p>
      <w:pPr>
        <w:pStyle w:val="Subsection"/>
      </w:pPr>
      <w:r>
        <w:tab/>
        <w:t>(5)</w:t>
      </w:r>
      <w:r>
        <w:tab/>
        <w:t xml:space="preserve">A law practice — </w:t>
      </w:r>
    </w:p>
    <w:p>
      <w:pPr>
        <w:pStyle w:val="Indenta"/>
        <w:spacing w:before="60"/>
      </w:pPr>
      <w:r>
        <w:tab/>
        <w:t>(a)</w:t>
      </w:r>
      <w:r>
        <w:tab/>
        <w:t>must comply with a requirement imposed on it under this regulation and must do so by the time or during the period specified in the notice for compliance; and</w:t>
      </w:r>
    </w:p>
    <w:p>
      <w:pPr>
        <w:pStyle w:val="Indenta"/>
        <w:spacing w:before="60"/>
      </w:pPr>
      <w:r>
        <w:tab/>
        <w:t>(b)</w:t>
      </w:r>
      <w:r>
        <w:tab/>
        <w:t>must not include in the statement any information that is false or misleading in a material particular.</w:t>
      </w:r>
    </w:p>
    <w:p>
      <w:pPr>
        <w:pStyle w:val="Heading3"/>
      </w:pPr>
      <w:bookmarkStart w:id="133" w:name="_Toc466893779"/>
      <w:bookmarkStart w:id="134" w:name="_Toc467498431"/>
      <w:bookmarkStart w:id="135" w:name="_Toc476040560"/>
      <w:bookmarkStart w:id="136" w:name="_Toc476041044"/>
      <w:r>
        <w:rPr>
          <w:rStyle w:val="CharDivNo"/>
        </w:rPr>
        <w:t>Division 7</w:t>
      </w:r>
      <w:r>
        <w:t> — </w:t>
      </w:r>
      <w:r>
        <w:rPr>
          <w:rStyle w:val="CharDivText"/>
        </w:rPr>
        <w:t>External examinations</w:t>
      </w:r>
      <w:bookmarkEnd w:id="133"/>
      <w:bookmarkEnd w:id="134"/>
      <w:bookmarkEnd w:id="135"/>
      <w:bookmarkEnd w:id="136"/>
    </w:p>
    <w:p>
      <w:pPr>
        <w:pStyle w:val="Heading5"/>
      </w:pPr>
      <w:bookmarkStart w:id="137" w:name="_Toc476041045"/>
      <w:r>
        <w:rPr>
          <w:rStyle w:val="CharSectno"/>
        </w:rPr>
        <w:t>69</w:t>
      </w:r>
      <w:r>
        <w:t>.</w:t>
      </w:r>
      <w:r>
        <w:tab/>
        <w:t>External examiner, appointment of etc. (Act s. 237)</w:t>
      </w:r>
      <w:bookmarkEnd w:id="137"/>
    </w:p>
    <w:p>
      <w:pPr>
        <w:pStyle w:val="Subsection"/>
      </w:pPr>
      <w:r>
        <w:tab/>
        <w:t>(1)</w:t>
      </w:r>
      <w:r>
        <w:tab/>
        <w:t>For the purposes of section 237(1) of the Act, a law practice must appoint a designated person as an external examiner to examine the practice’s trust records.</w:t>
      </w:r>
    </w:p>
    <w:p>
      <w:pPr>
        <w:pStyle w:val="Subsection"/>
      </w:pPr>
      <w:r>
        <w:tab/>
        <w:t>(2)</w:t>
      </w:r>
      <w:r>
        <w:tab/>
        <w:t>If the only trust money received or held by a law practice during a financial year is transit money, the practice’s trust records in respect of that year are not required to be externally examined.</w:t>
      </w:r>
    </w:p>
    <w:p>
      <w:pPr>
        <w:pStyle w:val="Heading5"/>
      </w:pPr>
      <w:bookmarkStart w:id="138" w:name="_Toc476041046"/>
      <w:r>
        <w:rPr>
          <w:rStyle w:val="CharSectno"/>
        </w:rPr>
        <w:t>70</w:t>
      </w:r>
      <w:r>
        <w:t>.</w:t>
      </w:r>
      <w:r>
        <w:tab/>
        <w:t>Board to be notified of each appointment of external examiner</w:t>
      </w:r>
      <w:bookmarkEnd w:id="138"/>
    </w:p>
    <w:p>
      <w:pPr>
        <w:pStyle w:val="Subsection"/>
      </w:pPr>
      <w:r>
        <w:tab/>
      </w:r>
      <w:r>
        <w:tab/>
        <w:t>A law practice must cause written notice to be given to the Board on each occasion that it appoints a designated person as an external examiner.</w:t>
      </w:r>
    </w:p>
    <w:p>
      <w:pPr>
        <w:pStyle w:val="Heading5"/>
      </w:pPr>
      <w:bookmarkStart w:id="139" w:name="_Toc476041047"/>
      <w:r>
        <w:rPr>
          <w:rStyle w:val="CharSectno"/>
        </w:rPr>
        <w:t>71</w:t>
      </w:r>
      <w:r>
        <w:t>.</w:t>
      </w:r>
      <w:r>
        <w:tab/>
        <w:t>Statutory declaration form prescribed (Act s. 239(3)(b))</w:t>
      </w:r>
      <w:bookmarkEnd w:id="139"/>
    </w:p>
    <w:p>
      <w:pPr>
        <w:pStyle w:val="Subsection"/>
      </w:pPr>
      <w:r>
        <w:tab/>
      </w:r>
      <w:r>
        <w:tab/>
        <w:t>For the purposes of section 239(3)(b) of the Act, the prescribed form of a statutory declaration to be lodged by a law practice is in Schedule 1 Form 1.</w:t>
      </w:r>
    </w:p>
    <w:p>
      <w:pPr>
        <w:pStyle w:val="Heading5"/>
      </w:pPr>
      <w:bookmarkStart w:id="140" w:name="_Toc476041048"/>
      <w:r>
        <w:rPr>
          <w:rStyle w:val="CharSectno"/>
        </w:rPr>
        <w:t>72</w:t>
      </w:r>
      <w:r>
        <w:t>.</w:t>
      </w:r>
      <w:r>
        <w:tab/>
        <w:t>External examiner’s report, content of prescribed (Act s. 240(3)(b))</w:t>
      </w:r>
      <w:bookmarkEnd w:id="140"/>
    </w:p>
    <w:p>
      <w:pPr>
        <w:pStyle w:val="Subsection"/>
      </w:pPr>
      <w:r>
        <w:tab/>
      </w:r>
      <w:r>
        <w:tab/>
        <w:t>For the purposes of section 240(3)(b) of the Act, an external examiner’s report must include the information, and be given in the way, approved by the Board.</w:t>
      </w:r>
    </w:p>
    <w:p>
      <w:pPr>
        <w:pStyle w:val="Heading5"/>
      </w:pPr>
      <w:bookmarkStart w:id="141" w:name="_Toc476041049"/>
      <w:r>
        <w:rPr>
          <w:rStyle w:val="CharSectno"/>
        </w:rPr>
        <w:t>73A</w:t>
      </w:r>
      <w:r>
        <w:t>.</w:t>
      </w:r>
      <w:r>
        <w:tab/>
        <w:t>Board may grant exemptions from s. 237(1)</w:t>
      </w:r>
      <w:bookmarkEnd w:id="141"/>
    </w:p>
    <w:p>
      <w:pPr>
        <w:pStyle w:val="Subsection"/>
      </w:pPr>
      <w:r>
        <w:tab/>
      </w:r>
      <w:r>
        <w:tab/>
        <w:t>The Board may by written notice exempt a law practice from the requirement to have trust records examined under section 237(1) of the Act to the extent that is specified in the notice.</w:t>
      </w:r>
    </w:p>
    <w:p>
      <w:pPr>
        <w:pStyle w:val="Footnotesection"/>
      </w:pPr>
      <w:r>
        <w:tab/>
        <w:t>[Regulation 73A inserted in Gazette 31 Jul 2015 p. 3119.]</w:t>
      </w:r>
    </w:p>
    <w:p>
      <w:pPr>
        <w:pStyle w:val="Heading3"/>
      </w:pPr>
      <w:bookmarkStart w:id="142" w:name="_Toc466893785"/>
      <w:bookmarkStart w:id="143" w:name="_Toc467498437"/>
      <w:bookmarkStart w:id="144" w:name="_Toc476040566"/>
      <w:bookmarkStart w:id="145" w:name="_Toc476041050"/>
      <w:r>
        <w:rPr>
          <w:rStyle w:val="CharDivNo"/>
        </w:rPr>
        <w:t>Division 8</w:t>
      </w:r>
      <w:r>
        <w:t> — </w:t>
      </w:r>
      <w:r>
        <w:rPr>
          <w:rStyle w:val="CharDivText"/>
        </w:rPr>
        <w:t>Miscellaneous</w:t>
      </w:r>
      <w:bookmarkEnd w:id="142"/>
      <w:bookmarkEnd w:id="143"/>
      <w:bookmarkEnd w:id="144"/>
      <w:bookmarkEnd w:id="145"/>
    </w:p>
    <w:p>
      <w:pPr>
        <w:pStyle w:val="Heading5"/>
      </w:pPr>
      <w:bookmarkStart w:id="146" w:name="_Toc476041051"/>
      <w:r>
        <w:rPr>
          <w:rStyle w:val="CharSectno"/>
        </w:rPr>
        <w:t>73</w:t>
      </w:r>
      <w:r>
        <w:t>.</w:t>
      </w:r>
      <w:r>
        <w:tab/>
        <w:t>Trust money protocols identified (Act s. 209(4))</w:t>
      </w:r>
      <w:bookmarkEnd w:id="146"/>
    </w:p>
    <w:p>
      <w:pPr>
        <w:pStyle w:val="Subsection"/>
      </w:pPr>
      <w:r>
        <w:tab/>
      </w:r>
      <w:r>
        <w:tab/>
        <w:t>For the purposes of section 209(4) of the Act, a document is identified as a trust money protocol if the document describes itself as a protocol and is executed by or on behalf of the Board and by or on behalf of one or more regulatory authorities of other jurisdictions.</w:t>
      </w:r>
    </w:p>
    <w:p>
      <w:pPr>
        <w:pStyle w:val="Heading5"/>
      </w:pPr>
      <w:bookmarkStart w:id="147" w:name="_Toc476041052"/>
      <w:r>
        <w:rPr>
          <w:rStyle w:val="CharSectno"/>
        </w:rPr>
        <w:t>74</w:t>
      </w:r>
      <w:r>
        <w:t>.</w:t>
      </w:r>
      <w:r>
        <w:tab/>
        <w:t>Law practice ceasing or ceasing to receive or hold trust money to notify Board</w:t>
      </w:r>
      <w:bookmarkEnd w:id="147"/>
    </w:p>
    <w:p>
      <w:pPr>
        <w:pStyle w:val="Subsection"/>
      </w:pPr>
      <w:r>
        <w:tab/>
        <w:t>(1)</w:t>
      </w:r>
      <w:r>
        <w:tab/>
        <w:t xml:space="preserve">In this regulation — </w:t>
      </w:r>
    </w:p>
    <w:p>
      <w:pPr>
        <w:pStyle w:val="Defstart"/>
      </w:pPr>
      <w:r>
        <w:tab/>
      </w:r>
      <w:r>
        <w:rPr>
          <w:rStyle w:val="CharDefText"/>
        </w:rPr>
        <w:t>law practice</w:t>
      </w:r>
      <w:r>
        <w:t xml:space="preserve"> includes a former law practice and the persons who were principals of a law practice immediately before the law practice ceased to exist as a law practice or to engage in legal practice in this jurisdiction.</w:t>
      </w:r>
    </w:p>
    <w:p>
      <w:pPr>
        <w:pStyle w:val="Subsection"/>
      </w:pPr>
      <w:r>
        <w:tab/>
        <w:t>(2)</w:t>
      </w:r>
      <w:r>
        <w:tab/>
        <w:t xml:space="preserve">A law practice that holds trust money must give the Board at least 14 days written notice of its intention — </w:t>
      </w:r>
    </w:p>
    <w:p>
      <w:pPr>
        <w:pStyle w:val="Indenta"/>
      </w:pPr>
      <w:r>
        <w:tab/>
        <w:t>(a)</w:t>
      </w:r>
      <w:r>
        <w:tab/>
        <w:t>to cease to exist as a law practice; or</w:t>
      </w:r>
    </w:p>
    <w:p>
      <w:pPr>
        <w:pStyle w:val="Indenta"/>
      </w:pPr>
      <w:r>
        <w:tab/>
        <w:t>(b)</w:t>
      </w:r>
      <w:r>
        <w:tab/>
        <w:t>to cease to engage in legal practice in this jurisdiction; or</w:t>
      </w:r>
    </w:p>
    <w:p>
      <w:pPr>
        <w:pStyle w:val="Indenta"/>
      </w:pPr>
      <w:r>
        <w:tab/>
        <w:t>(c)</w:t>
      </w:r>
      <w:r>
        <w:tab/>
        <w:t>to cease to practise in such a way as to receive trust money.</w:t>
      </w:r>
    </w:p>
    <w:p>
      <w:pPr>
        <w:pStyle w:val="Subsection"/>
      </w:pPr>
      <w:r>
        <w:tab/>
        <w:t>(3)</w:t>
      </w:r>
      <w:r>
        <w:tab/>
        <w:t xml:space="preserve">Within 14 days of ceasing to hold trust money, a law practice that holds trust money must give the Board — </w:t>
      </w:r>
    </w:p>
    <w:p>
      <w:pPr>
        <w:pStyle w:val="Indenta"/>
      </w:pPr>
      <w:r>
        <w:tab/>
        <w:t>(a)</w:t>
      </w:r>
      <w:r>
        <w:tab/>
        <w:t>written notice of that fact; and</w:t>
      </w:r>
    </w:p>
    <w:p>
      <w:pPr>
        <w:pStyle w:val="Indenta"/>
      </w:pPr>
      <w:r>
        <w:tab/>
        <w:t>(b)</w:t>
      </w:r>
      <w:r>
        <w:tab/>
        <w:t>if the practice has not given a notice under subregulation (2) within the previous 28 days, a notice that complies with that subregulation.</w:t>
      </w:r>
    </w:p>
    <w:p>
      <w:pPr>
        <w:pStyle w:val="Subsection"/>
      </w:pPr>
      <w:r>
        <w:tab/>
        <w:t>(4)</w:t>
      </w:r>
      <w:r>
        <w:tab/>
        <w:t xml:space="preserve">A notice under this regulation must include particulars sufficient to identify — </w:t>
      </w:r>
    </w:p>
    <w:p>
      <w:pPr>
        <w:pStyle w:val="Indenta"/>
      </w:pPr>
      <w:r>
        <w:tab/>
        <w:t>(a)</w:t>
      </w:r>
      <w:r>
        <w:tab/>
        <w:t>a law practice’s general trust accounts and controlled money accounts; and</w:t>
      </w:r>
    </w:p>
    <w:p>
      <w:pPr>
        <w:pStyle w:val="Indenta"/>
      </w:pPr>
      <w:r>
        <w:tab/>
        <w:t>(b)</w:t>
      </w:r>
      <w:r>
        <w:tab/>
        <w:t>trust money controlled by the practice (or by an associate of the practice) pursuant to a power; and</w:t>
      </w:r>
    </w:p>
    <w:p>
      <w:pPr>
        <w:pStyle w:val="Indenta"/>
      </w:pPr>
      <w:r>
        <w:tab/>
        <w:t>(c)</w:t>
      </w:r>
      <w:r>
        <w:tab/>
        <w:t>trust money invested by the practice.</w:t>
      </w:r>
    </w:p>
    <w:p>
      <w:pPr>
        <w:pStyle w:val="Heading5"/>
      </w:pPr>
      <w:bookmarkStart w:id="148" w:name="_Toc476041053"/>
      <w:r>
        <w:rPr>
          <w:rStyle w:val="CharSectno"/>
        </w:rPr>
        <w:t>75</w:t>
      </w:r>
      <w:r>
        <w:t>.</w:t>
      </w:r>
      <w:r>
        <w:tab/>
        <w:t>Notice required by Act s. 248, content of</w:t>
      </w:r>
      <w:bookmarkEnd w:id="148"/>
    </w:p>
    <w:p>
      <w:pPr>
        <w:pStyle w:val="Subsection"/>
      </w:pPr>
      <w:r>
        <w:tab/>
      </w:r>
      <w:r>
        <w:tab/>
        <w:t>For the purposes of section 248(4) of the Act, a notification must include the information, and be given in the way, approved by the Board.</w:t>
      </w:r>
    </w:p>
    <w:p>
      <w:pPr>
        <w:pStyle w:val="Heading5"/>
      </w:pPr>
      <w:bookmarkStart w:id="149" w:name="_Toc476041054"/>
      <w:r>
        <w:rPr>
          <w:rStyle w:val="CharSectno"/>
        </w:rPr>
        <w:t>76</w:t>
      </w:r>
      <w:r>
        <w:t>.</w:t>
      </w:r>
      <w:r>
        <w:tab/>
        <w:t>Notice required by Act s. 249(1), content of</w:t>
      </w:r>
      <w:bookmarkEnd w:id="149"/>
    </w:p>
    <w:p>
      <w:pPr>
        <w:pStyle w:val="Subsection"/>
      </w:pPr>
      <w:r>
        <w:tab/>
        <w:t>(1)</w:t>
      </w:r>
      <w:r>
        <w:tab/>
        <w:t xml:space="preserve">For the purposes of section 249(1) of the Act, a law practice must notify the Board of the following details in relation to each account that is maintained at an ADI by the practice (or by any legal practitioner associate of the practice) and in which is held money entrusted to the practice or associate — </w:t>
      </w:r>
    </w:p>
    <w:p>
      <w:pPr>
        <w:pStyle w:val="Indenta"/>
      </w:pPr>
      <w:r>
        <w:tab/>
        <w:t>(a)</w:t>
      </w:r>
      <w:r>
        <w:tab/>
        <w:t>the name of the ADI and its BSB number;</w:t>
      </w:r>
    </w:p>
    <w:p>
      <w:pPr>
        <w:pStyle w:val="Indenta"/>
      </w:pPr>
      <w:r>
        <w:tab/>
        <w:t>(b)</w:t>
      </w:r>
      <w:r>
        <w:tab/>
        <w:t>the name and number of the account;</w:t>
      </w:r>
    </w:p>
    <w:p>
      <w:pPr>
        <w:pStyle w:val="Indenta"/>
      </w:pPr>
      <w:r>
        <w:tab/>
        <w:t>(c)</w:t>
      </w:r>
      <w:r>
        <w:tab/>
        <w:t>the name of each person who is authorised to operate on the account;</w:t>
      </w:r>
    </w:p>
    <w:p>
      <w:pPr>
        <w:pStyle w:val="Indenta"/>
        <w:keepNext/>
      </w:pPr>
      <w:r>
        <w:tab/>
        <w:t>(d)</w:t>
      </w:r>
      <w:r>
        <w:tab/>
        <w:t xml:space="preserve">for each amount of money entrusted to the practice or associate — </w:t>
      </w:r>
    </w:p>
    <w:p>
      <w:pPr>
        <w:pStyle w:val="Indenti"/>
      </w:pPr>
      <w:r>
        <w:tab/>
        <w:t>(i)</w:t>
      </w:r>
      <w:r>
        <w:tab/>
        <w:t>the name of the person for whom the money is entrusted; and</w:t>
      </w:r>
    </w:p>
    <w:p>
      <w:pPr>
        <w:pStyle w:val="Indenti"/>
      </w:pPr>
      <w:r>
        <w:tab/>
        <w:t>(ii)</w:t>
      </w:r>
      <w:r>
        <w:tab/>
        <w:t>the purposes for which the money is entrusted; and</w:t>
      </w:r>
    </w:p>
    <w:p>
      <w:pPr>
        <w:pStyle w:val="Indenti"/>
      </w:pPr>
      <w:r>
        <w:tab/>
        <w:t>(iii)</w:t>
      </w:r>
      <w:r>
        <w:tab/>
        <w:t>the date on which, and the manner in which, the money is deposited in the account; and</w:t>
      </w:r>
    </w:p>
    <w:p>
      <w:pPr>
        <w:pStyle w:val="Indenti"/>
      </w:pPr>
      <w:r>
        <w:tab/>
        <w:t>(iv)</w:t>
      </w:r>
      <w:r>
        <w:tab/>
        <w:t>the date on which, and the manner in which, the money is withdrawn from the account.</w:t>
      </w:r>
    </w:p>
    <w:p>
      <w:pPr>
        <w:pStyle w:val="Subsection"/>
      </w:pPr>
      <w:r>
        <w:tab/>
        <w:t>(2)</w:t>
      </w:r>
      <w:r>
        <w:tab/>
        <w:t>The details must be given to the Board at the times and in the way the Board requires.</w:t>
      </w:r>
    </w:p>
    <w:p>
      <w:pPr>
        <w:pStyle w:val="Heading5"/>
      </w:pPr>
      <w:bookmarkStart w:id="150" w:name="_Toc476041055"/>
      <w:r>
        <w:rPr>
          <w:rStyle w:val="CharSectno"/>
        </w:rPr>
        <w:t>77</w:t>
      </w:r>
      <w:r>
        <w:t>.</w:t>
      </w:r>
      <w:r>
        <w:tab/>
        <w:t>Exemptions from this Part, Board may grant etc.</w:t>
      </w:r>
      <w:bookmarkEnd w:id="150"/>
    </w:p>
    <w:p>
      <w:pPr>
        <w:pStyle w:val="Subsection"/>
      </w:pPr>
      <w:r>
        <w:tab/>
      </w:r>
      <w:r>
        <w:tab/>
        <w:t xml:space="preserve">The Board may — </w:t>
      </w:r>
    </w:p>
    <w:p>
      <w:pPr>
        <w:pStyle w:val="Indenta"/>
      </w:pPr>
      <w:r>
        <w:tab/>
        <w:t>(a)</w:t>
      </w:r>
      <w:r>
        <w:tab/>
        <w:t>exempt a law practice from complying with any of the provisions of this Part subject to any conditions that may be imposed by the Board; and</w:t>
      </w:r>
    </w:p>
    <w:p>
      <w:pPr>
        <w:pStyle w:val="Indenta"/>
      </w:pPr>
      <w:r>
        <w:tab/>
        <w:t>(b)</w:t>
      </w:r>
      <w:r>
        <w:tab/>
        <w:t>at any time impose a new condition on the exemption, amend or revoke a condition already imposed on the exemption, or revoke the exemption.</w:t>
      </w:r>
    </w:p>
    <w:p>
      <w:pPr>
        <w:pStyle w:val="Heading2"/>
      </w:pPr>
      <w:bookmarkStart w:id="151" w:name="_Toc466893791"/>
      <w:bookmarkStart w:id="152" w:name="_Toc467498443"/>
      <w:bookmarkStart w:id="153" w:name="_Toc476040572"/>
      <w:bookmarkStart w:id="154" w:name="_Toc476041056"/>
      <w:r>
        <w:rPr>
          <w:rStyle w:val="CharPartNo"/>
        </w:rPr>
        <w:t>Part 8</w:t>
      </w:r>
      <w:r>
        <w:rPr>
          <w:rStyle w:val="CharDivNo"/>
        </w:rPr>
        <w:t> </w:t>
      </w:r>
      <w:r>
        <w:t>—</w:t>
      </w:r>
      <w:r>
        <w:rPr>
          <w:rStyle w:val="CharDivText"/>
        </w:rPr>
        <w:t> </w:t>
      </w:r>
      <w:r>
        <w:rPr>
          <w:rStyle w:val="CharPartText"/>
        </w:rPr>
        <w:t>Costs disclosure and assessment</w:t>
      </w:r>
      <w:bookmarkEnd w:id="151"/>
      <w:bookmarkEnd w:id="152"/>
      <w:bookmarkEnd w:id="153"/>
      <w:bookmarkEnd w:id="154"/>
    </w:p>
    <w:p>
      <w:pPr>
        <w:pStyle w:val="Heading5"/>
      </w:pPr>
      <w:bookmarkStart w:id="155" w:name="_Toc476041057"/>
      <w:r>
        <w:rPr>
          <w:rStyle w:val="CharSectno"/>
        </w:rPr>
        <w:t>78</w:t>
      </w:r>
      <w:r>
        <w:t>.</w:t>
      </w:r>
      <w:r>
        <w:tab/>
        <w:t>Substantial connection with this jurisdiction, when matter has (Act s. 258)</w:t>
      </w:r>
      <w:bookmarkEnd w:id="155"/>
    </w:p>
    <w:p>
      <w:pPr>
        <w:pStyle w:val="Subsection"/>
      </w:pPr>
      <w:r>
        <w:tab/>
      </w:r>
      <w:r>
        <w:tab/>
        <w:t xml:space="preserve">For the purposes of Part 10 of the Act, a matter involving a client of a law practice has a substantial connection with this jurisdiction in any of the following circumstances — </w:t>
      </w:r>
    </w:p>
    <w:p>
      <w:pPr>
        <w:pStyle w:val="Indenta"/>
      </w:pPr>
      <w:r>
        <w:tab/>
        <w:t>(a)</w:t>
      </w:r>
      <w:r>
        <w:tab/>
        <w:t xml:space="preserve">the client is a natural person and is resident in this jurisdiction; </w:t>
      </w:r>
    </w:p>
    <w:p>
      <w:pPr>
        <w:pStyle w:val="Indenta"/>
      </w:pPr>
      <w:r>
        <w:tab/>
        <w:t>(b)</w:t>
      </w:r>
      <w:r>
        <w:tab/>
        <w:t xml:space="preserve">the client is a body corporate and — </w:t>
      </w:r>
    </w:p>
    <w:p>
      <w:pPr>
        <w:pStyle w:val="Indenti"/>
      </w:pPr>
      <w:r>
        <w:tab/>
        <w:t>(i)</w:t>
      </w:r>
      <w:r>
        <w:tab/>
        <w:t>the client carries on its business activities principally in this jurisdiction; or</w:t>
      </w:r>
    </w:p>
    <w:p>
      <w:pPr>
        <w:pStyle w:val="Indenti"/>
      </w:pPr>
      <w:r>
        <w:tab/>
        <w:t>(ii)</w:t>
      </w:r>
      <w:r>
        <w:tab/>
        <w:t>the legal services provided or to be provided relate principally to business activities carried on by the client in this jurisdiction;</w:t>
      </w:r>
    </w:p>
    <w:p>
      <w:pPr>
        <w:pStyle w:val="Indenta"/>
      </w:pPr>
      <w:r>
        <w:tab/>
        <w:t>(c)</w:t>
      </w:r>
      <w:r>
        <w:tab/>
        <w:t>the law practice, or the associate of the practice who is principally involved in the matter, engages in legal practice principally in this jurisdiction;</w:t>
      </w:r>
    </w:p>
    <w:p>
      <w:pPr>
        <w:pStyle w:val="Indenta"/>
      </w:pPr>
      <w:r>
        <w:tab/>
        <w:t>(d)</w:t>
      </w:r>
      <w:r>
        <w:tab/>
        <w:t xml:space="preserve">the legal services provided or to be provided relate to this jurisdiction, including, for example, legal services provided or to be provided for or in connection with — </w:t>
      </w:r>
    </w:p>
    <w:p>
      <w:pPr>
        <w:pStyle w:val="Indenti"/>
      </w:pPr>
      <w:r>
        <w:tab/>
        <w:t>(i)</w:t>
      </w:r>
      <w:r>
        <w:tab/>
        <w:t>the conveyance or transfer of real property located in this jurisdiction; or</w:t>
      </w:r>
    </w:p>
    <w:p>
      <w:pPr>
        <w:pStyle w:val="Indenti"/>
      </w:pPr>
      <w:r>
        <w:tab/>
        <w:t>(ii)</w:t>
      </w:r>
      <w:r>
        <w:tab/>
        <w:t>court proceedings in this jurisdiction.</w:t>
      </w:r>
    </w:p>
    <w:p>
      <w:pPr>
        <w:pStyle w:val="Heading5"/>
      </w:pPr>
      <w:bookmarkStart w:id="156" w:name="_Toc476041058"/>
      <w:r>
        <w:rPr>
          <w:rStyle w:val="CharSectno"/>
        </w:rPr>
        <w:t>79</w:t>
      </w:r>
      <w:r>
        <w:t>.</w:t>
      </w:r>
      <w:r>
        <w:tab/>
        <w:t>Maximum interest rate prescribed (Act s. 273(4))</w:t>
      </w:r>
      <w:bookmarkEnd w:id="156"/>
    </w:p>
    <w:p>
      <w:pPr>
        <w:pStyle w:val="Subsection"/>
      </w:pPr>
      <w:r>
        <w:tab/>
        <w:t>(1)</w:t>
      </w:r>
      <w:r>
        <w:tab/>
        <w:t>This regulation is made for the purposes of section 273(4) of the Act and prescribes the rate of interest in excess of which a law practice may not charge interest under section 273 of the Act or under a costs agreement.</w:t>
      </w:r>
    </w:p>
    <w:p>
      <w:pPr>
        <w:pStyle w:val="Subsection"/>
      </w:pPr>
      <w:r>
        <w:tab/>
        <w:t>(2)</w:t>
      </w:r>
      <w:r>
        <w:tab/>
        <w:t>The rate is the rate that is equal to the Cash Rate Target as at the relevant date, increased by 2 percentage points.</w:t>
      </w:r>
    </w:p>
    <w:p>
      <w:pPr>
        <w:pStyle w:val="Subsection"/>
        <w:keepNext/>
        <w:keepLines/>
      </w:pPr>
      <w:r>
        <w:tab/>
        <w:t>(3)</w:t>
      </w:r>
      <w:r>
        <w:tab/>
        <w:t xml:space="preserve">In subregulation (2) — </w:t>
      </w:r>
    </w:p>
    <w:p>
      <w:pPr>
        <w:pStyle w:val="Defstart"/>
      </w:pPr>
      <w:r>
        <w:tab/>
      </w:r>
      <w:r>
        <w:rPr>
          <w:rStyle w:val="CharDefText"/>
        </w:rPr>
        <w:t>Cash Rate Target</w:t>
      </w:r>
      <w:r>
        <w:t xml:space="preserve"> means the percentage (or maximum percentage) specified by the Reserve Bank of </w:t>
      </w:r>
      <w:smartTag w:uri="urn:schemas-microsoft-com:office:smarttags" w:element="place">
        <w:smartTag w:uri="urn:schemas-microsoft-com:office:smarttags" w:element="country-region">
          <w:r>
            <w:t>Australia</w:t>
          </w:r>
        </w:smartTag>
      </w:smartTag>
      <w:r>
        <w:t xml:space="preserve"> as the Cash Rate Target;</w:t>
      </w:r>
    </w:p>
    <w:p>
      <w:pPr>
        <w:pStyle w:val="Defstart"/>
      </w:pPr>
      <w:r>
        <w:tab/>
      </w:r>
      <w:r>
        <w:rPr>
          <w:rStyle w:val="CharDefText"/>
        </w:rPr>
        <w:t>relevant date</w:t>
      </w:r>
      <w:r>
        <w:t xml:space="preserve"> means the date the bill was issued by the law practice concerned.</w:t>
      </w:r>
    </w:p>
    <w:p>
      <w:pPr>
        <w:pStyle w:val="Subsection"/>
      </w:pPr>
      <w:r>
        <w:tab/>
        <w:t>(4)</w:t>
      </w:r>
      <w:r>
        <w:tab/>
        <w:t>This regulation does not apply to a period occurring before the commencement of this regulation.</w:t>
      </w:r>
    </w:p>
    <w:p>
      <w:pPr>
        <w:pStyle w:val="Heading5"/>
      </w:pPr>
      <w:bookmarkStart w:id="157" w:name="_Toc476041059"/>
      <w:r>
        <w:rPr>
          <w:rStyle w:val="CharSectno"/>
        </w:rPr>
        <w:t>80</w:t>
      </w:r>
      <w:r>
        <w:t>.</w:t>
      </w:r>
      <w:r>
        <w:tab/>
        <w:t>Written statement, forms of prescribed etc. (Act s. 260(5) and (7))</w:t>
      </w:r>
      <w:bookmarkEnd w:id="157"/>
    </w:p>
    <w:p>
      <w:pPr>
        <w:pStyle w:val="Subsection"/>
      </w:pPr>
      <w:r>
        <w:tab/>
        <w:t>(1)</w:t>
      </w:r>
      <w:r>
        <w:tab/>
        <w:t>The form set out in Schedule 1 Form 2 is prescribed for the purposes of section 260(5) of the Act in connection with the details referred to in section 260(1)(b)(i) to (iii), (g), (i); (j) and (l) of the Act.</w:t>
      </w:r>
    </w:p>
    <w:p>
      <w:pPr>
        <w:pStyle w:val="Subsection"/>
      </w:pPr>
      <w:r>
        <w:tab/>
        <w:t>(2)</w:t>
      </w:r>
      <w:r>
        <w:tab/>
        <w:t>The Board is required to produce and maintain the fact sheet referred to in the form and make it available on the internet.</w:t>
      </w:r>
    </w:p>
    <w:p>
      <w:pPr>
        <w:pStyle w:val="Heading5"/>
      </w:pPr>
      <w:bookmarkStart w:id="158" w:name="_Toc476041060"/>
      <w:r>
        <w:rPr>
          <w:rStyle w:val="CharSectno"/>
        </w:rPr>
        <w:t>81</w:t>
      </w:r>
      <w:r>
        <w:t>.</w:t>
      </w:r>
      <w:r>
        <w:tab/>
        <w:t>Exceptions to disclosure requirement in Act s. 260 and 261(1) (Act s. 263(2)(f))</w:t>
      </w:r>
      <w:bookmarkEnd w:id="158"/>
    </w:p>
    <w:p>
      <w:pPr>
        <w:pStyle w:val="Subsection"/>
      </w:pPr>
      <w:r>
        <w:tab/>
      </w:r>
      <w:r>
        <w:tab/>
        <w:t xml:space="preserve">For the purposes of section 263(2)(f) of the Act, the following circumstances are prescribed as circumstances in which disclosure under section 260 or 261(1) of the Act is not required — </w:t>
      </w:r>
    </w:p>
    <w:p>
      <w:pPr>
        <w:pStyle w:val="Indenta"/>
      </w:pPr>
      <w:r>
        <w:tab/>
        <w:t>(a)</w:t>
      </w:r>
      <w:r>
        <w:tab/>
        <w:t>the client is an overseas</w:t>
      </w:r>
      <w:r>
        <w:noBreakHyphen/>
        <w:t>registered foreign lawyer or a foreign law practice (within the meaning given to those terms in section 150 of the Act);</w:t>
      </w:r>
    </w:p>
    <w:p>
      <w:pPr>
        <w:pStyle w:val="Indenta"/>
      </w:pPr>
      <w:r>
        <w:tab/>
        <w:t>(b)</w:t>
      </w:r>
      <w:r>
        <w:tab/>
        <w:t>the client is a corporation that has a share capital and whose shares or the majority of whose shares are held beneficially for the Commonwealth, a State or a Territory.</w:t>
      </w:r>
    </w:p>
    <w:p>
      <w:pPr>
        <w:pStyle w:val="Heading5"/>
      </w:pPr>
      <w:bookmarkStart w:id="159" w:name="_Toc476041061"/>
      <w:r>
        <w:rPr>
          <w:rStyle w:val="CharSectno"/>
        </w:rPr>
        <w:t>82</w:t>
      </w:r>
      <w:r>
        <w:t>.</w:t>
      </w:r>
      <w:r>
        <w:tab/>
        <w:t>Written statement, form of prescribed (Act s. 291(3))</w:t>
      </w:r>
      <w:bookmarkEnd w:id="159"/>
    </w:p>
    <w:p>
      <w:pPr>
        <w:pStyle w:val="Subsection"/>
      </w:pPr>
      <w:r>
        <w:tab/>
        <w:t>(1)</w:t>
      </w:r>
      <w:r>
        <w:tab/>
        <w:t>The form set out in Schedule 1 Form 3 is prescribed for the purposes of section 291(3) of the Act.</w:t>
      </w:r>
    </w:p>
    <w:p>
      <w:pPr>
        <w:pStyle w:val="Subsection"/>
      </w:pPr>
      <w:r>
        <w:tab/>
        <w:t>(2)</w:t>
      </w:r>
      <w:r>
        <w:tab/>
        <w:t>The Board is required to produce and maintain the fact sheet referred to in the form and make it available on the internet.</w:t>
      </w:r>
    </w:p>
    <w:p>
      <w:pPr>
        <w:pStyle w:val="Heading2"/>
      </w:pPr>
      <w:bookmarkStart w:id="160" w:name="_Toc466893797"/>
      <w:bookmarkStart w:id="161" w:name="_Toc467498449"/>
      <w:bookmarkStart w:id="162" w:name="_Toc476040578"/>
      <w:bookmarkStart w:id="163" w:name="_Toc476041062"/>
      <w:r>
        <w:rPr>
          <w:rStyle w:val="CharPartNo"/>
        </w:rPr>
        <w:t>Part 9</w:t>
      </w:r>
      <w:r>
        <w:t> — </w:t>
      </w:r>
      <w:r>
        <w:rPr>
          <w:rStyle w:val="CharPartText"/>
        </w:rPr>
        <w:t>Professional indemnity insurance</w:t>
      </w:r>
      <w:bookmarkEnd w:id="160"/>
      <w:bookmarkEnd w:id="161"/>
      <w:bookmarkEnd w:id="162"/>
      <w:bookmarkEnd w:id="163"/>
    </w:p>
    <w:p>
      <w:pPr>
        <w:pStyle w:val="Heading3"/>
      </w:pPr>
      <w:bookmarkStart w:id="164" w:name="_Toc466893798"/>
      <w:bookmarkStart w:id="165" w:name="_Toc467498450"/>
      <w:bookmarkStart w:id="166" w:name="_Toc476040579"/>
      <w:bookmarkStart w:id="167" w:name="_Toc476041063"/>
      <w:r>
        <w:rPr>
          <w:rStyle w:val="CharDivNo"/>
        </w:rPr>
        <w:t>Division 1</w:t>
      </w:r>
      <w:r>
        <w:t> — </w:t>
      </w:r>
      <w:r>
        <w:rPr>
          <w:rStyle w:val="CharDivText"/>
        </w:rPr>
        <w:t>Preliminary</w:t>
      </w:r>
      <w:bookmarkEnd w:id="164"/>
      <w:bookmarkEnd w:id="165"/>
      <w:bookmarkEnd w:id="166"/>
      <w:bookmarkEnd w:id="167"/>
    </w:p>
    <w:p>
      <w:pPr>
        <w:pStyle w:val="Heading5"/>
      </w:pPr>
      <w:bookmarkStart w:id="168" w:name="_Toc476041064"/>
      <w:r>
        <w:rPr>
          <w:rStyle w:val="CharSectno"/>
        </w:rPr>
        <w:t>83</w:t>
      </w:r>
      <w:r>
        <w:t>.</w:t>
      </w:r>
      <w:r>
        <w:tab/>
        <w:t>Terms used</w:t>
      </w:r>
      <w:bookmarkEnd w:id="168"/>
    </w:p>
    <w:p>
      <w:pPr>
        <w:pStyle w:val="Subsection"/>
      </w:pPr>
      <w:r>
        <w:tab/>
      </w:r>
      <w:r>
        <w:tab/>
        <w:t xml:space="preserve">In this Part — </w:t>
      </w:r>
    </w:p>
    <w:p>
      <w:pPr>
        <w:pStyle w:val="Defstart"/>
      </w:pPr>
      <w:r>
        <w:tab/>
      </w:r>
      <w:r>
        <w:rPr>
          <w:rStyle w:val="CharDefText"/>
        </w:rPr>
        <w:t>exempt practitioner</w:t>
      </w:r>
      <w:r>
        <w:t xml:space="preserve"> means an Australian legal practitioner who is entitled to exemption under regulation 97;</w:t>
      </w:r>
    </w:p>
    <w:p>
      <w:pPr>
        <w:pStyle w:val="Defstart"/>
      </w:pPr>
      <w:r>
        <w:tab/>
      </w:r>
      <w:r>
        <w:rPr>
          <w:rStyle w:val="CharDefText"/>
        </w:rPr>
        <w:t>Law Mutual Fund</w:t>
      </w:r>
      <w:r>
        <w:t xml:space="preserve"> means the Fund continued under section 330(1) of the Act;</w:t>
      </w:r>
    </w:p>
    <w:p>
      <w:pPr>
        <w:pStyle w:val="Defstart"/>
      </w:pPr>
      <w:r>
        <w:tab/>
      </w:r>
      <w:r>
        <w:rPr>
          <w:rStyle w:val="CharDefText"/>
        </w:rPr>
        <w:t>PII arrangement</w:t>
      </w:r>
      <w:r>
        <w:t xml:space="preserve"> means an arrangement made by the Law Society under regulation 84(1)(a);</w:t>
      </w:r>
    </w:p>
    <w:p>
      <w:pPr>
        <w:pStyle w:val="Defstart"/>
      </w:pPr>
      <w:r>
        <w:tab/>
      </w:r>
      <w:r>
        <w:rPr>
          <w:rStyle w:val="CharDefText"/>
        </w:rPr>
        <w:t>professional indemnity insurance</w:t>
      </w:r>
      <w:r>
        <w:t xml:space="preserve"> has the meaning given in section 327 of the Act;</w:t>
      </w:r>
    </w:p>
    <w:p>
      <w:pPr>
        <w:pStyle w:val="Defstart"/>
      </w:pPr>
      <w:r>
        <w:tab/>
      </w:r>
      <w:r>
        <w:rPr>
          <w:rStyle w:val="CharDefText"/>
        </w:rPr>
        <w:t>renewal day</w:t>
      </w:r>
      <w:r>
        <w:t xml:space="preserve"> means 15 May or such other day as is fixed by the Law Society in respect of a particular year by notice published in the </w:t>
      </w:r>
      <w:r>
        <w:rPr>
          <w:i/>
          <w:iCs/>
        </w:rPr>
        <w:t>Gazette</w:t>
      </w:r>
      <w:r>
        <w:t xml:space="preserve"> not later than 15 April in that year.</w:t>
      </w:r>
    </w:p>
    <w:p>
      <w:pPr>
        <w:pStyle w:val="Heading3"/>
      </w:pPr>
      <w:bookmarkStart w:id="169" w:name="_Toc466893800"/>
      <w:bookmarkStart w:id="170" w:name="_Toc467498452"/>
      <w:bookmarkStart w:id="171" w:name="_Toc476040581"/>
      <w:bookmarkStart w:id="172" w:name="_Toc476041065"/>
      <w:r>
        <w:rPr>
          <w:rStyle w:val="CharDivNo"/>
        </w:rPr>
        <w:t>Division 2</w:t>
      </w:r>
      <w:r>
        <w:t> — </w:t>
      </w:r>
      <w:r>
        <w:rPr>
          <w:rStyle w:val="CharDivText"/>
        </w:rPr>
        <w:t>PII arrangement and Law Mutual Fund</w:t>
      </w:r>
      <w:bookmarkEnd w:id="169"/>
      <w:bookmarkEnd w:id="170"/>
      <w:bookmarkEnd w:id="171"/>
      <w:bookmarkEnd w:id="172"/>
    </w:p>
    <w:p>
      <w:pPr>
        <w:pStyle w:val="Heading5"/>
      </w:pPr>
      <w:bookmarkStart w:id="173" w:name="_Toc476041066"/>
      <w:r>
        <w:rPr>
          <w:rStyle w:val="CharSectno"/>
        </w:rPr>
        <w:t>84</w:t>
      </w:r>
      <w:r>
        <w:t>.</w:t>
      </w:r>
      <w:r>
        <w:tab/>
        <w:t>PII arrangement and scheme for PII, Law Society’s functions as to</w:t>
      </w:r>
      <w:bookmarkEnd w:id="173"/>
    </w:p>
    <w:p>
      <w:pPr>
        <w:pStyle w:val="Subsection"/>
      </w:pPr>
      <w:r>
        <w:tab/>
        <w:t>(1)</w:t>
      </w:r>
      <w:r>
        <w:tab/>
        <w:t xml:space="preserve">The Law Society may do either or both of the following — </w:t>
      </w:r>
    </w:p>
    <w:p>
      <w:pPr>
        <w:pStyle w:val="Indenta"/>
      </w:pPr>
      <w:r>
        <w:tab/>
        <w:t>(a)</w:t>
      </w:r>
      <w:r>
        <w:tab/>
        <w:t>make an arrangement from time to time with one or more insurers for the provision of professional indemnity insurance on such terms and conditions as the Law Society thinks fit;</w:t>
      </w:r>
    </w:p>
    <w:p>
      <w:pPr>
        <w:pStyle w:val="Indenta"/>
      </w:pPr>
      <w:r>
        <w:tab/>
        <w:t>(b)</w:t>
      </w:r>
      <w:r>
        <w:tab/>
        <w:t>approve a scheme providing professional indemnity insurance.</w:t>
      </w:r>
    </w:p>
    <w:p>
      <w:pPr>
        <w:pStyle w:val="Subsection"/>
      </w:pPr>
      <w:r>
        <w:tab/>
        <w:t>(2)</w:t>
      </w:r>
      <w:r>
        <w:tab/>
        <w:t>The Law Society may do such acts and things as may be necessary or expedient for giving effect to the arrangement or scheme.</w:t>
      </w:r>
    </w:p>
    <w:p>
      <w:pPr>
        <w:pStyle w:val="Subsection"/>
      </w:pPr>
      <w:r>
        <w:tab/>
        <w:t>(3)</w:t>
      </w:r>
      <w:r>
        <w:tab/>
        <w:t>The Law Society must publish details of the arrangement or scheme by any means that it considers appropriate in order to bring those details to the attention of local legal practitioners and law practices practising in this jurisdiction.</w:t>
      </w:r>
    </w:p>
    <w:p>
      <w:pPr>
        <w:pStyle w:val="Heading5"/>
      </w:pPr>
      <w:bookmarkStart w:id="174" w:name="_Toc476041067"/>
      <w:r>
        <w:rPr>
          <w:rStyle w:val="CharSectno"/>
        </w:rPr>
        <w:t>85</w:t>
      </w:r>
      <w:r>
        <w:t>.</w:t>
      </w:r>
      <w:r>
        <w:tab/>
        <w:t>Law Mutual Fund, maintenance of</w:t>
      </w:r>
      <w:bookmarkEnd w:id="174"/>
    </w:p>
    <w:p>
      <w:pPr>
        <w:pStyle w:val="Subsection"/>
      </w:pPr>
      <w:r>
        <w:tab/>
      </w:r>
      <w:r>
        <w:tab/>
        <w:t>The Law Mutual Fund must be maintained on an annual basis in relation to an insurance year.</w:t>
      </w:r>
    </w:p>
    <w:p>
      <w:pPr>
        <w:pStyle w:val="Heading5"/>
      </w:pPr>
      <w:bookmarkStart w:id="175" w:name="_Toc476041068"/>
      <w:r>
        <w:rPr>
          <w:rStyle w:val="CharSectno"/>
        </w:rPr>
        <w:t>86</w:t>
      </w:r>
      <w:r>
        <w:t>.</w:t>
      </w:r>
      <w:r>
        <w:tab/>
        <w:t>Surplus funds in Law Mutual Fund, application of</w:t>
      </w:r>
      <w:bookmarkEnd w:id="175"/>
    </w:p>
    <w:p>
      <w:pPr>
        <w:pStyle w:val="Subsection"/>
      </w:pPr>
      <w:r>
        <w:tab/>
        <w:t>(1)</w:t>
      </w:r>
      <w:r>
        <w:tab/>
        <w:t>The Law Society may manage and apply any surplus funds in the Law Mutual Fund after the end of each insurance year as it thinks fit.</w:t>
      </w:r>
    </w:p>
    <w:p>
      <w:pPr>
        <w:pStyle w:val="Subsection"/>
      </w:pPr>
      <w:r>
        <w:tab/>
        <w:t>(2)</w:t>
      </w:r>
      <w:r>
        <w:tab/>
        <w:t>Without limiting subregulation (1), the Law Society may amalgamate the surplus funds into a reserve pool to be applied for the benefit of persons insured under this Part.</w:t>
      </w:r>
    </w:p>
    <w:p>
      <w:pPr>
        <w:pStyle w:val="Heading3"/>
      </w:pPr>
      <w:bookmarkStart w:id="176" w:name="_Toc466893804"/>
      <w:bookmarkStart w:id="177" w:name="_Toc467498456"/>
      <w:bookmarkStart w:id="178" w:name="_Toc476040585"/>
      <w:bookmarkStart w:id="179" w:name="_Toc476041069"/>
      <w:r>
        <w:rPr>
          <w:rStyle w:val="CharDivNo"/>
        </w:rPr>
        <w:t>Division 3</w:t>
      </w:r>
      <w:r>
        <w:t> — </w:t>
      </w:r>
      <w:r>
        <w:rPr>
          <w:rStyle w:val="CharDivText"/>
        </w:rPr>
        <w:t>Duties of law practices</w:t>
      </w:r>
      <w:bookmarkEnd w:id="176"/>
      <w:bookmarkEnd w:id="177"/>
      <w:bookmarkEnd w:id="178"/>
      <w:bookmarkEnd w:id="179"/>
    </w:p>
    <w:p>
      <w:pPr>
        <w:pStyle w:val="Heading5"/>
      </w:pPr>
      <w:bookmarkStart w:id="180" w:name="_Toc476041070"/>
      <w:r>
        <w:rPr>
          <w:rStyle w:val="CharSectno"/>
        </w:rPr>
        <w:t>87</w:t>
      </w:r>
      <w:r>
        <w:t>.</w:t>
      </w:r>
      <w:r>
        <w:tab/>
        <w:t>PII, when required by law practice</w:t>
      </w:r>
      <w:bookmarkEnd w:id="180"/>
    </w:p>
    <w:p>
      <w:pPr>
        <w:pStyle w:val="Subsection"/>
      </w:pPr>
      <w:r>
        <w:tab/>
        <w:t>(1)</w:t>
      </w:r>
      <w:r>
        <w:tab/>
        <w:t>Before commencing to engage in legal practice in this jurisdiction, a law practice must obtain professional indemnity insurance.</w:t>
      </w:r>
    </w:p>
    <w:p>
      <w:pPr>
        <w:pStyle w:val="Subsection"/>
      </w:pPr>
      <w:r>
        <w:tab/>
        <w:t>(2)</w:t>
      </w:r>
      <w:r>
        <w:tab/>
        <w:t>At all times while a law practice is engaged in legal practice in this jurisdiction, the law practice must maintain professional indemnity insurance.</w:t>
      </w:r>
    </w:p>
    <w:p>
      <w:pPr>
        <w:pStyle w:val="Subsection"/>
      </w:pPr>
      <w:r>
        <w:tab/>
        <w:t>(3)</w:t>
      </w:r>
      <w:r>
        <w:tab/>
        <w:t>If the insurance is not in accordance with the PII arrangement, the insurance must be in accordance with the terms and conditions of a scheme approved by the Law Society.</w:t>
      </w:r>
    </w:p>
    <w:p>
      <w:pPr>
        <w:pStyle w:val="Subsection"/>
      </w:pPr>
      <w:r>
        <w:tab/>
        <w:t>(4)</w:t>
      </w:r>
      <w:r>
        <w:tab/>
        <w:t>This regulation does not apply to a law practice that is exempt from compliance under regulation 95.</w:t>
      </w:r>
    </w:p>
    <w:p>
      <w:pPr>
        <w:pStyle w:val="Heading5"/>
      </w:pPr>
      <w:bookmarkStart w:id="181" w:name="_Toc476041071"/>
      <w:r>
        <w:rPr>
          <w:rStyle w:val="CharSectno"/>
        </w:rPr>
        <w:t>88</w:t>
      </w:r>
      <w:r>
        <w:t>.</w:t>
      </w:r>
      <w:r>
        <w:tab/>
        <w:t>Application for PII</w:t>
      </w:r>
      <w:bookmarkEnd w:id="181"/>
    </w:p>
    <w:p>
      <w:pPr>
        <w:pStyle w:val="Subsection"/>
        <w:spacing w:before="150"/>
      </w:pPr>
      <w:r>
        <w:tab/>
        <w:t>(1)</w:t>
      </w:r>
      <w:r>
        <w:tab/>
        <w:t>Before commencing to engage in legal practice in this jurisdiction as a law practice, a law practice must apply to take and maintain professional indemnity insurance in compliance with regulation 87.</w:t>
      </w:r>
    </w:p>
    <w:p>
      <w:pPr>
        <w:pStyle w:val="Subsection"/>
        <w:spacing w:before="150"/>
      </w:pPr>
      <w:r>
        <w:tab/>
        <w:t>(2)</w:t>
      </w:r>
      <w:r>
        <w:tab/>
        <w:t xml:space="preserve">Not later than the renewal day in each year, each law practice engaged in legal practice in </w:t>
      </w:r>
      <w:smartTag w:uri="urn:schemas-microsoft-com:office:smarttags" w:element="place">
        <w:smartTag w:uri="urn:schemas-microsoft-com:office:smarttags" w:element="State">
          <w:r>
            <w:t>Western Australia</w:t>
          </w:r>
        </w:smartTag>
      </w:smartTag>
      <w:r>
        <w:t xml:space="preserve"> must apply to take and maintain professional indemnity insurance in compliance with regulation 87.</w:t>
      </w:r>
    </w:p>
    <w:p>
      <w:pPr>
        <w:pStyle w:val="Subsection"/>
        <w:spacing w:before="150"/>
      </w:pPr>
      <w:r>
        <w:tab/>
        <w:t>(3)</w:t>
      </w:r>
      <w:r>
        <w:tab/>
        <w:t xml:space="preserve">The application must be in a form approved by the Law Society. </w:t>
      </w:r>
    </w:p>
    <w:p>
      <w:pPr>
        <w:pStyle w:val="Subsection"/>
        <w:spacing w:before="150"/>
      </w:pPr>
      <w:r>
        <w:tab/>
        <w:t>(4)</w:t>
      </w:r>
      <w:r>
        <w:tab/>
        <w:t>This regulation does not apply to a law practice that is exempt from compliance under regulation 95.</w:t>
      </w:r>
    </w:p>
    <w:p>
      <w:pPr>
        <w:pStyle w:val="Heading5"/>
      </w:pPr>
      <w:bookmarkStart w:id="182" w:name="_Toc476041072"/>
      <w:r>
        <w:rPr>
          <w:rStyle w:val="CharSectno"/>
        </w:rPr>
        <w:t>89</w:t>
      </w:r>
      <w:r>
        <w:t>.</w:t>
      </w:r>
      <w:r>
        <w:tab/>
        <w:t>Non-payment under r. 92 and 102(1)(a) etc., late lodgment fee for</w:t>
      </w:r>
      <w:bookmarkEnd w:id="182"/>
    </w:p>
    <w:p>
      <w:pPr>
        <w:pStyle w:val="Subsection"/>
        <w:spacing w:before="140"/>
      </w:pPr>
      <w:r>
        <w:tab/>
        <w:t>(1)</w:t>
      </w:r>
      <w:r>
        <w:tab/>
        <w:t>A law practice that fails to make an application, and pay the amounts payable by the law practice under regulations 92 and 102(1)(a), must pay, in addition to those amounts, a late lodgment fee that is 10% of those amounts.</w:t>
      </w:r>
    </w:p>
    <w:p>
      <w:pPr>
        <w:pStyle w:val="Subsection"/>
        <w:spacing w:before="140"/>
      </w:pPr>
      <w:r>
        <w:tab/>
        <w:t>(2)</w:t>
      </w:r>
      <w:r>
        <w:tab/>
        <w:t>The Law Society may, in its discretion, waive payment of the late lodgment fee in whole or in part.</w:t>
      </w:r>
    </w:p>
    <w:p>
      <w:pPr>
        <w:pStyle w:val="Heading5"/>
      </w:pPr>
      <w:bookmarkStart w:id="183" w:name="_Toc476041073"/>
      <w:r>
        <w:rPr>
          <w:rStyle w:val="CharSectno"/>
        </w:rPr>
        <w:t>90</w:t>
      </w:r>
      <w:r>
        <w:t>.</w:t>
      </w:r>
      <w:r>
        <w:tab/>
        <w:t>Restructured law practice to apply for PII</w:t>
      </w:r>
      <w:bookmarkEnd w:id="183"/>
    </w:p>
    <w:p>
      <w:pPr>
        <w:pStyle w:val="Subsection"/>
        <w:spacing w:before="140"/>
      </w:pPr>
      <w:r>
        <w:tab/>
        <w:t>(1)</w:t>
      </w:r>
      <w:r>
        <w:tab/>
        <w:t xml:space="preserve">If — </w:t>
      </w:r>
    </w:p>
    <w:p>
      <w:pPr>
        <w:pStyle w:val="Indenta"/>
        <w:spacing w:before="60"/>
      </w:pPr>
      <w:r>
        <w:tab/>
        <w:t>(a)</w:t>
      </w:r>
      <w:r>
        <w:tab/>
        <w:t>2 or more law practices combine to form a single law practice; or</w:t>
      </w:r>
    </w:p>
    <w:p>
      <w:pPr>
        <w:pStyle w:val="Indenta"/>
        <w:spacing w:before="60"/>
      </w:pPr>
      <w:r>
        <w:tab/>
        <w:t>(b)</w:t>
      </w:r>
      <w:r>
        <w:tab/>
        <w:t>a law practice becomes a multi</w:t>
      </w:r>
      <w:r>
        <w:noBreakHyphen/>
        <w:t>disciplinary partnership; or</w:t>
      </w:r>
    </w:p>
    <w:p>
      <w:pPr>
        <w:pStyle w:val="Indenta"/>
        <w:spacing w:before="60"/>
      </w:pPr>
      <w:r>
        <w:tab/>
        <w:t>(c)</w:t>
      </w:r>
      <w:r>
        <w:tab/>
        <w:t>a law practice becomes an incorporated legal practice; or</w:t>
      </w:r>
    </w:p>
    <w:p>
      <w:pPr>
        <w:pStyle w:val="Indenta"/>
        <w:spacing w:before="60"/>
      </w:pPr>
      <w:r>
        <w:tab/>
        <w:t>(d)</w:t>
      </w:r>
      <w:r>
        <w:tab/>
        <w:t>a law practice otherwise changes its business structure,</w:t>
      </w:r>
    </w:p>
    <w:p>
      <w:pPr>
        <w:pStyle w:val="Subsection"/>
        <w:spacing w:before="120"/>
      </w:pPr>
      <w:r>
        <w:tab/>
      </w:r>
      <w:r>
        <w:tab/>
        <w:t>the resulting law practice must immediately apply to take and maintain professional indemnity insurance in compliance with regulation 87.</w:t>
      </w:r>
    </w:p>
    <w:p>
      <w:pPr>
        <w:pStyle w:val="Subsection"/>
      </w:pPr>
      <w:r>
        <w:tab/>
        <w:t>(2)</w:t>
      </w:r>
      <w:r>
        <w:tab/>
        <w:t xml:space="preserve">The application must be in a form approved by the Law Society. </w:t>
      </w:r>
    </w:p>
    <w:p>
      <w:pPr>
        <w:pStyle w:val="Subsection"/>
      </w:pPr>
      <w:r>
        <w:tab/>
        <w:t>(3)</w:t>
      </w:r>
      <w:r>
        <w:tab/>
        <w:t>If, immediately before the occurrence of the event referred to in subregulation (1), all of the law practices involved had valid and current certificates of insurance in compliance with regulation 87, the Law Society may reduce or waive the annual contribution payable under regulation 92.</w:t>
      </w:r>
    </w:p>
    <w:p>
      <w:pPr>
        <w:pStyle w:val="Heading5"/>
      </w:pPr>
      <w:bookmarkStart w:id="184" w:name="_Toc476041074"/>
      <w:r>
        <w:rPr>
          <w:rStyle w:val="CharSectno"/>
        </w:rPr>
        <w:t>91</w:t>
      </w:r>
      <w:r>
        <w:t>.</w:t>
      </w:r>
      <w:r>
        <w:tab/>
        <w:t>Certificate of insurance, when Board to issue</w:t>
      </w:r>
      <w:bookmarkEnd w:id="184"/>
    </w:p>
    <w:p>
      <w:pPr>
        <w:pStyle w:val="Subsection"/>
      </w:pPr>
      <w:r>
        <w:tab/>
      </w:r>
      <w:r>
        <w:tab/>
        <w:t xml:space="preserve">When a law practice has — </w:t>
      </w:r>
    </w:p>
    <w:p>
      <w:pPr>
        <w:pStyle w:val="Indenta"/>
      </w:pPr>
      <w:r>
        <w:tab/>
        <w:t>(a)</w:t>
      </w:r>
      <w:r>
        <w:tab/>
        <w:t>made an application; and</w:t>
      </w:r>
    </w:p>
    <w:p>
      <w:pPr>
        <w:pStyle w:val="Indenta"/>
      </w:pPr>
      <w:r>
        <w:tab/>
        <w:t>(b)</w:t>
      </w:r>
      <w:r>
        <w:tab/>
        <w:t>paid the amounts payable by the law practice under regulations 92 and 102(1)(a); and</w:t>
      </w:r>
    </w:p>
    <w:p>
      <w:pPr>
        <w:pStyle w:val="Indenta"/>
      </w:pPr>
      <w:r>
        <w:tab/>
        <w:t>(c)</w:t>
      </w:r>
      <w:r>
        <w:tab/>
        <w:t>paid any amount payable under these regulations in relation to any previous period of insurance,</w:t>
      </w:r>
    </w:p>
    <w:p>
      <w:pPr>
        <w:pStyle w:val="Subsection"/>
        <w:spacing w:before="120"/>
      </w:pPr>
      <w:r>
        <w:tab/>
      </w:r>
      <w:r>
        <w:tab/>
        <w:t>the Law Society must issue to the law practice a certificate of insurance under the PII arrangement.</w:t>
      </w:r>
    </w:p>
    <w:p>
      <w:pPr>
        <w:pStyle w:val="Heading5"/>
      </w:pPr>
      <w:bookmarkStart w:id="185" w:name="_Toc476041075"/>
      <w:r>
        <w:rPr>
          <w:rStyle w:val="CharSectno"/>
        </w:rPr>
        <w:t>92</w:t>
      </w:r>
      <w:r>
        <w:t>.</w:t>
      </w:r>
      <w:r>
        <w:tab/>
        <w:t>Annual contribution for PII arrangement, assessment of etc.</w:t>
      </w:r>
      <w:bookmarkEnd w:id="185"/>
    </w:p>
    <w:p>
      <w:pPr>
        <w:pStyle w:val="Subsection"/>
      </w:pPr>
      <w:r>
        <w:tab/>
        <w:t>(1)</w:t>
      </w:r>
      <w:r>
        <w:tab/>
        <w:t>Each law practice is liable to pay an annual contribution to the Law Society for the purposes of the PII arrangement.</w:t>
      </w:r>
    </w:p>
    <w:p>
      <w:pPr>
        <w:pStyle w:val="Subsection"/>
      </w:pPr>
      <w:r>
        <w:tab/>
        <w:t>(2)</w:t>
      </w:r>
      <w:r>
        <w:tab/>
        <w:t>The Law Society must determine a method of assessment of annual contributions of law practices.</w:t>
      </w:r>
    </w:p>
    <w:p>
      <w:pPr>
        <w:pStyle w:val="Subsection"/>
      </w:pPr>
      <w:r>
        <w:tab/>
        <w:t>(3)</w:t>
      </w:r>
      <w:r>
        <w:tab/>
        <w:t xml:space="preserve">The method of assessment determined under subregulation (2) may take into account any matter the Law Society thinks relevant including the following — </w:t>
      </w:r>
    </w:p>
    <w:p>
      <w:pPr>
        <w:pStyle w:val="Indenta"/>
        <w:spacing w:before="70"/>
      </w:pPr>
      <w:r>
        <w:tab/>
        <w:t>(a)</w:t>
      </w:r>
      <w:r>
        <w:tab/>
        <w:t>gross past or estimated future fee income of a law practice;</w:t>
      </w:r>
    </w:p>
    <w:p>
      <w:pPr>
        <w:pStyle w:val="Indenta"/>
        <w:spacing w:before="70"/>
      </w:pPr>
      <w:r>
        <w:tab/>
        <w:t>(b)</w:t>
      </w:r>
      <w:r>
        <w:tab/>
        <w:t>professional indemnity insurance claims history of a law practice;</w:t>
      </w:r>
    </w:p>
    <w:p>
      <w:pPr>
        <w:pStyle w:val="Indenta"/>
        <w:spacing w:before="70"/>
      </w:pPr>
      <w:r>
        <w:tab/>
        <w:t>(c)</w:t>
      </w:r>
      <w:r>
        <w:tab/>
        <w:t>in the case of a law practice that has not previously paid an annual contribution — the professional indemnity insurance claims history of the principals and employees of the law practice;</w:t>
      </w:r>
    </w:p>
    <w:p>
      <w:pPr>
        <w:pStyle w:val="Indenta"/>
      </w:pPr>
      <w:r>
        <w:tab/>
        <w:t>(d)</w:t>
      </w:r>
      <w:r>
        <w:tab/>
        <w:t>area of practice of a law practice;</w:t>
      </w:r>
    </w:p>
    <w:p>
      <w:pPr>
        <w:pStyle w:val="Indenta"/>
      </w:pPr>
      <w:r>
        <w:tab/>
        <w:t>(e)</w:t>
      </w:r>
      <w:r>
        <w:tab/>
        <w:t>the business structure of a law practice;</w:t>
      </w:r>
    </w:p>
    <w:p>
      <w:pPr>
        <w:pStyle w:val="Indenta"/>
      </w:pPr>
      <w:r>
        <w:tab/>
        <w:t>(f)</w:t>
      </w:r>
      <w:r>
        <w:tab/>
        <w:t>the number of principals in a law practice;</w:t>
      </w:r>
    </w:p>
    <w:p>
      <w:pPr>
        <w:pStyle w:val="Indenta"/>
      </w:pPr>
      <w:r>
        <w:tab/>
        <w:t>(g)</w:t>
      </w:r>
      <w:r>
        <w:tab/>
        <w:t>the number of Australian legal practitioners employed by a law practice;</w:t>
      </w:r>
    </w:p>
    <w:p>
      <w:pPr>
        <w:pStyle w:val="Indenta"/>
      </w:pPr>
      <w:r>
        <w:tab/>
        <w:t>(h)</w:t>
      </w:r>
      <w:r>
        <w:tab/>
        <w:t>the number of persons employed by a law practice;</w:t>
      </w:r>
    </w:p>
    <w:p>
      <w:pPr>
        <w:pStyle w:val="Indenta"/>
      </w:pPr>
      <w:r>
        <w:tab/>
        <w:t>(i)</w:t>
      </w:r>
      <w:r>
        <w:tab/>
        <w:t>if a law practice is a multi</w:t>
      </w:r>
      <w:r>
        <w:noBreakHyphen/>
        <w:t xml:space="preserve">disciplinary partnership — </w:t>
      </w:r>
    </w:p>
    <w:p>
      <w:pPr>
        <w:pStyle w:val="Indenti"/>
      </w:pPr>
      <w:r>
        <w:tab/>
        <w:t>(i)</w:t>
      </w:r>
      <w:r>
        <w:tab/>
        <w:t>the number of partners in the law practice who are not legal practitioner partners;</w:t>
      </w:r>
    </w:p>
    <w:p>
      <w:pPr>
        <w:pStyle w:val="Indenti"/>
      </w:pPr>
      <w:r>
        <w:tab/>
        <w:t>(ii)</w:t>
      </w:r>
      <w:r>
        <w:tab/>
        <w:t>the types of non</w:t>
      </w:r>
      <w:r>
        <w:noBreakHyphen/>
        <w:t>legal services provided by the law practice;</w:t>
      </w:r>
    </w:p>
    <w:p>
      <w:pPr>
        <w:pStyle w:val="Indenti"/>
      </w:pPr>
      <w:r>
        <w:tab/>
        <w:t>(iii)</w:t>
      </w:r>
      <w:r>
        <w:tab/>
        <w:t>the types of services provided by the law practice and the proportion of those services that are legal services;</w:t>
      </w:r>
    </w:p>
    <w:p>
      <w:pPr>
        <w:pStyle w:val="Indenta"/>
      </w:pPr>
      <w:r>
        <w:tab/>
        <w:t>(j)</w:t>
      </w:r>
      <w:r>
        <w:tab/>
        <w:t xml:space="preserve">if a law practice is an incorporated legal practice — </w:t>
      </w:r>
    </w:p>
    <w:p>
      <w:pPr>
        <w:pStyle w:val="Indenti"/>
      </w:pPr>
      <w:r>
        <w:tab/>
        <w:t>(i)</w:t>
      </w:r>
      <w:r>
        <w:tab/>
        <w:t>the number of directors of the law practice who are not legal practitioner directors;</w:t>
      </w:r>
    </w:p>
    <w:p>
      <w:pPr>
        <w:pStyle w:val="Indenti"/>
      </w:pPr>
      <w:r>
        <w:tab/>
        <w:t>(ii)</w:t>
      </w:r>
      <w:r>
        <w:tab/>
        <w:t>the number of officers of the law practice and how many of them are Australian legal practitioners;</w:t>
      </w:r>
    </w:p>
    <w:p>
      <w:pPr>
        <w:pStyle w:val="Indenti"/>
      </w:pPr>
      <w:r>
        <w:tab/>
        <w:t>(iii)</w:t>
      </w:r>
      <w:r>
        <w:tab/>
        <w:t>the types of services provided by the law practice and the proportion of those services that are legal services;</w:t>
      </w:r>
    </w:p>
    <w:p>
      <w:pPr>
        <w:pStyle w:val="Indenta"/>
      </w:pPr>
      <w:r>
        <w:tab/>
        <w:t>(k)</w:t>
      </w:r>
      <w:r>
        <w:tab/>
        <w:t>the risk management practices of the law practice, including the attendance of principals and employees at risk management seminars.</w:t>
      </w:r>
    </w:p>
    <w:p>
      <w:pPr>
        <w:pStyle w:val="Subsection"/>
      </w:pPr>
      <w:r>
        <w:tab/>
        <w:t>(4)</w:t>
      </w:r>
      <w:r>
        <w:tab/>
        <w:t>The annual contribution of a law practice is the amount assessed by the Law Society in respect of that law practice in accordance with the method of assessment determined under subregulation (2).</w:t>
      </w:r>
    </w:p>
    <w:p>
      <w:pPr>
        <w:pStyle w:val="Subsection"/>
      </w:pPr>
      <w:r>
        <w:tab/>
        <w:t>(5)</w:t>
      </w:r>
      <w:r>
        <w:tab/>
        <w:t>If a law practice applies to take out and maintain insurance under the PII arrangement for part only of a year commencing on 1 July, the annual contribution payable by the law practice for that year is to be assessed on a pro rata basis.</w:t>
      </w:r>
    </w:p>
    <w:p>
      <w:pPr>
        <w:pStyle w:val="Subsection"/>
      </w:pPr>
      <w:r>
        <w:tab/>
        <w:t>(6)</w:t>
      </w:r>
      <w:r>
        <w:tab/>
        <w:t>This regulation does not apply to a law practice that is exempt from compliance under regulation 95.</w:t>
      </w:r>
    </w:p>
    <w:p>
      <w:pPr>
        <w:pStyle w:val="Heading5"/>
      </w:pPr>
      <w:bookmarkStart w:id="186" w:name="_Toc476041076"/>
      <w:r>
        <w:rPr>
          <w:rStyle w:val="CharSectno"/>
        </w:rPr>
        <w:t>93</w:t>
      </w:r>
      <w:r>
        <w:t>.</w:t>
      </w:r>
      <w:r>
        <w:tab/>
        <w:t>Review of and appeal against r. 92 assessment</w:t>
      </w:r>
      <w:bookmarkEnd w:id="186"/>
    </w:p>
    <w:p>
      <w:pPr>
        <w:pStyle w:val="Subsection"/>
      </w:pPr>
      <w:r>
        <w:tab/>
        <w:t>(1)</w:t>
      </w:r>
      <w:r>
        <w:tab/>
        <w:t>A law practice that is not satisfied with the assessment of its annual contribution under regulation 92 may apply to the Law Society for a review of the assessment, and the Law Society must review the assessment.</w:t>
      </w:r>
    </w:p>
    <w:p>
      <w:pPr>
        <w:pStyle w:val="Subsection"/>
      </w:pPr>
      <w:r>
        <w:tab/>
        <w:t>(2)</w:t>
      </w:r>
      <w:r>
        <w:tab/>
        <w:t>If, after the review, the law practice is still not satisfied with the assessment, the law practice may appeal against the assessment to a person nominated for that purpose by the Attorney General.</w:t>
      </w:r>
    </w:p>
    <w:p>
      <w:pPr>
        <w:pStyle w:val="Subsection"/>
      </w:pPr>
      <w:r>
        <w:tab/>
        <w:t>(3)</w:t>
      </w:r>
      <w:r>
        <w:tab/>
        <w:t xml:space="preserve">On an appeal under subregulation (2), the nominated person may — </w:t>
      </w:r>
    </w:p>
    <w:p>
      <w:pPr>
        <w:pStyle w:val="Indenta"/>
      </w:pPr>
      <w:r>
        <w:tab/>
        <w:t>(a)</w:t>
      </w:r>
      <w:r>
        <w:tab/>
        <w:t>confirm the assessment; or</w:t>
      </w:r>
    </w:p>
    <w:p>
      <w:pPr>
        <w:pStyle w:val="Indenta"/>
      </w:pPr>
      <w:r>
        <w:tab/>
        <w:t>(b)</w:t>
      </w:r>
      <w:r>
        <w:tab/>
        <w:t>revoke the assessment and make another assessment which has effect for the purposes of regulation 92.</w:t>
      </w:r>
    </w:p>
    <w:p>
      <w:pPr>
        <w:pStyle w:val="Subsection"/>
      </w:pPr>
      <w:r>
        <w:tab/>
        <w:t>(4)</w:t>
      </w:r>
      <w:r>
        <w:tab/>
        <w:t>The fact that the assessment of an annual contribution of a law practice is under review or appeal does not affect the law practice’s obligation to pay the annual contribution.</w:t>
      </w:r>
    </w:p>
    <w:p>
      <w:pPr>
        <w:pStyle w:val="Subsection"/>
      </w:pPr>
      <w:r>
        <w:tab/>
        <w:t>(5)</w:t>
      </w:r>
      <w:r>
        <w:tab/>
        <w:t xml:space="preserve">If the annual contribution of a law practice is reduced on review or appeal, the amount of the reduction is to be refunded to the law practice, together with interest at a rate equal to that prescribed under the </w:t>
      </w:r>
      <w:r>
        <w:rPr>
          <w:i/>
          <w:iCs/>
        </w:rPr>
        <w:t>Civil Judgments Enforcement Act 2004</w:t>
      </w:r>
      <w:r>
        <w:t xml:space="preserve"> section 8(1)(a) at the time the refund is made.</w:t>
      </w:r>
    </w:p>
    <w:p>
      <w:pPr>
        <w:pStyle w:val="Subsection"/>
      </w:pPr>
      <w:r>
        <w:tab/>
        <w:t>(6)</w:t>
      </w:r>
      <w:r>
        <w:tab/>
        <w:t>A law practice cannot apply for a review of, or appeal against, a determination under subregulation (3).</w:t>
      </w:r>
    </w:p>
    <w:p>
      <w:pPr>
        <w:pStyle w:val="Heading5"/>
      </w:pPr>
      <w:bookmarkStart w:id="187" w:name="_Toc476041077"/>
      <w:r>
        <w:rPr>
          <w:rStyle w:val="CharSectno"/>
        </w:rPr>
        <w:t>94</w:t>
      </w:r>
      <w:r>
        <w:t>.</w:t>
      </w:r>
      <w:r>
        <w:tab/>
      </w:r>
      <w:r>
        <w:rPr>
          <w:spacing w:val="-2"/>
        </w:rPr>
        <w:t>Assessment on incorrect information, additional fee in case of</w:t>
      </w:r>
      <w:bookmarkEnd w:id="187"/>
    </w:p>
    <w:p>
      <w:pPr>
        <w:pStyle w:val="Subsection"/>
      </w:pPr>
      <w:r>
        <w:tab/>
      </w:r>
      <w:r>
        <w:tab/>
        <w:t>If the assessment of the annual contribution of a law practice is made under regulation 92 on the basis of information supplied by the law practice which is found to be incorrect, the law practice must pay to the Law Society any additional amount that would have been payable if the annual contribution had been assessed on the basis of the correct information.</w:t>
      </w:r>
    </w:p>
    <w:p>
      <w:pPr>
        <w:pStyle w:val="Heading5"/>
      </w:pPr>
      <w:bookmarkStart w:id="188" w:name="_Toc476041078"/>
      <w:r>
        <w:rPr>
          <w:rStyle w:val="CharSectno"/>
        </w:rPr>
        <w:t>95</w:t>
      </w:r>
      <w:r>
        <w:t>.</w:t>
      </w:r>
      <w:r>
        <w:tab/>
        <w:t>Exempt law practices</w:t>
      </w:r>
      <w:bookmarkEnd w:id="188"/>
    </w:p>
    <w:p>
      <w:pPr>
        <w:pStyle w:val="Subsection"/>
      </w:pPr>
      <w:r>
        <w:tab/>
      </w:r>
      <w:r>
        <w:tab/>
        <w:t>A law practice is exempt from the requirement to obtain or maintain professional indemnity insurance, and to pay an annual contribution, under this Division if each legal practitioner associate of the law practice is an exempt practitioner.</w:t>
      </w:r>
    </w:p>
    <w:p>
      <w:pPr>
        <w:pStyle w:val="Heading3"/>
      </w:pPr>
      <w:bookmarkStart w:id="189" w:name="_Toc466893814"/>
      <w:bookmarkStart w:id="190" w:name="_Toc467498466"/>
      <w:bookmarkStart w:id="191" w:name="_Toc476040595"/>
      <w:bookmarkStart w:id="192" w:name="_Toc476041079"/>
      <w:r>
        <w:rPr>
          <w:rStyle w:val="CharDivNo"/>
        </w:rPr>
        <w:t>Division 4</w:t>
      </w:r>
      <w:r>
        <w:t> — </w:t>
      </w:r>
      <w:r>
        <w:rPr>
          <w:rStyle w:val="CharDivText"/>
        </w:rPr>
        <w:t>Duties of Australian legal practitioners</w:t>
      </w:r>
      <w:bookmarkEnd w:id="189"/>
      <w:bookmarkEnd w:id="190"/>
      <w:bookmarkEnd w:id="191"/>
      <w:bookmarkEnd w:id="192"/>
    </w:p>
    <w:p>
      <w:pPr>
        <w:pStyle w:val="Heading5"/>
      </w:pPr>
      <w:bookmarkStart w:id="193" w:name="_Toc476041080"/>
      <w:r>
        <w:rPr>
          <w:rStyle w:val="CharSectno"/>
        </w:rPr>
        <w:t>96</w:t>
      </w:r>
      <w:r>
        <w:t>.</w:t>
      </w:r>
      <w:r>
        <w:tab/>
        <w:t>PII, when required by Australian legal practitioner</w:t>
      </w:r>
      <w:bookmarkEnd w:id="193"/>
    </w:p>
    <w:p>
      <w:pPr>
        <w:pStyle w:val="Subsection"/>
      </w:pPr>
      <w:r>
        <w:tab/>
      </w:r>
      <w:r>
        <w:tab/>
        <w:t xml:space="preserve">An Australian legal practitioner must not engage in legal practice in this jurisdiction unless — </w:t>
      </w:r>
    </w:p>
    <w:p>
      <w:pPr>
        <w:pStyle w:val="Indenta"/>
      </w:pPr>
      <w:r>
        <w:tab/>
        <w:t>(a)</w:t>
      </w:r>
      <w:r>
        <w:tab/>
        <w:t>there is in force with respect to the legal practitioner a valid current certificate of insurance in accordance with this Part; or</w:t>
      </w:r>
    </w:p>
    <w:p>
      <w:pPr>
        <w:pStyle w:val="Indenta"/>
      </w:pPr>
      <w:r>
        <w:tab/>
        <w:t>(b)</w:t>
      </w:r>
      <w:r>
        <w:tab/>
        <w:t>there is in force with respect to the legal practitioner valid current professional indemnity insurance on terms and conditions approved by the Law Society; or</w:t>
      </w:r>
    </w:p>
    <w:p>
      <w:pPr>
        <w:pStyle w:val="Indenta"/>
      </w:pPr>
      <w:r>
        <w:tab/>
        <w:t>(c)</w:t>
      </w:r>
      <w:r>
        <w:tab/>
        <w:t>the practitioner is an exempt practitioner.</w:t>
      </w:r>
    </w:p>
    <w:p>
      <w:pPr>
        <w:pStyle w:val="Heading5"/>
      </w:pPr>
      <w:bookmarkStart w:id="194" w:name="_Toc476041081"/>
      <w:r>
        <w:rPr>
          <w:rStyle w:val="CharSectno"/>
        </w:rPr>
        <w:t>97</w:t>
      </w:r>
      <w:r>
        <w:t>.</w:t>
      </w:r>
      <w:r>
        <w:tab/>
        <w:t>Exempt Australian legal practitioners</w:t>
      </w:r>
      <w:bookmarkEnd w:id="194"/>
    </w:p>
    <w:p>
      <w:pPr>
        <w:pStyle w:val="Subsection"/>
        <w:spacing w:before="120"/>
      </w:pPr>
      <w:r>
        <w:tab/>
        <w:t>(1)</w:t>
      </w:r>
      <w:r>
        <w:tab/>
        <w:t xml:space="preserve">The following Australian legal practitioners are exempt from the requirement to comply with regulation 96(a) or (b) — </w:t>
      </w:r>
    </w:p>
    <w:p>
      <w:pPr>
        <w:pStyle w:val="Indenta"/>
      </w:pPr>
      <w:r>
        <w:tab/>
        <w:t>(a)</w:t>
      </w:r>
      <w:r>
        <w:tab/>
        <w:t xml:space="preserve">a barrister who is covered by a policy of professional indemnity insurance that — </w:t>
      </w:r>
    </w:p>
    <w:p>
      <w:pPr>
        <w:pStyle w:val="Indenti"/>
      </w:pPr>
      <w:r>
        <w:tab/>
        <w:t>(i)</w:t>
      </w:r>
      <w:r>
        <w:tab/>
        <w:t>is in a form approved by resolution of the Council of The Western Australian Bar Association (Inc.); and</w:t>
      </w:r>
    </w:p>
    <w:p>
      <w:pPr>
        <w:pStyle w:val="Indenti"/>
        <w:spacing w:before="60"/>
      </w:pPr>
      <w:r>
        <w:tab/>
        <w:t>(ii)</w:t>
      </w:r>
      <w:r>
        <w:tab/>
        <w:t>provides cover up to a limit which, in the aggregate, is not less than that provided under a certificate of insurance under the PII arrangement for the period in respect of which exemption is claimed;</w:t>
      </w:r>
    </w:p>
    <w:p>
      <w:pPr>
        <w:pStyle w:val="Indenta"/>
        <w:spacing w:before="60"/>
      </w:pPr>
      <w:r>
        <w:tab/>
        <w:t>(b)</w:t>
      </w:r>
      <w:r>
        <w:tab/>
        <w:t xml:space="preserve">a practitioner employed by an entity, other than an incorporated legal practice, if — </w:t>
      </w:r>
    </w:p>
    <w:p>
      <w:pPr>
        <w:pStyle w:val="Indenti"/>
        <w:spacing w:before="60"/>
      </w:pPr>
      <w:r>
        <w:tab/>
        <w:t>(i)</w:t>
      </w:r>
      <w:r>
        <w:tab/>
        <w:t>the only legal services provided by the practitioner are to members or employees of the entity; and</w:t>
      </w:r>
    </w:p>
    <w:p>
      <w:pPr>
        <w:pStyle w:val="Indenti"/>
        <w:spacing w:before="60"/>
      </w:pPr>
      <w:r>
        <w:tab/>
        <w:t>(ii)</w:t>
      </w:r>
      <w:r>
        <w:tab/>
        <w:t>the entity is covered by professional indemnity insurance approved by the Law Society for the period in respect of which the exemption is claimed;</w:t>
      </w:r>
    </w:p>
    <w:p>
      <w:pPr>
        <w:pStyle w:val="Indenta"/>
        <w:spacing w:before="60"/>
      </w:pPr>
      <w:r>
        <w:tab/>
        <w:t>(c)</w:t>
      </w:r>
      <w:r>
        <w:tab/>
        <w:t>a practitioner employed by an entity, other than an incorporated legal practice, if the only legal services provided by the practitioner are in</w:t>
      </w:r>
      <w:r>
        <w:noBreakHyphen/>
        <w:t>house legal services;</w:t>
      </w:r>
    </w:p>
    <w:p>
      <w:pPr>
        <w:pStyle w:val="Indenta"/>
        <w:spacing w:before="60"/>
      </w:pPr>
      <w:r>
        <w:tab/>
        <w:t>(d)</w:t>
      </w:r>
      <w:r>
        <w:tab/>
        <w:t>a practitioner who does not engage in legal practice otherwise than as a WA government lawyer or as an officer or employee of the State or of an instrumentality of the State;</w:t>
      </w:r>
    </w:p>
    <w:p>
      <w:pPr>
        <w:pStyle w:val="Indenta"/>
        <w:spacing w:before="60"/>
      </w:pPr>
      <w:r>
        <w:tab/>
        <w:t>(e)</w:t>
      </w:r>
      <w:r>
        <w:tab/>
        <w:t xml:space="preserve">a practitioner who engages in legal practice as an employee of — </w:t>
      </w:r>
    </w:p>
    <w:p>
      <w:pPr>
        <w:pStyle w:val="Indenti"/>
        <w:spacing w:before="60"/>
      </w:pPr>
      <w:r>
        <w:tab/>
        <w:t>(i)</w:t>
      </w:r>
      <w:r>
        <w:tab/>
        <w:t>a community legal centre; or</w:t>
      </w:r>
    </w:p>
    <w:p>
      <w:pPr>
        <w:pStyle w:val="Indenti"/>
        <w:spacing w:before="60"/>
      </w:pPr>
      <w:r>
        <w:tab/>
        <w:t>(ii)</w:t>
      </w:r>
      <w:r>
        <w:tab/>
        <w:t>the Legal Aid Commission or the Aboriginal Legal Service; or</w:t>
      </w:r>
    </w:p>
    <w:p>
      <w:pPr>
        <w:pStyle w:val="Indenti"/>
        <w:spacing w:before="60"/>
      </w:pPr>
      <w:r>
        <w:tab/>
        <w:t>(iii)</w:t>
      </w:r>
      <w:r>
        <w:tab/>
        <w:t>any other body or organisation providing legal aid in respect of which the Law Society Council has resolved the employees of that body or organisation should be entitled to exemption,</w:t>
      </w:r>
    </w:p>
    <w:p>
      <w:pPr>
        <w:pStyle w:val="Indenta"/>
        <w:spacing w:before="60"/>
      </w:pPr>
      <w:r>
        <w:tab/>
      </w:r>
      <w:r>
        <w:tab/>
        <w:t>and who does not otherwise engage in legal practice;</w:t>
      </w:r>
    </w:p>
    <w:p>
      <w:pPr>
        <w:pStyle w:val="Indenta"/>
        <w:spacing w:before="60"/>
      </w:pPr>
      <w:r>
        <w:tab/>
        <w:t>(f)</w:t>
      </w:r>
      <w:r>
        <w:tab/>
        <w:t>a practitioner who does not engage in any legal practice that would result in the practitioner being required under section 12 of the Act to be an Australian legal practitioner;</w:t>
      </w:r>
    </w:p>
    <w:p>
      <w:pPr>
        <w:pStyle w:val="Indenta"/>
        <w:keepNext/>
      </w:pPr>
      <w:r>
        <w:tab/>
        <w:t>(g)</w:t>
      </w:r>
      <w:r>
        <w:tab/>
        <w:t xml:space="preserve">a practitioner who engages in legal practice as a principal or employee of a national law practice which — </w:t>
      </w:r>
    </w:p>
    <w:p>
      <w:pPr>
        <w:pStyle w:val="Indenti"/>
      </w:pPr>
      <w:r>
        <w:tab/>
        <w:t>(i)</w:t>
      </w:r>
      <w:r>
        <w:tab/>
        <w:t>not later than 1 December, or such other day as is determined by the Law Society, in any year, gives an undertaking to the Law Society that the law practice will take out and maintain national insurance; and</w:t>
      </w:r>
    </w:p>
    <w:p>
      <w:pPr>
        <w:pStyle w:val="Indenti"/>
      </w:pPr>
      <w:r>
        <w:tab/>
        <w:t>(ii)</w:t>
      </w:r>
      <w:r>
        <w:tab/>
        <w:t>not later than the renewal day immediately following the day on which notice is given under subparagraph (i), or such other day as is determined by the Law Society, provides evidence satisfactory to the Law Society that the insurance has been taken out; and</w:t>
      </w:r>
    </w:p>
    <w:p>
      <w:pPr>
        <w:pStyle w:val="Indenti"/>
      </w:pPr>
      <w:r>
        <w:tab/>
        <w:t>(iii)</w:t>
      </w:r>
      <w:r>
        <w:tab/>
        <w:t>maintains that insurance;</w:t>
      </w:r>
    </w:p>
    <w:p>
      <w:pPr>
        <w:pStyle w:val="Indenta"/>
      </w:pPr>
      <w:r>
        <w:tab/>
        <w:t>(h)</w:t>
      </w:r>
      <w:r>
        <w:tab/>
        <w:t xml:space="preserve">a practitioner who — </w:t>
      </w:r>
    </w:p>
    <w:p>
      <w:pPr>
        <w:pStyle w:val="Indenti"/>
      </w:pPr>
      <w:r>
        <w:tab/>
        <w:t>(i)</w:t>
      </w:r>
      <w:r>
        <w:tab/>
        <w:t>holds a local practising certificate with a condition imposed that the holder only engages in the provision of legal services on a not</w:t>
      </w:r>
      <w:r>
        <w:noBreakHyphen/>
        <w:t>for</w:t>
      </w:r>
      <w:r>
        <w:noBreakHyphen/>
        <w:t>profit basis and does not charge any person nor seek to recover a fee from any person, except for any fee arrangements that are specified in that condition; and</w:t>
      </w:r>
    </w:p>
    <w:p>
      <w:pPr>
        <w:pStyle w:val="Indenti"/>
      </w:pPr>
      <w:r>
        <w:tab/>
        <w:t>(ii)</w:t>
      </w:r>
      <w:r>
        <w:tab/>
        <w:t>holds or is covered by professional indemnity insurance issued in accordance with the National Pro Bono Resource Centre’s professional indemnity insurance arrangement.</w:t>
      </w:r>
    </w:p>
    <w:p>
      <w:pPr>
        <w:pStyle w:val="Subsection"/>
      </w:pPr>
      <w:r>
        <w:tab/>
        <w:t>(2)</w:t>
      </w:r>
      <w:r>
        <w:tab/>
        <w:t>The Law Society may revoke or amend a resolution made for the purposes of subregulation (1)(e)(iii).</w:t>
      </w:r>
    </w:p>
    <w:p>
      <w:pPr>
        <w:pStyle w:val="Subsection"/>
      </w:pPr>
      <w:r>
        <w:tab/>
        <w:t>(3)</w:t>
      </w:r>
      <w:r>
        <w:tab/>
        <w:t>The Law Society may make a determination under subregulation (1)(g)(i) or (ii) in relation to all national law practices, a class of national law practices or a specified national law practice.</w:t>
      </w:r>
    </w:p>
    <w:p>
      <w:pPr>
        <w:pStyle w:val="Subsection"/>
        <w:keepNext/>
      </w:pPr>
      <w:r>
        <w:tab/>
        <w:t>(4)</w:t>
      </w:r>
      <w:r>
        <w:tab/>
        <w:t xml:space="preserve">In subregulation (1)(g) — </w:t>
      </w:r>
    </w:p>
    <w:p>
      <w:pPr>
        <w:pStyle w:val="Defstart"/>
      </w:pPr>
      <w:r>
        <w:tab/>
      </w:r>
      <w:r>
        <w:rPr>
          <w:rStyle w:val="CharDefText"/>
        </w:rPr>
        <w:t>national insurance</w:t>
      </w:r>
      <w:r>
        <w:t xml:space="preserve"> means a policy of insurance — </w:t>
      </w:r>
    </w:p>
    <w:p>
      <w:pPr>
        <w:pStyle w:val="Defpara"/>
      </w:pPr>
      <w:r>
        <w:tab/>
        <w:t>(a)</w:t>
      </w:r>
      <w:r>
        <w:tab/>
        <w:t>that provides cover up to a limit which, in the aggregate, is not less than that provided under a certificate of insurance under the PII arrangement for the period in respect of which exemption is claimed; and</w:t>
      </w:r>
    </w:p>
    <w:p>
      <w:pPr>
        <w:pStyle w:val="Defpara"/>
      </w:pPr>
      <w:r>
        <w:tab/>
        <w:t>(b)</w:t>
      </w:r>
      <w:r>
        <w:tab/>
        <w:t>the terms of which are approved by the Law Society as being broadly equivalent to insurance under the PII arrangement;</w:t>
      </w:r>
    </w:p>
    <w:p>
      <w:pPr>
        <w:pStyle w:val="Defstart"/>
        <w:keepNext/>
      </w:pPr>
      <w:r>
        <w:tab/>
      </w:r>
      <w:r>
        <w:rPr>
          <w:rStyle w:val="CharDefText"/>
        </w:rPr>
        <w:t>national law practice</w:t>
      </w:r>
      <w:r>
        <w:t xml:space="preserve"> means a law practice — </w:t>
      </w:r>
    </w:p>
    <w:p>
      <w:pPr>
        <w:pStyle w:val="Defpara"/>
      </w:pPr>
      <w:r>
        <w:tab/>
        <w:t>(a)</w:t>
      </w:r>
      <w:r>
        <w:tab/>
        <w:t>the business of which is primarily conducted in one or more other jurisdictions; and</w:t>
      </w:r>
    </w:p>
    <w:p>
      <w:pPr>
        <w:pStyle w:val="Defpara"/>
      </w:pPr>
      <w:r>
        <w:tab/>
        <w:t>(b)</w:t>
      </w:r>
      <w:r>
        <w:tab/>
        <w:t>of which all or the majority of the principals are interstate legal practitioners.</w:t>
      </w:r>
    </w:p>
    <w:p>
      <w:pPr>
        <w:pStyle w:val="Footnotesection"/>
      </w:pPr>
      <w:r>
        <w:tab/>
        <w:t>[Regulation 97 amended in Gazette 31 Jul 2015 p. 3119-20.]</w:t>
      </w:r>
    </w:p>
    <w:p>
      <w:pPr>
        <w:pStyle w:val="Heading5"/>
      </w:pPr>
      <w:bookmarkStart w:id="195" w:name="_Toc476041082"/>
      <w:r>
        <w:rPr>
          <w:rStyle w:val="CharSectno"/>
        </w:rPr>
        <w:t>98</w:t>
      </w:r>
      <w:r>
        <w:t>.</w:t>
      </w:r>
      <w:r>
        <w:tab/>
        <w:t>Australian legal practitioner to notify Law Society of claim to be exempt under r. 97</w:t>
      </w:r>
      <w:bookmarkEnd w:id="195"/>
    </w:p>
    <w:p>
      <w:pPr>
        <w:pStyle w:val="Subsection"/>
      </w:pPr>
      <w:r>
        <w:tab/>
        <w:t>(1)</w:t>
      </w:r>
      <w:r>
        <w:tab/>
        <w:t>An Australian legal practitioner, other than a barrister, who claims to be an exempt practitioner under regulation 97 and wishes to have his or her local practising certificate renewed must notify the Law Society of the claim not later than 15 May in each year.</w:t>
      </w:r>
    </w:p>
    <w:p>
      <w:pPr>
        <w:pStyle w:val="Subsection"/>
      </w:pPr>
      <w:r>
        <w:tab/>
        <w:t>(2)</w:t>
      </w:r>
      <w:r>
        <w:tab/>
        <w:t xml:space="preserve">The notice must be — </w:t>
      </w:r>
    </w:p>
    <w:p>
      <w:pPr>
        <w:pStyle w:val="Indenta"/>
        <w:spacing w:before="60"/>
      </w:pPr>
      <w:r>
        <w:tab/>
        <w:t>(a)</w:t>
      </w:r>
      <w:r>
        <w:tab/>
        <w:t>in a form approved by the Law Society; and</w:t>
      </w:r>
    </w:p>
    <w:p>
      <w:pPr>
        <w:pStyle w:val="Indenta"/>
        <w:spacing w:before="60"/>
      </w:pPr>
      <w:r>
        <w:tab/>
        <w:t>(b)</w:t>
      </w:r>
      <w:r>
        <w:tab/>
        <w:t>accompanied by the amount of the administration levy, if any, fixed under regulation 102(1)(b).</w:t>
      </w:r>
    </w:p>
    <w:p>
      <w:pPr>
        <w:pStyle w:val="Subsection"/>
      </w:pPr>
      <w:r>
        <w:tab/>
        <w:t>(3)</w:t>
      </w:r>
      <w:r>
        <w:tab/>
        <w:t xml:space="preserve">After 15 May in each year the Law Society must send notice to the Board informing the Board of the Australian legal practitioners who — </w:t>
      </w:r>
    </w:p>
    <w:p>
      <w:pPr>
        <w:pStyle w:val="Indenta"/>
        <w:spacing w:before="60"/>
      </w:pPr>
      <w:r>
        <w:tab/>
        <w:t>(a)</w:t>
      </w:r>
      <w:r>
        <w:tab/>
        <w:t xml:space="preserve">have given notice under this regulation since the last previous notice was sent under the </w:t>
      </w:r>
      <w:r>
        <w:rPr>
          <w:i/>
          <w:iCs/>
        </w:rPr>
        <w:t>Legal Practice (Professional Indemnity Insurance) Regulations 1995</w:t>
      </w:r>
      <w:r>
        <w:t xml:space="preserve"> regulation 12(2) or this subregulation; and</w:t>
      </w:r>
    </w:p>
    <w:p>
      <w:pPr>
        <w:pStyle w:val="Indenta"/>
        <w:spacing w:before="60"/>
      </w:pPr>
      <w:r>
        <w:tab/>
        <w:t>(b)</w:t>
      </w:r>
      <w:r>
        <w:tab/>
        <w:t>are exempt practitioners.</w:t>
      </w:r>
    </w:p>
    <w:p>
      <w:pPr>
        <w:pStyle w:val="Heading5"/>
      </w:pPr>
      <w:bookmarkStart w:id="196" w:name="_Toc476041083"/>
      <w:r>
        <w:rPr>
          <w:rStyle w:val="CharSectno"/>
        </w:rPr>
        <w:t>99</w:t>
      </w:r>
      <w:r>
        <w:t>.</w:t>
      </w:r>
      <w:r>
        <w:tab/>
        <w:t>New local legal practitioner to notify Law Society of claim to be exempt</w:t>
      </w:r>
      <w:bookmarkEnd w:id="196"/>
    </w:p>
    <w:p>
      <w:pPr>
        <w:pStyle w:val="Subsection"/>
      </w:pPr>
      <w:r>
        <w:tab/>
        <w:t>(1)</w:t>
      </w:r>
      <w:r>
        <w:tab/>
        <w:t xml:space="preserve">An Australian lawyer who — </w:t>
      </w:r>
    </w:p>
    <w:p>
      <w:pPr>
        <w:pStyle w:val="Indenta"/>
        <w:spacing w:before="60"/>
      </w:pPr>
      <w:r>
        <w:tab/>
        <w:t>(a)</w:t>
      </w:r>
      <w:r>
        <w:tab/>
        <w:t>has applied for a local practising certificate; and</w:t>
      </w:r>
    </w:p>
    <w:p>
      <w:pPr>
        <w:pStyle w:val="Indenta"/>
        <w:spacing w:before="60"/>
      </w:pPr>
      <w:r>
        <w:tab/>
        <w:t>(b)</w:t>
      </w:r>
      <w:r>
        <w:tab/>
        <w:t>claims that he or she will be an exempt practitioner if granted a local practising certificate,</w:t>
      </w:r>
    </w:p>
    <w:p>
      <w:pPr>
        <w:pStyle w:val="Subsection"/>
      </w:pPr>
      <w:r>
        <w:tab/>
      </w:r>
      <w:r>
        <w:tab/>
        <w:t>must notify the Law Society of the claim as soon as practicable after applying for the local practising certificate.</w:t>
      </w:r>
    </w:p>
    <w:p>
      <w:pPr>
        <w:pStyle w:val="Subsection"/>
      </w:pPr>
      <w:r>
        <w:tab/>
        <w:t>(2)</w:t>
      </w:r>
      <w:r>
        <w:tab/>
        <w:t xml:space="preserve">The notice must be — </w:t>
      </w:r>
    </w:p>
    <w:p>
      <w:pPr>
        <w:pStyle w:val="Indenta"/>
        <w:spacing w:before="60"/>
      </w:pPr>
      <w:r>
        <w:tab/>
        <w:t>(a)</w:t>
      </w:r>
      <w:r>
        <w:tab/>
        <w:t>in a form approved by the Law Society; and</w:t>
      </w:r>
    </w:p>
    <w:p>
      <w:pPr>
        <w:pStyle w:val="Indenta"/>
      </w:pPr>
      <w:r>
        <w:tab/>
        <w:t>(b)</w:t>
      </w:r>
      <w:r>
        <w:tab/>
        <w:t>accompanied by the amount of the administration levy, if any, fixed under regulation 102(1)(b).</w:t>
      </w:r>
    </w:p>
    <w:p>
      <w:pPr>
        <w:pStyle w:val="Subsection"/>
      </w:pPr>
      <w:r>
        <w:tab/>
        <w:t>(3)</w:t>
      </w:r>
      <w:r>
        <w:tab/>
        <w:t>The Law Society must send notice to the Board informing the Board of the claim and advising as to whether the claimant will be an exempt practitioner.</w:t>
      </w:r>
    </w:p>
    <w:p>
      <w:pPr>
        <w:pStyle w:val="Heading5"/>
      </w:pPr>
      <w:bookmarkStart w:id="197" w:name="_Toc476041084"/>
      <w:r>
        <w:rPr>
          <w:rStyle w:val="CharSectno"/>
        </w:rPr>
        <w:t>100</w:t>
      </w:r>
      <w:r>
        <w:t>.</w:t>
      </w:r>
      <w:r>
        <w:tab/>
        <w:t>Certain employee practitioners to notify Law Society of status</w:t>
      </w:r>
      <w:bookmarkEnd w:id="197"/>
    </w:p>
    <w:p>
      <w:pPr>
        <w:pStyle w:val="Subsection"/>
      </w:pPr>
      <w:r>
        <w:tab/>
        <w:t>(1)</w:t>
      </w:r>
      <w:r>
        <w:tab/>
        <w:t xml:space="preserve">Each Australian legal practitioner who — </w:t>
      </w:r>
    </w:p>
    <w:p>
      <w:pPr>
        <w:pStyle w:val="Indenta"/>
      </w:pPr>
      <w:r>
        <w:tab/>
        <w:t>(a)</w:t>
      </w:r>
      <w:r>
        <w:tab/>
        <w:t>engages in legal practice in this jurisdiction as an employee under a contract of service with a legal practice; and</w:t>
      </w:r>
    </w:p>
    <w:p>
      <w:pPr>
        <w:pStyle w:val="Indenta"/>
      </w:pPr>
      <w:r>
        <w:tab/>
        <w:t>(b)</w:t>
      </w:r>
      <w:r>
        <w:tab/>
        <w:t>does not otherwise engage in legal practice as a principal of a law practice,</w:t>
      </w:r>
    </w:p>
    <w:p>
      <w:pPr>
        <w:pStyle w:val="Subsection"/>
      </w:pPr>
      <w:r>
        <w:tab/>
      </w:r>
      <w:r>
        <w:tab/>
        <w:t xml:space="preserve">must notify the Law Society of his or her status as such — </w:t>
      </w:r>
    </w:p>
    <w:p>
      <w:pPr>
        <w:pStyle w:val="Indenta"/>
      </w:pPr>
      <w:r>
        <w:tab/>
        <w:t>(c)</w:t>
      </w:r>
      <w:r>
        <w:tab/>
        <w:t>as soon as practicable after acquiring that status; and</w:t>
      </w:r>
    </w:p>
    <w:p>
      <w:pPr>
        <w:pStyle w:val="Indenta"/>
      </w:pPr>
      <w:r>
        <w:tab/>
        <w:t>(d)</w:t>
      </w:r>
      <w:r>
        <w:tab/>
        <w:t>thereafter, not later than 15 May in each year or such other day as is determined by the Law Society.</w:t>
      </w:r>
    </w:p>
    <w:p>
      <w:pPr>
        <w:pStyle w:val="Subsection"/>
      </w:pPr>
      <w:r>
        <w:tab/>
        <w:t>(2)</w:t>
      </w:r>
      <w:r>
        <w:tab/>
        <w:t xml:space="preserve">The notice must be — </w:t>
      </w:r>
    </w:p>
    <w:p>
      <w:pPr>
        <w:pStyle w:val="Indenta"/>
      </w:pPr>
      <w:r>
        <w:tab/>
        <w:t>(a)</w:t>
      </w:r>
      <w:r>
        <w:tab/>
        <w:t>in a form approved by the Law Society; and</w:t>
      </w:r>
    </w:p>
    <w:p>
      <w:pPr>
        <w:pStyle w:val="Indenta"/>
      </w:pPr>
      <w:r>
        <w:tab/>
        <w:t>(b)</w:t>
      </w:r>
      <w:r>
        <w:tab/>
        <w:t>accompanied by the amount of the administration levy, if any, fixed under regulation 102(1)(c).</w:t>
      </w:r>
    </w:p>
    <w:p>
      <w:pPr>
        <w:pStyle w:val="Subsection"/>
      </w:pPr>
      <w:r>
        <w:tab/>
        <w:t>(3)</w:t>
      </w:r>
      <w:r>
        <w:tab/>
        <w:t>The Law Society may make a determination under subregulation (1)(d) in relation to all Australian legal practitioners, a class of Australian legal practitioners or a specified Australian legal practitioner.</w:t>
      </w:r>
    </w:p>
    <w:p>
      <w:pPr>
        <w:pStyle w:val="Heading5"/>
      </w:pPr>
      <w:bookmarkStart w:id="198" w:name="_Toc476041085"/>
      <w:r>
        <w:rPr>
          <w:rStyle w:val="CharSectno"/>
        </w:rPr>
        <w:t>101</w:t>
      </w:r>
      <w:r>
        <w:t>.</w:t>
      </w:r>
      <w:r>
        <w:tab/>
        <w:t>Acceptable evidence for Board as to PII compliance (Act s. 40(3))</w:t>
      </w:r>
      <w:bookmarkEnd w:id="198"/>
    </w:p>
    <w:p>
      <w:pPr>
        <w:pStyle w:val="Subsection"/>
      </w:pPr>
      <w:r>
        <w:tab/>
        <w:t>(1)</w:t>
      </w:r>
      <w:r>
        <w:tab/>
        <w:t>The Board is entitled to accept as evidence that an applicant for the grant or renewal of a local practising certificate is or will be covered by professional indemnity insurance that complies with the requirements of these regulations notice to that effect from the Law Society.</w:t>
      </w:r>
    </w:p>
    <w:p>
      <w:pPr>
        <w:pStyle w:val="Subsection"/>
      </w:pPr>
      <w:r>
        <w:tab/>
        <w:t>(2)</w:t>
      </w:r>
      <w:r>
        <w:tab/>
        <w:t>The Board is entitled to accept as evidence that an applicant for the grant or renewal of a local practising certificate is or will be an exempt practitioner notice to that effect from the Law Society under regulation 98(3) or 99(3).</w:t>
      </w:r>
    </w:p>
    <w:p>
      <w:pPr>
        <w:pStyle w:val="Heading3"/>
      </w:pPr>
      <w:bookmarkStart w:id="199" w:name="_Toc466893821"/>
      <w:bookmarkStart w:id="200" w:name="_Toc467498473"/>
      <w:bookmarkStart w:id="201" w:name="_Toc476040602"/>
      <w:bookmarkStart w:id="202" w:name="_Toc476041086"/>
      <w:r>
        <w:rPr>
          <w:rStyle w:val="CharDivNo"/>
        </w:rPr>
        <w:t>Division 5</w:t>
      </w:r>
      <w:r>
        <w:t> — </w:t>
      </w:r>
      <w:r>
        <w:rPr>
          <w:rStyle w:val="CharDivText"/>
        </w:rPr>
        <w:t>Miscellaneous</w:t>
      </w:r>
      <w:bookmarkEnd w:id="199"/>
      <w:bookmarkEnd w:id="200"/>
      <w:bookmarkEnd w:id="201"/>
      <w:bookmarkEnd w:id="202"/>
    </w:p>
    <w:p>
      <w:pPr>
        <w:pStyle w:val="Heading5"/>
      </w:pPr>
      <w:bookmarkStart w:id="203" w:name="_Toc476041087"/>
      <w:r>
        <w:rPr>
          <w:rStyle w:val="CharSectno"/>
        </w:rPr>
        <w:t>102</w:t>
      </w:r>
      <w:r>
        <w:t>.</w:t>
      </w:r>
      <w:r>
        <w:tab/>
        <w:t>Administration levies, Law Society may fix etc.</w:t>
      </w:r>
      <w:bookmarkEnd w:id="203"/>
    </w:p>
    <w:p>
      <w:pPr>
        <w:pStyle w:val="Subsection"/>
      </w:pPr>
      <w:r>
        <w:tab/>
        <w:t>(1)</w:t>
      </w:r>
      <w:r>
        <w:tab/>
        <w:t xml:space="preserve">The Law Society may from time to time fix an administration levy to be paid to the Law Society by a law practice or an Australian legal practitioner — </w:t>
      </w:r>
    </w:p>
    <w:p>
      <w:pPr>
        <w:pStyle w:val="Indenta"/>
      </w:pPr>
      <w:r>
        <w:tab/>
        <w:t>(a)</w:t>
      </w:r>
      <w:r>
        <w:tab/>
        <w:t>applying to take and maintain insurance under the PII arrangement; or</w:t>
      </w:r>
    </w:p>
    <w:p>
      <w:pPr>
        <w:pStyle w:val="Indenta"/>
      </w:pPr>
      <w:r>
        <w:tab/>
        <w:t>(b)</w:t>
      </w:r>
      <w:r>
        <w:tab/>
        <w:t>claiming under regulation 98 to be an exempt practitioner; or</w:t>
      </w:r>
    </w:p>
    <w:p>
      <w:pPr>
        <w:pStyle w:val="Indenta"/>
      </w:pPr>
      <w:r>
        <w:tab/>
        <w:t>(c)</w:t>
      </w:r>
      <w:r>
        <w:tab/>
        <w:t>giving notification under regulation 100.</w:t>
      </w:r>
    </w:p>
    <w:p>
      <w:pPr>
        <w:pStyle w:val="Subsection"/>
      </w:pPr>
      <w:r>
        <w:tab/>
        <w:t>(2)</w:t>
      </w:r>
      <w:r>
        <w:tab/>
        <w:t xml:space="preserve">For the purposes of subregulation (1)(a), the Law Society may fix different administration levies according to — </w:t>
      </w:r>
    </w:p>
    <w:p>
      <w:pPr>
        <w:pStyle w:val="Indenta"/>
      </w:pPr>
      <w:r>
        <w:tab/>
        <w:t>(a)</w:t>
      </w:r>
      <w:r>
        <w:tab/>
        <w:t>the number of Australian legal practitioners in or employed by a law practice; and</w:t>
      </w:r>
    </w:p>
    <w:p>
      <w:pPr>
        <w:pStyle w:val="Indenta"/>
      </w:pPr>
      <w:r>
        <w:tab/>
        <w:t>(b)</w:t>
      </w:r>
      <w:r>
        <w:tab/>
        <w:t>whether those practitioners are, or are not, members of the Law Society.</w:t>
      </w:r>
    </w:p>
    <w:p>
      <w:pPr>
        <w:pStyle w:val="Subsection"/>
      </w:pPr>
      <w:r>
        <w:tab/>
        <w:t>(3)</w:t>
      </w:r>
      <w:r>
        <w:tab/>
        <w:t>For the purposes of subregulation (1)(b) and (c), the Law Society may fix different administration levies according to whether practitioners are, or are not, members of Law Society.</w:t>
      </w:r>
    </w:p>
    <w:p>
      <w:pPr>
        <w:pStyle w:val="Subsection"/>
      </w:pPr>
      <w:r>
        <w:tab/>
        <w:t>(4)</w:t>
      </w:r>
      <w:r>
        <w:tab/>
        <w:t>The Law Society may impose an additional administration levy on a law practice or an Australian legal practitioner if the law practice or practitioner fails to supply information as required under regulation 104.</w:t>
      </w:r>
    </w:p>
    <w:p>
      <w:pPr>
        <w:pStyle w:val="Heading5"/>
      </w:pPr>
      <w:bookmarkStart w:id="204" w:name="_Toc476041088"/>
      <w:r>
        <w:rPr>
          <w:rStyle w:val="CharSectno"/>
        </w:rPr>
        <w:t>103</w:t>
      </w:r>
      <w:r>
        <w:t>.</w:t>
      </w:r>
      <w:r>
        <w:tab/>
        <w:t>Undertakings as to PII, Law Society may require etc.</w:t>
      </w:r>
      <w:bookmarkEnd w:id="204"/>
    </w:p>
    <w:p>
      <w:pPr>
        <w:pStyle w:val="Subsection"/>
      </w:pPr>
      <w:r>
        <w:tab/>
        <w:t>(1)</w:t>
      </w:r>
      <w:r>
        <w:tab/>
        <w:t xml:space="preserve">Every law practice or Australian legal practitioner — </w:t>
      </w:r>
    </w:p>
    <w:p>
      <w:pPr>
        <w:pStyle w:val="Indenta"/>
      </w:pPr>
      <w:r>
        <w:tab/>
        <w:t>(a)</w:t>
      </w:r>
      <w:r>
        <w:tab/>
        <w:t>applying to take and maintain insurance under the PII arrangement; or</w:t>
      </w:r>
    </w:p>
    <w:p>
      <w:pPr>
        <w:pStyle w:val="Indenta"/>
      </w:pPr>
      <w:r>
        <w:tab/>
        <w:t>(b)</w:t>
      </w:r>
      <w:r>
        <w:tab/>
        <w:t>giving notification under regulation 98 or 100,</w:t>
      </w:r>
    </w:p>
    <w:p>
      <w:pPr>
        <w:pStyle w:val="Subsection"/>
      </w:pPr>
      <w:r>
        <w:tab/>
      </w:r>
      <w:r>
        <w:tab/>
        <w:t>must provide to the Law Society such undertakings as the Law Society may require with respect to that application or notification.</w:t>
      </w:r>
    </w:p>
    <w:p>
      <w:pPr>
        <w:pStyle w:val="Subsection"/>
      </w:pPr>
      <w:r>
        <w:tab/>
        <w:t>(2)</w:t>
      </w:r>
      <w:r>
        <w:tab/>
        <w:t>A law practice or Australian legal practitioner must comply with any undertaking given under subregulation (1), unless previously released from that undertaking by the Law Society.</w:t>
      </w:r>
    </w:p>
    <w:p>
      <w:pPr>
        <w:pStyle w:val="Heading5"/>
      </w:pPr>
      <w:bookmarkStart w:id="205" w:name="_Toc476041089"/>
      <w:r>
        <w:rPr>
          <w:rStyle w:val="CharSectno"/>
        </w:rPr>
        <w:t>104</w:t>
      </w:r>
      <w:r>
        <w:t>.</w:t>
      </w:r>
      <w:r>
        <w:tab/>
        <w:t>Information about PII, Law Society may require etc.</w:t>
      </w:r>
      <w:bookmarkEnd w:id="205"/>
    </w:p>
    <w:p>
      <w:pPr>
        <w:pStyle w:val="Subsection"/>
      </w:pPr>
      <w:r>
        <w:tab/>
        <w:t>(1)</w:t>
      </w:r>
      <w:r>
        <w:tab/>
        <w:t>The Law Society may require a legal practice or Australian legal practitioner to supply the Law Society with any information the Law Society needs for the purposes of performing its functions under these regulations or of administering the PII arrangement.</w:t>
      </w:r>
    </w:p>
    <w:p>
      <w:pPr>
        <w:pStyle w:val="Subsection"/>
      </w:pPr>
      <w:r>
        <w:tab/>
        <w:t>(2)</w:t>
      </w:r>
      <w:r>
        <w:tab/>
        <w:t xml:space="preserve">Without limiting subregulation (1), the Law Society may at any time require — </w:t>
      </w:r>
    </w:p>
    <w:p>
      <w:pPr>
        <w:pStyle w:val="Indenta"/>
      </w:pPr>
      <w:r>
        <w:tab/>
        <w:t>(a)</w:t>
      </w:r>
      <w:r>
        <w:tab/>
        <w:t>a law practice claiming any matter affecting the assessment of its annual contribution under regulation 92; or</w:t>
      </w:r>
    </w:p>
    <w:p>
      <w:pPr>
        <w:pStyle w:val="Indenta"/>
      </w:pPr>
      <w:r>
        <w:tab/>
        <w:t>(b)</w:t>
      </w:r>
      <w:r>
        <w:tab/>
        <w:t>an Australian legal practitioner claiming to be or to have been an exempt practitioner; or</w:t>
      </w:r>
    </w:p>
    <w:p>
      <w:pPr>
        <w:pStyle w:val="Indenta"/>
      </w:pPr>
      <w:r>
        <w:tab/>
        <w:t>(c)</w:t>
      </w:r>
      <w:r>
        <w:tab/>
        <w:t>a practitioner or practitioners claiming, for any reason, not to be or to have been a law practice,</w:t>
      </w:r>
    </w:p>
    <w:p>
      <w:pPr>
        <w:pStyle w:val="Subsection"/>
      </w:pPr>
      <w:r>
        <w:tab/>
      </w:r>
      <w:r>
        <w:tab/>
        <w:t>to set out the facts and circumstances in support of that claim.</w:t>
      </w:r>
    </w:p>
    <w:p>
      <w:pPr>
        <w:pStyle w:val="Subsection"/>
      </w:pPr>
      <w:r>
        <w:tab/>
        <w:t>(3)</w:t>
      </w:r>
      <w:r>
        <w:tab/>
        <w:t>Information provided under subregulation (2) must, if the Law Society so requires, be verified by statutory declaration.</w:t>
      </w:r>
    </w:p>
    <w:p>
      <w:pPr>
        <w:pStyle w:val="Subsection"/>
      </w:pPr>
      <w:r>
        <w:tab/>
        <w:t>(4)</w:t>
      </w:r>
      <w:r>
        <w:tab/>
        <w:t>A requirement under this regulation may specify a time within which the requirement is to be complied with.</w:t>
      </w:r>
    </w:p>
    <w:p>
      <w:pPr>
        <w:pStyle w:val="Subsection"/>
      </w:pPr>
      <w:r>
        <w:tab/>
        <w:t>(5)</w:t>
      </w:r>
      <w:r>
        <w:tab/>
        <w:t>A law practice or Australian legal practitioner must comply with a requirement under this regulation and, if a time for compliance is specified, must do so within the specified time.</w:t>
      </w:r>
    </w:p>
    <w:p>
      <w:pPr>
        <w:pStyle w:val="Heading5"/>
      </w:pPr>
      <w:bookmarkStart w:id="206" w:name="_Toc476041090"/>
      <w:r>
        <w:rPr>
          <w:rStyle w:val="CharSectno"/>
        </w:rPr>
        <w:t>105</w:t>
      </w:r>
      <w:r>
        <w:t>.</w:t>
      </w:r>
      <w:r>
        <w:tab/>
        <w:t>Overdue amounts, interests on</w:t>
      </w:r>
      <w:bookmarkEnd w:id="206"/>
    </w:p>
    <w:p>
      <w:pPr>
        <w:pStyle w:val="Subsection"/>
      </w:pPr>
      <w:r>
        <w:tab/>
        <w:t>(1)</w:t>
      </w:r>
      <w:r>
        <w:tab/>
        <w:t>Interest is payable on so much of an amount that is payable under these regulations for the period beginning on the day after the day on which the amount is due and ending on and including the day on which the amount payable is paid.</w:t>
      </w:r>
    </w:p>
    <w:p>
      <w:pPr>
        <w:pStyle w:val="Subsection"/>
      </w:pPr>
      <w:r>
        <w:tab/>
        <w:t>(2)</w:t>
      </w:r>
      <w:r>
        <w:tab/>
        <w:t xml:space="preserve">The rate of interest at any time is equal to that prescribed for that period under the </w:t>
      </w:r>
      <w:r>
        <w:rPr>
          <w:i/>
          <w:iCs/>
        </w:rPr>
        <w:t>Civil Judgments Enforcement Act 2004</w:t>
      </w:r>
      <w:r>
        <w:t xml:space="preserve"> section 8(1)(a).</w:t>
      </w:r>
    </w:p>
    <w:p>
      <w:pPr>
        <w:pStyle w:val="Subsection"/>
      </w:pPr>
      <w:r>
        <w:tab/>
        <w:t>(3)</w:t>
      </w:r>
      <w:r>
        <w:tab/>
        <w:t>The Law Society may, in its discretion, waive payment of the interest in whole or in part.</w:t>
      </w:r>
    </w:p>
    <w:p>
      <w:pPr>
        <w:pStyle w:val="Heading5"/>
      </w:pPr>
      <w:bookmarkStart w:id="207" w:name="_Toc476041091"/>
      <w:r>
        <w:rPr>
          <w:rStyle w:val="CharSectno"/>
        </w:rPr>
        <w:t>106</w:t>
      </w:r>
      <w:r>
        <w:t>.</w:t>
      </w:r>
      <w:r>
        <w:tab/>
        <w:t>Unpaid money, recovering</w:t>
      </w:r>
      <w:bookmarkEnd w:id="207"/>
    </w:p>
    <w:p>
      <w:pPr>
        <w:pStyle w:val="Subsection"/>
      </w:pPr>
      <w:r>
        <w:tab/>
      </w:r>
      <w:r>
        <w:tab/>
        <w:t>Any moneys that are not paid by a person in accordance with these regulations may be recovered from that person by the Law Society as a debt in a court of competent jurisdiction.</w:t>
      </w:r>
    </w:p>
    <w:p>
      <w:pPr>
        <w:pStyle w:val="Heading5"/>
      </w:pPr>
      <w:bookmarkStart w:id="208" w:name="_Toc476041092"/>
      <w:r>
        <w:rPr>
          <w:rStyle w:val="CharSectno"/>
        </w:rPr>
        <w:t>107</w:t>
      </w:r>
      <w:r>
        <w:t>.</w:t>
      </w:r>
      <w:r>
        <w:tab/>
        <w:t>Compliance with regulations, Law Society’s powers to ascertain</w:t>
      </w:r>
      <w:bookmarkEnd w:id="208"/>
    </w:p>
    <w:p>
      <w:pPr>
        <w:pStyle w:val="Subsection"/>
      </w:pPr>
      <w:r>
        <w:tab/>
      </w:r>
      <w:r>
        <w:tab/>
        <w:t>The Law Society may take such steps as it considers necessary or expedient to ascertain whether or not these regulations are being complied with.</w:t>
      </w:r>
    </w:p>
    <w:p>
      <w:pPr>
        <w:pStyle w:val="Heading2"/>
      </w:pPr>
      <w:bookmarkStart w:id="209" w:name="_Toc466893828"/>
      <w:bookmarkStart w:id="210" w:name="_Toc467498480"/>
      <w:bookmarkStart w:id="211" w:name="_Toc476040609"/>
      <w:bookmarkStart w:id="212" w:name="_Toc476041093"/>
      <w:r>
        <w:rPr>
          <w:rStyle w:val="CharPartNo"/>
        </w:rPr>
        <w:t>Part 10</w:t>
      </w:r>
      <w:r>
        <w:rPr>
          <w:rStyle w:val="CharDivNo"/>
        </w:rPr>
        <w:t> </w:t>
      </w:r>
      <w:r>
        <w:t>—</w:t>
      </w:r>
      <w:r>
        <w:rPr>
          <w:rStyle w:val="CharDivText"/>
        </w:rPr>
        <w:t> </w:t>
      </w:r>
      <w:r>
        <w:rPr>
          <w:rStyle w:val="CharPartText"/>
        </w:rPr>
        <w:t>Fidelity cover</w:t>
      </w:r>
      <w:bookmarkEnd w:id="209"/>
      <w:bookmarkEnd w:id="210"/>
      <w:bookmarkEnd w:id="211"/>
      <w:bookmarkEnd w:id="212"/>
    </w:p>
    <w:p>
      <w:pPr>
        <w:pStyle w:val="Heading5"/>
      </w:pPr>
      <w:bookmarkStart w:id="213" w:name="_Toc476041094"/>
      <w:r>
        <w:rPr>
          <w:rStyle w:val="CharSectno"/>
        </w:rPr>
        <w:t>108</w:t>
      </w:r>
      <w:r>
        <w:t>.</w:t>
      </w:r>
      <w:r>
        <w:tab/>
        <w:t>Fidelity protocols into which Trust may enter etc.</w:t>
      </w:r>
      <w:bookmarkEnd w:id="213"/>
    </w:p>
    <w:p>
      <w:pPr>
        <w:pStyle w:val="Subsection"/>
      </w:pPr>
      <w:r>
        <w:tab/>
        <w:t>(1)</w:t>
      </w:r>
      <w:r>
        <w:tab/>
        <w:t xml:space="preserve">The Trust may enter into fidelity protocols with corresponding authorities for or with respect to any of the following matters — </w:t>
      </w:r>
    </w:p>
    <w:p>
      <w:pPr>
        <w:pStyle w:val="Indenta"/>
        <w:spacing w:before="60"/>
      </w:pPr>
      <w:r>
        <w:tab/>
        <w:t>(a)</w:t>
      </w:r>
      <w:r>
        <w:tab/>
        <w:t>the forwarding of claims, or copies of claims, under section 378 of the Act and corresponding laws;</w:t>
      </w:r>
    </w:p>
    <w:p>
      <w:pPr>
        <w:pStyle w:val="Indenta"/>
        <w:spacing w:before="60"/>
      </w:pPr>
      <w:r>
        <w:tab/>
        <w:t>(b)</w:t>
      </w:r>
      <w:r>
        <w:tab/>
        <w:t>the making and acceptance of requests to act as agent under Part 12 Division 3 Subdivision 8 of the Act and corresponding laws;</w:t>
      </w:r>
    </w:p>
    <w:p>
      <w:pPr>
        <w:pStyle w:val="Indenta"/>
        <w:spacing w:before="60"/>
      </w:pPr>
      <w:r>
        <w:tab/>
        <w:t>(c)</w:t>
      </w:r>
      <w:r>
        <w:tab/>
        <w:t>the processing of claims or aspects of claims as agent under Part 12 Division 3 Subdivision 8 of the Act and corresponding laws.</w:t>
      </w:r>
    </w:p>
    <w:p>
      <w:pPr>
        <w:pStyle w:val="Subsection"/>
      </w:pPr>
      <w:r>
        <w:tab/>
        <w:t>(2)</w:t>
      </w:r>
      <w:r>
        <w:tab/>
        <w:t>A fidelity protocol may be amended, revoked or replaced by agreement of the parties to it.</w:t>
      </w:r>
    </w:p>
    <w:p>
      <w:pPr>
        <w:pStyle w:val="Heading5"/>
      </w:pPr>
      <w:bookmarkStart w:id="214" w:name="_Toc476041095"/>
      <w:r>
        <w:rPr>
          <w:rStyle w:val="CharSectno"/>
        </w:rPr>
        <w:t>109</w:t>
      </w:r>
      <w:r>
        <w:t>.</w:t>
      </w:r>
      <w:r>
        <w:tab/>
        <w:t>Trust accounts, payment of interest on (Act s. 387)</w:t>
      </w:r>
      <w:bookmarkEnd w:id="214"/>
    </w:p>
    <w:p>
      <w:pPr>
        <w:pStyle w:val="Subsection"/>
        <w:spacing w:before="150"/>
      </w:pPr>
      <w:r>
        <w:tab/>
        <w:t>(1)</w:t>
      </w:r>
      <w:r>
        <w:tab/>
        <w:t xml:space="preserve">For the purposes of the definition of </w:t>
      </w:r>
      <w:r>
        <w:rPr>
          <w:b/>
          <w:bCs/>
          <w:i/>
          <w:iCs/>
        </w:rPr>
        <w:t>relevant period</w:t>
      </w:r>
      <w:r>
        <w:t xml:space="preserve"> in section 387(1) of the Act, the period of one month is prescribed in place of the periods referred to in paragraphs (a) and (b) of that definition.</w:t>
      </w:r>
    </w:p>
    <w:p>
      <w:pPr>
        <w:pStyle w:val="Subsection"/>
        <w:spacing w:before="150"/>
      </w:pPr>
      <w:r>
        <w:tab/>
        <w:t>(2)</w:t>
      </w:r>
      <w:r>
        <w:tab/>
        <w:t>For the purposes of section 387(2) of the Act, the prescribed percentage is 51%.</w:t>
      </w:r>
    </w:p>
    <w:p>
      <w:pPr>
        <w:pStyle w:val="Subsection"/>
        <w:spacing w:before="150"/>
      </w:pPr>
      <w:r>
        <w:tab/>
        <w:t>(3)</w:t>
      </w:r>
      <w:r>
        <w:tab/>
        <w:t>For the purposes of section 387(3) of the Act, the interest is to be paid within 10 working days of the end of the relevant period during which it was earned.</w:t>
      </w:r>
    </w:p>
    <w:p>
      <w:pPr>
        <w:pStyle w:val="Subsection"/>
        <w:spacing w:before="150"/>
      </w:pPr>
      <w:r>
        <w:tab/>
        <w:t>(4)</w:t>
      </w:r>
      <w:r>
        <w:tab/>
        <w:t xml:space="preserve">In subregulation (3) — </w:t>
      </w:r>
    </w:p>
    <w:p>
      <w:pPr>
        <w:pStyle w:val="Defstart"/>
      </w:pPr>
      <w:r>
        <w:tab/>
      </w:r>
      <w:r>
        <w:rPr>
          <w:rStyle w:val="CharDefText"/>
        </w:rPr>
        <w:t>working day</w:t>
      </w:r>
      <w:r>
        <w:t xml:space="preserve"> means a day that is not a Saturday, Sunday or a public holiday throughout the State.</w:t>
      </w:r>
    </w:p>
    <w:p>
      <w:pPr>
        <w:pStyle w:val="Heading5"/>
      </w:pPr>
      <w:bookmarkStart w:id="215" w:name="_Toc476041096"/>
      <w:r>
        <w:rPr>
          <w:rStyle w:val="CharSectno"/>
        </w:rPr>
        <w:t>110</w:t>
      </w:r>
      <w:r>
        <w:t>.</w:t>
      </w:r>
      <w:r>
        <w:tab/>
        <w:t>Bodies prescribed (Act s. 388(4))</w:t>
      </w:r>
      <w:bookmarkEnd w:id="215"/>
    </w:p>
    <w:p>
      <w:pPr>
        <w:pStyle w:val="Subsection"/>
      </w:pPr>
      <w:r>
        <w:tab/>
      </w:r>
      <w:r>
        <w:tab/>
        <w:t>The bodies listed in Schedule 2 are prescribed for the purposes of section 388(4)(c)(iv) and (v) of the Act.</w:t>
      </w:r>
    </w:p>
    <w:p>
      <w:pPr>
        <w:pStyle w:val="Heading2"/>
        <w:rPr>
          <w:rStyle w:val="CharDivText"/>
        </w:rPr>
      </w:pPr>
      <w:bookmarkStart w:id="216" w:name="_Toc466893832"/>
      <w:bookmarkStart w:id="217" w:name="_Toc467498484"/>
      <w:bookmarkStart w:id="218" w:name="_Toc476040613"/>
      <w:bookmarkStart w:id="219" w:name="_Toc476041097"/>
      <w:r>
        <w:rPr>
          <w:rStyle w:val="CharPartNo"/>
        </w:rPr>
        <w:t>Part 11</w:t>
      </w:r>
      <w:r>
        <w:rPr>
          <w:rStyle w:val="CharDivNo"/>
        </w:rPr>
        <w:t> </w:t>
      </w:r>
      <w:r>
        <w:t>—</w:t>
      </w:r>
      <w:r>
        <w:rPr>
          <w:rStyle w:val="CharDivText"/>
        </w:rPr>
        <w:t> </w:t>
      </w:r>
      <w:r>
        <w:rPr>
          <w:rStyle w:val="CharPartText"/>
        </w:rPr>
        <w:t>Publicising disciplinary action</w:t>
      </w:r>
      <w:bookmarkEnd w:id="216"/>
      <w:bookmarkEnd w:id="217"/>
      <w:bookmarkEnd w:id="218"/>
      <w:bookmarkEnd w:id="219"/>
    </w:p>
    <w:p>
      <w:pPr>
        <w:pStyle w:val="Heading5"/>
      </w:pPr>
      <w:bookmarkStart w:id="220" w:name="_Toc476041098"/>
      <w:r>
        <w:rPr>
          <w:rStyle w:val="CharSectno"/>
        </w:rPr>
        <w:t>111</w:t>
      </w:r>
      <w:r>
        <w:t>.</w:t>
      </w:r>
      <w:r>
        <w:tab/>
        <w:t>Register of Disciplinary Action, content of (Act s. 452(2)(e))</w:t>
      </w:r>
      <w:bookmarkEnd w:id="220"/>
    </w:p>
    <w:p>
      <w:pPr>
        <w:pStyle w:val="Subsection"/>
      </w:pPr>
      <w:r>
        <w:tab/>
      </w:r>
      <w:r>
        <w:tab/>
        <w:t xml:space="preserve">For the purposes of section 452(2)(e) of the Act, the following are prescribed as particulars to be included in the Register of Disciplinary Action for a person against whom disciplinary action was taken — </w:t>
      </w:r>
    </w:p>
    <w:p>
      <w:pPr>
        <w:pStyle w:val="Indenta"/>
      </w:pPr>
      <w:r>
        <w:tab/>
        <w:t>(a)</w:t>
      </w:r>
      <w:r>
        <w:tab/>
        <w:t>the date and jurisdiction of the person’s first and each later admission to the legal profession;</w:t>
      </w:r>
    </w:p>
    <w:p>
      <w:pPr>
        <w:pStyle w:val="Indenta"/>
      </w:pPr>
      <w:r>
        <w:tab/>
        <w:t>(b)</w:t>
      </w:r>
      <w:r>
        <w:tab/>
        <w:t>the person’s date of birth.</w:t>
      </w:r>
    </w:p>
    <w:p>
      <w:pPr>
        <w:pStyle w:val="Heading2"/>
      </w:pPr>
      <w:bookmarkStart w:id="221" w:name="_Toc466893834"/>
      <w:bookmarkStart w:id="222" w:name="_Toc467498486"/>
      <w:bookmarkStart w:id="223" w:name="_Toc476040615"/>
      <w:bookmarkStart w:id="224" w:name="_Toc476041099"/>
      <w:r>
        <w:rPr>
          <w:rStyle w:val="CharPartNo"/>
        </w:rPr>
        <w:t>Part 12</w:t>
      </w:r>
      <w:r>
        <w:rPr>
          <w:rStyle w:val="CharDivNo"/>
        </w:rPr>
        <w:t> </w:t>
      </w:r>
      <w:r>
        <w:t>—</w:t>
      </w:r>
      <w:r>
        <w:rPr>
          <w:rStyle w:val="CharDivText"/>
        </w:rPr>
        <w:t> </w:t>
      </w:r>
      <w:r>
        <w:rPr>
          <w:rStyle w:val="CharPartText"/>
        </w:rPr>
        <w:t>Miscellaneous</w:t>
      </w:r>
      <w:bookmarkEnd w:id="221"/>
      <w:bookmarkEnd w:id="222"/>
      <w:bookmarkEnd w:id="223"/>
      <w:bookmarkEnd w:id="224"/>
    </w:p>
    <w:p>
      <w:pPr>
        <w:pStyle w:val="Heading5"/>
      </w:pPr>
      <w:bookmarkStart w:id="225" w:name="_Toc476041100"/>
      <w:r>
        <w:rPr>
          <w:rStyle w:val="CharSectno"/>
        </w:rPr>
        <w:t>112</w:t>
      </w:r>
      <w:r>
        <w:t>.</w:t>
      </w:r>
      <w:r>
        <w:tab/>
        <w:t>Approved forms, publication of</w:t>
      </w:r>
      <w:bookmarkEnd w:id="225"/>
    </w:p>
    <w:p>
      <w:pPr>
        <w:pStyle w:val="Subsection"/>
      </w:pPr>
      <w:r>
        <w:tab/>
      </w:r>
      <w:r>
        <w:tab/>
        <w:t xml:space="preserve">The Board — </w:t>
      </w:r>
    </w:p>
    <w:p>
      <w:pPr>
        <w:pStyle w:val="Indenta"/>
      </w:pPr>
      <w:r>
        <w:tab/>
        <w:t>(a)</w:t>
      </w:r>
      <w:r>
        <w:tab/>
        <w:t>must publish the current version of each approved form on its internet website; and</w:t>
      </w:r>
    </w:p>
    <w:p>
      <w:pPr>
        <w:pStyle w:val="Indenta"/>
      </w:pPr>
      <w:r>
        <w:tab/>
        <w:t>(b)</w:t>
      </w:r>
      <w:r>
        <w:tab/>
        <w:t>may publish an approved form in any other manner it thinks fit.</w:t>
      </w:r>
    </w:p>
    <w:p>
      <w:pPr>
        <w:pStyle w:val="Heading2"/>
      </w:pPr>
      <w:bookmarkStart w:id="226" w:name="_Toc466893836"/>
      <w:bookmarkStart w:id="227" w:name="_Toc467498488"/>
      <w:bookmarkStart w:id="228" w:name="_Toc476040617"/>
      <w:bookmarkStart w:id="229" w:name="_Toc476041101"/>
      <w:r>
        <w:rPr>
          <w:rStyle w:val="CharPartNo"/>
        </w:rPr>
        <w:t>Part 13</w:t>
      </w:r>
      <w:r>
        <w:t> — </w:t>
      </w:r>
      <w:r>
        <w:rPr>
          <w:rStyle w:val="CharPartText"/>
        </w:rPr>
        <w:t>Repeal and transitional provisions</w:t>
      </w:r>
      <w:bookmarkEnd w:id="226"/>
      <w:bookmarkEnd w:id="227"/>
      <w:bookmarkEnd w:id="228"/>
      <w:bookmarkEnd w:id="229"/>
    </w:p>
    <w:p>
      <w:pPr>
        <w:pStyle w:val="Heading3"/>
      </w:pPr>
      <w:bookmarkStart w:id="230" w:name="_Toc466893837"/>
      <w:bookmarkStart w:id="231" w:name="_Toc467498489"/>
      <w:bookmarkStart w:id="232" w:name="_Toc476040618"/>
      <w:bookmarkStart w:id="233" w:name="_Toc476041102"/>
      <w:r>
        <w:rPr>
          <w:rStyle w:val="CharDivNo"/>
        </w:rPr>
        <w:t>Division 1</w:t>
      </w:r>
      <w:r>
        <w:t> — </w:t>
      </w:r>
      <w:r>
        <w:rPr>
          <w:rStyle w:val="CharDivText"/>
        </w:rPr>
        <w:t>General</w:t>
      </w:r>
      <w:bookmarkEnd w:id="230"/>
      <w:bookmarkEnd w:id="231"/>
      <w:bookmarkEnd w:id="232"/>
      <w:bookmarkEnd w:id="233"/>
    </w:p>
    <w:p>
      <w:pPr>
        <w:pStyle w:val="Heading5"/>
      </w:pPr>
      <w:bookmarkStart w:id="234" w:name="_Toc476041103"/>
      <w:r>
        <w:rPr>
          <w:rStyle w:val="CharSectno"/>
        </w:rPr>
        <w:t>113</w:t>
      </w:r>
      <w:r>
        <w:t>.</w:t>
      </w:r>
      <w:r>
        <w:tab/>
        <w:t>Terms used</w:t>
      </w:r>
      <w:bookmarkEnd w:id="234"/>
    </w:p>
    <w:p>
      <w:pPr>
        <w:pStyle w:val="Subsection"/>
      </w:pPr>
      <w:r>
        <w:tab/>
      </w:r>
      <w:r>
        <w:tab/>
        <w:t xml:space="preserve">In this Part — </w:t>
      </w:r>
    </w:p>
    <w:p>
      <w:pPr>
        <w:pStyle w:val="Defstart"/>
      </w:pPr>
      <w:r>
        <w:tab/>
      </w:r>
      <w:r>
        <w:rPr>
          <w:rStyle w:val="CharDefText"/>
        </w:rPr>
        <w:t>2003 Act</w:t>
      </w:r>
      <w:r>
        <w:t xml:space="preserve"> means the </w:t>
      </w:r>
      <w:r>
        <w:rPr>
          <w:i/>
          <w:iCs/>
        </w:rPr>
        <w:t>Legal Practice Act 2003</w:t>
      </w:r>
      <w:r>
        <w:t>;</w:t>
      </w:r>
    </w:p>
    <w:p>
      <w:pPr>
        <w:pStyle w:val="Defstart"/>
      </w:pPr>
      <w:r>
        <w:tab/>
      </w:r>
      <w:r>
        <w:rPr>
          <w:rStyle w:val="CharDefText"/>
        </w:rPr>
        <w:t>2004 Rules</w:t>
      </w:r>
      <w:r>
        <w:t xml:space="preserve"> means the </w:t>
      </w:r>
      <w:r>
        <w:rPr>
          <w:i/>
        </w:rPr>
        <w:t>Legal Practice Board Rules 2004</w:t>
      </w:r>
      <w:r>
        <w:t xml:space="preserve">; </w:t>
      </w:r>
    </w:p>
    <w:p>
      <w:pPr>
        <w:pStyle w:val="Defstart"/>
      </w:pPr>
      <w:r>
        <w:tab/>
      </w:r>
      <w:r>
        <w:rPr>
          <w:rStyle w:val="CharDefText"/>
        </w:rPr>
        <w:t>2008 Act</w:t>
      </w:r>
      <w:r>
        <w:t xml:space="preserve"> means the </w:t>
      </w:r>
      <w:r>
        <w:rPr>
          <w:i/>
        </w:rPr>
        <w:t>Legal Profession Act 2008</w:t>
      </w:r>
      <w:r>
        <w:t>;</w:t>
      </w:r>
    </w:p>
    <w:p>
      <w:pPr>
        <w:pStyle w:val="Defstart"/>
      </w:pPr>
      <w:r>
        <w:tab/>
      </w:r>
      <w:r>
        <w:rPr>
          <w:rStyle w:val="CharDefText"/>
        </w:rPr>
        <w:t>commencement day</w:t>
      </w:r>
      <w:r>
        <w:t xml:space="preserve"> means the day on which the 2008 Act section 598 comes into operation.</w:t>
      </w:r>
    </w:p>
    <w:p>
      <w:pPr>
        <w:pStyle w:val="Heading3"/>
      </w:pPr>
      <w:bookmarkStart w:id="235" w:name="_Toc466893839"/>
      <w:bookmarkStart w:id="236" w:name="_Toc467498491"/>
      <w:bookmarkStart w:id="237" w:name="_Toc476040620"/>
      <w:bookmarkStart w:id="238" w:name="_Toc476041104"/>
      <w:r>
        <w:rPr>
          <w:rStyle w:val="CharDivNo"/>
        </w:rPr>
        <w:t>Division 2</w:t>
      </w:r>
      <w:r>
        <w:t> — </w:t>
      </w:r>
      <w:r>
        <w:rPr>
          <w:rStyle w:val="CharDivText"/>
        </w:rPr>
        <w:t>Repeals</w:t>
      </w:r>
      <w:bookmarkEnd w:id="235"/>
      <w:bookmarkEnd w:id="236"/>
      <w:bookmarkEnd w:id="237"/>
      <w:bookmarkEnd w:id="238"/>
    </w:p>
    <w:p>
      <w:pPr>
        <w:pStyle w:val="Heading5"/>
      </w:pPr>
      <w:bookmarkStart w:id="239" w:name="_Toc476041105"/>
      <w:r>
        <w:rPr>
          <w:rStyle w:val="CharSectno"/>
        </w:rPr>
        <w:t>114</w:t>
      </w:r>
      <w:r>
        <w:t>.</w:t>
      </w:r>
      <w:r>
        <w:tab/>
        <w:t>Repeals</w:t>
      </w:r>
      <w:bookmarkEnd w:id="239"/>
    </w:p>
    <w:p>
      <w:pPr>
        <w:pStyle w:val="Subsection"/>
      </w:pPr>
      <w:r>
        <w:tab/>
        <w:t>(1)</w:t>
      </w:r>
      <w:r>
        <w:tab/>
        <w:t xml:space="preserve">The </w:t>
      </w:r>
      <w:r>
        <w:rPr>
          <w:i/>
          <w:iCs/>
        </w:rPr>
        <w:t>Legal Practice Regulations 2005</w:t>
      </w:r>
      <w:r>
        <w:t xml:space="preserve"> are repealed.</w:t>
      </w:r>
    </w:p>
    <w:p>
      <w:pPr>
        <w:pStyle w:val="Subsection"/>
      </w:pPr>
      <w:r>
        <w:tab/>
        <w:t>(2)</w:t>
      </w:r>
      <w:r>
        <w:tab/>
        <w:t xml:space="preserve">The </w:t>
      </w:r>
      <w:r>
        <w:rPr>
          <w:i/>
        </w:rPr>
        <w:t>Legal Practice (Professional Indemnity Insurance) Regulations </w:t>
      </w:r>
      <w:r>
        <w:rPr>
          <w:i/>
          <w:iCs/>
        </w:rPr>
        <w:t>1995</w:t>
      </w:r>
      <w:r>
        <w:t xml:space="preserve"> are repealed.</w:t>
      </w:r>
    </w:p>
    <w:p>
      <w:pPr>
        <w:pStyle w:val="Heading3"/>
      </w:pPr>
      <w:bookmarkStart w:id="240" w:name="_Toc466893841"/>
      <w:bookmarkStart w:id="241" w:name="_Toc467498493"/>
      <w:bookmarkStart w:id="242" w:name="_Toc476040622"/>
      <w:bookmarkStart w:id="243" w:name="_Toc476041106"/>
      <w:r>
        <w:rPr>
          <w:rStyle w:val="CharDivNo"/>
        </w:rPr>
        <w:t>Division 3</w:t>
      </w:r>
      <w:r>
        <w:t> — </w:t>
      </w:r>
      <w:r>
        <w:rPr>
          <w:rStyle w:val="CharDivText"/>
        </w:rPr>
        <w:t>Professional indemnity insurance</w:t>
      </w:r>
      <w:bookmarkEnd w:id="240"/>
      <w:bookmarkEnd w:id="241"/>
      <w:bookmarkEnd w:id="242"/>
      <w:bookmarkEnd w:id="243"/>
    </w:p>
    <w:p>
      <w:pPr>
        <w:pStyle w:val="Heading5"/>
      </w:pPr>
      <w:bookmarkStart w:id="244" w:name="_Toc476041107"/>
      <w:r>
        <w:rPr>
          <w:rStyle w:val="CharSectno"/>
        </w:rPr>
        <w:t>115</w:t>
      </w:r>
      <w:r>
        <w:t>.</w:t>
      </w:r>
      <w:r>
        <w:tab/>
        <w:t>When insurance under previous arrangements has effect</w:t>
      </w:r>
      <w:bookmarkEnd w:id="244"/>
    </w:p>
    <w:p>
      <w:pPr>
        <w:pStyle w:val="Subsection"/>
      </w:pPr>
      <w:r>
        <w:tab/>
      </w:r>
      <w:r>
        <w:tab/>
        <w:t xml:space="preserve">Despite regulation 114(2) and Part 9 — </w:t>
      </w:r>
    </w:p>
    <w:p>
      <w:pPr>
        <w:pStyle w:val="Indenta"/>
      </w:pPr>
      <w:r>
        <w:tab/>
        <w:t>(a)</w:t>
      </w:r>
      <w:r>
        <w:tab/>
        <w:t xml:space="preserve">insurance taken out and maintained in accordance with arrangements made under the </w:t>
      </w:r>
      <w:r>
        <w:rPr>
          <w:i/>
          <w:iCs/>
        </w:rPr>
        <w:t>Legal Practitioners (Professional Indemnity Insurance) Regulations 1988</w:t>
      </w:r>
      <w:r>
        <w:t xml:space="preserve"> continues to have effect with respect to any matter or thing occurring before 1 July 1995; and</w:t>
      </w:r>
    </w:p>
    <w:p>
      <w:pPr>
        <w:pStyle w:val="Indenta"/>
      </w:pPr>
      <w:r>
        <w:tab/>
        <w:t>(b)</w:t>
      </w:r>
      <w:r>
        <w:tab/>
        <w:t xml:space="preserve">insurance taken out and maintained in accordance with arrangements made under the </w:t>
      </w:r>
      <w:r>
        <w:rPr>
          <w:i/>
          <w:iCs/>
        </w:rPr>
        <w:t>Legal Practice (Professional Indemnity Insurance) Regulations 1995</w:t>
      </w:r>
      <w:r>
        <w:t xml:space="preserve"> continues to have effect with respect to any matter or thing occurring before 1 July 2009.</w:t>
      </w:r>
    </w:p>
    <w:p>
      <w:pPr>
        <w:pStyle w:val="Heading5"/>
      </w:pPr>
      <w:bookmarkStart w:id="245" w:name="_Toc476041108"/>
      <w:r>
        <w:rPr>
          <w:rStyle w:val="CharSectno"/>
        </w:rPr>
        <w:t>116</w:t>
      </w:r>
      <w:r>
        <w:t>.</w:t>
      </w:r>
      <w:r>
        <w:tab/>
        <w:t>Recovery of payments</w:t>
      </w:r>
      <w:bookmarkEnd w:id="245"/>
    </w:p>
    <w:p>
      <w:pPr>
        <w:pStyle w:val="Subsection"/>
      </w:pPr>
      <w:r>
        <w:tab/>
      </w:r>
      <w:r>
        <w:tab/>
        <w:t xml:space="preserve">Without limiting the operation of the </w:t>
      </w:r>
      <w:r>
        <w:rPr>
          <w:i/>
          <w:iCs/>
        </w:rPr>
        <w:t xml:space="preserve">Interpretation Act 1984 </w:t>
      </w:r>
      <w:r>
        <w:t xml:space="preserve">sections 36 and 37, regulation 114(2) does not affect the power of the Law Society under the </w:t>
      </w:r>
      <w:r>
        <w:rPr>
          <w:i/>
          <w:iCs/>
        </w:rPr>
        <w:t xml:space="preserve">Legal Practice (Professional Indemnity Insurance) Regulations 1995 </w:t>
      </w:r>
      <w:r>
        <w:t>regulation 18 to demand payment of, and recover, any moneys payable under those regulations.</w:t>
      </w:r>
    </w:p>
    <w:p>
      <w:pPr>
        <w:pStyle w:val="Heading3"/>
      </w:pPr>
      <w:bookmarkStart w:id="246" w:name="_Toc466893844"/>
      <w:bookmarkStart w:id="247" w:name="_Toc467498496"/>
      <w:bookmarkStart w:id="248" w:name="_Toc476040625"/>
      <w:bookmarkStart w:id="249" w:name="_Toc476041109"/>
      <w:r>
        <w:rPr>
          <w:rStyle w:val="CharDivNo"/>
        </w:rPr>
        <w:t>Division 4</w:t>
      </w:r>
      <w:r>
        <w:t> — </w:t>
      </w:r>
      <w:r>
        <w:rPr>
          <w:rStyle w:val="CharDivText"/>
        </w:rPr>
        <w:t>Admission of local lawyers</w:t>
      </w:r>
      <w:bookmarkEnd w:id="246"/>
      <w:bookmarkEnd w:id="247"/>
      <w:bookmarkEnd w:id="248"/>
      <w:bookmarkEnd w:id="249"/>
    </w:p>
    <w:p>
      <w:pPr>
        <w:pStyle w:val="Heading5"/>
      </w:pPr>
      <w:bookmarkStart w:id="250" w:name="_Toc476041110"/>
      <w:r>
        <w:rPr>
          <w:rStyle w:val="CharSectno"/>
        </w:rPr>
        <w:t>117</w:t>
      </w:r>
      <w:r>
        <w:t>.</w:t>
      </w:r>
      <w:r>
        <w:tab/>
        <w:t>Notices of intention to apply for admission not dealt with at 1 Mar 2009</w:t>
      </w:r>
      <w:bookmarkEnd w:id="250"/>
    </w:p>
    <w:p>
      <w:pPr>
        <w:pStyle w:val="Subsection"/>
      </w:pPr>
      <w:r>
        <w:tab/>
        <w:t>(1)</w:t>
      </w:r>
      <w:r>
        <w:tab/>
        <w:t xml:space="preserve">In this regulation — </w:t>
      </w:r>
    </w:p>
    <w:p>
      <w:pPr>
        <w:pStyle w:val="Defstart"/>
      </w:pPr>
      <w:r>
        <w:tab/>
      </w:r>
      <w:r>
        <w:rPr>
          <w:rStyle w:val="CharDefText"/>
        </w:rPr>
        <w:t>existing notice of intention</w:t>
      </w:r>
      <w:r>
        <w:t xml:space="preserve"> means a notice of intention to apply for admission given to the Board under the 2004 Rules rule 36 before the commencement day that have not been dealt with by the Board before that day.</w:t>
      </w:r>
    </w:p>
    <w:p>
      <w:pPr>
        <w:pStyle w:val="Subsection"/>
      </w:pPr>
      <w:r>
        <w:tab/>
        <w:t>(2)</w:t>
      </w:r>
      <w:r>
        <w:tab/>
        <w:t>For the purpose of the 2008 Act Part 4 Division 4 an existing notice of intention is to be taken to be an application to be admitted to the legal profession made under the 2008 Act section 25.</w:t>
      </w:r>
    </w:p>
    <w:p>
      <w:pPr>
        <w:pStyle w:val="Subsection"/>
      </w:pPr>
      <w:r>
        <w:tab/>
        <w:t>(3)</w:t>
      </w:r>
      <w:r>
        <w:tab/>
        <w:t xml:space="preserve">In relation to an existing notice of intention — </w:t>
      </w:r>
    </w:p>
    <w:p>
      <w:pPr>
        <w:pStyle w:val="Indenta"/>
      </w:pPr>
      <w:r>
        <w:tab/>
        <w:t>(a)</w:t>
      </w:r>
      <w:r>
        <w:tab/>
        <w:t>a reference in the 2008 Act Part 4 Division 4 to a person being eligible for admission is to be taken to be a reference to the person being eligible for admission under the 2003 Act; and</w:t>
      </w:r>
    </w:p>
    <w:p>
      <w:pPr>
        <w:pStyle w:val="Indenta"/>
      </w:pPr>
      <w:r>
        <w:tab/>
        <w:t>(b)</w:t>
      </w:r>
      <w:r>
        <w:tab/>
        <w:t>a reference in the 2008 Act Part 4 Division 4 to an application being in accordance with the admission rules is to be taken to be a reference to the application being in accordance with the 2003 Act Part 4 and the 2004 Rules.</w:t>
      </w:r>
    </w:p>
    <w:p>
      <w:pPr>
        <w:pStyle w:val="Subsection"/>
        <w:keepNext/>
        <w:keepLines/>
      </w:pPr>
      <w:r>
        <w:tab/>
        <w:t>(4)</w:t>
      </w:r>
      <w:r>
        <w:tab/>
        <w:t xml:space="preserve">If — </w:t>
      </w:r>
    </w:p>
    <w:p>
      <w:pPr>
        <w:pStyle w:val="Indenta"/>
      </w:pPr>
      <w:r>
        <w:tab/>
        <w:t>(a)</w:t>
      </w:r>
      <w:r>
        <w:tab/>
        <w:t>after considering a person’s existing notice of intention the Board files a compliance certificate under the 2008 Act section 31; and</w:t>
      </w:r>
    </w:p>
    <w:p>
      <w:pPr>
        <w:pStyle w:val="Indenta"/>
        <w:keepNext/>
      </w:pPr>
      <w:r>
        <w:tab/>
        <w:t>(b)</w:t>
      </w:r>
      <w:r>
        <w:tab/>
        <w:t xml:space="preserve">within 30 days after the certificate is filed the person applies to the Court under the 2008 Act to be admitted to the legal profession, </w:t>
      </w:r>
    </w:p>
    <w:p>
      <w:pPr>
        <w:pStyle w:val="Subsection"/>
      </w:pPr>
      <w:r>
        <w:tab/>
      </w:r>
      <w:r>
        <w:tab/>
        <w:t>the person may be admitted as a lawyer under the 2008 Act if the applicant could have been admitted as a legal practitioner under the 2003 Act if this Act had not been enacted, and the admission requirements of the 2008 Act are taken to have been satisfied in relation to the applicant.</w:t>
      </w:r>
    </w:p>
    <w:p>
      <w:pPr>
        <w:pStyle w:val="Heading5"/>
      </w:pPr>
      <w:bookmarkStart w:id="251" w:name="_Toc476041111"/>
      <w:r>
        <w:rPr>
          <w:rStyle w:val="CharSectno"/>
        </w:rPr>
        <w:t>118</w:t>
      </w:r>
      <w:r>
        <w:t>.</w:t>
      </w:r>
      <w:r>
        <w:tab/>
        <w:t>Some applicants for admission may rely on certificate issued before 1 Mar 2009</w:t>
      </w:r>
      <w:bookmarkEnd w:id="251"/>
    </w:p>
    <w:p>
      <w:pPr>
        <w:pStyle w:val="Subsection"/>
      </w:pPr>
      <w:r>
        <w:tab/>
      </w:r>
      <w:r>
        <w:tab/>
        <w:t xml:space="preserve">If — </w:t>
      </w:r>
    </w:p>
    <w:p>
      <w:pPr>
        <w:pStyle w:val="Indenta"/>
      </w:pPr>
      <w:r>
        <w:tab/>
        <w:t>(a)</w:t>
      </w:r>
      <w:r>
        <w:tab/>
        <w:t>before the commencement day the Board issued a certificate under the 2003 Act section 28(1)(c) to a person; and</w:t>
      </w:r>
    </w:p>
    <w:p>
      <w:pPr>
        <w:pStyle w:val="Indenta"/>
      </w:pPr>
      <w:r>
        <w:tab/>
        <w:t>(b)</w:t>
      </w:r>
      <w:r>
        <w:tab/>
        <w:t>as at the commencement day the person had not applied to the Court under the 2003 Act to be admitted as a legal practitioner; and</w:t>
      </w:r>
    </w:p>
    <w:p>
      <w:pPr>
        <w:pStyle w:val="Indenta"/>
      </w:pPr>
      <w:r>
        <w:tab/>
        <w:t>(c)</w:t>
      </w:r>
      <w:r>
        <w:tab/>
        <w:t xml:space="preserve">within 30 days after the commencement day the person applies to the Court under the 2008 Act to be admitted to the legal profession, </w:t>
      </w:r>
    </w:p>
    <w:p>
      <w:pPr>
        <w:pStyle w:val="Subsection"/>
      </w:pPr>
      <w:r>
        <w:tab/>
      </w:r>
      <w:r>
        <w:tab/>
        <w:t>the person may be admitted as a lawyer under the 2008 Act if the applicant could have been admitted as a legal practitioner under the 2003 Act if this Act had not been enacted, and the admission requirements of the 2008 Act are taken to have been satisfied in relation to the applicant.</w:t>
      </w:r>
    </w:p>
    <w:p>
      <w:pPr>
        <w:pStyle w:val="Heading5"/>
      </w:pPr>
      <w:bookmarkStart w:id="252" w:name="_Toc476041112"/>
      <w:r>
        <w:rPr>
          <w:rStyle w:val="CharSectno"/>
        </w:rPr>
        <w:t>119</w:t>
      </w:r>
      <w:r>
        <w:t>.</w:t>
      </w:r>
      <w:r>
        <w:tab/>
        <w:t>Application for admission referred to in r. 117 and 118, public notice of</w:t>
      </w:r>
      <w:bookmarkEnd w:id="252"/>
    </w:p>
    <w:p>
      <w:pPr>
        <w:pStyle w:val="Subsection"/>
      </w:pPr>
      <w:r>
        <w:tab/>
      </w:r>
      <w:r>
        <w:tab/>
        <w:t>Despite the repeal of the 2004 Rules, a person intending to make an application referred to in regulation 117(4)(b) or 118(c) must comply with the 2004 Rules rule 38 as in force immediately before the commencement day.</w:t>
      </w:r>
    </w:p>
    <w:p>
      <w:pPr>
        <w:pStyle w:val="Heading3"/>
      </w:pPr>
      <w:bookmarkStart w:id="253" w:name="_Toc466893848"/>
      <w:bookmarkStart w:id="254" w:name="_Toc467498500"/>
      <w:bookmarkStart w:id="255" w:name="_Toc476040629"/>
      <w:bookmarkStart w:id="256" w:name="_Toc476041113"/>
      <w:r>
        <w:rPr>
          <w:rStyle w:val="CharDivNo"/>
        </w:rPr>
        <w:t>Division 5</w:t>
      </w:r>
      <w:r>
        <w:t> — </w:t>
      </w:r>
      <w:r>
        <w:rPr>
          <w:rStyle w:val="CharDivText"/>
        </w:rPr>
        <w:t>Trust money and trust accounts</w:t>
      </w:r>
      <w:bookmarkEnd w:id="253"/>
      <w:bookmarkEnd w:id="254"/>
      <w:bookmarkEnd w:id="255"/>
      <w:bookmarkEnd w:id="256"/>
    </w:p>
    <w:p>
      <w:pPr>
        <w:pStyle w:val="Heading5"/>
      </w:pPr>
      <w:bookmarkStart w:id="257" w:name="_Toc476041114"/>
      <w:r>
        <w:rPr>
          <w:rStyle w:val="CharSectno"/>
        </w:rPr>
        <w:t>120</w:t>
      </w:r>
      <w:r>
        <w:t>.</w:t>
      </w:r>
      <w:r>
        <w:tab/>
        <w:t>2003 Act Part 10, operation of continued to 30 Jun 2009</w:t>
      </w:r>
      <w:bookmarkEnd w:id="257"/>
    </w:p>
    <w:p>
      <w:pPr>
        <w:pStyle w:val="Subsection"/>
      </w:pPr>
      <w:r>
        <w:tab/>
        <w:t>(1)</w:t>
      </w:r>
      <w:r>
        <w:tab/>
        <w:t xml:space="preserve">In this regulation — </w:t>
      </w:r>
    </w:p>
    <w:p>
      <w:pPr>
        <w:pStyle w:val="Defstart"/>
      </w:pPr>
      <w:r>
        <w:tab/>
      </w:r>
      <w:r>
        <w:rPr>
          <w:rStyle w:val="CharDefText"/>
        </w:rPr>
        <w:t>relevant period</w:t>
      </w:r>
      <w:r>
        <w:t xml:space="preserve"> means the period starting on the commencement day and ending on 30 June 2009.</w:t>
      </w:r>
    </w:p>
    <w:p>
      <w:pPr>
        <w:pStyle w:val="Subsection"/>
      </w:pPr>
      <w:r>
        <w:tab/>
        <w:t>(2)</w:t>
      </w:r>
      <w:r>
        <w:tab/>
        <w:t>Despite Part 9 of the 2008 Act and the repeal of the 2003 Act, a law practice to which Part 9 of the 2008 Act applies may keep and deal with trust money and keep records of the trust money in accordance with Part 10 of the 2003 Act for the relevant period as if the trust money were trust moneys under the 2003 Act.</w:t>
      </w:r>
    </w:p>
    <w:p>
      <w:pPr>
        <w:pStyle w:val="Subsection"/>
      </w:pPr>
      <w:r>
        <w:tab/>
        <w:t>(3)</w:t>
      </w:r>
      <w:r>
        <w:tab/>
        <w:t xml:space="preserve">If a law practice complies with the provisions of Part 10 of the 2003 Act during the relevant period, the law practice is taken to have complied with Part 9 of the 2008 Act in relation to the provisions of that Part about keeping and dealing with trust money or keeping records of the trust money during that period. </w:t>
      </w:r>
    </w:p>
    <w:p>
      <w:pPr>
        <w:pStyle w:val="Heading3"/>
      </w:pPr>
      <w:bookmarkStart w:id="258" w:name="_Toc466893850"/>
      <w:bookmarkStart w:id="259" w:name="_Toc467498502"/>
      <w:bookmarkStart w:id="260" w:name="_Toc476040631"/>
      <w:bookmarkStart w:id="261" w:name="_Toc476041115"/>
      <w:r>
        <w:rPr>
          <w:rStyle w:val="CharDivNo"/>
        </w:rPr>
        <w:t>Division 6</w:t>
      </w:r>
      <w:r>
        <w:t> — </w:t>
      </w:r>
      <w:r>
        <w:rPr>
          <w:rStyle w:val="CharDivText"/>
        </w:rPr>
        <w:t>Costs disclosure and agreements</w:t>
      </w:r>
      <w:bookmarkEnd w:id="258"/>
      <w:bookmarkEnd w:id="259"/>
      <w:bookmarkEnd w:id="260"/>
      <w:bookmarkEnd w:id="261"/>
    </w:p>
    <w:p>
      <w:pPr>
        <w:pStyle w:val="Heading5"/>
      </w:pPr>
      <w:bookmarkStart w:id="262" w:name="_Toc476041116"/>
      <w:r>
        <w:rPr>
          <w:rStyle w:val="CharSectno"/>
        </w:rPr>
        <w:t>121</w:t>
      </w:r>
      <w:r>
        <w:t>.</w:t>
      </w:r>
      <w:r>
        <w:tab/>
        <w:t>Term used: relevant period</w:t>
      </w:r>
      <w:bookmarkEnd w:id="262"/>
    </w:p>
    <w:p>
      <w:pPr>
        <w:pStyle w:val="Subsection"/>
      </w:pPr>
      <w:r>
        <w:tab/>
      </w:r>
      <w:r>
        <w:tab/>
        <w:t xml:space="preserve">In this Division — </w:t>
      </w:r>
    </w:p>
    <w:p>
      <w:pPr>
        <w:pStyle w:val="Defstart"/>
      </w:pPr>
      <w:r>
        <w:tab/>
      </w:r>
      <w:r>
        <w:rPr>
          <w:rStyle w:val="CharDefText"/>
        </w:rPr>
        <w:t>relevant period</w:t>
      </w:r>
      <w:r>
        <w:t xml:space="preserve"> means the period starting on the commencement day and ending on 30 June 2009.</w:t>
      </w:r>
    </w:p>
    <w:p>
      <w:pPr>
        <w:pStyle w:val="Footnotesection"/>
      </w:pPr>
      <w:r>
        <w:tab/>
        <w:t>[Regulation 121 amended in Gazette 27 Feb 2009 p. 655.]</w:t>
      </w:r>
    </w:p>
    <w:p>
      <w:pPr>
        <w:pStyle w:val="Heading5"/>
      </w:pPr>
      <w:bookmarkStart w:id="263" w:name="_Toc476041117"/>
      <w:r>
        <w:rPr>
          <w:rStyle w:val="CharSectno"/>
        </w:rPr>
        <w:t>122</w:t>
      </w:r>
      <w:r>
        <w:t>.</w:t>
      </w:r>
      <w:r>
        <w:tab/>
        <w:t>Costs disclosure under Act s. 260, 261 and 264, when required for matter in relevant period</w:t>
      </w:r>
      <w:bookmarkEnd w:id="263"/>
    </w:p>
    <w:p>
      <w:pPr>
        <w:pStyle w:val="Subsection"/>
      </w:pPr>
      <w:r>
        <w:tab/>
        <w:t>(1)</w:t>
      </w:r>
      <w:r>
        <w:tab/>
        <w:t>Except as provided in subregulation (4), a law practice is not required to make a disclosure under section 260 or 261 of the 2008 Act in relation to a matter for which the law practice is retained during the relevant period.</w:t>
      </w:r>
    </w:p>
    <w:p>
      <w:pPr>
        <w:pStyle w:val="Subsection"/>
      </w:pPr>
      <w:r>
        <w:tab/>
        <w:t>(2)</w:t>
      </w:r>
      <w:r>
        <w:tab/>
        <w:t>Except as provided in subregulation (4), a law practice is not required to make a disclosure under section 264 of the 2008 Act in relation to a settlement that is executed during the relevant period.</w:t>
      </w:r>
    </w:p>
    <w:p>
      <w:pPr>
        <w:pStyle w:val="Subsection"/>
      </w:pPr>
      <w:r>
        <w:tab/>
        <w:t>(3)</w:t>
      </w:r>
      <w:r>
        <w:tab/>
        <w:t>Section 268 of the 2008 Act does not apply in relation to legal costs that are not required to be disclosed by reason of subregulation (1) or (2).</w:t>
      </w:r>
    </w:p>
    <w:p>
      <w:pPr>
        <w:pStyle w:val="Subsection"/>
      </w:pPr>
      <w:r>
        <w:tab/>
        <w:t>(4)</w:t>
      </w:r>
      <w:r>
        <w:tab/>
        <w:t>A law practice must make the costs disclosures required to be made to a client or associated third party payer for the client under Part 10 Division 3 of the 2008 Act if the law practice and the client make a costs agreement under Part 10 Division 6 of the 2008 Act in relation to those costs during the relevant period.</w:t>
      </w:r>
    </w:p>
    <w:p>
      <w:pPr>
        <w:pStyle w:val="Footnotesection"/>
      </w:pPr>
      <w:r>
        <w:tab/>
        <w:t>[Regulation 122 inserted in Gazette 27 Feb 2009 p. 656.]</w:t>
      </w:r>
    </w:p>
    <w:p>
      <w:pPr>
        <w:pStyle w:val="Heading5"/>
      </w:pPr>
      <w:bookmarkStart w:id="264" w:name="_Toc476041118"/>
      <w:r>
        <w:rPr>
          <w:rStyle w:val="CharSectno"/>
        </w:rPr>
        <w:t>123A</w:t>
      </w:r>
      <w:r>
        <w:t>.</w:t>
      </w:r>
      <w:r>
        <w:tab/>
        <w:t>Costs agreements under 2003 Act s. 221 may be made in relevant period</w:t>
      </w:r>
      <w:bookmarkEnd w:id="264"/>
    </w:p>
    <w:p>
      <w:pPr>
        <w:pStyle w:val="Subsection"/>
      </w:pPr>
      <w:r>
        <w:tab/>
        <w:t>(1)</w:t>
      </w:r>
      <w:r>
        <w:tab/>
        <w:t>Despite Part 10 of the 2008 Act and the repeal of Part 13 Division 2 of the 2003 Act, a law practice to which Part 10 of the 2008 Act applies may, during the relevant period, make a costs agreement under section 221 of the 2003 Act as if that section had not been repealed.</w:t>
      </w:r>
    </w:p>
    <w:p>
      <w:pPr>
        <w:pStyle w:val="Subsection"/>
      </w:pPr>
      <w:r>
        <w:tab/>
        <w:t>(2)</w:t>
      </w:r>
      <w:r>
        <w:tab/>
        <w:t>If a costs agreement is made as referred to in subregulation (1) between a client and a law practice during the relevant period —</w:t>
      </w:r>
    </w:p>
    <w:p>
      <w:pPr>
        <w:pStyle w:val="Indenta"/>
      </w:pPr>
      <w:r>
        <w:tab/>
        <w:t>(a)</w:t>
      </w:r>
      <w:r>
        <w:tab/>
        <w:t>Part 13 Division 2 of the 2003 Act applies to and in relation to the agreement as if that Division had not been repealed; and</w:t>
      </w:r>
    </w:p>
    <w:p>
      <w:pPr>
        <w:pStyle w:val="Indenta"/>
      </w:pPr>
      <w:r>
        <w:tab/>
        <w:t>(b)</w:t>
      </w:r>
      <w:r>
        <w:tab/>
        <w:t>Part 13 Division 3 of the 2003 Act applies to and in relation to the taxation and recovery of the legal costs the subject of the agreement as if that Division had not been repealed; and</w:t>
      </w:r>
    </w:p>
    <w:p>
      <w:pPr>
        <w:pStyle w:val="Indenta"/>
      </w:pPr>
      <w:r>
        <w:tab/>
        <w:t>(c)</w:t>
      </w:r>
      <w:r>
        <w:tab/>
        <w:t>section 273 of the 2008 Act does not apply to legal costs the subject of the agreement; and</w:t>
      </w:r>
    </w:p>
    <w:p>
      <w:pPr>
        <w:pStyle w:val="Indenta"/>
      </w:pPr>
      <w:r>
        <w:tab/>
        <w:t>(d)</w:t>
      </w:r>
      <w:r>
        <w:tab/>
        <w:t>Part 10 Division 6 of the 2008 Act does not apply to the agreement or the law practice in relation to the client for the matter the subject of the agreement; and</w:t>
      </w:r>
    </w:p>
    <w:p>
      <w:pPr>
        <w:pStyle w:val="Indenta"/>
      </w:pPr>
      <w:r>
        <w:tab/>
        <w:t>(e)</w:t>
      </w:r>
      <w:r>
        <w:tab/>
        <w:t>Part 10 Division 7 of the 2008 Act does not apply to bills for legal costs the subject of the agreement or the recovery of those legal costs; and</w:t>
      </w:r>
    </w:p>
    <w:p>
      <w:pPr>
        <w:pStyle w:val="Indenta"/>
      </w:pPr>
      <w:r>
        <w:tab/>
        <w:t>(f)</w:t>
      </w:r>
      <w:r>
        <w:tab/>
        <w:t>Part 10 Division 8 of 2008 Act does not apply to the assessment of legal costs the subject of the agreement.</w:t>
      </w:r>
    </w:p>
    <w:p>
      <w:pPr>
        <w:pStyle w:val="Footnotesection"/>
      </w:pPr>
      <w:r>
        <w:tab/>
        <w:t>[Regulation 123A inserted in Gazette 27 Feb 2009 p. 656</w:t>
      </w:r>
      <w:r>
        <w:noBreakHyphen/>
        <w:t>7.]</w:t>
      </w:r>
    </w:p>
    <w:p>
      <w:pPr>
        <w:pStyle w:val="Heading3"/>
      </w:pPr>
      <w:bookmarkStart w:id="265" w:name="_Toc466893854"/>
      <w:bookmarkStart w:id="266" w:name="_Toc467498506"/>
      <w:bookmarkStart w:id="267" w:name="_Toc476040635"/>
      <w:bookmarkStart w:id="268" w:name="_Toc476041119"/>
      <w:r>
        <w:rPr>
          <w:rStyle w:val="CharDivNo"/>
        </w:rPr>
        <w:t>Division 7</w:t>
      </w:r>
      <w:r>
        <w:t> — </w:t>
      </w:r>
      <w:r>
        <w:rPr>
          <w:rStyle w:val="CharDivText"/>
        </w:rPr>
        <w:t>Interstate legal practitioners</w:t>
      </w:r>
      <w:bookmarkEnd w:id="265"/>
      <w:bookmarkEnd w:id="266"/>
      <w:bookmarkEnd w:id="267"/>
      <w:bookmarkEnd w:id="268"/>
    </w:p>
    <w:p>
      <w:pPr>
        <w:pStyle w:val="Heading5"/>
      </w:pPr>
      <w:bookmarkStart w:id="269" w:name="_Toc476041120"/>
      <w:r>
        <w:rPr>
          <w:rStyle w:val="CharSectno"/>
        </w:rPr>
        <w:t>123</w:t>
      </w:r>
      <w:r>
        <w:t>.</w:t>
      </w:r>
      <w:r>
        <w:tab/>
        <w:t>Supervised legal practice before 1 Mar 2009 etc. equates to required experience (Act s. 72)</w:t>
      </w:r>
      <w:bookmarkEnd w:id="269"/>
    </w:p>
    <w:p>
      <w:pPr>
        <w:pStyle w:val="Subsection"/>
      </w:pPr>
      <w:r>
        <w:tab/>
        <w:t>(1)</w:t>
      </w:r>
      <w:r>
        <w:tab/>
        <w:t>An interstate legal practitioner who immediately before the commencement day had completed supervised legal practice under a corresponding law is taken to have the required experience for the purposes of section 72 of the Act.</w:t>
      </w:r>
    </w:p>
    <w:p>
      <w:pPr>
        <w:pStyle w:val="Subsection"/>
      </w:pPr>
      <w:r>
        <w:tab/>
        <w:t>(2)</w:t>
      </w:r>
      <w:r>
        <w:tab/>
        <w:t xml:space="preserve">An interstate legal practitioner who — </w:t>
      </w:r>
    </w:p>
    <w:p>
      <w:pPr>
        <w:pStyle w:val="Indenta"/>
      </w:pPr>
      <w:r>
        <w:tab/>
        <w:t>(a)</w:t>
      </w:r>
      <w:r>
        <w:tab/>
        <w:t>before the commencement day commenced a term of supervised legal practice under a corresponding law; and</w:t>
      </w:r>
    </w:p>
    <w:p>
      <w:pPr>
        <w:pStyle w:val="Indenta"/>
      </w:pPr>
      <w:r>
        <w:tab/>
        <w:t>(b)</w:t>
      </w:r>
      <w:r>
        <w:tab/>
        <w:t>completes the term of supervised legal practice under a corresponding law on or after the commencement day,</w:t>
      </w:r>
    </w:p>
    <w:p>
      <w:pPr>
        <w:pStyle w:val="Subsection"/>
      </w:pPr>
      <w:r>
        <w:tab/>
      </w:r>
      <w:r>
        <w:tab/>
        <w:t>is taken to have the required experience for the purposes of section 72 of the Act.</w:t>
      </w:r>
    </w:p>
    <w:p>
      <w:pPr>
        <w:sectPr>
          <w:headerReference w:type="even" r:id="rId23"/>
          <w:headerReference w:type="default" r:id="rId24"/>
          <w:footerReference w:type="even" r:id="rId25"/>
          <w:headerReference w:type="first" r:id="rId26"/>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outlineLvl w:val="0"/>
      </w:pPr>
      <w:bookmarkStart w:id="270" w:name="_Toc466893856"/>
      <w:bookmarkStart w:id="271" w:name="_Toc467498508"/>
      <w:bookmarkStart w:id="272" w:name="_Toc476040637"/>
      <w:bookmarkStart w:id="273" w:name="_Toc476041121"/>
      <w:r>
        <w:rPr>
          <w:rStyle w:val="CharSchNo"/>
        </w:rPr>
        <w:t>Schedule 1</w:t>
      </w:r>
      <w:r>
        <w:t> —</w:t>
      </w:r>
      <w:r>
        <w:rPr>
          <w:rStyle w:val="CharSDivText"/>
        </w:rPr>
        <w:t> </w:t>
      </w:r>
      <w:r>
        <w:rPr>
          <w:rStyle w:val="CharSchText"/>
        </w:rPr>
        <w:t>Forms</w:t>
      </w:r>
      <w:bookmarkEnd w:id="270"/>
      <w:bookmarkEnd w:id="271"/>
      <w:bookmarkEnd w:id="272"/>
      <w:bookmarkEnd w:id="273"/>
    </w:p>
    <w:p>
      <w:pPr>
        <w:pStyle w:val="yMiscellaneousHeading"/>
        <w:rPr>
          <w:b/>
        </w:rPr>
      </w:pPr>
      <w:r>
        <w:rPr>
          <w:rStyle w:val="CharSDivNo"/>
          <w:b/>
        </w:rPr>
        <w:t>Form 1</w:t>
      </w:r>
    </w:p>
    <w:p>
      <w:pPr>
        <w:pStyle w:val="yMiscellaneousHeading"/>
        <w:rPr>
          <w:b/>
          <w:bCs/>
        </w:rPr>
      </w:pPr>
      <w:r>
        <w:rPr>
          <w:b/>
          <w:bCs/>
        </w:rPr>
        <w:t>Statutory declaration to be lodged by law practice</w:t>
      </w:r>
      <w:r>
        <w:rPr>
          <w:b/>
          <w:bCs/>
        </w:rPr>
        <w:br/>
        <w:t>that ceases to hold trust money</w:t>
      </w:r>
    </w:p>
    <w:p>
      <w:pPr>
        <w:pStyle w:val="yShoulderClause"/>
      </w:pPr>
      <w:r>
        <w:t>[r. 71]</w:t>
      </w:r>
    </w:p>
    <w:p>
      <w:pPr>
        <w:pStyle w:val="yMiscellaneousHeading"/>
      </w:pPr>
      <w:r>
        <w:rPr>
          <w:i/>
          <w:iCs/>
        </w:rPr>
        <w:t>Legal Profession Act 2008</w:t>
      </w:r>
      <w:r>
        <w:t xml:space="preserve"> section 239(3)(b)</w:t>
      </w:r>
    </w:p>
    <w:p>
      <w:pPr>
        <w:pStyle w:val="yMiscellaneousBody"/>
        <w:outlineLvl w:val="0"/>
      </w:pPr>
      <w:r>
        <w:t xml:space="preserve">I, </w:t>
      </w:r>
    </w:p>
    <w:p>
      <w:pPr>
        <w:pStyle w:val="yMiscellaneousBody"/>
      </w:pPr>
      <w:r>
        <w:t>[</w:t>
      </w:r>
      <w:r>
        <w:rPr>
          <w:i/>
          <w:iCs/>
        </w:rPr>
        <w:t>name, address and occupation of person making the declaration</w:t>
      </w:r>
      <w:r>
        <w:t>]</w:t>
      </w:r>
    </w:p>
    <w:p>
      <w:pPr>
        <w:pStyle w:val="yMiscellaneousBody"/>
      </w:pPr>
      <w:r>
        <w:t xml:space="preserve">sincerely declare as follows — </w:t>
      </w:r>
    </w:p>
    <w:p>
      <w:pPr>
        <w:pStyle w:val="yMiscellaneousBody"/>
        <w:tabs>
          <w:tab w:val="left" w:pos="709"/>
        </w:tabs>
        <w:ind w:left="709" w:hanging="283"/>
      </w:pPr>
      <w:r>
        <w:t>1.</w:t>
      </w:r>
      <w:r>
        <w:tab/>
        <w:t>I am or was a principal of a law practice that on [</w:t>
      </w:r>
      <w:r>
        <w:rPr>
          <w:i/>
          <w:iCs/>
        </w:rPr>
        <w:t>insert date</w:t>
      </w:r>
      <w:r>
        <w:t>] ceased to be authorised to receive trust money/ceased to be engaged in legal practice in this jurisdiction.</w:t>
      </w:r>
    </w:p>
    <w:p>
      <w:pPr>
        <w:pStyle w:val="yMiscellaneousBody"/>
        <w:tabs>
          <w:tab w:val="left" w:pos="709"/>
        </w:tabs>
        <w:ind w:left="709" w:hanging="283"/>
      </w:pPr>
      <w:r>
        <w:t>2.</w:t>
      </w:r>
      <w:r>
        <w:tab/>
        <w:t xml:space="preserve">The law practice does not now hold any trust money, all such trust money having been applied in accordance with the </w:t>
      </w:r>
      <w:r>
        <w:rPr>
          <w:i/>
          <w:iCs/>
        </w:rPr>
        <w:t>Legal Profession Act 2008</w:t>
      </w:r>
      <w:r>
        <w:t>.</w:t>
      </w:r>
    </w:p>
    <w:p>
      <w:pPr>
        <w:pStyle w:val="yMiscellaneousBody"/>
      </w:pPr>
      <w:r>
        <w:t>This declaration is true and I know that it is an offence to make a declaration knowing that it is false in a material particular.</w:t>
      </w:r>
    </w:p>
    <w:p>
      <w:pPr>
        <w:pStyle w:val="yMiscellaneousBody"/>
      </w:pPr>
      <w:r>
        <w:t xml:space="preserve">This declaration is made under the </w:t>
      </w:r>
      <w:r>
        <w:rPr>
          <w:i/>
          <w:iCs/>
        </w:rPr>
        <w:t>Oaths, Affidavits and Statutory Declarations Act 2005</w:t>
      </w:r>
      <w:r>
        <w:t xml:space="preserve"> at [</w:t>
      </w:r>
      <w:r>
        <w:rPr>
          <w:i/>
          <w:iCs/>
        </w:rPr>
        <w:t>place</w:t>
      </w:r>
      <w:r>
        <w:t>] on [</w:t>
      </w:r>
      <w:r>
        <w:rPr>
          <w:i/>
          <w:iCs/>
        </w:rPr>
        <w:t>date</w:t>
      </w:r>
      <w:r>
        <w:t xml:space="preserve">] by — </w:t>
      </w:r>
    </w:p>
    <w:p>
      <w:pPr>
        <w:pStyle w:val="yMiscellaneousBody"/>
      </w:pPr>
      <w:r>
        <w:t>[</w:t>
      </w:r>
      <w:r>
        <w:rPr>
          <w:i/>
          <w:iCs/>
        </w:rPr>
        <w:t>Signature of person making the declaration</w:t>
      </w:r>
      <w:r>
        <w:t>]</w:t>
      </w:r>
    </w:p>
    <w:p>
      <w:pPr>
        <w:pStyle w:val="yMiscellaneousBody"/>
      </w:pPr>
      <w:r>
        <w:t xml:space="preserve">in the presence of — </w:t>
      </w:r>
    </w:p>
    <w:p>
      <w:pPr>
        <w:pStyle w:val="yMiscellaneousBody"/>
      </w:pPr>
      <w:r>
        <w:t>[</w:t>
      </w:r>
      <w:r>
        <w:rPr>
          <w:i/>
          <w:iCs/>
        </w:rPr>
        <w:t>Signature of authorised witness</w:t>
      </w:r>
      <w:r>
        <w:t>]</w:t>
      </w:r>
    </w:p>
    <w:p>
      <w:pPr>
        <w:pStyle w:val="yMiscellaneousBody"/>
      </w:pPr>
      <w:r>
        <w:t>[</w:t>
      </w:r>
      <w:r>
        <w:rPr>
          <w:i/>
          <w:iCs/>
        </w:rPr>
        <w:t>Name of authorised witness and qualification as such a witness</w:t>
      </w:r>
      <w:r>
        <w:t>]</w:t>
      </w:r>
    </w:p>
    <w:p>
      <w:pPr>
        <w:pStyle w:val="yMiscellaneousHeading"/>
        <w:rPr>
          <w:b/>
          <w:bCs/>
        </w:rPr>
      </w:pPr>
      <w:r>
        <w:rPr>
          <w:rStyle w:val="CharSDivNo"/>
          <w:b/>
        </w:rPr>
        <w:t>Form 2</w:t>
      </w:r>
    </w:p>
    <w:p>
      <w:pPr>
        <w:pStyle w:val="yMiscellaneousHeading"/>
        <w:keepLines/>
        <w:rPr>
          <w:b/>
          <w:bCs/>
        </w:rPr>
      </w:pPr>
      <w:r>
        <w:rPr>
          <w:b/>
          <w:bCs/>
        </w:rPr>
        <w:t>Form of disclosure of costs to clients</w:t>
      </w:r>
    </w:p>
    <w:p>
      <w:pPr>
        <w:pStyle w:val="yShoulderClause"/>
        <w:keepNext/>
        <w:keepLines/>
      </w:pPr>
      <w:r>
        <w:t>[r. 80(1)]</w:t>
      </w:r>
    </w:p>
    <w:p>
      <w:pPr>
        <w:pStyle w:val="yMiscellaneousHeading"/>
        <w:keepLines/>
      </w:pPr>
      <w:r>
        <w:rPr>
          <w:i/>
          <w:iCs/>
        </w:rPr>
        <w:t>Legal Profession Act 2008</w:t>
      </w:r>
      <w:r>
        <w:t xml:space="preserve"> section 260(5)</w:t>
      </w:r>
    </w:p>
    <w:p>
      <w:pPr>
        <w:pStyle w:val="yMiscellaneousBody"/>
        <w:keepNext/>
        <w:keepLines/>
        <w:outlineLvl w:val="0"/>
        <w:rPr>
          <w:b/>
          <w:bCs/>
          <w:i/>
          <w:iCs/>
        </w:rPr>
      </w:pPr>
      <w:r>
        <w:rPr>
          <w:b/>
          <w:bCs/>
          <w:i/>
          <w:iCs/>
        </w:rPr>
        <w:t>Legal costs — your right to know</w:t>
      </w:r>
    </w:p>
    <w:p>
      <w:pPr>
        <w:pStyle w:val="yMiscellaneousBody"/>
      </w:pPr>
      <w:r>
        <w:t xml:space="preserve">You have the right to — </w:t>
      </w:r>
    </w:p>
    <w:p>
      <w:pPr>
        <w:pStyle w:val="yMiscellaneousBody"/>
        <w:numPr>
          <w:ilvl w:val="0"/>
          <w:numId w:val="3"/>
        </w:numPr>
        <w:ind w:hanging="294"/>
      </w:pPr>
      <w:r>
        <w:t>negotiate a costs agreement with us</w:t>
      </w:r>
    </w:p>
    <w:p>
      <w:pPr>
        <w:pStyle w:val="yMiscellaneousBody"/>
        <w:numPr>
          <w:ilvl w:val="0"/>
          <w:numId w:val="3"/>
        </w:numPr>
        <w:ind w:hanging="294"/>
      </w:pPr>
      <w:r>
        <w:t>receive a bill of costs from us</w:t>
      </w:r>
    </w:p>
    <w:p>
      <w:pPr>
        <w:pStyle w:val="yMiscellaneousBody"/>
        <w:numPr>
          <w:ilvl w:val="0"/>
          <w:numId w:val="3"/>
        </w:numPr>
        <w:ind w:hanging="294"/>
      </w:pPr>
      <w:r>
        <w:t>request an itemised bill of costs after you receive a lump sum bill from us</w:t>
      </w:r>
    </w:p>
    <w:p>
      <w:pPr>
        <w:pStyle w:val="yMiscellaneousBody"/>
        <w:numPr>
          <w:ilvl w:val="0"/>
          <w:numId w:val="3"/>
        </w:numPr>
        <w:ind w:hanging="294"/>
      </w:pPr>
      <w:r>
        <w:t>request written reports about the progress of your matter and the costs incurred in your matter (at no cost to you)</w:t>
      </w:r>
    </w:p>
    <w:p>
      <w:pPr>
        <w:pStyle w:val="yMiscellaneousBody"/>
        <w:numPr>
          <w:ilvl w:val="0"/>
          <w:numId w:val="3"/>
        </w:numPr>
        <w:ind w:hanging="294"/>
      </w:pPr>
      <w:r>
        <w:t>apply for costs to be assessed within 12 months if you are unhappy with our costs</w:t>
      </w:r>
    </w:p>
    <w:p>
      <w:pPr>
        <w:pStyle w:val="yMiscellaneousBody"/>
        <w:numPr>
          <w:ilvl w:val="0"/>
          <w:numId w:val="3"/>
        </w:numPr>
        <w:ind w:hanging="294"/>
      </w:pPr>
      <w:r>
        <w:t>apply for the costs agreement to be set aside</w:t>
      </w:r>
    </w:p>
    <w:p>
      <w:pPr>
        <w:pStyle w:val="yMiscellaneousBody"/>
        <w:numPr>
          <w:ilvl w:val="0"/>
          <w:numId w:val="3"/>
        </w:numPr>
        <w:ind w:hanging="294"/>
      </w:pPr>
      <w:r>
        <w:t>accept or reject any offer we make for an interstate costs law to apply to your matter</w:t>
      </w:r>
    </w:p>
    <w:p>
      <w:pPr>
        <w:pStyle w:val="yMiscellaneousBody"/>
        <w:numPr>
          <w:ilvl w:val="0"/>
          <w:numId w:val="3"/>
        </w:numPr>
        <w:ind w:hanging="294"/>
      </w:pPr>
      <w:r>
        <w:t>notify us that you require an interstate costs law to apply to your matter</w:t>
      </w:r>
    </w:p>
    <w:p>
      <w:pPr>
        <w:pStyle w:val="yMiscellaneousBody"/>
      </w:pPr>
      <w:r>
        <w:t>For more information about your rights, please read the fact sheet titled Legal costs — your right to know. You can ask us for a copy, or obtain it from the Legal Practice Board (or download it from the website of the Legal Practice Board or the Law Society of Western Australia).</w:t>
      </w:r>
    </w:p>
    <w:p>
      <w:pPr>
        <w:pStyle w:val="yMiscellaneousHeading"/>
        <w:rPr>
          <w:b/>
          <w:bCs/>
        </w:rPr>
      </w:pPr>
      <w:r>
        <w:rPr>
          <w:rStyle w:val="CharSDivNo"/>
          <w:b/>
        </w:rPr>
        <w:t>Form 3</w:t>
      </w:r>
    </w:p>
    <w:p>
      <w:pPr>
        <w:pStyle w:val="yMiscellaneousHeading"/>
        <w:keepLines/>
        <w:rPr>
          <w:b/>
          <w:bCs/>
        </w:rPr>
      </w:pPr>
      <w:r>
        <w:rPr>
          <w:b/>
          <w:bCs/>
        </w:rPr>
        <w:t>Form of notification of client’s rights</w:t>
      </w:r>
    </w:p>
    <w:p>
      <w:pPr>
        <w:pStyle w:val="yShoulderClause"/>
        <w:keepNext/>
        <w:keepLines/>
      </w:pPr>
      <w:r>
        <w:t>[r. 82(1)]</w:t>
      </w:r>
    </w:p>
    <w:p>
      <w:pPr>
        <w:pStyle w:val="yMiscellaneousHeading"/>
        <w:keepLines/>
      </w:pPr>
      <w:r>
        <w:rPr>
          <w:i/>
          <w:iCs/>
        </w:rPr>
        <w:t>Legal Profession Act 2008</w:t>
      </w:r>
      <w:r>
        <w:t xml:space="preserve"> section 291(3)</w:t>
      </w:r>
    </w:p>
    <w:p>
      <w:pPr>
        <w:pStyle w:val="yMiscellaneousBody"/>
        <w:keepNext/>
        <w:keepLines/>
        <w:outlineLvl w:val="0"/>
        <w:rPr>
          <w:b/>
          <w:bCs/>
          <w:i/>
          <w:iCs/>
        </w:rPr>
      </w:pPr>
      <w:r>
        <w:rPr>
          <w:b/>
          <w:bCs/>
          <w:i/>
          <w:iCs/>
        </w:rPr>
        <w:t>Your rights in relation to legal costs</w:t>
      </w:r>
    </w:p>
    <w:p>
      <w:pPr>
        <w:pStyle w:val="yMiscellaneousBody"/>
        <w:keepNext/>
        <w:keepLines/>
      </w:pPr>
      <w:r>
        <w:t xml:space="preserve">The following avenues are available to you if you are not happy with this bill — </w:t>
      </w:r>
    </w:p>
    <w:p>
      <w:pPr>
        <w:pStyle w:val="yMiscellaneousBody"/>
        <w:numPr>
          <w:ilvl w:val="0"/>
          <w:numId w:val="2"/>
        </w:numPr>
        <w:ind w:hanging="294"/>
      </w:pPr>
      <w:r>
        <w:t>requesting an itemised bill</w:t>
      </w:r>
    </w:p>
    <w:p>
      <w:pPr>
        <w:pStyle w:val="yMiscellaneousBody"/>
        <w:numPr>
          <w:ilvl w:val="0"/>
          <w:numId w:val="2"/>
        </w:numPr>
        <w:ind w:hanging="294"/>
      </w:pPr>
      <w:r>
        <w:t>discussing your concerns with us</w:t>
      </w:r>
    </w:p>
    <w:p>
      <w:pPr>
        <w:pStyle w:val="yMiscellaneousBody"/>
        <w:numPr>
          <w:ilvl w:val="0"/>
          <w:numId w:val="2"/>
        </w:numPr>
        <w:ind w:hanging="294"/>
      </w:pPr>
      <w:r>
        <w:t>having our costs assessed</w:t>
      </w:r>
    </w:p>
    <w:p>
      <w:pPr>
        <w:pStyle w:val="yMiscellaneousBody"/>
        <w:numPr>
          <w:ilvl w:val="0"/>
          <w:numId w:val="2"/>
        </w:numPr>
        <w:ind w:hanging="294"/>
      </w:pPr>
      <w:r>
        <w:t>applying to set aside our costs agreement</w:t>
      </w:r>
    </w:p>
    <w:p>
      <w:pPr>
        <w:pStyle w:val="yMiscellaneousBody"/>
      </w:pPr>
      <w:r>
        <w:t>For more information about your rights, please read the fact sheet titled Your right to challenge legal costs. You can ask us for a copy, or obtain it from the Legal Practice Board (or download it from the website of the Legal Practice Board or the Law Society of Western Australia).</w:t>
      </w:r>
    </w:p>
    <w:p>
      <w:pPr>
        <w:pStyle w:val="yScheduleHeading"/>
        <w:outlineLvl w:val="0"/>
      </w:pPr>
      <w:bookmarkStart w:id="274" w:name="_Toc466893857"/>
      <w:bookmarkStart w:id="275" w:name="_Toc467498509"/>
      <w:bookmarkStart w:id="276" w:name="_Toc476040638"/>
      <w:bookmarkStart w:id="277" w:name="_Toc476041122"/>
      <w:r>
        <w:rPr>
          <w:rStyle w:val="CharSchNo"/>
        </w:rPr>
        <w:t>Schedule 2</w:t>
      </w:r>
      <w:r>
        <w:rPr>
          <w:rStyle w:val="CharSDivNo"/>
        </w:rPr>
        <w:t> </w:t>
      </w:r>
      <w:r>
        <w:t>—</w:t>
      </w:r>
      <w:r>
        <w:rPr>
          <w:rStyle w:val="CharSDivText"/>
        </w:rPr>
        <w:t> </w:t>
      </w:r>
      <w:r>
        <w:rPr>
          <w:rStyle w:val="CharSchText"/>
        </w:rPr>
        <w:t>Prescribed bodies</w:t>
      </w:r>
      <w:bookmarkEnd w:id="274"/>
      <w:bookmarkEnd w:id="275"/>
      <w:bookmarkEnd w:id="276"/>
      <w:bookmarkEnd w:id="277"/>
    </w:p>
    <w:p>
      <w:pPr>
        <w:pStyle w:val="yShoulderClause"/>
        <w:spacing w:after="120"/>
      </w:pPr>
      <w:r>
        <w:t>[r. 110]</w:t>
      </w:r>
    </w:p>
    <w:tbl>
      <w:tblPr>
        <w:tblW w:w="0" w:type="auto"/>
        <w:tblInd w:w="108" w:type="dxa"/>
        <w:tblLayout w:type="fixed"/>
        <w:tblCellMar>
          <w:bottom w:w="113" w:type="dxa"/>
        </w:tblCellMar>
        <w:tblLook w:val="0000" w:firstRow="0" w:lastRow="0" w:firstColumn="0" w:lastColumn="0" w:noHBand="0" w:noVBand="0"/>
      </w:tblPr>
      <w:tblGrid>
        <w:gridCol w:w="7068"/>
      </w:tblGrid>
      <w:tr>
        <w:tc>
          <w:tcPr>
            <w:tcW w:w="7068" w:type="dxa"/>
          </w:tcPr>
          <w:p>
            <w:pPr>
              <w:pStyle w:val="yTableNAm"/>
              <w:rPr>
                <w:i/>
                <w:iCs/>
              </w:rPr>
            </w:pPr>
            <w:r>
              <w:rPr>
                <w:i/>
                <w:iCs/>
              </w:rPr>
              <w:t>Peak organisations</w:t>
            </w:r>
          </w:p>
        </w:tc>
      </w:tr>
      <w:tr>
        <w:tc>
          <w:tcPr>
            <w:tcW w:w="7068" w:type="dxa"/>
          </w:tcPr>
          <w:p>
            <w:pPr>
              <w:pStyle w:val="yTableNAm"/>
            </w:pPr>
            <w:r>
              <w:t>Federation of Community Legal Centres (</w:t>
            </w:r>
            <w:smartTag w:uri="urn:schemas-microsoft-com:office:smarttags" w:element="place">
              <w:smartTag w:uri="urn:schemas-microsoft-com:office:smarttags" w:element="State">
                <w:r>
                  <w:t>Western Australia</w:t>
                </w:r>
              </w:smartTag>
            </w:smartTag>
            <w:r>
              <w:t>) Incorporated</w:t>
            </w:r>
          </w:p>
        </w:tc>
      </w:tr>
    </w:tbl>
    <w:p>
      <w:pPr>
        <w:rPr>
          <w:sz w:val="10"/>
          <w:szCs w:val="10"/>
        </w:rPr>
      </w:pPr>
    </w:p>
    <w:tbl>
      <w:tblPr>
        <w:tblW w:w="0" w:type="auto"/>
        <w:tblInd w:w="108" w:type="dxa"/>
        <w:tblLayout w:type="fixed"/>
        <w:tblCellMar>
          <w:bottom w:w="113" w:type="dxa"/>
        </w:tblCellMar>
        <w:tblLook w:val="0000" w:firstRow="0" w:lastRow="0" w:firstColumn="0" w:lastColumn="0" w:noHBand="0" w:noVBand="0"/>
      </w:tblPr>
      <w:tblGrid>
        <w:gridCol w:w="7068"/>
      </w:tblGrid>
      <w:tr>
        <w:trPr>
          <w:tblHeader/>
        </w:trPr>
        <w:tc>
          <w:tcPr>
            <w:tcW w:w="7068" w:type="dxa"/>
          </w:tcPr>
          <w:p>
            <w:pPr>
              <w:pStyle w:val="yTableNAm"/>
              <w:rPr>
                <w:i/>
                <w:iCs/>
              </w:rPr>
            </w:pPr>
            <w:r>
              <w:rPr>
                <w:i/>
                <w:iCs/>
              </w:rPr>
              <w:t>Community legal centres</w:t>
            </w:r>
          </w:p>
        </w:tc>
      </w:tr>
      <w:tr>
        <w:trPr>
          <w:tblHeader/>
        </w:trPr>
        <w:tc>
          <w:tcPr>
            <w:tcW w:w="7068" w:type="dxa"/>
          </w:tcPr>
          <w:p>
            <w:pPr>
              <w:pStyle w:val="yTableNAm"/>
              <w:rPr>
                <w:i/>
                <w:iCs/>
              </w:rPr>
            </w:pPr>
            <w:r>
              <w:t>Aboriginal Legal Service of Western Australia (Inc)</w:t>
            </w:r>
          </w:p>
        </w:tc>
      </w:tr>
      <w:tr>
        <w:tc>
          <w:tcPr>
            <w:tcW w:w="7068" w:type="dxa"/>
          </w:tcPr>
          <w:p>
            <w:pPr>
              <w:pStyle w:val="yTableNAm"/>
            </w:pPr>
            <w:r>
              <w:t>Albany Community Legal Centre Inc</w:t>
            </w:r>
          </w:p>
        </w:tc>
      </w:tr>
      <w:tr>
        <w:tc>
          <w:tcPr>
            <w:tcW w:w="7068" w:type="dxa"/>
          </w:tcPr>
          <w:p>
            <w:pPr>
              <w:pStyle w:val="yTableNAm"/>
            </w:pPr>
            <w:r>
              <w:t>Armadale Information and Referral Service Inc</w:t>
            </w:r>
          </w:p>
        </w:tc>
      </w:tr>
      <w:tr>
        <w:tc>
          <w:tcPr>
            <w:tcW w:w="7068" w:type="dxa"/>
          </w:tcPr>
          <w:p>
            <w:pPr>
              <w:pStyle w:val="yTableNAm"/>
            </w:pPr>
            <w:r>
              <w:t>Boogurlarri Community House Association Inc</w:t>
            </w:r>
          </w:p>
        </w:tc>
      </w:tr>
      <w:tr>
        <w:tc>
          <w:tcPr>
            <w:tcW w:w="7068" w:type="dxa"/>
          </w:tcPr>
          <w:p>
            <w:pPr>
              <w:pStyle w:val="yTableNAm"/>
            </w:pPr>
            <w:r>
              <w:t>Bunbury Community Legal Centre Incorporated</w:t>
            </w:r>
          </w:p>
        </w:tc>
      </w:tr>
      <w:tr>
        <w:tc>
          <w:tcPr>
            <w:tcW w:w="7068" w:type="dxa"/>
          </w:tcPr>
          <w:p>
            <w:pPr>
              <w:pStyle w:val="yTableNAm"/>
            </w:pPr>
            <w:r>
              <w:t xml:space="preserve">Citizens Advice Bureau of </w:t>
            </w:r>
            <w:smartTag w:uri="urn:schemas-microsoft-com:office:smarttags" w:element="place">
              <w:smartTag w:uri="urn:schemas-microsoft-com:office:smarttags" w:element="State">
                <w:r>
                  <w:t>Western Australia</w:t>
                </w:r>
              </w:smartTag>
            </w:smartTag>
            <w:r>
              <w:t xml:space="preserve"> Incorporated</w:t>
            </w:r>
          </w:p>
        </w:tc>
      </w:tr>
      <w:tr>
        <w:tc>
          <w:tcPr>
            <w:tcW w:w="7068" w:type="dxa"/>
          </w:tcPr>
          <w:p>
            <w:pPr>
              <w:pStyle w:val="yTableNAm"/>
            </w:pPr>
            <w:r>
              <w:t xml:space="preserve">City of </w:t>
            </w:r>
            <w:smartTag w:uri="urn:schemas-microsoft-com:office:smarttags" w:element="place">
              <w:smartTag w:uri="urn:schemas-microsoft-com:office:smarttags" w:element="City">
                <w:r>
                  <w:t>Fremantle</w:t>
                </w:r>
              </w:smartTag>
            </w:smartTag>
            <w:r>
              <w:t xml:space="preserve"> (trading as Community Legal &amp; Advocacy Centre)</w:t>
            </w:r>
          </w:p>
        </w:tc>
      </w:tr>
      <w:tr>
        <w:tc>
          <w:tcPr>
            <w:tcW w:w="7068" w:type="dxa"/>
          </w:tcPr>
          <w:p>
            <w:pPr>
              <w:pStyle w:val="yTableNAm"/>
            </w:pPr>
            <w:r>
              <w:t>Consumer Credit Legal Service (WA) Inc</w:t>
            </w:r>
          </w:p>
        </w:tc>
      </w:tr>
      <w:tr>
        <w:tc>
          <w:tcPr>
            <w:tcW w:w="7068" w:type="dxa"/>
          </w:tcPr>
          <w:p>
            <w:pPr>
              <w:pStyle w:val="yTableNAm"/>
            </w:pPr>
            <w:r>
              <w:t>Environmental Defender’s Office (WA) Inc</w:t>
            </w:r>
          </w:p>
        </w:tc>
      </w:tr>
      <w:tr>
        <w:tc>
          <w:tcPr>
            <w:tcW w:w="7068" w:type="dxa"/>
          </w:tcPr>
          <w:p>
            <w:pPr>
              <w:pStyle w:val="yTableNAm"/>
            </w:pPr>
            <w:r>
              <w:t>Geraldton Resource Centre</w:t>
            </w:r>
          </w:p>
        </w:tc>
      </w:tr>
      <w:tr>
        <w:tc>
          <w:tcPr>
            <w:tcW w:w="7068" w:type="dxa"/>
          </w:tcPr>
          <w:p>
            <w:pPr>
              <w:pStyle w:val="yTableNAm"/>
            </w:pPr>
            <w:r>
              <w:t>Goldfields Community Legal Centre Incorporated</w:t>
            </w:r>
          </w:p>
        </w:tc>
      </w:tr>
      <w:tr>
        <w:tc>
          <w:tcPr>
            <w:tcW w:w="7068" w:type="dxa"/>
          </w:tcPr>
          <w:p>
            <w:pPr>
              <w:pStyle w:val="yTableNAm"/>
            </w:pPr>
            <w:r>
              <w:t>Gosnells Community Legal Centre (Inc)</w:t>
            </w:r>
          </w:p>
        </w:tc>
      </w:tr>
      <w:tr>
        <w:tc>
          <w:tcPr>
            <w:tcW w:w="7068" w:type="dxa"/>
          </w:tcPr>
          <w:p>
            <w:pPr>
              <w:pStyle w:val="yTableNAm"/>
            </w:pPr>
            <w:r>
              <w:t xml:space="preserve">Kimberley Community Legal Services Inc </w:t>
            </w:r>
          </w:p>
        </w:tc>
      </w:tr>
      <w:tr>
        <w:tc>
          <w:tcPr>
            <w:tcW w:w="7068" w:type="dxa"/>
          </w:tcPr>
          <w:p>
            <w:pPr>
              <w:pStyle w:val="yTableNAm"/>
            </w:pPr>
            <w:r>
              <w:t>Law Access Limited</w:t>
            </w:r>
          </w:p>
        </w:tc>
      </w:tr>
      <w:tr>
        <w:tc>
          <w:tcPr>
            <w:tcW w:w="7068" w:type="dxa"/>
          </w:tcPr>
          <w:p>
            <w:pPr>
              <w:pStyle w:val="yTableNAm"/>
            </w:pPr>
            <w:r>
              <w:t>Lockridge Community Group</w:t>
            </w:r>
          </w:p>
        </w:tc>
      </w:tr>
      <w:tr>
        <w:tc>
          <w:tcPr>
            <w:tcW w:w="7068" w:type="dxa"/>
          </w:tcPr>
          <w:p>
            <w:pPr>
              <w:pStyle w:val="yTableNAm"/>
            </w:pPr>
            <w:r>
              <w:t>Mental Health Law Centre (WA) Inc</w:t>
            </w:r>
          </w:p>
        </w:tc>
      </w:tr>
      <w:tr>
        <w:tc>
          <w:tcPr>
            <w:tcW w:w="7068" w:type="dxa"/>
          </w:tcPr>
          <w:p>
            <w:pPr>
              <w:pStyle w:val="yTableNAm"/>
            </w:pPr>
            <w:r>
              <w:t>North Perth Migrant Resource Centre Inc</w:t>
            </w:r>
          </w:p>
        </w:tc>
      </w:tr>
      <w:tr>
        <w:tc>
          <w:tcPr>
            <w:tcW w:w="7068" w:type="dxa"/>
          </w:tcPr>
          <w:p>
            <w:pPr>
              <w:pStyle w:val="yTableNAm"/>
            </w:pPr>
            <w:r>
              <w:t>Northern Suburbs Community Legal Centre Inc</w:t>
            </w:r>
          </w:p>
        </w:tc>
      </w:tr>
      <w:tr>
        <w:tc>
          <w:tcPr>
            <w:tcW w:w="7068" w:type="dxa"/>
          </w:tcPr>
          <w:p>
            <w:pPr>
              <w:pStyle w:val="yTableNAm"/>
            </w:pPr>
            <w:r>
              <w:t>Parkway Legal Advice Centre</w:t>
            </w:r>
          </w:p>
        </w:tc>
      </w:tr>
      <w:tr>
        <w:tc>
          <w:tcPr>
            <w:tcW w:w="7068" w:type="dxa"/>
          </w:tcPr>
          <w:p>
            <w:pPr>
              <w:pStyle w:val="yTableNAm"/>
            </w:pPr>
            <w:r>
              <w:t>People With Disabilities (WA) Inc</w:t>
            </w:r>
          </w:p>
        </w:tc>
      </w:tr>
      <w:tr>
        <w:tc>
          <w:tcPr>
            <w:tcW w:w="7068" w:type="dxa"/>
          </w:tcPr>
          <w:p>
            <w:pPr>
              <w:pStyle w:val="yTableNAm"/>
            </w:pPr>
            <w:r>
              <w:t>Pilbara Community Legal Service</w:t>
            </w:r>
          </w:p>
        </w:tc>
      </w:tr>
      <w:tr>
        <w:tc>
          <w:tcPr>
            <w:tcW w:w="7068" w:type="dxa"/>
          </w:tcPr>
          <w:p>
            <w:pPr>
              <w:pStyle w:val="yTableNAm"/>
            </w:pPr>
            <w:r>
              <w:t>Rural Community Legal Service (Inc)</w:t>
            </w:r>
          </w:p>
        </w:tc>
      </w:tr>
      <w:tr>
        <w:tc>
          <w:tcPr>
            <w:tcW w:w="7068" w:type="dxa"/>
          </w:tcPr>
          <w:p>
            <w:pPr>
              <w:pStyle w:val="yTableNAm"/>
            </w:pPr>
            <w:r>
              <w:t>Southern Communities Advocacy, Legal and Education Service Inc</w:t>
            </w:r>
          </w:p>
        </w:tc>
      </w:tr>
      <w:tr>
        <w:tc>
          <w:tcPr>
            <w:tcW w:w="7068" w:type="dxa"/>
          </w:tcPr>
          <w:p>
            <w:pPr>
              <w:pStyle w:val="yTableNAm"/>
            </w:pPr>
            <w:r>
              <w:t>Sussex Street Community Law Service Inc</w:t>
            </w:r>
          </w:p>
        </w:tc>
      </w:tr>
      <w:tr>
        <w:tc>
          <w:tcPr>
            <w:tcW w:w="7068" w:type="dxa"/>
          </w:tcPr>
          <w:p>
            <w:pPr>
              <w:pStyle w:val="yTableNAm"/>
            </w:pPr>
            <w:r>
              <w:t>Tenants Advice Service (Inc)</w:t>
            </w:r>
          </w:p>
        </w:tc>
      </w:tr>
      <w:tr>
        <w:tc>
          <w:tcPr>
            <w:tcW w:w="7068" w:type="dxa"/>
          </w:tcPr>
          <w:p>
            <w:pPr>
              <w:pStyle w:val="yTableNAm"/>
            </w:pPr>
            <w:r>
              <w:t>TLC Emergency Welfare Foundation (WA) Inc (trading as Welfare Rights &amp; Advocacy Service (WA))</w:t>
            </w:r>
          </w:p>
        </w:tc>
      </w:tr>
      <w:tr>
        <w:tc>
          <w:tcPr>
            <w:tcW w:w="7068" w:type="dxa"/>
          </w:tcPr>
          <w:p>
            <w:pPr>
              <w:pStyle w:val="yTableNAm"/>
            </w:pPr>
            <w:r>
              <w:t>Women’s Legal Services Inc (WA)</w:t>
            </w:r>
          </w:p>
        </w:tc>
      </w:tr>
      <w:tr>
        <w:tc>
          <w:tcPr>
            <w:tcW w:w="7068" w:type="dxa"/>
          </w:tcPr>
          <w:p>
            <w:pPr>
              <w:pStyle w:val="yTableNAm"/>
            </w:pPr>
            <w:r>
              <w:t>Women’s Refuges Multicultural Service Incorporated</w:t>
            </w:r>
          </w:p>
        </w:tc>
      </w:tr>
      <w:tr>
        <w:tc>
          <w:tcPr>
            <w:tcW w:w="7068" w:type="dxa"/>
          </w:tcPr>
          <w:p>
            <w:pPr>
              <w:pStyle w:val="yTableNAm"/>
            </w:pPr>
            <w:r>
              <w:t>Youth Legal Service (Inc)</w:t>
            </w:r>
          </w:p>
        </w:tc>
      </w:tr>
    </w:tbl>
    <w:p>
      <w:pPr>
        <w:pStyle w:val="yFootnotesection"/>
      </w:pPr>
      <w:r>
        <w:tab/>
        <w:t>[Schedule 2 amended in Gazette 31 Jul 2015 p. 3120.]</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8"/>
          <w:headerReference w:type="default" r:id="rId29"/>
          <w:headerReference w:type="first" r:id="rId30"/>
          <w:endnotePr>
            <w:numFmt w:val="decimal"/>
          </w:endnotePr>
          <w:pgSz w:w="11907" w:h="16840" w:code="9"/>
          <w:pgMar w:top="2376" w:right="2405" w:bottom="3542" w:left="2405" w:header="706" w:footer="3380" w:gutter="0"/>
          <w:cols w:space="720"/>
          <w:noEndnote/>
          <w:docGrid w:linePitch="326"/>
        </w:sectPr>
      </w:pPr>
    </w:p>
    <w:p>
      <w:pPr>
        <w:pStyle w:val="nHeading2"/>
        <w:outlineLvl w:val="0"/>
      </w:pPr>
      <w:bookmarkStart w:id="279" w:name="_Toc466893858"/>
      <w:bookmarkStart w:id="280" w:name="_Toc467498510"/>
      <w:bookmarkStart w:id="281" w:name="_Toc476040639"/>
      <w:bookmarkStart w:id="282" w:name="_Toc476041123"/>
      <w:r>
        <w:t>Notes</w:t>
      </w:r>
      <w:bookmarkEnd w:id="279"/>
      <w:bookmarkEnd w:id="280"/>
      <w:bookmarkEnd w:id="281"/>
      <w:bookmarkEnd w:id="282"/>
    </w:p>
    <w:p>
      <w:pPr>
        <w:pStyle w:val="nSubsection"/>
      </w:pPr>
      <w:r>
        <w:rPr>
          <w:vertAlign w:val="superscript"/>
        </w:rPr>
        <w:t>1</w:t>
      </w:r>
      <w:r>
        <w:tab/>
        <w:t xml:space="preserve">This reprint is a compilation as at 3 March 2017 of the </w:t>
      </w:r>
      <w:r>
        <w:rPr>
          <w:i/>
          <w:noProof/>
        </w:rPr>
        <w:t>Legal Profession Regulations 2009</w:t>
      </w:r>
      <w:r>
        <w:t xml:space="preserve"> and includes the amendments made by the other written laws referred to in the following table</w:t>
      </w:r>
      <w:r>
        <w:rPr>
          <w:vertAlign w:val="superscript"/>
        </w:rPr>
        <w:t> </w:t>
      </w:r>
      <w:r>
        <w:t>.  The table also contains information about any reprint.</w:t>
      </w:r>
    </w:p>
    <w:p>
      <w:pPr>
        <w:pStyle w:val="nHeading3"/>
      </w:pPr>
      <w:bookmarkStart w:id="283" w:name="_Toc476041124"/>
      <w:r>
        <w:t>Compilation table</w:t>
      </w:r>
      <w:bookmarkEnd w:id="283"/>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shd w:val="clear" w:color="auto" w:fill="auto"/>
          </w:tcPr>
          <w:p>
            <w:pPr>
              <w:pStyle w:val="nTable"/>
              <w:spacing w:after="40"/>
              <w:rPr>
                <w:b/>
              </w:rPr>
            </w:pPr>
            <w:r>
              <w:rPr>
                <w:b/>
              </w:rPr>
              <w:t>Citation</w:t>
            </w:r>
          </w:p>
        </w:tc>
        <w:tc>
          <w:tcPr>
            <w:tcW w:w="1276" w:type="dxa"/>
            <w:tcBorders>
              <w:bottom w:val="single" w:sz="8" w:space="0" w:color="auto"/>
            </w:tcBorders>
            <w:shd w:val="clear" w:color="auto" w:fill="auto"/>
          </w:tcPr>
          <w:p>
            <w:pPr>
              <w:pStyle w:val="nTable"/>
              <w:spacing w:after="40"/>
              <w:rPr>
                <w:b/>
              </w:rPr>
            </w:pPr>
            <w:r>
              <w:rPr>
                <w:b/>
              </w:rPr>
              <w:t>Gazettal</w:t>
            </w:r>
          </w:p>
        </w:tc>
        <w:tc>
          <w:tcPr>
            <w:tcW w:w="2693" w:type="dxa"/>
            <w:tcBorders>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pPr>
            <w:r>
              <w:rPr>
                <w:i/>
              </w:rPr>
              <w:t>Legal Profession Regulations 2009</w:t>
            </w:r>
          </w:p>
        </w:tc>
        <w:tc>
          <w:tcPr>
            <w:tcW w:w="1276" w:type="dxa"/>
            <w:tcBorders>
              <w:top w:val="single" w:sz="8" w:space="0" w:color="auto"/>
              <w:bottom w:val="nil"/>
            </w:tcBorders>
          </w:tcPr>
          <w:p>
            <w:pPr>
              <w:pStyle w:val="nTable"/>
              <w:spacing w:after="40"/>
            </w:pPr>
            <w:r>
              <w:t>27 Feb 2009 p. 545</w:t>
            </w:r>
            <w:r>
              <w:noBreakHyphen/>
              <w:t>653</w:t>
            </w:r>
          </w:p>
        </w:tc>
        <w:tc>
          <w:tcPr>
            <w:tcW w:w="2693" w:type="dxa"/>
            <w:tcBorders>
              <w:top w:val="single" w:sz="8" w:space="0" w:color="auto"/>
              <w:bottom w:val="nil"/>
            </w:tcBorders>
          </w:tcPr>
          <w:p>
            <w:pPr>
              <w:pStyle w:val="nTable"/>
              <w:spacing w:after="40"/>
              <w:rPr>
                <w:rFonts w:ascii="Times" w:hAnsi="Times"/>
              </w:rPr>
            </w:pPr>
            <w:r>
              <w:rPr>
                <w:rFonts w:ascii="Times" w:hAnsi="Times"/>
                <w:snapToGrid w:val="0"/>
              </w:rPr>
              <w:t>r. 1 and 2: 27 Feb 2009 (see r. 2(a));</w:t>
            </w:r>
            <w:r>
              <w:rPr>
                <w:rFonts w:ascii="Times" w:hAnsi="Times"/>
                <w:snapToGrid w:val="0"/>
              </w:rPr>
              <w:br/>
              <w:t xml:space="preserve">Regulations other than r. 1 and 2: 1 Mar 2009 (see r. 2(b) and </w:t>
            </w:r>
            <w:r>
              <w:rPr>
                <w:rFonts w:ascii="Times" w:hAnsi="Times"/>
                <w:i/>
                <w:iCs/>
                <w:snapToGrid w:val="0"/>
              </w:rPr>
              <w:t xml:space="preserve">Gazette </w:t>
            </w:r>
            <w:r>
              <w:rPr>
                <w:rFonts w:ascii="Times" w:hAnsi="Times"/>
                <w:snapToGrid w:val="0"/>
              </w:rPr>
              <w:t>27 Feb 2009 p. 511)</w:t>
            </w:r>
          </w:p>
        </w:tc>
      </w:tr>
      <w:tr>
        <w:tc>
          <w:tcPr>
            <w:tcW w:w="3118" w:type="dxa"/>
            <w:tcBorders>
              <w:top w:val="nil"/>
              <w:bottom w:val="nil"/>
            </w:tcBorders>
          </w:tcPr>
          <w:p>
            <w:pPr>
              <w:pStyle w:val="nTable"/>
              <w:spacing w:after="40"/>
              <w:rPr>
                <w:i/>
              </w:rPr>
            </w:pPr>
            <w:r>
              <w:rPr>
                <w:i/>
              </w:rPr>
              <w:t>Legal Profession Amendment Regulations 2009</w:t>
            </w:r>
          </w:p>
        </w:tc>
        <w:tc>
          <w:tcPr>
            <w:tcW w:w="1276" w:type="dxa"/>
            <w:tcBorders>
              <w:top w:val="nil"/>
              <w:bottom w:val="nil"/>
            </w:tcBorders>
          </w:tcPr>
          <w:p>
            <w:pPr>
              <w:pStyle w:val="nTable"/>
              <w:spacing w:after="40"/>
            </w:pPr>
            <w:r>
              <w:t>27 Feb 2009 p. 655</w:t>
            </w:r>
            <w:r>
              <w:noBreakHyphen/>
              <w:t>7</w:t>
            </w:r>
          </w:p>
        </w:tc>
        <w:tc>
          <w:tcPr>
            <w:tcW w:w="2693" w:type="dxa"/>
            <w:tcBorders>
              <w:top w:val="nil"/>
              <w:bottom w:val="nil"/>
            </w:tcBorders>
          </w:tcPr>
          <w:p>
            <w:pPr>
              <w:pStyle w:val="nTable"/>
              <w:spacing w:after="40"/>
              <w:rPr>
                <w:rFonts w:ascii="Times" w:hAnsi="Times"/>
                <w:snapToGrid w:val="0"/>
              </w:rPr>
            </w:pPr>
            <w:r>
              <w:rPr>
                <w:rFonts w:ascii="Times" w:hAnsi="Times"/>
                <w:snapToGrid w:val="0"/>
              </w:rPr>
              <w:t>r. 1 and 2: 27 Feb 2009 (see r. 2(a));</w:t>
            </w:r>
            <w:r>
              <w:rPr>
                <w:rFonts w:ascii="Times" w:hAnsi="Times"/>
                <w:snapToGrid w:val="0"/>
              </w:rPr>
              <w:br/>
              <w:t xml:space="preserve">Regulations other than r. 1 and 2: 1 Mar 2009 (see r. 2(b) and </w:t>
            </w:r>
            <w:r>
              <w:rPr>
                <w:rFonts w:ascii="Times" w:hAnsi="Times"/>
                <w:i/>
                <w:iCs/>
                <w:snapToGrid w:val="0"/>
              </w:rPr>
              <w:t xml:space="preserve">Gazette </w:t>
            </w:r>
            <w:r>
              <w:rPr>
                <w:rFonts w:ascii="Times" w:hAnsi="Times"/>
                <w:snapToGrid w:val="0"/>
              </w:rPr>
              <w:t>27 Feb 2009 p. 555 and 511)</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Public Sector Reform (Consequential Amendments) Regulations 2011</w:t>
            </w:r>
            <w:r>
              <w:t xml:space="preserve"> Pt. 4</w:t>
            </w:r>
          </w:p>
        </w:tc>
        <w:tc>
          <w:tcPr>
            <w:tcW w:w="1276" w:type="dxa"/>
          </w:tcPr>
          <w:p>
            <w:pPr>
              <w:pStyle w:val="nTable"/>
              <w:spacing w:after="40"/>
            </w:pPr>
            <w:r>
              <w:t>11 Feb 2011 p. 502</w:t>
            </w:r>
            <w:r>
              <w:noBreakHyphen/>
              <w:t>7</w:t>
            </w:r>
          </w:p>
        </w:tc>
        <w:tc>
          <w:tcPr>
            <w:tcW w:w="2693" w:type="dxa"/>
          </w:tcPr>
          <w:p>
            <w:pPr>
              <w:pStyle w:val="nTable"/>
              <w:spacing w:after="40"/>
              <w:rPr>
                <w:rFonts w:ascii="Times" w:hAnsi="Times"/>
                <w:snapToGrid w:val="0"/>
              </w:rPr>
            </w:pPr>
            <w:r>
              <w:rPr>
                <w:rFonts w:ascii="Times" w:hAnsi="Times"/>
                <w:snapToGrid w:val="0"/>
              </w:rPr>
              <w:t>12 Feb 2011 (see r. 2(d))</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Legal Profession Amendment Regulations (No. 3) 2011</w:t>
            </w:r>
          </w:p>
        </w:tc>
        <w:tc>
          <w:tcPr>
            <w:tcW w:w="1276" w:type="dxa"/>
          </w:tcPr>
          <w:p>
            <w:pPr>
              <w:pStyle w:val="nTable"/>
              <w:spacing w:after="40"/>
            </w:pPr>
            <w:r>
              <w:t>3 Jun 2011 p. 1981-2</w:t>
            </w:r>
          </w:p>
        </w:tc>
        <w:tc>
          <w:tcPr>
            <w:tcW w:w="2693" w:type="dxa"/>
          </w:tcPr>
          <w:p>
            <w:pPr>
              <w:pStyle w:val="nTable"/>
              <w:spacing w:after="40"/>
              <w:rPr>
                <w:rFonts w:ascii="Times" w:hAnsi="Times"/>
                <w:snapToGrid w:val="0"/>
              </w:rPr>
            </w:pPr>
            <w:r>
              <w:rPr>
                <w:rFonts w:ascii="Times" w:hAnsi="Times"/>
                <w:snapToGrid w:val="0"/>
              </w:rPr>
              <w:t>r. 1 and 2: 3 Jun 2011 (see r. 2(a));</w:t>
            </w:r>
            <w:r>
              <w:rPr>
                <w:rFonts w:ascii="Times" w:hAnsi="Times"/>
                <w:snapToGrid w:val="0"/>
              </w:rPr>
              <w:br/>
              <w:t>Regulations other than r. 1 and 2: 4 Jun 2011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Legal Profession Amendment Regulations (No. 2) 2011</w:t>
            </w:r>
          </w:p>
        </w:tc>
        <w:tc>
          <w:tcPr>
            <w:tcW w:w="1276" w:type="dxa"/>
          </w:tcPr>
          <w:p>
            <w:pPr>
              <w:pStyle w:val="nTable"/>
              <w:spacing w:after="40"/>
            </w:pPr>
            <w:r>
              <w:t>22 Jul 2011 p. 3018</w:t>
            </w:r>
            <w:r>
              <w:noBreakHyphen/>
              <w:t>19</w:t>
            </w:r>
          </w:p>
        </w:tc>
        <w:tc>
          <w:tcPr>
            <w:tcW w:w="2693" w:type="dxa"/>
          </w:tcPr>
          <w:p>
            <w:pPr>
              <w:pStyle w:val="nTable"/>
              <w:spacing w:after="40"/>
              <w:rPr>
                <w:rFonts w:ascii="Times" w:hAnsi="Times"/>
                <w:snapToGrid w:val="0"/>
              </w:rPr>
            </w:pPr>
            <w:r>
              <w:rPr>
                <w:rFonts w:ascii="Times" w:hAnsi="Times"/>
                <w:snapToGrid w:val="0"/>
              </w:rPr>
              <w:t>r. 1 and 2: 22 Jul 2011 (see r. 2(a));</w:t>
            </w:r>
            <w:r>
              <w:rPr>
                <w:rFonts w:ascii="Times" w:hAnsi="Times"/>
                <w:snapToGrid w:val="0"/>
              </w:rPr>
              <w:br/>
              <w:t>Regulations other than r. 1 and 2: 23 Jul 2011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Legal Profession Amendment Regulations (No. 4) 2011</w:t>
            </w:r>
          </w:p>
        </w:tc>
        <w:tc>
          <w:tcPr>
            <w:tcW w:w="1276" w:type="dxa"/>
          </w:tcPr>
          <w:p>
            <w:pPr>
              <w:pStyle w:val="nTable"/>
              <w:spacing w:after="40"/>
            </w:pPr>
            <w:r>
              <w:t>30 Aug 2011 p. 3507-8</w:t>
            </w:r>
          </w:p>
        </w:tc>
        <w:tc>
          <w:tcPr>
            <w:tcW w:w="2693" w:type="dxa"/>
          </w:tcPr>
          <w:p>
            <w:pPr>
              <w:pStyle w:val="nTable"/>
              <w:spacing w:after="40"/>
              <w:rPr>
                <w:rFonts w:ascii="Times" w:hAnsi="Times"/>
                <w:snapToGrid w:val="0"/>
              </w:rPr>
            </w:pPr>
            <w:r>
              <w:rPr>
                <w:rFonts w:ascii="Times" w:hAnsi="Times"/>
                <w:snapToGrid w:val="0"/>
              </w:rPr>
              <w:t>r. 1 and 2: 30 Aug 2011 (see r. 2(a));</w:t>
            </w:r>
            <w:r>
              <w:rPr>
                <w:rFonts w:ascii="Times" w:hAnsi="Times"/>
                <w:snapToGrid w:val="0"/>
              </w:rPr>
              <w:br/>
              <w:t>Regulations other than r. 1 and 2: 31 Aug 2011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Legal Profession Amendment Regulations 2012</w:t>
            </w:r>
          </w:p>
        </w:tc>
        <w:tc>
          <w:tcPr>
            <w:tcW w:w="1276" w:type="dxa"/>
          </w:tcPr>
          <w:p>
            <w:pPr>
              <w:pStyle w:val="nTable"/>
              <w:spacing w:after="40"/>
            </w:pPr>
            <w:r>
              <w:t>6 Mar 2012 p. 894</w:t>
            </w:r>
          </w:p>
        </w:tc>
        <w:tc>
          <w:tcPr>
            <w:tcW w:w="2693" w:type="dxa"/>
          </w:tcPr>
          <w:p>
            <w:pPr>
              <w:pStyle w:val="nTable"/>
              <w:spacing w:after="40"/>
              <w:rPr>
                <w:rFonts w:ascii="Times" w:hAnsi="Times"/>
                <w:snapToGrid w:val="0"/>
              </w:rPr>
            </w:pPr>
            <w:r>
              <w:rPr>
                <w:rFonts w:ascii="Times" w:hAnsi="Times"/>
                <w:snapToGrid w:val="0"/>
              </w:rPr>
              <w:t>r. 1 and 2: 6 Mar 2012 (see r. 2(a));</w:t>
            </w:r>
            <w:r>
              <w:rPr>
                <w:rFonts w:ascii="Times" w:hAnsi="Times"/>
                <w:snapToGrid w:val="0"/>
              </w:rPr>
              <w:br/>
              <w:t>Regulations other than r. 1 and 2: 7 Mar 2012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Legal Profession Amendment Regulations (No. 2) 2012</w:t>
            </w:r>
          </w:p>
        </w:tc>
        <w:tc>
          <w:tcPr>
            <w:tcW w:w="1276" w:type="dxa"/>
          </w:tcPr>
          <w:p>
            <w:pPr>
              <w:pStyle w:val="nTable"/>
              <w:spacing w:after="40"/>
            </w:pPr>
            <w:r>
              <w:t>1 May 2012 p. 1805</w:t>
            </w:r>
          </w:p>
        </w:tc>
        <w:tc>
          <w:tcPr>
            <w:tcW w:w="2693" w:type="dxa"/>
          </w:tcPr>
          <w:p>
            <w:pPr>
              <w:pStyle w:val="nTable"/>
              <w:spacing w:after="40"/>
              <w:rPr>
                <w:rFonts w:ascii="Times" w:hAnsi="Times"/>
                <w:snapToGrid w:val="0"/>
              </w:rPr>
            </w:pPr>
            <w:r>
              <w:rPr>
                <w:rFonts w:ascii="Times" w:hAnsi="Times"/>
                <w:snapToGrid w:val="0"/>
              </w:rPr>
              <w:t>r. 1 and 2: 1 May 2012 (see r. 2(a));</w:t>
            </w:r>
            <w:r>
              <w:rPr>
                <w:rFonts w:ascii="Times" w:hAnsi="Times"/>
                <w:snapToGrid w:val="0"/>
              </w:rPr>
              <w:br/>
              <w:t>Regulations other than r. 1 and 2: 2 May 2012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Legal Profession Amendment Regulations (No. 4) 2012</w:t>
            </w:r>
          </w:p>
        </w:tc>
        <w:tc>
          <w:tcPr>
            <w:tcW w:w="1276" w:type="dxa"/>
            <w:shd w:val="clear" w:color="auto" w:fill="auto"/>
          </w:tcPr>
          <w:p>
            <w:pPr>
              <w:pStyle w:val="nTable"/>
              <w:spacing w:after="40"/>
            </w:pPr>
            <w:r>
              <w:t>29 Jun 2012 p. 2951-2</w:t>
            </w:r>
          </w:p>
        </w:tc>
        <w:tc>
          <w:tcPr>
            <w:tcW w:w="2693" w:type="dxa"/>
            <w:shd w:val="clear" w:color="auto" w:fill="auto"/>
          </w:tcPr>
          <w:p>
            <w:pPr>
              <w:pStyle w:val="nTable"/>
              <w:spacing w:after="40"/>
              <w:rPr>
                <w:rFonts w:ascii="Times" w:hAnsi="Times"/>
                <w:snapToGrid w:val="0"/>
              </w:rPr>
            </w:pPr>
            <w:r>
              <w:rPr>
                <w:rFonts w:ascii="Times" w:hAnsi="Times"/>
                <w:snapToGrid w:val="0"/>
              </w:rPr>
              <w:t>r. 1 and 2: 29 Jun 2012 (see r. 2(a));</w:t>
            </w:r>
            <w:r>
              <w:rPr>
                <w:rFonts w:ascii="Times" w:hAnsi="Times"/>
                <w:snapToGrid w:val="0"/>
              </w:rPr>
              <w:br/>
              <w:t>Regulations other than r. 1 and 2: 30 Jun 2012 (see r. 2(b))</w:t>
            </w:r>
          </w:p>
        </w:tc>
      </w:tr>
      <w:tr>
        <w:tc>
          <w:tcPr>
            <w:tcW w:w="7087" w:type="dxa"/>
            <w:gridSpan w:val="3"/>
            <w:tcBorders>
              <w:top w:val="nil"/>
              <w:bottom w:val="nil"/>
            </w:tcBorders>
            <w:shd w:val="clear" w:color="auto" w:fill="auto"/>
          </w:tcPr>
          <w:p>
            <w:pPr>
              <w:pStyle w:val="nTable"/>
              <w:spacing w:after="40"/>
              <w:rPr>
                <w:snapToGrid w:val="0"/>
                <w:spacing w:val="-2"/>
              </w:rPr>
            </w:pPr>
            <w:r>
              <w:rPr>
                <w:b/>
                <w:snapToGrid w:val="0"/>
                <w:spacing w:val="-2"/>
              </w:rPr>
              <w:t xml:space="preserve">Reprint 1: The </w:t>
            </w:r>
            <w:r>
              <w:rPr>
                <w:b/>
                <w:i/>
              </w:rPr>
              <w:t>Legal Profession Regulations 2009</w:t>
            </w:r>
            <w:r>
              <w:rPr>
                <w:b/>
                <w:snapToGrid w:val="0"/>
                <w:spacing w:val="-2"/>
              </w:rPr>
              <w:t xml:space="preserve"> as at 7 Dec 2012</w:t>
            </w:r>
            <w:r>
              <w:rPr>
                <w:snapToGrid w:val="0"/>
                <w:spacing w:val="-2"/>
              </w:rPr>
              <w:t xml:space="preserve"> (includes amendments listed above)</w:t>
            </w:r>
          </w:p>
        </w:tc>
      </w:tr>
      <w:tr>
        <w:trPr>
          <w:cantSplit/>
        </w:trPr>
        <w:tc>
          <w:tcPr>
            <w:tcW w:w="3118" w:type="dxa"/>
            <w:tcBorders>
              <w:top w:val="nil"/>
              <w:bottom w:val="nil"/>
            </w:tcBorders>
            <w:shd w:val="clear" w:color="auto" w:fill="auto"/>
          </w:tcPr>
          <w:p>
            <w:pPr>
              <w:pStyle w:val="nTable"/>
              <w:spacing w:after="40"/>
              <w:rPr>
                <w:i/>
              </w:rPr>
            </w:pPr>
            <w:r>
              <w:rPr>
                <w:i/>
              </w:rPr>
              <w:t>Legal Profession Amendment Regulations 2014</w:t>
            </w:r>
          </w:p>
        </w:tc>
        <w:tc>
          <w:tcPr>
            <w:tcW w:w="1276" w:type="dxa"/>
            <w:tcBorders>
              <w:top w:val="nil"/>
              <w:bottom w:val="nil"/>
            </w:tcBorders>
            <w:shd w:val="clear" w:color="auto" w:fill="auto"/>
          </w:tcPr>
          <w:p>
            <w:pPr>
              <w:pStyle w:val="nTable"/>
              <w:spacing w:after="40"/>
            </w:pPr>
            <w:r>
              <w:t>11 Apr 2014 p. 1017-19</w:t>
            </w:r>
          </w:p>
        </w:tc>
        <w:tc>
          <w:tcPr>
            <w:tcW w:w="2693" w:type="dxa"/>
            <w:tcBorders>
              <w:top w:val="nil"/>
              <w:bottom w:val="nil"/>
            </w:tcBorders>
            <w:shd w:val="clear" w:color="auto" w:fill="auto"/>
          </w:tcPr>
          <w:p>
            <w:pPr>
              <w:pStyle w:val="nTable"/>
              <w:spacing w:after="40"/>
              <w:rPr>
                <w:rFonts w:ascii="Times" w:hAnsi="Times"/>
                <w:snapToGrid w:val="0"/>
              </w:rPr>
            </w:pPr>
            <w:r>
              <w:rPr>
                <w:rFonts w:ascii="Times" w:hAnsi="Times"/>
                <w:snapToGrid w:val="0"/>
              </w:rPr>
              <w:t>r. 1 and 2: 11 Apr 2014 (see r. 2(a));</w:t>
            </w:r>
            <w:r>
              <w:rPr>
                <w:rFonts w:ascii="Times" w:hAnsi="Times"/>
                <w:snapToGrid w:val="0"/>
              </w:rPr>
              <w:br/>
              <w:t>Regulations other than r. 1 and 2: 12 Apr 2014 (see r. 2(b))</w:t>
            </w:r>
          </w:p>
        </w:tc>
      </w:tr>
      <w:tr>
        <w:trPr>
          <w:cantSplit/>
        </w:trPr>
        <w:tc>
          <w:tcPr>
            <w:tcW w:w="3118" w:type="dxa"/>
            <w:tcBorders>
              <w:top w:val="nil"/>
              <w:bottom w:val="nil"/>
            </w:tcBorders>
            <w:shd w:val="clear" w:color="auto" w:fill="auto"/>
          </w:tcPr>
          <w:p>
            <w:pPr>
              <w:pStyle w:val="nTable"/>
              <w:spacing w:after="40"/>
              <w:rPr>
                <w:i/>
              </w:rPr>
            </w:pPr>
            <w:r>
              <w:rPr>
                <w:i/>
              </w:rPr>
              <w:t>Legal Profession Amendment Regulations 2015</w:t>
            </w:r>
          </w:p>
        </w:tc>
        <w:tc>
          <w:tcPr>
            <w:tcW w:w="1276" w:type="dxa"/>
            <w:tcBorders>
              <w:top w:val="nil"/>
              <w:bottom w:val="nil"/>
            </w:tcBorders>
            <w:shd w:val="clear" w:color="auto" w:fill="auto"/>
          </w:tcPr>
          <w:p>
            <w:pPr>
              <w:pStyle w:val="nTable"/>
              <w:spacing w:after="40"/>
            </w:pPr>
            <w:r>
              <w:t>26 Jun 2015 p. 2271</w:t>
            </w:r>
          </w:p>
        </w:tc>
        <w:tc>
          <w:tcPr>
            <w:tcW w:w="2693" w:type="dxa"/>
            <w:tcBorders>
              <w:top w:val="nil"/>
              <w:bottom w:val="nil"/>
            </w:tcBorders>
            <w:shd w:val="clear" w:color="auto" w:fill="auto"/>
          </w:tcPr>
          <w:p>
            <w:pPr>
              <w:pStyle w:val="nTable"/>
              <w:spacing w:after="40"/>
              <w:rPr>
                <w:rFonts w:ascii="Times" w:hAnsi="Times"/>
                <w:snapToGrid w:val="0"/>
              </w:rPr>
            </w:pPr>
            <w:r>
              <w:rPr>
                <w:rFonts w:ascii="Times" w:hAnsi="Times"/>
                <w:snapToGrid w:val="0"/>
              </w:rPr>
              <w:t>r. 1 and 2: 26 Jun 2015 (see r. 2(a));</w:t>
            </w:r>
            <w:r>
              <w:rPr>
                <w:rFonts w:ascii="Times" w:hAnsi="Times"/>
                <w:snapToGrid w:val="0"/>
              </w:rPr>
              <w:br/>
              <w:t xml:space="preserve">Regulations other than r. 1 and 2: 1 Jul 2015 (see r. 2(b)(ii) and </w:t>
            </w:r>
            <w:r>
              <w:rPr>
                <w:rFonts w:ascii="Times" w:hAnsi="Times"/>
                <w:i/>
                <w:snapToGrid w:val="0"/>
              </w:rPr>
              <w:t>Gazette</w:t>
            </w:r>
            <w:r>
              <w:rPr>
                <w:rFonts w:ascii="Times" w:hAnsi="Times"/>
                <w:snapToGrid w:val="0"/>
              </w:rPr>
              <w:t xml:space="preserve"> 26 Jun 2015 p. 2235)</w:t>
            </w:r>
          </w:p>
        </w:tc>
      </w:tr>
      <w:tr>
        <w:trPr>
          <w:cantSplit/>
        </w:trPr>
        <w:tc>
          <w:tcPr>
            <w:tcW w:w="3118" w:type="dxa"/>
            <w:tcBorders>
              <w:top w:val="nil"/>
              <w:bottom w:val="nil"/>
            </w:tcBorders>
            <w:shd w:val="clear" w:color="auto" w:fill="auto"/>
          </w:tcPr>
          <w:p>
            <w:pPr>
              <w:pStyle w:val="nTable"/>
              <w:spacing w:after="40"/>
              <w:rPr>
                <w:i/>
              </w:rPr>
            </w:pPr>
            <w:r>
              <w:rPr>
                <w:i/>
              </w:rPr>
              <w:t>Legal Profession Amendment Regulations (No. 2) 2015</w:t>
            </w:r>
          </w:p>
        </w:tc>
        <w:tc>
          <w:tcPr>
            <w:tcW w:w="1276" w:type="dxa"/>
            <w:tcBorders>
              <w:top w:val="nil"/>
              <w:bottom w:val="nil"/>
            </w:tcBorders>
            <w:shd w:val="clear" w:color="auto" w:fill="auto"/>
          </w:tcPr>
          <w:p>
            <w:pPr>
              <w:pStyle w:val="nTable"/>
              <w:spacing w:after="40"/>
            </w:pPr>
            <w:r>
              <w:t>31 Jul 2015 p. 3118-20</w:t>
            </w:r>
          </w:p>
        </w:tc>
        <w:tc>
          <w:tcPr>
            <w:tcW w:w="2693" w:type="dxa"/>
            <w:tcBorders>
              <w:top w:val="nil"/>
              <w:bottom w:val="nil"/>
            </w:tcBorders>
            <w:shd w:val="clear" w:color="auto" w:fill="auto"/>
          </w:tcPr>
          <w:p>
            <w:pPr>
              <w:pStyle w:val="nTable"/>
              <w:spacing w:after="40"/>
              <w:rPr>
                <w:rFonts w:ascii="Times" w:hAnsi="Times"/>
                <w:snapToGrid w:val="0"/>
              </w:rPr>
            </w:pPr>
            <w:r>
              <w:rPr>
                <w:rFonts w:ascii="Times" w:hAnsi="Times"/>
                <w:snapToGrid w:val="0"/>
              </w:rPr>
              <w:t>r. 1 and 2: 31 Jul 2015 (see r. 2(a));</w:t>
            </w:r>
            <w:r>
              <w:rPr>
                <w:rFonts w:ascii="Times" w:hAnsi="Times"/>
                <w:snapToGrid w:val="0"/>
              </w:rPr>
              <w:br/>
              <w:t>Regulations other than r. 1 and 2: 1 Aug 2015 (see r. 2(b))</w:t>
            </w:r>
          </w:p>
        </w:tc>
      </w:tr>
      <w:tr>
        <w:trPr>
          <w:cantSplit/>
        </w:trPr>
        <w:tc>
          <w:tcPr>
            <w:tcW w:w="3118" w:type="dxa"/>
            <w:tcBorders>
              <w:top w:val="nil"/>
              <w:bottom w:val="nil"/>
            </w:tcBorders>
            <w:shd w:val="clear" w:color="auto" w:fill="auto"/>
          </w:tcPr>
          <w:p>
            <w:pPr>
              <w:pStyle w:val="nTable"/>
              <w:spacing w:after="40"/>
              <w:rPr>
                <w:i/>
              </w:rPr>
            </w:pPr>
            <w:r>
              <w:rPr>
                <w:i/>
              </w:rPr>
              <w:t>Legal Profession Amendment Regulations (No. 3) 2015</w:t>
            </w:r>
          </w:p>
        </w:tc>
        <w:tc>
          <w:tcPr>
            <w:tcW w:w="1276" w:type="dxa"/>
            <w:tcBorders>
              <w:top w:val="nil"/>
              <w:bottom w:val="nil"/>
            </w:tcBorders>
            <w:shd w:val="clear" w:color="auto" w:fill="auto"/>
          </w:tcPr>
          <w:p>
            <w:pPr>
              <w:pStyle w:val="nTable"/>
              <w:spacing w:after="40"/>
            </w:pPr>
            <w:r>
              <w:t>16 Oct 2015 p. 4151</w:t>
            </w:r>
          </w:p>
        </w:tc>
        <w:tc>
          <w:tcPr>
            <w:tcW w:w="2693" w:type="dxa"/>
            <w:tcBorders>
              <w:top w:val="nil"/>
              <w:bottom w:val="nil"/>
            </w:tcBorders>
            <w:shd w:val="clear" w:color="auto" w:fill="auto"/>
          </w:tcPr>
          <w:p>
            <w:pPr>
              <w:pStyle w:val="nTable"/>
              <w:spacing w:after="40"/>
              <w:rPr>
                <w:rFonts w:ascii="Times" w:hAnsi="Times"/>
                <w:snapToGrid w:val="0"/>
              </w:rPr>
            </w:pPr>
            <w:r>
              <w:rPr>
                <w:rFonts w:ascii="Times" w:hAnsi="Times"/>
                <w:bCs/>
                <w:snapToGrid w:val="0"/>
                <w:spacing w:val="-2"/>
              </w:rPr>
              <w:t>r. 1 and 2: 16 Oct 2015 (see r. 2(a));</w:t>
            </w:r>
            <w:r>
              <w:rPr>
                <w:rFonts w:ascii="Times" w:hAnsi="Times"/>
                <w:bCs/>
                <w:snapToGrid w:val="0"/>
                <w:spacing w:val="-2"/>
              </w:rPr>
              <w:br/>
              <w:t>Regulations other than r. 1 and 2: 17 Oct 2015 (see r. 2(b))</w:t>
            </w:r>
          </w:p>
        </w:tc>
      </w:tr>
      <w:tr>
        <w:trPr>
          <w:cantSplit/>
        </w:trPr>
        <w:tc>
          <w:tcPr>
            <w:tcW w:w="3118" w:type="dxa"/>
            <w:tcBorders>
              <w:top w:val="nil"/>
              <w:bottom w:val="nil"/>
            </w:tcBorders>
            <w:shd w:val="clear" w:color="auto" w:fill="auto"/>
          </w:tcPr>
          <w:p>
            <w:pPr>
              <w:pStyle w:val="nTable"/>
              <w:spacing w:after="40"/>
              <w:rPr>
                <w:i/>
              </w:rPr>
            </w:pPr>
            <w:r>
              <w:rPr>
                <w:i/>
              </w:rPr>
              <w:t>Legal Profession Amendment Regulations (No. 4) 2015</w:t>
            </w:r>
          </w:p>
        </w:tc>
        <w:tc>
          <w:tcPr>
            <w:tcW w:w="1276" w:type="dxa"/>
            <w:tcBorders>
              <w:top w:val="nil"/>
              <w:bottom w:val="nil"/>
            </w:tcBorders>
            <w:shd w:val="clear" w:color="auto" w:fill="auto"/>
          </w:tcPr>
          <w:p>
            <w:pPr>
              <w:pStyle w:val="nTable"/>
              <w:spacing w:after="40"/>
            </w:pPr>
            <w:r>
              <w:t>29 Dec 2015 p. 5178</w:t>
            </w:r>
          </w:p>
        </w:tc>
        <w:tc>
          <w:tcPr>
            <w:tcW w:w="2693" w:type="dxa"/>
            <w:tcBorders>
              <w:top w:val="nil"/>
              <w:bottom w:val="nil"/>
            </w:tcBorders>
            <w:shd w:val="clear" w:color="auto" w:fill="auto"/>
          </w:tcPr>
          <w:p>
            <w:pPr>
              <w:pStyle w:val="nTable"/>
              <w:spacing w:after="40"/>
              <w:rPr>
                <w:rFonts w:ascii="Times" w:hAnsi="Times"/>
                <w:bCs/>
                <w:snapToGrid w:val="0"/>
                <w:spacing w:val="-2"/>
              </w:rPr>
            </w:pPr>
            <w:r>
              <w:rPr>
                <w:rFonts w:ascii="Times" w:hAnsi="Times"/>
                <w:bCs/>
                <w:snapToGrid w:val="0"/>
                <w:spacing w:val="-2"/>
              </w:rPr>
              <w:t>r. 1 and 2: 29 Dec 2015 (see r. 2(a));</w:t>
            </w:r>
            <w:r>
              <w:rPr>
                <w:rFonts w:ascii="Times" w:hAnsi="Times"/>
                <w:bCs/>
                <w:snapToGrid w:val="0"/>
                <w:spacing w:val="-2"/>
              </w:rPr>
              <w:br/>
              <w:t>Regulations other than r. 1 and 2: 30 Dec 2015 (see r. 2(b))</w:t>
            </w:r>
          </w:p>
        </w:tc>
      </w:tr>
      <w:tr>
        <w:trPr>
          <w:cantSplit/>
        </w:trPr>
        <w:tc>
          <w:tcPr>
            <w:tcW w:w="3118" w:type="dxa"/>
            <w:tcBorders>
              <w:top w:val="nil"/>
              <w:bottom w:val="nil"/>
            </w:tcBorders>
            <w:shd w:val="clear" w:color="auto" w:fill="auto"/>
          </w:tcPr>
          <w:p>
            <w:pPr>
              <w:pStyle w:val="nTable"/>
              <w:spacing w:after="40"/>
              <w:rPr>
                <w:i/>
              </w:rPr>
            </w:pPr>
            <w:r>
              <w:rPr>
                <w:i/>
              </w:rPr>
              <w:t>Legal Profession Amendment Regulations 2016</w:t>
            </w:r>
          </w:p>
        </w:tc>
        <w:tc>
          <w:tcPr>
            <w:tcW w:w="1276" w:type="dxa"/>
            <w:tcBorders>
              <w:top w:val="nil"/>
              <w:bottom w:val="nil"/>
            </w:tcBorders>
            <w:shd w:val="clear" w:color="auto" w:fill="auto"/>
          </w:tcPr>
          <w:p>
            <w:pPr>
              <w:pStyle w:val="nTable"/>
              <w:spacing w:after="40"/>
            </w:pPr>
            <w:r>
              <w:t>19 Jul 2016 p. 2959</w:t>
            </w:r>
          </w:p>
        </w:tc>
        <w:tc>
          <w:tcPr>
            <w:tcW w:w="2693" w:type="dxa"/>
            <w:tcBorders>
              <w:top w:val="nil"/>
              <w:bottom w:val="nil"/>
            </w:tcBorders>
            <w:shd w:val="clear" w:color="auto" w:fill="auto"/>
          </w:tcPr>
          <w:p>
            <w:pPr>
              <w:pStyle w:val="nTable"/>
              <w:spacing w:after="40"/>
              <w:rPr>
                <w:rFonts w:ascii="Times" w:hAnsi="Times"/>
                <w:bCs/>
                <w:snapToGrid w:val="0"/>
                <w:spacing w:val="-2"/>
              </w:rPr>
            </w:pPr>
            <w:r>
              <w:rPr>
                <w:rFonts w:ascii="Times" w:hAnsi="Times"/>
                <w:bCs/>
                <w:snapToGrid w:val="0"/>
                <w:spacing w:val="-2"/>
              </w:rPr>
              <w:t>r. 1 and 2: 19 Jul 2016 (see r. 2(a));</w:t>
            </w:r>
            <w:r>
              <w:rPr>
                <w:rFonts w:ascii="Times" w:hAnsi="Times"/>
                <w:bCs/>
                <w:snapToGrid w:val="0"/>
                <w:spacing w:val="-2"/>
              </w:rPr>
              <w:br/>
              <w:t>Regulations other than r. 1 and 2: 20 Jul 2016 (see r. 2(b))</w:t>
            </w:r>
          </w:p>
        </w:tc>
      </w:tr>
      <w:tr>
        <w:trPr>
          <w:cantSplit/>
        </w:trPr>
        <w:tc>
          <w:tcPr>
            <w:tcW w:w="7087" w:type="dxa"/>
            <w:gridSpan w:val="3"/>
            <w:tcBorders>
              <w:top w:val="nil"/>
              <w:bottom w:val="single" w:sz="8" w:space="0" w:color="auto"/>
            </w:tcBorders>
            <w:shd w:val="clear" w:color="auto" w:fill="auto"/>
          </w:tcPr>
          <w:p>
            <w:pPr>
              <w:pStyle w:val="nTable"/>
              <w:keepNext/>
              <w:keepLines/>
              <w:spacing w:after="40"/>
              <w:rPr>
                <w:rFonts w:ascii="Times" w:hAnsi="Times"/>
                <w:bCs/>
                <w:snapToGrid w:val="0"/>
                <w:spacing w:val="-2"/>
              </w:rPr>
            </w:pPr>
            <w:r>
              <w:rPr>
                <w:rFonts w:ascii="Times" w:hAnsi="Times"/>
                <w:b/>
                <w:bCs/>
                <w:snapToGrid w:val="0"/>
                <w:spacing w:val="-2"/>
              </w:rPr>
              <w:t xml:space="preserve">Reprint 2: The </w:t>
            </w:r>
            <w:r>
              <w:rPr>
                <w:rFonts w:ascii="Times" w:hAnsi="Times"/>
                <w:b/>
                <w:bCs/>
                <w:i/>
                <w:noProof/>
                <w:snapToGrid w:val="0"/>
                <w:spacing w:val="-2"/>
              </w:rPr>
              <w:t>Legal Profession Regulations 2009</w:t>
            </w:r>
            <w:r>
              <w:rPr>
                <w:rFonts w:ascii="Times" w:hAnsi="Times"/>
                <w:b/>
                <w:bCs/>
                <w:snapToGrid w:val="0"/>
                <w:spacing w:val="-2"/>
              </w:rPr>
              <w:t xml:space="preserve"> as at 3 Mar 2017</w:t>
            </w:r>
            <w:r>
              <w:rPr>
                <w:rFonts w:ascii="Times" w:hAnsi="Times"/>
                <w:bCs/>
                <w:snapToGrid w:val="0"/>
                <w:spacing w:val="-2"/>
              </w:rPr>
              <w:t xml:space="preserve"> (includes amendments listed above)</w:t>
            </w:r>
          </w:p>
        </w:tc>
      </w:tr>
    </w:tbl>
    <w:p>
      <w:pPr>
        <w:pStyle w:val="nSubsection"/>
        <w:keepNext/>
        <w:keepLines/>
      </w:pPr>
      <w:r>
        <w:rPr>
          <w:vertAlign w:val="superscript"/>
        </w:rPr>
        <w:t>2</w:t>
      </w:r>
      <w:r>
        <w:tab/>
        <w:t xml:space="preserve">Formerly referred to the </w:t>
      </w:r>
      <w:r>
        <w:rPr>
          <w:i/>
        </w:rPr>
        <w:t>Water Corporation Act 1995</w:t>
      </w:r>
      <w:r>
        <w:t xml:space="preserve">, the short title of which was changed to the </w:t>
      </w:r>
      <w:r>
        <w:rPr>
          <w:i/>
        </w:rPr>
        <w:t>Water Corporations Act 1995</w:t>
      </w:r>
      <w:r>
        <w:t xml:space="preserve"> by the </w:t>
      </w:r>
      <w:r>
        <w:rPr>
          <w:i/>
        </w:rPr>
        <w:t>Water Services Legislation Amendment and Repeal Act 2012</w:t>
      </w:r>
      <w:r>
        <w:t xml:space="preserve"> s. 112. The reference was changed under the </w:t>
      </w:r>
      <w:r>
        <w:rPr>
          <w:i/>
        </w:rPr>
        <w:t>Reprints At 1984</w:t>
      </w:r>
      <w:r>
        <w:t xml:space="preserve"> s. 7(3)(gb).</w:t>
      </w:r>
    </w:p>
    <w:p/>
    <w:p>
      <w:pPr>
        <w:sectPr>
          <w:headerReference w:type="even" r:id="rId31"/>
          <w:headerReference w:type="default" r:id="rId32"/>
          <w:headerReference w:type="first" r:id="rId33"/>
          <w:endnotePr>
            <w:numFmt w:val="decimal"/>
          </w:endnotePr>
          <w:pgSz w:w="11907" w:h="16840" w:code="9"/>
          <w:pgMar w:top="2376" w:right="2404" w:bottom="3544" w:left="2404" w:header="720" w:footer="3380" w:gutter="0"/>
          <w:cols w:space="720"/>
          <w:noEndnote/>
          <w:docGrid w:linePitch="326"/>
        </w:sectPr>
      </w:pPr>
    </w:p>
    <w:p>
      <w:pPr>
        <w:pStyle w:val="nHeading2"/>
        <w:rPr>
          <w:sz w:val="28"/>
        </w:rPr>
      </w:pPr>
      <w:bookmarkStart w:id="285" w:name="DefinedTerms"/>
      <w:bookmarkStart w:id="286" w:name="_Toc466893860"/>
      <w:bookmarkStart w:id="287" w:name="_Toc467498512"/>
      <w:bookmarkStart w:id="288" w:name="_Toc476040641"/>
      <w:bookmarkStart w:id="289" w:name="_Toc476041125"/>
      <w:bookmarkEnd w:id="285"/>
      <w:r>
        <w:rPr>
          <w:sz w:val="28"/>
        </w:rPr>
        <w:t>Defined terms</w:t>
      </w:r>
      <w:bookmarkEnd w:id="286"/>
      <w:bookmarkEnd w:id="287"/>
      <w:bookmarkEnd w:id="288"/>
      <w:bookmarkEnd w:id="28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2003 Act</w:t>
      </w:r>
      <w:r>
        <w:tab/>
        <w:t>113</w:t>
      </w:r>
    </w:p>
    <w:p>
      <w:pPr>
        <w:pStyle w:val="DefinedTerms"/>
      </w:pPr>
      <w:r>
        <w:t>2004 Rules</w:t>
      </w:r>
      <w:r>
        <w:tab/>
        <w:t>113</w:t>
      </w:r>
    </w:p>
    <w:p>
      <w:pPr>
        <w:pStyle w:val="DefinedTerms"/>
      </w:pPr>
      <w:r>
        <w:t>2008 Act</w:t>
      </w:r>
      <w:r>
        <w:tab/>
        <w:t>113</w:t>
      </w:r>
    </w:p>
    <w:p>
      <w:pPr>
        <w:pStyle w:val="DefinedTerms"/>
      </w:pPr>
      <w:r>
        <w:t>approved CPD arrangements</w:t>
      </w:r>
      <w:r>
        <w:tab/>
        <w:t>12(1)</w:t>
      </w:r>
    </w:p>
    <w:p>
      <w:pPr>
        <w:pStyle w:val="DefinedTerms"/>
      </w:pPr>
      <w:r>
        <w:t>associate</w:t>
      </w:r>
      <w:r>
        <w:tab/>
        <w:t>44(1), 45(1), 50(3), 57(1)</w:t>
      </w:r>
    </w:p>
    <w:p>
      <w:pPr>
        <w:pStyle w:val="DefinedTerms"/>
      </w:pPr>
      <w:r>
        <w:t>Australian law</w:t>
      </w:r>
      <w:r>
        <w:tab/>
        <w:t>5(1)</w:t>
      </w:r>
    </w:p>
    <w:p>
      <w:pPr>
        <w:pStyle w:val="DefinedTerms"/>
      </w:pPr>
      <w:r>
        <w:t>authorised</w:t>
      </w:r>
      <w:r>
        <w:tab/>
        <w:t>44(1), 45(1), 50(3), 57(1)</w:t>
      </w:r>
    </w:p>
    <w:p>
      <w:pPr>
        <w:pStyle w:val="DefinedTerms"/>
      </w:pPr>
      <w:r>
        <w:t>barrister’s indorsement</w:t>
      </w:r>
      <w:r>
        <w:tab/>
        <w:t>5(1)</w:t>
      </w:r>
    </w:p>
    <w:p>
      <w:pPr>
        <w:pStyle w:val="DefinedTerms"/>
      </w:pPr>
      <w:r>
        <w:t>BSB number</w:t>
      </w:r>
      <w:r>
        <w:tab/>
        <w:t>34</w:t>
      </w:r>
    </w:p>
    <w:p>
      <w:pPr>
        <w:pStyle w:val="DefinedTerms"/>
      </w:pPr>
      <w:r>
        <w:t>Cash Rate Target</w:t>
      </w:r>
      <w:r>
        <w:tab/>
        <w:t>79(3)</w:t>
      </w:r>
    </w:p>
    <w:p>
      <w:pPr>
        <w:pStyle w:val="DefinedTerms"/>
      </w:pPr>
      <w:r>
        <w:t>commencement day</w:t>
      </w:r>
      <w:r>
        <w:tab/>
        <w:t>113</w:t>
      </w:r>
    </w:p>
    <w:p>
      <w:pPr>
        <w:pStyle w:val="DefinedTerms"/>
      </w:pPr>
      <w:r>
        <w:t>community legal centre</w:t>
      </w:r>
      <w:r>
        <w:tab/>
        <w:t>3</w:t>
      </w:r>
    </w:p>
    <w:p>
      <w:pPr>
        <w:pStyle w:val="DefinedTerms"/>
      </w:pPr>
      <w:r>
        <w:t>CPD period</w:t>
      </w:r>
      <w:r>
        <w:tab/>
        <w:t>16(1)</w:t>
      </w:r>
    </w:p>
    <w:p>
      <w:pPr>
        <w:pStyle w:val="DefinedTerms"/>
      </w:pPr>
      <w:r>
        <w:t>CPD rules</w:t>
      </w:r>
      <w:r>
        <w:tab/>
        <w:t>12(1)</w:t>
      </w:r>
    </w:p>
    <w:p>
      <w:pPr>
        <w:pStyle w:val="DefinedTerms"/>
      </w:pPr>
      <w:r>
        <w:t>dispute resolution</w:t>
      </w:r>
      <w:r>
        <w:tab/>
        <w:t>25(3)</w:t>
      </w:r>
    </w:p>
    <w:p>
      <w:pPr>
        <w:pStyle w:val="DefinedTerms"/>
      </w:pPr>
      <w:r>
        <w:t>employee</w:t>
      </w:r>
      <w:r>
        <w:tab/>
        <w:t>5(1)</w:t>
      </w:r>
    </w:p>
    <w:p>
      <w:pPr>
        <w:pStyle w:val="DefinedTerms"/>
      </w:pPr>
      <w:r>
        <w:t>employing authority</w:t>
      </w:r>
      <w:r>
        <w:tab/>
        <w:t>12(1)</w:t>
      </w:r>
    </w:p>
    <w:p>
      <w:pPr>
        <w:pStyle w:val="DefinedTerms"/>
      </w:pPr>
      <w:r>
        <w:t>entity</w:t>
      </w:r>
      <w:r>
        <w:tab/>
        <w:t>3</w:t>
      </w:r>
    </w:p>
    <w:p>
      <w:pPr>
        <w:pStyle w:val="DefinedTerms"/>
      </w:pPr>
      <w:r>
        <w:t>exempt practitioner</w:t>
      </w:r>
      <w:r>
        <w:tab/>
        <w:t>83</w:t>
      </w:r>
    </w:p>
    <w:p>
      <w:pPr>
        <w:pStyle w:val="DefinedTerms"/>
      </w:pPr>
      <w:r>
        <w:t>existing notice of intention</w:t>
      </w:r>
      <w:r>
        <w:tab/>
        <w:t>117(1)</w:t>
      </w:r>
    </w:p>
    <w:p>
      <w:pPr>
        <w:pStyle w:val="DefinedTerms"/>
      </w:pPr>
      <w:r>
        <w:t>external administrator</w:t>
      </w:r>
      <w:r>
        <w:tab/>
        <w:t>24(1)</w:t>
      </w:r>
    </w:p>
    <w:p>
      <w:pPr>
        <w:pStyle w:val="DefinedTerms"/>
      </w:pPr>
      <w:r>
        <w:t>external intervener</w:t>
      </w:r>
      <w:r>
        <w:tab/>
        <w:t>50(3)</w:t>
      </w:r>
    </w:p>
    <w:p>
      <w:pPr>
        <w:pStyle w:val="DefinedTerms"/>
      </w:pPr>
      <w:r>
        <w:t>government agency</w:t>
      </w:r>
      <w:r>
        <w:tab/>
        <w:t>5(1), 12(1)</w:t>
      </w:r>
    </w:p>
    <w:p>
      <w:pPr>
        <w:pStyle w:val="DefinedTerms"/>
      </w:pPr>
      <w:r>
        <w:t>Law Mutual Fund</w:t>
      </w:r>
      <w:r>
        <w:tab/>
        <w:t>83</w:t>
      </w:r>
    </w:p>
    <w:p>
      <w:pPr>
        <w:pStyle w:val="DefinedTerms"/>
      </w:pPr>
      <w:r>
        <w:t>law practice</w:t>
      </w:r>
      <w:r>
        <w:tab/>
        <w:t>53(1), 74(1)</w:t>
      </w:r>
    </w:p>
    <w:p>
      <w:pPr>
        <w:pStyle w:val="DefinedTerms"/>
      </w:pPr>
      <w:r>
        <w:t>lay associate</w:t>
      </w:r>
      <w:r>
        <w:tab/>
        <w:t>6(1)</w:t>
      </w:r>
    </w:p>
    <w:p>
      <w:pPr>
        <w:pStyle w:val="DefinedTerms"/>
      </w:pPr>
      <w:r>
        <w:t xml:space="preserve">Legal Aid Commission </w:t>
      </w:r>
      <w:r>
        <w:tab/>
        <w:t>3</w:t>
      </w:r>
    </w:p>
    <w:p>
      <w:pPr>
        <w:pStyle w:val="DefinedTerms"/>
      </w:pPr>
      <w:r>
        <w:t>matter description</w:t>
      </w:r>
      <w:r>
        <w:tab/>
        <w:t>34</w:t>
      </w:r>
    </w:p>
    <w:p>
      <w:pPr>
        <w:pStyle w:val="DefinedTerms"/>
      </w:pPr>
      <w:r>
        <w:t>matter reference</w:t>
      </w:r>
      <w:r>
        <w:tab/>
        <w:t>34</w:t>
      </w:r>
    </w:p>
    <w:p>
      <w:pPr>
        <w:pStyle w:val="DefinedTerms"/>
      </w:pPr>
      <w:r>
        <w:t>national insurance</w:t>
      </w:r>
      <w:r>
        <w:tab/>
        <w:t>97(4)</w:t>
      </w:r>
    </w:p>
    <w:p>
      <w:pPr>
        <w:pStyle w:val="DefinedTerms"/>
      </w:pPr>
      <w:r>
        <w:t>national law practice</w:t>
      </w:r>
      <w:r>
        <w:tab/>
        <w:t>97(4)</w:t>
      </w:r>
    </w:p>
    <w:p>
      <w:pPr>
        <w:pStyle w:val="DefinedTerms"/>
      </w:pPr>
      <w:r>
        <w:t>PII arrangement</w:t>
      </w:r>
      <w:r>
        <w:tab/>
        <w:t>83</w:t>
      </w:r>
    </w:p>
    <w:p>
      <w:pPr>
        <w:pStyle w:val="DefinedTerms"/>
      </w:pPr>
      <w:r>
        <w:t>prescribed WA government lawyer</w:t>
      </w:r>
      <w:r>
        <w:tab/>
        <w:t>14(5)</w:t>
      </w:r>
    </w:p>
    <w:p>
      <w:pPr>
        <w:pStyle w:val="DefinedTerms"/>
      </w:pPr>
      <w:r>
        <w:t>professional indemnity insurance</w:t>
      </w:r>
      <w:r>
        <w:tab/>
        <w:t>83</w:t>
      </w:r>
    </w:p>
    <w:p>
      <w:pPr>
        <w:pStyle w:val="DefinedTerms"/>
      </w:pPr>
      <w:r>
        <w:t>protected person</w:t>
      </w:r>
      <w:r>
        <w:tab/>
        <w:t>23(7)</w:t>
      </w:r>
    </w:p>
    <w:p>
      <w:pPr>
        <w:pStyle w:val="DefinedTerms"/>
      </w:pPr>
      <w:r>
        <w:t>QA provider</w:t>
      </w:r>
      <w:r>
        <w:tab/>
        <w:t>12(1)</w:t>
      </w:r>
    </w:p>
    <w:p>
      <w:pPr>
        <w:pStyle w:val="DefinedTerms"/>
      </w:pPr>
      <w:r>
        <w:t>relevant date</w:t>
      </w:r>
      <w:r>
        <w:tab/>
        <w:t>79(3)</w:t>
      </w:r>
    </w:p>
    <w:p>
      <w:pPr>
        <w:pStyle w:val="DefinedTerms"/>
      </w:pPr>
      <w:r>
        <w:t>relevant period</w:t>
      </w:r>
      <w:r>
        <w:tab/>
        <w:t>120(1), 121</w:t>
      </w:r>
    </w:p>
    <w:p>
      <w:pPr>
        <w:pStyle w:val="DefinedTerms"/>
      </w:pPr>
      <w:r>
        <w:t>renewal day</w:t>
      </w:r>
      <w:r>
        <w:tab/>
        <w:t>83</w:t>
      </w:r>
    </w:p>
    <w:p>
      <w:pPr>
        <w:pStyle w:val="DefinedTerms"/>
      </w:pPr>
      <w:r>
        <w:t>required experience</w:t>
      </w:r>
      <w:r>
        <w:tab/>
        <w:t>7(1)</w:t>
      </w:r>
    </w:p>
    <w:p>
      <w:pPr>
        <w:pStyle w:val="DefinedTerms"/>
      </w:pPr>
      <w:r>
        <w:t>required particulars</w:t>
      </w:r>
      <w:r>
        <w:tab/>
        <w:t>41(5), 44(7), 45(6), 55(6), 57(5)</w:t>
      </w:r>
    </w:p>
    <w:p>
      <w:pPr>
        <w:pStyle w:val="DefinedTerms"/>
      </w:pPr>
      <w:r>
        <w:t>sophisticated client</w:t>
      </w:r>
      <w:r>
        <w:tab/>
        <w:t>61(1)</w:t>
      </w:r>
    </w:p>
    <w:p>
      <w:pPr>
        <w:pStyle w:val="DefinedTerms"/>
      </w:pPr>
      <w:r>
        <w:t>trust money</w:t>
      </w:r>
      <w:r>
        <w:tab/>
        <w:t>34</w:t>
      </w:r>
    </w:p>
    <w:p>
      <w:pPr>
        <w:pStyle w:val="DefinedTerms"/>
      </w:pPr>
      <w:r>
        <w:t>WA government lawyer</w:t>
      </w:r>
      <w:r>
        <w:tab/>
        <w:t>12(1)</w:t>
      </w:r>
    </w:p>
    <w:p>
      <w:pPr>
        <w:pStyle w:val="DefinedTerms"/>
      </w:pPr>
      <w:r>
        <w:t>working day</w:t>
      </w:r>
      <w:r>
        <w:tab/>
        <w:t>109(4)</w:t>
      </w:r>
    </w:p>
    <w:p/>
    <w:p>
      <w:pPr>
        <w:sectPr>
          <w:headerReference w:type="even" r:id="rId34"/>
          <w:headerReference w:type="default" r:id="rId35"/>
          <w:headerReference w:type="first" r:id="rId36"/>
          <w:endnotePr>
            <w:numFmt w:val="decimal"/>
          </w:endnotePr>
          <w:pgSz w:w="11907" w:h="16840" w:code="9"/>
          <w:pgMar w:top="2376" w:right="2404" w:bottom="3544" w:left="2404" w:header="720" w:footer="3380" w:gutter="0"/>
          <w:cols w:space="720"/>
          <w:noEndnote/>
          <w:docGrid w:linePitch="326"/>
        </w:sectPr>
      </w:pPr>
    </w:p>
    <w:p>
      <w:r>
        <w:rPr>
          <w:noProof/>
        </w:rPr>
        <mc:AlternateContent>
          <mc:Choice Requires="wps">
            <w:drawing>
              <wp:anchor distT="0" distB="0" distL="114300" distR="114300" simplePos="0" relativeHeight="251663360" behindDoc="0" locked="0" layoutInCell="1" allowOverlap="1">
                <wp:simplePos x="0" y="0"/>
                <wp:positionH relativeFrom="page">
                  <wp:align>center</wp:align>
                </wp:positionH>
                <wp:positionV relativeFrom="page">
                  <wp:align>bottom</wp:align>
                </wp:positionV>
                <wp:extent cx="130628" cy="2451100"/>
                <wp:effectExtent l="0" t="0" r="1905" b="6350"/>
                <wp:wrapNone/>
                <wp:docPr id="1" name="Authority"/>
                <wp:cNvGraphicFramePr/>
                <a:graphic xmlns:a="http://schemas.openxmlformats.org/drawingml/2006/main">
                  <a:graphicData uri="http://schemas.microsoft.com/office/word/2010/wordprocessingShape">
                    <wps:wsp>
                      <wps:cNvSpPr txBox="1"/>
                      <wps:spPr>
                        <a:xfrm>
                          <a:off x="0" y="0"/>
                          <a:ext cx="130628" cy="2451100"/>
                        </a:xfrm>
                        <a:prstGeom prst="rect">
                          <a:avLst/>
                        </a:prstGeom>
                        <a:solidFill>
                          <a:srgbClr val="FFFFFF"/>
                        </a:solid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Bdr>
                                <w:top w:val="double" w:sz="4" w:space="0" w:color="auto"/>
                              </w:pBdr>
                              <w:ind w:left="2381" w:right="2381"/>
                              <w:jc w:val="center"/>
                              <w:rPr>
                                <w:rFonts w:ascii="Arial" w:hAnsi="Arial" w:cs="Arial"/>
                                <w:sz w:val="12"/>
                              </w:rPr>
                            </w:pPr>
                            <w:r>
                              <w:rPr>
                                <w:rFonts w:ascii="Arial" w:hAnsi="Arial" w:cs="Arial"/>
                                <w:sz w:val="12"/>
                              </w:rPr>
                              <w:t>By Authority: KEVIN J. McRAE,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 id="Authority" o:spid="_x0000_s1041" type="#_x0000_t202" style="position:absolute;margin-left:0;margin-top:0;width:10.3pt;height:193pt;z-index:251663360;visibility:visible;mso-wrap-style:square;mso-width-percent:1000;mso-height-percent:0;mso-wrap-distance-left:9pt;mso-wrap-distance-top:0;mso-wrap-distance-right:9pt;mso-wrap-distance-bottom:0;mso-position-horizontal:center;mso-position-horizontal-relative:page;mso-position-vertical:bottom;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" stroked="f" strokeweight=".5pt">
                <v:textbox>
                  <w:txbxContent>
                    <w:p w:rsidR="00FF30B7" w:rsidRDefault="00FF30B7">
                      <w:pPr>
                        <w:pBdr>
                          <w:top w:val="double" w:sz="4" w:space="0" w:color="auto"/>
                        </w:pBdr>
                        <w:ind w:left="2381" w:right="2381"/>
                        <w:jc w:val="center"/>
                        <w:rPr>
                          <w:rFonts w:ascii="Arial" w:hAnsi="Arial" w:cs="Arial"/>
                          <w:sz w:val="12"/>
                        </w:rPr>
                      </w:pPr>
                      <w:r>
                        <w:rPr>
                          <w:rFonts w:ascii="Arial" w:hAnsi="Arial" w:cs="Arial"/>
                          <w:sz w:val="12"/>
                        </w:rPr>
                        <w:t xml:space="preserve">By Authority: KEVIN J. </w:t>
                      </w:r>
                      <w:proofErr w:type="spellStart"/>
                      <w:r>
                        <w:rPr>
                          <w:rFonts w:ascii="Arial" w:hAnsi="Arial" w:cs="Arial"/>
                          <w:sz w:val="12"/>
                        </w:rPr>
                        <w:t>McRAE</w:t>
                      </w:r>
                      <w:proofErr w:type="spellEnd"/>
                      <w:r>
                        <w:rPr>
                          <w:rFonts w:ascii="Arial" w:hAnsi="Arial" w:cs="Arial"/>
                          <w:sz w:val="12"/>
                        </w:rPr>
                        <w:t>, Government Printer</w:t>
                      </w:r>
                    </w:p>
                  </w:txbxContent>
                </v:textbox>
                <w10:wrap anchorx="page" anchory="page"/>
              </v:shape>
            </w:pict>
          </mc:Fallback>
        </mc:AlternateContent>
      </w:r>
    </w:p>
    <w:sectPr>
      <w:headerReference w:type="even" r:id="rId37"/>
      <w:headerReference w:type="default" r:id="rId38"/>
      <w:footerReference w:type="even" r:id="rId39"/>
      <w:footerReference w:type="default" r:id="rId40"/>
      <w:headerReference w:type="first" r:id="rId41"/>
      <w:footerReference w:type="first" r:id="rId42"/>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viii</w:t>
    </w:r>
    <w:r>
      <w:rPr>
        <w:sz w:val="20"/>
      </w:rPr>
      <w:fldChar w:fldCharType="end"/>
    </w:r>
    <w:r>
      <w:rPr>
        <w:sz w:val="20"/>
      </w:rPr>
      <w:tab/>
      <w:t xml:space="preserve">Reprint </w:t>
    </w:r>
    <w:r>
      <w:rPr>
        <w:sz w:val="20"/>
      </w:rPr>
      <w:fldChar w:fldCharType="begin"/>
    </w:r>
    <w:r>
      <w:rPr>
        <w:sz w:val="20"/>
      </w:rPr>
      <w:instrText xml:space="preserve"> DOCPROPERTY "ReprintNo" </w:instrText>
    </w:r>
    <w:r>
      <w:rPr>
        <w:sz w:val="20"/>
      </w:rPr>
      <w:fldChar w:fldCharType="separate"/>
    </w:r>
    <w:r>
      <w:rPr>
        <w:sz w:val="20"/>
      </w:rPr>
      <w:t>2</w:t>
    </w:r>
    <w:r>
      <w:rPr>
        <w:sz w:val="20"/>
      </w:rPr>
      <w:fldChar w:fldCharType="end"/>
    </w:r>
  </w:p>
  <w:p>
    <w:pPr>
      <w:pStyle w:val="Footer"/>
      <w:rPr>
        <w:sz w:val="16"/>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101</w:t>
    </w:r>
    <w:r>
      <w:rPr>
        <w:sz w:val="20"/>
      </w:rPr>
      <w:fldChar w:fldCharType="end"/>
    </w:r>
  </w:p>
  <w:p>
    <w:pPr>
      <w:pStyle w:val="Footer"/>
      <w:rPr>
        <w:sz w:val="16"/>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rPr>
        <w:sz w:val="16"/>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102</w:t>
    </w:r>
    <w:r>
      <w:rPr>
        <w:sz w:val="20"/>
      </w:rPr>
      <w:fldChar w:fldCharType="end"/>
    </w:r>
    <w:r>
      <w:rPr>
        <w:sz w:val="20"/>
      </w:rPr>
      <w:tab/>
      <w:t xml:space="preserve">Reprint </w:t>
    </w:r>
    <w:r>
      <w:rPr>
        <w:sz w:val="20"/>
      </w:rPr>
      <w:fldChar w:fldCharType="begin"/>
    </w:r>
    <w:r>
      <w:rPr>
        <w:sz w:val="20"/>
      </w:rPr>
      <w:instrText xml:space="preserve"> DOCPROPERTY "ReprintNo" </w:instrText>
    </w:r>
    <w:r>
      <w:rPr>
        <w:sz w:val="20"/>
      </w:rPr>
      <w:fldChar w:fldCharType="separate"/>
    </w:r>
    <w:r>
      <w:rPr>
        <w:sz w:val="20"/>
      </w:rPr>
      <w:t>2</w:t>
    </w:r>
    <w:r>
      <w:rPr>
        <w:sz w:val="20"/>
      </w:rPr>
      <w:fldChar w:fldCharType="end"/>
    </w:r>
  </w:p>
  <w:p>
    <w:pPr>
      <w:pStyle w:val="Footer"/>
      <w:rPr>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nTable"/>
      </w:pPr>
      <w:r>
        <w:separator/>
      </w:r>
    </w:p>
  </w:footnote>
  <w:footnote w:type="continuationSeparator" w:id="0">
    <w:p>
      <w:pPr>
        <w:pStyle w:val="nTable"/>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Legal Profession Regulations 2009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Legal Profession Regulations 2009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Legal Profession Regulations 2009</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Legal Profession Regulations 2009</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Legal Profession Regulations 2009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rPr>
              <w:b/>
            </w:rPr>
          </w:pPr>
        </w:p>
      </w:tc>
      <w:tc>
        <w:tcPr>
          <w:tcW w:w="5715" w:type="dxa"/>
        </w:tcPr>
        <w:p>
          <w:pPr>
            <w:pStyle w:val="Header"/>
            <w:spacing w:before="40"/>
          </w:pP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r>
            <w:t xml:space="preserve"> </w:t>
          </w:r>
        </w:p>
      </w:tc>
      <w:tc>
        <w:tcPr>
          <w:tcW w:w="5715" w:type="dxa"/>
        </w:tcPr>
        <w:p>
          <w:pPr>
            <w:pStyle w:val="Header"/>
            <w:spacing w:before="40"/>
          </w:pPr>
          <w:r>
            <w:fldChar w:fldCharType="begin"/>
          </w:r>
          <w:r>
            <w:instrText xml:space="preserve"> styleref CharSDivText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Legal Profession Regulations 2009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rPr>
              <w:b/>
            </w:rPr>
          </w:pP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bl>
  <w:p>
    <w:pPr>
      <w:pStyle w:val="Header"/>
      <w:pBdr>
        <w:top w:val="single" w:sz="4" w:space="1" w:color="auto"/>
      </w:pBdr>
    </w:pPr>
    <w:bookmarkStart w:id="278" w:name="Schedule"/>
    <w:bookmarkEnd w:id="27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Legal Profession Regulations 2009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Legal Profession Regulations 2009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84" w:name="Compilation"/>
    <w:bookmarkEnd w:id="284"/>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Legal Profession Regulations 2009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rPr>
              <w:b/>
            </w:rP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Legal Profession Regulations 2009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rPr>
              <w:b/>
            </w:rP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90" w:name="Coversheet"/>
    <w:bookmarkEnd w:id="29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lvlText w:val="%1."/>
      <w:lvlJc w:val="left"/>
      <w:pPr>
        <w:tabs>
          <w:tab w:val="num" w:pos="1492"/>
        </w:tabs>
        <w:ind w:left="1492" w:hanging="360"/>
      </w:pPr>
    </w:lvl>
  </w:abstractNum>
  <w:abstractNum w:abstractNumId="1">
    <w:nsid w:val="FFFFFF7D"/>
    <w:multiLevelType w:val="singleLevel"/>
    <w:tmpl w:val="EF88F740"/>
    <w:lvl w:ilvl="0">
      <w:start w:val="1"/>
      <w:numFmt w:val="decimal"/>
      <w:lvlText w:val="%1."/>
      <w:lvlJc w:val="left"/>
      <w:pPr>
        <w:tabs>
          <w:tab w:val="num" w:pos="1209"/>
        </w:tabs>
        <w:ind w:left="1209" w:hanging="360"/>
      </w:pPr>
    </w:lvl>
  </w:abstractNum>
  <w:abstractNum w:abstractNumId="2">
    <w:nsid w:val="FFFFFF7E"/>
    <w:multiLevelType w:val="singleLevel"/>
    <w:tmpl w:val="4E44E0D6"/>
    <w:lvl w:ilvl="0">
      <w:start w:val="1"/>
      <w:numFmt w:val="decimal"/>
      <w:lvlText w:val="%1."/>
      <w:lvlJc w:val="left"/>
      <w:pPr>
        <w:tabs>
          <w:tab w:val="num" w:pos="926"/>
        </w:tabs>
        <w:ind w:left="926" w:hanging="360"/>
      </w:pPr>
    </w:lvl>
  </w:abstractNum>
  <w:abstractNum w:abstractNumId="3">
    <w:nsid w:val="FFFFFF7F"/>
    <w:multiLevelType w:val="singleLevel"/>
    <w:tmpl w:val="615A2A1E"/>
    <w:lvl w:ilvl="0">
      <w:start w:val="1"/>
      <w:numFmt w:val="decimal"/>
      <w:lvlText w:val="%1."/>
      <w:lvlJc w:val="left"/>
      <w:pPr>
        <w:tabs>
          <w:tab w:val="num" w:pos="643"/>
        </w:tabs>
        <w:ind w:left="643" w:hanging="360"/>
      </w:pPr>
    </w:lvl>
  </w:abstractNum>
  <w:abstractNum w:abstractNumId="4">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lvlText w:val="%1."/>
      <w:lvlJc w:val="left"/>
      <w:pPr>
        <w:tabs>
          <w:tab w:val="num" w:pos="360"/>
        </w:tabs>
        <w:ind w:left="360" w:hanging="360"/>
      </w:pPr>
    </w:lvl>
  </w:abstractNum>
  <w:abstractNum w:abstractNumId="9">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8">
    <w:nsid w:val="3D1E65BA"/>
    <w:multiLevelType w:val="multilevel"/>
    <w:tmpl w:val="54E8C354"/>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nsid w:val="3FB131E4"/>
    <w:multiLevelType w:val="multilevel"/>
    <w:tmpl w:val="54E8C354"/>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18"/>
  </w:num>
  <w:num w:numId="3">
    <w:abstractNumId w:val="19"/>
  </w:num>
  <w:num w:numId="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10241"/>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1114132810"/>
    <w:docVar w:name="WAFER_20140203111243" w:val="RemoveTocBookmarks,RemoveUnusedBookmarks,RemoveLanguageTags,UsedStyles,ResetPageSize,UpdateArrangement"/>
    <w:docVar w:name="WAFER_20140203111243_GUID" w:val="3c0ad1ae-baaf-4171-ac44-2cc740f8b70b"/>
    <w:docVar w:name="WAFER_20140203111630" w:val="RemoveTocBookmarks,RunningHeaders"/>
    <w:docVar w:name="WAFER_20140203111630_GUID" w:val="64af999e-d871-4d62-8843-ba29ecc8d583"/>
    <w:docVar w:name="WAFER_20140411103639" w:val="RemoveTocBookmarks,RunningHeaders"/>
    <w:docVar w:name="WAFER_20140411103639_GUID" w:val="a1a8612c-52a0-4754-8665-d27f3af65ed0"/>
    <w:docVar w:name="WAFER_20150527161617" w:val="ResetPageSize,UpdateArrangement,UpdateNTable"/>
    <w:docVar w:name="WAFER_20150527161617_GUID" w:val="da85b9db-c575-469e-ad34-5c1d53a206f8"/>
    <w:docVar w:name="WAFER_20150730120527" w:val="RemoveTocBookmarks,RemoveUnusedBookmarks,RemoveLanguageTags,UsedStyles,ResetPageSize"/>
    <w:docVar w:name="WAFER_20150730120527_GUID" w:val="5420a31c-25cb-4d16-89da-b6d41fa441f5"/>
    <w:docVar w:name="WAFER_20151015122017" w:val="RemoveTocBookmarks,RemoveUnusedBookmarks,RemoveLanguageTags,UsedStyles,ResetPageSize"/>
    <w:docVar w:name="WAFER_20151015122017_GUID" w:val="87ef3db8-48c4-41cb-b429-66d6a34c8ac6"/>
    <w:docVar w:name="WAFER_20151106100200" w:val="UpdateStyles,UsedStyles"/>
    <w:docVar w:name="WAFER_20151106100200_GUID" w:val="225e201b-6fb7-4e83-9d98-5de66e53b297"/>
    <w:docVar w:name="WAFER_20151112155306" w:val="UpdateStyles,UsedStyles"/>
    <w:docVar w:name="WAFER_20151112155306_GUID" w:val="301b8e82-7a8b-4f3b-a5bf-23b652180316"/>
    <w:docVar w:name="WAFER_20161114132810" w:val="RemoveTocBookmarks,RemoveUnusedBookmarks,RemoveLanguageTags,UpdateStyles,UsedStyles,ResetPageSize,RemoveCustomizations"/>
    <w:docVar w:name="WAFER_20161114132810_GUID" w:val="a3e35a0b-bd27-4579-bd36-e625bcb4f69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martTagType w:namespaceuri="urn:schemas-microsoft-com:office:smarttags" w:name="place"/>
  <w:smartTagType w:namespaceuri="urn:schemas-microsoft-com:office:smarttags" w:name="country-region"/>
  <w:shapeDefaults>
    <o:shapedefaults v:ext="edit" spidmax="102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rPr>
      <w:b/>
      <w:bCs/>
      <w:sz w:val="24"/>
    </w:rPr>
  </w:style>
  <w:style w:type="paragraph" w:styleId="Revision">
    <w:name w:val="Revision"/>
    <w:hidden/>
    <w:uiPriority w:val="99"/>
    <w:semiHidden/>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rPr>
      <w:b/>
      <w:bCs/>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9.xml"/><Relationship Id="rId39" Type="http://schemas.openxmlformats.org/officeDocument/2006/relationships/footer" Target="footer8.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6.xml"/><Relationship Id="rId42" Type="http://schemas.openxmlformats.org/officeDocument/2006/relationships/footer" Target="footer10.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7.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1.xml"/><Relationship Id="rId41" Type="http://schemas.openxmlformats.org/officeDocument/2006/relationships/header" Target="header2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3.xml"/><Relationship Id="rId44"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image" Target="media/image3.png"/><Relationship Id="rId30" Type="http://schemas.openxmlformats.org/officeDocument/2006/relationships/header" Target="header12.xml"/><Relationship Id="rId35" Type="http://schemas.openxmlformats.org/officeDocument/2006/relationships/header" Target="header17.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EB02158-C459-471E-91C4-103F310C81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112</Pages>
  <Words>25025</Words>
  <Characters>122627</Characters>
  <Application>Microsoft Office Word</Application>
  <DocSecurity>0</DocSecurity>
  <Lines>3503</Lines>
  <Paragraphs>2022</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145630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Legal Profession Regulations 2009 - 02-00-00</dc:title>
  <dc:subject/>
  <dc:creator/>
  <cp:keywords/>
  <dc:description/>
  <cp:lastModifiedBy>svcMRProcess</cp:lastModifiedBy>
  <cp:revision>4</cp:revision>
  <cp:lastPrinted>2017-03-15T01:15:00Z</cp:lastPrinted>
  <dcterms:created xsi:type="dcterms:W3CDTF">2020-03-10T01:24:00Z</dcterms:created>
  <dcterms:modified xsi:type="dcterms:W3CDTF">2020-03-10T01:24:00Z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Feb 2009 p 545-653</vt:lpwstr>
  </property>
  <property fmtid="{D5CDD505-2E9C-101B-9397-08002B2CF9AE}" pid="3" name="OwlsUID">
    <vt:i4>41031</vt:i4>
  </property>
  <property fmtid="{D5CDD505-2E9C-101B-9397-08002B2CF9AE}" pid="4" name="DocumentType">
    <vt:lpwstr>Reg</vt:lpwstr>
  </property>
  <property fmtid="{D5CDD505-2E9C-101B-9397-08002B2CF9AE}" pid="5" name="AsAtDate">
    <vt:lpwstr>03 Mar 2017</vt:lpwstr>
  </property>
  <property fmtid="{D5CDD505-2E9C-101B-9397-08002B2CF9AE}" pid="6" name="Suffix">
    <vt:lpwstr>02-00-00</vt:lpwstr>
  </property>
  <property fmtid="{D5CDD505-2E9C-101B-9397-08002B2CF9AE}" pid="7" name="ReprintedAsAt">
    <vt:filetime>2017-03-02T16:00:00Z</vt:filetime>
  </property>
  <property fmtid="{D5CDD505-2E9C-101B-9397-08002B2CF9AE}" pid="8" name="ReprintNo">
    <vt:lpwstr>2</vt:lpwstr>
  </property>
  <property fmtid="{D5CDD505-2E9C-101B-9397-08002B2CF9AE}" pid="9" name="CommencementDate">
    <vt:lpwstr>20170303</vt:lpwstr>
  </property>
</Properties>
</file>