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_Toc476042541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_Toc476042542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_Toc476042543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_Toc476042544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_Toc476042545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_Toc476042546 \h </w:instrText>
      </w:r>
      <w:r>
        <w:fldChar w:fldCharType="separate"/>
      </w:r>
      <w:r>
        <w:t>3</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_Toc476042547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_Toc476042548 \h </w:instrText>
      </w:r>
      <w:r>
        <w:fldChar w:fldCharType="separate"/>
      </w:r>
      <w:r>
        <w:t>5</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_Toc476042549 \h </w:instrText>
      </w:r>
      <w:r>
        <w:fldChar w:fldCharType="separate"/>
      </w:r>
      <w:r>
        <w:t>5</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_Toc476042550 \h </w:instrText>
      </w:r>
      <w:r>
        <w:fldChar w:fldCharType="separate"/>
      </w:r>
      <w:r>
        <w:t>7</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_Toc476042551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_Toc476042553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First Home Owner Grant Act 2000</w:t>
      </w:r>
    </w:p>
    <w:p>
      <w:pPr>
        <w:pStyle w:val="NameofActReg"/>
      </w:pPr>
      <w:r>
        <w:t>First Home Owner Grant Regulations 2000</w:t>
      </w:r>
    </w:p>
    <w:p>
      <w:pPr>
        <w:pStyle w:val="Heading5"/>
      </w:pPr>
      <w:bookmarkStart w:id="3" w:name="_Toc476042541"/>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4" w:name="_Toc476042542"/>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476042543"/>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476042544"/>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476042545"/>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8" w:name="_Toc476042546"/>
      <w:r>
        <w:rPr>
          <w:rStyle w:val="CharSectno"/>
        </w:rPr>
        <w:t>6</w:t>
      </w:r>
      <w:r>
        <w:t>.</w:t>
      </w:r>
      <w:r>
        <w:tab/>
        <w:t>Prescribed qualification to completion of eligible transaction (s. 14(6))</w:t>
      </w:r>
      <w:bookmarkEnd w:id="8"/>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9" w:name="_Toc476042547"/>
      <w:r>
        <w:rPr>
          <w:rStyle w:val="CharSectno"/>
        </w:rPr>
        <w:t>7</w:t>
      </w:r>
      <w:r>
        <w:t>.</w:t>
      </w:r>
      <w:r>
        <w:tab/>
        <w:t>Certain owners of land excluded from the operation of s. 16(1)</w:t>
      </w:r>
      <w:bookmarkEnd w:id="9"/>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10" w:name="_Toc476042548"/>
      <w:r>
        <w:rPr>
          <w:rStyle w:val="CharSectno"/>
        </w:rPr>
        <w:t>8</w:t>
      </w:r>
      <w:r>
        <w:t>.</w:t>
      </w:r>
      <w:r>
        <w:tab/>
        <w:t>Prescribed rates of interest (s. 30, 32 and 52)</w:t>
      </w:r>
      <w:bookmarkEnd w:id="10"/>
    </w:p>
    <w:p>
      <w:pPr>
        <w:pStyle w:val="Subsection"/>
      </w:pPr>
      <w:r>
        <w:tab/>
        <w:t>(1)</w:t>
      </w:r>
      <w:r>
        <w:tab/>
        <w:t>The rate of interest for the purposes of section 30(3), (4)(d) and (5)(c) of the Act is 2.2% per annum.</w:t>
      </w:r>
    </w:p>
    <w:p>
      <w:pPr>
        <w:pStyle w:val="Subsection"/>
      </w:pPr>
      <w:r>
        <w:tab/>
        <w:t>(2)</w:t>
      </w:r>
      <w:r>
        <w:tab/>
        <w:t>The rate of interest for the purposes of section 32(2), (3)(d) and (4)(c) of the Act is 2.2% per annum.</w:t>
      </w:r>
    </w:p>
    <w:p>
      <w:pPr>
        <w:pStyle w:val="Subsection"/>
      </w:pPr>
      <w:r>
        <w:tab/>
        <w:t>(3)</w:t>
      </w:r>
      <w:r>
        <w:tab/>
        <w:t>The rate of interest for the purposes of section 52(3)(a) and (7) of the Act is 10.2% per annum.</w:t>
      </w:r>
    </w:p>
    <w:p>
      <w:pPr>
        <w:pStyle w:val="Footnotesection"/>
      </w:pPr>
      <w:r>
        <w:tab/>
        <w:t>[Regulation 8 inserted in Gazette 26 Jun 2015 p. 2278; amended in Gazette 11 Dec 2015 p. 4961.]</w:t>
      </w:r>
    </w:p>
    <w:p>
      <w:pPr>
        <w:pStyle w:val="Heading5"/>
      </w:pPr>
      <w:bookmarkStart w:id="11" w:name="_Toc476042549"/>
      <w:r>
        <w:rPr>
          <w:rStyle w:val="CharSectno"/>
        </w:rPr>
        <w:t>9</w:t>
      </w:r>
      <w:r>
        <w:t>.</w:t>
      </w:r>
      <w:r>
        <w:tab/>
        <w:t>Conditions to be included in administration agreements (s. 37(2))</w:t>
      </w:r>
      <w:bookmarkEnd w:id="11"/>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12" w:name="_Toc476042550"/>
      <w:r>
        <w:rPr>
          <w:rStyle w:val="CharSectno"/>
        </w:rPr>
        <w:t>10</w:t>
      </w:r>
      <w:r>
        <w:t>.</w:t>
      </w:r>
      <w:r>
        <w:tab/>
        <w:t>Witness fees and expenses (s. 41(7))</w:t>
      </w:r>
      <w:bookmarkEnd w:id="1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13" w:name="_Toc476042551"/>
      <w:r>
        <w:rPr>
          <w:rStyle w:val="CharSectno"/>
        </w:rPr>
        <w:t>11</w:t>
      </w:r>
      <w:r>
        <w:t>.</w:t>
      </w:r>
      <w:r>
        <w:tab/>
        <w:t>Authorised receipt and permitted disclosure of confidential information (s. 65(3))</w:t>
      </w:r>
      <w:bookmarkEnd w:id="1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3</w:t>
      </w:r>
      <w:r>
        <w:t>;</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4" w:name="_Toc467050277"/>
      <w:bookmarkStart w:id="15" w:name="_Toc476042552"/>
      <w:r>
        <w:t>Notes</w:t>
      </w:r>
      <w:bookmarkEnd w:id="14"/>
      <w:bookmarkEnd w:id="15"/>
    </w:p>
    <w:p>
      <w:pPr>
        <w:pStyle w:val="nSubsection"/>
      </w:pPr>
      <w:r>
        <w:rPr>
          <w:vertAlign w:val="superscript"/>
        </w:rPr>
        <w:t>1</w:t>
      </w:r>
      <w:r>
        <w:tab/>
        <w:t xml:space="preserve">This reprint is a compilation as at 3 March 2017 of the </w:t>
      </w:r>
      <w:r>
        <w:rPr>
          <w:i/>
          <w:noProof/>
        </w:rPr>
        <w:t>First Home Owner Grant Regulations 2000</w:t>
      </w:r>
      <w:r>
        <w:t xml:space="preserve"> and includes the amendments made by the other written laws referred to in the following table.  The table also contains information about any reprint.</w:t>
      </w:r>
    </w:p>
    <w:p>
      <w:pPr>
        <w:pStyle w:val="nHeading3"/>
        <w:spacing w:before="120" w:after="60"/>
      </w:pPr>
      <w:bookmarkStart w:id="16" w:name="_Toc476042553"/>
      <w: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8"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8"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8"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8"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7"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8"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8"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8"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8"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7"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8"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8"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8"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8"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8" w:type="dxa"/>
          </w:tcPr>
          <w:p>
            <w:pPr>
              <w:pStyle w:val="nTable"/>
              <w:keepNext/>
              <w:spacing w:after="40"/>
              <w:rPr>
                <w:i/>
              </w:rPr>
            </w:pPr>
            <w:r>
              <w:rPr>
                <w:i/>
              </w:rPr>
              <w:t>First Home Owner Grant Amendment Regulations (No. 2) 2015</w:t>
            </w:r>
          </w:p>
        </w:tc>
        <w:tc>
          <w:tcPr>
            <w:tcW w:w="1276" w:type="dxa"/>
          </w:tcPr>
          <w:p>
            <w:pPr>
              <w:pStyle w:val="nTable"/>
              <w:keepNext/>
              <w:spacing w:after="40"/>
            </w:pPr>
            <w:r>
              <w:t>11 Aug 2015 p. 3221</w:t>
            </w:r>
            <w:r>
              <w:noBreakHyphen/>
              <w:t>2</w:t>
            </w:r>
          </w:p>
        </w:tc>
        <w:tc>
          <w:tcPr>
            <w:tcW w:w="2693" w:type="dxa"/>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c>
          <w:tcPr>
            <w:tcW w:w="3118" w:type="dxa"/>
          </w:tcPr>
          <w:p>
            <w:pPr>
              <w:pStyle w:val="nTable"/>
              <w:keepNext/>
              <w:spacing w:after="40"/>
              <w:rPr>
                <w:i/>
              </w:rPr>
            </w:pPr>
            <w:r>
              <w:rPr>
                <w:i/>
              </w:rPr>
              <w:t>First Home Owner Grant Amendment Regulations (No. 3) 2015</w:t>
            </w:r>
          </w:p>
        </w:tc>
        <w:tc>
          <w:tcPr>
            <w:tcW w:w="1276" w:type="dxa"/>
          </w:tcPr>
          <w:p>
            <w:pPr>
              <w:pStyle w:val="nTable"/>
              <w:keepNext/>
              <w:spacing w:after="40"/>
            </w:pPr>
            <w:r>
              <w:t>11 Dec 2015 p. 4961</w:t>
            </w:r>
          </w:p>
        </w:tc>
        <w:tc>
          <w:tcPr>
            <w:tcW w:w="2693" w:type="dxa"/>
          </w:tcPr>
          <w:p>
            <w:pPr>
              <w:pStyle w:val="nTable"/>
              <w:keepNext/>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c>
          <w:tcPr>
            <w:tcW w:w="7087" w:type="dxa"/>
            <w:gridSpan w:val="3"/>
            <w:tcBorders>
              <w:bottom w:val="single" w:sz="8" w:space="0" w:color="auto"/>
            </w:tcBorders>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pPr>
      <w:r>
        <w:rPr>
          <w:vertAlign w:val="superscript"/>
        </w:rPr>
        <w:t>3</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8" w:name="_Toc476042554"/>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relevant owner of land</w:t>
      </w:r>
      <w:r>
        <w:tab/>
        <w:t>7(4)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6085834"/>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3096</Words>
  <Characters>14648</Characters>
  <Application>Microsoft Office Word</Application>
  <DocSecurity>0</DocSecurity>
  <Lines>488</Lines>
  <Paragraphs>260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2000 - 03-a0-00</dc:title>
  <dc:subject/>
  <dc:creator/>
  <cp:keywords/>
  <dc:description/>
  <cp:lastModifiedBy>svcMRProcess</cp:lastModifiedBy>
  <cp:revision>4</cp:revision>
  <cp:lastPrinted>2017-02-28T02:58:00Z</cp:lastPrinted>
  <dcterms:created xsi:type="dcterms:W3CDTF">2017-03-20T02:34:00Z</dcterms:created>
  <dcterms:modified xsi:type="dcterms:W3CDTF">2017-03-20T02:34:00Z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03 Mar 2017</vt:lpwstr>
  </property>
  <property fmtid="{D5CDD505-2E9C-101B-9397-08002B2CF9AE}" pid="8" name="Suffix">
    <vt:lpwstr>03-a0-00</vt:lpwstr>
  </property>
  <property fmtid="{D5CDD505-2E9C-101B-9397-08002B2CF9AE}" pid="9" name="CommencementDate">
    <vt:lpwstr>20170303</vt:lpwstr>
  </property>
</Properties>
</file>