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Commission Rules 2007</w:t>
      </w:r>
      <w:r>
        <w:rPr>
          <w:sz w:val="48"/>
        </w:rPr>
        <w:fldChar w:fldCharType="end"/>
      </w:r>
    </w:p>
    <w:p>
      <w:pPr>
        <w:pStyle w:val="ReprintNo"/>
      </w:pPr>
      <w:r>
        <w:t>Reprint 1:  The rules as at 10 March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Rules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F52675" w:rsidRDefault="000A1243">
                        <w:pPr>
                          <w:rPr>
                            <w:sz w:val="18"/>
                            <w:szCs w:val="18"/>
                          </w:rPr>
                        </w:pPr>
                        <w:r>
                          <w:rPr>
                            <w:sz w:val="18"/>
                            <w:szCs w:val="18"/>
                          </w:rPr>
                          <w:t>R</w:t>
                        </w:r>
                        <w:r w:rsidR="00287C00">
                          <w:rPr>
                            <w:sz w:val="18"/>
                            <w:szCs w:val="18"/>
                          </w:rPr>
                          <w:t>ules</w:t>
                        </w:r>
                        <w:r>
                          <w:rPr>
                            <w:sz w:val="18"/>
                            <w:szCs w:val="18"/>
                          </w:rPr>
                          <w:t xml:space="preserve">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F52675" w:rsidRDefault="000A1243">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F52675" w:rsidRDefault="000A1243">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F52675" w:rsidRDefault="000A124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rules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rules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rule that was inserted, or has been amended, since the rules being reprinted were made, editorial notes at the foot of the rule give some history of how the rule came to be as it is.  If the rule replaced an earlier rule, no history of the earlier rule is given (the full history of the rules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rules have been reprinted.  For example, numbering a reprint as “Reprint 3” would mean that the reprint was the 3</w:t>
      </w:r>
      <w:r>
        <w:rPr>
          <w:spacing w:val="-3"/>
          <w:sz w:val="20"/>
          <w:vertAlign w:val="superscript"/>
        </w:rPr>
        <w:t>rd</w:t>
      </w:r>
      <w:r>
        <w:rPr>
          <w:spacing w:val="-3"/>
          <w:sz w:val="20"/>
        </w:rPr>
        <w:t xml:space="preserve"> reprint since the rules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rules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10 March 2017</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_Toc477850610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_Toc477850611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_Toc477850612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_Toc477850613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_Toc477850615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_Toc477850616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_Toc477850617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_Toc477850618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_Toc477850619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_Toc477850620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_Toc477850621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_Toc477850622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_Toc477850623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_Toc477850625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_Toc477850626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_Toc477850627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_Toc477850630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10 March 2017</w:t>
            </w:r>
            <w:r>
              <w:rPr>
                <w:b/>
                <w:sz w:val="22"/>
              </w:rPr>
              <w:fldChar w:fldCharType="end"/>
            </w:r>
          </w:p>
        </w:tc>
      </w:tr>
    </w:tbl>
    <w:p>
      <w:pPr>
        <w:pStyle w:val="WA"/>
        <w:spacing w:before="12"/>
      </w:pPr>
      <w:r>
        <w:t>Western Australia</w:t>
      </w:r>
    </w:p>
    <w:p>
      <w:pPr>
        <w:pStyle w:val="PrincipalActReg"/>
      </w:pPr>
      <w:r>
        <w:t>Liquor Control Act 1988</w:t>
      </w:r>
    </w:p>
    <w:p>
      <w:pPr>
        <w:pStyle w:val="NameofActReg"/>
      </w:pPr>
      <w:r>
        <w:t>Liquor Commission Rules 2007</w:t>
      </w:r>
    </w:p>
    <w:p>
      <w:pPr>
        <w:pStyle w:val="Heading2"/>
        <w:pageBreakBefore w:val="0"/>
        <w:spacing w:before="320"/>
      </w:pPr>
      <w:bookmarkStart w:id="3" w:name="_Toc466557952"/>
      <w:bookmarkStart w:id="4" w:name="_Toc476042773"/>
      <w:bookmarkStart w:id="5" w:name="_Toc476058161"/>
      <w:bookmarkStart w:id="6" w:name="_Toc47785060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7850610"/>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rules</w:t>
      </w:r>
      <w:r>
        <w:t xml:space="preserve"> are the </w:t>
      </w:r>
      <w:r>
        <w:rPr>
          <w:i/>
        </w:rPr>
        <w:t>Liquor Commission Rules 2007 </w:t>
      </w:r>
      <w:r>
        <w:rPr>
          <w:vertAlign w:val="superscript"/>
        </w:rPr>
        <w:t>1</w:t>
      </w:r>
      <w:r>
        <w:t>.</w:t>
      </w:r>
    </w:p>
    <w:p>
      <w:pPr>
        <w:pStyle w:val="Heading5"/>
      </w:pPr>
      <w:bookmarkStart w:id="9" w:name="_Toc477850611"/>
      <w:r>
        <w:rPr>
          <w:rStyle w:val="CharSectno"/>
        </w:rPr>
        <w:t>2</w:t>
      </w:r>
      <w:r>
        <w:t>.</w:t>
      </w:r>
      <w:r>
        <w:tab/>
        <w:t>Commencement</w:t>
      </w:r>
      <w:bookmarkEnd w:id="9"/>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rPr>
          <w:iCs/>
          <w:vertAlign w:val="superscript"/>
        </w:rPr>
        <w:t> 1</w:t>
      </w:r>
      <w:r>
        <w:t>;</w:t>
      </w:r>
    </w:p>
    <w:p>
      <w:pPr>
        <w:pStyle w:val="Indenta"/>
      </w:pPr>
      <w:r>
        <w:tab/>
        <w:t>(b)</w:t>
      </w:r>
      <w:r>
        <w:tab/>
        <w:t>the rest of the rules — on the day after that day.</w:t>
      </w:r>
    </w:p>
    <w:p>
      <w:pPr>
        <w:pStyle w:val="Heading5"/>
      </w:pPr>
      <w:bookmarkStart w:id="10" w:name="_Toc477850612"/>
      <w:r>
        <w:rPr>
          <w:rStyle w:val="CharSectno"/>
        </w:rPr>
        <w:t>3</w:t>
      </w:r>
      <w:r>
        <w:t>.</w:t>
      </w:r>
      <w:r>
        <w:tab/>
        <w:t>Terms used</w:t>
      </w:r>
      <w:bookmarkEnd w:id="10"/>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tab/>
        <w:t>(e)</w:t>
      </w:r>
      <w:r>
        <w:tab/>
        <w:t>an application under section 115AD(3);</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in Gazette 21 Jun 2011 p. 2251.]</w:t>
      </w:r>
    </w:p>
    <w:p>
      <w:pPr>
        <w:pStyle w:val="Heading5"/>
        <w:rPr>
          <w:rStyle w:val="CharSectno"/>
        </w:rPr>
      </w:pPr>
      <w:bookmarkStart w:id="11" w:name="_Toc477850613"/>
      <w:r>
        <w:rPr>
          <w:rStyle w:val="CharSectno"/>
        </w:rPr>
        <w:t>4</w:t>
      </w:r>
      <w:r>
        <w:t>.</w:t>
      </w:r>
      <w:r>
        <w:rPr>
          <w:rStyle w:val="CharSectno"/>
        </w:rPr>
        <w:tab/>
      </w:r>
      <w:r>
        <w:t>Application of these rules</w:t>
      </w:r>
      <w:bookmarkEnd w:id="11"/>
    </w:p>
    <w:p>
      <w:pPr>
        <w:pStyle w:val="Subsection"/>
      </w:pPr>
      <w:r>
        <w:tab/>
      </w:r>
      <w:r>
        <w:tab/>
        <w:t>Unless the Commission in a particular case orders otherwise, these rules apply in all proceedings.</w:t>
      </w:r>
    </w:p>
    <w:p>
      <w:pPr>
        <w:pStyle w:val="Heading2"/>
      </w:pPr>
      <w:bookmarkStart w:id="12" w:name="_Toc466557956"/>
      <w:bookmarkStart w:id="13" w:name="_Toc476042778"/>
      <w:bookmarkStart w:id="14" w:name="_Toc476058166"/>
      <w:bookmarkStart w:id="15" w:name="_Toc477850614"/>
      <w:r>
        <w:rPr>
          <w:rStyle w:val="CharPartNo"/>
        </w:rPr>
        <w:t>Part 2 </w:t>
      </w:r>
      <w:r>
        <w:t>—</w:t>
      </w:r>
      <w:r>
        <w:rPr>
          <w:rStyle w:val="CharDivText"/>
        </w:rPr>
        <w:t> </w:t>
      </w:r>
      <w:r>
        <w:rPr>
          <w:rStyle w:val="CharPartText"/>
        </w:rPr>
        <w:t>Practice and procedure</w:t>
      </w:r>
      <w:bookmarkEnd w:id="12"/>
      <w:bookmarkEnd w:id="13"/>
      <w:bookmarkEnd w:id="14"/>
      <w:bookmarkEnd w:id="15"/>
    </w:p>
    <w:p>
      <w:pPr>
        <w:pStyle w:val="Heading5"/>
      </w:pPr>
      <w:bookmarkStart w:id="16" w:name="_Toc477850615"/>
      <w:r>
        <w:rPr>
          <w:rStyle w:val="CharSectno"/>
        </w:rPr>
        <w:t>5</w:t>
      </w:r>
      <w:r>
        <w:t>.</w:t>
      </w:r>
      <w:r>
        <w:tab/>
        <w:t>Applications for review of decision of Director (s. 25 of Act)</w:t>
      </w:r>
      <w:bookmarkEnd w:id="16"/>
    </w:p>
    <w:p>
      <w:pPr>
        <w:pStyle w:val="Subsection"/>
      </w:pPr>
      <w:r>
        <w:tab/>
        <w:t>(1)</w:t>
      </w:r>
      <w:r>
        <w:tab/>
        <w:t xml:space="preserve">If a party to proceedings before the Director wants to apply under section 25 of the Act for the Commission to review a decision of the Director, the party must — </w:t>
      </w:r>
    </w:p>
    <w:p>
      <w:pPr>
        <w:pStyle w:val="Indenta"/>
      </w:pPr>
      <w:r>
        <w:tab/>
        <w:t>(a)</w:t>
      </w:r>
      <w:r>
        <w:tab/>
        <w:t>within one month after the decision,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person who was a party to the proceedings before the Director.</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Heading5"/>
      </w:pPr>
      <w:bookmarkStart w:id="17" w:name="_Toc477850616"/>
      <w:r>
        <w:rPr>
          <w:rStyle w:val="CharSectno"/>
        </w:rPr>
        <w:t>6</w:t>
      </w:r>
      <w:r>
        <w:t>.</w:t>
      </w:r>
      <w:r>
        <w:tab/>
        <w:t>Appeals against decision of Commission constituted by one member (s. 28(4a) of Act)</w:t>
      </w:r>
      <w:bookmarkEnd w:id="17"/>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18" w:name="_Toc477850617"/>
      <w:r>
        <w:rPr>
          <w:rStyle w:val="CharSectno"/>
        </w:rPr>
        <w:t>7</w:t>
      </w:r>
      <w:r>
        <w:t>.</w:t>
      </w:r>
      <w:r>
        <w:tab/>
        <w:t>Complaints (s. 95 of Act)</w:t>
      </w:r>
      <w:bookmarkEnd w:id="18"/>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19" w:name="_Toc477850618"/>
      <w:r>
        <w:rPr>
          <w:rStyle w:val="CharSectno"/>
        </w:rPr>
        <w:t>8A</w:t>
      </w:r>
      <w:r>
        <w:t>.</w:t>
      </w:r>
      <w:r>
        <w:tab/>
        <w:t>Lodging written submissions for proceedings</w:t>
      </w:r>
      <w:bookmarkEnd w:id="19"/>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in Gazette 18 Nov 2014 p. 4327-8.]</w:t>
      </w:r>
    </w:p>
    <w:p>
      <w:pPr>
        <w:pStyle w:val="Heading5"/>
      </w:pPr>
      <w:bookmarkStart w:id="20" w:name="_Toc477850619"/>
      <w:r>
        <w:rPr>
          <w:rStyle w:val="CharSectno"/>
        </w:rPr>
        <w:t>8</w:t>
      </w:r>
      <w:r>
        <w:t>.</w:t>
      </w:r>
      <w:r>
        <w:tab/>
        <w:t>Separate proceedings determined simultaneously</w:t>
      </w:r>
      <w:bookmarkEnd w:id="20"/>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21" w:name="_Toc477850620"/>
      <w:r>
        <w:rPr>
          <w:rStyle w:val="CharSectno"/>
        </w:rPr>
        <w:t>9</w:t>
      </w:r>
      <w:r>
        <w:t>.</w:t>
      </w:r>
      <w:r>
        <w:tab/>
        <w:t>Separate proceedings heard together</w:t>
      </w:r>
      <w:bookmarkEnd w:id="21"/>
    </w:p>
    <w:p>
      <w:pPr>
        <w:pStyle w:val="Subsection"/>
      </w:pPr>
      <w:r>
        <w:tab/>
      </w:r>
      <w:r>
        <w:tab/>
        <w:t>The Commission may, on an application by a party or on its own initiative, order that separate proceedings be heard together.</w:t>
      </w:r>
    </w:p>
    <w:p>
      <w:pPr>
        <w:pStyle w:val="Heading5"/>
      </w:pPr>
      <w:bookmarkStart w:id="22" w:name="_Toc477850621"/>
      <w:r>
        <w:rPr>
          <w:rStyle w:val="CharSectno"/>
        </w:rPr>
        <w:t>10</w:t>
      </w:r>
      <w:r>
        <w:t>.</w:t>
      </w:r>
      <w:r>
        <w:tab/>
        <w:t>Withdrawal</w:t>
      </w:r>
      <w:bookmarkEnd w:id="22"/>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23" w:name="_Toc477850622"/>
      <w:r>
        <w:rPr>
          <w:rStyle w:val="CharSectno"/>
        </w:rPr>
        <w:t>11</w:t>
      </w:r>
      <w:r>
        <w:t>.</w:t>
      </w:r>
      <w:r>
        <w:tab/>
        <w:t>Orders relating to practice and procedure</w:t>
      </w:r>
      <w:bookmarkEnd w:id="23"/>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24" w:name="_Toc477850623"/>
      <w:r>
        <w:rPr>
          <w:rStyle w:val="CharSectno"/>
        </w:rPr>
        <w:t>12</w:t>
      </w:r>
      <w:r>
        <w:t>.</w:t>
      </w:r>
      <w:r>
        <w:tab/>
        <w:t>Costs orders</w:t>
      </w:r>
      <w:bookmarkEnd w:id="24"/>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25" w:name="_Toc466557966"/>
      <w:bookmarkStart w:id="26" w:name="_Toc476042788"/>
      <w:bookmarkStart w:id="27" w:name="_Toc476058176"/>
      <w:bookmarkStart w:id="28" w:name="_Toc477850624"/>
      <w:r>
        <w:rPr>
          <w:rStyle w:val="CharPartNo"/>
        </w:rPr>
        <w:t>Part 3</w:t>
      </w:r>
      <w:r>
        <w:rPr>
          <w:rStyle w:val="CharDivNo"/>
        </w:rPr>
        <w:t> </w:t>
      </w:r>
      <w:r>
        <w:t>—</w:t>
      </w:r>
      <w:r>
        <w:rPr>
          <w:rStyle w:val="CharDivText"/>
        </w:rPr>
        <w:t> </w:t>
      </w:r>
      <w:r>
        <w:rPr>
          <w:rStyle w:val="CharPartText"/>
        </w:rPr>
        <w:t>Miscellaneous</w:t>
      </w:r>
      <w:bookmarkEnd w:id="25"/>
      <w:bookmarkEnd w:id="26"/>
      <w:bookmarkEnd w:id="27"/>
      <w:bookmarkEnd w:id="28"/>
    </w:p>
    <w:p>
      <w:pPr>
        <w:pStyle w:val="Heading5"/>
      </w:pPr>
      <w:bookmarkStart w:id="29" w:name="_Toc477850625"/>
      <w:r>
        <w:rPr>
          <w:rStyle w:val="CharSectno"/>
        </w:rPr>
        <w:t>13</w:t>
      </w:r>
      <w:r>
        <w:t>.</w:t>
      </w:r>
      <w:r>
        <w:tab/>
        <w:t>Authentication of decisions of Commission</w:t>
      </w:r>
      <w:bookmarkEnd w:id="29"/>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Ednotesection"/>
      </w:pPr>
      <w:r>
        <w:t>[</w:t>
      </w:r>
      <w:r>
        <w:rPr>
          <w:b/>
        </w:rPr>
        <w:t>14.</w:t>
      </w:r>
      <w:r>
        <w:tab/>
        <w:t>Deleted in Gazette 21 Jun 2011 p. 2251.]</w:t>
      </w:r>
    </w:p>
    <w:p>
      <w:pPr>
        <w:pStyle w:val="Heading5"/>
      </w:pPr>
      <w:bookmarkStart w:id="30" w:name="_Toc477850626"/>
      <w:r>
        <w:rPr>
          <w:rStyle w:val="CharSectno"/>
        </w:rPr>
        <w:t>15</w:t>
      </w:r>
      <w:r>
        <w:t>.</w:t>
      </w:r>
      <w:r>
        <w:tab/>
        <w:t>Costs and charges payable in relation to proceedings</w:t>
      </w:r>
      <w:bookmarkEnd w:id="30"/>
    </w:p>
    <w:p>
      <w:pPr>
        <w:pStyle w:val="Subsection"/>
      </w:pPr>
      <w:r>
        <w:tab/>
      </w:r>
      <w:r>
        <w:tab/>
        <w:t>The costs and charges set out in Schedule 1 are payable in relation to proceedings.</w:t>
      </w:r>
    </w:p>
    <w:p>
      <w:pPr>
        <w:pStyle w:val="Heading5"/>
      </w:pPr>
      <w:bookmarkStart w:id="31" w:name="_Toc477850627"/>
      <w:r>
        <w:rPr>
          <w:rStyle w:val="CharSectno"/>
        </w:rPr>
        <w:t>16</w:t>
      </w:r>
      <w:r>
        <w:t>.</w:t>
      </w:r>
      <w:r>
        <w:tab/>
        <w:t>Repeal and savings</w:t>
      </w:r>
      <w:bookmarkEnd w:id="31"/>
    </w:p>
    <w:p>
      <w:pPr>
        <w:pStyle w:val="Subsection"/>
        <w:rPr>
          <w:i/>
          <w:iCs/>
        </w:rPr>
      </w:pPr>
      <w:r>
        <w:tab/>
        <w:t>(1)</w:t>
      </w:r>
      <w:r>
        <w:tab/>
        <w:t xml:space="preserve">The </w:t>
      </w:r>
      <w:smartTag w:uri="urn:schemas-microsoft-com:office:smarttags" w:element="Street">
        <w:smartTag w:uri="urn:schemas-microsoft-com:office:smarttags" w:element="address">
          <w:r>
            <w:rPr>
              <w:i/>
              <w:iCs/>
            </w:rPr>
            <w:t>Liquor Licensing Court</w:t>
          </w:r>
        </w:smartTag>
      </w:smartTag>
      <w:r>
        <w:rPr>
          <w:i/>
          <w:iCs/>
        </w:rPr>
        <w:t xml:space="preserve">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 w:name="_Toc466557970"/>
      <w:bookmarkStart w:id="33" w:name="_Toc476042792"/>
      <w:bookmarkStart w:id="34" w:name="_Toc476058180"/>
      <w:bookmarkStart w:id="35" w:name="_Toc477850628"/>
      <w:r>
        <w:rPr>
          <w:rStyle w:val="CharSchNo"/>
        </w:rPr>
        <w:t>Schedule 1</w:t>
      </w:r>
      <w:r>
        <w:rPr>
          <w:rStyle w:val="CharSDivNo"/>
        </w:rPr>
        <w:t> </w:t>
      </w:r>
      <w:r>
        <w:t>—</w:t>
      </w:r>
      <w:r>
        <w:rPr>
          <w:rStyle w:val="CharSDivText"/>
        </w:rPr>
        <w:t> </w:t>
      </w:r>
      <w:r>
        <w:rPr>
          <w:rStyle w:val="CharSchText"/>
        </w:rPr>
        <w:t>Costs and charges payable in relation to proceedings</w:t>
      </w:r>
      <w:bookmarkEnd w:id="32"/>
      <w:bookmarkEnd w:id="33"/>
      <w:bookmarkEnd w:id="34"/>
      <w:bookmarkEnd w:id="35"/>
    </w:p>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820"/>
        <w:gridCol w:w="1134"/>
      </w:tblGrid>
      <w:tr>
        <w:trPr>
          <w:cantSplit/>
          <w:tblHeader/>
        </w:trPr>
        <w:tc>
          <w:tcPr>
            <w:tcW w:w="567" w:type="dxa"/>
            <w:tcBorders>
              <w:top w:val="single" w:sz="4" w:space="0" w:color="auto"/>
              <w:bottom w:val="single" w:sz="4" w:space="0" w:color="auto"/>
            </w:tcBorders>
          </w:tcPr>
          <w:p>
            <w:pPr>
              <w:pStyle w:val="TableNAm"/>
              <w:rPr>
                <w:b/>
                <w:bCs/>
                <w:sz w:val="22"/>
                <w:szCs w:val="22"/>
              </w:rPr>
            </w:pPr>
          </w:p>
        </w:tc>
        <w:tc>
          <w:tcPr>
            <w:tcW w:w="4820" w:type="dxa"/>
            <w:tcBorders>
              <w:top w:val="single" w:sz="4" w:space="0" w:color="auto"/>
              <w:bottom w:val="single" w:sz="4" w:space="0" w:color="auto"/>
            </w:tcBorders>
          </w:tcPr>
          <w:p>
            <w:pPr>
              <w:pStyle w:val="TableNAm"/>
              <w:rPr>
                <w:b/>
                <w:bCs/>
                <w:sz w:val="22"/>
                <w:szCs w:val="22"/>
              </w:rPr>
            </w:pPr>
            <w:r>
              <w:rPr>
                <w:b/>
                <w:bCs/>
                <w:sz w:val="22"/>
                <w:szCs w:val="22"/>
              </w:rPr>
              <w:t>Cost or charge</w:t>
            </w:r>
          </w:p>
        </w:tc>
        <w:tc>
          <w:tcPr>
            <w:tcW w:w="1134" w:type="dxa"/>
            <w:tcBorders>
              <w:top w:val="single" w:sz="4" w:space="0" w:color="auto"/>
              <w:bottom w:val="single" w:sz="4" w:space="0" w:color="auto"/>
            </w:tcBorders>
          </w:tcPr>
          <w:p>
            <w:pPr>
              <w:pStyle w:val="TableNAm"/>
              <w:jc w:val="center"/>
              <w:rPr>
                <w:b/>
                <w:bCs/>
                <w:sz w:val="22"/>
                <w:szCs w:val="22"/>
              </w:rPr>
            </w:pPr>
            <w:r>
              <w:rPr>
                <w:b/>
                <w:bCs/>
                <w:sz w:val="22"/>
                <w:szCs w:val="22"/>
              </w:rPr>
              <w:t>$</w:t>
            </w:r>
          </w:p>
        </w:tc>
      </w:tr>
      <w:tr>
        <w:trPr>
          <w:cantSplit/>
        </w:trPr>
        <w:tc>
          <w:tcPr>
            <w:tcW w:w="567" w:type="dxa"/>
            <w:tcBorders>
              <w:top w:val="single" w:sz="4" w:space="0" w:color="auto"/>
            </w:tcBorders>
          </w:tcPr>
          <w:p>
            <w:pPr>
              <w:pStyle w:val="TableNAm"/>
              <w:rPr>
                <w:sz w:val="22"/>
                <w:szCs w:val="22"/>
              </w:rPr>
            </w:pPr>
            <w:r>
              <w:rPr>
                <w:sz w:val="22"/>
                <w:szCs w:val="22"/>
              </w:rPr>
              <w:t>1.</w:t>
            </w:r>
          </w:p>
        </w:tc>
        <w:tc>
          <w:tcPr>
            <w:tcW w:w="4820" w:type="dxa"/>
            <w:tcBorders>
              <w:top w:val="single" w:sz="4" w:space="0" w:color="auto"/>
            </w:tcBorders>
          </w:tcPr>
          <w:p>
            <w:pPr>
              <w:pStyle w:val="TableNAm"/>
              <w:rPr>
                <w:sz w:val="22"/>
                <w:szCs w:val="22"/>
              </w:rPr>
            </w:pPr>
            <w:r>
              <w:rPr>
                <w:sz w:val="22"/>
                <w:szCs w:val="22"/>
              </w:rPr>
              <w:t>Charge payable for lodging an application for the review of a decision by the Director (rule 5 and section 25 of the Act)</w:t>
            </w:r>
          </w:p>
        </w:tc>
        <w:tc>
          <w:tcPr>
            <w:tcW w:w="1134" w:type="dxa"/>
            <w:tcBorders>
              <w:top w:val="single" w:sz="4" w:space="0" w:color="auto"/>
            </w:tcBorders>
          </w:tcPr>
          <w:p>
            <w:pPr>
              <w:pStyle w:val="TableNAm"/>
              <w:jc w:val="center"/>
              <w:rPr>
                <w:sz w:val="22"/>
                <w:szCs w:val="22"/>
              </w:rPr>
            </w:pPr>
            <w:r>
              <w:rPr>
                <w:sz w:val="22"/>
                <w:szCs w:val="22"/>
              </w:rPr>
              <w:br/>
            </w:r>
            <w:r>
              <w:rPr>
                <w:sz w:val="22"/>
                <w:szCs w:val="22"/>
              </w:rPr>
              <w:br/>
              <w:t>405.00</w:t>
            </w:r>
          </w:p>
        </w:tc>
      </w:tr>
      <w:tr>
        <w:trPr>
          <w:cantSplit/>
        </w:trPr>
        <w:tc>
          <w:tcPr>
            <w:tcW w:w="567" w:type="dxa"/>
          </w:tcPr>
          <w:p>
            <w:pPr>
              <w:pStyle w:val="TableNAm"/>
              <w:rPr>
                <w:sz w:val="22"/>
                <w:szCs w:val="22"/>
              </w:rPr>
            </w:pPr>
            <w:r>
              <w:rPr>
                <w:sz w:val="22"/>
                <w:szCs w:val="22"/>
              </w:rPr>
              <w:t>2.</w:t>
            </w:r>
          </w:p>
        </w:tc>
        <w:tc>
          <w:tcPr>
            <w:tcW w:w="4820" w:type="dxa"/>
          </w:tcPr>
          <w:p>
            <w:pPr>
              <w:pStyle w:val="TableNAm"/>
              <w:rPr>
                <w:sz w:val="22"/>
                <w:szCs w:val="22"/>
              </w:rPr>
            </w:pPr>
            <w:r>
              <w:rPr>
                <w:sz w:val="22"/>
                <w:szCs w:val="22"/>
              </w:rPr>
              <w:t>Charge payable for lodging an appeal against a decision of the Commission constituted by one member (rule 6 and section 28(4a) of the Act)</w:t>
            </w:r>
          </w:p>
        </w:tc>
        <w:tc>
          <w:tcPr>
            <w:tcW w:w="1134" w:type="dxa"/>
          </w:tcPr>
          <w:p>
            <w:pPr>
              <w:pStyle w:val="TableNAm"/>
              <w:jc w:val="center"/>
              <w:rPr>
                <w:sz w:val="22"/>
                <w:szCs w:val="22"/>
              </w:rPr>
            </w:pPr>
            <w:r>
              <w:rPr>
                <w:sz w:val="22"/>
                <w:szCs w:val="22"/>
              </w:rPr>
              <w:br/>
            </w:r>
            <w:r>
              <w:rPr>
                <w:sz w:val="22"/>
                <w:szCs w:val="22"/>
              </w:rPr>
              <w:br/>
              <w:t>405.00</w:t>
            </w:r>
          </w:p>
        </w:tc>
      </w:tr>
      <w:tr>
        <w:trPr>
          <w:cantSplit/>
        </w:trPr>
        <w:tc>
          <w:tcPr>
            <w:tcW w:w="567" w:type="dxa"/>
            <w:tcBorders>
              <w:bottom w:val="single" w:sz="4" w:space="0" w:color="auto"/>
            </w:tcBorders>
          </w:tcPr>
          <w:p>
            <w:pPr>
              <w:pStyle w:val="TableNAm"/>
              <w:rPr>
                <w:sz w:val="22"/>
                <w:szCs w:val="22"/>
              </w:rPr>
            </w:pPr>
            <w:r>
              <w:rPr>
                <w:sz w:val="22"/>
                <w:szCs w:val="22"/>
              </w:rPr>
              <w:t>3.</w:t>
            </w:r>
          </w:p>
        </w:tc>
        <w:tc>
          <w:tcPr>
            <w:tcW w:w="4820" w:type="dxa"/>
            <w:tcBorders>
              <w:bottom w:val="single" w:sz="4" w:space="0" w:color="auto"/>
            </w:tcBorders>
          </w:tcPr>
          <w:p>
            <w:pPr>
              <w:pStyle w:val="TableNAm"/>
              <w:rPr>
                <w:sz w:val="22"/>
                <w:szCs w:val="22"/>
              </w:rPr>
            </w:pPr>
            <w:r>
              <w:rPr>
                <w:sz w:val="22"/>
                <w:szCs w:val="22"/>
              </w:rPr>
              <w:t>Cost per page for the supply of a copy of a document or transcript of an electronic recording under rule 14</w:t>
            </w:r>
          </w:p>
        </w:tc>
        <w:tc>
          <w:tcPr>
            <w:tcW w:w="1134" w:type="dxa"/>
            <w:tcBorders>
              <w:bottom w:val="single" w:sz="4" w:space="0" w:color="auto"/>
            </w:tcBorders>
          </w:tcPr>
          <w:p>
            <w:pPr>
              <w:pStyle w:val="TableNAm"/>
              <w:jc w:val="center"/>
              <w:rPr>
                <w:sz w:val="22"/>
                <w:szCs w:val="22"/>
              </w:rPr>
            </w:pPr>
            <w:r>
              <w:rPr>
                <w:sz w:val="22"/>
                <w:szCs w:val="22"/>
              </w:rPr>
              <w:br/>
            </w:r>
            <w:r>
              <w:rPr>
                <w:sz w:val="22"/>
                <w:szCs w:val="22"/>
              </w:rPr>
              <w:br/>
              <w:t>5.00</w:t>
            </w:r>
          </w:p>
        </w:tc>
      </w:tr>
    </w:tbl>
    <w:p>
      <w:pPr>
        <w:pStyle w:val="yFootnotesection"/>
      </w:pPr>
      <w:r>
        <w:tab/>
        <w:t>[Schedule 1 amended in Gazette 1 Dec 2009 p. 4816; 21 Jun 2011 p. 2251</w:t>
      </w:r>
      <w:r>
        <w:noBreakHyphen/>
        <w:t>2; 18 Nov 2014 p. 4328.]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i w:val="0"/>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7" w:name="_Toc466557971"/>
      <w:bookmarkStart w:id="38" w:name="_Toc476042793"/>
      <w:bookmarkStart w:id="39" w:name="_Toc476058181"/>
      <w:bookmarkStart w:id="40" w:name="_Toc477850629"/>
      <w:r>
        <w:t>Notes</w:t>
      </w:r>
      <w:bookmarkEnd w:id="37"/>
      <w:bookmarkEnd w:id="38"/>
      <w:bookmarkEnd w:id="39"/>
      <w:bookmarkEnd w:id="40"/>
    </w:p>
    <w:p>
      <w:pPr>
        <w:pStyle w:val="nSubsection"/>
      </w:pPr>
      <w:r>
        <w:rPr>
          <w:vertAlign w:val="superscript"/>
        </w:rPr>
        <w:t>1</w:t>
      </w:r>
      <w:r>
        <w:tab/>
        <w:t xml:space="preserve">This reprint is a compilation as at 10 March 2017 of the </w:t>
      </w:r>
      <w:r>
        <w:rPr>
          <w:i/>
        </w:rPr>
        <w:t xml:space="preserve">Liquor Commission Rules 2007 </w:t>
      </w:r>
      <w:r>
        <w:t>and includes the amendments made by the other written laws referred to in the following table.  The table also contains information about any reprint.</w:t>
      </w:r>
    </w:p>
    <w:p>
      <w:pPr>
        <w:pStyle w:val="nHeading3"/>
      </w:pPr>
      <w:bookmarkStart w:id="41" w:name="_Toc477850630"/>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693" w:type="dxa"/>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c>
          <w:tcPr>
            <w:tcW w:w="3118" w:type="dxa"/>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693" w:type="dxa"/>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c>
          <w:tcPr>
            <w:tcW w:w="3118" w:type="dxa"/>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693" w:type="dxa"/>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c>
          <w:tcPr>
            <w:tcW w:w="3118" w:type="dxa"/>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693" w:type="dxa"/>
            <w:tcBorders>
              <w:top w:val="nil"/>
              <w:bottom w:val="nil"/>
            </w:tcBorders>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Rules other than r. 1 and 2: 19 Nov 2014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Liquor Commission Rules 2007</w:t>
            </w:r>
            <w:r>
              <w:rPr>
                <w:rFonts w:ascii="Times" w:hAnsi="Times"/>
                <w:b/>
                <w:bCs/>
                <w:snapToGrid w:val="0"/>
                <w:spacing w:val="-2"/>
              </w:rPr>
              <w:t xml:space="preserve"> as at 10 Mar 2017</w:t>
            </w:r>
            <w:r>
              <w:rPr>
                <w:rFonts w:ascii="Times" w:hAnsi="Times"/>
                <w:bCs/>
                <w:snapToGrid w:val="0"/>
                <w:spacing w:val="-2"/>
              </w:rPr>
              <w:t xml:space="preserve"> (includes amendments listed above)</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3" w:name="_Toc466557973"/>
      <w:bookmarkStart w:id="44" w:name="_Toc476042795"/>
      <w:bookmarkStart w:id="45" w:name="_Toc476058183"/>
      <w:bookmarkStart w:id="46" w:name="_Toc477850631"/>
      <w:r>
        <w:rPr>
          <w:sz w:val="28"/>
        </w:rPr>
        <w:t>Defined terms</w:t>
      </w:r>
      <w:bookmarkEnd w:id="43"/>
      <w:bookmarkEnd w:id="44"/>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F52675" w:rsidRDefault="000A1243">
                      <w:pPr>
                        <w:pBdr>
                          <w:top w:val="double" w:sz="4" w:space="0" w:color="auto"/>
                        </w:pBdr>
                        <w:ind w:left="2381" w:right="2381"/>
                        <w:jc w:val="center"/>
                        <w:rPr>
                          <w:rFonts w:ascii="Arial" w:hAnsi="Arial" w:cs="Arial"/>
                          <w:sz w:val="12"/>
                        </w:rPr>
                      </w:pPr>
                      <w:r>
                        <w:rPr>
                          <w:rFonts w:ascii="Arial" w:hAnsi="Arial" w:cs="Arial"/>
                          <w:sz w:val="12"/>
                        </w:rPr>
                        <w:t xml:space="preserve">By Authority: </w:t>
                      </w:r>
                      <w:r w:rsidR="00F71BA2">
                        <w:rPr>
                          <w:rFonts w:ascii="Arial" w:hAnsi="Arial" w:cs="Arial"/>
                          <w:sz w:val="12"/>
                        </w:rPr>
                        <w:t>KEVIN J</w:t>
                      </w:r>
                      <w:r>
                        <w:rPr>
                          <w:rFonts w:ascii="Arial" w:hAnsi="Arial" w:cs="Arial"/>
                          <w:sz w:val="12"/>
                        </w:rPr>
                        <w:t xml:space="preserve">. </w:t>
                      </w:r>
                      <w:proofErr w:type="spellStart"/>
                      <w:r w:rsidR="00F71BA2">
                        <w:rPr>
                          <w:rFonts w:ascii="Arial" w:hAnsi="Arial" w:cs="Arial"/>
                          <w:sz w:val="12"/>
                        </w:rPr>
                        <w:t>McRAE</w:t>
                      </w:r>
                      <w:bookmarkStart w:id="36" w:name="_GoBack"/>
                      <w:bookmarkEnd w:id="36"/>
                      <w:proofErr w:type="spellEnd"/>
                      <w:r>
                        <w:rPr>
                          <w:rFonts w:ascii="Arial" w:hAnsi="Arial" w:cs="Arial"/>
                          <w:sz w:val="12"/>
                        </w:rPr>
                        <w:t>,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203BEE"/>
    <w:lvl w:ilvl="0">
      <w:start w:val="1"/>
      <w:numFmt w:val="decimal"/>
      <w:lvlText w:val="%1."/>
      <w:lvlJc w:val="left"/>
      <w:pPr>
        <w:tabs>
          <w:tab w:val="num" w:pos="1492"/>
        </w:tabs>
        <w:ind w:left="1492" w:hanging="360"/>
      </w:pPr>
    </w:lvl>
  </w:abstractNum>
  <w:abstractNum w:abstractNumId="1">
    <w:nsid w:val="FFFFFF7D"/>
    <w:multiLevelType w:val="singleLevel"/>
    <w:tmpl w:val="BF8A86EC"/>
    <w:lvl w:ilvl="0">
      <w:start w:val="1"/>
      <w:numFmt w:val="decimal"/>
      <w:lvlText w:val="%1."/>
      <w:lvlJc w:val="left"/>
      <w:pPr>
        <w:tabs>
          <w:tab w:val="num" w:pos="1209"/>
        </w:tabs>
        <w:ind w:left="1209" w:hanging="360"/>
      </w:pPr>
    </w:lvl>
  </w:abstractNum>
  <w:abstractNum w:abstractNumId="2">
    <w:nsid w:val="FFFFFF7E"/>
    <w:multiLevelType w:val="singleLevel"/>
    <w:tmpl w:val="A70282BA"/>
    <w:lvl w:ilvl="0">
      <w:start w:val="1"/>
      <w:numFmt w:val="decimal"/>
      <w:lvlText w:val="%1."/>
      <w:lvlJc w:val="left"/>
      <w:pPr>
        <w:tabs>
          <w:tab w:val="num" w:pos="926"/>
        </w:tabs>
        <w:ind w:left="926" w:hanging="360"/>
      </w:pPr>
    </w:lvl>
  </w:abstractNum>
  <w:abstractNum w:abstractNumId="3">
    <w:nsid w:val="FFFFFF7F"/>
    <w:multiLevelType w:val="singleLevel"/>
    <w:tmpl w:val="BB36B73A"/>
    <w:lvl w:ilvl="0">
      <w:start w:val="1"/>
      <w:numFmt w:val="decimal"/>
      <w:lvlText w:val="%1."/>
      <w:lvlJc w:val="left"/>
      <w:pPr>
        <w:tabs>
          <w:tab w:val="num" w:pos="643"/>
        </w:tabs>
        <w:ind w:left="643" w:hanging="360"/>
      </w:pPr>
    </w:lvl>
  </w:abstractNum>
  <w:abstractNum w:abstractNumId="4">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6DA8F44"/>
    <w:lvl w:ilvl="0">
      <w:start w:val="1"/>
      <w:numFmt w:val="decimal"/>
      <w:lvlText w:val="%1."/>
      <w:lvlJc w:val="left"/>
      <w:pPr>
        <w:tabs>
          <w:tab w:val="num" w:pos="360"/>
        </w:tabs>
        <w:ind w:left="360" w:hanging="360"/>
      </w:pPr>
    </w:lvl>
  </w:abstractNum>
  <w:abstractNum w:abstractNumId="9">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0160753"/>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2395</Words>
  <Characters>11213</Characters>
  <Application>Microsoft Office Word</Application>
  <DocSecurity>0</DocSecurity>
  <Lines>386</Lines>
  <Paragraphs>266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2007 - 01-00-00</dc:title>
  <dc:subject/>
  <dc:creator/>
  <cp:keywords/>
  <dc:description/>
  <cp:lastModifiedBy>svcMRProcess</cp:lastModifiedBy>
  <cp:revision>4</cp:revision>
  <cp:lastPrinted>2017-03-21T01:20:00Z</cp:lastPrinted>
  <dcterms:created xsi:type="dcterms:W3CDTF">2017-03-27T08:04:00Z</dcterms:created>
  <dcterms:modified xsi:type="dcterms:W3CDTF">2017-03-27T08:04:00Z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AsAtDate">
    <vt:lpwstr>10 Mar 2017</vt:lpwstr>
  </property>
  <property fmtid="{D5CDD505-2E9C-101B-9397-08002B2CF9AE}" pid="6" name="Suffix">
    <vt:lpwstr>01-00-00</vt:lpwstr>
  </property>
  <property fmtid="{D5CDD505-2E9C-101B-9397-08002B2CF9AE}" pid="7" name="ReprintedAsAt">
    <vt:filetime>2017-03-09T16:00:00Z</vt:filetime>
  </property>
  <property fmtid="{D5CDD505-2E9C-101B-9397-08002B2CF9AE}" pid="8" name="ReprintNo">
    <vt:lpwstr>1</vt:lpwstr>
  </property>
  <property fmtid="{D5CDD505-2E9C-101B-9397-08002B2CF9AE}" pid="9" name="CommencementDate">
    <vt:lpwstr>20170310</vt:lpwstr>
  </property>
</Properties>
</file>