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ageBreakBefore/>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Electricity (Licensing) Regulations 1991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Electricity (Licensing) Regulations 1991</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_Toc112151062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_Toc112151063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_Toc112151064 \h </w:instrText>
      </w:r>
      <w:r>
        <w:rPr>
          <w:noProof/>
        </w:rPr>
      </w:r>
      <w:r>
        <w:rPr>
          <w:noProof/>
        </w:rPr>
        <w:fldChar w:fldCharType="separate"/>
      </w:r>
      <w:r>
        <w:rPr>
          <w:noProof/>
        </w:rPr>
        <w:t>1</w:t>
      </w:r>
      <w:r>
        <w:rPr>
          <w:noProof/>
        </w:rPr>
        <w:fldChar w:fldCharType="end"/>
      </w:r>
    </w:p>
    <w:p>
      <w:pPr>
        <w:pStyle w:val="TOC2"/>
        <w:tabs>
          <w:tab w:val="right" w:leader="dot" w:pos="7086"/>
        </w:tabs>
        <w:rPr>
          <w:b w:val="0"/>
          <w:noProof/>
          <w:sz w:val="24"/>
          <w:szCs w:val="24"/>
        </w:rPr>
      </w:pPr>
      <w:r>
        <w:rPr>
          <w:noProof/>
          <w:szCs w:val="30"/>
        </w:rPr>
        <w:t>Part 2 — The Electrical Licensing Board</w:t>
      </w:r>
    </w:p>
    <w:p>
      <w:pPr>
        <w:pStyle w:val="TOC3"/>
        <w:rPr>
          <w:b w:val="0"/>
          <w:noProof/>
          <w:sz w:val="24"/>
          <w:szCs w:val="24"/>
        </w:rPr>
      </w:pPr>
      <w:r>
        <w:rPr>
          <w:noProof/>
          <w:szCs w:val="26"/>
        </w:rPr>
        <w:t>Division 1</w:t>
      </w:r>
      <w:r>
        <w:rPr>
          <w:noProof/>
          <w:snapToGrid w:val="0"/>
          <w:szCs w:val="26"/>
        </w:rPr>
        <w:t> — </w:t>
      </w:r>
      <w:r>
        <w:rPr>
          <w:noProof/>
          <w:szCs w:val="26"/>
        </w:rPr>
        <w:t>The Board</w:t>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Establishment</w:t>
      </w:r>
      <w:r>
        <w:rPr>
          <w:noProof/>
        </w:rPr>
        <w:tab/>
      </w:r>
      <w:r>
        <w:rPr>
          <w:noProof/>
        </w:rPr>
        <w:fldChar w:fldCharType="begin"/>
      </w:r>
      <w:r>
        <w:rPr>
          <w:noProof/>
        </w:rPr>
        <w:instrText xml:space="preserve"> PAGEREF _Toc112151067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The Board</w:t>
      </w:r>
      <w:r>
        <w:rPr>
          <w:noProof/>
        </w:rPr>
        <w:tab/>
      </w:r>
      <w:r>
        <w:rPr>
          <w:noProof/>
        </w:rPr>
        <w:fldChar w:fldCharType="begin"/>
      </w:r>
      <w:r>
        <w:rPr>
          <w:noProof/>
        </w:rPr>
        <w:instrText xml:space="preserve"> PAGEREF _Toc112151068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6.</w:t>
      </w:r>
      <w:r>
        <w:rPr>
          <w:noProof/>
          <w:sz w:val="24"/>
          <w:szCs w:val="24"/>
        </w:rPr>
        <w:tab/>
      </w:r>
      <w:r>
        <w:rPr>
          <w:noProof/>
          <w:szCs w:val="24"/>
        </w:rPr>
        <w:t>Appointments from submissions by approved bodies and from applicants</w:t>
      </w:r>
      <w:r>
        <w:rPr>
          <w:noProof/>
        </w:rPr>
        <w:tab/>
      </w:r>
      <w:r>
        <w:rPr>
          <w:noProof/>
        </w:rPr>
        <w:fldChar w:fldCharType="begin"/>
      </w:r>
      <w:r>
        <w:rPr>
          <w:noProof/>
        </w:rPr>
        <w:instrText xml:space="preserve"> PAGEREF _Toc112151069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Tenure of office</w:t>
      </w:r>
      <w:r>
        <w:rPr>
          <w:noProof/>
        </w:rPr>
        <w:tab/>
      </w:r>
      <w:r>
        <w:rPr>
          <w:noProof/>
        </w:rPr>
        <w:fldChar w:fldCharType="begin"/>
      </w:r>
      <w:r>
        <w:rPr>
          <w:noProof/>
        </w:rPr>
        <w:instrText xml:space="preserve"> PAGEREF _Toc112151070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Vacation of office</w:t>
      </w:r>
      <w:r>
        <w:rPr>
          <w:noProof/>
        </w:rPr>
        <w:tab/>
      </w:r>
      <w:r>
        <w:rPr>
          <w:noProof/>
        </w:rPr>
        <w:fldChar w:fldCharType="begin"/>
      </w:r>
      <w:r>
        <w:rPr>
          <w:noProof/>
        </w:rPr>
        <w:instrText xml:space="preserve"> PAGEREF _Toc112151071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Acting members</w:t>
      </w:r>
      <w:r>
        <w:rPr>
          <w:noProof/>
        </w:rPr>
        <w:tab/>
      </w:r>
      <w:r>
        <w:rPr>
          <w:noProof/>
        </w:rPr>
        <w:fldChar w:fldCharType="begin"/>
      </w:r>
      <w:r>
        <w:rPr>
          <w:noProof/>
        </w:rPr>
        <w:instrText xml:space="preserve"> PAGEREF _Toc112151072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Meetings</w:t>
      </w:r>
      <w:r>
        <w:rPr>
          <w:noProof/>
        </w:rPr>
        <w:tab/>
      </w:r>
      <w:r>
        <w:rPr>
          <w:noProof/>
        </w:rPr>
        <w:fldChar w:fldCharType="begin"/>
      </w:r>
      <w:r>
        <w:rPr>
          <w:noProof/>
        </w:rPr>
        <w:instrText xml:space="preserve"> PAGEREF _Toc112151073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Procedures</w:t>
      </w:r>
      <w:r>
        <w:rPr>
          <w:noProof/>
        </w:rPr>
        <w:tab/>
      </w:r>
      <w:r>
        <w:rPr>
          <w:noProof/>
        </w:rPr>
        <w:fldChar w:fldCharType="begin"/>
      </w:r>
      <w:r>
        <w:rPr>
          <w:noProof/>
        </w:rPr>
        <w:instrText xml:space="preserve"> PAGEREF _Toc112151074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Remuneration and allowances</w:t>
      </w:r>
      <w:r>
        <w:rPr>
          <w:noProof/>
        </w:rPr>
        <w:tab/>
      </w:r>
      <w:r>
        <w:rPr>
          <w:noProof/>
        </w:rPr>
        <w:fldChar w:fldCharType="begin"/>
      </w:r>
      <w:r>
        <w:rPr>
          <w:noProof/>
        </w:rPr>
        <w:instrText xml:space="preserve"> PAGEREF _Toc112151075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Functions of the Board</w:t>
      </w:r>
      <w:r>
        <w:rPr>
          <w:noProof/>
        </w:rPr>
        <w:tab/>
      </w:r>
      <w:r>
        <w:rPr>
          <w:noProof/>
        </w:rPr>
        <w:fldChar w:fldCharType="begin"/>
      </w:r>
      <w:r>
        <w:rPr>
          <w:noProof/>
        </w:rPr>
        <w:instrText xml:space="preserve"> PAGEREF _Toc112151076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Executive officer and other officers</w:t>
      </w:r>
      <w:r>
        <w:rPr>
          <w:noProof/>
        </w:rPr>
        <w:tab/>
      </w:r>
      <w:r>
        <w:rPr>
          <w:noProof/>
        </w:rPr>
        <w:fldChar w:fldCharType="begin"/>
      </w:r>
      <w:r>
        <w:rPr>
          <w:noProof/>
        </w:rPr>
        <w:instrText xml:space="preserve"> PAGEREF _Toc112151077 \h </w:instrText>
      </w:r>
      <w:r>
        <w:rPr>
          <w:noProof/>
        </w:rPr>
      </w:r>
      <w:r>
        <w:rPr>
          <w:noProof/>
        </w:rPr>
        <w:fldChar w:fldCharType="separate"/>
      </w:r>
      <w:r>
        <w:rPr>
          <w:noProof/>
        </w:rPr>
        <w:t>14</w:t>
      </w:r>
      <w:r>
        <w:rPr>
          <w:noProof/>
        </w:rPr>
        <w:fldChar w:fldCharType="end"/>
      </w:r>
    </w:p>
    <w:p>
      <w:pPr>
        <w:pStyle w:val="TOC2"/>
        <w:tabs>
          <w:tab w:val="right" w:leader="dot" w:pos="7086"/>
        </w:tabs>
        <w:rPr>
          <w:b w:val="0"/>
          <w:noProof/>
          <w:sz w:val="24"/>
          <w:szCs w:val="24"/>
        </w:rPr>
      </w:pPr>
      <w:r>
        <w:rPr>
          <w:noProof/>
          <w:szCs w:val="30"/>
        </w:rPr>
        <w:t>Part 3 — Licensing of electrical workers</w:t>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Electrical work prohibited unless authorised</w:t>
      </w:r>
      <w:r>
        <w:rPr>
          <w:noProof/>
        </w:rPr>
        <w:tab/>
      </w:r>
      <w:r>
        <w:rPr>
          <w:noProof/>
        </w:rPr>
        <w:fldChar w:fldCharType="begin"/>
      </w:r>
      <w:r>
        <w:rPr>
          <w:noProof/>
        </w:rPr>
        <w:instrText xml:space="preserve"> PAGEREF _Toc112151079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Effect of licence</w:t>
      </w:r>
      <w:r>
        <w:rPr>
          <w:noProof/>
        </w:rPr>
        <w:tab/>
      </w:r>
      <w:r>
        <w:rPr>
          <w:noProof/>
        </w:rPr>
        <w:fldChar w:fldCharType="begin"/>
      </w:r>
      <w:r>
        <w:rPr>
          <w:noProof/>
        </w:rPr>
        <w:instrText xml:space="preserve"> PAGEREF _Toc112151080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Effect of permit</w:t>
      </w:r>
      <w:r>
        <w:rPr>
          <w:noProof/>
        </w:rPr>
        <w:tab/>
      </w:r>
      <w:r>
        <w:rPr>
          <w:noProof/>
        </w:rPr>
        <w:fldChar w:fldCharType="begin"/>
      </w:r>
      <w:r>
        <w:rPr>
          <w:noProof/>
        </w:rPr>
        <w:instrText xml:space="preserve"> PAGEREF _Toc112151081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Eligibility for licence</w:t>
      </w:r>
      <w:r>
        <w:rPr>
          <w:noProof/>
        </w:rPr>
        <w:tab/>
      </w:r>
      <w:r>
        <w:rPr>
          <w:noProof/>
        </w:rPr>
        <w:fldChar w:fldCharType="begin"/>
      </w:r>
      <w:r>
        <w:rPr>
          <w:noProof/>
        </w:rPr>
        <w:instrText xml:space="preserve"> PAGEREF _Toc112151082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Application for licence or permit</w:t>
      </w:r>
      <w:r>
        <w:rPr>
          <w:noProof/>
        </w:rPr>
        <w:tab/>
      </w:r>
      <w:r>
        <w:rPr>
          <w:noProof/>
        </w:rPr>
        <w:fldChar w:fldCharType="begin"/>
      </w:r>
      <w:r>
        <w:rPr>
          <w:noProof/>
        </w:rPr>
        <w:instrText xml:space="preserve"> PAGEREF _Toc112151083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Issue of licence or permit</w:t>
      </w:r>
      <w:r>
        <w:rPr>
          <w:noProof/>
        </w:rPr>
        <w:tab/>
      </w:r>
      <w:r>
        <w:rPr>
          <w:noProof/>
        </w:rPr>
        <w:fldChar w:fldCharType="begin"/>
      </w:r>
      <w:r>
        <w:rPr>
          <w:noProof/>
        </w:rPr>
        <w:instrText xml:space="preserve"> PAGEREF _Toc112151084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Holders of licences issued in another State or Territory or in New Zealand</w:t>
      </w:r>
      <w:r>
        <w:rPr>
          <w:noProof/>
        </w:rPr>
        <w:tab/>
      </w:r>
      <w:r>
        <w:rPr>
          <w:noProof/>
        </w:rPr>
        <w:fldChar w:fldCharType="begin"/>
      </w:r>
      <w:r>
        <w:rPr>
          <w:noProof/>
        </w:rPr>
        <w:instrText xml:space="preserve"> PAGEREF _Toc112151085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Duration of registration of licence or permit</w:t>
      </w:r>
      <w:r>
        <w:rPr>
          <w:noProof/>
        </w:rPr>
        <w:tab/>
      </w:r>
      <w:r>
        <w:rPr>
          <w:noProof/>
        </w:rPr>
        <w:fldChar w:fldCharType="begin"/>
      </w:r>
      <w:r>
        <w:rPr>
          <w:noProof/>
        </w:rPr>
        <w:instrText xml:space="preserve"> PAGEREF _Toc112151086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Renewal of registration</w:t>
      </w:r>
      <w:r>
        <w:rPr>
          <w:noProof/>
        </w:rPr>
        <w:tab/>
      </w:r>
      <w:r>
        <w:rPr>
          <w:noProof/>
        </w:rPr>
        <w:fldChar w:fldCharType="begin"/>
      </w:r>
      <w:r>
        <w:rPr>
          <w:noProof/>
        </w:rPr>
        <w:instrText xml:space="preserve"> PAGEREF _Toc112151087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Address</w:t>
      </w:r>
      <w:r>
        <w:rPr>
          <w:noProof/>
        </w:rPr>
        <w:tab/>
      </w:r>
      <w:r>
        <w:rPr>
          <w:noProof/>
        </w:rPr>
        <w:fldChar w:fldCharType="begin"/>
      </w:r>
      <w:r>
        <w:rPr>
          <w:noProof/>
        </w:rPr>
        <w:instrText xml:space="preserve"> PAGEREF _Toc112151088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Discretionary examinations and tests</w:t>
      </w:r>
      <w:r>
        <w:rPr>
          <w:noProof/>
        </w:rPr>
        <w:tab/>
      </w:r>
      <w:r>
        <w:rPr>
          <w:noProof/>
        </w:rPr>
        <w:fldChar w:fldCharType="begin"/>
      </w:r>
      <w:r>
        <w:rPr>
          <w:noProof/>
        </w:rPr>
        <w:instrText xml:space="preserve"> PAGEREF _Toc112151089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30.</w:t>
      </w:r>
      <w:r>
        <w:rPr>
          <w:noProof/>
          <w:sz w:val="24"/>
          <w:szCs w:val="24"/>
        </w:rPr>
        <w:tab/>
      </w:r>
      <w:r>
        <w:rPr>
          <w:noProof/>
          <w:szCs w:val="24"/>
        </w:rPr>
        <w:t>Discipline</w:t>
      </w:r>
      <w:r>
        <w:rPr>
          <w:noProof/>
        </w:rPr>
        <w:tab/>
      </w:r>
      <w:r>
        <w:rPr>
          <w:noProof/>
        </w:rPr>
        <w:fldChar w:fldCharType="begin"/>
      </w:r>
      <w:r>
        <w:rPr>
          <w:noProof/>
        </w:rPr>
        <w:instrText xml:space="preserve"> PAGEREF _Toc112151090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31.</w:t>
      </w:r>
      <w:r>
        <w:rPr>
          <w:noProof/>
          <w:sz w:val="24"/>
          <w:szCs w:val="24"/>
        </w:rPr>
        <w:tab/>
      </w:r>
      <w:r>
        <w:rPr>
          <w:noProof/>
          <w:szCs w:val="24"/>
        </w:rPr>
        <w:t>Disciplinary powers</w:t>
      </w:r>
      <w:r>
        <w:rPr>
          <w:noProof/>
        </w:rPr>
        <w:tab/>
      </w:r>
      <w:r>
        <w:rPr>
          <w:noProof/>
        </w:rPr>
        <w:fldChar w:fldCharType="begin"/>
      </w:r>
      <w:r>
        <w:rPr>
          <w:noProof/>
        </w:rPr>
        <w:instrText xml:space="preserve"> PAGEREF _Toc112151091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31A.</w:t>
      </w:r>
      <w:r>
        <w:rPr>
          <w:noProof/>
          <w:sz w:val="24"/>
          <w:szCs w:val="24"/>
        </w:rPr>
        <w:tab/>
      </w:r>
      <w:r>
        <w:rPr>
          <w:noProof/>
          <w:szCs w:val="24"/>
        </w:rPr>
        <w:t>Alternative to bringing proceedings</w:t>
      </w:r>
      <w:r>
        <w:rPr>
          <w:noProof/>
        </w:rPr>
        <w:tab/>
      </w:r>
      <w:r>
        <w:rPr>
          <w:noProof/>
        </w:rPr>
        <w:fldChar w:fldCharType="begin"/>
      </w:r>
      <w:r>
        <w:rPr>
          <w:noProof/>
        </w:rPr>
        <w:instrText xml:space="preserve"> PAGEREF _Toc112151092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Effect of, and revocation of, suspension</w:t>
      </w:r>
      <w:r>
        <w:rPr>
          <w:noProof/>
        </w:rPr>
        <w:tab/>
      </w:r>
      <w:r>
        <w:rPr>
          <w:noProof/>
        </w:rPr>
        <w:fldChar w:fldCharType="begin"/>
      </w:r>
      <w:r>
        <w:rPr>
          <w:noProof/>
        </w:rPr>
        <w:instrText xml:space="preserve"> PAGEREF _Toc112151093 \h </w:instrText>
      </w:r>
      <w:r>
        <w:rPr>
          <w:noProof/>
        </w:rPr>
      </w:r>
      <w:r>
        <w:rPr>
          <w:noProof/>
        </w:rPr>
        <w:fldChar w:fldCharType="separate"/>
      </w:r>
      <w:r>
        <w:rPr>
          <w:noProof/>
        </w:rPr>
        <w:t>28</w:t>
      </w:r>
      <w:r>
        <w:rPr>
          <w:noProof/>
        </w:rPr>
        <w:fldChar w:fldCharType="end"/>
      </w:r>
    </w:p>
    <w:p>
      <w:pPr>
        <w:pStyle w:val="TOC2"/>
        <w:tabs>
          <w:tab w:val="right" w:leader="dot" w:pos="7086"/>
        </w:tabs>
        <w:rPr>
          <w:b w:val="0"/>
          <w:noProof/>
          <w:sz w:val="24"/>
          <w:szCs w:val="24"/>
        </w:rPr>
      </w:pPr>
      <w:r>
        <w:rPr>
          <w:noProof/>
          <w:szCs w:val="30"/>
        </w:rPr>
        <w:t>Part 4 — Licensing of electrical contractors and for in</w:t>
      </w:r>
      <w:r>
        <w:rPr>
          <w:noProof/>
          <w:szCs w:val="30"/>
        </w:rPr>
        <w:noBreakHyphen/>
        <w:t>house electrical installing work</w:t>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Electrical contracting prohibited unless authorised</w:t>
      </w:r>
      <w:r>
        <w:rPr>
          <w:noProof/>
        </w:rPr>
        <w:tab/>
      </w:r>
      <w:r>
        <w:rPr>
          <w:noProof/>
        </w:rPr>
        <w:fldChar w:fldCharType="begin"/>
      </w:r>
      <w:r>
        <w:rPr>
          <w:noProof/>
        </w:rPr>
        <w:instrText xml:space="preserve"> PAGEREF _Toc112151095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Dealing with unlicensed contractor prohibited</w:t>
      </w:r>
      <w:r>
        <w:rPr>
          <w:noProof/>
        </w:rPr>
        <w:tab/>
      </w:r>
      <w:r>
        <w:rPr>
          <w:noProof/>
        </w:rPr>
        <w:fldChar w:fldCharType="begin"/>
      </w:r>
      <w:r>
        <w:rPr>
          <w:noProof/>
        </w:rPr>
        <w:instrText xml:space="preserve"> PAGEREF _Toc112151096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Falsely implying work is authorised</w:t>
      </w:r>
      <w:r>
        <w:rPr>
          <w:noProof/>
        </w:rPr>
        <w:tab/>
      </w:r>
      <w:r>
        <w:rPr>
          <w:noProof/>
        </w:rPr>
        <w:fldChar w:fldCharType="begin"/>
      </w:r>
      <w:r>
        <w:rPr>
          <w:noProof/>
        </w:rPr>
        <w:instrText xml:space="preserve"> PAGEREF _Toc112151097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Eligibility for electrical contractor’s licence</w:t>
      </w:r>
      <w:r>
        <w:rPr>
          <w:noProof/>
        </w:rPr>
        <w:tab/>
      </w:r>
      <w:r>
        <w:rPr>
          <w:noProof/>
        </w:rPr>
        <w:fldChar w:fldCharType="begin"/>
      </w:r>
      <w:r>
        <w:rPr>
          <w:noProof/>
        </w:rPr>
        <w:instrText xml:space="preserve"> PAGEREF _Toc112151098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In</w:t>
      </w:r>
      <w:r>
        <w:rPr>
          <w:noProof/>
          <w:snapToGrid w:val="0"/>
          <w:szCs w:val="24"/>
        </w:rPr>
        <w:noBreakHyphen/>
        <w:t>house electrical installing work licence</w:t>
      </w:r>
      <w:r>
        <w:rPr>
          <w:noProof/>
        </w:rPr>
        <w:tab/>
      </w:r>
      <w:r>
        <w:rPr>
          <w:noProof/>
        </w:rPr>
        <w:fldChar w:fldCharType="begin"/>
      </w:r>
      <w:r>
        <w:rPr>
          <w:noProof/>
        </w:rPr>
        <w:instrText xml:space="preserve"> PAGEREF _Toc112151099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Nominated electrical worker</w:t>
      </w:r>
      <w:r>
        <w:rPr>
          <w:noProof/>
        </w:rPr>
        <w:tab/>
      </w:r>
      <w:r>
        <w:rPr>
          <w:noProof/>
        </w:rPr>
        <w:fldChar w:fldCharType="begin"/>
      </w:r>
      <w:r>
        <w:rPr>
          <w:noProof/>
        </w:rPr>
        <w:instrText xml:space="preserve"> PAGEREF _Toc112151100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Application for licence</w:t>
      </w:r>
      <w:r>
        <w:rPr>
          <w:noProof/>
        </w:rPr>
        <w:tab/>
      </w:r>
      <w:r>
        <w:rPr>
          <w:noProof/>
        </w:rPr>
        <w:fldChar w:fldCharType="begin"/>
      </w:r>
      <w:r>
        <w:rPr>
          <w:noProof/>
        </w:rPr>
        <w:instrText xml:space="preserve"> PAGEREF _Toc112151101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Issue of licence</w:t>
      </w:r>
      <w:r>
        <w:rPr>
          <w:noProof/>
        </w:rPr>
        <w:tab/>
      </w:r>
      <w:r>
        <w:rPr>
          <w:noProof/>
        </w:rPr>
        <w:fldChar w:fldCharType="begin"/>
      </w:r>
      <w:r>
        <w:rPr>
          <w:noProof/>
        </w:rPr>
        <w:instrText xml:space="preserve"> PAGEREF _Toc112151102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Licence held by a firm</w:t>
      </w:r>
      <w:r>
        <w:rPr>
          <w:noProof/>
        </w:rPr>
        <w:tab/>
      </w:r>
      <w:r>
        <w:rPr>
          <w:noProof/>
        </w:rPr>
        <w:fldChar w:fldCharType="begin"/>
      </w:r>
      <w:r>
        <w:rPr>
          <w:noProof/>
        </w:rPr>
        <w:instrText xml:space="preserve"> PAGEREF _Toc112151103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Board to be notified</w:t>
      </w:r>
      <w:r>
        <w:rPr>
          <w:noProof/>
        </w:rPr>
        <w:tab/>
      </w:r>
      <w:r>
        <w:rPr>
          <w:noProof/>
        </w:rPr>
        <w:fldChar w:fldCharType="begin"/>
      </w:r>
      <w:r>
        <w:rPr>
          <w:noProof/>
        </w:rPr>
        <w:instrText xml:space="preserve"> PAGEREF _Toc112151104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Duration of registration</w:t>
      </w:r>
      <w:r>
        <w:rPr>
          <w:noProof/>
        </w:rPr>
        <w:tab/>
      </w:r>
      <w:r>
        <w:rPr>
          <w:noProof/>
        </w:rPr>
        <w:fldChar w:fldCharType="begin"/>
      </w:r>
      <w:r>
        <w:rPr>
          <w:noProof/>
        </w:rPr>
        <w:instrText xml:space="preserve"> PAGEREF _Toc112151105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Renewal of registration</w:t>
      </w:r>
      <w:r>
        <w:rPr>
          <w:noProof/>
        </w:rPr>
        <w:tab/>
      </w:r>
      <w:r>
        <w:rPr>
          <w:noProof/>
        </w:rPr>
        <w:fldChar w:fldCharType="begin"/>
      </w:r>
      <w:r>
        <w:rPr>
          <w:noProof/>
        </w:rPr>
        <w:instrText xml:space="preserve"> PAGEREF _Toc112151106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Place of business</w:t>
      </w:r>
      <w:r>
        <w:rPr>
          <w:noProof/>
        </w:rPr>
        <w:tab/>
      </w:r>
      <w:r>
        <w:rPr>
          <w:noProof/>
        </w:rPr>
        <w:fldChar w:fldCharType="begin"/>
      </w:r>
      <w:r>
        <w:rPr>
          <w:noProof/>
        </w:rPr>
        <w:instrText xml:space="preserve"> PAGEREF _Toc112151107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Discipline</w:t>
      </w:r>
      <w:r>
        <w:rPr>
          <w:noProof/>
        </w:rPr>
        <w:tab/>
      </w:r>
      <w:r>
        <w:rPr>
          <w:noProof/>
        </w:rPr>
        <w:fldChar w:fldCharType="begin"/>
      </w:r>
      <w:r>
        <w:rPr>
          <w:noProof/>
        </w:rPr>
        <w:instrText xml:space="preserve"> PAGEREF _Toc112151108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Disciplinary powers</w:t>
      </w:r>
      <w:r>
        <w:rPr>
          <w:noProof/>
        </w:rPr>
        <w:tab/>
      </w:r>
      <w:r>
        <w:rPr>
          <w:noProof/>
        </w:rPr>
        <w:fldChar w:fldCharType="begin"/>
      </w:r>
      <w:r>
        <w:rPr>
          <w:noProof/>
        </w:rPr>
        <w:instrText xml:space="preserve"> PAGEREF _Toc112151109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47A</w:t>
      </w:r>
      <w:r>
        <w:rPr>
          <w:noProof/>
          <w:snapToGrid w:val="0"/>
          <w:szCs w:val="24"/>
        </w:rPr>
        <w:t>.</w:t>
      </w:r>
      <w:r>
        <w:rPr>
          <w:noProof/>
          <w:sz w:val="24"/>
          <w:szCs w:val="24"/>
        </w:rPr>
        <w:tab/>
      </w:r>
      <w:r>
        <w:rPr>
          <w:noProof/>
          <w:snapToGrid w:val="0"/>
          <w:szCs w:val="24"/>
        </w:rPr>
        <w:t>Alternative to bringing proceedings</w:t>
      </w:r>
      <w:r>
        <w:rPr>
          <w:noProof/>
        </w:rPr>
        <w:tab/>
      </w:r>
      <w:r>
        <w:rPr>
          <w:noProof/>
        </w:rPr>
        <w:fldChar w:fldCharType="begin"/>
      </w:r>
      <w:r>
        <w:rPr>
          <w:noProof/>
        </w:rPr>
        <w:instrText xml:space="preserve"> PAGEREF _Toc112151110 \h </w:instrText>
      </w:r>
      <w:r>
        <w:rPr>
          <w:noProof/>
        </w:rPr>
      </w:r>
      <w:r>
        <w:rPr>
          <w:noProof/>
        </w:rPr>
        <w:fldChar w:fldCharType="separate"/>
      </w:r>
      <w:r>
        <w:rPr>
          <w:noProof/>
        </w:rPr>
        <w:t>40</w:t>
      </w:r>
      <w:r>
        <w:rPr>
          <w:noProof/>
        </w:rPr>
        <w:fldChar w:fldCharType="end"/>
      </w:r>
    </w:p>
    <w:p>
      <w:pPr>
        <w:pStyle w:val="TOC2"/>
        <w:tabs>
          <w:tab w:val="right" w:leader="dot" w:pos="7086"/>
        </w:tabs>
        <w:rPr>
          <w:b w:val="0"/>
          <w:noProof/>
          <w:sz w:val="24"/>
          <w:szCs w:val="24"/>
        </w:rPr>
      </w:pPr>
      <w:r>
        <w:rPr>
          <w:noProof/>
          <w:szCs w:val="30"/>
        </w:rPr>
        <w:t>Part 5 — Regulation of electrical work</w:t>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Electrical work to be carried out in accordance with certain requirements</w:t>
      </w:r>
      <w:r>
        <w:rPr>
          <w:noProof/>
        </w:rPr>
        <w:tab/>
      </w:r>
      <w:r>
        <w:rPr>
          <w:noProof/>
        </w:rPr>
        <w:fldChar w:fldCharType="begin"/>
      </w:r>
      <w:r>
        <w:rPr>
          <w:noProof/>
        </w:rPr>
        <w:instrText xml:space="preserve"> PAGEREF _Toc112151112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Duty to effectively supervise electrical work</w:t>
      </w:r>
      <w:r>
        <w:rPr>
          <w:noProof/>
        </w:rPr>
        <w:tab/>
      </w:r>
      <w:r>
        <w:rPr>
          <w:noProof/>
        </w:rPr>
        <w:fldChar w:fldCharType="begin"/>
      </w:r>
      <w:r>
        <w:rPr>
          <w:noProof/>
        </w:rPr>
        <w:instrText xml:space="preserve"> PAGEREF _Toc112151113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50A</w:t>
      </w:r>
      <w:r>
        <w:rPr>
          <w:noProof/>
          <w:snapToGrid w:val="0"/>
          <w:szCs w:val="24"/>
        </w:rPr>
        <w:t xml:space="preserve">. </w:t>
      </w:r>
      <w:r>
        <w:rPr>
          <w:noProof/>
          <w:sz w:val="24"/>
          <w:szCs w:val="24"/>
        </w:rPr>
        <w:tab/>
      </w:r>
      <w:r>
        <w:rPr>
          <w:noProof/>
          <w:snapToGrid w:val="0"/>
          <w:szCs w:val="24"/>
        </w:rPr>
        <w:t>Licence holder not to cause or permit unsafe wiring or equipment to be connected to electrical installation</w:t>
      </w:r>
      <w:r>
        <w:rPr>
          <w:noProof/>
        </w:rPr>
        <w:tab/>
      </w:r>
      <w:r>
        <w:rPr>
          <w:noProof/>
        </w:rPr>
        <w:fldChar w:fldCharType="begin"/>
      </w:r>
      <w:r>
        <w:rPr>
          <w:noProof/>
        </w:rPr>
        <w:instrText xml:space="preserve"> PAGEREF _Toc112151114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Preliminary notice</w:t>
      </w:r>
      <w:r>
        <w:rPr>
          <w:noProof/>
        </w:rPr>
        <w:tab/>
      </w:r>
      <w:r>
        <w:rPr>
          <w:noProof/>
        </w:rPr>
        <w:fldChar w:fldCharType="begin"/>
      </w:r>
      <w:r>
        <w:rPr>
          <w:noProof/>
        </w:rPr>
        <w:instrText xml:space="preserve"> PAGEREF _Toc112151115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Notice of completion</w:t>
      </w:r>
      <w:r>
        <w:rPr>
          <w:noProof/>
        </w:rPr>
        <w:tab/>
      </w:r>
      <w:r>
        <w:rPr>
          <w:noProof/>
        </w:rPr>
        <w:fldChar w:fldCharType="begin"/>
      </w:r>
      <w:r>
        <w:rPr>
          <w:noProof/>
        </w:rPr>
        <w:instrText xml:space="preserve"> PAGEREF _Toc112151116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Work other than by electrical contractors and unlicensed persons</w:t>
      </w:r>
      <w:r>
        <w:rPr>
          <w:noProof/>
        </w:rPr>
        <w:tab/>
      </w:r>
      <w:r>
        <w:rPr>
          <w:noProof/>
        </w:rPr>
        <w:fldChar w:fldCharType="begin"/>
      </w:r>
      <w:r>
        <w:rPr>
          <w:noProof/>
        </w:rPr>
        <w:instrText xml:space="preserve"> PAGEREF _Toc112151117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53A</w:t>
      </w:r>
      <w:r>
        <w:rPr>
          <w:noProof/>
          <w:snapToGrid w:val="0"/>
          <w:szCs w:val="24"/>
        </w:rPr>
        <w:t xml:space="preserve">. </w:t>
      </w:r>
      <w:r>
        <w:rPr>
          <w:noProof/>
          <w:sz w:val="24"/>
          <w:szCs w:val="24"/>
        </w:rPr>
        <w:tab/>
      </w:r>
      <w:r>
        <w:rPr>
          <w:noProof/>
          <w:snapToGrid w:val="0"/>
          <w:szCs w:val="24"/>
        </w:rPr>
        <w:t>Further inspection fee</w:t>
      </w:r>
      <w:r>
        <w:rPr>
          <w:noProof/>
        </w:rPr>
        <w:tab/>
      </w:r>
      <w:r>
        <w:rPr>
          <w:noProof/>
        </w:rPr>
        <w:fldChar w:fldCharType="begin"/>
      </w:r>
      <w:r>
        <w:rPr>
          <w:noProof/>
        </w:rPr>
        <w:instrText xml:space="preserve"> PAGEREF _Toc112151118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Signing of notices</w:t>
      </w:r>
      <w:r>
        <w:rPr>
          <w:noProof/>
        </w:rPr>
        <w:tab/>
      </w:r>
      <w:r>
        <w:rPr>
          <w:noProof/>
        </w:rPr>
        <w:fldChar w:fldCharType="begin"/>
      </w:r>
      <w:r>
        <w:rPr>
          <w:noProof/>
        </w:rPr>
        <w:instrText xml:space="preserve"> PAGEREF _Toc112151119 \h </w:instrText>
      </w:r>
      <w:r>
        <w:rPr>
          <w:noProof/>
        </w:rPr>
      </w:r>
      <w:r>
        <w:rPr>
          <w:noProof/>
        </w:rPr>
        <w:fldChar w:fldCharType="separate"/>
      </w:r>
      <w:r>
        <w:rPr>
          <w:noProof/>
        </w:rPr>
        <w:t>49</w:t>
      </w:r>
      <w:r>
        <w:rPr>
          <w:noProof/>
        </w:rPr>
        <w:fldChar w:fldCharType="end"/>
      </w:r>
    </w:p>
    <w:p>
      <w:pPr>
        <w:pStyle w:val="TOC2"/>
        <w:tabs>
          <w:tab w:val="right" w:leader="dot" w:pos="7086"/>
        </w:tabs>
        <w:rPr>
          <w:b w:val="0"/>
          <w:noProof/>
          <w:sz w:val="24"/>
          <w:szCs w:val="24"/>
        </w:rPr>
      </w:pPr>
      <w:r>
        <w:rPr>
          <w:noProof/>
          <w:szCs w:val="30"/>
        </w:rPr>
        <w:t>Part 6 — Miscellaneous</w:t>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Powers of entry and inspection</w:t>
      </w:r>
      <w:r>
        <w:rPr>
          <w:noProof/>
        </w:rPr>
        <w:tab/>
      </w:r>
      <w:r>
        <w:rPr>
          <w:noProof/>
        </w:rPr>
        <w:fldChar w:fldCharType="begin"/>
      </w:r>
      <w:r>
        <w:rPr>
          <w:noProof/>
        </w:rPr>
        <w:instrText xml:space="preserve"> PAGEREF _Toc112151121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56</w:t>
      </w:r>
      <w:r>
        <w:rPr>
          <w:noProof/>
          <w:snapToGrid w:val="0"/>
          <w:szCs w:val="24"/>
        </w:rPr>
        <w:t>.</w:t>
      </w:r>
      <w:r>
        <w:rPr>
          <w:noProof/>
          <w:sz w:val="24"/>
          <w:szCs w:val="24"/>
        </w:rPr>
        <w:tab/>
      </w:r>
      <w:r>
        <w:rPr>
          <w:noProof/>
          <w:snapToGrid w:val="0"/>
          <w:szCs w:val="24"/>
        </w:rPr>
        <w:t>Register</w:t>
      </w:r>
      <w:r>
        <w:rPr>
          <w:noProof/>
        </w:rPr>
        <w:tab/>
      </w:r>
      <w:r>
        <w:rPr>
          <w:noProof/>
        </w:rPr>
        <w:fldChar w:fldCharType="begin"/>
      </w:r>
      <w:r>
        <w:rPr>
          <w:noProof/>
        </w:rPr>
        <w:instrText xml:space="preserve"> PAGEREF _Toc112151122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57</w:t>
      </w:r>
      <w:r>
        <w:rPr>
          <w:noProof/>
          <w:snapToGrid w:val="0"/>
          <w:szCs w:val="24"/>
        </w:rPr>
        <w:t>.</w:t>
      </w:r>
      <w:r>
        <w:rPr>
          <w:noProof/>
          <w:sz w:val="24"/>
          <w:szCs w:val="24"/>
        </w:rPr>
        <w:tab/>
      </w:r>
      <w:r>
        <w:rPr>
          <w:noProof/>
          <w:snapToGrid w:val="0"/>
          <w:szCs w:val="24"/>
        </w:rPr>
        <w:t>Record of electrical workers employed</w:t>
      </w:r>
      <w:r>
        <w:rPr>
          <w:noProof/>
        </w:rPr>
        <w:tab/>
      </w:r>
      <w:r>
        <w:rPr>
          <w:noProof/>
        </w:rPr>
        <w:fldChar w:fldCharType="begin"/>
      </w:r>
      <w:r>
        <w:rPr>
          <w:noProof/>
        </w:rPr>
        <w:instrText xml:space="preserve"> PAGEREF _Toc112151123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Notice to produce licence and current registration certificate</w:t>
      </w:r>
      <w:r>
        <w:rPr>
          <w:noProof/>
        </w:rPr>
        <w:tab/>
      </w:r>
      <w:r>
        <w:rPr>
          <w:noProof/>
        </w:rPr>
        <w:fldChar w:fldCharType="begin"/>
      </w:r>
      <w:r>
        <w:rPr>
          <w:noProof/>
        </w:rPr>
        <w:instrText xml:space="preserve"> PAGEREF _Toc112151124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59</w:t>
      </w:r>
      <w:r>
        <w:rPr>
          <w:noProof/>
          <w:snapToGrid w:val="0"/>
          <w:szCs w:val="24"/>
        </w:rPr>
        <w:t>.</w:t>
      </w:r>
      <w:r>
        <w:rPr>
          <w:noProof/>
          <w:sz w:val="24"/>
          <w:szCs w:val="24"/>
        </w:rPr>
        <w:tab/>
      </w:r>
      <w:r>
        <w:rPr>
          <w:noProof/>
          <w:snapToGrid w:val="0"/>
          <w:szCs w:val="24"/>
        </w:rPr>
        <w:t>Offences related to licensing</w:t>
      </w:r>
      <w:r>
        <w:rPr>
          <w:noProof/>
        </w:rPr>
        <w:tab/>
      </w:r>
      <w:r>
        <w:rPr>
          <w:noProof/>
        </w:rPr>
        <w:fldChar w:fldCharType="begin"/>
      </w:r>
      <w:r>
        <w:rPr>
          <w:noProof/>
        </w:rPr>
        <w:instrText xml:space="preserve"> PAGEREF _Toc112151125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60</w:t>
      </w:r>
      <w:r>
        <w:rPr>
          <w:noProof/>
          <w:snapToGrid w:val="0"/>
          <w:szCs w:val="24"/>
        </w:rPr>
        <w:t>.</w:t>
      </w:r>
      <w:r>
        <w:rPr>
          <w:noProof/>
          <w:sz w:val="24"/>
          <w:szCs w:val="24"/>
        </w:rPr>
        <w:tab/>
      </w:r>
      <w:r>
        <w:rPr>
          <w:noProof/>
          <w:snapToGrid w:val="0"/>
          <w:szCs w:val="24"/>
        </w:rPr>
        <w:t>Duplicate of licence or permit document</w:t>
      </w:r>
      <w:r>
        <w:rPr>
          <w:noProof/>
        </w:rPr>
        <w:tab/>
      </w:r>
      <w:r>
        <w:rPr>
          <w:noProof/>
        </w:rPr>
        <w:fldChar w:fldCharType="begin"/>
      </w:r>
      <w:r>
        <w:rPr>
          <w:noProof/>
        </w:rPr>
        <w:instrText xml:space="preserve"> PAGEREF _Toc112151126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61</w:t>
      </w:r>
      <w:r>
        <w:rPr>
          <w:noProof/>
          <w:snapToGrid w:val="0"/>
          <w:szCs w:val="24"/>
        </w:rPr>
        <w:t>.</w:t>
      </w:r>
      <w:r>
        <w:rPr>
          <w:noProof/>
          <w:sz w:val="24"/>
          <w:szCs w:val="24"/>
        </w:rPr>
        <w:tab/>
      </w:r>
      <w:r>
        <w:rPr>
          <w:noProof/>
          <w:snapToGrid w:val="0"/>
          <w:szCs w:val="24"/>
        </w:rPr>
        <w:t>Return of licence or permit document</w:t>
      </w:r>
      <w:r>
        <w:rPr>
          <w:noProof/>
        </w:rPr>
        <w:tab/>
      </w:r>
      <w:r>
        <w:rPr>
          <w:noProof/>
        </w:rPr>
        <w:fldChar w:fldCharType="begin"/>
      </w:r>
      <w:r>
        <w:rPr>
          <w:noProof/>
        </w:rPr>
        <w:instrText xml:space="preserve"> PAGEREF _Toc112151127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62</w:t>
      </w:r>
      <w:r>
        <w:rPr>
          <w:noProof/>
          <w:snapToGrid w:val="0"/>
          <w:szCs w:val="24"/>
        </w:rPr>
        <w:t>.</w:t>
      </w:r>
      <w:r>
        <w:rPr>
          <w:noProof/>
          <w:sz w:val="24"/>
          <w:szCs w:val="24"/>
        </w:rPr>
        <w:tab/>
      </w:r>
      <w:r>
        <w:rPr>
          <w:noProof/>
          <w:snapToGrid w:val="0"/>
          <w:szCs w:val="24"/>
        </w:rPr>
        <w:t>Defects to be reported</w:t>
      </w:r>
      <w:r>
        <w:rPr>
          <w:noProof/>
        </w:rPr>
        <w:tab/>
      </w:r>
      <w:r>
        <w:rPr>
          <w:noProof/>
        </w:rPr>
        <w:fldChar w:fldCharType="begin"/>
      </w:r>
      <w:r>
        <w:rPr>
          <w:noProof/>
        </w:rPr>
        <w:instrText xml:space="preserve"> PAGEREF _Toc112151128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63</w:t>
      </w:r>
      <w:r>
        <w:rPr>
          <w:noProof/>
          <w:snapToGrid w:val="0"/>
          <w:szCs w:val="24"/>
        </w:rPr>
        <w:t>.</w:t>
      </w:r>
      <w:r>
        <w:rPr>
          <w:noProof/>
          <w:sz w:val="24"/>
          <w:szCs w:val="24"/>
        </w:rPr>
        <w:tab/>
      </w:r>
      <w:r>
        <w:rPr>
          <w:noProof/>
          <w:snapToGrid w:val="0"/>
          <w:szCs w:val="24"/>
        </w:rPr>
        <w:t>Accidents to be reported</w:t>
      </w:r>
      <w:r>
        <w:rPr>
          <w:noProof/>
        </w:rPr>
        <w:tab/>
      </w:r>
      <w:r>
        <w:rPr>
          <w:noProof/>
        </w:rPr>
        <w:fldChar w:fldCharType="begin"/>
      </w:r>
      <w:r>
        <w:rPr>
          <w:noProof/>
        </w:rPr>
        <w:instrText xml:space="preserve"> PAGEREF _Toc112151129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63A</w:t>
      </w:r>
      <w:r>
        <w:rPr>
          <w:noProof/>
          <w:snapToGrid w:val="0"/>
          <w:szCs w:val="24"/>
        </w:rPr>
        <w:t xml:space="preserve">. </w:t>
      </w:r>
      <w:r>
        <w:rPr>
          <w:noProof/>
          <w:sz w:val="24"/>
          <w:szCs w:val="24"/>
        </w:rPr>
        <w:tab/>
      </w:r>
      <w:r>
        <w:rPr>
          <w:noProof/>
          <w:snapToGrid w:val="0"/>
          <w:szCs w:val="24"/>
        </w:rPr>
        <w:t>Interference with scene of accident</w:t>
      </w:r>
      <w:r>
        <w:rPr>
          <w:noProof/>
        </w:rPr>
        <w:tab/>
      </w:r>
      <w:r>
        <w:rPr>
          <w:noProof/>
        </w:rPr>
        <w:fldChar w:fldCharType="begin"/>
      </w:r>
      <w:r>
        <w:rPr>
          <w:noProof/>
        </w:rPr>
        <w:instrText xml:space="preserve"> PAGEREF _Toc112151130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63B.</w:t>
      </w:r>
      <w:r>
        <w:rPr>
          <w:noProof/>
          <w:sz w:val="24"/>
          <w:szCs w:val="24"/>
        </w:rPr>
        <w:tab/>
      </w:r>
      <w:r>
        <w:rPr>
          <w:noProof/>
          <w:szCs w:val="24"/>
        </w:rPr>
        <w:t>Delegation by Director</w:t>
      </w:r>
      <w:r>
        <w:rPr>
          <w:noProof/>
        </w:rPr>
        <w:tab/>
      </w:r>
      <w:r>
        <w:rPr>
          <w:noProof/>
        </w:rPr>
        <w:fldChar w:fldCharType="begin"/>
      </w:r>
      <w:r>
        <w:rPr>
          <w:noProof/>
        </w:rPr>
        <w:instrText xml:space="preserve"> PAGEREF _Toc112151131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64</w:t>
      </w:r>
      <w:r>
        <w:rPr>
          <w:noProof/>
          <w:snapToGrid w:val="0"/>
          <w:szCs w:val="24"/>
        </w:rPr>
        <w:t>.</w:t>
      </w:r>
      <w:r>
        <w:rPr>
          <w:noProof/>
          <w:sz w:val="24"/>
          <w:szCs w:val="24"/>
        </w:rPr>
        <w:tab/>
      </w:r>
      <w:r>
        <w:rPr>
          <w:noProof/>
          <w:snapToGrid w:val="0"/>
          <w:szCs w:val="24"/>
        </w:rPr>
        <w:t>Fees</w:t>
      </w:r>
      <w:r>
        <w:rPr>
          <w:noProof/>
        </w:rPr>
        <w:tab/>
      </w:r>
      <w:r>
        <w:rPr>
          <w:noProof/>
        </w:rPr>
        <w:fldChar w:fldCharType="begin"/>
      </w:r>
      <w:r>
        <w:rPr>
          <w:noProof/>
        </w:rPr>
        <w:instrText xml:space="preserve"> PAGEREF _Toc112151132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65</w:t>
      </w:r>
      <w:r>
        <w:rPr>
          <w:noProof/>
          <w:snapToGrid w:val="0"/>
          <w:szCs w:val="24"/>
        </w:rPr>
        <w:t>.</w:t>
      </w:r>
      <w:r>
        <w:rPr>
          <w:noProof/>
          <w:sz w:val="24"/>
          <w:szCs w:val="24"/>
        </w:rPr>
        <w:tab/>
      </w:r>
      <w:r>
        <w:rPr>
          <w:noProof/>
          <w:snapToGrid w:val="0"/>
          <w:szCs w:val="24"/>
        </w:rPr>
        <w:t>General penalty</w:t>
      </w:r>
      <w:r>
        <w:rPr>
          <w:noProof/>
        </w:rPr>
        <w:tab/>
      </w:r>
      <w:r>
        <w:rPr>
          <w:noProof/>
        </w:rPr>
        <w:fldChar w:fldCharType="begin"/>
      </w:r>
      <w:r>
        <w:rPr>
          <w:noProof/>
        </w:rPr>
        <w:instrText xml:space="preserve"> PAGEREF _Toc112151133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67</w:t>
      </w:r>
      <w:r>
        <w:rPr>
          <w:noProof/>
          <w:snapToGrid w:val="0"/>
          <w:szCs w:val="24"/>
        </w:rPr>
        <w:t>.</w:t>
      </w:r>
      <w:r>
        <w:rPr>
          <w:noProof/>
          <w:sz w:val="24"/>
          <w:szCs w:val="24"/>
        </w:rPr>
        <w:tab/>
      </w:r>
      <w:r>
        <w:rPr>
          <w:noProof/>
          <w:snapToGrid w:val="0"/>
          <w:szCs w:val="24"/>
        </w:rPr>
        <w:t>Savings and transitional</w:t>
      </w:r>
      <w:r>
        <w:rPr>
          <w:noProof/>
        </w:rPr>
        <w:tab/>
      </w:r>
      <w:r>
        <w:rPr>
          <w:noProof/>
        </w:rPr>
        <w:fldChar w:fldCharType="begin"/>
      </w:r>
      <w:r>
        <w:rPr>
          <w:noProof/>
        </w:rPr>
        <w:instrText xml:space="preserve"> PAGEREF _Toc112151134 \h </w:instrText>
      </w:r>
      <w:r>
        <w:rPr>
          <w:noProof/>
        </w:rPr>
      </w:r>
      <w:r>
        <w:rPr>
          <w:noProof/>
        </w:rPr>
        <w:fldChar w:fldCharType="separate"/>
      </w:r>
      <w:r>
        <w:rPr>
          <w:noProof/>
        </w:rPr>
        <w:t>56</w:t>
      </w:r>
      <w:r>
        <w:rPr>
          <w:noProof/>
        </w:rPr>
        <w:fldChar w:fldCharType="end"/>
      </w:r>
    </w:p>
    <w:p>
      <w:pPr>
        <w:pStyle w:val="TOC5"/>
        <w:rPr>
          <w:b w:val="0"/>
          <w:noProof/>
          <w:sz w:val="24"/>
          <w:szCs w:val="24"/>
        </w:rPr>
      </w:pPr>
      <w:r>
        <w:rPr>
          <w:noProof/>
          <w:szCs w:val="28"/>
        </w:rPr>
        <w:t>Schedule 1</w:t>
      </w:r>
      <w:r>
        <w:rPr>
          <w:noProof/>
        </w:rPr>
        <w:tab/>
      </w:r>
      <w:r>
        <w:rPr>
          <w:noProof/>
        </w:rPr>
        <w:fldChar w:fldCharType="begin"/>
      </w:r>
      <w:r>
        <w:rPr>
          <w:noProof/>
        </w:rPr>
        <w:instrText xml:space="preserve"> PAGEREF _Toc112151135 \h </w:instrText>
      </w:r>
      <w:r>
        <w:rPr>
          <w:noProof/>
        </w:rPr>
      </w:r>
      <w:r>
        <w:rPr>
          <w:noProof/>
        </w:rPr>
        <w:fldChar w:fldCharType="separate"/>
      </w:r>
      <w:r>
        <w:rPr>
          <w:noProof/>
        </w:rPr>
        <w:t>59</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_Toc112151137 \h </w:instrText>
      </w:r>
      <w:r>
        <w:rPr>
          <w:noProof/>
        </w:rPr>
      </w:r>
      <w:r>
        <w:rPr>
          <w:noProof/>
        </w:rPr>
        <w:fldChar w:fldCharType="separate"/>
      </w:r>
      <w:r>
        <w:rPr>
          <w:noProof/>
        </w:rPr>
        <w:t>60</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Electricity Act 1945</w:t>
      </w:r>
    </w:p>
    <w:p>
      <w:pPr>
        <w:pStyle w:val="NameofActReg"/>
      </w:pPr>
      <w:r>
        <w:t>Electricity (Licensing) Regulations 1991</w:t>
      </w:r>
    </w:p>
    <w:p>
      <w:pPr>
        <w:pStyle w:val="Heading2"/>
        <w:keepNext w:val="0"/>
        <w:pageBreakBefore w:val="0"/>
        <w:spacing w:before="220"/>
      </w:pPr>
      <w:bookmarkStart w:id="1" w:name="_Toc54672560"/>
      <w:bookmarkStart w:id="2" w:name="_Toc77479415"/>
      <w:bookmarkStart w:id="3" w:name="_Toc92790598"/>
      <w:bookmarkStart w:id="4" w:name="_Toc92790732"/>
      <w:bookmarkStart w:id="5" w:name="_Toc92965237"/>
      <w:bookmarkStart w:id="6" w:name="_Toc92965341"/>
      <w:bookmarkStart w:id="7" w:name="_Toc101593786"/>
      <w:bookmarkStart w:id="8" w:name="_Toc112133162"/>
      <w:bookmarkStart w:id="9" w:name="_Toc112151061"/>
      <w:bookmarkStart w:id="10" w:name="_Toc31684935"/>
      <w:r>
        <w:rPr>
          <w:rStyle w:val="CharPartNo"/>
        </w:rPr>
        <w:t>Part 1</w:t>
      </w:r>
      <w:r>
        <w:rPr>
          <w:rStyle w:val="CharDivNo"/>
        </w:rPr>
        <w:t> </w:t>
      </w:r>
      <w:r>
        <w:t>— </w:t>
      </w:r>
      <w:r>
        <w:rPr>
          <w:rStyle w:val="CharPartText"/>
        </w:rPr>
        <w:t>Preliminary</w:t>
      </w:r>
      <w:bookmarkEnd w:id="1"/>
      <w:bookmarkEnd w:id="2"/>
      <w:bookmarkEnd w:id="3"/>
      <w:bookmarkEnd w:id="4"/>
      <w:bookmarkEnd w:id="5"/>
      <w:bookmarkEnd w:id="6"/>
      <w:bookmarkEnd w:id="7"/>
      <w:bookmarkEnd w:id="8"/>
      <w:bookmarkEnd w:id="9"/>
    </w:p>
    <w:p>
      <w:pPr>
        <w:pStyle w:val="Heading5"/>
        <w:rPr>
          <w:snapToGrid w:val="0"/>
        </w:rPr>
      </w:pPr>
      <w:bookmarkStart w:id="11" w:name="_Toc92790599"/>
      <w:bookmarkStart w:id="12" w:name="_Toc92965238"/>
      <w:bookmarkStart w:id="13" w:name="_Toc112151062"/>
      <w:r>
        <w:rPr>
          <w:rStyle w:val="CharSectno"/>
        </w:rPr>
        <w:t>1</w:t>
      </w:r>
      <w:r>
        <w:rPr>
          <w:snapToGrid w:val="0"/>
        </w:rPr>
        <w:t>.</w:t>
      </w:r>
      <w:r>
        <w:rPr>
          <w:snapToGrid w:val="0"/>
        </w:rPr>
        <w:tab/>
        <w:t>Citation</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rPr>
          <w:snapToGrid w:val="0"/>
        </w:rPr>
      </w:pPr>
      <w:bookmarkStart w:id="14" w:name="_Toc31684936"/>
      <w:bookmarkStart w:id="15" w:name="_Toc92790600"/>
      <w:bookmarkStart w:id="16" w:name="_Toc92965239"/>
      <w:bookmarkStart w:id="17" w:name="_Toc112151063"/>
      <w:r>
        <w:rPr>
          <w:rStyle w:val="CharSectno"/>
        </w:rPr>
        <w:t>2</w:t>
      </w:r>
      <w:r>
        <w:rPr>
          <w:snapToGrid w:val="0"/>
        </w:rPr>
        <w:t>.</w:t>
      </w:r>
      <w:r>
        <w:rPr>
          <w:snapToGrid w:val="0"/>
        </w:rPr>
        <w:tab/>
        <w:t>Commencement</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rPr>
          <w:snapToGrid w:val="0"/>
        </w:rPr>
      </w:pPr>
      <w:bookmarkStart w:id="18" w:name="_Toc31684937"/>
      <w:bookmarkStart w:id="19" w:name="_Toc92790601"/>
      <w:bookmarkStart w:id="20" w:name="_Toc92965240"/>
      <w:bookmarkStart w:id="21" w:name="_Toc112151064"/>
      <w:r>
        <w:rPr>
          <w:rStyle w:val="CharSectno"/>
        </w:rPr>
        <w:t>3</w:t>
      </w:r>
      <w:r>
        <w:rPr>
          <w:snapToGrid w:val="0"/>
        </w:rPr>
        <w:t>.</w:t>
      </w:r>
      <w:r>
        <w:rPr>
          <w:snapToGrid w:val="0"/>
        </w:rPr>
        <w:tab/>
        <w:t>Interpretation</w:t>
      </w:r>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“appointed day”</w:t>
      </w:r>
      <w:r>
        <w:t xml:space="preserve"> means the day fixed by the Minister under subregulation (2);</w:t>
      </w:r>
    </w:p>
    <w:p>
      <w:pPr>
        <w:pStyle w:val="Defstart"/>
      </w:pPr>
      <w:r>
        <w:tab/>
      </w:r>
      <w:r>
        <w:rPr>
          <w:b/>
        </w:rPr>
        <w:t>“</w:t>
      </w:r>
      <w:r>
        <w:rPr>
          <w:rStyle w:val="CharDefText"/>
        </w:rPr>
        <w:t>Australian/New Zealand Wiring Rules</w:t>
      </w:r>
      <w:r>
        <w:rPr>
          <w:b/>
        </w:rPr>
        <w:t>”</w:t>
      </w:r>
      <w:r>
        <w:t xml:space="preserve"> means AS/NZS 3000:2000 Electrical Installations</w:t>
      </w:r>
      <w:r>
        <w:rPr>
          <w:i/>
        </w:rPr>
        <w:t xml:space="preserve"> </w:t>
      </w:r>
      <w:r>
        <w:t>(known as the</w:t>
      </w:r>
      <w:r>
        <w:rPr>
          <w:i/>
        </w:rPr>
        <w:t xml:space="preserve"> </w:t>
      </w:r>
      <w:r>
        <w:t>Australian/New Zealand Wiring Rules), published jointly by Standards Australia and Standards New Zealand;</w:t>
      </w:r>
    </w:p>
    <w:p>
      <w:pPr>
        <w:pStyle w:val="Defstart"/>
      </w:pPr>
      <w:r>
        <w:rPr>
          <w:b/>
        </w:rPr>
        <w:tab/>
        <w:t>“Board”</w:t>
      </w:r>
      <w:r>
        <w:t xml:space="preserve"> means the Electrical Licensing Board established under regulation 4;</w:t>
      </w:r>
    </w:p>
    <w:p>
      <w:pPr>
        <w:pStyle w:val="Defstart"/>
      </w:pPr>
      <w:r>
        <w:rPr>
          <w:b/>
        </w:rPr>
        <w:tab/>
        <w:t>“Chairman”</w:t>
      </w:r>
      <w:r>
        <w:t xml:space="preserve"> means the Chairman of the Board;</w:t>
      </w:r>
    </w:p>
    <w:p>
      <w:pPr>
        <w:pStyle w:val="Defstart"/>
      </w:pPr>
      <w:r>
        <w:rPr>
          <w:b/>
        </w:rPr>
        <w:tab/>
        <w:t>“electrical appliance”</w:t>
      </w:r>
      <w:r>
        <w:t xml:space="preserve"> means a device in which electrical energy is consumed or substantially changed in character by conversion into heat, sound, motion, light or otherwise;</w:t>
      </w:r>
    </w:p>
    <w:p>
      <w:pPr>
        <w:pStyle w:val="Defstart"/>
      </w:pPr>
      <w:r>
        <w:rPr>
          <w:b/>
        </w:rPr>
        <w:tab/>
        <w:t>“electrical contractor”</w:t>
      </w:r>
      <w:r>
        <w:t xml:space="preserve"> means a person who carries on business as an electrical mechanic but does not include an electrical mechanic when acting in the capacity of an employee;</w:t>
      </w:r>
    </w:p>
    <w:p>
      <w:pPr>
        <w:pStyle w:val="Defstart"/>
      </w:pPr>
      <w:r>
        <w:rPr>
          <w:b/>
        </w:rPr>
        <w:tab/>
        <w:t>“electrical contractor’s licence”</w:t>
      </w:r>
      <w:r>
        <w:t xml:space="preserve"> means an electrical contractor’s licence issued under Part 4;</w:t>
      </w:r>
    </w:p>
    <w:p>
      <w:pPr>
        <w:pStyle w:val="Defstart"/>
      </w:pPr>
      <w:r>
        <w:rPr>
          <w:b/>
        </w:rPr>
        <w:tab/>
        <w:t>“electrical equipment”</w:t>
      </w:r>
      <w:r>
        <w:t xml:space="preserve"> includes any component or part of an electrical installation;</w:t>
      </w:r>
    </w:p>
    <w:p>
      <w:pPr>
        <w:pStyle w:val="Defstart"/>
      </w:pPr>
      <w:r>
        <w:rPr>
          <w:b/>
        </w:rPr>
        <w:tab/>
        <w:t>“electrical fitter”</w:t>
      </w:r>
      <w:r>
        <w:t xml:space="preserve"> means an electrical worker who is authorised under these regulations to carry out electrical fitting work;</w:t>
      </w:r>
    </w:p>
    <w:p>
      <w:pPr>
        <w:pStyle w:val="Defstart"/>
      </w:pPr>
      <w:r>
        <w:rPr>
          <w:b/>
        </w:rPr>
        <w:tab/>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rPr>
          <w:b/>
        </w:rPr>
        <w:tab/>
        <w:t>“electrical installation”</w:t>
      </w:r>
      <w:r>
        <w:t xml:space="preserve"> includes all wiring, wiring enclosures, switch gear, control and protective gear, appliances and any other components permanently connected to or associated with the wiring and that is on premises to which electricity is or is intended to be supplied through distribution works and where electricity is supplied from a private generating plant includes that plant;</w:t>
      </w:r>
    </w:p>
    <w:p>
      <w:pPr>
        <w:pStyle w:val="Defstart"/>
      </w:pPr>
      <w:r>
        <w:rPr>
          <w:b/>
        </w:rPr>
        <w:tab/>
        <w:t>“electrical installing work”</w:t>
      </w:r>
      <w:r>
        <w:t xml:space="preserve"> means the work of assembling and fixing in place, altering or adding to any electrical installation or maintaining, enhancing, repairing, removing, or, connecting to fixed wiring, any electrical equipment;</w:t>
      </w:r>
    </w:p>
    <w:p>
      <w:pPr>
        <w:pStyle w:val="Defstart"/>
      </w:pPr>
      <w:r>
        <w:rPr>
          <w:b/>
        </w:rPr>
        <w:tab/>
        <w:t>“electrical mechanic”</w:t>
      </w:r>
      <w:r>
        <w:t xml:space="preserve"> means an electrical worker who is authorised under these regulations to carry out electrical installing work;</w:t>
      </w:r>
    </w:p>
    <w:p>
      <w:pPr>
        <w:pStyle w:val="Defstart"/>
      </w:pPr>
      <w:r>
        <w:rPr>
          <w:b/>
        </w:rPr>
        <w:tab/>
        <w:t>“electrical work”</w:t>
      </w:r>
      <w:r>
        <w:t xml:space="preserve"> means work on electrical machines or instruments, on an electrical installation or on electrical appliances or equipment to which electricity is supplied or intended to be supplied at a nominal pressure exceeding 50 volts alternating current or 115 volts direct current whether or not the thing on which the work is performed is part of, or is connected to or to be connected to, any distribution works or private generating plant and, where work is performed on any appliance, whether or not electricity is supplied or may be supplied thereto through an electric plug socket or socket outlet;</w:t>
      </w:r>
    </w:p>
    <w:p>
      <w:pPr>
        <w:pStyle w:val="Defstart"/>
      </w:pPr>
      <w:r>
        <w:rPr>
          <w:b/>
        </w:rPr>
        <w:tab/>
        <w:t>“electrical worker”</w:t>
      </w:r>
      <w:r>
        <w:t xml:space="preserve"> means a person who carries out electrical work;</w:t>
      </w:r>
    </w:p>
    <w:p>
      <w:pPr>
        <w:pStyle w:val="Defstart"/>
      </w:pPr>
      <w:r>
        <w:rPr>
          <w:b/>
        </w:rPr>
        <w:tab/>
        <w:t>“electrical worker’s licence”</w:t>
      </w:r>
      <w:r>
        <w:t xml:space="preserve"> means a licence issued under Part 3;</w:t>
      </w:r>
    </w:p>
    <w:p>
      <w:pPr>
        <w:pStyle w:val="Defstart"/>
      </w:pPr>
      <w:r>
        <w:rPr>
          <w:b/>
        </w:rPr>
        <w:tab/>
        <w:t>“executive officer”</w:t>
      </w:r>
      <w:r>
        <w:t xml:space="preserve"> means the person holding or acting in the office of Executive Officer to the Board;</w:t>
      </w:r>
    </w:p>
    <w:p>
      <w:pPr>
        <w:pStyle w:val="Defstart"/>
      </w:pPr>
      <w:r>
        <w:rPr>
          <w:b/>
        </w:rPr>
        <w:tab/>
        <w:t>“legal practitioner”</w:t>
      </w:r>
      <w:r>
        <w:t xml:space="preserve"> means a “practitioner” as defined in the</w:t>
      </w:r>
      <w:r>
        <w:rPr>
          <w:i/>
        </w:rPr>
        <w:t xml:space="preserve"> Legal Practice Act 2003</w:t>
      </w:r>
      <w:r>
        <w:t>;</w:t>
      </w:r>
    </w:p>
    <w:p>
      <w:pPr>
        <w:pStyle w:val="Defstart"/>
      </w:pPr>
      <w:r>
        <w:rPr>
          <w:b/>
        </w:rPr>
        <w:tab/>
        <w:t>“licence”</w:t>
      </w:r>
      <w:r>
        <w:t xml:space="preserve"> means a licence under these regulations and when used in Part 3 means an electrical worker’s licence and when used in Part 4 means an electrical contractor’s licence or a licence to carry out electrical work that is in-house electrical installing work for the purposes of Part 4;</w:t>
      </w:r>
    </w:p>
    <w:p>
      <w:pPr>
        <w:pStyle w:val="Defstart"/>
      </w:pPr>
      <w:r>
        <w:rPr>
          <w:b/>
        </w:rPr>
        <w:tab/>
        <w:t>“licensed electrical worker”</w:t>
      </w:r>
      <w:r>
        <w:t xml:space="preserve"> means the holder of an electrical worker’s licence or the holder of a permit under Part 3;</w:t>
      </w:r>
    </w:p>
    <w:p>
      <w:pPr>
        <w:pStyle w:val="Defstart"/>
      </w:pPr>
      <w:r>
        <w:rPr>
          <w:b/>
        </w:rPr>
        <w:tab/>
        <w:t>“live”</w:t>
      </w:r>
      <w:r>
        <w:t>, in relation to any wire or other object, means having, under normal conditions of operation, a potential difference between that wire or other object and earth, and any metal that is deemed by the Australian/New Zealand Wiring Rules to be live for the purposes of that standard shall be regarded as live for the purposes of these regulations;</w:t>
      </w:r>
    </w:p>
    <w:p>
      <w:pPr>
        <w:pStyle w:val="Defstart"/>
      </w:pPr>
      <w:r>
        <w:rPr>
          <w:b/>
        </w:rPr>
        <w:tab/>
        <w:t>“maintenance work”</w:t>
      </w:r>
      <w:r>
        <w:t xml:space="preserve"> means repairing defective electrical equipment or replacing electrical equipment with electrical equipment having an equal or substantially similar engineering specification;</w:t>
      </w:r>
    </w:p>
    <w:p>
      <w:pPr>
        <w:pStyle w:val="Defstart"/>
      </w:pPr>
      <w:r>
        <w:rPr>
          <w:b/>
        </w:rPr>
        <w:tab/>
        <w:t>“mine”</w:t>
      </w:r>
      <w:r>
        <w:t xml:space="preserve"> has the same meaning as it has in the </w:t>
      </w:r>
      <w:r>
        <w:rPr>
          <w:i/>
        </w:rPr>
        <w:t>Mines Safety and Inspection Act 1994</w:t>
      </w:r>
      <w:r>
        <w:t>;</w:t>
      </w:r>
    </w:p>
    <w:p>
      <w:pPr>
        <w:pStyle w:val="Defstart"/>
      </w:pPr>
      <w:r>
        <w:rPr>
          <w:b/>
        </w:rPr>
        <w:tab/>
        <w:t>“minor work”</w:t>
      </w:r>
      <w:r>
        <w:t xml:space="preserve"> means electrical installing work that does not require alterations to the service equipment, main switchboard, the consumer’s mains or the main earthing conductors and does not involve the installation of private generating plant or additions and alterations to an existing installation operating at a pressure in excess of 650 volts;</w:t>
      </w:r>
    </w:p>
    <w:p>
      <w:pPr>
        <w:pStyle w:val="Defstart"/>
      </w:pPr>
      <w:r>
        <w:rPr>
          <w:b/>
        </w:rPr>
        <w:tab/>
        <w:t>“nominated electrical worker”</w:t>
      </w:r>
      <w:r>
        <w:t>, in relation to a licence under Part 4, means a person for the time being nominated for the purposes of regulation 36(1), (2) or (3) or 37(1) in respect of that licence;</w:t>
      </w:r>
    </w:p>
    <w:p>
      <w:pPr>
        <w:pStyle w:val="Defstart"/>
      </w:pPr>
      <w:r>
        <w:rPr>
          <w:b/>
        </w:rPr>
        <w:tab/>
        <w:t>“permit”</w:t>
      </w:r>
      <w:r>
        <w:t xml:space="preserve"> means a permit under Part 3;</w:t>
      </w:r>
    </w:p>
    <w:p>
      <w:pPr>
        <w:pStyle w:val="Defstart"/>
      </w:pPr>
      <w:r>
        <w:rPr>
          <w:b/>
        </w:rPr>
        <w:tab/>
        <w:t>“pressure”</w:t>
      </w:r>
      <w:r>
        <w:t xml:space="preserve"> means the difference in effective electrical potential measured in volts normally existing between conductors and between conductors and the earth;</w:t>
      </w:r>
    </w:p>
    <w:p>
      <w:pPr>
        <w:pStyle w:val="Defstart"/>
      </w:pPr>
      <w:r>
        <w:rPr>
          <w:b/>
        </w:rPr>
        <w:tab/>
        <w:t>“private generating plant”</w:t>
      </w:r>
      <w:r>
        <w:t xml:space="preserve"> means generating works, that are for the generation of electricity at a pressure exceeding 50 volts alternating current or 115 volts direct current including all works, electrical equipment, and wiring ancillary thereto, and includes such generating works and works, electrical equipment and wiring ancillary thereto that are for the self-propulsion or other motivation of mobile equipment but does not include generating works owned or operated by a supply authority;</w:t>
      </w:r>
    </w:p>
    <w:p>
      <w:pPr>
        <w:pStyle w:val="Defstart"/>
      </w:pPr>
      <w:r>
        <w:rPr>
          <w:b/>
        </w:rPr>
        <w:tab/>
        <w:t>“the relevant supply authority”</w:t>
      </w:r>
      <w:r>
        <w:t xml:space="preserve"> means — </w:t>
      </w:r>
    </w:p>
    <w:p>
      <w:pPr>
        <w:pStyle w:val="Defpara"/>
      </w:pPr>
      <w:r>
        <w:tab/>
        <w:t>(a)</w:t>
      </w:r>
      <w:r>
        <w:tab/>
        <w:t>in relation to an electrical installation of a consumer, the supply authority supplying electricity in the area within which the electrical installation is situated and to the distribution works of which the electrical installation is or is to be connected; or</w:t>
      </w:r>
    </w:p>
    <w:p>
      <w:pPr>
        <w:pStyle w:val="Defpara"/>
      </w:pPr>
      <w:r>
        <w:tab/>
        <w:t>(b)</w:t>
      </w:r>
      <w:r>
        <w:tab/>
        <w:t>in relation to an electrical installation other than an electrical installation of a consumer, the Director;</w:t>
      </w:r>
    </w:p>
    <w:p>
      <w:pPr>
        <w:pStyle w:val="Defstart"/>
      </w:pPr>
      <w:r>
        <w:rPr>
          <w:b/>
        </w:rPr>
        <w:tab/>
        <w:t>“W A Electrical Requirements”</w:t>
      </w:r>
      <w:r>
        <w:t xml:space="preserve"> means the Code known by that name as issued by the Director;</w:t>
      </w:r>
    </w:p>
    <w:p>
      <w:pPr>
        <w:pStyle w:val="Defstart"/>
      </w:pPr>
      <w:r>
        <w:rPr>
          <w:b/>
        </w:rPr>
        <w:tab/>
        <w:t>“working days”</w:t>
      </w:r>
      <w:r>
        <w:t xml:space="preserve"> does not include Saturdays, Sundays or public holidays.</w:t>
      </w:r>
    </w:p>
    <w:p>
      <w:pPr>
        <w:pStyle w:val="Subsection"/>
        <w:rPr>
          <w:snapToGrid w:val="0"/>
        </w:rPr>
      </w:pPr>
      <w:r>
        <w:rPr>
          <w:snapToGrid w:val="0"/>
        </w:rPr>
        <w:tab/>
        <w:t>(2)</w:t>
      </w:r>
      <w:r>
        <w:rPr>
          <w:snapToGrid w:val="0"/>
        </w:rPr>
        <w:tab/>
        <w:t xml:space="preserve">The Minister shall, by notice published in the </w:t>
      </w:r>
      <w:r>
        <w:rPr>
          <w:i/>
          <w:snapToGrid w:val="0"/>
        </w:rPr>
        <w:t>Gazette</w:t>
      </w:r>
      <w:r>
        <w:rPr>
          <w:snapToGrid w:val="0"/>
        </w:rPr>
        <w:t>, fix a day to be the appointed day for the purposes of the provisions of these regulations that refer to the appointed day.</w:t>
      </w:r>
    </w:p>
    <w:p>
      <w:pPr>
        <w:pStyle w:val="Footnotesection"/>
      </w:pPr>
      <w:r>
        <w:tab/>
        <w:t>[Regulation 3 amended in Gazette 23 Dec 1994 p. 7134; 6 Sep 1996 p. 4410</w:t>
      </w:r>
      <w:r>
        <w:noBreakHyphen/>
        <w:t>11; 24 Mar 2000 p. 1639</w:t>
      </w:r>
      <w:r>
        <w:noBreakHyphen/>
        <w:t xml:space="preserve">40; 19 Apr 2005 p. 1296.] </w:t>
      </w:r>
    </w:p>
    <w:p>
      <w:pPr>
        <w:pStyle w:val="Heading2"/>
      </w:pPr>
      <w:bookmarkStart w:id="22" w:name="_Toc54672564"/>
      <w:bookmarkStart w:id="23" w:name="_Toc77479419"/>
      <w:bookmarkStart w:id="24" w:name="_Toc92790602"/>
      <w:bookmarkStart w:id="25" w:name="_Toc92790736"/>
      <w:bookmarkStart w:id="26" w:name="_Toc92965241"/>
      <w:bookmarkStart w:id="27" w:name="_Toc92965345"/>
      <w:bookmarkStart w:id="28" w:name="_Toc101593790"/>
      <w:bookmarkStart w:id="29" w:name="_Toc112133166"/>
      <w:bookmarkStart w:id="30" w:name="_Toc112151065"/>
      <w:r>
        <w:rPr>
          <w:rStyle w:val="CharPartNo"/>
        </w:rPr>
        <w:t>Part 2</w:t>
      </w:r>
      <w:r>
        <w:t> — </w:t>
      </w:r>
      <w:r>
        <w:rPr>
          <w:rStyle w:val="CharPartText"/>
        </w:rPr>
        <w:t>The Electrical Licensing Board</w:t>
      </w:r>
      <w:bookmarkEnd w:id="22"/>
      <w:bookmarkEnd w:id="23"/>
      <w:bookmarkEnd w:id="24"/>
      <w:bookmarkEnd w:id="25"/>
      <w:bookmarkEnd w:id="26"/>
      <w:bookmarkEnd w:id="27"/>
      <w:bookmarkEnd w:id="28"/>
      <w:bookmarkEnd w:id="29"/>
      <w:bookmarkEnd w:id="30"/>
      <w:r>
        <w:rPr>
          <w:rStyle w:val="CharPartText"/>
        </w:rPr>
        <w:t xml:space="preserve"> </w:t>
      </w:r>
    </w:p>
    <w:p>
      <w:pPr>
        <w:pStyle w:val="Heading3"/>
        <w:rPr>
          <w:snapToGrid w:val="0"/>
        </w:rPr>
      </w:pPr>
      <w:bookmarkStart w:id="31" w:name="_Toc54672565"/>
      <w:bookmarkStart w:id="32" w:name="_Toc77479420"/>
      <w:bookmarkStart w:id="33" w:name="_Toc92790603"/>
      <w:bookmarkStart w:id="34" w:name="_Toc92790737"/>
      <w:bookmarkStart w:id="35" w:name="_Toc92965242"/>
      <w:bookmarkStart w:id="36" w:name="_Toc92965346"/>
      <w:bookmarkStart w:id="37" w:name="_Toc101593791"/>
      <w:bookmarkStart w:id="38" w:name="_Toc112133167"/>
      <w:bookmarkStart w:id="39" w:name="_Toc112151066"/>
      <w:r>
        <w:rPr>
          <w:rStyle w:val="CharDivNo"/>
        </w:rPr>
        <w:t>Division 1</w:t>
      </w:r>
      <w:r>
        <w:rPr>
          <w:snapToGrid w:val="0"/>
        </w:rPr>
        <w:t> — </w:t>
      </w:r>
      <w:r>
        <w:rPr>
          <w:rStyle w:val="CharDivText"/>
        </w:rPr>
        <w:t>The Board</w:t>
      </w:r>
      <w:bookmarkEnd w:id="31"/>
      <w:bookmarkEnd w:id="32"/>
      <w:bookmarkEnd w:id="33"/>
      <w:bookmarkEnd w:id="34"/>
      <w:bookmarkEnd w:id="35"/>
      <w:bookmarkEnd w:id="36"/>
      <w:bookmarkEnd w:id="37"/>
      <w:bookmarkEnd w:id="38"/>
      <w:bookmarkEnd w:id="39"/>
      <w:r>
        <w:rPr>
          <w:rStyle w:val="CharDivText"/>
        </w:rPr>
        <w:t xml:space="preserve"> </w:t>
      </w:r>
    </w:p>
    <w:p>
      <w:pPr>
        <w:pStyle w:val="Heading5"/>
        <w:rPr>
          <w:snapToGrid w:val="0"/>
        </w:rPr>
      </w:pPr>
      <w:bookmarkStart w:id="40" w:name="_Toc31684938"/>
      <w:bookmarkStart w:id="41" w:name="_Toc92790604"/>
      <w:bookmarkStart w:id="42" w:name="_Toc92965243"/>
      <w:bookmarkStart w:id="43" w:name="_Toc112151067"/>
      <w:r>
        <w:rPr>
          <w:rStyle w:val="CharSectno"/>
        </w:rPr>
        <w:t>4</w:t>
      </w:r>
      <w:r>
        <w:rPr>
          <w:snapToGrid w:val="0"/>
        </w:rPr>
        <w:t>.</w:t>
      </w:r>
      <w:r>
        <w:rPr>
          <w:snapToGrid w:val="0"/>
        </w:rPr>
        <w:tab/>
        <w:t>Establishment</w:t>
      </w:r>
      <w:bookmarkEnd w:id="40"/>
      <w:bookmarkEnd w:id="41"/>
      <w:bookmarkEnd w:id="42"/>
      <w:bookmarkEnd w:id="43"/>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44" w:name="_Toc31684939"/>
      <w:bookmarkStart w:id="45" w:name="_Toc92790605"/>
      <w:bookmarkStart w:id="46" w:name="_Toc92965244"/>
      <w:bookmarkStart w:id="47" w:name="_Toc112151068"/>
      <w:r>
        <w:rPr>
          <w:rStyle w:val="CharSectno"/>
        </w:rPr>
        <w:t>5</w:t>
      </w:r>
      <w:r>
        <w:rPr>
          <w:snapToGrid w:val="0"/>
        </w:rPr>
        <w:t>.</w:t>
      </w:r>
      <w:r>
        <w:rPr>
          <w:snapToGrid w:val="0"/>
        </w:rPr>
        <w:tab/>
        <w:t>The Board</w:t>
      </w:r>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p>
    <w:p>
      <w:pPr>
        <w:pStyle w:val="Indenta"/>
      </w:pPr>
      <w:r>
        <w:tab/>
        <w:t>(d)</w:t>
      </w:r>
      <w:r>
        <w:tab/>
        <w:t>one shall be a person selected by the Minister from a panel consisting of 3 names submitted to the Minister by each approved body that represents the interests of electrical contractors;</w:t>
      </w:r>
    </w:p>
    <w:p>
      <w:pPr>
        <w:pStyle w:val="Indenta"/>
      </w:pPr>
      <w:r>
        <w:tab/>
        <w:t>(e)</w:t>
      </w:r>
      <w:r>
        <w:tab/>
        <w:t>one shall be a person selected by the Minister from a panel consisting of 3 names submitted to the Minister by each approved body that represents the interests of consumers that are large businesses;</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t>“</w:t>
      </w:r>
      <w:r>
        <w:rPr>
          <w:rStyle w:val="CharDefText"/>
        </w:rPr>
        <w:t>approved</w:t>
      </w:r>
      <w:r>
        <w:rPr>
          <w:b/>
        </w:rPr>
        <w:t>”</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is, or has been, the holder of an “A” grade licence for electrical installing work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 restricted electrical licence holders;</w:t>
      </w:r>
    </w:p>
    <w:p>
      <w:pPr>
        <w:pStyle w:val="Indenta"/>
        <w:rPr>
          <w:snapToGrid w:val="0"/>
        </w:rPr>
      </w:pPr>
      <w:r>
        <w:rPr>
          <w:snapToGrid w:val="0"/>
        </w:rPr>
        <w:tab/>
        <w:t>(d)</w:t>
      </w:r>
      <w:r>
        <w:rPr>
          <w:snapToGrid w:val="0"/>
        </w:rPr>
        <w:tab/>
        <w:t>a person shall not be appointed under subregulation (1)(d) unless he or she — </w:t>
      </w:r>
    </w:p>
    <w:p>
      <w:pPr>
        <w:pStyle w:val="Indenti"/>
        <w:rPr>
          <w:snapToGrid w:val="0"/>
        </w:rPr>
      </w:pPr>
      <w:r>
        <w:rPr>
          <w:snapToGrid w:val="0"/>
        </w:rPr>
        <w:tab/>
        <w:t>(i)</w:t>
      </w:r>
      <w:r>
        <w:rPr>
          <w:snapToGrid w:val="0"/>
        </w:rPr>
        <w:tab/>
        <w:t>is, or has been, the holder of an “A” grade licence for electrical installing work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pPr>
      <w:r>
        <w:tab/>
        <w:t>(e)</w:t>
      </w:r>
      <w:r>
        <w:tab/>
        <w:t xml:space="preserve">a person shall not be appointed under subregulation (1)(e) or (f) unless he or she has, in the opinion of the Minister — </w:t>
      </w:r>
    </w:p>
    <w:p>
      <w:pPr>
        <w:pStyle w:val="Indenti"/>
      </w:pPr>
      <w:r>
        <w:tab/>
        <w:t>(i)</w:t>
      </w:r>
      <w:r>
        <w:tab/>
        <w:t>experience in using the services of electrical contractors; or</w:t>
      </w:r>
    </w:p>
    <w:p>
      <w:pPr>
        <w:pStyle w:val="Indenti"/>
      </w:pPr>
      <w:r>
        <w:tab/>
        <w:t>(ii)</w:t>
      </w:r>
      <w:r>
        <w:tab/>
        <w:t>experience, otherwise than as an electrical contractor, in employing licensed electrical workers.</w:t>
      </w:r>
    </w:p>
    <w:p>
      <w:pPr>
        <w:pStyle w:val="Footnotesection"/>
      </w:pPr>
      <w:r>
        <w:tab/>
        <w:t xml:space="preserve">[Regulation 5 amended in Gazette 23 Dec 1994 p. 7134; 6 Sep 1996 p. 4411; 24 Oct 2003 p. 4495-7.] </w:t>
      </w:r>
    </w:p>
    <w:p>
      <w:pPr>
        <w:pStyle w:val="Heading5"/>
      </w:pPr>
      <w:bookmarkStart w:id="48" w:name="_Toc92790606"/>
      <w:bookmarkStart w:id="49" w:name="_Toc92965245"/>
      <w:bookmarkStart w:id="50" w:name="_Toc112151069"/>
      <w:bookmarkStart w:id="51" w:name="_Toc31684941"/>
      <w:r>
        <w:t>6.</w:t>
      </w:r>
      <w:r>
        <w:tab/>
        <w:t>Appointments from submissions by approved bodies and from applicants</w:t>
      </w:r>
      <w:bookmarkEnd w:id="48"/>
      <w:bookmarkEnd w:id="49"/>
      <w:bookmarkEnd w:id="50"/>
    </w:p>
    <w:p>
      <w:pPr>
        <w:pStyle w:val="Subsection"/>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pPr>
      <w:r>
        <w:tab/>
        <w:t>(5)</w:t>
      </w:r>
      <w:r>
        <w:tab/>
        <w:t xml:space="preserve">If, in response to an invitation published under subregulation (2) — </w:t>
      </w:r>
    </w:p>
    <w:p>
      <w:pPr>
        <w:pStyle w:val="Indenta"/>
      </w:pPr>
      <w:r>
        <w:tab/>
        <w:t>(a)</w:t>
      </w:r>
      <w:r>
        <w:tab/>
        <w:t>no person applies; or</w:t>
      </w:r>
    </w:p>
    <w:p>
      <w:pPr>
        <w:pStyle w:val="Indenta"/>
      </w:pPr>
      <w:r>
        <w:tab/>
        <w:t>(b)</w:t>
      </w:r>
      <w:r>
        <w:tab/>
        <w:t>the Minister considers that none of the persons who apply is a suitable person to be appointed to the Board,</w:t>
      </w:r>
    </w:p>
    <w:p>
      <w:pPr>
        <w:pStyle w:val="Subsection"/>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4497-8.]</w:t>
      </w:r>
    </w:p>
    <w:p>
      <w:pPr>
        <w:pStyle w:val="Heading5"/>
        <w:rPr>
          <w:snapToGrid w:val="0"/>
        </w:rPr>
      </w:pPr>
      <w:bookmarkStart w:id="52" w:name="_Toc92790607"/>
      <w:bookmarkStart w:id="53" w:name="_Toc92965246"/>
      <w:bookmarkStart w:id="54" w:name="_Toc112151070"/>
      <w:r>
        <w:rPr>
          <w:rStyle w:val="CharSectno"/>
        </w:rPr>
        <w:t>7</w:t>
      </w:r>
      <w:r>
        <w:rPr>
          <w:snapToGrid w:val="0"/>
        </w:rPr>
        <w:t>.</w:t>
      </w:r>
      <w:r>
        <w:rPr>
          <w:snapToGrid w:val="0"/>
        </w:rPr>
        <w:tab/>
        <w:t>Tenure of office</w:t>
      </w:r>
      <w:bookmarkEnd w:id="51"/>
      <w:bookmarkEnd w:id="52"/>
      <w:bookmarkEnd w:id="53"/>
      <w:bookmarkEnd w:id="54"/>
      <w:r>
        <w:rPr>
          <w:snapToGrid w:val="0"/>
        </w:rPr>
        <w:t xml:space="preserve"> </w:t>
      </w:r>
    </w:p>
    <w:p>
      <w:pPr>
        <w:pStyle w:val="Subsection"/>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rPr>
          <w:snapToGrid w:val="0"/>
        </w:rPr>
      </w:pPr>
      <w:bookmarkStart w:id="55" w:name="_Toc31684942"/>
      <w:bookmarkStart w:id="56" w:name="_Toc92790608"/>
      <w:bookmarkStart w:id="57" w:name="_Toc92965247"/>
      <w:bookmarkStart w:id="58" w:name="_Toc112151071"/>
      <w:r>
        <w:rPr>
          <w:rStyle w:val="CharSectno"/>
        </w:rPr>
        <w:t>8</w:t>
      </w:r>
      <w:r>
        <w:rPr>
          <w:snapToGrid w:val="0"/>
        </w:rPr>
        <w:t>.</w:t>
      </w:r>
      <w:r>
        <w:rPr>
          <w:snapToGrid w:val="0"/>
        </w:rPr>
        <w:tab/>
        <w:t>Vacation of office</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A member of the Board may resign from office by notice in writing delivered to the Minister.</w:t>
      </w:r>
    </w:p>
    <w:p>
      <w:pPr>
        <w:pStyle w:val="Subsection"/>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Heading5"/>
        <w:rPr>
          <w:snapToGrid w:val="0"/>
        </w:rPr>
      </w:pPr>
      <w:bookmarkStart w:id="59" w:name="_Toc31684943"/>
      <w:bookmarkStart w:id="60" w:name="_Toc92790609"/>
      <w:bookmarkStart w:id="61" w:name="_Toc92965248"/>
      <w:bookmarkStart w:id="62" w:name="_Toc112151072"/>
      <w:r>
        <w:rPr>
          <w:rStyle w:val="CharSectno"/>
        </w:rPr>
        <w:t>9</w:t>
      </w:r>
      <w:r>
        <w:rPr>
          <w:snapToGrid w:val="0"/>
        </w:rPr>
        <w:t>.</w:t>
      </w:r>
      <w:r>
        <w:rPr>
          <w:snapToGrid w:val="0"/>
        </w:rPr>
        <w:tab/>
        <w:t>Acting members</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spacing w:before="140"/>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spacing w:before="140"/>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63" w:name="_Toc31684944"/>
      <w:bookmarkStart w:id="64" w:name="_Toc92790610"/>
      <w:bookmarkStart w:id="65" w:name="_Toc92965249"/>
      <w:bookmarkStart w:id="66" w:name="_Toc112151073"/>
      <w:r>
        <w:rPr>
          <w:rStyle w:val="CharSectno"/>
        </w:rPr>
        <w:t>10</w:t>
      </w:r>
      <w:r>
        <w:rPr>
          <w:snapToGrid w:val="0"/>
        </w:rPr>
        <w:t>.</w:t>
      </w:r>
      <w:r>
        <w:rPr>
          <w:snapToGrid w:val="0"/>
        </w:rPr>
        <w:tab/>
        <w:t>Meetings</w:t>
      </w:r>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bookmarkStart w:id="67" w:name="_Toc31684945"/>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Ednotepara"/>
      </w:pPr>
      <w:r>
        <w:tab/>
        <w:t>[(d)</w:t>
      </w:r>
      <w:r>
        <w:tab/>
        <w:t>deleted]</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pPr>
      <w:r>
        <w:tab/>
        <w:t>[Regulation 10 amended in Gazette 24 Oct 2003 p. 4498-9.]</w:t>
      </w:r>
    </w:p>
    <w:p>
      <w:pPr>
        <w:pStyle w:val="Heading5"/>
        <w:rPr>
          <w:snapToGrid w:val="0"/>
        </w:rPr>
      </w:pPr>
      <w:bookmarkStart w:id="68" w:name="_Toc92790611"/>
      <w:bookmarkStart w:id="69" w:name="_Toc92965250"/>
      <w:bookmarkStart w:id="70" w:name="_Toc112151074"/>
      <w:r>
        <w:rPr>
          <w:rStyle w:val="CharSectno"/>
        </w:rPr>
        <w:t>11</w:t>
      </w:r>
      <w:r>
        <w:rPr>
          <w:snapToGrid w:val="0"/>
        </w:rPr>
        <w:t>.</w:t>
      </w:r>
      <w:r>
        <w:rPr>
          <w:snapToGrid w:val="0"/>
        </w:rPr>
        <w:tab/>
        <w:t>Procedures</w:t>
      </w:r>
      <w:bookmarkEnd w:id="67"/>
      <w:bookmarkEnd w:id="68"/>
      <w:bookmarkEnd w:id="69"/>
      <w:bookmarkEnd w:id="70"/>
      <w:r>
        <w:rPr>
          <w:snapToGrid w:val="0"/>
        </w:rPr>
        <w:t xml:space="preserve"> </w:t>
      </w:r>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71" w:name="_Toc31684946"/>
      <w:bookmarkStart w:id="72" w:name="_Toc92790612"/>
      <w:bookmarkStart w:id="73" w:name="_Toc92965251"/>
      <w:bookmarkStart w:id="74" w:name="_Toc112151075"/>
      <w:r>
        <w:rPr>
          <w:rStyle w:val="CharSectno"/>
        </w:rPr>
        <w:t>12</w:t>
      </w:r>
      <w:r>
        <w:rPr>
          <w:snapToGrid w:val="0"/>
        </w:rPr>
        <w:t>.</w:t>
      </w:r>
      <w:r>
        <w:rPr>
          <w:snapToGrid w:val="0"/>
        </w:rPr>
        <w:tab/>
        <w:t>Remuneration and allowances</w:t>
      </w:r>
      <w:bookmarkEnd w:id="71"/>
      <w:bookmarkEnd w:id="72"/>
      <w:bookmarkEnd w:id="73"/>
      <w:bookmarkEnd w:id="74"/>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Minister to whom the administration of the </w:t>
      </w:r>
      <w:r>
        <w:rPr>
          <w:i/>
          <w:snapToGrid w:val="0"/>
        </w:rPr>
        <w:t>Public Sector Management Act 1994</w:t>
      </w:r>
      <w:r>
        <w:rPr>
          <w:snapToGrid w:val="0"/>
        </w:rPr>
        <w:t xml:space="preserve"> is committed, from time to time determines.</w:t>
      </w:r>
    </w:p>
    <w:p>
      <w:pPr>
        <w:pStyle w:val="Footnotesection"/>
      </w:pPr>
      <w:r>
        <w:tab/>
        <w:t xml:space="preserve">[Regulation 12 amended in Gazette 23 Dec 1994 p. 7134.] </w:t>
      </w:r>
    </w:p>
    <w:p>
      <w:pPr>
        <w:pStyle w:val="Heading5"/>
        <w:rPr>
          <w:snapToGrid w:val="0"/>
        </w:rPr>
      </w:pPr>
      <w:bookmarkStart w:id="75" w:name="_Toc31684947"/>
      <w:bookmarkStart w:id="76" w:name="_Toc92790613"/>
      <w:bookmarkStart w:id="77" w:name="_Toc92965252"/>
      <w:bookmarkStart w:id="78" w:name="_Toc112151076"/>
      <w:r>
        <w:rPr>
          <w:rStyle w:val="CharSectno"/>
        </w:rPr>
        <w:t>13</w:t>
      </w:r>
      <w:r>
        <w:rPr>
          <w:snapToGrid w:val="0"/>
        </w:rPr>
        <w:t>.</w:t>
      </w:r>
      <w:r>
        <w:rPr>
          <w:snapToGrid w:val="0"/>
        </w:rPr>
        <w:tab/>
        <w:t>Functions of the Board</w:t>
      </w:r>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Without derogating from anything in subregulation (2), the primary function of the Board under this regulation is the determination of competence of applicants for, and holders of, licences and permits issued under these regulations and in carrying out its functions under this regulation the Board — </w:t>
      </w:r>
    </w:p>
    <w:p>
      <w:pPr>
        <w:pStyle w:val="Indenta"/>
        <w:rPr>
          <w:snapToGrid w:val="0"/>
        </w:rPr>
      </w:pPr>
      <w:r>
        <w:rPr>
          <w:snapToGrid w:val="0"/>
        </w:rPr>
        <w:tab/>
        <w:t>(a)</w:t>
      </w:r>
      <w:r>
        <w:rPr>
          <w:snapToGrid w:val="0"/>
        </w:rPr>
        <w:tab/>
        <w:t>shall act according to equity, good conscience and the substantial merits of the case;</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rPr>
          <w:snapToGrid w:val="0"/>
        </w:rPr>
      </w:pPr>
      <w:r>
        <w:rPr>
          <w:snapToGrid w:val="0"/>
        </w:rPr>
        <w:tab/>
        <w:t>(2)</w:t>
      </w:r>
      <w:r>
        <w:rPr>
          <w:snapToGrid w:val="0"/>
        </w:rPr>
        <w:tab/>
        <w:t>In addition to the other functions conferred on the Board by these regulations it is the function of the Board — </w:t>
      </w:r>
    </w:p>
    <w:p>
      <w:pPr>
        <w:pStyle w:val="Indenta"/>
        <w:rPr>
          <w:snapToGrid w:val="0"/>
        </w:rPr>
      </w:pPr>
      <w:r>
        <w:rPr>
          <w:snapToGrid w:val="0"/>
        </w:rPr>
        <w:tab/>
        <w:t>(a)</w:t>
      </w:r>
      <w:r>
        <w:rPr>
          <w:snapToGrid w:val="0"/>
        </w:rPr>
        <w:tab/>
        <w:t>to make enquiries relating to licensing of persons for electrical work and electrical contracting;</w:t>
      </w:r>
    </w:p>
    <w:p>
      <w:pPr>
        <w:pStyle w:val="Indenta"/>
        <w:rPr>
          <w:snapToGrid w:val="0"/>
        </w:rPr>
      </w:pPr>
      <w:r>
        <w:rPr>
          <w:snapToGrid w:val="0"/>
        </w:rPr>
        <w:tab/>
        <w:t>(b)</w:t>
      </w:r>
      <w:r>
        <w:rPr>
          <w:snapToGrid w:val="0"/>
        </w:rPr>
        <w:tab/>
        <w:t>to keep under review, and to advise the Minister and the Director on matters relating to the safety of electrical workers and other persons;</w:t>
      </w:r>
    </w:p>
    <w:p>
      <w:pPr>
        <w:pStyle w:val="Indenta"/>
        <w:rPr>
          <w:snapToGrid w:val="0"/>
        </w:rPr>
      </w:pPr>
      <w:r>
        <w:rPr>
          <w:snapToGrid w:val="0"/>
        </w:rPr>
        <w:tab/>
        <w:t>(c)</w:t>
      </w:r>
      <w:r>
        <w:rPr>
          <w:snapToGrid w:val="0"/>
        </w:rPr>
        <w:tab/>
        <w:t>to keep under review matters relating to the qualifications of, and the licensing or other regulation of, electrical workers and electrical contractors;</w:t>
      </w:r>
    </w:p>
    <w:p>
      <w:pPr>
        <w:pStyle w:val="Indenta"/>
        <w:rPr>
          <w:snapToGrid w:val="0"/>
        </w:rPr>
      </w:pPr>
      <w:r>
        <w:rPr>
          <w:snapToGrid w:val="0"/>
        </w:rPr>
        <w:tab/>
        <w:t>(d)</w:t>
      </w:r>
      <w:r>
        <w:rPr>
          <w:snapToGrid w:val="0"/>
        </w:rPr>
        <w:tab/>
        <w:t>to conduct or arrange for the conduct of examinations for the purposes of determining and assessing the competence and proficiency of persons holding licences or permits or applying for the grant of licences or permits;</w:t>
      </w:r>
    </w:p>
    <w:p>
      <w:pPr>
        <w:pStyle w:val="Indenta"/>
        <w:rPr>
          <w:snapToGrid w:val="0"/>
        </w:rPr>
      </w:pPr>
      <w:r>
        <w:rPr>
          <w:snapToGrid w:val="0"/>
        </w:rPr>
        <w:tab/>
        <w:t>(e)</w:t>
      </w:r>
      <w:r>
        <w:rPr>
          <w:snapToGrid w:val="0"/>
        </w:rPr>
        <w:tab/>
        <w:t>to make enquiries for the purposes of determining and assessing the competence, suitability and proficiency of persons applying for the grant of licences or permits and determining the competence, suitability and proficiency of persons holding licences or permits, to continue to hold licences or permits;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to advise the Minister and the Director on any matter upon which advice is requested or on any other matter connected with the administration of these regulations; and</w:t>
      </w:r>
    </w:p>
    <w:p>
      <w:pPr>
        <w:pStyle w:val="Indenta"/>
        <w:rPr>
          <w:snapToGrid w:val="0"/>
        </w:rPr>
      </w:pPr>
      <w:r>
        <w:rPr>
          <w:snapToGrid w:val="0"/>
        </w:rPr>
        <w:tab/>
        <w:t>(h)</w:t>
      </w:r>
      <w:r>
        <w:rPr>
          <w:snapToGrid w:val="0"/>
        </w:rPr>
        <w:tab/>
        <w:t>to carry out any other functions conferred on it by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Footnotesection"/>
      </w:pPr>
      <w:r>
        <w:tab/>
        <w:t xml:space="preserve">[Regulation 13 amended in Gazette 23 Dec 1994 p. 7134; 6 Sep 1996 p. 4411; 30 Dec 2004 p. 6990.] </w:t>
      </w:r>
    </w:p>
    <w:p>
      <w:pPr>
        <w:pStyle w:val="Heading5"/>
        <w:rPr>
          <w:snapToGrid w:val="0"/>
        </w:rPr>
      </w:pPr>
      <w:bookmarkStart w:id="79" w:name="_Toc31684948"/>
      <w:bookmarkStart w:id="80" w:name="_Toc92790614"/>
      <w:bookmarkStart w:id="81" w:name="_Toc92965253"/>
      <w:bookmarkStart w:id="82" w:name="_Toc112151077"/>
      <w:r>
        <w:rPr>
          <w:rStyle w:val="CharSectno"/>
        </w:rPr>
        <w:t>14</w:t>
      </w:r>
      <w:r>
        <w:rPr>
          <w:snapToGrid w:val="0"/>
        </w:rPr>
        <w:t>.</w:t>
      </w:r>
      <w:r>
        <w:rPr>
          <w:snapToGrid w:val="0"/>
        </w:rPr>
        <w:tab/>
        <w:t>Executive officer and other officers</w:t>
      </w:r>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Ednotedivision"/>
      </w:pPr>
      <w:r>
        <w:t>[</w:t>
      </w:r>
      <w:r>
        <w:rPr>
          <w:b/>
          <w:bCs/>
        </w:rPr>
        <w:t>Div. 2 and 3</w:t>
      </w:r>
      <w:r>
        <w:t xml:space="preserve"> (r. 15-18) repealed in Gazette 30 Dec 2004 p. 6990.]</w:t>
      </w:r>
    </w:p>
    <w:p>
      <w:pPr>
        <w:pStyle w:val="Heading2"/>
      </w:pPr>
      <w:bookmarkStart w:id="83" w:name="_Toc54672584"/>
      <w:bookmarkStart w:id="84" w:name="_Toc77479438"/>
      <w:bookmarkStart w:id="85" w:name="_Toc92790621"/>
      <w:bookmarkStart w:id="86" w:name="_Toc92790755"/>
      <w:bookmarkStart w:id="87" w:name="_Toc92965254"/>
      <w:bookmarkStart w:id="88" w:name="_Toc92965358"/>
      <w:bookmarkStart w:id="89" w:name="_Toc101593803"/>
      <w:bookmarkStart w:id="90" w:name="_Toc112133179"/>
      <w:bookmarkStart w:id="91" w:name="_Toc112151078"/>
      <w:r>
        <w:rPr>
          <w:rStyle w:val="CharPartNo"/>
        </w:rPr>
        <w:t>Part 3</w:t>
      </w:r>
      <w:r>
        <w:rPr>
          <w:rStyle w:val="CharDivNo"/>
        </w:rPr>
        <w:t> </w:t>
      </w:r>
      <w:r>
        <w:t>—</w:t>
      </w:r>
      <w:r>
        <w:rPr>
          <w:rStyle w:val="CharDivText"/>
        </w:rPr>
        <w:t> </w:t>
      </w:r>
      <w:r>
        <w:rPr>
          <w:rStyle w:val="CharPartText"/>
        </w:rPr>
        <w:t>Licensing of electrical workers</w:t>
      </w:r>
      <w:bookmarkEnd w:id="83"/>
      <w:bookmarkEnd w:id="84"/>
      <w:bookmarkEnd w:id="85"/>
      <w:bookmarkEnd w:id="86"/>
      <w:bookmarkEnd w:id="87"/>
      <w:bookmarkEnd w:id="88"/>
      <w:bookmarkEnd w:id="89"/>
      <w:bookmarkEnd w:id="90"/>
      <w:bookmarkEnd w:id="91"/>
      <w:r>
        <w:rPr>
          <w:rStyle w:val="CharPartText"/>
        </w:rPr>
        <w:t xml:space="preserve"> </w:t>
      </w:r>
    </w:p>
    <w:p>
      <w:pPr>
        <w:pStyle w:val="Heading5"/>
        <w:rPr>
          <w:snapToGrid w:val="0"/>
        </w:rPr>
      </w:pPr>
      <w:bookmarkStart w:id="92" w:name="_Toc92790622"/>
      <w:bookmarkStart w:id="93" w:name="_Toc92965255"/>
      <w:bookmarkStart w:id="94" w:name="_Toc112151079"/>
      <w:r>
        <w:rPr>
          <w:rStyle w:val="CharSectno"/>
        </w:rPr>
        <w:t>19</w:t>
      </w:r>
      <w:r>
        <w:rPr>
          <w:snapToGrid w:val="0"/>
        </w:rPr>
        <w:t>.</w:t>
      </w:r>
      <w:r>
        <w:rPr>
          <w:snapToGrid w:val="0"/>
        </w:rPr>
        <w:tab/>
        <w:t>Electrical work prohibited unless authorised</w:t>
      </w:r>
      <w:bookmarkEnd w:id="92"/>
      <w:bookmarkEnd w:id="93"/>
      <w:bookmarkEnd w:id="94"/>
    </w:p>
    <w:p>
      <w:pPr>
        <w:pStyle w:val="Subsection"/>
        <w:rPr>
          <w:snapToGrid w:val="0"/>
        </w:rPr>
      </w:pPr>
      <w:r>
        <w:rPr>
          <w:snapToGrid w:val="0"/>
        </w:rPr>
        <w:tab/>
        <w:t>(1)</w:t>
      </w:r>
      <w:r>
        <w:rPr>
          <w:snapToGrid w:val="0"/>
        </w:rPr>
        <w:tab/>
        <w:t>Subject to this regulation, a person who, on or after the appointed day,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to work carried out on a communications or computer system, or a radio or television transmitter or receiver but does apply to an electricity supply circuit thereto having a nominal pressure exceeding 50 volts alternating current or 115 volts direct current;</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w:t>
      </w:r>
    </w:p>
    <w:p>
      <w:pPr>
        <w:pStyle w:val="Indenta"/>
        <w:rPr>
          <w:snapToGrid w:val="0"/>
        </w:rPr>
      </w:pPr>
      <w:r>
        <w:rPr>
          <w:snapToGrid w:val="0"/>
        </w:rPr>
        <w:tab/>
        <w:t>(c)</w:t>
      </w:r>
      <w:r>
        <w:rPr>
          <w:snapToGrid w:val="0"/>
        </w:rPr>
        <w:tab/>
        <w:t>to work carried out on poles, towers and overhead lines including the final connection and testing of circuits by persons trained in electrical linework;</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w:t>
      </w:r>
    </w:p>
    <w:p>
      <w:pPr>
        <w:pStyle w:val="Indenta"/>
        <w:rPr>
          <w:snapToGrid w:val="0"/>
        </w:rPr>
      </w:pPr>
      <w:r>
        <w:rPr>
          <w:snapToGrid w:val="0"/>
        </w:rPr>
        <w:tab/>
        <w:t>(e)</w:t>
      </w:r>
      <w:r>
        <w:rPr>
          <w:snapToGrid w:val="0"/>
        </w:rPr>
        <w:tab/>
        <w:t>to work carried out on any supply authority service apparatus by a person authorised by the relevant supply authority;</w:t>
      </w:r>
    </w:p>
    <w:p>
      <w:pPr>
        <w:pStyle w:val="Indenta"/>
        <w:rPr>
          <w:snapToGrid w:val="0"/>
        </w:rPr>
      </w:pPr>
      <w:r>
        <w:rPr>
          <w:snapToGrid w:val="0"/>
        </w:rPr>
        <w:tab/>
        <w:t>(f)</w:t>
      </w:r>
      <w:r>
        <w:rPr>
          <w:snapToGrid w:val="0"/>
        </w:rPr>
        <w:tab/>
        <w:t>to the installation of poles, towers and overhead lines not involving the final connection or testing of circuits;</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w:t>
      </w:r>
    </w:p>
    <w:p>
      <w:pPr>
        <w:pStyle w:val="Indenta"/>
        <w:rPr>
          <w:snapToGrid w:val="0"/>
        </w:rPr>
      </w:pPr>
      <w:r>
        <w:rPr>
          <w:snapToGrid w:val="0"/>
        </w:rPr>
        <w:tab/>
        <w:t>(h)</w:t>
      </w:r>
      <w:r>
        <w:rPr>
          <w:snapToGrid w:val="0"/>
        </w:rPr>
        <w:tab/>
        <w:t>to the affixing of a plug, electrical appliance plug or cord extension socket to a flexible cord used or intended to be used to connect an electrical appliance to a plug socket outlet through which electricity is supplied or to be supplied at a nominal pressure not exceeding 250 volts unless carried out by a person for gain or reward or in the course of employment;</w:t>
      </w:r>
    </w:p>
    <w:p>
      <w:pPr>
        <w:pStyle w:val="Indenta"/>
        <w:rPr>
          <w:snapToGrid w:val="0"/>
        </w:rPr>
      </w:pPr>
      <w:r>
        <w:rPr>
          <w:snapToGrid w:val="0"/>
        </w:rPr>
        <w:tab/>
        <w:t>(i)</w:t>
      </w:r>
      <w:r>
        <w:rPr>
          <w:snapToGrid w:val="0"/>
        </w:rPr>
        <w:tab/>
        <w:t>to work done in the course of training for a restricted licence if the work is done under the supervision of a person who holds an “A” grade licence or a restricted licence that authorises the holder of the licence to carry out electrical work of the kind to be done by the person under supervision;</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w:t>
      </w:r>
    </w:p>
    <w:p>
      <w:pPr>
        <w:pStyle w:val="Indenta"/>
        <w:rPr>
          <w:snapToGrid w:val="0"/>
        </w:rPr>
      </w:pPr>
      <w:r>
        <w:rPr>
          <w:snapToGrid w:val="0"/>
        </w:rPr>
        <w:tab/>
        <w:t>(k)</w:t>
      </w:r>
      <w:r>
        <w:rPr>
          <w:snapToGrid w:val="0"/>
        </w:rPr>
        <w:tab/>
        <w:t xml:space="preserve">to such other kinds of work of a specialized nature as the Director declares, by order published in the </w:t>
      </w:r>
      <w:r>
        <w:rPr>
          <w:i/>
          <w:snapToGrid w:val="0"/>
        </w:rPr>
        <w:t>Gazette</w:t>
      </w:r>
      <w:r>
        <w:rPr>
          <w:snapToGrid w:val="0"/>
        </w:rPr>
        <w:t>, to be work that may be carried out by persons not holding a licence or permit; and</w:t>
      </w:r>
    </w:p>
    <w:p>
      <w:pPr>
        <w:pStyle w:val="Indenta"/>
        <w:rPr>
          <w:snapToGrid w:val="0"/>
        </w:rPr>
      </w:pPr>
      <w:r>
        <w:rPr>
          <w:snapToGrid w:val="0"/>
        </w:rPr>
        <w:tab/>
        <w:t>(l)</w:t>
      </w:r>
      <w:r>
        <w:rPr>
          <w:snapToGrid w:val="0"/>
        </w:rPr>
        <w:tab/>
        <w:t>to the installation of electric fences for security or stock control purposes (but does apply to the installation of an electricity supply circuit, having a nominal pressure exceeding 50 volts alternating current or 115 volts direct current, to such a fence).</w:t>
      </w:r>
    </w:p>
    <w:p>
      <w:pPr>
        <w:pStyle w:val="Subsection"/>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pPr>
      <w:r>
        <w:tab/>
        <w:t xml:space="preserve">[Regulation 19 amended in Gazette 23 Dec 1994 p. 7134 and 7135; 6 Sep 1996 p. 4412.] </w:t>
      </w:r>
    </w:p>
    <w:p>
      <w:pPr>
        <w:pStyle w:val="Heading5"/>
        <w:rPr>
          <w:snapToGrid w:val="0"/>
        </w:rPr>
      </w:pPr>
      <w:bookmarkStart w:id="95" w:name="_Toc31684954"/>
      <w:bookmarkStart w:id="96" w:name="_Toc92790623"/>
      <w:bookmarkStart w:id="97" w:name="_Toc92965256"/>
      <w:bookmarkStart w:id="98" w:name="_Toc112151080"/>
      <w:r>
        <w:rPr>
          <w:rStyle w:val="CharSectno"/>
        </w:rPr>
        <w:t>20</w:t>
      </w:r>
      <w:r>
        <w:rPr>
          <w:snapToGrid w:val="0"/>
        </w:rPr>
        <w:t>.</w:t>
      </w:r>
      <w:r>
        <w:rPr>
          <w:snapToGrid w:val="0"/>
        </w:rPr>
        <w:tab/>
        <w:t>Effect of licence</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An electrical worker’s licence shall be endorsed as an “A” grade licence (electrical mechanic, or, electrical fitter, or both), a “C” grade licence or a restricted licence according to the qualifications of the person in question.</w:t>
      </w:r>
    </w:p>
    <w:p>
      <w:pPr>
        <w:pStyle w:val="Subsection"/>
        <w:rPr>
          <w:snapToGrid w:val="0"/>
        </w:rPr>
      </w:pPr>
      <w:r>
        <w:rPr>
          <w:snapToGrid w:val="0"/>
        </w:rPr>
        <w:tab/>
        <w:t>(2)</w:t>
      </w:r>
      <w:r>
        <w:rPr>
          <w:snapToGrid w:val="0"/>
        </w:rPr>
        <w:tab/>
        <w:t>An electrical worker’s licence endorsed as an electrical mechanic’s licence authorises the holder of the licence to carry out electrical installing work and an electrical worker’s licence endorsed as an electrical fitter’s licence authorises the holder of the licence to carry out electrical fitting work.</w:t>
      </w:r>
    </w:p>
    <w:p>
      <w:pPr>
        <w:pStyle w:val="Subsection"/>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“A” grade licence, the work authorised by the licence may be carried out without supervision;</w:t>
      </w:r>
    </w:p>
    <w:p>
      <w:pPr>
        <w:pStyle w:val="Indenta"/>
        <w:rPr>
          <w:snapToGrid w:val="0"/>
        </w:rPr>
      </w:pPr>
      <w:r>
        <w:rPr>
          <w:snapToGrid w:val="0"/>
        </w:rPr>
        <w:tab/>
        <w:t>(b)</w:t>
      </w:r>
      <w:r>
        <w:rPr>
          <w:snapToGrid w:val="0"/>
        </w:rPr>
        <w:tab/>
        <w:t>a “C” grade licence, the work authorised by the licence shall be effectively supervised in accordance with regulation 50(4) by the holder of an “A” grade licence of that kind.</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 subject to such restrictions and conditions as are specified in the licence.</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 xml:space="preserve">[Regulation 20 amended in Gazette 6 Sep 1996 p. 4413.] </w:t>
      </w:r>
    </w:p>
    <w:p>
      <w:pPr>
        <w:pStyle w:val="Heading5"/>
        <w:rPr>
          <w:snapToGrid w:val="0"/>
        </w:rPr>
      </w:pPr>
      <w:bookmarkStart w:id="99" w:name="_Toc31684955"/>
      <w:bookmarkStart w:id="100" w:name="_Toc92790624"/>
      <w:bookmarkStart w:id="101" w:name="_Toc92965257"/>
      <w:bookmarkStart w:id="102" w:name="_Toc112151081"/>
      <w:r>
        <w:rPr>
          <w:rStyle w:val="CharSectno"/>
        </w:rPr>
        <w:t>21</w:t>
      </w:r>
      <w:r>
        <w:rPr>
          <w:snapToGrid w:val="0"/>
        </w:rPr>
        <w:t>.</w:t>
      </w:r>
      <w:r>
        <w:rPr>
          <w:snapToGrid w:val="0"/>
        </w:rPr>
        <w:tab/>
        <w:t>Effect of permit</w:t>
      </w:r>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103" w:name="_Toc31684956"/>
      <w:bookmarkStart w:id="104" w:name="_Toc92790625"/>
      <w:bookmarkStart w:id="105" w:name="_Toc92965258"/>
      <w:bookmarkStart w:id="106" w:name="_Toc112151082"/>
      <w:r>
        <w:rPr>
          <w:rStyle w:val="CharSectno"/>
        </w:rPr>
        <w:t>22</w:t>
      </w:r>
      <w:r>
        <w:rPr>
          <w:snapToGrid w:val="0"/>
        </w:rPr>
        <w:t>.</w:t>
      </w:r>
      <w:r>
        <w:rPr>
          <w:snapToGrid w:val="0"/>
        </w:rPr>
        <w:tab/>
        <w:t>Eligibility for licence</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An electrical worker’s licence endorsed as “A” grade (electrical mechanic, or, electrical fitter, or both) shall not be issued to a person unless that person — </w:t>
      </w:r>
    </w:p>
    <w:p>
      <w:pPr>
        <w:pStyle w:val="Indenta"/>
        <w:rPr>
          <w:snapToGrid w:val="0"/>
        </w:rPr>
      </w:pPr>
      <w:r>
        <w:rPr>
          <w:snapToGrid w:val="0"/>
        </w:rPr>
        <w:tab/>
        <w:t>(a)</w:t>
      </w:r>
      <w:r>
        <w:rPr>
          <w:snapToGrid w:val="0"/>
        </w:rPr>
        <w:tab/>
        <w:t>has successfully completed service under — </w:t>
      </w:r>
    </w:p>
    <w:p>
      <w:pPr>
        <w:pStyle w:val="Indenti"/>
        <w:rPr>
          <w:snapToGrid w:val="0"/>
        </w:rPr>
      </w:pPr>
      <w:r>
        <w:rPr>
          <w:snapToGrid w:val="0"/>
        </w:rPr>
        <w:tab/>
        <w:t>(i)</w:t>
      </w:r>
      <w:r>
        <w:rPr>
          <w:snapToGrid w:val="0"/>
        </w:rPr>
        <w:tab/>
        <w:t xml:space="preserve">an apprenticeship under the </w:t>
      </w:r>
      <w:r>
        <w:rPr>
          <w:i/>
          <w:snapToGrid w:val="0"/>
        </w:rPr>
        <w:t>Industrial Training Act 1975</w:t>
      </w:r>
      <w:r>
        <w:rPr>
          <w:snapToGrid w:val="0"/>
        </w:rPr>
        <w:t xml:space="preserve"> in electrical installing work or electrical fitting work, as the case requires; or</w:t>
      </w:r>
    </w:p>
    <w:p>
      <w:pPr>
        <w:pStyle w:val="Indenti"/>
        <w:rPr>
          <w:snapToGrid w:val="0"/>
        </w:rPr>
      </w:pPr>
      <w:r>
        <w:rPr>
          <w:snapToGrid w:val="0"/>
        </w:rPr>
        <w:tab/>
        <w:t>(ii)</w:t>
      </w:r>
      <w:r>
        <w:rPr>
          <w:snapToGrid w:val="0"/>
        </w:rPr>
        <w:tab/>
        <w:t>a skills formation program recognized by the Department of Training as being of a standard appropriate to the training of a tradesperson engaged in electrical installing work or electrical fitting work, as the case requires,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w:t>
      </w:r>
    </w:p>
    <w:p>
      <w:pPr>
        <w:pStyle w:val="Indenta"/>
        <w:rPr>
          <w:snapToGrid w:val="0"/>
        </w:rPr>
      </w:pPr>
      <w:r>
        <w:rPr>
          <w:snapToGrid w:val="0"/>
        </w:rPr>
        <w:tab/>
        <w:t>(b)</w:t>
      </w:r>
      <w:r>
        <w:rPr>
          <w:snapToGrid w:val="0"/>
        </w:rPr>
        <w:tab/>
        <w:t>subject to subregulation (2), has had training in electrical installing work or electrical fitting work, as the case requires,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Tradesmans Rights Regulations Act 1946</w:t>
      </w:r>
      <w:r>
        <w:rPr>
          <w:snapToGrid w:val="0"/>
        </w:rPr>
        <w:t xml:space="preserve"> of the Parliament of the Commonwealth.</w:t>
      </w:r>
    </w:p>
    <w:p>
      <w:pPr>
        <w:pStyle w:val="Subsection"/>
        <w:rPr>
          <w:snapToGrid w:val="0"/>
        </w:rPr>
      </w:pPr>
      <w:r>
        <w:rPr>
          <w:snapToGrid w:val="0"/>
        </w:rPr>
        <w:tab/>
        <w:t>(2)</w:t>
      </w:r>
      <w:r>
        <w:rPr>
          <w:snapToGrid w:val="0"/>
        </w:rPr>
        <w:tab/>
        <w:t>The Board shall not issue a licence to a person referred to in subregulation (1)(b) or (c) unless that person has passed such examinations as are required or recognized by the Board in each kind of electrical work authorised by the licence to be carried out or has been exempted by the Board from the requirement to pass such examination.</w:t>
      </w:r>
    </w:p>
    <w:p>
      <w:pPr>
        <w:pStyle w:val="Subsection"/>
        <w:rPr>
          <w:snapToGrid w:val="0"/>
        </w:rPr>
      </w:pPr>
      <w:r>
        <w:rPr>
          <w:snapToGrid w:val="0"/>
        </w:rPr>
        <w:tab/>
        <w:t>(3)</w:t>
      </w:r>
      <w:r>
        <w:rPr>
          <w:snapToGrid w:val="0"/>
        </w:rPr>
        <w:tab/>
        <w:t>A licence endorsed as “C” grade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has entered into an apprenticeship in electrical installing work or electrical fitting work; or</w:t>
      </w:r>
    </w:p>
    <w:p>
      <w:pPr>
        <w:pStyle w:val="Indenta"/>
        <w:rPr>
          <w:snapToGrid w:val="0"/>
        </w:rPr>
      </w:pPr>
      <w:r>
        <w:rPr>
          <w:snapToGrid w:val="0"/>
        </w:rPr>
        <w:tab/>
        <w:t>(b)</w:t>
      </w:r>
      <w:r>
        <w:rPr>
          <w:snapToGrid w:val="0"/>
        </w:rPr>
        <w:tab/>
        <w:t>has entered into a course of training in electrical work approved by the Board or an authority approved by the Board.</w:t>
      </w:r>
    </w:p>
    <w:p>
      <w:pPr>
        <w:pStyle w:val="Subsection"/>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 as may be conducted by, or recognized by, the Board for the purposes of this paragraph in the kind of electrical work authorised by the licence to be carried out.</w:t>
      </w:r>
    </w:p>
    <w:p>
      <w:pPr>
        <w:pStyle w:val="Subsection"/>
        <w:rPr>
          <w:snapToGrid w:val="0"/>
        </w:rPr>
      </w:pPr>
      <w:r>
        <w:rPr>
          <w:snapToGrid w:val="0"/>
        </w:rPr>
        <w:tab/>
        <w:t>(5)</w:t>
      </w:r>
      <w:r>
        <w:rPr>
          <w:snapToGrid w:val="0"/>
        </w:rPr>
        <w:tab/>
        <w:t>A person who is required to undertake an examination under this regulation shall pay such examination fees — </w:t>
      </w:r>
    </w:p>
    <w:p>
      <w:pPr>
        <w:pStyle w:val="Indenta"/>
        <w:rPr>
          <w:snapToGrid w:val="0"/>
        </w:rPr>
      </w:pPr>
      <w:r>
        <w:rPr>
          <w:snapToGrid w:val="0"/>
        </w:rPr>
        <w:tab/>
        <w:t>(a)</w:t>
      </w:r>
      <w:r>
        <w:rPr>
          <w:snapToGrid w:val="0"/>
        </w:rPr>
        <w:tab/>
        <w:t>if the examination is conducted by the Board, as are determined by the Director; or</w:t>
      </w:r>
    </w:p>
    <w:p>
      <w:pPr>
        <w:pStyle w:val="Indenta"/>
        <w:rPr>
          <w:snapToGrid w:val="0"/>
        </w:rPr>
      </w:pPr>
      <w:r>
        <w:rPr>
          <w:snapToGrid w:val="0"/>
        </w:rPr>
        <w:tab/>
        <w:t>(b)</w:t>
      </w:r>
      <w:r>
        <w:rPr>
          <w:snapToGrid w:val="0"/>
        </w:rPr>
        <w:tab/>
        <w:t>if the examination is conducted by a body approved by the Director to do so, as are determined by the body.</w:t>
      </w:r>
    </w:p>
    <w:p>
      <w:pPr>
        <w:pStyle w:val="Subsection"/>
        <w:rPr>
          <w:snapToGrid w:val="0"/>
        </w:rPr>
      </w:pPr>
      <w:r>
        <w:rPr>
          <w:snapToGrid w:val="0"/>
        </w:rPr>
        <w:tab/>
        <w:t>(6)</w:t>
      </w:r>
      <w:r>
        <w:rPr>
          <w:snapToGrid w:val="0"/>
        </w:rPr>
        <w:tab/>
        <w:t>In subregulation (1)(a)(ii) — </w:t>
      </w:r>
    </w:p>
    <w:p>
      <w:pPr>
        <w:pStyle w:val="Defstart"/>
      </w:pPr>
      <w:r>
        <w:rPr>
          <w:b/>
        </w:rPr>
        <w:tab/>
        <w:t>“Department of Training”</w:t>
      </w:r>
      <w:r>
        <w:t xml:space="preserve"> means the department of the Public Service principally assisting the Minister to whom the administration of the </w:t>
      </w:r>
      <w:r>
        <w:rPr>
          <w:i/>
        </w:rPr>
        <w:t>Industrial Training Act 1975</w:t>
      </w:r>
      <w:r>
        <w:t xml:space="preserve"> is for the time being committed by the Governor in the administration of that Act.</w:t>
      </w:r>
    </w:p>
    <w:p>
      <w:pPr>
        <w:pStyle w:val="Footnotesection"/>
      </w:pPr>
      <w:r>
        <w:tab/>
        <w:t>[Regulation 22 amended in Gazette 23 Dec 1994 p. 7134; 6 Sep 1996 p. 4413</w:t>
      </w:r>
      <w:r>
        <w:noBreakHyphen/>
        <w:t xml:space="preserve">14.] </w:t>
      </w:r>
    </w:p>
    <w:p>
      <w:pPr>
        <w:pStyle w:val="Heading5"/>
        <w:rPr>
          <w:snapToGrid w:val="0"/>
        </w:rPr>
      </w:pPr>
      <w:bookmarkStart w:id="107" w:name="_Toc31684957"/>
      <w:bookmarkStart w:id="108" w:name="_Toc92790626"/>
      <w:bookmarkStart w:id="109" w:name="_Toc92965259"/>
      <w:bookmarkStart w:id="110" w:name="_Toc112151083"/>
      <w:r>
        <w:rPr>
          <w:rStyle w:val="CharSectno"/>
        </w:rPr>
        <w:t>23</w:t>
      </w:r>
      <w:r>
        <w:rPr>
          <w:snapToGrid w:val="0"/>
        </w:rPr>
        <w:t>.</w:t>
      </w:r>
      <w:r>
        <w:rPr>
          <w:snapToGrid w:val="0"/>
        </w:rPr>
        <w:tab/>
        <w:t>Application for licence or permit</w:t>
      </w:r>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An application for the issue of a licence or permit or the renewal of the registration of a licence holder or permit holder, as the case may be, is made in accordance with this regulation by submitting to the executive officer, together with the appropriate fee set out in the Schedule, such form, duly completed, as the Director makes available for the purpose.</w:t>
      </w:r>
    </w:p>
    <w:p>
      <w:pPr>
        <w:pStyle w:val="Subsection"/>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pPr>
      <w:r>
        <w:tab/>
        <w:t xml:space="preserve">[Regulation 23 amended in Gazette 23 Dec 1994 p. 7134.] </w:t>
      </w:r>
    </w:p>
    <w:p>
      <w:pPr>
        <w:pStyle w:val="Heading5"/>
        <w:rPr>
          <w:snapToGrid w:val="0"/>
        </w:rPr>
      </w:pPr>
      <w:bookmarkStart w:id="111" w:name="_Toc31684958"/>
      <w:bookmarkStart w:id="112" w:name="_Toc92790627"/>
      <w:bookmarkStart w:id="113" w:name="_Toc92965260"/>
      <w:bookmarkStart w:id="114" w:name="_Toc112151084"/>
      <w:r>
        <w:rPr>
          <w:rStyle w:val="CharSectno"/>
        </w:rPr>
        <w:t>24</w:t>
      </w:r>
      <w:r>
        <w:rPr>
          <w:snapToGrid w:val="0"/>
        </w:rPr>
        <w:t>.</w:t>
      </w:r>
      <w:r>
        <w:rPr>
          <w:snapToGrid w:val="0"/>
        </w:rPr>
        <w:tab/>
        <w:t>Issue of licence or permit</w:t>
      </w:r>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Where a person who fulfils the relevant requirements of regulation 22 makes application for the issue of a licence or permit in accordance with regulation 23 the Board may —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rPr>
          <w:snapToGrid w:val="0"/>
        </w:rPr>
      </w:pPr>
      <w:r>
        <w:rPr>
          <w:snapToGrid w:val="0"/>
        </w:rPr>
        <w:tab/>
        <w:t>(3)</w:t>
      </w:r>
      <w:r>
        <w:rPr>
          <w:snapToGrid w:val="0"/>
        </w:rPr>
        <w:tab/>
        <w:t>The Board may at its discretion, issue a permit for any class of electrical work for such period as it may decide, and may endorse the permit with such conditions as it deems necessary.</w:t>
      </w:r>
    </w:p>
    <w:p>
      <w:pPr>
        <w:pStyle w:val="Subsection"/>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Footnotesection"/>
      </w:pPr>
      <w:r>
        <w:tab/>
        <w:t xml:space="preserve">[Regulation 24 amended in Gazette 23 Dec 1994 p. 7134.] </w:t>
      </w:r>
    </w:p>
    <w:p>
      <w:pPr>
        <w:pStyle w:val="Heading5"/>
        <w:rPr>
          <w:snapToGrid w:val="0"/>
        </w:rPr>
      </w:pPr>
      <w:bookmarkStart w:id="115" w:name="_Toc31684959"/>
      <w:bookmarkStart w:id="116" w:name="_Toc92790628"/>
      <w:bookmarkStart w:id="117" w:name="_Toc92965261"/>
      <w:bookmarkStart w:id="118" w:name="_Toc112151085"/>
      <w:r>
        <w:rPr>
          <w:rStyle w:val="CharSectno"/>
        </w:rPr>
        <w:t>25</w:t>
      </w:r>
      <w:r>
        <w:rPr>
          <w:snapToGrid w:val="0"/>
        </w:rPr>
        <w:t>.</w:t>
      </w:r>
      <w:r>
        <w:rPr>
          <w:snapToGrid w:val="0"/>
        </w:rPr>
        <w:tab/>
        <w:t>Holders of licences issued in another State or Territory or in New Zealand</w:t>
      </w:r>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A person who is licensed to carry out electrical work, other than as an electrical contractor only, under the law of another State or Territory or of New Zealand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 of New Zealand.</w:t>
      </w:r>
    </w:p>
    <w:p>
      <w:pPr>
        <w:pStyle w:val="Subsection"/>
        <w:rPr>
          <w:snapToGrid w:val="0"/>
        </w:rPr>
      </w:pPr>
      <w:r>
        <w:rPr>
          <w:snapToGrid w:val="0"/>
        </w:rPr>
        <w:tab/>
        <w:t>(2)</w:t>
      </w:r>
      <w:r>
        <w:rPr>
          <w:snapToGrid w:val="0"/>
        </w:rPr>
        <w:tab/>
        <w:t>On receipt of an application made under subregulation (1) the Board shall if it is satisfied with the information contained in that application issue to the applicant a corresponding licence.</w:t>
      </w:r>
    </w:p>
    <w:p>
      <w:pPr>
        <w:pStyle w:val="Heading5"/>
        <w:rPr>
          <w:snapToGrid w:val="0"/>
        </w:rPr>
      </w:pPr>
      <w:bookmarkStart w:id="119" w:name="_Toc31684960"/>
      <w:bookmarkStart w:id="120" w:name="_Toc92790629"/>
      <w:bookmarkStart w:id="121" w:name="_Toc92965262"/>
      <w:bookmarkStart w:id="122" w:name="_Toc112151086"/>
      <w:r>
        <w:rPr>
          <w:rStyle w:val="CharSectno"/>
        </w:rPr>
        <w:t>26</w:t>
      </w:r>
      <w:r>
        <w:rPr>
          <w:snapToGrid w:val="0"/>
        </w:rPr>
        <w:t>.</w:t>
      </w:r>
      <w:r>
        <w:rPr>
          <w:snapToGrid w:val="0"/>
        </w:rPr>
        <w:tab/>
        <w:t>Duration of registration of licence or permit</w:t>
      </w:r>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Subject to these regulations, the registration of every licence other than a “C” grade licence continues to have effect on and from the day on which it was issued unless suspended or cancelled under these regulations, or until the name of the holder of the licence is removed from the register under these regulations.</w:t>
      </w:r>
    </w:p>
    <w:p>
      <w:pPr>
        <w:pStyle w:val="Subsection"/>
        <w:rPr>
          <w:snapToGrid w:val="0"/>
        </w:rPr>
      </w:pPr>
      <w:r>
        <w:rPr>
          <w:snapToGrid w:val="0"/>
        </w:rPr>
        <w:tab/>
        <w:t>(2)</w:t>
      </w:r>
      <w:r>
        <w:rPr>
          <w:snapToGrid w:val="0"/>
        </w:rPr>
        <w:tab/>
        <w:t>Where the holder of a “C” grade licence has entered training as an electrical mechanic or electrical fitter, his or her licence ceases to have effect while he or she is not employed as such.</w:t>
      </w:r>
    </w:p>
    <w:p>
      <w:pPr>
        <w:pStyle w:val="Subsection"/>
        <w:rPr>
          <w:snapToGrid w:val="0"/>
        </w:rPr>
      </w:pPr>
      <w:r>
        <w:rPr>
          <w:snapToGrid w:val="0"/>
        </w:rPr>
        <w:tab/>
        <w:t>(3)</w:t>
      </w:r>
      <w:r>
        <w:rPr>
          <w:snapToGrid w:val="0"/>
        </w:rPr>
        <w:tab/>
        <w:t>The registration of a permit expires after such period as is specified by the Board in the permit, being not longer than one year, and has effect, subject to any suspension imposed under these regulations, until it expires or it is cancelled by the Board under subregulation (4).</w:t>
      </w:r>
    </w:p>
    <w:p>
      <w:pPr>
        <w:pStyle w:val="Subsection"/>
        <w:rPr>
          <w:snapToGrid w:val="0"/>
        </w:rPr>
      </w:pPr>
      <w:r>
        <w:rPr>
          <w:snapToGrid w:val="0"/>
        </w:rPr>
        <w:tab/>
        <w:t>(4)</w:t>
      </w:r>
      <w:r>
        <w:rPr>
          <w:snapToGrid w:val="0"/>
        </w:rPr>
        <w:tab/>
        <w:t>The Board may cancel a permit at any time if in its opinion there are reasonable grounds for doing so.</w:t>
      </w:r>
    </w:p>
    <w:p>
      <w:pPr>
        <w:pStyle w:val="Footnotesection"/>
      </w:pPr>
      <w:r>
        <w:tab/>
        <w:t xml:space="preserve">[Regulation 26 amended in Gazette 6 Sep 1996 p. 4414.] </w:t>
      </w:r>
    </w:p>
    <w:p>
      <w:pPr>
        <w:pStyle w:val="Heading5"/>
        <w:rPr>
          <w:snapToGrid w:val="0"/>
        </w:rPr>
      </w:pPr>
      <w:bookmarkStart w:id="123" w:name="_Toc31684961"/>
      <w:bookmarkStart w:id="124" w:name="_Toc92790630"/>
      <w:bookmarkStart w:id="125" w:name="_Toc92965263"/>
      <w:bookmarkStart w:id="126" w:name="_Toc112151087"/>
      <w:r>
        <w:rPr>
          <w:rStyle w:val="CharSectno"/>
        </w:rPr>
        <w:t>27</w:t>
      </w:r>
      <w:r>
        <w:rPr>
          <w:snapToGrid w:val="0"/>
        </w:rPr>
        <w:t>.</w:t>
      </w:r>
      <w:r>
        <w:rPr>
          <w:snapToGrid w:val="0"/>
        </w:rPr>
        <w:tab/>
        <w:t>Renewal of registration</w:t>
      </w:r>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Upon the issue of a licence, other than a “C” grade licence, the executive officer shall cause the name and other relevant particulars relating to the licence holder as are directed by the Board to be entered in a register containing such particulars as are directed by the Board.</w:t>
      </w:r>
    </w:p>
    <w:p>
      <w:pPr>
        <w:pStyle w:val="Subsection"/>
        <w:rPr>
          <w:snapToGrid w:val="0"/>
        </w:rPr>
      </w:pPr>
      <w:r>
        <w:rPr>
          <w:snapToGrid w:val="0"/>
        </w:rPr>
        <w:tab/>
        <w:t>(2)</w:t>
      </w:r>
      <w:r>
        <w:rPr>
          <w:snapToGrid w:val="0"/>
        </w:rPr>
        <w:tab/>
        <w:t>The registration of a licence expires after such period not exceeding 5 years as is specified in the certificate of registration and has effect for that period unless it is suspended or cancelled under these regulations.</w:t>
      </w:r>
    </w:p>
    <w:p>
      <w:pPr>
        <w:pStyle w:val="Subsection"/>
        <w:rPr>
          <w:snapToGrid w:val="0"/>
        </w:rPr>
      </w:pPr>
      <w:r>
        <w:rPr>
          <w:snapToGrid w:val="0"/>
        </w:rPr>
        <w:tab/>
        <w:t>(3)</w:t>
      </w:r>
      <w:r>
        <w:rPr>
          <w:snapToGrid w:val="0"/>
        </w:rPr>
        <w:tab/>
        <w:t>A licence holder shall not earlier than 90 days before, and, not later than 30 days after, the date of the expiry of his or her registration as a licence holder forward to the Board the registration fee prescribed in the Schedule.</w:t>
      </w:r>
    </w:p>
    <w:p>
      <w:pPr>
        <w:pStyle w:val="Subsection"/>
        <w:rPr>
          <w:snapToGrid w:val="0"/>
        </w:rPr>
      </w:pPr>
      <w:r>
        <w:rPr>
          <w:snapToGrid w:val="0"/>
        </w:rPr>
        <w:tab/>
        <w:t>(4)</w:t>
      </w:r>
      <w:r>
        <w:rPr>
          <w:snapToGrid w:val="0"/>
        </w:rPr>
        <w:tab/>
        <w:t>Where the registration of a licence holder is renewed under subregulation (3), 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Where the registration of a licence holder is renewed under subregulation (3) upon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 xml:space="preserve">[Regulation 27 amended in Gazette 6 Sep 1996 p. 4414.] </w:t>
      </w:r>
    </w:p>
    <w:p>
      <w:pPr>
        <w:pStyle w:val="Heading5"/>
        <w:rPr>
          <w:snapToGrid w:val="0"/>
        </w:rPr>
      </w:pPr>
      <w:bookmarkStart w:id="127" w:name="_Toc31684962"/>
      <w:bookmarkStart w:id="128" w:name="_Toc92790631"/>
      <w:bookmarkStart w:id="129" w:name="_Toc92965264"/>
      <w:bookmarkStart w:id="130" w:name="_Toc112151088"/>
      <w:r>
        <w:rPr>
          <w:rStyle w:val="CharSectno"/>
        </w:rPr>
        <w:t>28</w:t>
      </w:r>
      <w:r>
        <w:rPr>
          <w:snapToGrid w:val="0"/>
        </w:rPr>
        <w:t>.</w:t>
      </w:r>
      <w:r>
        <w:rPr>
          <w:snapToGrid w:val="0"/>
        </w:rPr>
        <w:tab/>
        <w:t>Address</w:t>
      </w:r>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Where the residential address of a person who holds a licence or permit, or has made an application to the Board under these regulations, changes from that of which the Board last had written notice, the person shall, not later than 28 days after the change, give to the Board written notice of his or her new residential address.</w:t>
      </w:r>
    </w:p>
    <w:p>
      <w:pPr>
        <w:pStyle w:val="Subsection"/>
        <w:rPr>
          <w:snapToGrid w:val="0"/>
        </w:rPr>
      </w:pPr>
      <w:r>
        <w:rPr>
          <w:snapToGrid w:val="0"/>
        </w:rPr>
        <w:tab/>
        <w:t>(2)</w:t>
      </w:r>
      <w:r>
        <w:rPr>
          <w:snapToGrid w:val="0"/>
        </w:rPr>
        <w:tab/>
        <w:t>The Board may, for the purposes of these regulations, regard as the last known residential address of a person the residential address given by that person to the Board in an application made to the Board under these regulations unless the Board has been notified under subregulation (1) of a change of residential address, in which case the Board may regard his or her new residential address, as so notified, as his or her last known residential address for the purposes of these regulations.</w:t>
      </w:r>
    </w:p>
    <w:p>
      <w:pPr>
        <w:pStyle w:val="Heading5"/>
        <w:rPr>
          <w:snapToGrid w:val="0"/>
        </w:rPr>
      </w:pPr>
      <w:bookmarkStart w:id="131" w:name="_Toc31684963"/>
      <w:bookmarkStart w:id="132" w:name="_Toc92790632"/>
      <w:bookmarkStart w:id="133" w:name="_Toc92965265"/>
      <w:bookmarkStart w:id="134" w:name="_Toc112151089"/>
      <w:r>
        <w:rPr>
          <w:rStyle w:val="CharSectno"/>
        </w:rPr>
        <w:t>29</w:t>
      </w:r>
      <w:r>
        <w:rPr>
          <w:snapToGrid w:val="0"/>
        </w:rPr>
        <w:t>.</w:t>
      </w:r>
      <w:r>
        <w:rPr>
          <w:snapToGrid w:val="0"/>
        </w:rPr>
        <w:tab/>
        <w:t>Discretionary examinations and tests</w:t>
      </w:r>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examination or trade test as the Board specifies.</w:t>
      </w:r>
    </w:p>
    <w:p>
      <w:pPr>
        <w:pStyle w:val="Subsection"/>
        <w:rPr>
          <w:snapToGrid w:val="0"/>
        </w:rPr>
      </w:pPr>
      <w:r>
        <w:rPr>
          <w:snapToGrid w:val="0"/>
        </w:rPr>
        <w:tab/>
        <w:t>(3)</w:t>
      </w:r>
      <w:r>
        <w:rPr>
          <w:snapToGrid w:val="0"/>
        </w:rPr>
        <w:tab/>
        <w:t>Where a person required under subregulation (1) or (2) to undergo an examination or test — </w:t>
      </w:r>
    </w:p>
    <w:p>
      <w:pPr>
        <w:pStyle w:val="Indenta"/>
        <w:rPr>
          <w:snapToGrid w:val="0"/>
        </w:rPr>
      </w:pPr>
      <w:r>
        <w:rPr>
          <w:snapToGrid w:val="0"/>
        </w:rPr>
        <w:tab/>
        <w:t>(a)</w:t>
      </w:r>
      <w:r>
        <w:rPr>
          <w:snapToGrid w:val="0"/>
        </w:rPr>
        <w:tab/>
        <w:t>fails to comply with the requirement within the time specified in the requirement;</w:t>
      </w:r>
    </w:p>
    <w:p>
      <w:pPr>
        <w:pStyle w:val="Indenta"/>
        <w:rPr>
          <w:snapToGrid w:val="0"/>
        </w:rPr>
      </w:pPr>
      <w:r>
        <w:rPr>
          <w:snapToGrid w:val="0"/>
        </w:rPr>
        <w:tab/>
        <w:t>(b)</w:t>
      </w:r>
      <w:r>
        <w:rPr>
          <w:snapToGrid w:val="0"/>
        </w:rPr>
        <w:tab/>
        <w:t>fails to produce to the Board evidence considered by the Board to be satisfactory concerning the results of that examination or test; or</w:t>
      </w:r>
    </w:p>
    <w:p>
      <w:pPr>
        <w:pStyle w:val="Indenta"/>
        <w:rPr>
          <w:snapToGrid w:val="0"/>
        </w:rPr>
      </w:pPr>
      <w:r>
        <w:rPr>
          <w:snapToGrid w:val="0"/>
        </w:rPr>
        <w:tab/>
        <w:t>(c)</w:t>
      </w:r>
      <w:r>
        <w:rPr>
          <w:snapToGrid w:val="0"/>
        </w:rPr>
        <w:tab/>
        <w:t>fails, upon that 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 or</w:t>
      </w:r>
    </w:p>
    <w:p>
      <w:pPr>
        <w:pStyle w:val="Indenta"/>
        <w:keepNext/>
        <w:rPr>
          <w:snapToGrid w:val="0"/>
        </w:rPr>
      </w:pPr>
      <w:r>
        <w:rPr>
          <w:snapToGrid w:val="0"/>
        </w:rPr>
        <w:tab/>
        <w:t>(e)</w:t>
      </w:r>
      <w:r>
        <w:rPr>
          <w:snapToGrid w:val="0"/>
        </w:rPr>
        <w:tab/>
        <w:t>suspend or cancel,</w:t>
      </w:r>
    </w:p>
    <w:p>
      <w:pPr>
        <w:pStyle w:val="Subsection"/>
        <w:rPr>
          <w:snapToGrid w:val="0"/>
        </w:rPr>
      </w:pPr>
      <w:r>
        <w:rPr>
          <w:snapToGrid w:val="0"/>
        </w:rPr>
        <w:tab/>
      </w:r>
      <w:r>
        <w:rPr>
          <w:snapToGrid w:val="0"/>
        </w:rPr>
        <w:tab/>
        <w:t>his or her licence or permit.</w:t>
      </w:r>
    </w:p>
    <w:p>
      <w:pPr>
        <w:pStyle w:val="Heading5"/>
      </w:pPr>
      <w:bookmarkStart w:id="135" w:name="_Toc92790635"/>
      <w:bookmarkStart w:id="136" w:name="_Toc92965266"/>
      <w:bookmarkStart w:id="137" w:name="_Toc112151090"/>
      <w:bookmarkStart w:id="138" w:name="_Toc31684966"/>
      <w:r>
        <w:rPr>
          <w:rStyle w:val="CharSectno"/>
        </w:rPr>
        <w:t>30</w:t>
      </w:r>
      <w:r>
        <w:t>.</w:t>
      </w:r>
      <w:r>
        <w:tab/>
        <w:t>Discipline</w:t>
      </w:r>
      <w:bookmarkEnd w:id="135"/>
      <w:bookmarkEnd w:id="136"/>
      <w:bookmarkEnd w:id="137"/>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w:t>
      </w:r>
    </w:p>
    <w:p>
      <w:pPr>
        <w:pStyle w:val="Indenta"/>
      </w:pPr>
      <w:r>
        <w:tab/>
        <w:t>(b)</w:t>
      </w:r>
      <w:r>
        <w:tab/>
        <w:t>obtained the licence or permit by misrepresentation as to any material fact or by other fraudulent means;</w:t>
      </w:r>
    </w:p>
    <w:p>
      <w:pPr>
        <w:pStyle w:val="Indenta"/>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of regulation 49 or 50.</w:t>
      </w:r>
    </w:p>
    <w:p>
      <w:pPr>
        <w:pStyle w:val="Footnotesection"/>
      </w:pPr>
      <w:r>
        <w:tab/>
        <w:t>[Regulation 30 inserted in Gazette 30 Dec 2004 p. 6990-1.]</w:t>
      </w:r>
    </w:p>
    <w:p>
      <w:pPr>
        <w:pStyle w:val="Heading5"/>
      </w:pPr>
      <w:bookmarkStart w:id="139" w:name="_Toc92790636"/>
      <w:bookmarkStart w:id="140" w:name="_Toc92965267"/>
      <w:bookmarkStart w:id="141" w:name="_Toc112151091"/>
      <w:r>
        <w:rPr>
          <w:rStyle w:val="CharSectno"/>
        </w:rPr>
        <w:t>31</w:t>
      </w:r>
      <w:r>
        <w:t>.</w:t>
      </w:r>
      <w:r>
        <w:tab/>
        <w:t>Disciplinary powers</w:t>
      </w:r>
      <w:bookmarkEnd w:id="139"/>
      <w:bookmarkEnd w:id="140"/>
      <w:bookmarkEnd w:id="141"/>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nominated electrical worker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pPr>
      <w:r>
        <w:tab/>
        <w:t>[Regulation 31 inserted in Gazette 30 Dec 2004 p. 6991-2.]</w:t>
      </w:r>
    </w:p>
    <w:p>
      <w:pPr>
        <w:pStyle w:val="Heading5"/>
      </w:pPr>
      <w:bookmarkStart w:id="142" w:name="_Toc92790637"/>
      <w:bookmarkStart w:id="143" w:name="_Toc92965268"/>
      <w:bookmarkStart w:id="144" w:name="_Toc112151092"/>
      <w:r>
        <w:rPr>
          <w:rStyle w:val="CharSectno"/>
        </w:rPr>
        <w:t>31A</w:t>
      </w:r>
      <w:r>
        <w:t>.</w:t>
      </w:r>
      <w:r>
        <w:tab/>
        <w:t>Alternative to bringing proceedings</w:t>
      </w:r>
      <w:bookmarkEnd w:id="142"/>
      <w:bookmarkEnd w:id="143"/>
      <w:bookmarkEnd w:id="144"/>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nominated electrical worker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6992-3.]</w:t>
      </w:r>
    </w:p>
    <w:p>
      <w:pPr>
        <w:pStyle w:val="Heading5"/>
        <w:rPr>
          <w:snapToGrid w:val="0"/>
        </w:rPr>
      </w:pPr>
      <w:bookmarkStart w:id="145" w:name="_Toc92790638"/>
      <w:bookmarkStart w:id="146" w:name="_Toc92965269"/>
      <w:bookmarkStart w:id="147" w:name="_Toc112151093"/>
      <w:r>
        <w:rPr>
          <w:rStyle w:val="CharSectno"/>
        </w:rPr>
        <w:t>32</w:t>
      </w:r>
      <w:r>
        <w:rPr>
          <w:snapToGrid w:val="0"/>
        </w:rPr>
        <w:t>.</w:t>
      </w:r>
      <w:r>
        <w:rPr>
          <w:snapToGrid w:val="0"/>
        </w:rPr>
        <w:tab/>
        <w:t>Effect of, and revocation of, suspension</w:t>
      </w:r>
      <w:bookmarkEnd w:id="138"/>
      <w:bookmarkEnd w:id="145"/>
      <w:bookmarkEnd w:id="146"/>
      <w:bookmarkEnd w:id="147"/>
      <w:r>
        <w:rPr>
          <w:snapToGrid w:val="0"/>
        </w:rPr>
        <w:t xml:space="preserve"> </w:t>
      </w:r>
    </w:p>
    <w:p>
      <w:pPr>
        <w:pStyle w:val="Subsection"/>
        <w:rPr>
          <w:snapToGrid w:val="0"/>
        </w:rPr>
      </w:pPr>
      <w:r>
        <w:rPr>
          <w:snapToGrid w:val="0"/>
        </w:rPr>
        <w:tab/>
        <w:t>(1)</w:t>
      </w:r>
      <w:r>
        <w:rPr>
          <w:snapToGrid w:val="0"/>
        </w:rPr>
        <w:tab/>
        <w:t>During any period for which a licence or permit is suspended under these regulations, the holder is not authorised to carry out electrical work under the licence or permit except that where a suspension is expressed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pPr>
      <w:bookmarkStart w:id="148" w:name="_Toc54672599"/>
      <w:bookmarkStart w:id="149" w:name="_Toc77479453"/>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6993-4.]</w:t>
      </w:r>
    </w:p>
    <w:p>
      <w:pPr>
        <w:pStyle w:val="Heading2"/>
      </w:pPr>
      <w:bookmarkStart w:id="150" w:name="_Toc92790639"/>
      <w:bookmarkStart w:id="151" w:name="_Toc92790773"/>
      <w:bookmarkStart w:id="152" w:name="_Toc92965270"/>
      <w:bookmarkStart w:id="153" w:name="_Toc92965374"/>
      <w:bookmarkStart w:id="154" w:name="_Toc101593819"/>
      <w:bookmarkStart w:id="155" w:name="_Toc112133195"/>
      <w:bookmarkStart w:id="156" w:name="_Toc112151094"/>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148"/>
      <w:bookmarkEnd w:id="149"/>
      <w:bookmarkEnd w:id="150"/>
      <w:bookmarkEnd w:id="151"/>
      <w:bookmarkEnd w:id="152"/>
      <w:bookmarkEnd w:id="153"/>
      <w:bookmarkEnd w:id="154"/>
      <w:bookmarkEnd w:id="155"/>
      <w:bookmarkEnd w:id="156"/>
      <w:r>
        <w:rPr>
          <w:rStyle w:val="CharPartText"/>
        </w:rPr>
        <w:t xml:space="preserve"> </w:t>
      </w:r>
    </w:p>
    <w:p>
      <w:pPr>
        <w:pStyle w:val="Heading5"/>
        <w:rPr>
          <w:snapToGrid w:val="0"/>
        </w:rPr>
      </w:pPr>
      <w:bookmarkStart w:id="157" w:name="_Toc92790640"/>
      <w:bookmarkStart w:id="158" w:name="_Toc92965271"/>
      <w:bookmarkStart w:id="159" w:name="_Toc112151095"/>
      <w:r>
        <w:rPr>
          <w:rStyle w:val="CharSectno"/>
        </w:rPr>
        <w:t>33</w:t>
      </w:r>
      <w:r>
        <w:rPr>
          <w:snapToGrid w:val="0"/>
        </w:rPr>
        <w:t>.</w:t>
      </w:r>
      <w:r>
        <w:rPr>
          <w:snapToGrid w:val="0"/>
        </w:rPr>
        <w:tab/>
        <w:t>Electrical contracting prohibited unless authorised</w:t>
      </w:r>
      <w:bookmarkEnd w:id="157"/>
      <w:bookmarkEnd w:id="158"/>
      <w:bookmarkEnd w:id="159"/>
      <w:r>
        <w:rPr>
          <w:snapToGrid w:val="0"/>
        </w:rPr>
        <w:t xml:space="preserve"> </w:t>
      </w:r>
    </w:p>
    <w:p>
      <w:pPr>
        <w:pStyle w:val="Subsection"/>
        <w:rPr>
          <w:snapToGrid w:val="0"/>
        </w:rPr>
      </w:pPr>
      <w:r>
        <w:rPr>
          <w:snapToGrid w:val="0"/>
        </w:rPr>
        <w:tab/>
        <w:t>(1)</w:t>
      </w:r>
      <w:r>
        <w:rPr>
          <w:snapToGrid w:val="0"/>
        </w:rPr>
        <w:tab/>
        <w:t>Subject to this regulation, a person shall not, on or after the appointed day, carry on business as an electrical contractor, or by any means hold himself or herself out as carrying on business as an electrical contractor, unless the person is authorised by an electrical contractor’s licence to so carry on business.</w:t>
      </w:r>
    </w:p>
    <w:p>
      <w:pPr>
        <w:pStyle w:val="Subsection"/>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rPr>
          <w:snapToGrid w:val="0"/>
        </w:rPr>
      </w:pPr>
      <w:r>
        <w:rPr>
          <w:snapToGrid w:val="0"/>
        </w:rPr>
        <w:tab/>
        <w:t>(b)</w:t>
      </w:r>
      <w:r>
        <w:rPr>
          <w:snapToGrid w:val="0"/>
        </w:rPr>
        <w:tab/>
        <w:t>he or she undertakes to have work done by an electrical contractor.</w:t>
      </w:r>
    </w:p>
    <w:p>
      <w:pPr>
        <w:pStyle w:val="Subsection"/>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rPr>
          <w:snapToGrid w:val="0"/>
        </w:rPr>
      </w:pPr>
      <w:r>
        <w:rPr>
          <w:snapToGrid w:val="0"/>
        </w:rPr>
        <w:tab/>
        <w:t>(4)</w:t>
      </w:r>
      <w:r>
        <w:rPr>
          <w:snapToGrid w:val="0"/>
        </w:rPr>
        <w:tab/>
        <w:t>Subject to subregulation (2)(a),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w:t>
      </w:r>
    </w:p>
    <w:p>
      <w:pPr>
        <w:pStyle w:val="Heading5"/>
        <w:rPr>
          <w:snapToGrid w:val="0"/>
        </w:rPr>
      </w:pPr>
      <w:bookmarkStart w:id="160" w:name="_Toc31684968"/>
      <w:bookmarkStart w:id="161" w:name="_Toc92790641"/>
      <w:bookmarkStart w:id="162" w:name="_Toc92965272"/>
      <w:bookmarkStart w:id="163" w:name="_Toc112151096"/>
      <w:r>
        <w:rPr>
          <w:rStyle w:val="CharSectno"/>
        </w:rPr>
        <w:t>34</w:t>
      </w:r>
      <w:r>
        <w:rPr>
          <w:snapToGrid w:val="0"/>
        </w:rPr>
        <w:t>.</w:t>
      </w:r>
      <w:r>
        <w:rPr>
          <w:snapToGrid w:val="0"/>
        </w:rPr>
        <w:tab/>
        <w:t>Dealing with unlicensed contractor prohibited</w:t>
      </w:r>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164" w:name="_Toc92790642"/>
      <w:bookmarkStart w:id="165" w:name="_Toc92965273"/>
      <w:bookmarkStart w:id="166" w:name="_Toc112151097"/>
      <w:r>
        <w:rPr>
          <w:rStyle w:val="CharSectno"/>
        </w:rPr>
        <w:t>35</w:t>
      </w:r>
      <w:r>
        <w:rPr>
          <w:snapToGrid w:val="0"/>
        </w:rPr>
        <w:t>.</w:t>
      </w:r>
      <w:r>
        <w:rPr>
          <w:snapToGrid w:val="0"/>
        </w:rPr>
        <w:tab/>
        <w:t>Falsely implying work is authorised</w:t>
      </w:r>
      <w:bookmarkEnd w:id="164"/>
      <w:bookmarkEnd w:id="165"/>
      <w:bookmarkEnd w:id="166"/>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house electrical installing work licence referred to in regulation 37, who falsely represents that particular electrical work is carried out by or on behalf of his or her employer commits an offence.</w:t>
      </w:r>
    </w:p>
    <w:p>
      <w:pPr>
        <w:pStyle w:val="Heading5"/>
        <w:rPr>
          <w:snapToGrid w:val="0"/>
        </w:rPr>
      </w:pPr>
      <w:bookmarkStart w:id="167" w:name="_Toc31684970"/>
      <w:bookmarkStart w:id="168" w:name="_Toc92790643"/>
      <w:bookmarkStart w:id="169" w:name="_Toc92965274"/>
      <w:bookmarkStart w:id="170" w:name="_Toc112151098"/>
      <w:r>
        <w:rPr>
          <w:rStyle w:val="CharSectno"/>
        </w:rPr>
        <w:t>36</w:t>
      </w:r>
      <w:r>
        <w:rPr>
          <w:snapToGrid w:val="0"/>
        </w:rPr>
        <w:t>.</w:t>
      </w:r>
      <w:r>
        <w:rPr>
          <w:snapToGrid w:val="0"/>
        </w:rPr>
        <w:tab/>
        <w:t>Eligibility for electrical contractor’s licence</w:t>
      </w:r>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rPr>
          <w:snapToGrid w:val="0"/>
        </w:rPr>
      </w:pPr>
      <w:r>
        <w:rPr>
          <w:snapToGrid w:val="0"/>
        </w:rPr>
        <w:tab/>
        <w:t>(i)</w:t>
      </w:r>
      <w:r>
        <w:rPr>
          <w:snapToGrid w:val="0"/>
        </w:rPr>
        <w:tab/>
        <w:t>holds — </w:t>
      </w:r>
    </w:p>
    <w:p>
      <w:pPr>
        <w:pStyle w:val="IndentI0"/>
        <w:rPr>
          <w:snapToGrid w:val="0"/>
        </w:rPr>
      </w:pPr>
      <w:r>
        <w:rPr>
          <w:snapToGrid w:val="0"/>
        </w:rPr>
        <w:tab/>
        <w:t>(I)</w:t>
      </w:r>
      <w:r>
        <w:rPr>
          <w:snapToGrid w:val="0"/>
        </w:rPr>
        <w:tab/>
        <w:t>an electrical worker’s licence endorsed as “A” grade (electrical mechanic, or both electrical mechanic and electrical fitter); or</w:t>
      </w:r>
    </w:p>
    <w:p>
      <w:pPr>
        <w:pStyle w:val="IndentI0"/>
        <w:rPr>
          <w:snapToGrid w:val="0"/>
        </w:rPr>
      </w:pPr>
      <w:r>
        <w:rPr>
          <w:snapToGrid w:val="0"/>
        </w:rPr>
        <w:tab/>
        <w:t>(II)</w:t>
      </w:r>
      <w:r>
        <w:rPr>
          <w:snapToGrid w:val="0"/>
        </w:rPr>
        <w:tab/>
        <w:t>a licence issued in another State or a Territory equivalent to an electrical contractor’s licence;</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rPr>
          <w:snapToGrid w:val="0"/>
        </w:rPr>
      </w:pPr>
      <w:r>
        <w:rPr>
          <w:snapToGrid w:val="0"/>
        </w:rPr>
        <w:tab/>
        <w:t>(iv)</w:t>
      </w:r>
      <w:r>
        <w:rPr>
          <w:snapToGrid w:val="0"/>
        </w:rPr>
        <w:tab/>
        <w:t>has a current policy of insurance with a reputable insurer that provides a public liability indemnity, in respect of the work of an electrical contractor, of at least $1 000 000.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Board is satisfied, after such examination as may be required by the Board, that the individual or the person nominated by the individual for the purposes of paragraph (a) understands fully the duties and obligations imposed under these regulations, the Act and the </w:t>
      </w:r>
      <w:r>
        <w:rPr>
          <w:i/>
          <w:snapToGrid w:val="0"/>
        </w:rPr>
        <w:t>Energy Coordination Act 1994</w:t>
      </w:r>
      <w:r>
        <w:rPr>
          <w:snapToGrid w:val="0"/>
        </w:rPr>
        <w:t xml:space="preserve"> and the regulations made thereunder on electrical mechanics and electrical contractors.</w:t>
      </w:r>
    </w:p>
    <w:p>
      <w:pPr>
        <w:pStyle w:val="Subsection"/>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 xml:space="preserve">the Board is satisfied that at least one of the natural persons concerned in the management or conduct of the firm or of any body corporate by which the firm is constituted fully understands the duties and obligations imposed under these regulations, the Act and the </w:t>
      </w:r>
      <w:r>
        <w:rPr>
          <w:i/>
          <w:snapToGrid w:val="0"/>
        </w:rPr>
        <w:t>Energy Coordination Act 1994</w:t>
      </w:r>
      <w:r>
        <w:rPr>
          <w:snapToGrid w:val="0"/>
        </w:rPr>
        <w:t xml:space="preserve"> and the regulations made thereunder on electrical mechanics and electrical contractors.</w:t>
      </w:r>
    </w:p>
    <w:p>
      <w:pPr>
        <w:pStyle w:val="Subsection"/>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 xml:space="preserve">the Board is satisfied that at least one of the natural persons concerned in the management or conduct of the body corporate understands fully the duties and obligations imposed by these regulations, the Act and the </w:t>
      </w:r>
      <w:r>
        <w:rPr>
          <w:i/>
          <w:snapToGrid w:val="0"/>
        </w:rPr>
        <w:t>Energy Coordination Act 1994</w:t>
      </w:r>
      <w:r>
        <w:rPr>
          <w:snapToGrid w:val="0"/>
        </w:rPr>
        <w:t xml:space="preserve"> and the regulations made thereunder on electrical mechanics and electrical contractors.</w:t>
      </w:r>
    </w:p>
    <w:p>
      <w:pPr>
        <w:pStyle w:val="Footnotesection"/>
      </w:pPr>
      <w:r>
        <w:tab/>
        <w:t>[Regulation 36 amended in Gazette 23 Dec 1994 p. 7135; 6 Sep 1996 p. 4414</w:t>
      </w:r>
      <w:r>
        <w:noBreakHyphen/>
        <w:t xml:space="preserve">15.] </w:t>
      </w:r>
    </w:p>
    <w:p>
      <w:pPr>
        <w:pStyle w:val="Heading5"/>
        <w:rPr>
          <w:snapToGrid w:val="0"/>
        </w:rPr>
      </w:pPr>
      <w:bookmarkStart w:id="171" w:name="_Toc31684971"/>
      <w:bookmarkStart w:id="172" w:name="_Toc92790644"/>
      <w:bookmarkStart w:id="173" w:name="_Toc92965275"/>
      <w:bookmarkStart w:id="174" w:name="_Toc112151099"/>
      <w:r>
        <w:rPr>
          <w:rStyle w:val="CharSectno"/>
        </w:rPr>
        <w:t>37</w:t>
      </w:r>
      <w:r>
        <w:rPr>
          <w:snapToGrid w:val="0"/>
        </w:rPr>
        <w:t>.</w:t>
      </w:r>
      <w:r>
        <w:rPr>
          <w:snapToGrid w:val="0"/>
        </w:rPr>
        <w:tab/>
        <w:t>In</w:t>
      </w:r>
      <w:r>
        <w:rPr>
          <w:snapToGrid w:val="0"/>
        </w:rPr>
        <w:noBreakHyphen/>
        <w:t>house electrical installing work licence</w:t>
      </w:r>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On and after the appointed day, a person other than an electrical contractor who carries out any in</w:t>
      </w:r>
      <w:r>
        <w:rPr>
          <w:snapToGrid w:val="0"/>
        </w:rPr>
        <w:noBreakHyphen/>
        <w:t>house electrical installing work commits an offence unless — </w:t>
      </w:r>
    </w:p>
    <w:p>
      <w:pPr>
        <w:pStyle w:val="Indenta"/>
        <w:rPr>
          <w:snapToGrid w:val="0"/>
        </w:rPr>
      </w:pPr>
      <w:r>
        <w:rPr>
          <w:snapToGrid w:val="0"/>
        </w:rPr>
        <w:tab/>
        <w:t>(a)</w:t>
      </w:r>
      <w:r>
        <w:rPr>
          <w:snapToGrid w:val="0"/>
        </w:rPr>
        <w:tab/>
        <w:t>the person has in his or her employ at least one person nominated by him or her — </w:t>
      </w:r>
    </w:p>
    <w:p>
      <w:pPr>
        <w:pStyle w:val="Indenti"/>
        <w:rPr>
          <w:snapToGrid w:val="0"/>
        </w:rPr>
      </w:pPr>
      <w:r>
        <w:rPr>
          <w:snapToGrid w:val="0"/>
        </w:rPr>
        <w:tab/>
        <w:t>(i)</w:t>
      </w:r>
      <w:r>
        <w:rPr>
          <w:snapToGrid w:val="0"/>
        </w:rPr>
        <w:tab/>
        <w:t>who holds — </w:t>
      </w:r>
    </w:p>
    <w:p>
      <w:pPr>
        <w:pStyle w:val="IndentI0"/>
        <w:rPr>
          <w:snapToGrid w:val="0"/>
        </w:rPr>
      </w:pPr>
      <w:r>
        <w:rPr>
          <w:snapToGrid w:val="0"/>
        </w:rPr>
        <w:tab/>
        <w:t>(I)</w:t>
      </w:r>
      <w:r>
        <w:rPr>
          <w:snapToGrid w:val="0"/>
        </w:rPr>
        <w:tab/>
        <w:t>an electrical worker’s licence endorsed as “A” grade (electrical mechanic, or both electrical mechanic and electrical fitter); or</w:t>
      </w:r>
    </w:p>
    <w:p>
      <w:pPr>
        <w:pStyle w:val="IndentI0"/>
        <w:rPr>
          <w:snapToGrid w:val="0"/>
        </w:rPr>
      </w:pPr>
      <w:r>
        <w:rPr>
          <w:snapToGrid w:val="0"/>
        </w:rPr>
        <w:tab/>
        <w:t>(II)</w:t>
      </w:r>
      <w:r>
        <w:rPr>
          <w:snapToGrid w:val="0"/>
        </w:rPr>
        <w:tab/>
        <w:t>a licence issued in another State or a Territory equivalent to an electrical contractor’s licence;</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by these regulations, the Act, the </w:t>
      </w:r>
      <w:r>
        <w:rPr>
          <w:i/>
          <w:snapToGrid w:val="0"/>
        </w:rPr>
        <w:t>Energy Operators (Powers) Act 1979 </w:t>
      </w:r>
      <w:r>
        <w:rPr>
          <w:snapToGrid w:val="0"/>
          <w:vertAlign w:val="superscript"/>
        </w:rPr>
        <w:t>2</w:t>
      </w:r>
      <w:r>
        <w:rPr>
          <w:snapToGrid w:val="0"/>
        </w:rPr>
        <w:t xml:space="preserve">, the </w:t>
      </w:r>
      <w:r>
        <w:rPr>
          <w:i/>
          <w:snapToGrid w:val="0"/>
        </w:rPr>
        <w:t>Energy Coordination Act 1994</w:t>
      </w:r>
      <w:r>
        <w:rPr>
          <w:snapToGrid w:val="0"/>
        </w:rPr>
        <w:t xml:space="preserve"> and the respective regulations made thereunder on electrical installers and electrical contractors; 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w:t>
      </w:r>
    </w:p>
    <w:p>
      <w:pPr>
        <w:pStyle w:val="Heading5"/>
        <w:rPr>
          <w:snapToGrid w:val="0"/>
        </w:rPr>
      </w:pPr>
      <w:bookmarkStart w:id="175" w:name="_Toc31684972"/>
      <w:bookmarkStart w:id="176" w:name="_Toc92790645"/>
      <w:bookmarkStart w:id="177" w:name="_Toc92965276"/>
      <w:bookmarkStart w:id="178" w:name="_Toc112151100"/>
      <w:r>
        <w:rPr>
          <w:rStyle w:val="CharSectno"/>
        </w:rPr>
        <w:t>38</w:t>
      </w:r>
      <w:r>
        <w:rPr>
          <w:snapToGrid w:val="0"/>
        </w:rPr>
        <w:t>.</w:t>
      </w:r>
      <w:r>
        <w:rPr>
          <w:snapToGrid w:val="0"/>
        </w:rPr>
        <w:tab/>
        <w:t>Nominated electrical worker</w:t>
      </w:r>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rPr>
          <w:snapToGrid w:val="0"/>
        </w:rPr>
      </w:pPr>
      <w:r>
        <w:rPr>
          <w:snapToGrid w:val="0"/>
        </w:rPr>
        <w:tab/>
        <w:t>(3)</w:t>
      </w:r>
      <w:r>
        <w:rPr>
          <w:snapToGrid w:val="0"/>
        </w:rPr>
        <w:tab/>
        <w:t>A person is ineligible to be, or continue to be, a nominated electrical worker in respect of a licence unless he or she is employed by the holder of the licence or he or she is approved by the Board for the purposes of this regulation.</w:t>
      </w:r>
    </w:p>
    <w:p>
      <w:pPr>
        <w:pStyle w:val="Subsection"/>
        <w:rPr>
          <w:snapToGrid w:val="0"/>
        </w:rPr>
      </w:pPr>
      <w:r>
        <w:rPr>
          <w:snapToGrid w:val="0"/>
        </w:rPr>
        <w:tab/>
        <w:t>(4)</w:t>
      </w:r>
      <w:r>
        <w:rPr>
          <w:snapToGrid w:val="0"/>
        </w:rPr>
        <w:tab/>
        <w:t>Where a holder of a licence nominates as his or her nominated electrical worker a person who is ineligible under subregulation (3) or permits a person who is so ineligible to continue to be his or her nominated electrical worker, the holder of the licence commits an offence.</w:t>
      </w:r>
    </w:p>
    <w:p>
      <w:pPr>
        <w:pStyle w:val="Subsection"/>
        <w:rPr>
          <w:snapToGrid w:val="0"/>
        </w:rPr>
      </w:pPr>
      <w:r>
        <w:rPr>
          <w:snapToGrid w:val="0"/>
        </w:rPr>
        <w:tab/>
        <w:t>(5)</w:t>
      </w:r>
      <w:r>
        <w:rPr>
          <w:snapToGrid w:val="0"/>
        </w:rPr>
        <w:tab/>
        <w:t>A person who is ineligible to be a nominated electrical worker who — </w:t>
      </w:r>
    </w:p>
    <w:p>
      <w:pPr>
        <w:pStyle w:val="Indenta"/>
        <w:rPr>
          <w:snapToGrid w:val="0"/>
        </w:rPr>
      </w:pPr>
      <w:r>
        <w:rPr>
          <w:snapToGrid w:val="0"/>
        </w:rPr>
        <w:tab/>
        <w:t>(a)</w:t>
      </w:r>
      <w:r>
        <w:rPr>
          <w:snapToGrid w:val="0"/>
        </w:rPr>
        <w:tab/>
        <w:t>permits himself or herself to be nominated as the nominated electrical worker in respect of a licence; or</w:t>
      </w:r>
    </w:p>
    <w:p>
      <w:pPr>
        <w:pStyle w:val="Indenta"/>
        <w:rPr>
          <w:snapToGrid w:val="0"/>
        </w:rPr>
      </w:pPr>
      <w:r>
        <w:rPr>
          <w:snapToGrid w:val="0"/>
        </w:rPr>
        <w:tab/>
        <w:t>(b)</w:t>
      </w:r>
      <w:r>
        <w:rPr>
          <w:snapToGrid w:val="0"/>
        </w:rPr>
        <w:tab/>
        <w:t>continues to be a nominated electrical worker in respect of a licence,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(6)</w:t>
      </w:r>
      <w:r>
        <w:rPr>
          <w:snapToGrid w:val="0"/>
        </w:rPr>
        <w:tab/>
        <w:t>Where, by reason of cancellation under subregulation (1) or for any other reason, a person who was a nominated electrical worker in respect of a licence ceases to be a nominated electrical worker in respect of that licence, the holder of the licence shall forthwith notify the Board.</w:t>
      </w:r>
    </w:p>
    <w:p>
      <w:pPr>
        <w:pStyle w:val="Subsection"/>
        <w:rPr>
          <w:snapToGrid w:val="0"/>
        </w:rPr>
      </w:pPr>
      <w:r>
        <w:rPr>
          <w:snapToGrid w:val="0"/>
        </w:rPr>
        <w:tab/>
        <w:t>(7)</w:t>
      </w:r>
      <w:r>
        <w:rPr>
          <w:snapToGrid w:val="0"/>
        </w:rPr>
        <w:tab/>
        <w:t>Except where the holder of a licence makes arrangements satisfactory to the Board, upon the holder of a licence ceasing to employ at least one nominated electrical worker,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Heading5"/>
        <w:rPr>
          <w:snapToGrid w:val="0"/>
        </w:rPr>
      </w:pPr>
      <w:bookmarkStart w:id="179" w:name="_Toc31684973"/>
      <w:bookmarkStart w:id="180" w:name="_Toc92790646"/>
      <w:bookmarkStart w:id="181" w:name="_Toc92965277"/>
      <w:bookmarkStart w:id="182" w:name="_Toc112151101"/>
      <w:r>
        <w:rPr>
          <w:rStyle w:val="CharSectno"/>
        </w:rPr>
        <w:t>39</w:t>
      </w:r>
      <w:r>
        <w:rPr>
          <w:snapToGrid w:val="0"/>
        </w:rPr>
        <w:t>.</w:t>
      </w:r>
      <w:r>
        <w:rPr>
          <w:snapToGrid w:val="0"/>
        </w:rPr>
        <w:tab/>
        <w:t>Application for licence</w:t>
      </w:r>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An application for the issue of a licence or renewal of the registration of a licence is made in accordance with this regulation by submitting to the executive officer, together with the appropriate fee set out in the Schedule, such form, duly completed, as the Director makes available for the purpose.</w:t>
      </w:r>
    </w:p>
    <w:p>
      <w:pPr>
        <w:pStyle w:val="Subsection"/>
        <w:rPr>
          <w:snapToGrid w:val="0"/>
        </w:rPr>
      </w:pPr>
      <w:r>
        <w:rPr>
          <w:snapToGrid w:val="0"/>
        </w:rPr>
        <w:tab/>
        <w:t>(2)</w:t>
      </w:r>
      <w:r>
        <w:rPr>
          <w:snapToGrid w:val="0"/>
        </w:rPr>
        <w:tab/>
      </w:r>
      <w:r>
        <w:rPr>
          <w:snapToGrid w:val="0"/>
          <w:spacing w:val="-4"/>
        </w:rPr>
        <w:t>Without limiting the matters that may be required to be disclosed in an application, an application shall disclose the business name and trading name (if any) and the address of the principal place from which business is to be carried on under the licence.</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pPr>
      <w:r>
        <w:tab/>
        <w:t xml:space="preserve">[Regulation 39 amended in Gazette 23 Dec 1994 p. 7134; 6 Sep 1996 p. 4415.] </w:t>
      </w:r>
    </w:p>
    <w:p>
      <w:pPr>
        <w:pStyle w:val="Heading5"/>
        <w:rPr>
          <w:snapToGrid w:val="0"/>
        </w:rPr>
      </w:pPr>
      <w:bookmarkStart w:id="183" w:name="_Toc31684974"/>
      <w:bookmarkStart w:id="184" w:name="_Toc92790647"/>
      <w:bookmarkStart w:id="185" w:name="_Toc92965278"/>
      <w:bookmarkStart w:id="186" w:name="_Toc112151102"/>
      <w:r>
        <w:rPr>
          <w:rStyle w:val="CharSectno"/>
        </w:rPr>
        <w:t>40</w:t>
      </w:r>
      <w:r>
        <w:rPr>
          <w:snapToGrid w:val="0"/>
        </w:rPr>
        <w:t>.</w:t>
      </w:r>
      <w:r>
        <w:rPr>
          <w:snapToGrid w:val="0"/>
        </w:rPr>
        <w:tab/>
        <w:t>Issue of licence</w:t>
      </w:r>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Heading5"/>
        <w:rPr>
          <w:snapToGrid w:val="0"/>
        </w:rPr>
      </w:pPr>
      <w:bookmarkStart w:id="187" w:name="_Toc31684975"/>
      <w:bookmarkStart w:id="188" w:name="_Toc92790648"/>
      <w:bookmarkStart w:id="189" w:name="_Toc92965279"/>
      <w:bookmarkStart w:id="190" w:name="_Toc112151103"/>
      <w:r>
        <w:rPr>
          <w:rStyle w:val="CharSectno"/>
        </w:rPr>
        <w:t>41</w:t>
      </w:r>
      <w:r>
        <w:rPr>
          <w:snapToGrid w:val="0"/>
        </w:rPr>
        <w:t>.</w:t>
      </w:r>
      <w:r>
        <w:rPr>
          <w:snapToGrid w:val="0"/>
        </w:rPr>
        <w:tab/>
        <w:t>Licence held by a firm</w:t>
      </w:r>
      <w:bookmarkEnd w:id="187"/>
      <w:bookmarkEnd w:id="188"/>
      <w:bookmarkEnd w:id="189"/>
      <w:bookmarkEnd w:id="190"/>
      <w:r>
        <w:rPr>
          <w:snapToGrid w:val="0"/>
        </w:rPr>
        <w:t xml:space="preserve"> </w:t>
      </w:r>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191" w:name="_Toc31684976"/>
      <w:bookmarkStart w:id="192" w:name="_Toc92790649"/>
      <w:bookmarkStart w:id="193" w:name="_Toc92965280"/>
      <w:bookmarkStart w:id="194" w:name="_Toc112151104"/>
      <w:r>
        <w:rPr>
          <w:rStyle w:val="CharSectno"/>
        </w:rPr>
        <w:t>42</w:t>
      </w:r>
      <w:r>
        <w:rPr>
          <w:snapToGrid w:val="0"/>
        </w:rPr>
        <w:t>.</w:t>
      </w:r>
      <w:r>
        <w:rPr>
          <w:snapToGrid w:val="0"/>
        </w:rPr>
        <w:tab/>
        <w:t>Board to be notified</w:t>
      </w:r>
      <w:bookmarkEnd w:id="191"/>
      <w:bookmarkEnd w:id="192"/>
      <w:bookmarkEnd w:id="193"/>
      <w:bookmarkEnd w:id="194"/>
      <w:r>
        <w:rPr>
          <w:snapToGrid w:val="0"/>
        </w:rPr>
        <w:t xml:space="preserve"> </w:t>
      </w:r>
    </w:p>
    <w:p>
      <w:pPr>
        <w:pStyle w:val="Subsection"/>
        <w:spacing w:before="120"/>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195" w:name="_Toc31684977"/>
      <w:bookmarkStart w:id="196" w:name="_Toc92790650"/>
      <w:bookmarkStart w:id="197" w:name="_Toc92965281"/>
      <w:bookmarkStart w:id="198" w:name="_Toc112151105"/>
      <w:r>
        <w:rPr>
          <w:rStyle w:val="CharSectno"/>
        </w:rPr>
        <w:t>43</w:t>
      </w:r>
      <w:r>
        <w:rPr>
          <w:snapToGrid w:val="0"/>
        </w:rPr>
        <w:t>.</w:t>
      </w:r>
      <w:r>
        <w:rPr>
          <w:snapToGrid w:val="0"/>
        </w:rPr>
        <w:tab/>
        <w:t>Duration of registration</w:t>
      </w:r>
      <w:bookmarkEnd w:id="195"/>
      <w:bookmarkEnd w:id="196"/>
      <w:bookmarkEnd w:id="197"/>
      <w:bookmarkEnd w:id="198"/>
      <w:r>
        <w:rPr>
          <w:snapToGrid w:val="0"/>
        </w:rPr>
        <w:t xml:space="preserve"> </w:t>
      </w:r>
    </w:p>
    <w:p>
      <w:pPr>
        <w:pStyle w:val="Subsection"/>
        <w:spacing w:before="120"/>
      </w:pPr>
      <w:r>
        <w:tab/>
        <w:t>(1)</w:t>
      </w:r>
      <w:r>
        <w:tab/>
        <w:t>The registration of a licence expires after such period as is specified by the Board in the certificate of registration, being a period ending not more than one year after the day on which it was issued.</w:t>
      </w:r>
    </w:p>
    <w:p>
      <w:pPr>
        <w:pStyle w:val="Subsection"/>
        <w:spacing w:before="120"/>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Footnotesection"/>
      </w:pPr>
      <w:r>
        <w:tab/>
        <w:t>[Regulation 43 amended in Gazette 2 May 2000 p. 2115.]</w:t>
      </w:r>
    </w:p>
    <w:p>
      <w:pPr>
        <w:pStyle w:val="Heading5"/>
        <w:rPr>
          <w:snapToGrid w:val="0"/>
        </w:rPr>
      </w:pPr>
      <w:bookmarkStart w:id="199" w:name="_Toc31684978"/>
      <w:bookmarkStart w:id="200" w:name="_Toc92790651"/>
      <w:bookmarkStart w:id="201" w:name="_Toc92965282"/>
      <w:bookmarkStart w:id="202" w:name="_Toc112151106"/>
      <w:r>
        <w:rPr>
          <w:rStyle w:val="CharSectno"/>
        </w:rPr>
        <w:t>44</w:t>
      </w:r>
      <w:r>
        <w:rPr>
          <w:snapToGrid w:val="0"/>
        </w:rPr>
        <w:t>.</w:t>
      </w:r>
      <w:r>
        <w:rPr>
          <w:snapToGrid w:val="0"/>
        </w:rPr>
        <w:tab/>
        <w:t>Renewal of registration</w:t>
      </w:r>
      <w:bookmarkEnd w:id="199"/>
      <w:bookmarkEnd w:id="200"/>
      <w:bookmarkEnd w:id="201"/>
      <w:bookmarkEnd w:id="202"/>
      <w:r>
        <w:rPr>
          <w:snapToGrid w:val="0"/>
        </w:rPr>
        <w:t xml:space="preserve"> </w:t>
      </w:r>
    </w:p>
    <w:p>
      <w:pPr>
        <w:pStyle w:val="Subsection"/>
        <w:spacing w:before="120"/>
        <w:rPr>
          <w:snapToGrid w:val="0"/>
        </w:rPr>
      </w:pPr>
      <w:r>
        <w:rPr>
          <w:snapToGrid w:val="0"/>
        </w:rPr>
        <w:tab/>
        <w:t>(1)</w:t>
      </w:r>
      <w:r>
        <w:rPr>
          <w:snapToGrid w:val="0"/>
        </w:rPr>
        <w:tab/>
      </w:r>
      <w:r>
        <w:rPr>
          <w:snapToGrid w:val="0"/>
          <w:spacing w:val="-4"/>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snapToGrid w:val="0"/>
          <w:spacing w:val="-4"/>
        </w:rPr>
        <w:noBreakHyphen/>
        <w:t xml:space="preserve">house electrical installing work, renew the registration for a further period </w:t>
      </w:r>
      <w:r>
        <w:rPr>
          <w:spacing w:val="-4"/>
        </w:rPr>
        <w:t>specified by the Board in the certificate of registration, being a period ending not more than</w:t>
      </w:r>
      <w:r>
        <w:rPr>
          <w:snapToGrid w:val="0"/>
          <w:spacing w:val="-4"/>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t>Where the registration of a licence holder is renewed under subregulation (1), the renewal has effect, unless the licence is cancelled under these regulations, from the time when, but for the renewal, the registration would have expired.</w:t>
      </w:r>
    </w:p>
    <w:p>
      <w:pPr>
        <w:pStyle w:val="Footnotesection"/>
      </w:pPr>
      <w:r>
        <w:tab/>
        <w:t>[Regulation 44 amended in Gazette 2 May 2000 p. 2115.]</w:t>
      </w:r>
    </w:p>
    <w:p>
      <w:pPr>
        <w:pStyle w:val="Heading5"/>
        <w:rPr>
          <w:snapToGrid w:val="0"/>
        </w:rPr>
      </w:pPr>
      <w:bookmarkStart w:id="203" w:name="_Toc31684979"/>
      <w:bookmarkStart w:id="204" w:name="_Toc92790652"/>
      <w:bookmarkStart w:id="205" w:name="_Toc92965283"/>
      <w:bookmarkStart w:id="206" w:name="_Toc112151107"/>
      <w:r>
        <w:rPr>
          <w:rStyle w:val="CharSectno"/>
        </w:rPr>
        <w:t>45</w:t>
      </w:r>
      <w:r>
        <w:rPr>
          <w:snapToGrid w:val="0"/>
        </w:rPr>
        <w:t>.</w:t>
      </w:r>
      <w:r>
        <w:rPr>
          <w:snapToGrid w:val="0"/>
        </w:rPr>
        <w:tab/>
        <w:t>Place of business</w:t>
      </w:r>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The holder of a licence shall ensure that his or her licence document and certificate of registration is conspicuously displayed at his or her principal place of business and that the number of his or her licence appears in any advertisement advertising his or her electrical contracting business.</w:t>
      </w:r>
    </w:p>
    <w:p>
      <w:pPr>
        <w:pStyle w:val="Subsection"/>
        <w:rPr>
          <w:snapToGrid w:val="0"/>
        </w:rPr>
      </w:pPr>
      <w:r>
        <w:rPr>
          <w:snapToGrid w:val="0"/>
        </w:rPr>
        <w:tab/>
        <w:t>(2)</w:t>
      </w:r>
      <w:r>
        <w:rPr>
          <w:snapToGrid w:val="0"/>
        </w:rPr>
        <w:tab/>
        <w:t>The holder of a licence shall, not later than 28 days after changing his or her business name or trading name or principal place of business, notify the Board in writing of the change.</w:t>
      </w:r>
    </w:p>
    <w:p>
      <w:pPr>
        <w:pStyle w:val="Subsection"/>
        <w:rPr>
          <w:snapToGrid w:val="0"/>
        </w:rPr>
      </w:pPr>
      <w:r>
        <w:rPr>
          <w:snapToGrid w:val="0"/>
        </w:rPr>
        <w:tab/>
        <w:t>(3)</w:t>
      </w:r>
      <w:r>
        <w:rPr>
          <w:snapToGrid w:val="0"/>
        </w:rPr>
        <w:tab/>
      </w:r>
      <w:r>
        <w:rPr>
          <w:snapToGrid w:val="0"/>
          <w:spacing w:val="-4"/>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Heading5"/>
        <w:rPr>
          <w:snapToGrid w:val="0"/>
        </w:rPr>
      </w:pPr>
      <w:bookmarkStart w:id="207" w:name="_Toc92790655"/>
      <w:bookmarkStart w:id="208" w:name="_Toc92965284"/>
      <w:bookmarkStart w:id="209" w:name="_Toc112151108"/>
      <w:bookmarkStart w:id="210" w:name="_Toc54672615"/>
      <w:bookmarkStart w:id="211" w:name="_Toc77479469"/>
      <w:r>
        <w:rPr>
          <w:rStyle w:val="CharSectno"/>
        </w:rPr>
        <w:t>46</w:t>
      </w:r>
      <w:r>
        <w:rPr>
          <w:snapToGrid w:val="0"/>
        </w:rPr>
        <w:t>.</w:t>
      </w:r>
      <w:r>
        <w:rPr>
          <w:snapToGrid w:val="0"/>
        </w:rPr>
        <w:tab/>
        <w:t>Discipline</w:t>
      </w:r>
      <w:bookmarkEnd w:id="207"/>
      <w:bookmarkEnd w:id="208"/>
      <w:bookmarkEnd w:id="209"/>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 of regulation 49 or 50.</w:t>
      </w:r>
    </w:p>
    <w:p>
      <w:pPr>
        <w:pStyle w:val="Footnotesection"/>
      </w:pPr>
      <w:r>
        <w:tab/>
        <w:t>[Regulation 46 inserted in Gazette 30 Dec 2004 p. 6994.]</w:t>
      </w:r>
    </w:p>
    <w:p>
      <w:pPr>
        <w:pStyle w:val="Heading5"/>
        <w:rPr>
          <w:snapToGrid w:val="0"/>
        </w:rPr>
      </w:pPr>
      <w:bookmarkStart w:id="212" w:name="_Toc92790656"/>
      <w:bookmarkStart w:id="213" w:name="_Toc92965285"/>
      <w:bookmarkStart w:id="214" w:name="_Toc112151109"/>
      <w:r>
        <w:rPr>
          <w:rStyle w:val="CharSectno"/>
        </w:rPr>
        <w:t>47</w:t>
      </w:r>
      <w:r>
        <w:rPr>
          <w:snapToGrid w:val="0"/>
        </w:rPr>
        <w:t>.</w:t>
      </w:r>
      <w:r>
        <w:rPr>
          <w:snapToGrid w:val="0"/>
        </w:rPr>
        <w:tab/>
        <w:t>Disciplinary powers</w:t>
      </w:r>
      <w:bookmarkEnd w:id="212"/>
      <w:bookmarkEnd w:id="213"/>
      <w:bookmarkEnd w:id="214"/>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w:t>
      </w:r>
    </w:p>
    <w:p>
      <w:pPr>
        <w:pStyle w:val="Heading5"/>
        <w:rPr>
          <w:snapToGrid w:val="0"/>
        </w:rPr>
      </w:pPr>
      <w:bookmarkStart w:id="215" w:name="_Toc92790657"/>
      <w:bookmarkStart w:id="216" w:name="_Toc92965286"/>
      <w:bookmarkStart w:id="217" w:name="_Toc112151110"/>
      <w:r>
        <w:rPr>
          <w:rStyle w:val="CharSectno"/>
        </w:rPr>
        <w:t>47A</w:t>
      </w:r>
      <w:r>
        <w:rPr>
          <w:snapToGrid w:val="0"/>
        </w:rPr>
        <w:t>.</w:t>
      </w:r>
      <w:r>
        <w:rPr>
          <w:snapToGrid w:val="0"/>
        </w:rPr>
        <w:tab/>
        <w:t>Alternative to bringing proceedings</w:t>
      </w:r>
      <w:bookmarkEnd w:id="215"/>
      <w:bookmarkEnd w:id="216"/>
      <w:bookmarkEnd w:id="217"/>
    </w:p>
    <w:p>
      <w:pPr>
        <w:pStyle w:val="Subsection"/>
        <w:rPr>
          <w:snapToGrid w:val="0"/>
        </w:rPr>
      </w:pPr>
      <w:r>
        <w:rPr>
          <w:snapToGrid w:val="0"/>
        </w:rPr>
        <w:tab/>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6995-6.]</w:t>
      </w:r>
    </w:p>
    <w:p>
      <w:pPr>
        <w:pStyle w:val="Heading2"/>
      </w:pPr>
      <w:bookmarkStart w:id="218" w:name="_Toc92790658"/>
      <w:bookmarkStart w:id="219" w:name="_Toc92790792"/>
      <w:bookmarkStart w:id="220" w:name="_Toc92965287"/>
      <w:bookmarkStart w:id="221" w:name="_Toc92965391"/>
      <w:bookmarkStart w:id="222" w:name="_Toc101593836"/>
      <w:bookmarkStart w:id="223" w:name="_Toc112133212"/>
      <w:bookmarkStart w:id="224" w:name="_Toc112151111"/>
      <w:r>
        <w:rPr>
          <w:rStyle w:val="CharPartNo"/>
        </w:rPr>
        <w:t>Part 5</w:t>
      </w:r>
      <w:r>
        <w:rPr>
          <w:rStyle w:val="CharDivNo"/>
        </w:rPr>
        <w:t> </w:t>
      </w:r>
      <w:r>
        <w:t>—</w:t>
      </w:r>
      <w:r>
        <w:rPr>
          <w:rStyle w:val="CharDivText"/>
        </w:rPr>
        <w:t> </w:t>
      </w:r>
      <w:r>
        <w:rPr>
          <w:rStyle w:val="CharPartText"/>
        </w:rPr>
        <w:t>Regulation of electrical work</w:t>
      </w:r>
      <w:bookmarkEnd w:id="210"/>
      <w:bookmarkEnd w:id="211"/>
      <w:bookmarkEnd w:id="218"/>
      <w:bookmarkEnd w:id="219"/>
      <w:bookmarkEnd w:id="220"/>
      <w:bookmarkEnd w:id="221"/>
      <w:bookmarkEnd w:id="222"/>
      <w:bookmarkEnd w:id="223"/>
      <w:bookmarkEnd w:id="224"/>
      <w:r>
        <w:rPr>
          <w:rStyle w:val="CharPartText"/>
        </w:rPr>
        <w:t xml:space="preserve"> </w:t>
      </w:r>
    </w:p>
    <w:p>
      <w:pPr>
        <w:pStyle w:val="Ednotesection"/>
      </w:pPr>
      <w:r>
        <w:t>[</w:t>
      </w:r>
      <w:r>
        <w:rPr>
          <w:b/>
        </w:rPr>
        <w:t>48.</w:t>
      </w:r>
      <w:r>
        <w:tab/>
        <w:t xml:space="preserve">Repealed in Gazette 6 Sep 1996 p. 4415.] </w:t>
      </w:r>
    </w:p>
    <w:p>
      <w:pPr>
        <w:pStyle w:val="Heading5"/>
        <w:rPr>
          <w:snapToGrid w:val="0"/>
        </w:rPr>
      </w:pPr>
      <w:bookmarkStart w:id="225" w:name="_Toc31684982"/>
      <w:bookmarkStart w:id="226" w:name="_Toc92790659"/>
      <w:bookmarkStart w:id="227" w:name="_Toc92965288"/>
      <w:bookmarkStart w:id="228" w:name="_Toc112151112"/>
      <w:r>
        <w:rPr>
          <w:rStyle w:val="CharSectno"/>
        </w:rPr>
        <w:t>49</w:t>
      </w:r>
      <w:r>
        <w:rPr>
          <w:snapToGrid w:val="0"/>
        </w:rPr>
        <w:t>.</w:t>
      </w:r>
      <w:r>
        <w:rPr>
          <w:snapToGrid w:val="0"/>
        </w:rPr>
        <w:tab/>
        <w:t>Electrical work to be carried out in accordance with certain requirements</w:t>
      </w:r>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An electrical worker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w:t>
      </w:r>
    </w:p>
    <w:p>
      <w:pPr>
        <w:pStyle w:val="Indenta"/>
        <w:rPr>
          <w:snapToGrid w:val="0"/>
        </w:rPr>
      </w:pPr>
      <w:r>
        <w:rPr>
          <w:snapToGrid w:val="0"/>
        </w:rPr>
        <w:tab/>
        <w:t>(b)</w:t>
      </w:r>
      <w:r>
        <w:rPr>
          <w:snapToGrid w:val="0"/>
        </w:rPr>
        <w:tab/>
        <w:t>the W A Electrical Requirements as amended from time to time,</w:t>
      </w:r>
    </w:p>
    <w:p>
      <w:pPr>
        <w:pStyle w:val="Subsection"/>
        <w:rPr>
          <w:snapToGrid w:val="0"/>
        </w:rPr>
      </w:pPr>
      <w:r>
        <w:rPr>
          <w:snapToGrid w:val="0"/>
        </w:rPr>
        <w:tab/>
      </w:r>
      <w:r>
        <w:rPr>
          <w:snapToGrid w:val="0"/>
        </w:rPr>
        <w:tab/>
        <w:t>and the following standards, as published by the Standards Association of Australia </w:t>
      </w:r>
      <w:r>
        <w:rPr>
          <w:snapToGrid w:val="0"/>
          <w:vertAlign w:val="superscript"/>
        </w:rPr>
        <w:t>3</w:t>
      </w:r>
      <w:r>
        <w:rPr>
          <w:snapToGrid w:val="0"/>
        </w:rPr>
        <w:t xml:space="preserve"> and amended from time to time, where those standards are relevant to the electrical work being carried out, namely — </w:t>
      </w:r>
    </w:p>
    <w:p>
      <w:pPr>
        <w:pStyle w:val="Indenta"/>
        <w:rPr>
          <w:snapToGrid w:val="0"/>
        </w:rPr>
      </w:pPr>
      <w:r>
        <w:rPr>
          <w:snapToGrid w:val="0"/>
        </w:rPr>
        <w:tab/>
      </w:r>
      <w:r>
        <w:rPr>
          <w:snapToGrid w:val="0"/>
        </w:rPr>
        <w:tab/>
        <w:t>AS 2067: “Switchgear Assemblies and Ancillary Equipment for A/C Voltages above 1Kv”;</w:t>
      </w:r>
    </w:p>
    <w:p>
      <w:pPr>
        <w:pStyle w:val="Indenta"/>
        <w:rPr>
          <w:snapToGrid w:val="0"/>
        </w:rPr>
      </w:pPr>
      <w:r>
        <w:rPr>
          <w:snapToGrid w:val="0"/>
        </w:rPr>
        <w:tab/>
      </w:r>
      <w:r>
        <w:rPr>
          <w:snapToGrid w:val="0"/>
        </w:rPr>
        <w:tab/>
        <w:t>AS 2381: “Electrical equipment for explosive atmospheres — Selection, installation and maintenance”;</w:t>
      </w:r>
    </w:p>
    <w:p>
      <w:pPr>
        <w:pStyle w:val="Indenta"/>
        <w:rPr>
          <w:snapToGrid w:val="0"/>
        </w:rPr>
      </w:pPr>
      <w:r>
        <w:rPr>
          <w:snapToGrid w:val="0"/>
        </w:rPr>
        <w:tab/>
      </w:r>
      <w:r>
        <w:rPr>
          <w:snapToGrid w:val="0"/>
        </w:rPr>
        <w:tab/>
        <w:t>AS 2430: “Classification of hazardous areas”;</w:t>
      </w:r>
    </w:p>
    <w:p>
      <w:pPr>
        <w:pStyle w:val="Indenta"/>
        <w:rPr>
          <w:snapToGrid w:val="0"/>
        </w:rPr>
      </w:pPr>
      <w:r>
        <w:rPr>
          <w:snapToGrid w:val="0"/>
        </w:rPr>
        <w:tab/>
      </w:r>
      <w:r>
        <w:rPr>
          <w:snapToGrid w:val="0"/>
        </w:rPr>
        <w:tab/>
        <w:t>AS 3001 (sections 1 and 2 only): “Electrical installations — Movable premises (including caravans) and their site installations”;</w:t>
      </w:r>
    </w:p>
    <w:p>
      <w:pPr>
        <w:pStyle w:val="Indenta"/>
        <w:rPr>
          <w:snapToGrid w:val="0"/>
        </w:rPr>
      </w:pPr>
      <w:r>
        <w:rPr>
          <w:snapToGrid w:val="0"/>
        </w:rPr>
        <w:tab/>
      </w:r>
      <w:r>
        <w:rPr>
          <w:snapToGrid w:val="0"/>
        </w:rPr>
        <w:tab/>
        <w:t>AS 3002: “Electrical installations — Shows and carnivals”;</w:t>
      </w:r>
    </w:p>
    <w:p>
      <w:pPr>
        <w:pStyle w:val="Indenta"/>
        <w:rPr>
          <w:snapToGrid w:val="0"/>
        </w:rPr>
      </w:pPr>
      <w:r>
        <w:rPr>
          <w:snapToGrid w:val="0"/>
        </w:rPr>
        <w:tab/>
      </w:r>
      <w:r>
        <w:rPr>
          <w:snapToGrid w:val="0"/>
        </w:rPr>
        <w:tab/>
        <w:t>AS 3004 (sections 1 and 2 only): “Electrical installations — Marinas and pleasure craft at low voltage”;</w:t>
      </w:r>
    </w:p>
    <w:p>
      <w:pPr>
        <w:pStyle w:val="Indenta"/>
        <w:rPr>
          <w:snapToGrid w:val="0"/>
        </w:rPr>
      </w:pPr>
      <w:r>
        <w:rPr>
          <w:snapToGrid w:val="0"/>
        </w:rPr>
        <w:tab/>
      </w:r>
      <w:r>
        <w:rPr>
          <w:snapToGrid w:val="0"/>
        </w:rPr>
        <w:tab/>
        <w:t>AS 3005 (sections 1 and 2 only): “Electrical installations of tents and similar temporary structures for domestic purposes”;</w:t>
      </w:r>
    </w:p>
    <w:p>
      <w:pPr>
        <w:pStyle w:val="Indenta"/>
        <w:rPr>
          <w:snapToGrid w:val="0"/>
        </w:rPr>
      </w:pPr>
      <w:r>
        <w:rPr>
          <w:snapToGrid w:val="0"/>
        </w:rPr>
        <w:tab/>
      </w:r>
      <w:r>
        <w:rPr>
          <w:snapToGrid w:val="0"/>
        </w:rPr>
        <w:tab/>
        <w:t>AS 3008: “Electrical installations — Selection of cables”;</w:t>
      </w:r>
    </w:p>
    <w:p>
      <w:pPr>
        <w:pStyle w:val="Indenta"/>
        <w:rPr>
          <w:snapToGrid w:val="0"/>
        </w:rPr>
      </w:pPr>
      <w:r>
        <w:rPr>
          <w:snapToGrid w:val="0"/>
        </w:rPr>
        <w:tab/>
      </w:r>
      <w:r>
        <w:rPr>
          <w:snapToGrid w:val="0"/>
        </w:rPr>
        <w:tab/>
        <w:t>AS 3010 (Part 1): “Electrical Installations — Supply by Generating Set”.</w:t>
      </w:r>
    </w:p>
    <w:p>
      <w:pPr>
        <w:pStyle w:val="Subsection"/>
        <w:rPr>
          <w:snapToGrid w:val="0"/>
        </w:rPr>
      </w:pPr>
      <w:r>
        <w:rPr>
          <w:snapToGrid w:val="0"/>
        </w:rPr>
        <w:tab/>
        <w:t>(2)</w:t>
      </w:r>
      <w:r>
        <w:rPr>
          <w:snapToGrid w:val="0"/>
        </w:rPr>
        <w:tab/>
        <w:t>Where any code or standard is inconsistent with the W A Electrical Requirements referred to in subregulation (1) the latter prevails to the extent of the inconsistency.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 xml:space="preserve">16; 24 Mar 2000 p. 1640.] </w:t>
      </w:r>
    </w:p>
    <w:p>
      <w:pPr>
        <w:pStyle w:val="Heading5"/>
        <w:rPr>
          <w:snapToGrid w:val="0"/>
        </w:rPr>
      </w:pPr>
      <w:bookmarkStart w:id="229" w:name="_Toc31684983"/>
      <w:bookmarkStart w:id="230" w:name="_Toc92790660"/>
      <w:bookmarkStart w:id="231" w:name="_Toc92965289"/>
      <w:bookmarkStart w:id="232" w:name="_Toc112151113"/>
      <w:r>
        <w:rPr>
          <w:rStyle w:val="CharSectno"/>
        </w:rPr>
        <w:t>50</w:t>
      </w:r>
      <w:r>
        <w:rPr>
          <w:snapToGrid w:val="0"/>
        </w:rPr>
        <w:t>.</w:t>
      </w:r>
      <w:r>
        <w:rPr>
          <w:snapToGrid w:val="0"/>
        </w:rPr>
        <w:tab/>
        <w:t>Duty to effectively supervise electrical work</w:t>
      </w:r>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rPr>
          <w:snapToGrid w:val="0"/>
        </w:rPr>
      </w:pPr>
      <w:r>
        <w:rPr>
          <w:snapToGrid w:val="0"/>
        </w:rPr>
        <w:tab/>
        <w:t>(2)</w:t>
      </w:r>
      <w:r>
        <w:rPr>
          <w:snapToGrid w:val="0"/>
        </w:rPr>
        <w:tab/>
        <w:t>Electrical work is not required to be supervised if the person carrying out the electrical work is licensed to carry out the electrical work in question without supervision.</w:t>
      </w:r>
    </w:p>
    <w:p>
      <w:pPr>
        <w:pStyle w:val="Subsection"/>
        <w:rPr>
          <w:snapToGrid w:val="0"/>
        </w:rPr>
      </w:pPr>
      <w:r>
        <w:rPr>
          <w:snapToGrid w:val="0"/>
        </w:rPr>
        <w:tab/>
        <w:t>(3)</w:t>
      </w:r>
      <w:r>
        <w:rPr>
          <w:snapToGrid w:val="0"/>
        </w:rPr>
        <w:tab/>
        <w:t>In order to ensure that subregulation (1) is complied with a person employing an electrical worker — </w:t>
      </w:r>
    </w:p>
    <w:p>
      <w:pPr>
        <w:pStyle w:val="Indenta"/>
        <w:rPr>
          <w:snapToGrid w:val="0"/>
        </w:rPr>
      </w:pPr>
      <w:r>
        <w:rPr>
          <w:snapToGrid w:val="0"/>
        </w:rPr>
        <w:tab/>
        <w:t>(a)</w:t>
      </w:r>
      <w:r>
        <w:rPr>
          <w:snapToGrid w:val="0"/>
        </w:rPr>
        <w:tab/>
        <w:t xml:space="preserve">shall ensure that supervision is carried out by a person who is licensed to carry out the electrical work in question without supervision (the </w:t>
      </w:r>
      <w:r>
        <w:rPr>
          <w:b/>
          <w:snapToGrid w:val="0"/>
        </w:rPr>
        <w:t>“supervising electrical worker”</w:t>
      </w:r>
      <w:r>
        <w:rPr>
          <w:snapToGrid w:val="0"/>
        </w:rPr>
        <w:t>);</w:t>
      </w:r>
    </w:p>
    <w:p>
      <w:pPr>
        <w:pStyle w:val="Indenta"/>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w:t>
      </w:r>
    </w:p>
    <w:p>
      <w:pPr>
        <w:pStyle w:val="Indenta"/>
        <w:rPr>
          <w:snapToGrid w:val="0"/>
        </w:rPr>
      </w:pPr>
      <w:r>
        <w:rPr>
          <w:snapToGrid w:val="0"/>
        </w:rPr>
        <w:tab/>
        <w:t>(c)</w:t>
      </w:r>
      <w:r>
        <w:rPr>
          <w:snapToGrid w:val="0"/>
        </w:rPr>
        <w:tab/>
        <w:t>shall have regard to the level of competence of the persons being supervised or to be supervised;</w:t>
      </w:r>
    </w:p>
    <w:p>
      <w:pPr>
        <w:pStyle w:val="Indenta"/>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w:t>
      </w:r>
    </w:p>
    <w:p>
      <w:pPr>
        <w:pStyle w:val="Indenta"/>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w:t>
      </w:r>
    </w:p>
    <w:p>
      <w:pPr>
        <w:pStyle w:val="Indenta"/>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rPr>
          <w:snapToGrid w:val="0"/>
        </w:rPr>
      </w:pPr>
      <w:r>
        <w:rPr>
          <w:snapToGrid w:val="0"/>
        </w:rPr>
        <w:tab/>
        <w:t>(d)</w:t>
      </w:r>
      <w:r>
        <w:rPr>
          <w:snapToGrid w:val="0"/>
        </w:rPr>
        <w:tab/>
        <w:t>shall have regard to the location and general circumstances in which the electrical work is being carried out;</w:t>
      </w:r>
    </w:p>
    <w:p>
      <w:pPr>
        <w:pStyle w:val="Indenta"/>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Footnotesection"/>
      </w:pPr>
      <w:r>
        <w:tab/>
        <w:t xml:space="preserve">[Regulation 50 amended in Gazette 6 Sep 1996 p. 4416.] </w:t>
      </w:r>
    </w:p>
    <w:p>
      <w:pPr>
        <w:pStyle w:val="Heading5"/>
        <w:rPr>
          <w:snapToGrid w:val="0"/>
        </w:rPr>
      </w:pPr>
      <w:bookmarkStart w:id="233" w:name="_Toc31684984"/>
      <w:bookmarkStart w:id="234" w:name="_Toc92790661"/>
      <w:bookmarkStart w:id="235" w:name="_Toc92965290"/>
      <w:bookmarkStart w:id="236" w:name="_Toc112151114"/>
      <w:r>
        <w:rPr>
          <w:rStyle w:val="CharSectno"/>
        </w:rPr>
        <w:t>50A</w:t>
      </w:r>
      <w:r>
        <w:rPr>
          <w:snapToGrid w:val="0"/>
        </w:rPr>
        <w:t xml:space="preserve">. </w:t>
      </w:r>
      <w:r>
        <w:rPr>
          <w:snapToGrid w:val="0"/>
        </w:rPr>
        <w:tab/>
        <w:t>Licence holder not to cause or permit unsafe wiring or equipment to be connected to electrical installation</w:t>
      </w:r>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Footnotesection"/>
      </w:pPr>
      <w:r>
        <w:tab/>
        <w:t xml:space="preserve">[Regulation 50A inserted in Gazette 6 Sep 1996 p. 4416.] </w:t>
      </w:r>
    </w:p>
    <w:p>
      <w:pPr>
        <w:pStyle w:val="Heading5"/>
        <w:rPr>
          <w:snapToGrid w:val="0"/>
        </w:rPr>
      </w:pPr>
      <w:bookmarkStart w:id="237" w:name="_Toc31684985"/>
      <w:bookmarkStart w:id="238" w:name="_Toc92790662"/>
      <w:bookmarkStart w:id="239" w:name="_Toc92965291"/>
      <w:bookmarkStart w:id="240" w:name="_Toc112151115"/>
      <w:r>
        <w:rPr>
          <w:rStyle w:val="CharSectno"/>
        </w:rPr>
        <w:t>51</w:t>
      </w:r>
      <w:r>
        <w:rPr>
          <w:snapToGrid w:val="0"/>
        </w:rPr>
        <w:t>.</w:t>
      </w:r>
      <w:r>
        <w:rPr>
          <w:snapToGrid w:val="0"/>
        </w:rPr>
        <w:tab/>
        <w:t>Preliminary notice</w:t>
      </w:r>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Subject to subregulation (2), an electrical contractor who carries out any electrical installing work or causes any electrical installing work to be carried out commits an offence if preliminary notice of the proposed electrical installing work has not been delivered to the relevant supply authority at the required time.</w:t>
      </w:r>
    </w:p>
    <w:p>
      <w:pPr>
        <w:pStyle w:val="Subsection"/>
        <w:keepNext/>
        <w:rPr>
          <w:snapToGrid w:val="0"/>
        </w:rPr>
      </w:pPr>
      <w:r>
        <w:rPr>
          <w:snapToGrid w:val="0"/>
        </w:rPr>
        <w:tab/>
        <w:t>(2)</w:t>
      </w:r>
      <w:r>
        <w:rPr>
          <w:snapToGrid w:val="0"/>
        </w:rPr>
        <w:tab/>
        <w:t>Subregulation (1) does not apply to electrical installing work — </w:t>
      </w:r>
    </w:p>
    <w:p>
      <w:pPr>
        <w:pStyle w:val="Indenta"/>
        <w:rPr>
          <w:snapToGrid w:val="0"/>
        </w:rPr>
      </w:pPr>
      <w:r>
        <w:rPr>
          <w:snapToGrid w:val="0"/>
        </w:rPr>
        <w:tab/>
        <w:t>(a)</w:t>
      </w:r>
      <w:r>
        <w:rPr>
          <w:snapToGrid w:val="0"/>
        </w:rPr>
        <w:tab/>
        <w:t>carried out because of emergency circumstances involving danger to any person or property or the risk of supply being disrupted; or</w:t>
      </w:r>
    </w:p>
    <w:p>
      <w:pPr>
        <w:pStyle w:val="Indenta"/>
        <w:rPr>
          <w:snapToGrid w:val="0"/>
        </w:rPr>
      </w:pPr>
      <w:r>
        <w:rPr>
          <w:snapToGrid w:val="0"/>
        </w:rPr>
        <w:tab/>
        <w:t>(b)</w:t>
      </w:r>
      <w:r>
        <w:rPr>
          <w:snapToGrid w:val="0"/>
        </w:rPr>
        <w:tab/>
        <w:t>carried out by an electrical contractor exempted in writing by the Director from the requirement to deliver preliminary notice, subject to any conditions that are imposed in respect of the exemption.</w:t>
      </w:r>
    </w:p>
    <w:p>
      <w:pPr>
        <w:pStyle w:val="Subsection"/>
        <w:rPr>
          <w:snapToGrid w:val="0"/>
        </w:rPr>
      </w:pPr>
      <w:r>
        <w:rPr>
          <w:snapToGrid w:val="0"/>
        </w:rPr>
        <w:tab/>
        <w:t>(3)</w:t>
      </w:r>
      <w:r>
        <w:rPr>
          <w:snapToGrid w:val="0"/>
        </w:rPr>
        <w:tab/>
        <w:t>In this regulation — </w:t>
      </w:r>
    </w:p>
    <w:p>
      <w:pPr>
        <w:pStyle w:val="Defstart"/>
        <w:spacing w:before="120"/>
      </w:pPr>
      <w:r>
        <w:rPr>
          <w:b/>
        </w:rPr>
        <w:tab/>
        <w:t>“electrical installing work”</w:t>
      </w:r>
      <w:r>
        <w:t xml:space="preserve"> means electrical installing work other than minor work or maintenance work;</w:t>
      </w:r>
    </w:p>
    <w:p>
      <w:pPr>
        <w:pStyle w:val="Defstart"/>
        <w:spacing w:before="120"/>
      </w:pPr>
      <w:r>
        <w:rPr>
          <w:b/>
        </w:rPr>
        <w:tab/>
        <w:t>“preliminary notice”</w:t>
      </w:r>
      <w:r>
        <w:t xml:space="preserve"> means preliminary notice in a form approved by the Director and duly completed;</w:t>
      </w:r>
    </w:p>
    <w:p>
      <w:pPr>
        <w:pStyle w:val="Defstart"/>
        <w:spacing w:before="120"/>
      </w:pPr>
      <w:r>
        <w:rPr>
          <w:b/>
        </w:rPr>
        <w:tab/>
        <w:t>“the required time”</w:t>
      </w:r>
      <w:r>
        <w:t>, in relation to giving preliminary notice of proposed electrical installing work, means — </w:t>
      </w:r>
    </w:p>
    <w:p>
      <w:pPr>
        <w:pStyle w:val="Defpara"/>
      </w:pPr>
      <w:r>
        <w:tab/>
        <w:t>(a)</w:t>
      </w:r>
      <w:r>
        <w:tab/>
        <w:t>at least 3 working days before the proposed electrical installing work is begun, if the electrical contractor requires advice from the relevant supply authority in relation to the proposed electrical installing work before it is begun; or</w:t>
      </w:r>
    </w:p>
    <w:p>
      <w:pPr>
        <w:pStyle w:val="Defpara"/>
      </w:pPr>
      <w:r>
        <w:tab/>
        <w:t>(b)</w:t>
      </w:r>
      <w:r>
        <w:tab/>
        <w:t>at any time before the proposed electrical installing work is begun, if the electrical contractor does not require such advice.</w:t>
      </w:r>
    </w:p>
    <w:p>
      <w:pPr>
        <w:pStyle w:val="Footnotesection"/>
      </w:pPr>
      <w:r>
        <w:tab/>
        <w:t xml:space="preserve">[Regulation 51 inserted in Gazette 6 Sep 1996 p. 4417.] </w:t>
      </w:r>
    </w:p>
    <w:p>
      <w:pPr>
        <w:pStyle w:val="Heading5"/>
        <w:rPr>
          <w:snapToGrid w:val="0"/>
        </w:rPr>
      </w:pPr>
      <w:bookmarkStart w:id="241" w:name="_Toc31684986"/>
      <w:bookmarkStart w:id="242" w:name="_Toc92790663"/>
      <w:bookmarkStart w:id="243" w:name="_Toc92965292"/>
      <w:bookmarkStart w:id="244" w:name="_Toc112151116"/>
      <w:r>
        <w:rPr>
          <w:rStyle w:val="CharSectno"/>
        </w:rPr>
        <w:t>52</w:t>
      </w:r>
      <w:r>
        <w:rPr>
          <w:snapToGrid w:val="0"/>
        </w:rPr>
        <w:t>.</w:t>
      </w:r>
      <w:r>
        <w:rPr>
          <w:snapToGrid w:val="0"/>
        </w:rPr>
        <w:tab/>
        <w:t>Notice of completion</w:t>
      </w:r>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Subject to subregulation (2), an electrical contractor who carries out any electrical installing work, including minor work but excluding maintenance work, or causes any electrical installing work, including minor work but excluding maintenance work, to be carried out, commits an offence if upon completion of the electrical installing work a notice of completion, in a form approved by the Director and duly completed, is not prepared in respect of the work and sent to the relevant supply authority — </w:t>
      </w:r>
    </w:p>
    <w:p>
      <w:pPr>
        <w:pStyle w:val="Indenta"/>
        <w:rPr>
          <w:snapToGrid w:val="0"/>
        </w:rPr>
      </w:pPr>
      <w:r>
        <w:rPr>
          <w:snapToGrid w:val="0"/>
        </w:rPr>
        <w:tab/>
        <w:t>(a)</w:t>
      </w:r>
      <w:r>
        <w:rPr>
          <w:snapToGrid w:val="0"/>
        </w:rPr>
        <w:tab/>
        <w:t>in the case of electrical work, other than minor work, within 3 working days;</w:t>
      </w:r>
    </w:p>
    <w:p>
      <w:pPr>
        <w:pStyle w:val="Indenta"/>
        <w:rPr>
          <w:snapToGrid w:val="0"/>
        </w:rPr>
      </w:pPr>
      <w:r>
        <w:rPr>
          <w:snapToGrid w:val="0"/>
        </w:rPr>
        <w:tab/>
        <w:t>(b)</w:t>
      </w:r>
      <w:r>
        <w:rPr>
          <w:snapToGrid w:val="0"/>
        </w:rPr>
        <w:tab/>
        <w:t>in the case of minor work, within 28 days.</w:t>
      </w:r>
    </w:p>
    <w:p>
      <w:pPr>
        <w:pStyle w:val="Subsection"/>
        <w:rPr>
          <w:snapToGrid w:val="0"/>
        </w:rPr>
      </w:pPr>
      <w:r>
        <w:rPr>
          <w:snapToGrid w:val="0"/>
        </w:rPr>
        <w:tab/>
        <w:t>(2)</w:t>
      </w:r>
      <w:r>
        <w:rPr>
          <w:snapToGrid w:val="0"/>
        </w:rPr>
        <w:tab/>
        <w:t>Subregulation (1) does not apply to electrical installing work carried out, or caused to be carried out, by an electrical contractor exempted in writing by the Director from the requirement to prepare and send a notice of completion, subject to any conditions that are imposed in respect of the exemption.</w:t>
      </w:r>
    </w:p>
    <w:p>
      <w:pPr>
        <w:pStyle w:val="Subsection"/>
        <w:rPr>
          <w:snapToGrid w:val="0"/>
        </w:rPr>
      </w:pPr>
      <w:r>
        <w:rPr>
          <w:snapToGrid w:val="0"/>
        </w:rPr>
        <w:tab/>
        <w:t>(3)</w:t>
      </w:r>
      <w:r>
        <w:rPr>
          <w:snapToGrid w:val="0"/>
        </w:rPr>
        <w:tab/>
        <w:t>An electrical contractor who sends a notice of completion to the relevant supply authority in respect of electrical installing work that has not been completed commits an offence.</w:t>
      </w:r>
    </w:p>
    <w:p>
      <w:pPr>
        <w:pStyle w:val="Subsection"/>
        <w:rPr>
          <w:snapToGrid w:val="0"/>
        </w:rPr>
      </w:pPr>
      <w:r>
        <w:rPr>
          <w:snapToGrid w:val="0"/>
        </w:rPr>
        <w:tab/>
        <w:t>(4)</w:t>
      </w:r>
      <w:r>
        <w:rPr>
          <w:snapToGrid w:val="0"/>
        </w:rPr>
        <w:tab/>
        <w:t>In subregulation (1) — </w:t>
      </w:r>
    </w:p>
    <w:p>
      <w:pPr>
        <w:pStyle w:val="Defstart"/>
      </w:pPr>
      <w:r>
        <w:rPr>
          <w:b/>
        </w:rPr>
        <w:tab/>
        <w:t>“minor work”</w:t>
      </w:r>
      <w:r>
        <w:t xml:space="preserve"> does not include minor work carried out at a mine.</w:t>
      </w:r>
    </w:p>
    <w:p>
      <w:pPr>
        <w:pStyle w:val="Footnotesection"/>
      </w:pPr>
      <w:r>
        <w:tab/>
        <w:t>[Regulation 52 amended in Gazette 23 Dec 1994 p. 7134; 6 Sep 1996 p. 4417</w:t>
      </w:r>
      <w:r>
        <w:noBreakHyphen/>
        <w:t xml:space="preserve">18.] </w:t>
      </w:r>
    </w:p>
    <w:p>
      <w:pPr>
        <w:pStyle w:val="Heading5"/>
        <w:rPr>
          <w:snapToGrid w:val="0"/>
        </w:rPr>
      </w:pPr>
      <w:bookmarkStart w:id="245" w:name="_Toc31684987"/>
      <w:bookmarkStart w:id="246" w:name="_Toc92790664"/>
      <w:bookmarkStart w:id="247" w:name="_Toc92965293"/>
      <w:bookmarkStart w:id="248" w:name="_Toc112151117"/>
      <w:r>
        <w:rPr>
          <w:rStyle w:val="CharSectno"/>
        </w:rPr>
        <w:t>53</w:t>
      </w:r>
      <w:r>
        <w:rPr>
          <w:snapToGrid w:val="0"/>
        </w:rPr>
        <w:t>.</w:t>
      </w:r>
      <w:r>
        <w:rPr>
          <w:snapToGrid w:val="0"/>
        </w:rPr>
        <w:tab/>
        <w:t>Work other than by electrical contractors and unlicensed persons</w:t>
      </w:r>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A person referred to in regulation 33(2)(a) who carries out electrical installing work or causes a person employed by him or her to carry out any electrical installing work and any person who is a nominated person under regulation 37(1)(a) shall comply with regulations 51 and 52 as if he or she were an electrical contractor except to the extent that he or she is exempted in writing by the Director from the requirement to so comply and subject to such conditions as are imposed in respect of such exemption.</w:t>
      </w:r>
    </w:p>
    <w:p>
      <w:pPr>
        <w:pStyle w:val="Subsection"/>
        <w:keepNext/>
        <w:keepLines/>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Footnotesection"/>
      </w:pPr>
      <w:r>
        <w:tab/>
        <w:t xml:space="preserve">[Regulation 53 amended in Gazette 23 Dec 1994 p. 7134.] </w:t>
      </w:r>
    </w:p>
    <w:p>
      <w:pPr>
        <w:pStyle w:val="Heading5"/>
        <w:rPr>
          <w:snapToGrid w:val="0"/>
        </w:rPr>
      </w:pPr>
      <w:bookmarkStart w:id="249" w:name="_Toc31684988"/>
      <w:bookmarkStart w:id="250" w:name="_Toc92790665"/>
      <w:bookmarkStart w:id="251" w:name="_Toc92965294"/>
      <w:bookmarkStart w:id="252" w:name="_Toc112151118"/>
      <w:r>
        <w:rPr>
          <w:rStyle w:val="CharSectno"/>
        </w:rPr>
        <w:t>53A</w:t>
      </w:r>
      <w:r>
        <w:rPr>
          <w:snapToGrid w:val="0"/>
        </w:rPr>
        <w:t xml:space="preserve">. </w:t>
      </w:r>
      <w:r>
        <w:rPr>
          <w:snapToGrid w:val="0"/>
        </w:rPr>
        <w:tab/>
        <w:t>Further inspection fee</w:t>
      </w:r>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Subject to subregulation (2), where — </w:t>
      </w:r>
    </w:p>
    <w:p>
      <w:pPr>
        <w:pStyle w:val="Indenta"/>
        <w:rPr>
          <w:snapToGrid w:val="0"/>
        </w:rPr>
      </w:pPr>
      <w:r>
        <w:rPr>
          <w:snapToGrid w:val="0"/>
        </w:rPr>
        <w:tab/>
        <w:t>(a)</w:t>
      </w:r>
      <w:r>
        <w:rPr>
          <w:snapToGrid w:val="0"/>
        </w:rPr>
        <w:tab/>
        <w:t>on receipt of a notice of completion under regulation 52; or</w:t>
      </w:r>
    </w:p>
    <w:p>
      <w:pPr>
        <w:pStyle w:val="Indenta"/>
        <w:rPr>
          <w:snapToGrid w:val="0"/>
        </w:rPr>
      </w:pPr>
      <w:r>
        <w:rPr>
          <w:snapToGrid w:val="0"/>
        </w:rPr>
        <w:tab/>
        <w:t>(b)</w:t>
      </w:r>
      <w:r>
        <w:rPr>
          <w:snapToGrid w:val="0"/>
        </w:rPr>
        <w:tab/>
        <w:t>a notice of completion is not received in relation to electrical work that requires a notice of completion,</w:t>
      </w:r>
    </w:p>
    <w:p>
      <w:pPr>
        <w:pStyle w:val="Subsection"/>
        <w:rPr>
          <w:snapToGrid w:val="0"/>
        </w:rPr>
      </w:pPr>
      <w:r>
        <w:rPr>
          <w:snapToGrid w:val="0"/>
        </w:rPr>
        <w:tab/>
      </w:r>
      <w:r>
        <w:rPr>
          <w:snapToGrid w:val="0"/>
        </w:rPr>
        <w:tab/>
        <w:t>an inspector is of the opinion that — </w:t>
      </w:r>
    </w:p>
    <w:p>
      <w:pPr>
        <w:pStyle w:val="Indenta"/>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the fee prescribed in item 3 of Schedule 1 is payable by the electrical contractor to the relevant supply authority in relation to each further inspection related to that failure.</w:t>
      </w:r>
    </w:p>
    <w:p>
      <w:pPr>
        <w:pStyle w:val="Subsection"/>
        <w:rPr>
          <w:snapToGrid w:val="0"/>
        </w:rPr>
      </w:pPr>
      <w:r>
        <w:rPr>
          <w:snapToGrid w:val="0"/>
        </w:rPr>
        <w:tab/>
        <w:t>(2)</w:t>
      </w:r>
      <w:r>
        <w:rPr>
          <w:snapToGrid w:val="0"/>
        </w:rPr>
        <w:tab/>
        <w:t>The supply authority may waive the payment of the fee prescribed under subregulation (1) or may require payment of the fee in advance of each further inspection.</w:t>
      </w:r>
    </w:p>
    <w:p>
      <w:pPr>
        <w:pStyle w:val="Footnotesection"/>
      </w:pPr>
      <w:r>
        <w:tab/>
        <w:t xml:space="preserve">[Regulation 53A inserted in Gazette 24 Apr 1992 p. 1729.] </w:t>
      </w:r>
    </w:p>
    <w:p>
      <w:pPr>
        <w:pStyle w:val="Heading5"/>
        <w:rPr>
          <w:snapToGrid w:val="0"/>
        </w:rPr>
      </w:pPr>
      <w:bookmarkStart w:id="253" w:name="_Toc31684989"/>
      <w:bookmarkStart w:id="254" w:name="_Toc92790666"/>
      <w:bookmarkStart w:id="255" w:name="_Toc92965295"/>
      <w:bookmarkStart w:id="256" w:name="_Toc112151119"/>
      <w:r>
        <w:rPr>
          <w:rStyle w:val="CharSectno"/>
        </w:rPr>
        <w:t>54</w:t>
      </w:r>
      <w:r>
        <w:rPr>
          <w:snapToGrid w:val="0"/>
        </w:rPr>
        <w:t>.</w:t>
      </w:r>
      <w:r>
        <w:rPr>
          <w:snapToGrid w:val="0"/>
        </w:rPr>
        <w:tab/>
        <w:t>Signing of notices</w:t>
      </w:r>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Where a notice of completion that is sent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w:t>
      </w:r>
    </w:p>
    <w:p>
      <w:pPr>
        <w:pStyle w:val="Indenta"/>
        <w:rPr>
          <w:snapToGrid w:val="0"/>
        </w:rPr>
      </w:pPr>
      <w:r>
        <w:rPr>
          <w:snapToGrid w:val="0"/>
        </w:rPr>
        <w:tab/>
        <w:t>(b)</w:t>
      </w:r>
      <w:r>
        <w:rPr>
          <w:snapToGrid w:val="0"/>
        </w:rPr>
        <w:tab/>
        <w:t>a nominated electrical worker in respect of the licence held by the electrical contractor concerned;</w:t>
      </w:r>
    </w:p>
    <w:p>
      <w:pPr>
        <w:pStyle w:val="Indenta"/>
        <w:rPr>
          <w:snapToGrid w:val="0"/>
        </w:rPr>
      </w:pPr>
      <w:r>
        <w:rPr>
          <w:snapToGrid w:val="0"/>
        </w:rPr>
        <w:tab/>
        <w:t>(c)</w:t>
      </w:r>
      <w:r>
        <w:rPr>
          <w:snapToGrid w:val="0"/>
        </w:rPr>
        <w:tab/>
        <w:t>the nominated electrical worker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the nominated electrical worker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record commits an offence and the record shall be deemed not to have been duly completed.</w:t>
      </w:r>
    </w:p>
    <w:p>
      <w:pPr>
        <w:pStyle w:val="Heading2"/>
      </w:pPr>
      <w:bookmarkStart w:id="257" w:name="_Toc54672624"/>
      <w:bookmarkStart w:id="258" w:name="_Toc77479478"/>
      <w:bookmarkStart w:id="259" w:name="_Toc92790667"/>
      <w:bookmarkStart w:id="260" w:name="_Toc92790801"/>
      <w:bookmarkStart w:id="261" w:name="_Toc92965296"/>
      <w:bookmarkStart w:id="262" w:name="_Toc92965400"/>
      <w:bookmarkStart w:id="263" w:name="_Toc101593845"/>
      <w:bookmarkStart w:id="264" w:name="_Toc112133221"/>
      <w:bookmarkStart w:id="265" w:name="_Toc112151120"/>
      <w:r>
        <w:rPr>
          <w:rStyle w:val="CharPartNo"/>
        </w:rPr>
        <w:t>Part 6</w:t>
      </w:r>
      <w:r>
        <w:rPr>
          <w:rStyle w:val="CharDivNo"/>
        </w:rPr>
        <w:t> </w:t>
      </w:r>
      <w:r>
        <w:t>—</w:t>
      </w:r>
      <w:r>
        <w:rPr>
          <w:rStyle w:val="CharDivText"/>
        </w:rPr>
        <w:t> </w:t>
      </w:r>
      <w:r>
        <w:rPr>
          <w:rStyle w:val="CharPartText"/>
        </w:rPr>
        <w:t>Miscellaneous</w:t>
      </w:r>
      <w:bookmarkEnd w:id="257"/>
      <w:bookmarkEnd w:id="258"/>
      <w:bookmarkEnd w:id="259"/>
      <w:bookmarkEnd w:id="260"/>
      <w:bookmarkEnd w:id="261"/>
      <w:bookmarkEnd w:id="262"/>
      <w:bookmarkEnd w:id="263"/>
      <w:bookmarkEnd w:id="264"/>
      <w:bookmarkEnd w:id="265"/>
      <w:r>
        <w:rPr>
          <w:rStyle w:val="CharPartText"/>
        </w:rPr>
        <w:t xml:space="preserve"> </w:t>
      </w:r>
    </w:p>
    <w:p>
      <w:pPr>
        <w:pStyle w:val="Heading5"/>
        <w:rPr>
          <w:snapToGrid w:val="0"/>
        </w:rPr>
      </w:pPr>
      <w:bookmarkStart w:id="266" w:name="_Toc31684990"/>
      <w:bookmarkStart w:id="267" w:name="_Toc92790668"/>
      <w:bookmarkStart w:id="268" w:name="_Toc92965297"/>
      <w:bookmarkStart w:id="269" w:name="_Toc112151121"/>
      <w:r>
        <w:rPr>
          <w:rStyle w:val="CharSectno"/>
        </w:rPr>
        <w:t>55</w:t>
      </w:r>
      <w:r>
        <w:rPr>
          <w:snapToGrid w:val="0"/>
        </w:rPr>
        <w:t>.</w:t>
      </w:r>
      <w:r>
        <w:rPr>
          <w:snapToGrid w:val="0"/>
        </w:rPr>
        <w:tab/>
        <w:t>Powers of entry and inspection</w:t>
      </w:r>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The Board, or any member thereof with the consent of the Board, may for the purposes of — </w:t>
      </w:r>
    </w:p>
    <w:p>
      <w:pPr>
        <w:pStyle w:val="Indenta"/>
        <w:rPr>
          <w:snapToGrid w:val="0"/>
        </w:rPr>
      </w:pPr>
      <w:r>
        <w:rPr>
          <w:snapToGrid w:val="0"/>
        </w:rPr>
        <w:tab/>
        <w:t>(a)</w:t>
      </w:r>
      <w:r>
        <w:rPr>
          <w:snapToGrid w:val="0"/>
        </w:rPr>
        <w:tab/>
        <w:t>carrying out any inspection under these regulations; or</w:t>
      </w:r>
    </w:p>
    <w:p>
      <w:pPr>
        <w:pStyle w:val="Indenta"/>
        <w:rPr>
          <w:snapToGrid w:val="0"/>
        </w:rPr>
      </w:pPr>
      <w:r>
        <w:rPr>
          <w:snapToGrid w:val="0"/>
        </w:rPr>
        <w:tab/>
        <w:t>(b)</w:t>
      </w:r>
      <w:r>
        <w:rPr>
          <w:snapToGrid w:val="0"/>
        </w:rPr>
        <w:tab/>
        <w:t>requesting any electrical worker to produce his or her electrical licence or permit,</w:t>
      </w:r>
    </w:p>
    <w:p>
      <w:pPr>
        <w:pStyle w:val="Subsection"/>
        <w:rPr>
          <w:snapToGrid w:val="0"/>
        </w:rPr>
      </w:pPr>
      <w:r>
        <w:rPr>
          <w:snapToGrid w:val="0"/>
        </w:rPr>
        <w:tab/>
      </w:r>
      <w:r>
        <w:rPr>
          <w:snapToGrid w:val="0"/>
        </w:rPr>
        <w:tab/>
        <w:t>enter any place or premises at all reasonable times without having any consent or warrant other than these regulations.</w:t>
      </w:r>
    </w:p>
    <w:p>
      <w:pPr>
        <w:pStyle w:val="Heading5"/>
        <w:rPr>
          <w:snapToGrid w:val="0"/>
        </w:rPr>
      </w:pPr>
      <w:bookmarkStart w:id="270" w:name="_Toc31684991"/>
      <w:bookmarkStart w:id="271" w:name="_Toc92790669"/>
      <w:bookmarkStart w:id="272" w:name="_Toc92965298"/>
      <w:bookmarkStart w:id="273" w:name="_Toc112151122"/>
      <w:r>
        <w:rPr>
          <w:rStyle w:val="CharSectno"/>
        </w:rPr>
        <w:t>56</w:t>
      </w:r>
      <w:r>
        <w:rPr>
          <w:snapToGrid w:val="0"/>
        </w:rPr>
        <w:t>.</w:t>
      </w:r>
      <w:r>
        <w:rPr>
          <w:snapToGrid w:val="0"/>
        </w:rPr>
        <w:tab/>
        <w:t>Register</w:t>
      </w:r>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274" w:name="_Toc31684992"/>
      <w:bookmarkStart w:id="275" w:name="_Toc92790670"/>
      <w:bookmarkStart w:id="276" w:name="_Toc92965299"/>
      <w:bookmarkStart w:id="277" w:name="_Toc112151123"/>
      <w:r>
        <w:rPr>
          <w:rStyle w:val="CharSectno"/>
        </w:rPr>
        <w:t>57</w:t>
      </w:r>
      <w:r>
        <w:rPr>
          <w:snapToGrid w:val="0"/>
        </w:rPr>
        <w:t>.</w:t>
      </w:r>
      <w:r>
        <w:rPr>
          <w:snapToGrid w:val="0"/>
        </w:rPr>
        <w:tab/>
        <w:t>Record of electrical workers employed</w:t>
      </w:r>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the name and residential address of the person;</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w:t>
      </w:r>
    </w:p>
    <w:p>
      <w:pPr>
        <w:pStyle w:val="Heading5"/>
        <w:rPr>
          <w:snapToGrid w:val="0"/>
        </w:rPr>
      </w:pPr>
      <w:bookmarkStart w:id="278" w:name="_Toc31684993"/>
      <w:bookmarkStart w:id="279" w:name="_Toc92790671"/>
      <w:bookmarkStart w:id="280" w:name="_Toc92965300"/>
      <w:bookmarkStart w:id="281" w:name="_Toc112151124"/>
      <w:r>
        <w:rPr>
          <w:rStyle w:val="CharSectno"/>
        </w:rPr>
        <w:t>58</w:t>
      </w:r>
      <w:r>
        <w:rPr>
          <w:snapToGrid w:val="0"/>
        </w:rPr>
        <w:t>.</w:t>
      </w:r>
      <w:r>
        <w:rPr>
          <w:snapToGrid w:val="0"/>
        </w:rPr>
        <w:tab/>
        <w:t>Notice to produce licence and current registration certificate</w:t>
      </w:r>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The Board may, by notice in writing sent to the holder of a licence at his or her address last known to the Board require the licence and current registration certificate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Heading5"/>
        <w:rPr>
          <w:snapToGrid w:val="0"/>
        </w:rPr>
      </w:pPr>
      <w:bookmarkStart w:id="282" w:name="_Toc31684994"/>
      <w:bookmarkStart w:id="283" w:name="_Toc92790672"/>
      <w:bookmarkStart w:id="284" w:name="_Toc92965301"/>
      <w:bookmarkStart w:id="285" w:name="_Toc112151125"/>
      <w:r>
        <w:rPr>
          <w:rStyle w:val="CharSectno"/>
        </w:rPr>
        <w:t>59</w:t>
      </w:r>
      <w:r>
        <w:rPr>
          <w:snapToGrid w:val="0"/>
        </w:rPr>
        <w:t>.</w:t>
      </w:r>
      <w:r>
        <w:rPr>
          <w:snapToGrid w:val="0"/>
        </w:rPr>
        <w:tab/>
        <w:t>Offences related to licensing</w:t>
      </w:r>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286" w:name="_Toc31684995"/>
      <w:bookmarkStart w:id="287" w:name="_Toc92790673"/>
      <w:bookmarkStart w:id="288" w:name="_Toc92965302"/>
      <w:bookmarkStart w:id="289" w:name="_Toc112151126"/>
      <w:r>
        <w:rPr>
          <w:rStyle w:val="CharSectno"/>
        </w:rPr>
        <w:t>60</w:t>
      </w:r>
      <w:r>
        <w:rPr>
          <w:snapToGrid w:val="0"/>
        </w:rPr>
        <w:t>.</w:t>
      </w:r>
      <w:r>
        <w:rPr>
          <w:snapToGrid w:val="0"/>
        </w:rPr>
        <w:tab/>
        <w:t>Duplicate of licence or permit document</w:t>
      </w:r>
      <w:bookmarkEnd w:id="286"/>
      <w:bookmarkEnd w:id="287"/>
      <w:bookmarkEnd w:id="288"/>
      <w:bookmarkEnd w:id="289"/>
      <w:r>
        <w:rPr>
          <w:snapToGrid w:val="0"/>
        </w:rPr>
        <w:t xml:space="preserve"> </w:t>
      </w:r>
    </w:p>
    <w:p>
      <w:pPr>
        <w:pStyle w:val="Subsection"/>
        <w:spacing w:before="120"/>
        <w:rPr>
          <w:snapToGrid w:val="0"/>
        </w:rPr>
      </w:pPr>
      <w:r>
        <w:rPr>
          <w:snapToGrid w:val="0"/>
        </w:rPr>
        <w:tab/>
        <w:t>(1)</w:t>
      </w:r>
      <w:r>
        <w:rPr>
          <w:snapToGrid w:val="0"/>
        </w:rPr>
        <w:tab/>
        <w:t>Where the Board is satisfied that a licence or permit document has been lost, defaced, mutilated, or destroyed it may, on application in writing to the Board and payment of the appropriate fee set out in Schedule 1, issue to the holder a copy of the licence or permit document.</w:t>
      </w:r>
    </w:p>
    <w:p>
      <w:pPr>
        <w:pStyle w:val="Subsection"/>
        <w:spacing w:before="120"/>
        <w:rPr>
          <w:snapToGrid w:val="0"/>
        </w:rPr>
      </w:pPr>
      <w:r>
        <w:rPr>
          <w:snapToGrid w:val="0"/>
        </w:rPr>
        <w:tab/>
        <w:t>(2)</w:t>
      </w:r>
      <w:r>
        <w:rPr>
          <w:snapToGrid w:val="0"/>
        </w:rPr>
        <w:tab/>
        <w:t>The Board may decline to issue under subregulation (1) a copy of a licence or permit document that has been defaced or mutilated until the defaced or mutilated licence or permit document is returned to the Board.</w:t>
      </w:r>
    </w:p>
    <w:p>
      <w:pPr>
        <w:pStyle w:val="Subsection"/>
        <w:spacing w:before="120"/>
        <w:rPr>
          <w:snapToGrid w:val="0"/>
        </w:rPr>
      </w:pPr>
      <w:r>
        <w:rPr>
          <w:snapToGrid w:val="0"/>
        </w:rPr>
        <w:tab/>
        <w:t>(3)</w:t>
      </w:r>
      <w:r>
        <w:rPr>
          <w:snapToGrid w:val="0"/>
        </w:rPr>
        <w:tab/>
        <w:t>A copy issued under this regulation shall be regarded for the purposes of these regulations as if it were the original licence or permit document of which it is a copy.</w:t>
      </w:r>
    </w:p>
    <w:p>
      <w:pPr>
        <w:pStyle w:val="Heading5"/>
        <w:rPr>
          <w:snapToGrid w:val="0"/>
        </w:rPr>
      </w:pPr>
      <w:bookmarkStart w:id="290" w:name="_Toc31684996"/>
      <w:bookmarkStart w:id="291" w:name="_Toc92790674"/>
      <w:bookmarkStart w:id="292" w:name="_Toc92965303"/>
      <w:bookmarkStart w:id="293" w:name="_Toc112151127"/>
      <w:r>
        <w:rPr>
          <w:rStyle w:val="CharSectno"/>
        </w:rPr>
        <w:t>61</w:t>
      </w:r>
      <w:r>
        <w:rPr>
          <w:snapToGrid w:val="0"/>
        </w:rPr>
        <w:t>.</w:t>
      </w:r>
      <w:r>
        <w:rPr>
          <w:snapToGrid w:val="0"/>
        </w:rPr>
        <w:tab/>
        <w:t>Return of licence or permit document</w:t>
      </w:r>
      <w:bookmarkEnd w:id="290"/>
      <w:bookmarkEnd w:id="291"/>
      <w:bookmarkEnd w:id="292"/>
      <w:bookmarkEnd w:id="293"/>
      <w:r>
        <w:rPr>
          <w:snapToGrid w:val="0"/>
        </w:rPr>
        <w:t xml:space="preserve"> </w:t>
      </w:r>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31(2)(c) or 47(2)(b);</w:t>
      </w:r>
    </w:p>
    <w:p>
      <w:pPr>
        <w:pStyle w:val="Indenta"/>
        <w:rPr>
          <w:snapToGrid w:val="0"/>
        </w:rPr>
      </w:pPr>
      <w:r>
        <w:rPr>
          <w:snapToGrid w:val="0"/>
        </w:rPr>
        <w:tab/>
        <w:t>(b)</w:t>
      </w:r>
      <w:r>
        <w:rPr>
          <w:snapToGrid w:val="0"/>
        </w:rPr>
        <w:tab/>
        <w:t>the cancellation of the licence or permit under regulation </w:t>
      </w:r>
      <w:r>
        <w:t>31(2)(a)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6996-7.]</w:t>
      </w:r>
    </w:p>
    <w:p>
      <w:pPr>
        <w:pStyle w:val="Heading5"/>
        <w:rPr>
          <w:snapToGrid w:val="0"/>
        </w:rPr>
      </w:pPr>
      <w:bookmarkStart w:id="294" w:name="_Toc31684997"/>
      <w:bookmarkStart w:id="295" w:name="_Toc92790675"/>
      <w:bookmarkStart w:id="296" w:name="_Toc92965304"/>
      <w:bookmarkStart w:id="297" w:name="_Toc112151128"/>
      <w:r>
        <w:rPr>
          <w:rStyle w:val="CharSectno"/>
        </w:rPr>
        <w:t>62</w:t>
      </w:r>
      <w:r>
        <w:rPr>
          <w:snapToGrid w:val="0"/>
        </w:rPr>
        <w:t>.</w:t>
      </w:r>
      <w:r>
        <w:rPr>
          <w:snapToGrid w:val="0"/>
        </w:rPr>
        <w:tab/>
        <w:t>Defects to be reported</w:t>
      </w:r>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Subject to subregulation (2), where it appears to an electrical worker that there is a defect in any electrical installation or electrical equipment that renders the electrical installation or electrical equipment unsafe, the electrical worker shall immediately report the matter to the owner or operator of the installation, to the relevant supply authority and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w:t>
      </w:r>
    </w:p>
    <w:p>
      <w:pPr>
        <w:pStyle w:val="Heading5"/>
        <w:rPr>
          <w:snapToGrid w:val="0"/>
        </w:rPr>
      </w:pPr>
      <w:bookmarkStart w:id="298" w:name="_Toc31684998"/>
      <w:bookmarkStart w:id="299" w:name="_Toc92790676"/>
      <w:bookmarkStart w:id="300" w:name="_Toc92965305"/>
      <w:bookmarkStart w:id="301" w:name="_Toc112151129"/>
      <w:r>
        <w:rPr>
          <w:rStyle w:val="CharSectno"/>
        </w:rPr>
        <w:t>63</w:t>
      </w:r>
      <w:r>
        <w:rPr>
          <w:snapToGrid w:val="0"/>
        </w:rPr>
        <w:t>.</w:t>
      </w:r>
      <w:r>
        <w:rPr>
          <w:snapToGrid w:val="0"/>
        </w:rPr>
        <w:tab/>
        <w:t>Accidents to be reported</w:t>
      </w:r>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Where an accident that has caused or is likely to cause danger to life or property has occurred any person who is aware of the accident or danger shall immediately report the fact to the Director and the relevant supply authority but if the person is an electrical worker in the course of his or her employment it is sufficient for the purposes of this regulation if the report is made to the employer of that person.</w:t>
      </w:r>
    </w:p>
    <w:p>
      <w:pPr>
        <w:pStyle w:val="Subsection"/>
        <w:rPr>
          <w:snapToGrid w:val="0"/>
        </w:rPr>
      </w:pPr>
      <w:r>
        <w:rPr>
          <w:snapToGrid w:val="0"/>
        </w:rPr>
        <w:tab/>
        <w:t>(2)</w:t>
      </w:r>
      <w:r>
        <w:rPr>
          <w:snapToGrid w:val="0"/>
        </w:rPr>
        <w:tab/>
        <w:t>Any report made to an employer under subregulation (1) shall be reported to the relevant supply authority and Director.</w:t>
      </w:r>
    </w:p>
    <w:p>
      <w:pPr>
        <w:pStyle w:val="Subsection"/>
        <w:rPr>
          <w:snapToGrid w:val="0"/>
        </w:rPr>
      </w:pPr>
      <w:r>
        <w:rPr>
          <w:snapToGrid w:val="0"/>
        </w:rPr>
        <w:tab/>
        <w:t>(3)</w:t>
      </w:r>
      <w:r>
        <w:rPr>
          <w:snapToGrid w:val="0"/>
        </w:rPr>
        <w:tab/>
        <w:t>In subregulation (1) — </w:t>
      </w:r>
    </w:p>
    <w:p>
      <w:pPr>
        <w:pStyle w:val="Defstart"/>
      </w:pPr>
      <w:r>
        <w:rPr>
          <w:b/>
        </w:rPr>
        <w:tab/>
        <w:t>“accident”</w:t>
      </w:r>
      <w:r>
        <w:t xml:space="preserve"> means an accident that results from a sudden discharge of electricity or that otherwise has, or may have, electrical origins.</w:t>
      </w:r>
    </w:p>
    <w:p>
      <w:pPr>
        <w:pStyle w:val="Footnotesection"/>
      </w:pPr>
      <w:r>
        <w:tab/>
        <w:t xml:space="preserve">[Regulation 63 amended in Gazette 23 Dec 1994 p. 7134; 6 Sep 1996 p. 4419.] </w:t>
      </w:r>
    </w:p>
    <w:p>
      <w:pPr>
        <w:pStyle w:val="Heading5"/>
        <w:rPr>
          <w:snapToGrid w:val="0"/>
        </w:rPr>
      </w:pPr>
      <w:bookmarkStart w:id="302" w:name="_Toc31684999"/>
      <w:bookmarkStart w:id="303" w:name="_Toc92790677"/>
      <w:bookmarkStart w:id="304" w:name="_Toc92965306"/>
      <w:bookmarkStart w:id="305" w:name="_Toc112151130"/>
      <w:r>
        <w:rPr>
          <w:rStyle w:val="CharSectno"/>
        </w:rPr>
        <w:t>63A</w:t>
      </w:r>
      <w:r>
        <w:rPr>
          <w:snapToGrid w:val="0"/>
        </w:rPr>
        <w:t xml:space="preserve">. </w:t>
      </w:r>
      <w:r>
        <w:rPr>
          <w:snapToGrid w:val="0"/>
        </w:rPr>
        <w:tab/>
        <w:t>Interference with scene of accident</w:t>
      </w:r>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A person shall not do anything at the place at which an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w:t>
      </w:r>
    </w:p>
    <w:p>
      <w:pPr>
        <w:pStyle w:val="Heading5"/>
      </w:pPr>
      <w:bookmarkStart w:id="306" w:name="_Toc92790678"/>
      <w:bookmarkStart w:id="307" w:name="_Toc92965307"/>
      <w:bookmarkStart w:id="308" w:name="_Toc112151131"/>
      <w:bookmarkStart w:id="309" w:name="_Toc31685000"/>
      <w:r>
        <w:rPr>
          <w:rStyle w:val="CharSectno"/>
        </w:rPr>
        <w:t>63B</w:t>
      </w:r>
      <w:r>
        <w:t>.</w:t>
      </w:r>
      <w:r>
        <w:tab/>
        <w:t>Delegation by Director</w:t>
      </w:r>
      <w:bookmarkEnd w:id="306"/>
      <w:bookmarkEnd w:id="307"/>
      <w:bookmarkEnd w:id="308"/>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310" w:name="_Toc92790679"/>
      <w:bookmarkStart w:id="311" w:name="_Toc92965308"/>
      <w:bookmarkStart w:id="312" w:name="_Toc112151132"/>
      <w:r>
        <w:rPr>
          <w:rStyle w:val="CharSectno"/>
        </w:rPr>
        <w:t>64</w:t>
      </w:r>
      <w:r>
        <w:rPr>
          <w:snapToGrid w:val="0"/>
        </w:rPr>
        <w:t>.</w:t>
      </w:r>
      <w:r>
        <w:rPr>
          <w:snapToGrid w:val="0"/>
        </w:rPr>
        <w:tab/>
        <w:t>Fees</w:t>
      </w:r>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Subsection"/>
      </w:pPr>
      <w:r>
        <w:tab/>
        <w:t>(2)</w:t>
      </w:r>
      <w:r>
        <w:tab/>
        <w:t>Where the registration of a licence holder is issued or renewed for a period less than one year under regulation 43(1) or 44(1), the fee payable for that issue or renewal is a portion of the relevant fee specified in item 2(b) or 2(c) of Schedule 1 corresponding to the portion of one year for which the registration is issued or renewed.</w:t>
      </w:r>
    </w:p>
    <w:p>
      <w:pPr>
        <w:pStyle w:val="Footnotesection"/>
      </w:pPr>
      <w:r>
        <w:tab/>
        <w:t xml:space="preserve">[Regulation 64 amended in Gazette 23 Dec 1994 p. 7134; 6 Sep 1996 p. 4419; 2 May 2000 p. 2115.] </w:t>
      </w:r>
    </w:p>
    <w:p>
      <w:pPr>
        <w:pStyle w:val="Heading5"/>
        <w:rPr>
          <w:snapToGrid w:val="0"/>
        </w:rPr>
      </w:pPr>
      <w:bookmarkStart w:id="313" w:name="_Toc31685001"/>
      <w:bookmarkStart w:id="314" w:name="_Toc92790680"/>
      <w:bookmarkStart w:id="315" w:name="_Toc92965309"/>
      <w:bookmarkStart w:id="316" w:name="_Toc112151133"/>
      <w:r>
        <w:rPr>
          <w:rStyle w:val="CharSectno"/>
        </w:rPr>
        <w:t>65</w:t>
      </w:r>
      <w:r>
        <w:rPr>
          <w:snapToGrid w:val="0"/>
        </w:rPr>
        <w:t>.</w:t>
      </w:r>
      <w:r>
        <w:rPr>
          <w:snapToGrid w:val="0"/>
        </w:rPr>
        <w:tab/>
        <w:t>General penalty</w:t>
      </w:r>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A person who fails to do anything that person is required to do under these regulations or does anything that that person is prohibited from doing under these regulations commits an offence and is liable, where no other penalty is prescribed, to a fine — </w:t>
      </w:r>
    </w:p>
    <w:p>
      <w:pPr>
        <w:pStyle w:val="Indenta"/>
        <w:rPr>
          <w:snapToGrid w:val="0"/>
        </w:rPr>
      </w:pPr>
      <w:r>
        <w:rPr>
          <w:snapToGrid w:val="0"/>
        </w:rPr>
        <w:tab/>
        <w:t>(a)</w:t>
      </w:r>
      <w:r>
        <w:rPr>
          <w:snapToGrid w:val="0"/>
        </w:rPr>
        <w:tab/>
        <w:t>in the case of an individual, of $5 000;</w:t>
      </w:r>
    </w:p>
    <w:p>
      <w:pPr>
        <w:pStyle w:val="Indenta"/>
        <w:rPr>
          <w:snapToGrid w:val="0"/>
        </w:rPr>
      </w:pPr>
      <w:r>
        <w:rPr>
          <w:snapToGrid w:val="0"/>
        </w:rPr>
        <w:tab/>
        <w:t>(b)</w:t>
      </w:r>
      <w:r>
        <w:rPr>
          <w:snapToGrid w:val="0"/>
        </w:rPr>
        <w:tab/>
        <w:t>in the case of a corporation, of $20 000.</w:t>
      </w:r>
    </w:p>
    <w:p>
      <w:pPr>
        <w:pStyle w:val="Ednotesection"/>
        <w:rPr>
          <w:i w:val="0"/>
        </w:rPr>
      </w:pPr>
      <w:r>
        <w:t>[</w:t>
      </w:r>
      <w:r>
        <w:rPr>
          <w:b/>
        </w:rPr>
        <w:t>66.</w:t>
      </w:r>
      <w:r>
        <w:rPr>
          <w:b/>
        </w:rPr>
        <w:tab/>
      </w:r>
      <w:r>
        <w:t>Omitted under the Reprints Act 1984 s. 7(4)(e).]</w:t>
      </w:r>
    </w:p>
    <w:p>
      <w:pPr>
        <w:pStyle w:val="Heading5"/>
        <w:rPr>
          <w:snapToGrid w:val="0"/>
        </w:rPr>
      </w:pPr>
      <w:bookmarkStart w:id="317" w:name="_Toc31685003"/>
      <w:bookmarkStart w:id="318" w:name="_Toc92790681"/>
      <w:bookmarkStart w:id="319" w:name="_Toc92965310"/>
      <w:bookmarkStart w:id="320" w:name="_Toc112151134"/>
      <w:r>
        <w:rPr>
          <w:rStyle w:val="CharSectno"/>
        </w:rPr>
        <w:t>67</w:t>
      </w:r>
      <w:r>
        <w:rPr>
          <w:snapToGrid w:val="0"/>
        </w:rPr>
        <w:t>.</w:t>
      </w:r>
      <w:r>
        <w:rPr>
          <w:snapToGrid w:val="0"/>
        </w:rPr>
        <w:tab/>
        <w:t>Savings and transitional</w:t>
      </w:r>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Notwithstanding anything in these regulations, a licence or permit issued under the repealed regulations and in force immediately before the commencement day shall, subject to this regulation, continue in force after that day and the registration of the licence holder may be renewed, suspended or cancelled under these regulations as though it were a licence issued under these regulations and the holder of such a licence is subject to the provisions of these regulations accordingly.</w:t>
      </w:r>
    </w:p>
    <w:p>
      <w:pPr>
        <w:pStyle w:val="Subsection"/>
        <w:rPr>
          <w:snapToGrid w:val="0"/>
        </w:rPr>
      </w:pPr>
      <w:r>
        <w:rPr>
          <w:snapToGrid w:val="0"/>
        </w:rPr>
        <w:tab/>
        <w:t>(2)</w:t>
      </w:r>
      <w:r>
        <w:rPr>
          <w:snapToGrid w:val="0"/>
        </w:rPr>
        <w:tab/>
        <w:t>Notwithstanding anything in these regulations, a person who immediately before the commencement day held a licence or permit of the kind specified in column 1 of the Table to this regulation under the repealed regulations shall after that day be deemed to hold a licence of the kind specified opposite and corresponding to that kind of licence in column 2 of that Table, but subject to the conditions and stipulations specified in the licence held by him or her under the repealed regulations.</w:t>
      </w:r>
    </w:p>
    <w:p>
      <w:pPr>
        <w:pStyle w:val="Subsection"/>
        <w:rPr>
          <w:snapToGrid w:val="0"/>
        </w:rPr>
      </w:pPr>
      <w:r>
        <w:rPr>
          <w:snapToGrid w:val="0"/>
        </w:rPr>
        <w:tab/>
        <w:t>(3)</w:t>
      </w:r>
      <w:r>
        <w:rPr>
          <w:snapToGrid w:val="0"/>
        </w:rPr>
        <w:tab/>
        <w:t>Subject to these regulations, on the expiry of a licence issued under the repealed regulations the holder of the licence shall be issued with a licence or permit of the kind he or she is deemed to hold under subregulation (2) but subject to such conditions and stipulations as are specified in the licence issued under the repealed regulations or as determined by the Board in accordance with these regulations.</w:t>
      </w:r>
    </w:p>
    <w:p>
      <w:pPr>
        <w:pStyle w:val="Subsection"/>
        <w:rPr>
          <w:snapToGrid w:val="0"/>
        </w:rPr>
      </w:pPr>
      <w:r>
        <w:rPr>
          <w:snapToGrid w:val="0"/>
        </w:rPr>
        <w:tab/>
        <w:t>(4)</w:t>
      </w:r>
      <w:r>
        <w:rPr>
          <w:snapToGrid w:val="0"/>
        </w:rPr>
        <w:tab/>
        <w:t>Where a licence or permit issued under the repealed regulations is not one of the kinds of licence or permit referred to in the Table to this regulation the Board shall, not later than 30 days before the appointed day fixed in relation to regulation 19(1), issue to the holder of the licence a licence of a grade determined by the Board.</w:t>
      </w:r>
    </w:p>
    <w:p>
      <w:pPr>
        <w:pStyle w:val="Subsection"/>
        <w:rPr>
          <w:snapToGrid w:val="0"/>
        </w:rPr>
      </w:pPr>
      <w:r>
        <w:rPr>
          <w:snapToGrid w:val="0"/>
        </w:rPr>
        <w:tab/>
        <w:t>(5)</w:t>
      </w:r>
      <w:r>
        <w:rPr>
          <w:snapToGrid w:val="0"/>
        </w:rPr>
        <w:tab/>
        <w:t>A person who is aggrieved by a decision of the Board under subregulation (4) may, within 14 days of that decision, appeal to a Local Court and the Court may order the Board to issue to that person such licence as the Court thinks proper.</w:t>
      </w:r>
    </w:p>
    <w:p>
      <w:pPr>
        <w:pStyle w:val="Subsection"/>
        <w:rPr>
          <w:snapToGrid w:val="0"/>
        </w:rPr>
      </w:pPr>
      <w:r>
        <w:rPr>
          <w:snapToGrid w:val="0"/>
        </w:rPr>
        <w:tab/>
        <w:t>(6)</w:t>
      </w:r>
      <w:r>
        <w:rPr>
          <w:snapToGrid w:val="0"/>
        </w:rPr>
        <w:tab/>
        <w:t>In this regulation — </w:t>
      </w:r>
    </w:p>
    <w:p>
      <w:pPr>
        <w:pStyle w:val="Defstart"/>
      </w:pPr>
      <w:r>
        <w:rPr>
          <w:b/>
        </w:rPr>
        <w:tab/>
        <w:t>“commencement day”</w:t>
      </w:r>
      <w:r>
        <w:t xml:space="preserve"> means the day that these regulations come into operation;</w:t>
      </w:r>
    </w:p>
    <w:p>
      <w:pPr>
        <w:pStyle w:val="Defstart"/>
      </w:pPr>
      <w:r>
        <w:rPr>
          <w:b/>
        </w:rPr>
        <w:tab/>
        <w:t>“the repealed regulations”</w:t>
      </w:r>
      <w:r>
        <w:t xml:space="preserve"> means the regulations repealed under regulation 66.</w:t>
      </w:r>
    </w:p>
    <w:p>
      <w:pPr>
        <w:pStyle w:val="MiscellaneousHeading"/>
        <w:rPr>
          <w:b/>
          <w:bCs/>
        </w:rPr>
      </w:pPr>
      <w:r>
        <w:rPr>
          <w:b/>
          <w:bCs/>
        </w:rPr>
        <w:t>Table</w:t>
      </w:r>
    </w:p>
    <w:tbl>
      <w:tblPr>
        <w:tblW w:w="0" w:type="auto"/>
        <w:tblInd w:w="851" w:type="dxa"/>
        <w:tblLayout w:type="fixed"/>
        <w:tblCellMar>
          <w:left w:w="283" w:type="dxa"/>
          <w:right w:w="283" w:type="dxa"/>
        </w:tblCellMar>
        <w:tblLook w:val="0000" w:firstRow="0" w:lastRow="0" w:firstColumn="0" w:lastColumn="0" w:noHBand="0" w:noVBand="0"/>
      </w:tblPr>
      <w:tblGrid>
        <w:gridCol w:w="3683"/>
        <w:gridCol w:w="2979"/>
      </w:tblGrid>
      <w:tr>
        <w:trPr>
          <w:tblHeader/>
        </w:trPr>
        <w:tc>
          <w:tcPr>
            <w:tcW w:w="3683" w:type="dxa"/>
          </w:tcPr>
          <w:p>
            <w:pPr>
              <w:pStyle w:val="Table"/>
              <w:spacing w:before="0"/>
              <w:jc w:val="center"/>
              <w:rPr>
                <w:b/>
                <w:sz w:val="20"/>
              </w:rPr>
            </w:pPr>
            <w:r>
              <w:rPr>
                <w:b/>
                <w:sz w:val="20"/>
              </w:rPr>
              <w:t>Column 1</w:t>
            </w:r>
          </w:p>
        </w:tc>
        <w:tc>
          <w:tcPr>
            <w:tcW w:w="2979" w:type="dxa"/>
          </w:tcPr>
          <w:p>
            <w:pPr>
              <w:pStyle w:val="Table"/>
              <w:spacing w:before="0"/>
              <w:jc w:val="center"/>
              <w:rPr>
                <w:b/>
                <w:sz w:val="20"/>
              </w:rPr>
            </w:pPr>
            <w:r>
              <w:rPr>
                <w:b/>
                <w:sz w:val="20"/>
              </w:rPr>
              <w:t>Column 2</w:t>
            </w:r>
          </w:p>
        </w:tc>
      </w:tr>
      <w:tr>
        <w:tc>
          <w:tcPr>
            <w:tcW w:w="3683" w:type="dxa"/>
          </w:tcPr>
          <w:p>
            <w:pPr>
              <w:pStyle w:val="Table"/>
              <w:spacing w:before="0"/>
              <w:rPr>
                <w:sz w:val="20"/>
              </w:rPr>
            </w:pPr>
            <w:r>
              <w:rPr>
                <w:sz w:val="20"/>
              </w:rPr>
              <w:t>1947 Licence</w:t>
            </w:r>
          </w:p>
        </w:tc>
        <w:tc>
          <w:tcPr>
            <w:tcW w:w="2979" w:type="dxa"/>
          </w:tcPr>
          <w:p>
            <w:pPr>
              <w:pStyle w:val="Table"/>
              <w:spacing w:before="0"/>
              <w:rPr>
                <w:sz w:val="20"/>
              </w:rPr>
            </w:pPr>
            <w:r>
              <w:rPr>
                <w:sz w:val="20"/>
              </w:rPr>
              <w:t>1991 Licence — Deemed Equivalent</w:t>
            </w:r>
          </w:p>
        </w:tc>
      </w:tr>
      <w:tr>
        <w:tc>
          <w:tcPr>
            <w:tcW w:w="3683" w:type="dxa"/>
          </w:tcPr>
          <w:p>
            <w:pPr>
              <w:pStyle w:val="Table"/>
              <w:spacing w:before="0"/>
              <w:rPr>
                <w:sz w:val="20"/>
              </w:rPr>
            </w:pPr>
            <w:r>
              <w:rPr>
                <w:sz w:val="20"/>
              </w:rPr>
              <w:t>Electrical Worker’s Licence</w:t>
            </w:r>
          </w:p>
          <w:p>
            <w:pPr>
              <w:pStyle w:val="Table"/>
              <w:spacing w:before="0"/>
              <w:rPr>
                <w:sz w:val="20"/>
              </w:rPr>
            </w:pPr>
            <w:r>
              <w:rPr>
                <w:sz w:val="20"/>
              </w:rPr>
              <w:t>A Grade</w:t>
            </w:r>
          </w:p>
        </w:tc>
        <w:tc>
          <w:tcPr>
            <w:tcW w:w="2979" w:type="dxa"/>
          </w:tcPr>
          <w:p>
            <w:pPr>
              <w:pStyle w:val="Table"/>
              <w:spacing w:before="0"/>
              <w:rPr>
                <w:sz w:val="20"/>
              </w:rPr>
            </w:pPr>
            <w:r>
              <w:rPr>
                <w:sz w:val="20"/>
              </w:rPr>
              <w:t>A Grade</w:t>
            </w:r>
          </w:p>
          <w:p>
            <w:pPr>
              <w:pStyle w:val="Table"/>
              <w:spacing w:before="0"/>
              <w:rPr>
                <w:sz w:val="20"/>
              </w:rPr>
            </w:pPr>
            <w:r>
              <w:rPr>
                <w:sz w:val="20"/>
              </w:rPr>
              <w:t>All Electrical Work</w:t>
            </w:r>
          </w:p>
        </w:tc>
      </w:tr>
      <w:tr>
        <w:tc>
          <w:tcPr>
            <w:tcW w:w="3683" w:type="dxa"/>
          </w:tcPr>
          <w:p>
            <w:pPr>
              <w:pStyle w:val="Table"/>
              <w:spacing w:before="0"/>
              <w:rPr>
                <w:sz w:val="20"/>
              </w:rPr>
            </w:pPr>
            <w:r>
              <w:rPr>
                <w:sz w:val="20"/>
              </w:rPr>
              <w:t>Electrical Worker’s Licence endorsed for an Electrical Fitter</w:t>
            </w:r>
          </w:p>
          <w:p>
            <w:pPr>
              <w:pStyle w:val="Table"/>
              <w:spacing w:before="0"/>
              <w:rPr>
                <w:sz w:val="20"/>
              </w:rPr>
            </w:pPr>
            <w:r>
              <w:rPr>
                <w:sz w:val="20"/>
              </w:rPr>
              <w:t>B Grade</w:t>
            </w:r>
          </w:p>
        </w:tc>
        <w:tc>
          <w:tcPr>
            <w:tcW w:w="2979" w:type="dxa"/>
          </w:tcPr>
          <w:p>
            <w:pPr>
              <w:pStyle w:val="Table"/>
              <w:spacing w:before="0"/>
              <w:rPr>
                <w:sz w:val="20"/>
              </w:rPr>
            </w:pPr>
            <w:r>
              <w:rPr>
                <w:sz w:val="20"/>
              </w:rPr>
              <w:t>A Grade</w:t>
            </w:r>
          </w:p>
          <w:p>
            <w:pPr>
              <w:pStyle w:val="Table"/>
              <w:spacing w:before="0"/>
              <w:rPr>
                <w:sz w:val="20"/>
              </w:rPr>
            </w:pPr>
            <w:r>
              <w:rPr>
                <w:sz w:val="20"/>
              </w:rPr>
              <w:t>Electrical Fitter</w:t>
            </w:r>
          </w:p>
        </w:tc>
      </w:tr>
      <w:tr>
        <w:tc>
          <w:tcPr>
            <w:tcW w:w="3683" w:type="dxa"/>
          </w:tcPr>
          <w:p>
            <w:pPr>
              <w:pStyle w:val="Table"/>
              <w:spacing w:before="0"/>
              <w:rPr>
                <w:sz w:val="20"/>
              </w:rPr>
            </w:pPr>
            <w:r>
              <w:rPr>
                <w:sz w:val="20"/>
              </w:rPr>
              <w:t>Electrical Worker’s Licence endorsed for an Electrical Mechanic</w:t>
            </w:r>
          </w:p>
          <w:p>
            <w:pPr>
              <w:pStyle w:val="Table"/>
              <w:spacing w:before="0"/>
              <w:rPr>
                <w:sz w:val="20"/>
              </w:rPr>
            </w:pPr>
            <w:r>
              <w:rPr>
                <w:sz w:val="20"/>
              </w:rPr>
              <w:t>B Grade</w:t>
            </w:r>
          </w:p>
        </w:tc>
        <w:tc>
          <w:tcPr>
            <w:tcW w:w="2979" w:type="dxa"/>
          </w:tcPr>
          <w:p>
            <w:pPr>
              <w:pStyle w:val="Table"/>
              <w:spacing w:before="0"/>
              <w:rPr>
                <w:sz w:val="20"/>
              </w:rPr>
            </w:pPr>
            <w:r>
              <w:rPr>
                <w:sz w:val="20"/>
              </w:rPr>
              <w:t>A Grade</w:t>
            </w:r>
          </w:p>
          <w:p>
            <w:pPr>
              <w:pStyle w:val="Table"/>
              <w:spacing w:before="0"/>
              <w:rPr>
                <w:sz w:val="20"/>
              </w:rPr>
            </w:pPr>
            <w:r>
              <w:rPr>
                <w:sz w:val="20"/>
              </w:rPr>
              <w:t>Electrical Mechanic</w:t>
            </w:r>
          </w:p>
        </w:tc>
      </w:tr>
      <w:tr>
        <w:tc>
          <w:tcPr>
            <w:tcW w:w="3683" w:type="dxa"/>
          </w:tcPr>
          <w:p>
            <w:pPr>
              <w:pStyle w:val="Table"/>
              <w:spacing w:before="0"/>
              <w:rPr>
                <w:sz w:val="20"/>
              </w:rPr>
            </w:pPr>
            <w:r>
              <w:rPr>
                <w:sz w:val="20"/>
              </w:rPr>
              <w:t>Electrical Worker’s Licence endorsed for Electrical Fitter</w:t>
            </w:r>
          </w:p>
          <w:p>
            <w:pPr>
              <w:pStyle w:val="Table"/>
              <w:spacing w:before="0"/>
              <w:rPr>
                <w:sz w:val="20"/>
              </w:rPr>
            </w:pPr>
            <w:r>
              <w:rPr>
                <w:sz w:val="20"/>
              </w:rPr>
              <w:t>Electrical Mechanic</w:t>
            </w:r>
          </w:p>
          <w:p>
            <w:pPr>
              <w:pStyle w:val="Table"/>
              <w:spacing w:before="0"/>
              <w:rPr>
                <w:sz w:val="20"/>
              </w:rPr>
            </w:pPr>
            <w:r>
              <w:rPr>
                <w:sz w:val="20"/>
              </w:rPr>
              <w:t>B Grade</w:t>
            </w:r>
          </w:p>
        </w:tc>
        <w:tc>
          <w:tcPr>
            <w:tcW w:w="2979" w:type="dxa"/>
          </w:tcPr>
          <w:p>
            <w:pPr>
              <w:pStyle w:val="Table"/>
              <w:spacing w:before="0"/>
              <w:rPr>
                <w:sz w:val="20"/>
              </w:rPr>
            </w:pPr>
            <w:r>
              <w:rPr>
                <w:sz w:val="20"/>
              </w:rPr>
              <w:t>A Grade</w:t>
            </w:r>
          </w:p>
          <w:p>
            <w:pPr>
              <w:pStyle w:val="Table"/>
              <w:spacing w:before="0"/>
              <w:rPr>
                <w:sz w:val="20"/>
              </w:rPr>
            </w:pPr>
            <w:r>
              <w:rPr>
                <w:sz w:val="20"/>
              </w:rPr>
              <w:t>Electrical Fitter</w:t>
            </w:r>
          </w:p>
          <w:p>
            <w:pPr>
              <w:pStyle w:val="Table"/>
              <w:spacing w:before="0"/>
              <w:rPr>
                <w:sz w:val="20"/>
              </w:rPr>
            </w:pPr>
            <w:r>
              <w:rPr>
                <w:sz w:val="20"/>
              </w:rPr>
              <w:t>Electrical Mechanic</w:t>
            </w:r>
          </w:p>
        </w:tc>
      </w:tr>
      <w:tr>
        <w:tc>
          <w:tcPr>
            <w:tcW w:w="3683" w:type="dxa"/>
          </w:tcPr>
          <w:p>
            <w:pPr>
              <w:pStyle w:val="Table"/>
              <w:spacing w:before="0"/>
              <w:rPr>
                <w:sz w:val="20"/>
              </w:rPr>
            </w:pPr>
            <w:r>
              <w:rPr>
                <w:sz w:val="20"/>
              </w:rPr>
              <w:t>Special Electrical Worker’s Permit</w:t>
            </w:r>
          </w:p>
          <w:p>
            <w:pPr>
              <w:pStyle w:val="Table"/>
              <w:spacing w:before="0"/>
              <w:rPr>
                <w:sz w:val="20"/>
              </w:rPr>
            </w:pPr>
            <w:r>
              <w:rPr>
                <w:sz w:val="20"/>
              </w:rPr>
              <w:t>Electrical Fitter</w:t>
            </w:r>
          </w:p>
        </w:tc>
        <w:tc>
          <w:tcPr>
            <w:tcW w:w="2979" w:type="dxa"/>
          </w:tcPr>
          <w:p>
            <w:pPr>
              <w:pStyle w:val="Table"/>
              <w:spacing w:before="0"/>
              <w:rPr>
                <w:sz w:val="20"/>
              </w:rPr>
            </w:pPr>
            <w:r>
              <w:rPr>
                <w:sz w:val="20"/>
              </w:rPr>
              <w:t>A Grade</w:t>
            </w:r>
          </w:p>
          <w:p>
            <w:pPr>
              <w:pStyle w:val="Table"/>
              <w:spacing w:before="0"/>
              <w:rPr>
                <w:sz w:val="20"/>
              </w:rPr>
            </w:pPr>
            <w:r>
              <w:rPr>
                <w:sz w:val="20"/>
              </w:rPr>
              <w:t>Electrical Fitter</w:t>
            </w:r>
          </w:p>
        </w:tc>
      </w:tr>
      <w:tr>
        <w:tc>
          <w:tcPr>
            <w:tcW w:w="3683" w:type="dxa"/>
          </w:tcPr>
          <w:p>
            <w:pPr>
              <w:pStyle w:val="Table"/>
              <w:keepNext/>
              <w:spacing w:before="0"/>
              <w:rPr>
                <w:sz w:val="20"/>
              </w:rPr>
            </w:pPr>
            <w:r>
              <w:rPr>
                <w:sz w:val="20"/>
              </w:rPr>
              <w:t>Special Electrical Worker’s Permit</w:t>
            </w:r>
          </w:p>
          <w:p>
            <w:pPr>
              <w:pStyle w:val="Table"/>
              <w:keepNext/>
              <w:spacing w:before="0"/>
              <w:rPr>
                <w:sz w:val="20"/>
              </w:rPr>
            </w:pPr>
            <w:r>
              <w:rPr>
                <w:sz w:val="20"/>
              </w:rPr>
              <w:t>Electrical Mechanic</w:t>
            </w:r>
          </w:p>
        </w:tc>
        <w:tc>
          <w:tcPr>
            <w:tcW w:w="2979" w:type="dxa"/>
          </w:tcPr>
          <w:p>
            <w:pPr>
              <w:pStyle w:val="Table"/>
              <w:keepNext/>
              <w:spacing w:before="0"/>
              <w:rPr>
                <w:sz w:val="20"/>
              </w:rPr>
            </w:pPr>
            <w:r>
              <w:rPr>
                <w:sz w:val="20"/>
              </w:rPr>
              <w:t>A Grade</w:t>
            </w:r>
          </w:p>
          <w:p>
            <w:pPr>
              <w:pStyle w:val="Table"/>
              <w:keepNext/>
              <w:spacing w:before="0"/>
              <w:rPr>
                <w:sz w:val="20"/>
              </w:rPr>
            </w:pPr>
            <w:r>
              <w:rPr>
                <w:sz w:val="20"/>
              </w:rPr>
              <w:t>Electrical Mechanic</w:t>
            </w:r>
          </w:p>
        </w:tc>
      </w:tr>
      <w:tr>
        <w:tc>
          <w:tcPr>
            <w:tcW w:w="3683" w:type="dxa"/>
          </w:tcPr>
          <w:p>
            <w:pPr>
              <w:pStyle w:val="Table"/>
              <w:spacing w:before="0"/>
              <w:rPr>
                <w:sz w:val="20"/>
              </w:rPr>
            </w:pPr>
            <w:r>
              <w:rPr>
                <w:sz w:val="20"/>
              </w:rPr>
              <w:t>Special Electrical Worker’s Permit</w:t>
            </w:r>
          </w:p>
          <w:p>
            <w:pPr>
              <w:pStyle w:val="Table"/>
              <w:keepNext/>
              <w:keepLines/>
              <w:spacing w:before="0"/>
              <w:rPr>
                <w:sz w:val="20"/>
              </w:rPr>
            </w:pPr>
            <w:r>
              <w:rPr>
                <w:sz w:val="20"/>
              </w:rPr>
              <w:t>Electrical Fitter</w:t>
            </w:r>
          </w:p>
          <w:p>
            <w:pPr>
              <w:pStyle w:val="Table"/>
              <w:keepNext/>
              <w:keepLines/>
              <w:spacing w:before="0"/>
              <w:rPr>
                <w:sz w:val="20"/>
              </w:rPr>
            </w:pPr>
            <w:r>
              <w:rPr>
                <w:sz w:val="20"/>
              </w:rPr>
              <w:t>Electrical Mechanic</w:t>
            </w:r>
          </w:p>
        </w:tc>
        <w:tc>
          <w:tcPr>
            <w:tcW w:w="2979" w:type="dxa"/>
          </w:tcPr>
          <w:p>
            <w:pPr>
              <w:pStyle w:val="Table"/>
              <w:keepNext/>
              <w:keepLines/>
              <w:spacing w:before="0"/>
              <w:rPr>
                <w:sz w:val="20"/>
              </w:rPr>
            </w:pPr>
            <w:r>
              <w:rPr>
                <w:sz w:val="20"/>
              </w:rPr>
              <w:t>A Grade</w:t>
            </w:r>
          </w:p>
          <w:p>
            <w:pPr>
              <w:pStyle w:val="Table"/>
              <w:keepNext/>
              <w:keepLines/>
              <w:spacing w:before="0"/>
              <w:rPr>
                <w:sz w:val="20"/>
              </w:rPr>
            </w:pPr>
            <w:r>
              <w:rPr>
                <w:sz w:val="20"/>
              </w:rPr>
              <w:t>Electrical Fitter</w:t>
            </w:r>
          </w:p>
          <w:p>
            <w:pPr>
              <w:pStyle w:val="Table"/>
              <w:keepNext/>
              <w:keepLines/>
              <w:spacing w:before="0"/>
              <w:rPr>
                <w:sz w:val="20"/>
              </w:rPr>
            </w:pPr>
            <w:r>
              <w:rPr>
                <w:sz w:val="20"/>
              </w:rPr>
              <w:t>Electrical Mechanic</w:t>
            </w:r>
          </w:p>
        </w:tc>
      </w:tr>
      <w:tr>
        <w:tc>
          <w:tcPr>
            <w:tcW w:w="3683" w:type="dxa"/>
          </w:tcPr>
          <w:p>
            <w:pPr>
              <w:pStyle w:val="Table"/>
              <w:spacing w:before="0"/>
              <w:rPr>
                <w:sz w:val="20"/>
              </w:rPr>
            </w:pPr>
            <w:r>
              <w:rPr>
                <w:sz w:val="20"/>
              </w:rPr>
              <w:t>Electrical Worker’s Licence endorsed</w:t>
            </w:r>
          </w:p>
          <w:p>
            <w:pPr>
              <w:pStyle w:val="Table"/>
              <w:spacing w:before="0"/>
              <w:rPr>
                <w:sz w:val="20"/>
              </w:rPr>
            </w:pPr>
            <w:r>
              <w:rPr>
                <w:sz w:val="20"/>
              </w:rPr>
              <w:t>for Fitter Employee</w:t>
            </w:r>
          </w:p>
          <w:p>
            <w:pPr>
              <w:pStyle w:val="Table"/>
              <w:spacing w:before="0"/>
              <w:rPr>
                <w:sz w:val="20"/>
              </w:rPr>
            </w:pPr>
            <w:r>
              <w:rPr>
                <w:sz w:val="20"/>
              </w:rPr>
              <w:t>B Grade</w:t>
            </w:r>
          </w:p>
        </w:tc>
        <w:tc>
          <w:tcPr>
            <w:tcW w:w="2979" w:type="dxa"/>
          </w:tcPr>
          <w:p>
            <w:pPr>
              <w:pStyle w:val="Table"/>
              <w:spacing w:before="0"/>
              <w:rPr>
                <w:sz w:val="20"/>
              </w:rPr>
            </w:pPr>
            <w:r>
              <w:rPr>
                <w:sz w:val="20"/>
              </w:rPr>
              <w:t>B Grade</w:t>
            </w:r>
          </w:p>
          <w:p>
            <w:pPr>
              <w:pStyle w:val="Table"/>
              <w:spacing w:before="0"/>
              <w:rPr>
                <w:sz w:val="20"/>
              </w:rPr>
            </w:pPr>
            <w:r>
              <w:rPr>
                <w:sz w:val="20"/>
              </w:rPr>
              <w:t>Electrical Fitter</w:t>
            </w:r>
          </w:p>
        </w:tc>
      </w:tr>
      <w:tr>
        <w:tc>
          <w:tcPr>
            <w:tcW w:w="3683" w:type="dxa"/>
          </w:tcPr>
          <w:p>
            <w:pPr>
              <w:pStyle w:val="Table"/>
              <w:spacing w:before="0"/>
              <w:rPr>
                <w:sz w:val="20"/>
              </w:rPr>
            </w:pPr>
            <w:r>
              <w:rPr>
                <w:sz w:val="20"/>
              </w:rPr>
              <w:t>Electrical Worker’s Licence endorsed</w:t>
            </w:r>
          </w:p>
          <w:p>
            <w:pPr>
              <w:pStyle w:val="Table"/>
              <w:spacing w:before="0"/>
              <w:rPr>
                <w:sz w:val="20"/>
              </w:rPr>
            </w:pPr>
            <w:r>
              <w:rPr>
                <w:sz w:val="20"/>
              </w:rPr>
              <w:t>for Mechanic Employee (Installer)</w:t>
            </w:r>
          </w:p>
          <w:p>
            <w:pPr>
              <w:pStyle w:val="Table"/>
              <w:spacing w:before="0"/>
              <w:rPr>
                <w:sz w:val="20"/>
              </w:rPr>
            </w:pPr>
            <w:r>
              <w:rPr>
                <w:sz w:val="20"/>
              </w:rPr>
              <w:t>B Grade</w:t>
            </w:r>
          </w:p>
        </w:tc>
        <w:tc>
          <w:tcPr>
            <w:tcW w:w="2979" w:type="dxa"/>
          </w:tcPr>
          <w:p>
            <w:pPr>
              <w:pStyle w:val="Table"/>
              <w:spacing w:before="0"/>
              <w:rPr>
                <w:sz w:val="20"/>
              </w:rPr>
            </w:pPr>
            <w:r>
              <w:rPr>
                <w:sz w:val="20"/>
              </w:rPr>
              <w:t>B Grade</w:t>
            </w:r>
          </w:p>
          <w:p>
            <w:pPr>
              <w:pStyle w:val="Table"/>
              <w:spacing w:before="0"/>
              <w:rPr>
                <w:sz w:val="20"/>
              </w:rPr>
            </w:pPr>
            <w:r>
              <w:rPr>
                <w:sz w:val="20"/>
              </w:rPr>
              <w:t>Electrical Mechanic</w:t>
            </w:r>
          </w:p>
        </w:tc>
      </w:tr>
      <w:tr>
        <w:tc>
          <w:tcPr>
            <w:tcW w:w="3683" w:type="dxa"/>
          </w:tcPr>
          <w:p>
            <w:pPr>
              <w:pStyle w:val="Table"/>
              <w:spacing w:before="0"/>
              <w:rPr>
                <w:sz w:val="20"/>
              </w:rPr>
            </w:pPr>
            <w:r>
              <w:rPr>
                <w:sz w:val="20"/>
              </w:rPr>
              <w:t>Electrical Worker’s Licence</w:t>
            </w:r>
          </w:p>
          <w:p>
            <w:pPr>
              <w:pStyle w:val="Table"/>
              <w:spacing w:before="0"/>
              <w:rPr>
                <w:sz w:val="20"/>
              </w:rPr>
            </w:pPr>
            <w:r>
              <w:rPr>
                <w:sz w:val="20"/>
              </w:rPr>
              <w:t>C Grade</w:t>
            </w:r>
          </w:p>
        </w:tc>
        <w:tc>
          <w:tcPr>
            <w:tcW w:w="2979" w:type="dxa"/>
          </w:tcPr>
          <w:p>
            <w:pPr>
              <w:pStyle w:val="Table"/>
              <w:spacing w:before="0"/>
              <w:rPr>
                <w:sz w:val="20"/>
              </w:rPr>
            </w:pPr>
            <w:r>
              <w:rPr>
                <w:sz w:val="20"/>
              </w:rPr>
              <w:t>C Grade</w:t>
            </w:r>
          </w:p>
        </w:tc>
      </w:tr>
      <w:tr>
        <w:tc>
          <w:tcPr>
            <w:tcW w:w="3683" w:type="dxa"/>
          </w:tcPr>
          <w:p>
            <w:pPr>
              <w:pStyle w:val="Table"/>
              <w:spacing w:before="0"/>
              <w:rPr>
                <w:sz w:val="20"/>
              </w:rPr>
            </w:pPr>
            <w:r>
              <w:rPr>
                <w:sz w:val="20"/>
              </w:rPr>
              <w:t>Restricted R</w:t>
            </w:r>
          </w:p>
        </w:tc>
        <w:tc>
          <w:tcPr>
            <w:tcW w:w="2979" w:type="dxa"/>
          </w:tcPr>
          <w:p>
            <w:pPr>
              <w:pStyle w:val="Table"/>
              <w:spacing w:before="0"/>
              <w:rPr>
                <w:sz w:val="20"/>
              </w:rPr>
            </w:pPr>
            <w:r>
              <w:rPr>
                <w:sz w:val="20"/>
              </w:rPr>
              <w:t>Restricted</w:t>
            </w:r>
          </w:p>
        </w:tc>
      </w:tr>
      <w:tr>
        <w:tc>
          <w:tcPr>
            <w:tcW w:w="3683" w:type="dxa"/>
          </w:tcPr>
          <w:p>
            <w:pPr>
              <w:pStyle w:val="Table"/>
              <w:spacing w:before="0"/>
              <w:rPr>
                <w:sz w:val="20"/>
              </w:rPr>
            </w:pPr>
            <w:r>
              <w:rPr>
                <w:sz w:val="20"/>
              </w:rPr>
              <w:t>Restricted (Limited L)</w:t>
            </w:r>
          </w:p>
        </w:tc>
        <w:tc>
          <w:tcPr>
            <w:tcW w:w="2979" w:type="dxa"/>
          </w:tcPr>
          <w:p>
            <w:pPr>
              <w:pStyle w:val="Table"/>
              <w:spacing w:before="0"/>
              <w:rPr>
                <w:sz w:val="20"/>
              </w:rPr>
            </w:pPr>
            <w:r>
              <w:rPr>
                <w:sz w:val="20"/>
              </w:rPr>
              <w:t>Limited</w:t>
            </w:r>
          </w:p>
        </w:tc>
      </w:tr>
      <w:tr>
        <w:tc>
          <w:tcPr>
            <w:tcW w:w="3683" w:type="dxa"/>
          </w:tcPr>
          <w:p>
            <w:pPr>
              <w:pStyle w:val="Table"/>
              <w:spacing w:before="0"/>
              <w:rPr>
                <w:sz w:val="20"/>
              </w:rPr>
            </w:pPr>
            <w:r>
              <w:rPr>
                <w:sz w:val="20"/>
              </w:rPr>
              <w:t>Electrical Worker’s Permit</w:t>
            </w:r>
          </w:p>
          <w:p>
            <w:pPr>
              <w:pStyle w:val="Table"/>
              <w:spacing w:before="0"/>
              <w:rPr>
                <w:sz w:val="20"/>
              </w:rPr>
            </w:pPr>
            <w:r>
              <w:rPr>
                <w:sz w:val="20"/>
              </w:rPr>
              <w:t>Determined according to</w:t>
            </w:r>
          </w:p>
          <w:p>
            <w:pPr>
              <w:pStyle w:val="Table"/>
              <w:spacing w:before="0"/>
              <w:rPr>
                <w:sz w:val="20"/>
              </w:rPr>
            </w:pPr>
            <w:r>
              <w:rPr>
                <w:sz w:val="20"/>
              </w:rPr>
              <w:t>the condition as stated</w:t>
            </w:r>
          </w:p>
        </w:tc>
        <w:tc>
          <w:tcPr>
            <w:tcW w:w="2979" w:type="dxa"/>
          </w:tcPr>
          <w:p>
            <w:pPr>
              <w:pStyle w:val="Table"/>
              <w:keepNext/>
              <w:spacing w:before="0"/>
              <w:rPr>
                <w:sz w:val="20"/>
              </w:rPr>
            </w:pPr>
            <w:r>
              <w:rPr>
                <w:sz w:val="20"/>
              </w:rPr>
              <w:t>Permit</w:t>
            </w:r>
          </w:p>
          <w:p>
            <w:pPr>
              <w:pStyle w:val="Table"/>
              <w:keepNext/>
              <w:spacing w:before="0"/>
              <w:rPr>
                <w:sz w:val="20"/>
              </w:rPr>
            </w:pPr>
            <w:r>
              <w:rPr>
                <w:sz w:val="20"/>
              </w:rPr>
              <w:t>Subject to same</w:t>
            </w:r>
          </w:p>
          <w:p>
            <w:pPr>
              <w:pStyle w:val="Table"/>
              <w:keepNext/>
              <w:spacing w:before="0"/>
              <w:rPr>
                <w:sz w:val="20"/>
              </w:rPr>
            </w:pPr>
            <w:r>
              <w:rPr>
                <w:sz w:val="20"/>
              </w:rPr>
              <w:t>limitations and</w:t>
            </w:r>
          </w:p>
          <w:p>
            <w:pPr>
              <w:pStyle w:val="Table"/>
              <w:spacing w:before="0"/>
              <w:rPr>
                <w:sz w:val="20"/>
              </w:rPr>
            </w:pPr>
            <w:r>
              <w:rPr>
                <w:sz w:val="20"/>
              </w:rPr>
              <w:t>expiry date</w:t>
            </w:r>
          </w:p>
        </w:tc>
      </w:tr>
      <w:tr>
        <w:tc>
          <w:tcPr>
            <w:tcW w:w="3683" w:type="dxa"/>
          </w:tcPr>
          <w:p>
            <w:pPr>
              <w:pStyle w:val="Table"/>
              <w:spacing w:before="0"/>
              <w:rPr>
                <w:sz w:val="20"/>
              </w:rPr>
            </w:pPr>
            <w:r>
              <w:rPr>
                <w:sz w:val="20"/>
              </w:rPr>
              <w:t>Electrical Contractor’s Licence</w:t>
            </w:r>
          </w:p>
        </w:tc>
        <w:tc>
          <w:tcPr>
            <w:tcW w:w="2979" w:type="dxa"/>
          </w:tcPr>
          <w:p>
            <w:pPr>
              <w:pStyle w:val="Table"/>
              <w:spacing w:before="0"/>
              <w:rPr>
                <w:sz w:val="20"/>
              </w:rPr>
            </w:pPr>
            <w:r>
              <w:rPr>
                <w:sz w:val="20"/>
              </w:rPr>
              <w:t>Electrical Contractor’s Licence</w:t>
            </w:r>
          </w:p>
        </w:tc>
      </w:tr>
    </w:tbl>
    <w:p>
      <w:pPr>
        <w:pStyle w:val="Footnotesection"/>
      </w:pPr>
      <w:r>
        <w:tab/>
        <w:t xml:space="preserve">[Regulation 67 corrigendum in Gazette 1 Nov 1991 p. 5665; amended in Gazette 6 Sep 1996 p. 4419.]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21" w:name="_Toc92790682"/>
      <w:bookmarkStart w:id="322" w:name="_Toc92965311"/>
      <w:bookmarkStart w:id="323" w:name="_Toc112151135"/>
      <w:r>
        <w:rPr>
          <w:rStyle w:val="CharSchNo"/>
        </w:rPr>
        <w:t>Schedule 1</w:t>
      </w:r>
      <w:bookmarkEnd w:id="321"/>
      <w:bookmarkEnd w:id="322"/>
      <w:bookmarkEnd w:id="323"/>
      <w:r>
        <w:rPr>
          <w:rStyle w:val="CharSchText"/>
        </w:rPr>
        <w:t xml:space="preserve"> </w:t>
      </w:r>
    </w:p>
    <w:p>
      <w:pPr>
        <w:pStyle w:val="yShoulderClause"/>
        <w:rPr>
          <w:snapToGrid w:val="0"/>
        </w:rPr>
      </w:pPr>
      <w:r>
        <w:rPr>
          <w:snapToGrid w:val="0"/>
        </w:rPr>
        <w:t>[Reg. 64]</w:t>
      </w:r>
    </w:p>
    <w:p>
      <w:pPr>
        <w:pStyle w:val="yMiscellaneousHeading"/>
        <w:rPr>
          <w:b/>
          <w:snapToGrid w:val="0"/>
          <w:sz w:val="24"/>
        </w:rPr>
      </w:pPr>
      <w:r>
        <w:rPr>
          <w:b/>
          <w:snapToGrid w:val="0"/>
          <w:sz w:val="24"/>
        </w:rPr>
        <w:t>Fees</w:t>
      </w:r>
    </w:p>
    <w:tbl>
      <w:tblPr>
        <w:tblW w:w="0" w:type="auto"/>
        <w:tblInd w:w="142" w:type="dxa"/>
        <w:tblLayout w:type="fixed"/>
        <w:tblCellMar>
          <w:left w:w="142" w:type="dxa"/>
          <w:right w:w="142" w:type="dxa"/>
        </w:tblCellMar>
        <w:tblLook w:val="0000" w:firstRow="0" w:lastRow="0" w:firstColumn="0" w:lastColumn="0" w:noHBand="0" w:noVBand="0"/>
      </w:tblPr>
      <w:tblGrid>
        <w:gridCol w:w="5669"/>
        <w:gridCol w:w="1418"/>
      </w:tblGrid>
      <w:tr>
        <w:tc>
          <w:tcPr>
            <w:tcW w:w="5669" w:type="dxa"/>
          </w:tcPr>
          <w:p>
            <w:pPr>
              <w:pStyle w:val="yTable"/>
              <w:spacing w:before="0"/>
            </w:pPr>
          </w:p>
        </w:tc>
        <w:tc>
          <w:tcPr>
            <w:tcW w:w="1418" w:type="dxa"/>
          </w:tcPr>
          <w:p>
            <w:pPr>
              <w:pStyle w:val="yTable"/>
              <w:spacing w:before="0"/>
              <w:jc w:val="center"/>
            </w:pPr>
            <w:r>
              <w:t>$</w:t>
            </w:r>
          </w:p>
        </w:tc>
      </w:tr>
      <w:tr>
        <w:tc>
          <w:tcPr>
            <w:tcW w:w="5669" w:type="dxa"/>
          </w:tcPr>
          <w:p>
            <w:pPr>
              <w:pStyle w:val="yTable"/>
              <w:spacing w:before="0"/>
            </w:pPr>
            <w:r>
              <w:t>1.</w:t>
            </w:r>
            <w:r>
              <w:tab/>
              <w:t>Licences and permits under Part 3 — </w:t>
            </w:r>
          </w:p>
        </w:tc>
        <w:tc>
          <w:tcPr>
            <w:tcW w:w="1418" w:type="dxa"/>
          </w:tcPr>
          <w:p>
            <w:pPr>
              <w:pStyle w:val="yTable"/>
              <w:spacing w:before="0"/>
            </w:pPr>
          </w:p>
        </w:tc>
      </w:tr>
      <w:tr>
        <w:tc>
          <w:tcPr>
            <w:tcW w:w="5669" w:type="dxa"/>
          </w:tcPr>
          <w:p>
            <w:pPr>
              <w:pStyle w:val="yTable"/>
              <w:spacing w:before="0"/>
            </w:pPr>
            <w:r>
              <w:tab/>
              <w:t>(a)</w:t>
            </w:r>
            <w:r>
              <w:tab/>
              <w:t>Application for licence or permit ..................</w:t>
            </w:r>
          </w:p>
        </w:tc>
        <w:tc>
          <w:tcPr>
            <w:tcW w:w="1418" w:type="dxa"/>
          </w:tcPr>
          <w:p>
            <w:pPr>
              <w:pStyle w:val="yTable"/>
              <w:spacing w:before="0"/>
              <w:jc w:val="center"/>
            </w:pPr>
            <w:r>
              <w:t>33</w:t>
            </w:r>
          </w:p>
        </w:tc>
      </w:tr>
      <w:tr>
        <w:tc>
          <w:tcPr>
            <w:tcW w:w="5669" w:type="dxa"/>
          </w:tcPr>
          <w:p>
            <w:pPr>
              <w:pStyle w:val="yTable"/>
              <w:spacing w:before="0"/>
              <w:ind w:left="720"/>
            </w:pPr>
            <w:r>
              <w:t>(b)</w:t>
            </w:r>
            <w:r>
              <w:tab/>
              <w:t xml:space="preserve">Registration of licence holder or permit or </w:t>
            </w:r>
            <w:r>
              <w:tab/>
              <w:t>renewal of registration (for each year) .........</w:t>
            </w:r>
          </w:p>
        </w:tc>
        <w:tc>
          <w:tcPr>
            <w:tcW w:w="1418" w:type="dxa"/>
          </w:tcPr>
          <w:p>
            <w:pPr>
              <w:pStyle w:val="yTable"/>
              <w:spacing w:before="0"/>
              <w:jc w:val="center"/>
            </w:pPr>
            <w:r>
              <w:br/>
              <w:t>56</w:t>
            </w:r>
          </w:p>
        </w:tc>
      </w:tr>
      <w:tr>
        <w:tc>
          <w:tcPr>
            <w:tcW w:w="5669" w:type="dxa"/>
          </w:tcPr>
          <w:p>
            <w:pPr>
              <w:pStyle w:val="yTable"/>
              <w:spacing w:before="0"/>
            </w:pPr>
            <w:r>
              <w:tab/>
              <w:t>(c)</w:t>
            </w:r>
            <w:r>
              <w:tab/>
              <w:t xml:space="preserve">Copy of licence, permit or certificate of </w:t>
            </w:r>
            <w:r>
              <w:tab/>
            </w:r>
            <w:r>
              <w:tab/>
            </w:r>
            <w:r>
              <w:tab/>
              <w:t>registration ....................................................</w:t>
            </w:r>
          </w:p>
        </w:tc>
        <w:tc>
          <w:tcPr>
            <w:tcW w:w="1418" w:type="dxa"/>
          </w:tcPr>
          <w:p>
            <w:pPr>
              <w:pStyle w:val="yTable"/>
              <w:spacing w:before="0"/>
              <w:jc w:val="center"/>
            </w:pPr>
            <w:r>
              <w:br/>
              <w:t>7</w:t>
            </w:r>
          </w:p>
        </w:tc>
      </w:tr>
      <w:tr>
        <w:tc>
          <w:tcPr>
            <w:tcW w:w="5669" w:type="dxa"/>
          </w:tcPr>
          <w:p>
            <w:pPr>
              <w:pStyle w:val="yTable"/>
              <w:spacing w:before="0"/>
            </w:pPr>
            <w:r>
              <w:tab/>
              <w:t>(d)</w:t>
            </w:r>
            <w:r>
              <w:tab/>
              <w:t xml:space="preserve">Application for restoration of name to </w:t>
            </w:r>
            <w:r>
              <w:tab/>
            </w:r>
            <w:r>
              <w:tab/>
            </w:r>
            <w:r>
              <w:tab/>
              <w:t>register (failure to renew) .............................</w:t>
            </w:r>
          </w:p>
        </w:tc>
        <w:tc>
          <w:tcPr>
            <w:tcW w:w="1418" w:type="dxa"/>
          </w:tcPr>
          <w:p>
            <w:pPr>
              <w:pStyle w:val="yTable"/>
              <w:spacing w:before="0"/>
              <w:jc w:val="center"/>
            </w:pPr>
            <w:r>
              <w:br/>
              <w:t>25</w:t>
            </w:r>
          </w:p>
        </w:tc>
      </w:tr>
      <w:tr>
        <w:tc>
          <w:tcPr>
            <w:tcW w:w="5669" w:type="dxa"/>
          </w:tcPr>
          <w:p>
            <w:pPr>
              <w:pStyle w:val="yTable"/>
            </w:pPr>
            <w:r>
              <w:t>2.</w:t>
            </w:r>
            <w:r>
              <w:tab/>
              <w:t>Licences under Part 4 — </w:t>
            </w:r>
          </w:p>
        </w:tc>
        <w:tc>
          <w:tcPr>
            <w:tcW w:w="1418" w:type="dxa"/>
          </w:tcPr>
          <w:p>
            <w:pPr>
              <w:pStyle w:val="yTable"/>
            </w:pPr>
          </w:p>
        </w:tc>
      </w:tr>
      <w:tr>
        <w:tc>
          <w:tcPr>
            <w:tcW w:w="5669" w:type="dxa"/>
          </w:tcPr>
          <w:p>
            <w:pPr>
              <w:pStyle w:val="yTable"/>
              <w:spacing w:before="0"/>
            </w:pPr>
            <w:r>
              <w:tab/>
              <w:t>(a)</w:t>
            </w:r>
            <w:r>
              <w:tab/>
              <w:t>Application for licence .................................</w:t>
            </w:r>
          </w:p>
        </w:tc>
        <w:tc>
          <w:tcPr>
            <w:tcW w:w="1418" w:type="dxa"/>
          </w:tcPr>
          <w:p>
            <w:pPr>
              <w:pStyle w:val="yTable"/>
              <w:spacing w:before="0"/>
              <w:jc w:val="center"/>
            </w:pPr>
            <w:r>
              <w:t>64</w:t>
            </w:r>
          </w:p>
        </w:tc>
      </w:tr>
      <w:tr>
        <w:tc>
          <w:tcPr>
            <w:tcW w:w="5669" w:type="dxa"/>
          </w:tcPr>
          <w:p>
            <w:pPr>
              <w:pStyle w:val="yTable"/>
              <w:spacing w:before="0"/>
            </w:pPr>
            <w:r>
              <w:tab/>
              <w:t>(b)</w:t>
            </w:r>
            <w:r>
              <w:tab/>
              <w:t xml:space="preserve">Registration or renewal of registration of a </w:t>
            </w:r>
            <w:r>
              <w:tab/>
            </w:r>
            <w:r>
              <w:tab/>
              <w:t>contractor ......................................................</w:t>
            </w:r>
          </w:p>
        </w:tc>
        <w:tc>
          <w:tcPr>
            <w:tcW w:w="1418" w:type="dxa"/>
          </w:tcPr>
          <w:p>
            <w:pPr>
              <w:pStyle w:val="yTable"/>
              <w:spacing w:before="0"/>
              <w:jc w:val="center"/>
            </w:pPr>
            <w:r>
              <w:br/>
              <w:t>340</w:t>
            </w:r>
          </w:p>
        </w:tc>
      </w:tr>
      <w:tr>
        <w:tc>
          <w:tcPr>
            <w:tcW w:w="5669" w:type="dxa"/>
          </w:tcPr>
          <w:p>
            <w:pPr>
              <w:pStyle w:val="yTable"/>
              <w:spacing w:before="0"/>
            </w:pPr>
            <w:r>
              <w:tab/>
              <w:t>(c)</w:t>
            </w:r>
            <w:r>
              <w:tab/>
              <w:t xml:space="preserve">Registration or renewal of registration of </w:t>
            </w:r>
            <w:r>
              <w:tab/>
            </w:r>
            <w:r>
              <w:tab/>
              <w:t>in</w:t>
            </w:r>
            <w:r>
              <w:noBreakHyphen/>
              <w:t>house electrical installing work ...............</w:t>
            </w:r>
          </w:p>
        </w:tc>
        <w:tc>
          <w:tcPr>
            <w:tcW w:w="1418" w:type="dxa"/>
          </w:tcPr>
          <w:p>
            <w:pPr>
              <w:pStyle w:val="yTable"/>
              <w:spacing w:before="0"/>
              <w:jc w:val="center"/>
            </w:pPr>
            <w:r>
              <w:br/>
              <w:t>170</w:t>
            </w:r>
          </w:p>
        </w:tc>
      </w:tr>
      <w:tr>
        <w:tc>
          <w:tcPr>
            <w:tcW w:w="5669" w:type="dxa"/>
          </w:tcPr>
          <w:p>
            <w:pPr>
              <w:pStyle w:val="yTable"/>
              <w:spacing w:before="0"/>
            </w:pPr>
            <w:r>
              <w:tab/>
              <w:t>(d)</w:t>
            </w:r>
            <w:r>
              <w:tab/>
              <w:t xml:space="preserve">Copy of licence or certificate of registration </w:t>
            </w:r>
          </w:p>
        </w:tc>
        <w:tc>
          <w:tcPr>
            <w:tcW w:w="1418" w:type="dxa"/>
          </w:tcPr>
          <w:p>
            <w:pPr>
              <w:pStyle w:val="yTable"/>
              <w:spacing w:before="0"/>
              <w:jc w:val="center"/>
            </w:pPr>
            <w:r>
              <w:t>24</w:t>
            </w:r>
          </w:p>
        </w:tc>
      </w:tr>
      <w:tr>
        <w:tc>
          <w:tcPr>
            <w:tcW w:w="5669" w:type="dxa"/>
          </w:tcPr>
          <w:p>
            <w:pPr>
              <w:pStyle w:val="yTable"/>
              <w:spacing w:before="0"/>
            </w:pPr>
            <w:r>
              <w:tab/>
              <w:t>(e)</w:t>
            </w:r>
            <w:r>
              <w:tab/>
              <w:t>Extract of register .........................................</w:t>
            </w:r>
          </w:p>
        </w:tc>
        <w:tc>
          <w:tcPr>
            <w:tcW w:w="1418" w:type="dxa"/>
          </w:tcPr>
          <w:p>
            <w:pPr>
              <w:pStyle w:val="yTable"/>
              <w:spacing w:before="0"/>
              <w:jc w:val="center"/>
            </w:pPr>
            <w:r>
              <w:t>24</w:t>
            </w:r>
          </w:p>
        </w:tc>
      </w:tr>
      <w:tr>
        <w:tc>
          <w:tcPr>
            <w:tcW w:w="5669" w:type="dxa"/>
          </w:tcPr>
          <w:p>
            <w:pPr>
              <w:pStyle w:val="yTable"/>
              <w:spacing w:before="0"/>
            </w:pPr>
            <w:r>
              <w:tab/>
              <w:t>(f)</w:t>
            </w:r>
            <w:r>
              <w:tab/>
              <w:t>Copy of register (if available) .......................</w:t>
            </w:r>
          </w:p>
        </w:tc>
        <w:tc>
          <w:tcPr>
            <w:tcW w:w="1418" w:type="dxa"/>
          </w:tcPr>
          <w:p>
            <w:pPr>
              <w:pStyle w:val="yTable"/>
              <w:spacing w:before="0"/>
              <w:jc w:val="center"/>
            </w:pPr>
            <w:r>
              <w:t>50</w:t>
            </w:r>
          </w:p>
        </w:tc>
      </w:tr>
      <w:tr>
        <w:tc>
          <w:tcPr>
            <w:tcW w:w="5669" w:type="dxa"/>
          </w:tcPr>
          <w:p>
            <w:pPr>
              <w:pStyle w:val="yTable"/>
              <w:spacing w:before="0"/>
            </w:pPr>
            <w:r>
              <w:tab/>
              <w:t>(g)</w:t>
            </w:r>
            <w:r>
              <w:tab/>
              <w:t xml:space="preserve">Application for restoration of name to </w:t>
            </w:r>
            <w:r>
              <w:tab/>
            </w:r>
            <w:r>
              <w:tab/>
            </w:r>
            <w:r>
              <w:tab/>
              <w:t>register (failure to renew) .............................</w:t>
            </w:r>
          </w:p>
        </w:tc>
        <w:tc>
          <w:tcPr>
            <w:tcW w:w="1418" w:type="dxa"/>
          </w:tcPr>
          <w:p>
            <w:pPr>
              <w:pStyle w:val="yTable"/>
              <w:spacing w:before="0"/>
              <w:jc w:val="center"/>
            </w:pPr>
            <w:r>
              <w:br/>
              <w:t>25</w:t>
            </w:r>
          </w:p>
        </w:tc>
      </w:tr>
      <w:tr>
        <w:tc>
          <w:tcPr>
            <w:tcW w:w="5669" w:type="dxa"/>
          </w:tcPr>
          <w:p>
            <w:pPr>
              <w:pStyle w:val="yTable"/>
              <w:tabs>
                <w:tab w:val="left" w:pos="0"/>
              </w:tabs>
            </w:pPr>
            <w:r>
              <w:t>3.</w:t>
            </w:r>
            <w:r>
              <w:tab/>
              <w:t>Further inspection ......................................................</w:t>
            </w:r>
          </w:p>
        </w:tc>
        <w:tc>
          <w:tcPr>
            <w:tcW w:w="1418" w:type="dxa"/>
          </w:tcPr>
          <w:p>
            <w:pPr>
              <w:pStyle w:val="yTable"/>
              <w:jc w:val="center"/>
            </w:pPr>
            <w:r>
              <w:t>70</w:t>
            </w:r>
          </w:p>
        </w:tc>
      </w:tr>
    </w:tbl>
    <w:p>
      <w:pPr>
        <w:pStyle w:val="yFootnotesection"/>
      </w:pPr>
      <w:r>
        <w:tab/>
        <w:t>[Schedule 1 inserted in Gazette 27 May 1994 p. 2243</w:t>
      </w:r>
      <w:r>
        <w:noBreakHyphen/>
        <w:t>4; amended in Gazette 24 Apr 1998 p. 2148; 28 May 1999 p. 2147; 2 May 2000 p. 2115</w:t>
      </w:r>
      <w:r>
        <w:noBreakHyphen/>
        <w:t>16; 23 Nov 2001 p. 6030; 31 Jan 2003 p. 279; 13 Jul 2004 p. 2822; 19 Aug 2005 p. 3866</w:t>
      </w:r>
      <w:r>
        <w:noBreakHyphen/>
        <w:t xml:space="preserve">7.] </w:t>
      </w:r>
    </w:p>
    <w:p>
      <w:pPr>
        <w:pStyle w:val="yEdnoteschedule"/>
      </w:pPr>
      <w:r>
        <w:t xml:space="preserve">[Schedule 2 repealed in Gazette 6 Sep 1996 p. 4419.]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outlineLvl w:val="2"/>
      </w:pPr>
      <w:bookmarkStart w:id="324" w:name="_Toc54672639"/>
      <w:bookmarkStart w:id="325" w:name="_Toc77479493"/>
      <w:bookmarkStart w:id="326" w:name="_Toc92790683"/>
      <w:bookmarkStart w:id="327" w:name="_Toc92790817"/>
      <w:bookmarkStart w:id="328" w:name="_Toc92965312"/>
      <w:bookmarkStart w:id="329" w:name="_Toc92965416"/>
      <w:bookmarkStart w:id="330" w:name="_Toc101593861"/>
      <w:bookmarkStart w:id="331" w:name="_Toc112133237"/>
      <w:bookmarkStart w:id="332" w:name="_Toc112151136"/>
      <w:r>
        <w:t>Notes</w:t>
      </w:r>
      <w:bookmarkEnd w:id="324"/>
      <w:bookmarkEnd w:id="325"/>
      <w:bookmarkEnd w:id="326"/>
      <w:bookmarkEnd w:id="327"/>
      <w:bookmarkEnd w:id="328"/>
      <w:bookmarkEnd w:id="329"/>
      <w:bookmarkEnd w:id="330"/>
      <w:bookmarkEnd w:id="331"/>
      <w:bookmarkEnd w:id="332"/>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(Licensing) Regulations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33" w:name="_Toc112151137"/>
      <w:r>
        <w:rPr>
          <w:snapToGrid w:val="0"/>
        </w:rPr>
        <w:t>Compilation table</w:t>
      </w:r>
      <w:bookmarkEnd w:id="33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Electricity (Licensing) Regulations 1991</w:t>
            </w:r>
          </w:p>
        </w:tc>
        <w:tc>
          <w:tcPr>
            <w:tcW w:w="1276" w:type="dxa"/>
          </w:tcPr>
          <w:p>
            <w:pPr>
              <w:pStyle w:val="nTable"/>
              <w:spacing w:after="40"/>
              <w:rPr>
                <w:sz w:val="19"/>
              </w:rPr>
            </w:pPr>
            <w:r>
              <w:rPr>
                <w:sz w:val="19"/>
              </w:rPr>
              <w:t>14 Oct 1991 p. 5249</w:t>
            </w:r>
            <w:r>
              <w:rPr>
                <w:sz w:val="19"/>
              </w:rPr>
              <w:noBreakHyphen/>
              <w:t>99</w:t>
            </w:r>
            <w:r>
              <w:rPr>
                <w:sz w:val="19"/>
              </w:rPr>
              <w:br/>
              <w:t>(Corrigendum 1 Nov 1991 p. 5665)</w:t>
            </w:r>
          </w:p>
        </w:tc>
        <w:tc>
          <w:tcPr>
            <w:tcW w:w="2693" w:type="dxa"/>
          </w:tcPr>
          <w:p>
            <w:pPr>
              <w:pStyle w:val="nTable"/>
              <w:spacing w:after="40"/>
              <w:rPr>
                <w:sz w:val="19"/>
              </w:rPr>
            </w:pPr>
            <w:r>
              <w:rPr>
                <w:sz w:val="19"/>
              </w:rPr>
              <w:t>1 Nov 1991 (see r. 2)</w:t>
            </w:r>
          </w:p>
        </w:tc>
      </w:tr>
      <w:tr>
        <w:tc>
          <w:tcPr>
            <w:tcW w:w="3118" w:type="dxa"/>
          </w:tcPr>
          <w:p>
            <w:pPr>
              <w:pStyle w:val="nTable"/>
              <w:spacing w:after="40"/>
              <w:rPr>
                <w:sz w:val="19"/>
              </w:rPr>
            </w:pPr>
            <w:r>
              <w:rPr>
                <w:i/>
                <w:sz w:val="19"/>
              </w:rPr>
              <w:t>Electricity (Licensing) Amendment Regulations 1992</w:t>
            </w:r>
          </w:p>
        </w:tc>
        <w:tc>
          <w:tcPr>
            <w:tcW w:w="1276" w:type="dxa"/>
          </w:tcPr>
          <w:p>
            <w:pPr>
              <w:pStyle w:val="nTable"/>
              <w:spacing w:after="40"/>
              <w:rPr>
                <w:sz w:val="19"/>
              </w:rPr>
            </w:pPr>
            <w:r>
              <w:rPr>
                <w:sz w:val="19"/>
              </w:rPr>
              <w:t>24 Apr 1992 p. 1728</w:t>
            </w:r>
            <w:r>
              <w:rPr>
                <w:sz w:val="19"/>
              </w:rPr>
              <w:noBreakHyphen/>
              <w:t>9</w:t>
            </w:r>
            <w:r>
              <w:rPr>
                <w:sz w:val="19"/>
              </w:rPr>
              <w:br/>
              <w:t xml:space="preserve">(Corrigendum 1 May 1992 p. 1863) </w:t>
            </w:r>
          </w:p>
        </w:tc>
        <w:tc>
          <w:tcPr>
            <w:tcW w:w="2693" w:type="dxa"/>
          </w:tcPr>
          <w:p>
            <w:pPr>
              <w:pStyle w:val="nTable"/>
              <w:spacing w:after="40"/>
              <w:rPr>
                <w:sz w:val="19"/>
              </w:rPr>
            </w:pPr>
            <w:r>
              <w:rPr>
                <w:sz w:val="19"/>
              </w:rPr>
              <w:t>1 May 1992 (see r. 2)</w:t>
            </w:r>
          </w:p>
        </w:tc>
      </w:tr>
      <w:tr>
        <w:tc>
          <w:tcPr>
            <w:tcW w:w="3118" w:type="dxa"/>
          </w:tcPr>
          <w:p>
            <w:pPr>
              <w:pStyle w:val="nTable"/>
              <w:spacing w:after="40"/>
              <w:rPr>
                <w:sz w:val="19"/>
              </w:rPr>
            </w:pPr>
            <w:r>
              <w:rPr>
                <w:i/>
                <w:sz w:val="19"/>
              </w:rPr>
              <w:t>Electricity (Licensing) Amendment Regulations 1994</w:t>
            </w:r>
          </w:p>
        </w:tc>
        <w:tc>
          <w:tcPr>
            <w:tcW w:w="1276" w:type="dxa"/>
          </w:tcPr>
          <w:p>
            <w:pPr>
              <w:pStyle w:val="nTable"/>
              <w:spacing w:after="40"/>
              <w:rPr>
                <w:sz w:val="19"/>
              </w:rPr>
            </w:pPr>
            <w:r>
              <w:rPr>
                <w:sz w:val="19"/>
              </w:rPr>
              <w:t>27 May 1994 p. 2243</w:t>
            </w:r>
            <w:r>
              <w:rPr>
                <w:sz w:val="19"/>
              </w:rPr>
              <w:noBreakHyphen/>
              <w:t>4</w:t>
            </w:r>
          </w:p>
        </w:tc>
        <w:tc>
          <w:tcPr>
            <w:tcW w:w="2693" w:type="dxa"/>
          </w:tcPr>
          <w:p>
            <w:pPr>
              <w:pStyle w:val="nTable"/>
              <w:spacing w:after="40"/>
              <w:rPr>
                <w:sz w:val="19"/>
              </w:rPr>
            </w:pPr>
            <w:r>
              <w:rPr>
                <w:sz w:val="19"/>
              </w:rPr>
              <w:t>27 May 1994</w:t>
            </w:r>
          </w:p>
        </w:tc>
      </w:tr>
      <w:tr>
        <w:tc>
          <w:tcPr>
            <w:tcW w:w="3118" w:type="dxa"/>
          </w:tcPr>
          <w:p>
            <w:pPr>
              <w:pStyle w:val="nTable"/>
              <w:spacing w:after="40"/>
              <w:rPr>
                <w:sz w:val="19"/>
              </w:rPr>
            </w:pPr>
            <w:r>
              <w:rPr>
                <w:i/>
                <w:sz w:val="19"/>
              </w:rPr>
              <w:t>Electricity (Licensing) Amendment Regulations 1995</w:t>
            </w:r>
          </w:p>
        </w:tc>
        <w:tc>
          <w:tcPr>
            <w:tcW w:w="1276" w:type="dxa"/>
          </w:tcPr>
          <w:p>
            <w:pPr>
              <w:pStyle w:val="nTable"/>
              <w:spacing w:after="40"/>
              <w:rPr>
                <w:sz w:val="19"/>
              </w:rPr>
            </w:pPr>
            <w:r>
              <w:rPr>
                <w:sz w:val="19"/>
              </w:rPr>
              <w:t>23 Dec 1994 p. 7133</w:t>
            </w:r>
            <w:r>
              <w:rPr>
                <w:sz w:val="19"/>
              </w:rPr>
              <w:noBreakHyphen/>
              <w:t>5</w:t>
            </w:r>
          </w:p>
        </w:tc>
        <w:tc>
          <w:tcPr>
            <w:tcW w:w="2693" w:type="dxa"/>
          </w:tcPr>
          <w:p>
            <w:pPr>
              <w:pStyle w:val="nTable"/>
              <w:spacing w:after="40"/>
              <w:rPr>
                <w:sz w:val="19"/>
              </w:rPr>
            </w:pPr>
            <w:r>
              <w:rPr>
                <w:sz w:val="19"/>
              </w:rPr>
              <w:t xml:space="preserve">1 Jan 1995 (see r. 3 and </w:t>
            </w:r>
            <w:r>
              <w:rPr>
                <w:i/>
                <w:sz w:val="19"/>
              </w:rPr>
              <w:t>Gazette</w:t>
            </w:r>
            <w:r>
              <w:rPr>
                <w:sz w:val="19"/>
              </w:rPr>
              <w:t xml:space="preserve"> 23 Dec 1994 p. 7069)</w:t>
            </w:r>
          </w:p>
        </w:tc>
      </w:tr>
      <w:tr>
        <w:tc>
          <w:tcPr>
            <w:tcW w:w="3118" w:type="dxa"/>
          </w:tcPr>
          <w:p>
            <w:pPr>
              <w:pStyle w:val="nTable"/>
              <w:spacing w:after="40"/>
              <w:rPr>
                <w:sz w:val="19"/>
              </w:rPr>
            </w:pPr>
            <w:r>
              <w:rPr>
                <w:i/>
                <w:sz w:val="19"/>
              </w:rPr>
              <w:t>Electricity (Licensing) Amendment Regulations 1996</w:t>
            </w:r>
          </w:p>
        </w:tc>
        <w:tc>
          <w:tcPr>
            <w:tcW w:w="1276" w:type="dxa"/>
          </w:tcPr>
          <w:p>
            <w:pPr>
              <w:pStyle w:val="nTable"/>
              <w:spacing w:after="40"/>
              <w:rPr>
                <w:sz w:val="19"/>
              </w:rPr>
            </w:pPr>
            <w:r>
              <w:rPr>
                <w:sz w:val="19"/>
              </w:rPr>
              <w:t>6 Sep 1996 p. 4410</w:t>
            </w:r>
            <w:r>
              <w:rPr>
                <w:sz w:val="19"/>
              </w:rPr>
              <w:noBreakHyphen/>
              <w:t>19</w:t>
            </w:r>
          </w:p>
        </w:tc>
        <w:tc>
          <w:tcPr>
            <w:tcW w:w="2693" w:type="dxa"/>
          </w:tcPr>
          <w:p>
            <w:pPr>
              <w:pStyle w:val="nTable"/>
              <w:spacing w:after="40"/>
              <w:rPr>
                <w:sz w:val="19"/>
              </w:rPr>
            </w:pPr>
            <w:r>
              <w:rPr>
                <w:sz w:val="19"/>
              </w:rPr>
              <w:t>6 Sep 1996</w:t>
            </w:r>
          </w:p>
        </w:tc>
      </w:tr>
      <w:tr>
        <w:trPr>
          <w:cantSplit/>
        </w:trPr>
        <w:tc>
          <w:tcPr>
            <w:tcW w:w="7087" w:type="dxa"/>
            <w:gridSpan w:val="3"/>
          </w:tcPr>
          <w:p>
            <w:pPr>
              <w:pStyle w:val="nTable"/>
              <w:spacing w:after="40"/>
              <w:rPr>
                <w:sz w:val="19"/>
              </w:rPr>
            </w:pPr>
            <w:r>
              <w:rPr>
                <w:b/>
                <w:sz w:val="19"/>
              </w:rPr>
              <w:t xml:space="preserve">Reprint of the </w:t>
            </w:r>
            <w:r>
              <w:rPr>
                <w:b/>
                <w:i/>
                <w:sz w:val="19"/>
              </w:rPr>
              <w:t>Electricity (Licensing) Regulations 1991</w:t>
            </w:r>
            <w:r>
              <w:rPr>
                <w:b/>
                <w:sz w:val="19"/>
              </w:rPr>
              <w:t xml:space="preserve"> as at 26 Feb 1997</w:t>
            </w:r>
            <w:r>
              <w:rPr>
                <w:sz w:val="19"/>
              </w:rPr>
              <w:br/>
              <w:t>(includes amendments listed above)</w:t>
            </w:r>
          </w:p>
        </w:tc>
      </w:tr>
      <w:tr>
        <w:tc>
          <w:tcPr>
            <w:tcW w:w="3118" w:type="dxa"/>
          </w:tcPr>
          <w:p>
            <w:pPr>
              <w:pStyle w:val="nTable"/>
              <w:spacing w:after="40"/>
              <w:rPr>
                <w:i/>
                <w:sz w:val="19"/>
              </w:rPr>
            </w:pPr>
            <w:r>
              <w:rPr>
                <w:i/>
                <w:sz w:val="19"/>
              </w:rPr>
              <w:t>Electricity (Licensing) Amendment Regulations 1997</w:t>
            </w:r>
          </w:p>
        </w:tc>
        <w:tc>
          <w:tcPr>
            <w:tcW w:w="1276" w:type="dxa"/>
          </w:tcPr>
          <w:p>
            <w:pPr>
              <w:pStyle w:val="nTable"/>
              <w:spacing w:after="40"/>
              <w:rPr>
                <w:sz w:val="19"/>
              </w:rPr>
            </w:pPr>
            <w:r>
              <w:rPr>
                <w:sz w:val="19"/>
              </w:rPr>
              <w:t>24 Apr 1998 p. 2148</w:t>
            </w:r>
          </w:p>
        </w:tc>
        <w:tc>
          <w:tcPr>
            <w:tcW w:w="2693" w:type="dxa"/>
          </w:tcPr>
          <w:p>
            <w:pPr>
              <w:pStyle w:val="nTable"/>
              <w:spacing w:after="40"/>
              <w:rPr>
                <w:sz w:val="19"/>
              </w:rPr>
            </w:pPr>
            <w:r>
              <w:rPr>
                <w:sz w:val="19"/>
              </w:rPr>
              <w:t>24 Apr 1998</w:t>
            </w:r>
          </w:p>
        </w:tc>
      </w:tr>
      <w:tr>
        <w:tc>
          <w:tcPr>
            <w:tcW w:w="3118" w:type="dxa"/>
          </w:tcPr>
          <w:p>
            <w:pPr>
              <w:pStyle w:val="nTable"/>
              <w:spacing w:after="40"/>
              <w:rPr>
                <w:i/>
                <w:sz w:val="19"/>
              </w:rPr>
            </w:pPr>
            <w:r>
              <w:rPr>
                <w:i/>
                <w:sz w:val="19"/>
              </w:rPr>
              <w:t>Electricity (Licensing) Amendment Regulations 1999</w:t>
            </w:r>
          </w:p>
        </w:tc>
        <w:tc>
          <w:tcPr>
            <w:tcW w:w="1276" w:type="dxa"/>
          </w:tcPr>
          <w:p>
            <w:pPr>
              <w:pStyle w:val="nTable"/>
              <w:spacing w:after="40"/>
              <w:rPr>
                <w:sz w:val="19"/>
              </w:rPr>
            </w:pPr>
            <w:r>
              <w:rPr>
                <w:sz w:val="19"/>
              </w:rPr>
              <w:t>28 May 1999 p. 2147</w:t>
            </w:r>
          </w:p>
        </w:tc>
        <w:tc>
          <w:tcPr>
            <w:tcW w:w="2693" w:type="dxa"/>
          </w:tcPr>
          <w:p>
            <w:pPr>
              <w:pStyle w:val="nTable"/>
              <w:spacing w:after="40"/>
              <w:rPr>
                <w:sz w:val="19"/>
              </w:rPr>
            </w:pPr>
            <w:r>
              <w:rPr>
                <w:sz w:val="19"/>
              </w:rPr>
              <w:t>28 May 1999</w:t>
            </w:r>
          </w:p>
        </w:tc>
      </w:tr>
      <w:tr>
        <w:tc>
          <w:tcPr>
            <w:tcW w:w="3118" w:type="dxa"/>
          </w:tcPr>
          <w:p>
            <w:pPr>
              <w:pStyle w:val="nTable"/>
              <w:spacing w:after="40"/>
              <w:rPr>
                <w:i/>
                <w:sz w:val="19"/>
              </w:rPr>
            </w:pPr>
            <w:r>
              <w:rPr>
                <w:i/>
                <w:sz w:val="19"/>
              </w:rPr>
              <w:t>Electricity (Licensing) Amendment Regulations 2000</w:t>
            </w:r>
          </w:p>
        </w:tc>
        <w:tc>
          <w:tcPr>
            <w:tcW w:w="1276" w:type="dxa"/>
          </w:tcPr>
          <w:p>
            <w:pPr>
              <w:pStyle w:val="nTable"/>
              <w:spacing w:after="40"/>
              <w:rPr>
                <w:sz w:val="19"/>
              </w:rPr>
            </w:pPr>
            <w:r>
              <w:rPr>
                <w:sz w:val="19"/>
              </w:rPr>
              <w:t>24 Mar 2000 p. 1639</w:t>
            </w:r>
            <w:r>
              <w:rPr>
                <w:sz w:val="19"/>
              </w:rPr>
              <w:noBreakHyphen/>
              <w:t>40</w:t>
            </w:r>
          </w:p>
        </w:tc>
        <w:tc>
          <w:tcPr>
            <w:tcW w:w="2693" w:type="dxa"/>
          </w:tcPr>
          <w:p>
            <w:pPr>
              <w:pStyle w:val="nTable"/>
              <w:spacing w:after="40"/>
              <w:rPr>
                <w:sz w:val="19"/>
              </w:rPr>
            </w:pPr>
            <w:r>
              <w:rPr>
                <w:sz w:val="19"/>
              </w:rPr>
              <w:t>1 Jun 2000 (see r. 2)</w:t>
            </w:r>
          </w:p>
        </w:tc>
      </w:tr>
      <w:tr>
        <w:tc>
          <w:tcPr>
            <w:tcW w:w="3118" w:type="dxa"/>
          </w:tcPr>
          <w:p>
            <w:pPr>
              <w:pStyle w:val="nTable"/>
              <w:spacing w:after="40"/>
              <w:rPr>
                <w:i/>
                <w:sz w:val="19"/>
              </w:rPr>
            </w:pPr>
            <w:r>
              <w:rPr>
                <w:i/>
                <w:sz w:val="19"/>
              </w:rPr>
              <w:t>Electricity (Licensing) Amendment Regulations (No. 2) 2000</w:t>
            </w:r>
          </w:p>
        </w:tc>
        <w:tc>
          <w:tcPr>
            <w:tcW w:w="1276" w:type="dxa"/>
          </w:tcPr>
          <w:p>
            <w:pPr>
              <w:pStyle w:val="nTable"/>
              <w:spacing w:after="40"/>
              <w:rPr>
                <w:sz w:val="19"/>
              </w:rPr>
            </w:pPr>
            <w:r>
              <w:rPr>
                <w:sz w:val="19"/>
              </w:rPr>
              <w:t>2 May 2000 p. 2114</w:t>
            </w:r>
            <w:r>
              <w:rPr>
                <w:sz w:val="19"/>
              </w:rPr>
              <w:noBreakHyphen/>
              <w:t>16</w:t>
            </w:r>
          </w:p>
        </w:tc>
        <w:tc>
          <w:tcPr>
            <w:tcW w:w="2693" w:type="dxa"/>
          </w:tcPr>
          <w:p>
            <w:pPr>
              <w:pStyle w:val="nTable"/>
              <w:spacing w:after="40"/>
              <w:rPr>
                <w:sz w:val="19"/>
              </w:rPr>
            </w:pPr>
            <w:r>
              <w:rPr>
                <w:sz w:val="19"/>
              </w:rPr>
              <w:t>2 May 2000</w:t>
            </w:r>
          </w:p>
        </w:tc>
      </w:tr>
      <w:tr>
        <w:tc>
          <w:tcPr>
            <w:tcW w:w="3118" w:type="dxa"/>
          </w:tcPr>
          <w:p>
            <w:pPr>
              <w:pStyle w:val="nTable"/>
              <w:spacing w:after="40"/>
              <w:rPr>
                <w:i/>
                <w:sz w:val="19"/>
              </w:rPr>
            </w:pPr>
            <w:r>
              <w:rPr>
                <w:i/>
                <w:sz w:val="19"/>
              </w:rPr>
              <w:t>Electricity (Licensing) Amendment Regulations 2001</w:t>
            </w:r>
          </w:p>
        </w:tc>
        <w:tc>
          <w:tcPr>
            <w:tcW w:w="1276" w:type="dxa"/>
          </w:tcPr>
          <w:p>
            <w:pPr>
              <w:pStyle w:val="nTable"/>
              <w:spacing w:after="40"/>
              <w:rPr>
                <w:sz w:val="19"/>
              </w:rPr>
            </w:pPr>
            <w:r>
              <w:rPr>
                <w:sz w:val="19"/>
              </w:rPr>
              <w:t>23 Nov 2001 p. 6030</w:t>
            </w:r>
          </w:p>
        </w:tc>
        <w:tc>
          <w:tcPr>
            <w:tcW w:w="2693" w:type="dxa"/>
          </w:tcPr>
          <w:p>
            <w:pPr>
              <w:pStyle w:val="nTable"/>
              <w:spacing w:after="40"/>
              <w:rPr>
                <w:sz w:val="19"/>
              </w:rPr>
            </w:pPr>
            <w:r>
              <w:rPr>
                <w:sz w:val="19"/>
              </w:rPr>
              <w:t>23 Nov 2001</w:t>
            </w:r>
          </w:p>
        </w:tc>
      </w:tr>
      <w:tr>
        <w:tc>
          <w:tcPr>
            <w:tcW w:w="3118" w:type="dxa"/>
          </w:tcPr>
          <w:p>
            <w:pPr>
              <w:pStyle w:val="nTable"/>
              <w:spacing w:after="40"/>
              <w:rPr>
                <w:i/>
                <w:sz w:val="19"/>
              </w:rPr>
            </w:pPr>
            <w:r>
              <w:rPr>
                <w:i/>
                <w:sz w:val="19"/>
              </w:rPr>
              <w:t>Electricity (Licensing) Amendment Regulations 2003</w:t>
            </w:r>
          </w:p>
        </w:tc>
        <w:tc>
          <w:tcPr>
            <w:tcW w:w="1276" w:type="dxa"/>
          </w:tcPr>
          <w:p>
            <w:pPr>
              <w:pStyle w:val="nTable"/>
              <w:spacing w:after="40"/>
              <w:rPr>
                <w:sz w:val="19"/>
              </w:rPr>
            </w:pPr>
            <w:r>
              <w:rPr>
                <w:sz w:val="19"/>
              </w:rPr>
              <w:t>31 Jan 2003 p. 279</w:t>
            </w:r>
          </w:p>
        </w:tc>
        <w:tc>
          <w:tcPr>
            <w:tcW w:w="2693" w:type="dxa"/>
          </w:tcPr>
          <w:p>
            <w:pPr>
              <w:pStyle w:val="nTable"/>
              <w:spacing w:after="40"/>
              <w:rPr>
                <w:sz w:val="19"/>
              </w:rPr>
            </w:pPr>
            <w:r>
              <w:rPr>
                <w:sz w:val="19"/>
              </w:rPr>
              <w:t>31 Jan 2003</w:t>
            </w:r>
          </w:p>
        </w:tc>
      </w:tr>
      <w:tr>
        <w:trPr>
          <w:cantSplit/>
        </w:trPr>
        <w:tc>
          <w:tcPr>
            <w:tcW w:w="7087" w:type="dxa"/>
            <w:gridSpan w:val="3"/>
          </w:tcPr>
          <w:p>
            <w:pPr>
              <w:pStyle w:val="nTable"/>
              <w:spacing w:after="40"/>
              <w:rPr>
                <w:sz w:val="19"/>
              </w:rPr>
            </w:pPr>
            <w:r>
              <w:rPr>
                <w:b/>
                <w:sz w:val="19"/>
              </w:rPr>
              <w:t xml:space="preserve">Reprint 2:  The </w:t>
            </w:r>
            <w:r>
              <w:rPr>
                <w:b/>
                <w:i/>
                <w:sz w:val="19"/>
              </w:rPr>
              <w:t xml:space="preserve">Electricity (Licensing) Regulations 1991 </w:t>
            </w:r>
            <w:r>
              <w:rPr>
                <w:b/>
                <w:sz w:val="19"/>
              </w:rPr>
              <w:t xml:space="preserve">as at 14 Mar 2003 </w:t>
            </w:r>
            <w:r>
              <w:rPr>
                <w:sz w:val="19"/>
              </w:rPr>
              <w:t>(includes amendments listed above)</w:t>
            </w:r>
          </w:p>
        </w:tc>
      </w:tr>
      <w:tr>
        <w:tc>
          <w:tcPr>
            <w:tcW w:w="3118" w:type="dxa"/>
          </w:tcPr>
          <w:p>
            <w:pPr>
              <w:pStyle w:val="nTable"/>
              <w:keepNext/>
              <w:keepLines/>
              <w:spacing w:after="40"/>
              <w:rPr>
                <w:i/>
                <w:sz w:val="19"/>
              </w:rPr>
            </w:pPr>
            <w:r>
              <w:rPr>
                <w:i/>
                <w:sz w:val="19"/>
              </w:rPr>
              <w:t>Electricity (Licensing) Amendment Regulations (No. 2) 2003</w:t>
            </w:r>
          </w:p>
        </w:tc>
        <w:tc>
          <w:tcPr>
            <w:tcW w:w="1276" w:type="dxa"/>
          </w:tcPr>
          <w:p>
            <w:pPr>
              <w:pStyle w:val="nTable"/>
              <w:keepNext/>
              <w:keepLines/>
              <w:spacing w:after="40"/>
              <w:rPr>
                <w:sz w:val="19"/>
              </w:rPr>
            </w:pPr>
            <w:r>
              <w:rPr>
                <w:sz w:val="19"/>
              </w:rPr>
              <w:t>24 Oct 2003 p. 4495-9</w:t>
            </w:r>
          </w:p>
        </w:tc>
        <w:tc>
          <w:tcPr>
            <w:tcW w:w="2693" w:type="dxa"/>
          </w:tcPr>
          <w:p>
            <w:pPr>
              <w:pStyle w:val="nTable"/>
              <w:keepNext/>
              <w:keepLines/>
              <w:spacing w:after="40"/>
              <w:rPr>
                <w:sz w:val="19"/>
              </w:rPr>
            </w:pPr>
            <w:r>
              <w:rPr>
                <w:sz w:val="19"/>
              </w:rPr>
              <w:t>24 Oct 2003</w:t>
            </w:r>
          </w:p>
        </w:tc>
      </w:tr>
      <w:tr>
        <w:tc>
          <w:tcPr>
            <w:tcW w:w="3118" w:type="dxa"/>
          </w:tcPr>
          <w:p>
            <w:pPr>
              <w:pStyle w:val="nTable"/>
              <w:spacing w:after="40"/>
              <w:rPr>
                <w:i/>
                <w:sz w:val="19"/>
              </w:rPr>
            </w:pPr>
            <w:r>
              <w:rPr>
                <w:i/>
                <w:sz w:val="19"/>
              </w:rPr>
              <w:t>Electricity (Licensing) Amendment Regulations (No. 2) 2004</w:t>
            </w:r>
          </w:p>
        </w:tc>
        <w:tc>
          <w:tcPr>
            <w:tcW w:w="1276" w:type="dxa"/>
          </w:tcPr>
          <w:p>
            <w:pPr>
              <w:pStyle w:val="nTable"/>
              <w:spacing w:after="40"/>
              <w:rPr>
                <w:sz w:val="19"/>
              </w:rPr>
            </w:pPr>
            <w:r>
              <w:rPr>
                <w:sz w:val="19"/>
              </w:rPr>
              <w:t>13 Jul 2004 p. 2821-2</w:t>
            </w:r>
          </w:p>
        </w:tc>
        <w:tc>
          <w:tcPr>
            <w:tcW w:w="2693" w:type="dxa"/>
          </w:tcPr>
          <w:p>
            <w:pPr>
              <w:pStyle w:val="nTable"/>
              <w:spacing w:after="40"/>
              <w:rPr>
                <w:sz w:val="19"/>
              </w:rPr>
            </w:pPr>
            <w:r>
              <w:rPr>
                <w:sz w:val="19"/>
              </w:rPr>
              <w:t>13 Jul 2004</w:t>
            </w:r>
          </w:p>
        </w:tc>
      </w:tr>
      <w:tr>
        <w:tc>
          <w:tcPr>
            <w:tcW w:w="3118" w:type="dxa"/>
          </w:tcPr>
          <w:p>
            <w:pPr>
              <w:pStyle w:val="nTable"/>
              <w:spacing w:after="40"/>
              <w:rPr>
                <w:i/>
                <w:sz w:val="19"/>
              </w:rPr>
            </w:pPr>
            <w:r>
              <w:rPr>
                <w:i/>
                <w:sz w:val="19"/>
              </w:rPr>
              <w:t>Electricity (Licensing) Amendment Regulations (No. 3) 2004</w:t>
            </w:r>
          </w:p>
        </w:tc>
        <w:tc>
          <w:tcPr>
            <w:tcW w:w="1276" w:type="dxa"/>
          </w:tcPr>
          <w:p>
            <w:pPr>
              <w:pStyle w:val="nTable"/>
              <w:spacing w:after="40"/>
              <w:rPr>
                <w:sz w:val="19"/>
              </w:rPr>
            </w:pPr>
            <w:r>
              <w:rPr>
                <w:sz w:val="19"/>
              </w:rPr>
              <w:t>30 Dec 2004 p. 6990-7</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Cs/>
                <w:sz w:val="19"/>
              </w:rPr>
            </w:pPr>
            <w:r>
              <w:rPr>
                <w:i/>
                <w:sz w:val="19"/>
              </w:rPr>
              <w:t>Courts and Legal Practice (Consequential Amendments) Regulations 2005</w:t>
            </w:r>
            <w:r>
              <w:rPr>
                <w:iCs/>
                <w:sz w:val="19"/>
              </w:rPr>
              <w:t xml:space="preserve"> r. 6</w:t>
            </w:r>
          </w:p>
        </w:tc>
        <w:tc>
          <w:tcPr>
            <w:tcW w:w="1276" w:type="dxa"/>
          </w:tcPr>
          <w:p>
            <w:pPr>
              <w:pStyle w:val="nTable"/>
              <w:spacing w:after="40"/>
              <w:rPr>
                <w:sz w:val="19"/>
              </w:rPr>
            </w:pPr>
            <w:r>
              <w:rPr>
                <w:sz w:val="19"/>
              </w:rPr>
              <w:t>19 Apr 2005 p. 1294-302</w:t>
            </w:r>
          </w:p>
        </w:tc>
        <w:tc>
          <w:tcPr>
            <w:tcW w:w="2693" w:type="dxa"/>
          </w:tcPr>
          <w:p>
            <w:pPr>
              <w:pStyle w:val="nTable"/>
              <w:spacing w:after="40"/>
              <w:rPr>
                <w:sz w:val="19"/>
              </w:rPr>
            </w:pPr>
            <w:r>
              <w:rPr>
                <w:sz w:val="19"/>
              </w:rPr>
              <w:t>19 Apr 2005</w:t>
            </w:r>
          </w:p>
        </w:tc>
      </w:tr>
      <w:tr>
        <w:tc>
          <w:tcPr>
            <w:tcW w:w="3118" w:type="dxa"/>
            <w:tcBorders>
              <w:bottom w:val="single" w:sz="8" w:space="0" w:color="auto"/>
            </w:tcBorders>
          </w:tcPr>
          <w:p>
            <w:pPr>
              <w:pStyle w:val="nTable"/>
              <w:spacing w:after="40"/>
              <w:rPr>
                <w:i/>
                <w:sz w:val="19"/>
              </w:rPr>
            </w:pPr>
            <w:r>
              <w:rPr>
                <w:i/>
                <w:sz w:val="19"/>
              </w:rPr>
              <w:t>Electricity (Licensing) Amendment Regulations (No. 2) 2005</w:t>
            </w:r>
          </w:p>
        </w:tc>
        <w:tc>
          <w:tcPr>
            <w:tcW w:w="1276" w:type="dxa"/>
            <w:tcBorders>
              <w:bottom w:val="single" w:sz="8" w:space="0" w:color="auto"/>
            </w:tcBorders>
          </w:tcPr>
          <w:p>
            <w:pPr>
              <w:pStyle w:val="nTable"/>
              <w:spacing w:after="40"/>
              <w:rPr>
                <w:sz w:val="19"/>
              </w:rPr>
            </w:pPr>
            <w:r>
              <w:rPr>
                <w:sz w:val="19"/>
              </w:rPr>
              <w:t>19 Aug 2005 p. 3866</w:t>
            </w:r>
            <w:r>
              <w:rPr>
                <w:sz w:val="19"/>
              </w:rPr>
              <w:noBreakHyphen/>
              <w:t>7</w:t>
            </w:r>
          </w:p>
        </w:tc>
        <w:tc>
          <w:tcPr>
            <w:tcW w:w="2693" w:type="dxa"/>
            <w:tcBorders>
              <w:bottom w:val="single" w:sz="8" w:space="0" w:color="auto"/>
            </w:tcBorders>
          </w:tcPr>
          <w:p>
            <w:pPr>
              <w:pStyle w:val="nTable"/>
              <w:spacing w:after="40"/>
              <w:rPr>
                <w:sz w:val="19"/>
              </w:rPr>
            </w:pPr>
            <w:r>
              <w:rPr>
                <w:sz w:val="19"/>
              </w:rPr>
              <w:t>19 Aug 2005</w:t>
            </w:r>
          </w:p>
        </w:tc>
      </w:tr>
    </w:tbl>
    <w:p>
      <w:pPr>
        <w:pStyle w:val="nSubsection"/>
      </w:pPr>
      <w:r>
        <w:rPr>
          <w:vertAlign w:val="superscript"/>
        </w:rPr>
        <w:t>2</w:t>
      </w:r>
      <w:r>
        <w:tab/>
        <w:t xml:space="preserve">Formerly the </w:t>
      </w:r>
      <w:r>
        <w:rPr>
          <w:i/>
        </w:rPr>
        <w:t>Energy Corporations (Powers) Act 1979</w:t>
      </w:r>
      <w:r>
        <w:t xml:space="preserve"> the short title of which was changed to the </w:t>
      </w:r>
      <w:r>
        <w:rPr>
          <w:i/>
        </w:rPr>
        <w:t>Energy Operators (Powers) Act 1979</w:t>
      </w:r>
      <w:r>
        <w:t xml:space="preserve"> by the </w:t>
      </w:r>
      <w:r>
        <w:rPr>
          <w:i/>
        </w:rPr>
        <w:t>Gas Corporation (Business Disposal) Act 1999</w:t>
      </w:r>
      <w:r>
        <w:t xml:space="preserve"> s. 78.  The reference was changed under the </w:t>
      </w:r>
      <w:r>
        <w:rPr>
          <w:i/>
        </w:rPr>
        <w:t>Reprints Act 1984</w:t>
      </w:r>
      <w:r>
        <w:t xml:space="preserve"> s. 7(3)(gb).</w:t>
      </w:r>
    </w:p>
    <w:p>
      <w:pPr>
        <w:pStyle w:val="nSubsection"/>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4</w:t>
      </w:r>
      <w:r>
        <w:tab/>
        <w:t xml:space="preserve">The </w:t>
      </w:r>
      <w:r>
        <w:rPr>
          <w:i/>
        </w:rPr>
        <w:t>Electricity (Licensing) Amendment Regulations (No. 2) 2003</w:t>
      </w:r>
      <w:r>
        <w:t xml:space="preserve"> r. 3(4) reads as follows:</w:t>
      </w:r>
    </w:p>
    <w:p>
      <w:pPr>
        <w:pStyle w:val="MiscOpen"/>
      </w:pPr>
      <w:r>
        <w:t>“</w:t>
      </w:r>
    </w:p>
    <w:p>
      <w:pPr>
        <w:pStyle w:val="nzSubsection"/>
      </w:pPr>
      <w:r>
        <w:tab/>
        <w:t>(4)</w:t>
      </w:r>
      <w:r>
        <w:tab/>
        <w:t xml:space="preserve">Despite the amendments made to regulation 5 of the </w:t>
      </w:r>
      <w:r>
        <w:rPr>
          <w:i/>
        </w:rPr>
        <w:t>Electricity (Licensing) Regulations 1991</w:t>
      </w:r>
      <w:r>
        <w:t xml:space="preserve"> (the </w:t>
      </w:r>
      <w:r>
        <w:rPr>
          <w:b/>
        </w:rPr>
        <w:t>“</w:t>
      </w:r>
      <w:r>
        <w:rPr>
          <w:rStyle w:val="CharDefText"/>
        </w:rPr>
        <w:t>licensing regulations</w:t>
      </w:r>
      <w:r>
        <w:rPr>
          <w:b/>
        </w:rPr>
        <w:t>”</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(Licensing) Regulations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(Licensing)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058C89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01831B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D7E9A16"/>
    <w:lvl w:ilvl="0">
      <w:start w:val="1"/>
      <w:numFmt w:val="decimal"/>
      <w:pStyle w:val="ListNumber3"/>
      <w:lvlText w:val="%1."/>
      <w:lvlJc w:val="left"/>
      <w:pPr>
        <w:tabs>
          <w:tab w:val="num" w:pos="926"/>
        </w:tabs>
        <w:ind w:left="926" w:hanging="360"/>
      </w:pPr>
    </w:lvl>
  </w:abstractNum>
  <w:abstractNum w:abstractNumId="3">
    <w:nsid w:val="FFFFFF7F"/>
    <w:multiLevelType w:val="singleLevel"/>
    <w:tmpl w:val="085863C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AAD42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78ED73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C08F9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09625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5303B7A"/>
    <w:lvl w:ilvl="0">
      <w:start w:val="1"/>
      <w:numFmt w:val="decimal"/>
      <w:pStyle w:val="ListNumber"/>
      <w:lvlText w:val="%1."/>
      <w:lvlJc w:val="left"/>
      <w:pPr>
        <w:tabs>
          <w:tab w:val="num" w:pos="360"/>
        </w:tabs>
        <w:ind w:left="360" w:hanging="360"/>
      </w:pPr>
    </w:lvl>
  </w:abstractNum>
  <w:abstractNum w:abstractNumId="9">
    <w:nsid w:val="FFFFFF89"/>
    <w:multiLevelType w:val="singleLevel"/>
    <w:tmpl w:val="57FA9F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FF82C32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A630FE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21E6E7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CA1E9B8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1"/>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16139</Words>
  <Characters>80376</Characters>
  <Application>Microsoft Office Word</Application>
  <DocSecurity>0</DocSecurity>
  <Lines>2115</Lines>
  <Paragraphs>1049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95466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1991 - 02-f0-03</dc:title>
  <dc:subject/>
  <dc:creator/>
  <cp:keywords/>
  <dc:description/>
  <cp:lastModifiedBy>svcMRProcess</cp:lastModifiedBy>
  <cp:revision>4</cp:revision>
  <cp:lastPrinted>2003-04-08T08:07:00Z</cp:lastPrinted>
  <dcterms:created xsi:type="dcterms:W3CDTF">2018-09-11T07:14:00Z</dcterms:created>
  <dcterms:modified xsi:type="dcterms:W3CDTF">2018-09-11T07:14:00Z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CommencementDate">
    <vt:lpwstr>20050819</vt:lpwstr>
  </property>
  <property fmtid="{D5CDD505-2E9C-101B-9397-08002B2CF9AE}" pid="4" name="DocumentType">
    <vt:lpwstr>Reg</vt:lpwstr>
  </property>
  <property fmtid="{D5CDD505-2E9C-101B-9397-08002B2CF9AE}" pid="5" name="OwlsUID">
    <vt:i4>4407</vt:i4>
  </property>
  <property fmtid="{D5CDD505-2E9C-101B-9397-08002B2CF9AE}" pid="6" name="AsAtDate">
    <vt:lpwstr>19 Aug 2005</vt:lpwstr>
  </property>
  <property fmtid="{D5CDD505-2E9C-101B-9397-08002B2CF9AE}" pid="7" name="Suffix">
    <vt:lpwstr>02-f0-03</vt:lpwstr>
  </property>
</Properties>
</file>