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_Toc478638848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_Toc478638849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_Toc478638850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_Toc478638851 \h </w:instrText>
      </w:r>
      <w:r>
        <w:fldChar w:fldCharType="separate"/>
      </w:r>
      <w:r>
        <w:t>2</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_Toc478638852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_Toc478638853 \h </w:instrText>
      </w:r>
      <w:r>
        <w:fldChar w:fldCharType="separate"/>
      </w:r>
      <w:r>
        <w:t>3</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_Toc478638854 \h </w:instrText>
      </w:r>
      <w:r>
        <w:fldChar w:fldCharType="separate"/>
      </w:r>
      <w:r>
        <w:t>4</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_Toc478638855 \h </w:instrText>
      </w:r>
      <w:r>
        <w:fldChar w:fldCharType="separate"/>
      </w:r>
      <w:r>
        <w:t>6</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_Toc478638856 \h </w:instrText>
      </w:r>
      <w:r>
        <w:fldChar w:fldCharType="separate"/>
      </w:r>
      <w:r>
        <w:t>8</w:t>
      </w:r>
      <w:r>
        <w:fldChar w:fldCharType="end"/>
      </w:r>
    </w:p>
    <w:p>
      <w:pPr>
        <w:pStyle w:val="TOC8"/>
        <w:rPr>
          <w:rFonts w:asciiTheme="minorHAnsi" w:eastAsiaTheme="minorEastAsia" w:hAnsiTheme="minorHAnsi" w:cstheme="minorBidi"/>
          <w:szCs w:val="22"/>
        </w:rPr>
      </w:pPr>
      <w:r>
        <w:t>10.</w:t>
      </w:r>
      <w:r>
        <w:tab/>
        <w:t>Refund of fees for certain cancelled or suspended registrations</w:t>
      </w:r>
      <w:r>
        <w:tab/>
      </w:r>
      <w:r>
        <w:fldChar w:fldCharType="begin"/>
      </w:r>
      <w:r>
        <w:instrText xml:space="preserve"> PAGEREF _Toc478638857 \h </w:instrText>
      </w:r>
      <w:r>
        <w:fldChar w:fldCharType="separate"/>
      </w:r>
      <w:r>
        <w:t>8</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_Toc478638858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_Toc478638861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_Toc478638863 \h </w:instrText>
      </w:r>
      <w:r>
        <w:fldChar w:fldCharType="separate"/>
      </w:r>
      <w:r>
        <w:t>10</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_Toc478638864 \h </w:instrText>
      </w:r>
      <w:r>
        <w:fldChar w:fldCharType="separate"/>
      </w:r>
      <w:r>
        <w:t>11</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_Toc478638865 \h </w:instrText>
      </w:r>
      <w:r>
        <w:fldChar w:fldCharType="separate"/>
      </w:r>
      <w:r>
        <w:t>13</w:t>
      </w:r>
      <w:r>
        <w:fldChar w:fldCharType="end"/>
      </w:r>
    </w:p>
    <w:p>
      <w:pPr>
        <w:pStyle w:val="TOC8"/>
        <w:rPr>
          <w:rFonts w:asciiTheme="minorHAnsi" w:eastAsiaTheme="minorEastAsia" w:hAnsiTheme="minorHAnsi" w:cstheme="minorBidi"/>
          <w:szCs w:val="22"/>
        </w:rPr>
      </w:pPr>
      <w:r>
        <w:t>16.</w:t>
      </w:r>
      <w:r>
        <w:tab/>
        <w:t>Qualifications and experience: building practitioners</w:t>
      </w:r>
      <w:r>
        <w:tab/>
      </w:r>
      <w:r>
        <w:fldChar w:fldCharType="begin"/>
      </w:r>
      <w:r>
        <w:instrText xml:space="preserve"> PAGEREF _Toc478638866 \h </w:instrText>
      </w:r>
      <w:r>
        <w:fldChar w:fldCharType="separate"/>
      </w:r>
      <w:r>
        <w:t>13</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_Toc478638867 \h </w:instrText>
      </w:r>
      <w:r>
        <w:fldChar w:fldCharType="separate"/>
      </w:r>
      <w:r>
        <w:t>18</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_Toc478638868 \h </w:instrText>
      </w:r>
      <w:r>
        <w:fldChar w:fldCharType="separate"/>
      </w:r>
      <w:r>
        <w:t>18</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_Toc478638869 \h </w:instrText>
      </w:r>
      <w:r>
        <w:fldChar w:fldCharType="separate"/>
      </w:r>
      <w:r>
        <w:t>19</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_Toc478638870 \h </w:instrText>
      </w:r>
      <w:r>
        <w:fldChar w:fldCharType="separate"/>
      </w:r>
      <w:r>
        <w:t>19</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_Toc478638871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_Toc478638873 \h </w:instrText>
      </w:r>
      <w:r>
        <w:fldChar w:fldCharType="separate"/>
      </w:r>
      <w:r>
        <w:t>20</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_Toc478638874 \h </w:instrText>
      </w:r>
      <w:r>
        <w:fldChar w:fldCharType="separate"/>
      </w:r>
      <w:r>
        <w:t>21</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_Toc478638875 \h </w:instrText>
      </w:r>
      <w:r>
        <w:fldChar w:fldCharType="separate"/>
      </w:r>
      <w:r>
        <w:t>21</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_Toc478638876 \h </w:instrText>
      </w:r>
      <w:r>
        <w:fldChar w:fldCharType="separate"/>
      </w:r>
      <w:r>
        <w:t>21</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_Toc478638877 \h </w:instrText>
      </w:r>
      <w:r>
        <w:fldChar w:fldCharType="separate"/>
      </w:r>
      <w:r>
        <w:t>21</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_Toc478638878 \h </w:instrText>
      </w:r>
      <w:r>
        <w:fldChar w:fldCharType="separate"/>
      </w:r>
      <w:r>
        <w:t>22</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_Toc478638879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_Toc478638881 \h </w:instrText>
      </w:r>
      <w:r>
        <w:fldChar w:fldCharType="separate"/>
      </w:r>
      <w:r>
        <w:t>23</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_Toc478638882 \h </w:instrText>
      </w:r>
      <w:r>
        <w:fldChar w:fldCharType="separate"/>
      </w:r>
      <w:r>
        <w:t>23</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_Toc478638883 \h </w:instrText>
      </w:r>
      <w:r>
        <w:fldChar w:fldCharType="separate"/>
      </w:r>
      <w:r>
        <w:t>25</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_Toc478638884 \h </w:instrText>
      </w:r>
      <w:r>
        <w:fldChar w:fldCharType="separate"/>
      </w:r>
      <w:r>
        <w:t>26</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_Toc478638885 \h </w:instrText>
      </w:r>
      <w:r>
        <w:fldChar w:fldCharType="separate"/>
      </w:r>
      <w:r>
        <w:t>31</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_Toc478638886 \h </w:instrText>
      </w:r>
      <w:r>
        <w:fldChar w:fldCharType="separate"/>
      </w:r>
      <w:r>
        <w:t>32</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_Toc478638887 \h </w:instrText>
      </w:r>
      <w:r>
        <w:fldChar w:fldCharType="separate"/>
      </w:r>
      <w:r>
        <w:t>32</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_Toc478638888 \h </w:instrText>
      </w:r>
      <w:r>
        <w:fldChar w:fldCharType="separate"/>
      </w:r>
      <w:r>
        <w:t>33</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_Toc478638889 \h </w:instrText>
      </w:r>
      <w:r>
        <w:fldChar w:fldCharType="separate"/>
      </w:r>
      <w:r>
        <w:t>33</w:t>
      </w:r>
      <w:r>
        <w:fldChar w:fldCharType="end"/>
      </w:r>
    </w:p>
    <w:p>
      <w:pPr>
        <w:pStyle w:val="TOC8"/>
        <w:rPr>
          <w:rFonts w:asciiTheme="minorHAnsi" w:eastAsiaTheme="minorEastAsia" w:hAnsiTheme="minorHAnsi" w:cstheme="minorBidi"/>
          <w:szCs w:val="22"/>
        </w:rPr>
      </w:pPr>
      <w:r>
        <w:t>28J.</w:t>
      </w:r>
      <w:r>
        <w:tab/>
        <w:t>Display of certificate of registration</w:t>
      </w:r>
      <w:r>
        <w:tab/>
      </w:r>
      <w:r>
        <w:fldChar w:fldCharType="begin"/>
      </w:r>
      <w:r>
        <w:instrText xml:space="preserve"> PAGEREF _Toc478638890 \h </w:instrText>
      </w:r>
      <w:r>
        <w:fldChar w:fldCharType="separate"/>
      </w:r>
      <w:r>
        <w:t>33</w:t>
      </w:r>
      <w:r>
        <w:fldChar w:fldCharType="end"/>
      </w:r>
    </w:p>
    <w:p>
      <w:pPr>
        <w:pStyle w:val="TOC8"/>
        <w:rPr>
          <w:rFonts w:asciiTheme="minorHAnsi" w:eastAsiaTheme="minorEastAsia" w:hAnsiTheme="minorHAnsi" w:cstheme="minorBidi"/>
          <w:szCs w:val="22"/>
        </w:rPr>
      </w:pPr>
      <w:r>
        <w:t>28K.</w:t>
      </w:r>
      <w:r>
        <w:tab/>
        <w:t>Display of signs</w:t>
      </w:r>
      <w:r>
        <w:tab/>
      </w:r>
      <w:r>
        <w:fldChar w:fldCharType="begin"/>
      </w:r>
      <w:r>
        <w:instrText xml:space="preserve"> PAGEREF _Toc478638891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_Toc478638893 \h </w:instrText>
      </w:r>
      <w:r>
        <w:fldChar w:fldCharType="separate"/>
      </w:r>
      <w:r>
        <w:t>36</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_Toc478638894 \h </w:instrText>
      </w:r>
      <w:r>
        <w:fldChar w:fldCharType="separate"/>
      </w:r>
      <w:r>
        <w:t>37</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_Toc478638895 \h </w:instrText>
      </w:r>
      <w:r>
        <w:fldChar w:fldCharType="separate"/>
      </w:r>
      <w:r>
        <w:t>38</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_Toc478638896 \h </w:instrText>
      </w:r>
      <w:r>
        <w:fldChar w:fldCharType="separate"/>
      </w:r>
      <w:r>
        <w:t>38</w:t>
      </w:r>
      <w:r>
        <w:fldChar w:fldCharType="end"/>
      </w:r>
    </w:p>
    <w:p>
      <w:pPr>
        <w:pStyle w:val="TOC8"/>
        <w:rPr>
          <w:rFonts w:asciiTheme="minorHAnsi" w:eastAsiaTheme="minorEastAsia" w:hAnsiTheme="minorHAnsi" w:cstheme="minorBidi"/>
          <w:szCs w:val="22"/>
        </w:rPr>
      </w:pPr>
      <w:r>
        <w:t>32.</w:t>
      </w:r>
      <w:r>
        <w:tab/>
        <w:t>Conduct of examinations</w:t>
      </w:r>
      <w:r>
        <w:tab/>
      </w:r>
      <w:r>
        <w:fldChar w:fldCharType="begin"/>
      </w:r>
      <w:r>
        <w:instrText xml:space="preserve"> PAGEREF _Toc478638897 \h </w:instrText>
      </w:r>
      <w:r>
        <w:fldChar w:fldCharType="separate"/>
      </w:r>
      <w:r>
        <w:t>42</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_Toc478638898 \h </w:instrText>
      </w:r>
      <w:r>
        <w:fldChar w:fldCharType="separate"/>
      </w:r>
      <w:r>
        <w:t>42</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_Toc478638899 \h </w:instrText>
      </w:r>
      <w:r>
        <w:fldChar w:fldCharType="separate"/>
      </w:r>
      <w:r>
        <w:t>43</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_Toc478638900 \h </w:instrText>
      </w:r>
      <w:r>
        <w:fldChar w:fldCharType="separate"/>
      </w:r>
      <w:r>
        <w:t>43</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_Toc478638901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_Toc478638904 \h </w:instrText>
      </w:r>
      <w:r>
        <w:fldChar w:fldCharType="separate"/>
      </w:r>
      <w:r>
        <w:t>45</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_Toc478638905 \h </w:instrText>
      </w:r>
      <w:r>
        <w:fldChar w:fldCharType="separate"/>
      </w:r>
      <w:r>
        <w:t>45</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_Toc478638906 \h </w:instrText>
      </w:r>
      <w:r>
        <w:fldChar w:fldCharType="separate"/>
      </w:r>
      <w:r>
        <w:t>46</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_Toc478638907 \h </w:instrText>
      </w:r>
      <w:r>
        <w:fldChar w:fldCharType="separate"/>
      </w:r>
      <w:r>
        <w:t>46</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_Toc478638908 \h </w:instrText>
      </w:r>
      <w:r>
        <w:fldChar w:fldCharType="separate"/>
      </w:r>
      <w:r>
        <w:t>46</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_Toc478638909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_Toc478638911 \h </w:instrText>
      </w:r>
      <w:r>
        <w:fldChar w:fldCharType="separate"/>
      </w:r>
      <w:r>
        <w:t>47</w:t>
      </w:r>
      <w:r>
        <w:fldChar w:fldCharType="end"/>
      </w:r>
    </w:p>
    <w:p>
      <w:pPr>
        <w:pStyle w:val="TOC8"/>
        <w:rPr>
          <w:rFonts w:asciiTheme="minorHAnsi" w:eastAsiaTheme="minorEastAsia" w:hAnsiTheme="minorHAnsi" w:cstheme="minorBidi"/>
          <w:szCs w:val="22"/>
        </w:rPr>
      </w:pPr>
      <w:r>
        <w:t>44.</w:t>
      </w:r>
      <w:r>
        <w:tab/>
        <w:t>Continuation of registration (Act s. 127)</w:t>
      </w:r>
      <w:r>
        <w:tab/>
      </w:r>
      <w:r>
        <w:fldChar w:fldCharType="begin"/>
      </w:r>
      <w:r>
        <w:instrText xml:space="preserve"> PAGEREF _Toc478638912 \h </w:instrText>
      </w:r>
      <w:r>
        <w:fldChar w:fldCharType="separate"/>
      </w:r>
      <w:r>
        <w:t>47</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_Toc478638913 \h </w:instrText>
      </w:r>
      <w:r>
        <w:fldChar w:fldCharType="separate"/>
      </w:r>
      <w:r>
        <w:t>47</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_Toc478638914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_Toc478638916 \h </w:instrText>
      </w:r>
      <w:r>
        <w:fldChar w:fldCharType="separate"/>
      </w:r>
      <w:r>
        <w:t>48</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_Toc478638917 \h </w:instrText>
      </w:r>
      <w:r>
        <w:fldChar w:fldCharType="separate"/>
      </w:r>
      <w:r>
        <w:t>48</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_Toc478638918 \h </w:instrText>
      </w:r>
      <w:r>
        <w:fldChar w:fldCharType="separate"/>
      </w:r>
      <w:r>
        <w:t>49</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_Toc478638919 \h </w:instrText>
      </w:r>
      <w:r>
        <w:fldChar w:fldCharType="separate"/>
      </w:r>
      <w:r>
        <w:t>50</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_Toc478638920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Builders</w:t>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4"/>
        <w:tabs>
          <w:tab w:val="right" w:leader="dot" w:pos="7077"/>
        </w:tabs>
        <w:rPr>
          <w:rFonts w:asciiTheme="minorHAnsi" w:eastAsiaTheme="minorEastAsia" w:hAnsiTheme="minorHAnsi" w:cstheme="minorBidi"/>
          <w:b w:val="0"/>
          <w:szCs w:val="22"/>
        </w:rPr>
      </w:pPr>
      <w:r>
        <w:t>Division 4A</w:t>
      </w:r>
      <w:r>
        <w:rPr>
          <w:b w:val="0"/>
        </w:rPr>
        <w:t> — </w:t>
      </w:r>
      <w:r>
        <w:t>Building surveyors</w:t>
      </w:r>
    </w:p>
    <w:p>
      <w:pPr>
        <w:pStyle w:val="TOC4"/>
        <w:tabs>
          <w:tab w:val="right" w:leader="dot" w:pos="7077"/>
        </w:tabs>
        <w:rPr>
          <w:rFonts w:asciiTheme="minorHAnsi" w:eastAsiaTheme="minorEastAsia" w:hAnsiTheme="minorHAnsi" w:cstheme="minorBidi"/>
          <w:b w:val="0"/>
          <w:szCs w:val="22"/>
        </w:rPr>
      </w:pPr>
      <w:r>
        <w:t>Division 4</w:t>
      </w:r>
      <w:r>
        <w:rPr>
          <w:b w:val="0"/>
        </w:rPr>
        <w:t> — </w:t>
      </w:r>
      <w:r>
        <w:t>Painters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_Toc478638928 \h </w:instrText>
      </w:r>
      <w:r>
        <w:fldChar w:fldCharType="separate"/>
      </w:r>
      <w:r>
        <w:t>56</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_Toc478638929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_Toc478638931 \h </w:instrText>
      </w:r>
      <w:r>
        <w:fldChar w:fldCharType="separate"/>
      </w:r>
      <w:r>
        <w:t>57</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_Toc478638932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_Toc478638934 \h </w:instrText>
      </w:r>
      <w:r>
        <w:fldChar w:fldCharType="separate"/>
      </w:r>
      <w:r>
        <w:t>59</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_Toc478638935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_Toc478638937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3" w:name="_Toc454978724"/>
      <w:bookmarkStart w:id="4" w:name="_Toc478638847"/>
      <w:r>
        <w:rPr>
          <w:rStyle w:val="CharPartNo"/>
        </w:rPr>
        <w:t>Part 1</w:t>
      </w:r>
      <w:r>
        <w:rPr>
          <w:rStyle w:val="CharDivNo"/>
        </w:rPr>
        <w:t> </w:t>
      </w:r>
      <w:r>
        <w:t>—</w:t>
      </w:r>
      <w:r>
        <w:rPr>
          <w:rStyle w:val="CharDivText"/>
        </w:rPr>
        <w:t> </w:t>
      </w:r>
      <w:r>
        <w:rPr>
          <w:rStyle w:val="CharPartText"/>
        </w:rPr>
        <w:t>General provisions</w:t>
      </w:r>
      <w:bookmarkEnd w:id="3"/>
      <w:bookmarkEnd w:id="4"/>
    </w:p>
    <w:p>
      <w:pPr>
        <w:pStyle w:val="Heading5"/>
      </w:pPr>
      <w:bookmarkStart w:id="5" w:name="_Toc478638848"/>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Services (Registration) Regulations 2011</w:t>
      </w:r>
      <w:r>
        <w:rPr>
          <w:vertAlign w:val="superscript"/>
        </w:rPr>
        <w:t> 1</w:t>
      </w:r>
      <w:r>
        <w:t>.</w:t>
      </w:r>
    </w:p>
    <w:p>
      <w:pPr>
        <w:pStyle w:val="Heading5"/>
        <w:rPr>
          <w:spacing w:val="-2"/>
        </w:rPr>
      </w:pPr>
      <w:bookmarkStart w:id="7" w:name="_Toc478638849"/>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r>
        <w:rPr>
          <w:vertAlign w:val="superscript"/>
        </w:rPr>
        <w:t> 1</w:t>
      </w:r>
      <w:r>
        <w:t>.</w:t>
      </w:r>
    </w:p>
    <w:p>
      <w:pPr>
        <w:pStyle w:val="Heading5"/>
      </w:pPr>
      <w:bookmarkStart w:id="8" w:name="_Toc478638850"/>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surveying work level 1</w:t>
      </w:r>
      <w:r>
        <w:t xml:space="preserve"> has the meaning given in regulation 28A;</w:t>
      </w:r>
    </w:p>
    <w:p>
      <w:pPr>
        <w:pStyle w:val="Defstart"/>
      </w:pPr>
      <w:r>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insolvent</w:t>
      </w:r>
      <w:r>
        <w:t>, in relation to a body corporate, means an externally</w:t>
      </w:r>
      <w:r>
        <w:noBreakHyphen/>
        <w:t xml:space="preserve">administered body corporate as that term is defined in the </w:t>
      </w:r>
      <w:r>
        <w:rPr>
          <w:i/>
        </w:rPr>
        <w:t>Corporations Act 2001</w:t>
      </w:r>
      <w:r>
        <w:t xml:space="preserve"> (Commonwealth);</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Footnotesection"/>
      </w:pPr>
      <w:r>
        <w:tab/>
        <w:t>[Regulation 3 amended in Gazette 12 Mar 2012 p. 990 and p. 1008; 31 Mar 2017 p. 1941-2.]</w:t>
      </w:r>
    </w:p>
    <w:p>
      <w:pPr>
        <w:pStyle w:val="Heading5"/>
      </w:pPr>
      <w:bookmarkStart w:id="9" w:name="_Toc478638851"/>
      <w:r>
        <w:rPr>
          <w:rStyle w:val="CharSectno"/>
        </w:rPr>
        <w:t>4</w:t>
      </w:r>
      <w:r>
        <w:t>.</w:t>
      </w:r>
      <w:r>
        <w:tab/>
        <w:t>Prescribed building services</w:t>
      </w:r>
      <w:bookmarkEnd w:id="9"/>
    </w:p>
    <w:p>
      <w:pPr>
        <w:pStyle w:val="Subsection"/>
      </w:pPr>
      <w:r>
        <w:tab/>
      </w:r>
      <w:r>
        <w:tab/>
        <w:t xml:space="preserve">For the purposes of the definition of </w:t>
      </w:r>
      <w:r>
        <w:rPr>
          <w:b/>
          <w:i/>
        </w:rPr>
        <w:t>prescribed building service</w:t>
      </w:r>
      <w:r>
        <w:t xml:space="preserve"> in section 3 the following building services are prescribed — </w:t>
      </w:r>
    </w:p>
    <w:p>
      <w:pPr>
        <w:pStyle w:val="Indenta"/>
      </w:pPr>
      <w:r>
        <w:tab/>
        <w:t>(a)</w:t>
      </w:r>
      <w:r>
        <w:tab/>
        <w:t>builder work as a principal builder;</w:t>
      </w:r>
    </w:p>
    <w:p>
      <w:pPr>
        <w:pStyle w:val="Indenta"/>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Indenta"/>
      </w:pPr>
      <w:r>
        <w:tab/>
        <w:t>(b)</w:t>
      </w:r>
      <w:r>
        <w:tab/>
        <w:t>painter work.</w:t>
      </w:r>
    </w:p>
    <w:p>
      <w:pPr>
        <w:pStyle w:val="Footnotesection"/>
      </w:pPr>
      <w:r>
        <w:tab/>
        <w:t>[Regulation 4 amended in Gazette 12 Mar 2012 p. 1008; 31 Mar 2017 p. 1942.]</w:t>
      </w:r>
    </w:p>
    <w:p>
      <w:pPr>
        <w:pStyle w:val="Heading5"/>
      </w:pPr>
      <w:bookmarkStart w:id="10" w:name="_Toc478638852"/>
      <w:r>
        <w:rPr>
          <w:rStyle w:val="CharSectno"/>
        </w:rPr>
        <w:t>5</w:t>
      </w:r>
      <w:r>
        <w:t>.</w:t>
      </w:r>
      <w:r>
        <w:tab/>
        <w:t>Persons prescribed for purposes of s. 7</w:t>
      </w:r>
      <w:bookmarkEnd w:id="10"/>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in Gazette 31 Mar 2017 p. 1942.]</w:t>
      </w:r>
    </w:p>
    <w:p>
      <w:pPr>
        <w:pStyle w:val="Heading5"/>
      </w:pPr>
      <w:bookmarkStart w:id="11" w:name="_Toc478638853"/>
      <w:r>
        <w:rPr>
          <w:rStyle w:val="CharSectno"/>
        </w:rPr>
        <w:t>6</w:t>
      </w:r>
      <w:r>
        <w:t>.</w:t>
      </w:r>
      <w:r>
        <w:tab/>
        <w:t>Classes of building service practitioner and building service contractor</w:t>
      </w:r>
      <w:bookmarkEnd w:id="1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tab/>
        <w:t>(de)</w:t>
      </w:r>
      <w:r>
        <w:tab/>
        <w:t>building surveying contractor level 2 (partnership);</w:t>
      </w:r>
    </w:p>
    <w:p>
      <w:pPr>
        <w:pStyle w:val="Indenta"/>
        <w:keepNext/>
      </w:pPr>
      <w:r>
        <w:tab/>
        <w:t>(df)</w:t>
      </w:r>
      <w:r>
        <w:tab/>
        <w:t>building surveying contractor level 2 (company);</w:t>
      </w:r>
    </w:p>
    <w:p>
      <w:pPr>
        <w:pStyle w:val="Indenta"/>
      </w:pPr>
      <w:r>
        <w:tab/>
        <w:t>(d)</w:t>
      </w:r>
      <w:r>
        <w:tab/>
        <w:t>painting contractor (individual);</w:t>
      </w:r>
    </w:p>
    <w:p>
      <w:pPr>
        <w:pStyle w:val="Indenta"/>
      </w:pPr>
      <w:r>
        <w:tab/>
        <w:t>(e)</w:t>
      </w:r>
      <w:r>
        <w:tab/>
        <w:t>painting contractor (partnership);</w:t>
      </w:r>
    </w:p>
    <w:p>
      <w:pPr>
        <w:pStyle w:val="Indenta"/>
        <w:keepNext/>
      </w:pPr>
      <w:r>
        <w:tab/>
        <w:t>(f)</w:t>
      </w:r>
      <w:r>
        <w:tab/>
        <w:t>painting contractor (company).</w:t>
      </w:r>
    </w:p>
    <w:p>
      <w:pPr>
        <w:pStyle w:val="Footnotesection"/>
      </w:pPr>
      <w:r>
        <w:tab/>
        <w:t>[Regulation 6 amended in Gazette 12 Mar 2012 p. 990-1.]</w:t>
      </w:r>
    </w:p>
    <w:p>
      <w:pPr>
        <w:pStyle w:val="Heading5"/>
      </w:pPr>
      <w:bookmarkStart w:id="12" w:name="_Toc478638854"/>
      <w:r>
        <w:rPr>
          <w:rStyle w:val="CharSectno"/>
        </w:rPr>
        <w:t>7</w:t>
      </w:r>
      <w:r>
        <w:t>.</w:t>
      </w:r>
      <w:r>
        <w:tab/>
        <w:t>Registration and renewal of registration</w:t>
      </w:r>
      <w:bookmarkEnd w:id="12"/>
    </w:p>
    <w:p>
      <w:pPr>
        <w:pStyle w:val="Subsection"/>
      </w:pPr>
      <w:r>
        <w:tab/>
        <w:t>(1)</w:t>
      </w:r>
      <w:r>
        <w:tab/>
        <w:t xml:space="preserve">An application for registration under section 13(1) or (2) must — </w:t>
      </w:r>
    </w:p>
    <w:p>
      <w:pPr>
        <w:pStyle w:val="Indenta"/>
      </w:pPr>
      <w:r>
        <w:tab/>
        <w:t>(a)</w:t>
      </w:r>
      <w:r>
        <w:tab/>
        <w:t>if the application is for registration in the class of building surveying practitioner technician — state that the registration is sought for a period of 18 months; or</w:t>
      </w:r>
    </w:p>
    <w:p>
      <w:pPr>
        <w:pStyle w:val="Indenta"/>
      </w:pPr>
      <w:r>
        <w:tab/>
        <w:t>(b)</w:t>
      </w:r>
      <w:r>
        <w:tab/>
        <w:t>otherwise — state that the registration is sought for a period of 3 years.</w:t>
      </w:r>
    </w:p>
    <w:p>
      <w:pPr>
        <w:pStyle w:val="Subsection"/>
      </w:pPr>
      <w:r>
        <w:tab/>
        <w:t>(2)</w:t>
      </w:r>
      <w:r>
        <w:tab/>
        <w:t xml:space="preserve">An application for renewal of registration under section 13(1) or (2) must — </w:t>
      </w:r>
    </w:p>
    <w:p>
      <w:pPr>
        <w:pStyle w:val="Indenta"/>
      </w:pPr>
      <w:r>
        <w:tab/>
        <w:t>(a)</w:t>
      </w:r>
      <w:r>
        <w:tab/>
        <w:t>if the application is for renewal of registration in the class of building surveying practitioner technician — state that the renewal is sought for a period of 18 months; or</w:t>
      </w:r>
    </w:p>
    <w:p>
      <w:pPr>
        <w:pStyle w:val="Indenta"/>
      </w:pPr>
      <w:r>
        <w:tab/>
        <w:t>(b)</w:t>
      </w:r>
      <w:r>
        <w:tab/>
        <w:t>otherwise — state whether the renewal is sought for a period of 18 months or 3 years.</w:t>
      </w:r>
    </w:p>
    <w:p>
      <w:pPr>
        <w:pStyle w:val="Subsection"/>
      </w:pPr>
      <w:r>
        <w:tab/>
        <w:t>(3)</w:t>
      </w:r>
      <w:r>
        <w:tab/>
        <w:t xml:space="preserve">If under section 17(1) or 18(1) the Board registers, or renews the registration of, an applicant, the registration certificate given to the applicant under section 20(1) must — </w:t>
      </w:r>
    </w:p>
    <w:p>
      <w:pPr>
        <w:pStyle w:val="Indenta"/>
      </w:pPr>
      <w:r>
        <w:tab/>
        <w:t>(a)</w:t>
      </w:r>
      <w:r>
        <w:tab/>
        <w:t xml:space="preserve">in the case of an application seeking registration or renewal for a period of 18 months, specify an expiry day that is — </w:t>
      </w:r>
    </w:p>
    <w:p>
      <w:pPr>
        <w:pStyle w:val="Indenti"/>
      </w:pPr>
      <w:r>
        <w:tab/>
        <w:t>(i)</w:t>
      </w:r>
      <w:r>
        <w:tab/>
        <w:t>no earlier than the last day of the period of 13 months beginning on the day on which the registration commences or is renewed; and</w:t>
      </w:r>
    </w:p>
    <w:p>
      <w:pPr>
        <w:pStyle w:val="Indenti"/>
        <w:keepNext/>
        <w:spacing w:before="60"/>
      </w:pPr>
      <w:r>
        <w:tab/>
        <w:t>(ii)</w:t>
      </w:r>
      <w:r>
        <w:tab/>
        <w:t>no later than the last day of the period of 18 months beginning on the day on which the registration commences or is renewed;</w:t>
      </w:r>
    </w:p>
    <w:p>
      <w:pPr>
        <w:pStyle w:val="Indenta"/>
        <w:spacing w:before="60"/>
      </w:pPr>
      <w:r>
        <w:tab/>
      </w:r>
      <w:r>
        <w:tab/>
        <w:t>or</w:t>
      </w:r>
    </w:p>
    <w:p>
      <w:pPr>
        <w:pStyle w:val="Indenta"/>
        <w:spacing w:before="60"/>
      </w:pPr>
      <w:r>
        <w:tab/>
        <w:t>(b)</w:t>
      </w:r>
      <w:r>
        <w:tab/>
        <w:t xml:space="preserve">in the case of an application seeking registration or renewal for a period of 3 years, specify an expiry day that is — </w:t>
      </w:r>
    </w:p>
    <w:p>
      <w:pPr>
        <w:pStyle w:val="Indenti"/>
        <w:spacing w:before="60"/>
      </w:pPr>
      <w:r>
        <w:tab/>
        <w:t>(i)</w:t>
      </w:r>
      <w:r>
        <w:tab/>
        <w:t>no earlier than the last day of the period of 31 months beginning on the day on which the registration commences or is renewed; and</w:t>
      </w:r>
    </w:p>
    <w:p>
      <w:pPr>
        <w:pStyle w:val="Indenti"/>
        <w:spacing w:before="60"/>
      </w:pPr>
      <w:r>
        <w:tab/>
        <w:t>(ii)</w:t>
      </w:r>
      <w:r>
        <w:tab/>
        <w:t>no later than the last day of the period of 3 years beginning on the day on which the registration commences or is renewed.</w:t>
      </w:r>
    </w:p>
    <w:p>
      <w:pPr>
        <w:pStyle w:val="Subsection"/>
        <w:spacing w:before="120"/>
      </w:pPr>
      <w:r>
        <w:tab/>
        <w:t>(4)</w:t>
      </w:r>
      <w:r>
        <w:tab/>
        <w:t xml:space="preserve">The Building Commissioner must refund a portion, calculated on a pro rata basis, of the registration fee that accompanied an application for registration or renewal in accordance with section 13(3)(c)(ii) if — </w:t>
      </w:r>
    </w:p>
    <w:p>
      <w:pPr>
        <w:pStyle w:val="Indenta"/>
      </w:pPr>
      <w:r>
        <w:tab/>
        <w:t>(a)</w:t>
      </w:r>
      <w:r>
        <w:tab/>
        <w:t>in the case of an application seeking registration or renewal for a period of 18 months — the registration certificate issued to the applicant specifies an expiry day that is earlier than the last day of the period of 18 months beginning on the day on which the registration commences or is renewed; or</w:t>
      </w:r>
    </w:p>
    <w:p>
      <w:pPr>
        <w:pStyle w:val="Indenta"/>
      </w:pPr>
      <w:r>
        <w:tab/>
        <w:t>(b)</w:t>
      </w:r>
      <w:r>
        <w:tab/>
        <w:t>in the case of an application seeking registration or renewal for a period of 3 years — the registration certificate issued to the applicant specifies an expiry day that is earlier than the last day of the period of 3 years beginning on the day on which the registration commences or is renewed.</w:t>
      </w:r>
    </w:p>
    <w:p>
      <w:pPr>
        <w:pStyle w:val="Subsection"/>
        <w:spacing w:before="120"/>
      </w:pPr>
      <w:r>
        <w:tab/>
        <w:t>(5)</w:t>
      </w:r>
      <w:r>
        <w:tab/>
        <w:t>For the purposes of section 15(1), the period commencing 8 weeks before the registration of a person is due to expire and ending when the person’s registration expires is the renewal period for the application for the renewal of the person’s registration.</w:t>
      </w:r>
    </w:p>
    <w:p>
      <w:pPr>
        <w:pStyle w:val="Footnotesection"/>
        <w:spacing w:before="60"/>
        <w:ind w:left="890" w:hanging="890"/>
      </w:pPr>
      <w:r>
        <w:tab/>
        <w:t>[Regulation 7 inserted in Gazette 31 Dec 2013 p.</w:t>
      </w:r>
      <w:r>
        <w:rPr>
          <w:sz w:val="19"/>
        </w:rPr>
        <w:t> </w:t>
      </w:r>
      <w:r>
        <w:t>6535</w:t>
      </w:r>
      <w:r>
        <w:noBreakHyphen/>
        <w:t>7.]</w:t>
      </w:r>
    </w:p>
    <w:p>
      <w:pPr>
        <w:pStyle w:val="Heading5"/>
      </w:pPr>
      <w:bookmarkStart w:id="13" w:name="_Toc478638855"/>
      <w:r>
        <w:rPr>
          <w:rStyle w:val="CharSectno"/>
        </w:rPr>
        <w:t>8</w:t>
      </w:r>
      <w:r>
        <w:t>.</w:t>
      </w:r>
      <w:r>
        <w:tab/>
        <w:t>Membership of Board: occupation groups</w:t>
      </w:r>
      <w:bookmarkEnd w:id="13"/>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spacing w:before="80"/>
              <w:rPr>
                <w:b/>
                <w:bCs/>
              </w:rPr>
            </w:pPr>
            <w:r>
              <w:rPr>
                <w:b/>
                <w:bCs/>
              </w:rPr>
              <w:t>Item</w:t>
            </w:r>
          </w:p>
        </w:tc>
        <w:tc>
          <w:tcPr>
            <w:tcW w:w="2835" w:type="dxa"/>
            <w:tcBorders>
              <w:bottom w:val="single" w:sz="4" w:space="0" w:color="auto"/>
            </w:tcBorders>
          </w:tcPr>
          <w:p>
            <w:pPr>
              <w:pStyle w:val="TableNAm"/>
              <w:spacing w:before="80"/>
              <w:rPr>
                <w:b/>
                <w:bCs/>
              </w:rPr>
            </w:pPr>
            <w:r>
              <w:rPr>
                <w:b/>
                <w:bCs/>
              </w:rPr>
              <w:t>Classes of building service providers</w:t>
            </w:r>
          </w:p>
        </w:tc>
        <w:tc>
          <w:tcPr>
            <w:tcW w:w="2410" w:type="dxa"/>
            <w:tcBorders>
              <w:bottom w:val="single" w:sz="4" w:space="0" w:color="auto"/>
            </w:tcBorders>
          </w:tcPr>
          <w:p>
            <w:pPr>
              <w:pStyle w:val="TableNAm"/>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Next/>
              <w:keepLines/>
            </w:pPr>
          </w:p>
        </w:tc>
        <w:tc>
          <w:tcPr>
            <w:tcW w:w="2835" w:type="dxa"/>
            <w:tcBorders>
              <w:top w:val="nil"/>
              <w:bottom w:val="single" w:sz="4" w:space="0" w:color="auto"/>
            </w:tcBorders>
          </w:tcPr>
          <w:p>
            <w:pPr>
              <w:pStyle w:val="TableNAm"/>
              <w:keepNext/>
              <w:keepLines/>
              <w:spacing w:before="0"/>
            </w:pPr>
            <w:r>
              <w:t>Building surveying contractor level 2 (partnership)</w:t>
            </w:r>
          </w:p>
          <w:p>
            <w:pPr>
              <w:pStyle w:val="TableNAm"/>
              <w:keepNext/>
              <w:keepLines/>
            </w:pPr>
            <w:r>
              <w:t>Building surveying contractor level 2 (company)</w:t>
            </w:r>
          </w:p>
        </w:tc>
        <w:tc>
          <w:tcPr>
            <w:tcW w:w="2410" w:type="dxa"/>
            <w:tcBorders>
              <w:top w:val="nil"/>
              <w:bottom w:val="single" w:sz="4" w:space="0" w:color="auto"/>
            </w:tcBorders>
          </w:tcPr>
          <w:p>
            <w:pPr>
              <w:pStyle w:val="TableNAm"/>
              <w:keepNext/>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pPr>
          </w:p>
        </w:tc>
      </w:tr>
    </w:tbl>
    <w:p>
      <w:pPr>
        <w:pStyle w:val="Footnotesection"/>
      </w:pPr>
      <w:r>
        <w:tab/>
        <w:t>[Regulation 8 amended in Gazette 12 Mar 2012 p. 991-2.]</w:t>
      </w:r>
    </w:p>
    <w:p>
      <w:pPr>
        <w:pStyle w:val="Heading5"/>
      </w:pPr>
      <w:bookmarkStart w:id="14" w:name="_Toc478638856"/>
      <w:r>
        <w:rPr>
          <w:rStyle w:val="CharSectno"/>
        </w:rPr>
        <w:t>9</w:t>
      </w:r>
      <w:r>
        <w:t>.</w:t>
      </w:r>
      <w:r>
        <w:tab/>
        <w:t>Fees</w:t>
      </w:r>
      <w:bookmarkEnd w:id="14"/>
    </w:p>
    <w:p>
      <w:pPr>
        <w:pStyle w:val="Subsection"/>
        <w:spacing w:before="120"/>
      </w:pPr>
      <w:r>
        <w:tab/>
      </w:r>
      <w:r>
        <w:tab/>
        <w:t>The fees set out in Schedule 1 are payable in respect of the matters referred to in that Schedule.</w:t>
      </w:r>
    </w:p>
    <w:p>
      <w:pPr>
        <w:pStyle w:val="Heading5"/>
        <w:spacing w:before="180"/>
      </w:pPr>
      <w:bookmarkStart w:id="15" w:name="_Toc478638857"/>
      <w:r>
        <w:rPr>
          <w:rStyle w:val="CharSectno"/>
        </w:rPr>
        <w:t>10</w:t>
      </w:r>
      <w:r>
        <w:t>.</w:t>
      </w:r>
      <w:r>
        <w:tab/>
        <w:t>Refund of fees for certain cancelled or suspended registrations</w:t>
      </w:r>
      <w:bookmarkEnd w:id="15"/>
    </w:p>
    <w:p>
      <w:pPr>
        <w:pStyle w:val="Subsection"/>
        <w:spacing w:before="120"/>
      </w:pPr>
      <w:r>
        <w:tab/>
        <w:t>(1)</w:t>
      </w:r>
      <w:r>
        <w:tab/>
        <w:t xml:space="preserve">The Building Commissioner may, on the application of a person who has paid a fee under these regulations, refund part or all of the fee if — </w:t>
      </w:r>
    </w:p>
    <w:p>
      <w:pPr>
        <w:pStyle w:val="Indenta"/>
      </w:pPr>
      <w:r>
        <w:tab/>
        <w:t>(a)</w:t>
      </w:r>
      <w:r>
        <w:tab/>
        <w:t>the fee is a registration fee paid in respect of a period of 2 years or more during which the person’s registration has been suspended or cancelled; or</w:t>
      </w:r>
    </w:p>
    <w:p>
      <w:pPr>
        <w:pStyle w:val="Indenta"/>
      </w:pPr>
      <w:r>
        <w:tab/>
        <w:t>(b)</w:t>
      </w:r>
      <w:r>
        <w:tab/>
        <w:t>the Commissioner considers that the circumstances warrant the refund of the fee.</w:t>
      </w:r>
    </w:p>
    <w:p>
      <w:pPr>
        <w:pStyle w:val="Subsection"/>
      </w:pPr>
      <w:r>
        <w:tab/>
        <w:t>(2)</w:t>
      </w:r>
      <w:r>
        <w:tab/>
        <w:t>An application for the refund of fees must be in a form approved by the Building Commissioner.</w:t>
      </w:r>
    </w:p>
    <w:p>
      <w:pPr>
        <w:pStyle w:val="Heading5"/>
      </w:pPr>
      <w:bookmarkStart w:id="16" w:name="_Toc478638858"/>
      <w:r>
        <w:rPr>
          <w:rStyle w:val="CharSectno"/>
        </w:rPr>
        <w:t>11</w:t>
      </w:r>
      <w:r>
        <w:t>.</w:t>
      </w:r>
      <w:r>
        <w:tab/>
        <w:t>Notification of disciplinary action: prescribed Acts</w:t>
      </w:r>
      <w:bookmarkEnd w:id="16"/>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(bb)</w:t>
      </w:r>
      <w:r>
        <w:tab/>
      </w:r>
      <w:r>
        <w:rPr>
          <w:i/>
        </w:rPr>
        <w:t>Architects Act 2003</w:t>
      </w:r>
      <w:r>
        <w:t xml:space="preserve"> (</w:t>
      </w:r>
      <w:smartTag w:uri="urn:schemas-microsoft-com:office:smarttags" w:element="place">
        <w:smartTag w:uri="urn:schemas-microsoft-com:office:smarttags" w:element="State">
          <w:r>
            <w:t>New South Wales</w:t>
          </w:r>
        </w:smartTag>
      </w:smartTag>
      <w:r>
        <w:t>);</w:t>
      </w:r>
    </w:p>
    <w:p>
      <w:pPr>
        <w:pStyle w:val="Indenta"/>
      </w:pPr>
      <w:r>
        <w:tab/>
        <w:t>(bc)</w:t>
      </w:r>
      <w:r>
        <w:tab/>
      </w:r>
      <w:r>
        <w:rPr>
          <w:i/>
        </w:rPr>
        <w:t>Architects Act</w:t>
      </w:r>
      <w:r>
        <w:t xml:space="preserve"> (</w:t>
      </w:r>
      <w:smartTag w:uri="urn:schemas-microsoft-com:office:smarttags" w:element="place">
        <w:smartTag w:uri="urn:schemas-microsoft-com:office:smarttags" w:element="State">
          <w:r>
            <w:t>Northern Territory</w:t>
          </w:r>
        </w:smartTag>
      </w:smartTag>
      <w:r>
        <w:t>);</w:t>
      </w:r>
    </w:p>
    <w:p>
      <w:pPr>
        <w:pStyle w:val="Indenta"/>
      </w:pPr>
      <w:r>
        <w:tab/>
        <w:t>(bd)</w:t>
      </w:r>
      <w:r>
        <w:tab/>
      </w:r>
      <w:r>
        <w:rPr>
          <w:i/>
        </w:rPr>
        <w:t>Architects Act 2002</w:t>
      </w:r>
      <w:r>
        <w:t xml:space="preserve"> (</w:t>
      </w:r>
      <w:smartTag w:uri="urn:schemas-microsoft-com:office:smarttags" w:element="place">
        <w:smartTag w:uri="urn:schemas-microsoft-com:office:smarttags" w:element="State">
          <w:r>
            <w:t>Queensland</w:t>
          </w:r>
        </w:smartTag>
      </w:smartTag>
      <w:r>
        <w:t>);</w:t>
      </w:r>
    </w:p>
    <w:p>
      <w:pPr>
        <w:pStyle w:val="Indenta"/>
      </w:pPr>
      <w:r>
        <w:tab/>
        <w:t>(be)</w:t>
      </w:r>
      <w:r>
        <w:tab/>
      </w:r>
      <w:r>
        <w:rPr>
          <w:i/>
        </w:rPr>
        <w:t>Architects Act 1991</w:t>
      </w:r>
      <w:r>
        <w:t xml:space="preserve"> (</w:t>
      </w:r>
      <w:smartTag w:uri="urn:schemas-microsoft-com:office:smarttags" w:element="place">
        <w:smartTag w:uri="urn:schemas-microsoft-com:office:smarttags" w:element="State">
          <w:r>
            <w:t>Victoria</w:t>
          </w:r>
        </w:smartTag>
      </w:smartTag>
      <w:r>
        <w:t>);</w:t>
      </w:r>
    </w:p>
    <w:p>
      <w:pPr>
        <w:pStyle w:val="Indenta"/>
      </w:pPr>
      <w:r>
        <w:tab/>
        <w:t>(bf)</w:t>
      </w:r>
      <w:r>
        <w:tab/>
      </w:r>
      <w:r>
        <w:rPr>
          <w:i/>
        </w:rPr>
        <w:t>Architectural Practice Act 2009</w:t>
      </w:r>
      <w:r>
        <w:t xml:space="preserve"> (</w:t>
      </w:r>
      <w:smartTag w:uri="urn:schemas-microsoft-com:office:smarttags" w:element="place">
        <w:smartTag w:uri="urn:schemas-microsoft-com:office:smarttags" w:element="State">
          <w:r>
            <w:t>South Australia</w:t>
          </w:r>
        </w:smartTag>
      </w:smartTag>
      <w:r>
        <w:t>);</w:t>
      </w:r>
    </w:p>
    <w:p>
      <w:pPr>
        <w:pStyle w:val="Indenta"/>
      </w:pPr>
      <w:r>
        <w:tab/>
        <w:t>(b)</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(c)</w:t>
      </w:r>
      <w:r>
        <w:tab/>
      </w:r>
      <w:r>
        <w:rPr>
          <w:i/>
        </w:rPr>
        <w:t>Building Act</w:t>
      </w:r>
      <w:r>
        <w:t xml:space="preserve"> (</w:t>
      </w:r>
      <w:smartTag w:uri="urn:schemas-microsoft-com:office:smarttags" w:element="place">
        <w:smartTag w:uri="urn:schemas-microsoft-com:office:smarttags" w:element="State">
          <w:r>
            <w:t>Northern Territory</w:t>
          </w:r>
        </w:smartTag>
      </w:smartTag>
      <w:r>
        <w:t>);</w:t>
      </w:r>
    </w:p>
    <w:p>
      <w:pPr>
        <w:pStyle w:val="Indenta"/>
      </w:pPr>
      <w:r>
        <w:tab/>
        <w:t>(d)</w:t>
      </w:r>
      <w:r>
        <w:tab/>
      </w:r>
      <w:r>
        <w:rPr>
          <w:i/>
        </w:rPr>
        <w:t>Building Act 2000</w:t>
      </w:r>
      <w:r>
        <w:t xml:space="preserve"> (</w:t>
      </w:r>
      <w:smartTag w:uri="urn:schemas-microsoft-com:office:smarttags" w:element="place">
        <w:smartTag w:uri="urn:schemas-microsoft-com:office:smarttags" w:element="State">
          <w:r>
            <w:t>Tasmania</w:t>
          </w:r>
        </w:smartTag>
      </w:smartTag>
      <w:r>
        <w:t>);</w:t>
      </w:r>
    </w:p>
    <w:p>
      <w:pPr>
        <w:pStyle w:val="Indenta"/>
      </w:pPr>
      <w:r>
        <w:tab/>
        <w:t>(e)</w:t>
      </w:r>
      <w:r>
        <w:tab/>
      </w:r>
      <w:r>
        <w:rPr>
          <w:i/>
        </w:rPr>
        <w:t>Building Act 1993</w:t>
      </w:r>
      <w:r>
        <w:t xml:space="preserve"> (</w:t>
      </w:r>
      <w:smartTag w:uri="urn:schemas-microsoft-com:office:smarttags" w:element="place">
        <w:smartTag w:uri="urn:schemas-microsoft-com:office:smarttags" w:element="State">
          <w:r>
            <w:t>Victoria</w:t>
          </w:r>
        </w:smartTag>
      </w:smartTag>
      <w:r>
        <w:t>);</w:t>
      </w:r>
    </w:p>
    <w:p>
      <w:pPr>
        <w:pStyle w:val="Indenta"/>
      </w:pPr>
      <w:r>
        <w:tab/>
        <w:t>(fa)</w:t>
      </w:r>
      <w:r>
        <w:tab/>
      </w:r>
      <w:r>
        <w:rPr>
          <w:i/>
        </w:rPr>
        <w:t>Building Professionals Act 2005</w:t>
      </w:r>
      <w:r>
        <w:t xml:space="preserve"> (</w:t>
      </w:r>
      <w:smartTag w:uri="urn:schemas-microsoft-com:office:smarttags" w:element="place">
        <w:smartTag w:uri="urn:schemas-microsoft-com:office:smarttags" w:element="State">
          <w:r>
            <w:t>New South Wales</w:t>
          </w:r>
        </w:smartTag>
      </w:smartTag>
      <w:r>
        <w:t>);</w:t>
      </w:r>
    </w:p>
    <w:p>
      <w:pPr>
        <w:pStyle w:val="Indenta"/>
      </w:pPr>
      <w:r>
        <w:tab/>
        <w:t>(f)</w:t>
      </w:r>
      <w:r>
        <w:tab/>
      </w:r>
      <w:r>
        <w:rPr>
          <w:i/>
        </w:rPr>
        <w:t>Building Work Contractors Act 1995</w:t>
      </w:r>
      <w:r>
        <w:t xml:space="preserve"> (</w:t>
      </w:r>
      <w:smartTag w:uri="urn:schemas-microsoft-com:office:smarttags" w:element="place">
        <w:smartTag w:uri="urn:schemas-microsoft-com:office:smarttags" w:element="State">
          <w:r>
            <w:t>South Australia</w:t>
          </w:r>
        </w:smartTag>
      </w:smartTag>
      <w:r>
        <w:t>);</w:t>
      </w:r>
    </w:p>
    <w:p>
      <w:pPr>
        <w:pStyle w:val="Indenta"/>
      </w:pPr>
      <w:r>
        <w:tab/>
        <w:t>(g)</w:t>
      </w:r>
      <w:r>
        <w:tab/>
      </w:r>
      <w:r>
        <w:rPr>
          <w:i/>
        </w:rPr>
        <w:t>Construction Occupations (Licensing) Act 2004</w:t>
      </w:r>
      <w:r>
        <w:t xml:space="preserve"> (</w:t>
      </w:r>
      <w:smartTag w:uri="urn:schemas-microsoft-com:office:smarttags" w:element="place">
        <w:smartTag w:uri="urn:schemas-microsoft-com:office:smarttags" w:element="State">
          <w:r>
            <w:t>Australian Capital Territory</w:t>
          </w:r>
        </w:smartTag>
      </w:smartTag>
      <w:r>
        <w:t>);</w:t>
      </w:r>
    </w:p>
    <w:p>
      <w:pPr>
        <w:pStyle w:val="Indenta"/>
      </w:pPr>
      <w:r>
        <w:tab/>
        <w:t>(h)</w:t>
      </w:r>
      <w:r>
        <w:tab/>
      </w:r>
      <w:r>
        <w:rPr>
          <w:i/>
        </w:rPr>
        <w:t>Credit (Administration) Act 1984</w:t>
      </w:r>
      <w:r>
        <w:t>;</w:t>
      </w:r>
    </w:p>
    <w:p>
      <w:pPr>
        <w:pStyle w:val="Indenta"/>
      </w:pPr>
      <w:r>
        <w:tab/>
        <w:t>(ia)</w:t>
      </w:r>
      <w:r>
        <w:tab/>
      </w:r>
      <w:r>
        <w:rPr>
          <w:i/>
        </w:rPr>
        <w:t>Development Act 1993</w:t>
      </w:r>
      <w:r>
        <w:t xml:space="preserve"> (</w:t>
      </w:r>
      <w:smartTag w:uri="urn:schemas-microsoft-com:office:smarttags" w:element="place">
        <w:smartTag w:uri="urn:schemas-microsoft-com:office:smarttags" w:element="State">
          <w:r>
            <w:t>South Australia</w:t>
          </w:r>
        </w:smartTag>
      </w:smartTag>
      <w:r>
        <w:t>);</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smartTag w:uri="urn:schemas-microsoft-com:office:smarttags" w:element="PlaceType">
        <w:r>
          <w:rPr>
            <w:i/>
          </w:rPr>
          <w:t>Home</w:t>
        </w:r>
      </w:smartTag>
      <w:r>
        <w:rPr>
          <w:i/>
        </w:rPr>
        <w:t xml:space="preserve"> </w:t>
      </w:r>
      <w:smartTag w:uri="urn:schemas-microsoft-com:office:smarttags" w:element="PlaceType">
        <w:r>
          <w:rPr>
            <w:i/>
          </w:rPr>
          <w:t>Building</w:t>
        </w:r>
      </w:smartTag>
      <w:r>
        <w:rPr>
          <w:i/>
        </w:rPr>
        <w:t xml:space="preserve"> Act 1989</w:t>
      </w:r>
      <w:r>
        <w:t xml:space="preserve"> (</w:t>
      </w:r>
      <w:smartTag w:uri="urn:schemas-microsoft-com:office:smarttags" w:element="place">
        <w:smartTag w:uri="urn:schemas-microsoft-com:office:smarttags" w:element="State">
          <w:r>
            <w:t>New South Wales</w:t>
          </w:r>
        </w:smartTag>
      </w:smartTag>
      <w:r>
        <w:t>);</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w:t>
      </w:r>
      <w:r>
        <w:tab/>
      </w:r>
      <w:smartTag w:uri="urn:schemas-microsoft-com:office:smarttags" w:element="PlaceName">
        <w:r>
          <w:rPr>
            <w:i/>
          </w:rPr>
          <w:t>Queensland</w:t>
        </w:r>
      </w:smartTag>
      <w:r>
        <w:rPr>
          <w:i/>
        </w:rPr>
        <w:t xml:space="preserve"> </w:t>
      </w:r>
      <w:smartTag w:uri="urn:schemas-microsoft-com:office:smarttags" w:element="PlaceType">
        <w:r>
          <w:rPr>
            <w:i/>
          </w:rPr>
          <w:t>Building</w:t>
        </w:r>
      </w:smartTag>
      <w:r>
        <w:rPr>
          <w:i/>
        </w:rPr>
        <w:t xml:space="preserve"> Services Authority Act 1991</w:t>
      </w:r>
      <w:r>
        <w:t xml:space="preserve"> (</w:t>
      </w:r>
      <w:smartTag w:uri="urn:schemas-microsoft-com:office:smarttags" w:element="place">
        <w:smartTag w:uri="urn:schemas-microsoft-com:office:smarttags" w:element="State">
          <w:r>
            <w:t>Queensland</w:t>
          </w:r>
        </w:smartTag>
      </w:smartTag>
      <w:r>
        <w:t>);</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in Gazette 31 Jan 2012 p. 591</w:t>
      </w:r>
      <w:r>
        <w:noBreakHyphen/>
        <w:t>2; 14 Nov 2013 p. 5029.]</w:t>
      </w:r>
    </w:p>
    <w:p>
      <w:pPr>
        <w:pStyle w:val="Heading2"/>
      </w:pPr>
      <w:bookmarkStart w:id="17" w:name="_Toc454978736"/>
      <w:bookmarkStart w:id="18" w:name="_Toc478638859"/>
      <w:r>
        <w:rPr>
          <w:rStyle w:val="CharPartNo"/>
        </w:rPr>
        <w:t>Part 2</w:t>
      </w:r>
      <w:r>
        <w:t> — </w:t>
      </w:r>
      <w:r>
        <w:rPr>
          <w:rStyle w:val="CharPartText"/>
        </w:rPr>
        <w:t>Builders</w:t>
      </w:r>
      <w:bookmarkEnd w:id="17"/>
      <w:bookmarkEnd w:id="18"/>
    </w:p>
    <w:p>
      <w:pPr>
        <w:pStyle w:val="Heading3"/>
      </w:pPr>
      <w:bookmarkStart w:id="19" w:name="_Toc454978737"/>
      <w:bookmarkStart w:id="20" w:name="_Toc478638860"/>
      <w:r>
        <w:rPr>
          <w:rStyle w:val="CharDivNo"/>
        </w:rPr>
        <w:t>Division 1</w:t>
      </w:r>
      <w:r>
        <w:t> — </w:t>
      </w:r>
      <w:r>
        <w:rPr>
          <w:rStyle w:val="CharDivText"/>
        </w:rPr>
        <w:t>Preliminary</w:t>
      </w:r>
      <w:bookmarkEnd w:id="19"/>
      <w:bookmarkEnd w:id="20"/>
    </w:p>
    <w:p>
      <w:pPr>
        <w:pStyle w:val="Heading5"/>
      </w:pPr>
      <w:bookmarkStart w:id="21" w:name="_Toc478638861"/>
      <w:r>
        <w:rPr>
          <w:rStyle w:val="CharSectno"/>
        </w:rPr>
        <w:t>12</w:t>
      </w:r>
      <w:r>
        <w:t>.</w:t>
      </w:r>
      <w:r>
        <w:tab/>
        <w:t>Terms used</w:t>
      </w:r>
      <w:bookmarkEnd w:id="21"/>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2" w:name="_Toc454978739"/>
      <w:bookmarkStart w:id="23" w:name="_Toc478638862"/>
      <w:r>
        <w:rPr>
          <w:rStyle w:val="CharDivNo"/>
        </w:rPr>
        <w:t>Division 2</w:t>
      </w:r>
      <w:r>
        <w:t> — </w:t>
      </w:r>
      <w:r>
        <w:rPr>
          <w:rStyle w:val="CharDivText"/>
        </w:rPr>
        <w:t>Building service providers</w:t>
      </w:r>
      <w:bookmarkEnd w:id="22"/>
      <w:bookmarkEnd w:id="23"/>
    </w:p>
    <w:p>
      <w:pPr>
        <w:pStyle w:val="Heading5"/>
      </w:pPr>
      <w:bookmarkStart w:id="24" w:name="_Toc478638863"/>
      <w:r>
        <w:rPr>
          <w:rStyle w:val="CharSectno"/>
        </w:rPr>
        <w:t>13</w:t>
      </w:r>
      <w:r>
        <w:t>.</w:t>
      </w:r>
      <w:r>
        <w:tab/>
        <w:t>Terms used</w:t>
      </w:r>
      <w:bookmarkEnd w:id="24"/>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Subsection"/>
      </w:pPr>
      <w:r>
        <w:tab/>
        <w:t>(2)</w:t>
      </w:r>
      <w:r>
        <w:tab/>
        <w:t>If a person carries out, or undertakes to carry out, building work for another person under more than 1  distinct contract or engagement and the building work is substantially a single undertaking in connection with a single building, the value of all the work must be added together for the purposes of calculating the value of the building work.</w:t>
      </w:r>
    </w:p>
    <w:p>
      <w:pPr>
        <w:pStyle w:val="Footnotesection"/>
      </w:pPr>
      <w:r>
        <w:tab/>
        <w:t>[Regulation 13 amended in Gazette 31 Mar 2017 p. 1942.]</w:t>
      </w:r>
    </w:p>
    <w:p>
      <w:pPr>
        <w:pStyle w:val="Heading5"/>
      </w:pPr>
      <w:bookmarkStart w:id="25" w:name="_Toc478638864"/>
      <w:r>
        <w:rPr>
          <w:rStyle w:val="CharSectno"/>
        </w:rPr>
        <w:t>14</w:t>
      </w:r>
      <w:r>
        <w:t>.</w:t>
      </w:r>
      <w:r>
        <w:tab/>
        <w:t>Prescribed titles: building practitioners and building contractors</w:t>
      </w:r>
      <w:bookmarkEnd w:id="25"/>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rPr>
                <w:b/>
              </w:rPr>
            </w:pPr>
            <w:r>
              <w:rPr>
                <w:b/>
              </w:rPr>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26" w:name="_Toc478638865"/>
      <w:r>
        <w:rPr>
          <w:rStyle w:val="CharSectno"/>
        </w:rPr>
        <w:t>15</w:t>
      </w:r>
      <w:r>
        <w:t>.</w:t>
      </w:r>
      <w:r>
        <w:tab/>
        <w:t>Building contractors: building services prescribed</w:t>
      </w:r>
      <w:bookmarkEnd w:id="26"/>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in Gazette 31 Mar 2017 p. 1942.]</w:t>
      </w:r>
    </w:p>
    <w:p>
      <w:pPr>
        <w:pStyle w:val="Heading5"/>
        <w:spacing w:before="260"/>
      </w:pPr>
      <w:bookmarkStart w:id="27" w:name="_Toc478638866"/>
      <w:r>
        <w:rPr>
          <w:rStyle w:val="CharSectno"/>
        </w:rPr>
        <w:t>16</w:t>
      </w:r>
      <w:r>
        <w:t>.</w:t>
      </w:r>
      <w:r>
        <w:tab/>
        <w:t>Qualifications and experience: building practitioners</w:t>
      </w:r>
      <w:bookmarkEnd w:id="27"/>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w:t>
            </w:r>
            <w:r>
              <w:tab/>
              <w:t xml:space="preserve">CPC50210 Diploma of Building and Construction (Building) as described in the CPC08: Construction, Plumbing and Services Training Package published by Training.gov.au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tab/>
              <w:t>(iv)</w:t>
            </w:r>
            <w:r>
              <w:tab/>
              <w:t>CPCCBC5007A — Administer the legal obligations of a building construction contract;</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65" w:hanging="765"/>
            </w:pPr>
            <w:r>
              <w:tab/>
              <w:t>(vii)</w:t>
            </w:r>
            <w:r>
              <w:tab/>
              <w:t>CPCCOHS1001A</w:t>
            </w:r>
            <w:r>
              <w:rPr>
                <w:sz w:val="18"/>
                <w:szCs w:val="18"/>
              </w:rPr>
              <w:t xml:space="preserve"> </w:t>
            </w:r>
            <w:r>
              <w:rPr>
                <w:sz w:val="20"/>
              </w:rPr>
              <w:t xml:space="preserve">— </w:t>
            </w:r>
            <w:r>
              <w:t>Work safety in the construction industry;</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pPr>
            <w:r>
              <w:t>Set 2</w:t>
            </w:r>
          </w:p>
        </w:tc>
        <w:tc>
          <w:tcPr>
            <w:tcW w:w="2977" w:type="dxa"/>
          </w:tcPr>
          <w:p>
            <w:pPr>
              <w:pStyle w:val="TableNAm"/>
              <w:tabs>
                <w:tab w:val="clear" w:pos="567"/>
                <w:tab w:val="left" w:pos="300"/>
                <w:tab w:val="left" w:pos="746"/>
              </w:tabs>
            </w:pPr>
            <w:r>
              <w:t xml:space="preserve">qualifications acceptable for — </w:t>
            </w:r>
          </w:p>
          <w:p>
            <w:pPr>
              <w:pStyle w:val="TableNAm"/>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tabs>
                <w:tab w:val="clear" w:pos="567"/>
                <w:tab w:val="left" w:pos="414"/>
                <w:tab w:val="left" w:pos="746"/>
              </w:tabs>
              <w:spacing w:before="100"/>
              <w:ind w:left="414" w:hanging="414"/>
            </w:pPr>
            <w:r>
              <w:t>(c)</w:t>
            </w:r>
            <w:r>
              <w:tab/>
              <w:t xml:space="preserve">membership as Professional Engineer (MIEAust or FIEAust) of the Institution of Engineers, </w:t>
            </w:r>
            <w:smartTag w:uri="urn:schemas-microsoft-com:office:smarttags" w:element="place">
              <w:smartTag w:uri="urn:schemas-microsoft-com:office:smarttags" w:element="country-region">
                <w:r>
                  <w:t>Australia</w:t>
                </w:r>
              </w:smartTag>
            </w:smartTag>
            <w:r>
              <w:t>; or</w:t>
            </w:r>
          </w:p>
          <w:p>
            <w:pPr>
              <w:pStyle w:val="TableNAm"/>
              <w:tabs>
                <w:tab w:val="clear" w:pos="567"/>
                <w:tab w:val="left" w:pos="414"/>
                <w:tab w:val="left" w:pos="746"/>
              </w:tabs>
              <w:spacing w:before="100"/>
              <w:ind w:left="414" w:hanging="414"/>
            </w:pPr>
            <w:r>
              <w:t>(d)</w:t>
            </w:r>
            <w:r>
              <w:tab/>
              <w:t xml:space="preserve">membership as Fellow or Member of the Australasian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Mining</w:t>
                </w:r>
              </w:smartTag>
            </w:smartTag>
            <w:r>
              <w:t xml:space="preserve"> and Metallurgy,</w:t>
            </w:r>
          </w:p>
          <w:p>
            <w:pPr>
              <w:pStyle w:val="TableNAm"/>
              <w:tabs>
                <w:tab w:val="clear" w:pos="567"/>
                <w:tab w:val="left" w:pos="300"/>
                <w:tab w:val="left" w:pos="746"/>
              </w:tabs>
              <w:spacing w:before="100"/>
            </w:pPr>
            <w:r>
              <w:t>evidenced by such membership or registration</w:t>
            </w:r>
          </w:p>
        </w:tc>
        <w:tc>
          <w:tcPr>
            <w:tcW w:w="2268" w:type="dxa"/>
          </w:tcPr>
          <w:p>
            <w:pPr>
              <w:pStyle w:val="TableNAm"/>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tabs>
                <w:tab w:val="clear" w:pos="567"/>
                <w:tab w:val="left" w:pos="287"/>
                <w:tab w:val="left" w:pos="589"/>
                <w:tab w:val="left" w:pos="746"/>
              </w:tabs>
              <w:spacing w:before="40"/>
            </w:pPr>
            <w:r>
              <w:t xml:space="preserve">experience in supervising or 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rPr>
          <w:cantSplit/>
        </w:trPr>
        <w:tc>
          <w:tcPr>
            <w:tcW w:w="822" w:type="dxa"/>
          </w:tcPr>
          <w:p>
            <w:pPr>
              <w:pStyle w:val="TableNAm"/>
              <w:spacing w:before="40"/>
            </w:pPr>
            <w:r>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2</w:t>
            </w:r>
            <w:r>
              <w:t xml:space="preserve"> applied before it was repealed — </w:t>
            </w:r>
          </w:p>
          <w:p>
            <w:pPr>
              <w:pStyle w:val="TableNAm"/>
              <w:tabs>
                <w:tab w:val="clear" w:pos="567"/>
                <w:tab w:val="left" w:pos="436"/>
              </w:tabs>
              <w:spacing w:before="40"/>
              <w:ind w:left="450" w:hanging="450"/>
            </w:pPr>
            <w:r>
              <w:t>(a)</w:t>
            </w:r>
            <w:r>
              <w:tab/>
              <w:t>for periods totalling at least the equivalent 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2</w:t>
      </w:r>
      <w:r>
        <w:t> section 9A(1) or 10(1).</w:t>
      </w:r>
    </w:p>
    <w:p>
      <w:pPr>
        <w:pStyle w:val="Footnotesection"/>
      </w:pPr>
      <w:r>
        <w:tab/>
        <w:t>[Regulation 16 amended in Gazette 31 Jan 2012 p. 592</w:t>
      </w:r>
      <w:r>
        <w:noBreakHyphen/>
        <w:t>5; 18 Dec 2012 p. 6586.]</w:t>
      </w:r>
    </w:p>
    <w:p>
      <w:pPr>
        <w:pStyle w:val="Heading5"/>
        <w:spacing w:before="260"/>
      </w:pPr>
      <w:bookmarkStart w:id="28" w:name="_Toc478638867"/>
      <w:r>
        <w:rPr>
          <w:rStyle w:val="CharSectno"/>
        </w:rPr>
        <w:t>17</w:t>
      </w:r>
      <w:r>
        <w:t>.</w:t>
      </w:r>
      <w:r>
        <w:tab/>
        <w:t>Conduct of examinations</w:t>
      </w:r>
      <w:bookmarkEnd w:id="28"/>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in Gazette 31 Jan 2012 p. 595.]</w:t>
      </w:r>
    </w:p>
    <w:p>
      <w:pPr>
        <w:pStyle w:val="Heading5"/>
        <w:spacing w:before="260"/>
      </w:pPr>
      <w:bookmarkStart w:id="29" w:name="_Toc478638868"/>
      <w:r>
        <w:rPr>
          <w:rStyle w:val="CharSectno"/>
        </w:rPr>
        <w:t>18</w:t>
      </w:r>
      <w:r>
        <w:t>.</w:t>
      </w:r>
      <w:r>
        <w:tab/>
        <w:t>Financial requirements: building contractors</w:t>
      </w:r>
      <w:bookmarkEnd w:id="29"/>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0" w:name="_Toc478638869"/>
      <w:r>
        <w:rPr>
          <w:rStyle w:val="CharSectno"/>
        </w:rPr>
        <w:t>19</w:t>
      </w:r>
      <w:r>
        <w:t>.</w:t>
      </w:r>
      <w:r>
        <w:tab/>
        <w:t>Prescribed requirements: building contractors</w:t>
      </w:r>
      <w:bookmarkEnd w:id="30"/>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1" w:name="_Toc478638870"/>
      <w:r>
        <w:rPr>
          <w:rStyle w:val="CharSectno"/>
        </w:rPr>
        <w:t>20</w:t>
      </w:r>
      <w:r>
        <w:t>.</w:t>
      </w:r>
      <w:r>
        <w:tab/>
        <w:t>Supervisor for building contractor: eligible person</w:t>
      </w:r>
      <w:bookmarkEnd w:id="31"/>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32" w:name="_Toc478638871"/>
      <w:r>
        <w:rPr>
          <w:rStyle w:val="CharSectno"/>
        </w:rPr>
        <w:t>21</w:t>
      </w:r>
      <w:r>
        <w:t>.</w:t>
      </w:r>
      <w:r>
        <w:tab/>
        <w:t>Display of signs</w:t>
      </w:r>
      <w:bookmarkEnd w:id="32"/>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in Gazette 31 Jan 2012 p. 595; 31 Mar 2017 p. 1942.]</w:t>
      </w:r>
    </w:p>
    <w:p>
      <w:pPr>
        <w:pStyle w:val="Heading3"/>
      </w:pPr>
      <w:bookmarkStart w:id="33" w:name="_Toc454978749"/>
      <w:bookmarkStart w:id="34" w:name="_Toc478638872"/>
      <w:r>
        <w:rPr>
          <w:rStyle w:val="CharDivNo"/>
        </w:rPr>
        <w:t>Division 3</w:t>
      </w:r>
      <w:r>
        <w:t> — </w:t>
      </w:r>
      <w:r>
        <w:rPr>
          <w:rStyle w:val="CharDivText"/>
        </w:rPr>
        <w:t>Owner</w:t>
      </w:r>
      <w:r>
        <w:rPr>
          <w:rStyle w:val="CharDivText"/>
        </w:rPr>
        <w:noBreakHyphen/>
        <w:t>builders</w:t>
      </w:r>
      <w:bookmarkEnd w:id="33"/>
      <w:bookmarkEnd w:id="34"/>
    </w:p>
    <w:p>
      <w:pPr>
        <w:pStyle w:val="Heading5"/>
      </w:pPr>
      <w:bookmarkStart w:id="35" w:name="_Toc478638873"/>
      <w:r>
        <w:rPr>
          <w:rStyle w:val="CharSectno"/>
        </w:rPr>
        <w:t>22</w:t>
      </w:r>
      <w:r>
        <w:t>.</w:t>
      </w:r>
      <w:r>
        <w:tab/>
        <w:t>Terms used</w:t>
      </w:r>
      <w:bookmarkEnd w:id="35"/>
    </w:p>
    <w:p>
      <w:pPr>
        <w:pStyle w:val="Subsection"/>
      </w:pPr>
      <w:r>
        <w:tab/>
      </w:r>
      <w:r>
        <w:tab/>
        <w:t xml:space="preserve">In this Division — </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Heading5"/>
      </w:pPr>
      <w:bookmarkStart w:id="36" w:name="_Toc478638874"/>
      <w:r>
        <w:rPr>
          <w:rStyle w:val="CharSectno"/>
        </w:rPr>
        <w:t>23</w:t>
      </w:r>
      <w:r>
        <w:t>.</w:t>
      </w:r>
      <w:r>
        <w:tab/>
        <w:t>Owner</w:t>
      </w:r>
      <w:r>
        <w:noBreakHyphen/>
        <w:t>builder work</w:t>
      </w:r>
      <w:bookmarkEnd w:id="36"/>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37" w:name="_Toc478638875"/>
      <w:r>
        <w:rPr>
          <w:rStyle w:val="CharSectno"/>
        </w:rPr>
        <w:t>24A</w:t>
      </w:r>
      <w:r>
        <w:t>.</w:t>
      </w:r>
      <w:r>
        <w:tab/>
        <w:t>Prescribed interests in land</w:t>
      </w:r>
      <w:bookmarkEnd w:id="37"/>
    </w:p>
    <w:p>
      <w:pPr>
        <w:pStyle w:val="Subsection"/>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Footnotesection"/>
        <w:spacing w:before="80"/>
      </w:pPr>
      <w:r>
        <w:tab/>
        <w:t>[Regulation 24A inserted in Gazette 31 Jan 2012 p. 596.]</w:t>
      </w:r>
    </w:p>
    <w:p>
      <w:pPr>
        <w:pStyle w:val="Heading5"/>
      </w:pPr>
      <w:bookmarkStart w:id="38" w:name="_Toc478638876"/>
      <w:r>
        <w:rPr>
          <w:rStyle w:val="CharSectno"/>
        </w:rPr>
        <w:t>24</w:t>
      </w:r>
      <w:r>
        <w:t>.</w:t>
      </w:r>
      <w:r>
        <w:tab/>
        <w:t>Evidence of knowledge of duties and responsibilities: owner</w:t>
      </w:r>
      <w:r>
        <w:noBreakHyphen/>
        <w:t>builders</w:t>
      </w:r>
      <w:bookmarkEnd w:id="38"/>
    </w:p>
    <w:p>
      <w:pPr>
        <w:pStyle w:val="Subsection"/>
      </w:pPr>
      <w:r>
        <w:tab/>
      </w:r>
      <w:r>
        <w:tab/>
        <w:t>For the purposes of section 43(3)(b) building practitioner is prescribed as a class of building service practitioner.</w:t>
      </w:r>
    </w:p>
    <w:p>
      <w:pPr>
        <w:pStyle w:val="Heading5"/>
      </w:pPr>
      <w:bookmarkStart w:id="39" w:name="_Toc478638877"/>
      <w:r>
        <w:rPr>
          <w:rStyle w:val="CharSectno"/>
        </w:rPr>
        <w:t>25</w:t>
      </w:r>
      <w:r>
        <w:t>.</w:t>
      </w:r>
      <w:r>
        <w:tab/>
        <w:t>Requirements for owner</w:t>
      </w:r>
      <w:r>
        <w:noBreakHyphen/>
        <w:t>builder approval</w:t>
      </w:r>
      <w:bookmarkEnd w:id="39"/>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in Gazette 31 Jan 2012 p. 596.]</w:t>
      </w:r>
    </w:p>
    <w:p>
      <w:pPr>
        <w:pStyle w:val="Heading5"/>
        <w:spacing w:before="180"/>
      </w:pPr>
      <w:bookmarkStart w:id="40" w:name="_Toc478638878"/>
      <w:r>
        <w:rPr>
          <w:rStyle w:val="CharSectno"/>
        </w:rPr>
        <w:t>26</w:t>
      </w:r>
      <w:r>
        <w:t>.</w:t>
      </w:r>
      <w:r>
        <w:tab/>
        <w:t>Conditions on owner</w:t>
      </w:r>
      <w:r>
        <w:noBreakHyphen/>
        <w:t>builder approvals</w:t>
      </w:r>
      <w:bookmarkEnd w:id="40"/>
    </w:p>
    <w:p>
      <w:pPr>
        <w:pStyle w:val="Subsection"/>
        <w:spacing w:before="120"/>
      </w:pPr>
      <w:r>
        <w:tab/>
      </w:r>
      <w:r>
        <w:tab/>
        <w:t>An owner</w:t>
      </w:r>
      <w:r>
        <w:noBreakHyphen/>
        <w:t>builder approval is subject to the condition that, if any part of the owner</w:t>
      </w:r>
      <w:r>
        <w:noBreakHyphen/>
        <w:t>builder work to which the approval relates must be carried out by a person registered under another written law, the owner</w:t>
      </w:r>
      <w:r>
        <w:noBreakHyphen/>
        <w:t>builder must take all reasonable steps to ensure that the work is carried out by a person who is so registered.</w:t>
      </w:r>
    </w:p>
    <w:p>
      <w:pPr>
        <w:pStyle w:val="Heading5"/>
        <w:spacing w:before="180"/>
      </w:pPr>
      <w:bookmarkStart w:id="41" w:name="_Toc478638879"/>
      <w:r>
        <w:rPr>
          <w:rStyle w:val="CharSectno"/>
        </w:rPr>
        <w:t>27</w:t>
      </w:r>
      <w:r>
        <w:t>.</w:t>
      </w:r>
      <w:r>
        <w:tab/>
        <w:t>Display of signs</w:t>
      </w:r>
      <w:bookmarkEnd w:id="41"/>
    </w:p>
    <w:p>
      <w:pPr>
        <w:pStyle w:val="Subsection"/>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pPr>
      <w:r>
        <w:tab/>
        <w:t>(iii)</w:t>
      </w:r>
      <w:r>
        <w:tab/>
        <w:t>the approval number for the owner</w:t>
      </w:r>
      <w:r>
        <w:noBreakHyphen/>
        <w:t>builder approval granted in respect of the work.</w:t>
      </w:r>
    </w:p>
    <w:p>
      <w:pPr>
        <w:pStyle w:val="Penstart"/>
      </w:pPr>
      <w:r>
        <w:tab/>
        <w:t>Penalty: a fine of $1 000.</w:t>
      </w:r>
    </w:p>
    <w:p>
      <w:pPr>
        <w:pStyle w:val="Footnotesection"/>
        <w:spacing w:before="80"/>
        <w:ind w:left="890" w:hanging="890"/>
      </w:pPr>
      <w:r>
        <w:tab/>
        <w:t>[Regulation 27 amended in Gazette 31 Jan 2012 p. 596.]</w:t>
      </w:r>
    </w:p>
    <w:p>
      <w:pPr>
        <w:pStyle w:val="Heading2"/>
      </w:pPr>
      <w:bookmarkStart w:id="42" w:name="_Toc454978757"/>
      <w:bookmarkStart w:id="43" w:name="_Toc478638880"/>
      <w:r>
        <w:rPr>
          <w:rStyle w:val="CharPartNo"/>
        </w:rPr>
        <w:t>Part 3A</w:t>
      </w:r>
      <w:r>
        <w:rPr>
          <w:rStyle w:val="CharDivNo"/>
        </w:rPr>
        <w:t> </w:t>
      </w:r>
      <w:r>
        <w:t>—</w:t>
      </w:r>
      <w:r>
        <w:rPr>
          <w:rStyle w:val="CharDivText"/>
        </w:rPr>
        <w:t> </w:t>
      </w:r>
      <w:r>
        <w:rPr>
          <w:rStyle w:val="CharPartText"/>
        </w:rPr>
        <w:t>Building surveyors</w:t>
      </w:r>
      <w:bookmarkEnd w:id="42"/>
      <w:bookmarkEnd w:id="43"/>
    </w:p>
    <w:p>
      <w:pPr>
        <w:pStyle w:val="Footnoteheading"/>
      </w:pPr>
      <w:r>
        <w:tab/>
        <w:t>[Heading inserted in Gazette 12 Mar 2012 p. 992.]</w:t>
      </w:r>
    </w:p>
    <w:p>
      <w:pPr>
        <w:pStyle w:val="Heading5"/>
      </w:pPr>
      <w:bookmarkStart w:id="44" w:name="_Toc478638881"/>
      <w:r>
        <w:rPr>
          <w:rStyle w:val="CharSectno"/>
        </w:rPr>
        <w:t>28A</w:t>
      </w:r>
      <w:r>
        <w:t>.</w:t>
      </w:r>
      <w:r>
        <w:tab/>
        <w:t>Terms used</w:t>
      </w:r>
      <w:bookmarkEnd w:id="4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a building or incidental structure — </w:t>
      </w:r>
    </w:p>
    <w:p>
      <w:pPr>
        <w:pStyle w:val="Defpara"/>
        <w:spacing w:before="60"/>
      </w:pPr>
      <w:r>
        <w:tab/>
        <w:t>(a)</w:t>
      </w:r>
      <w:r>
        <w:tab/>
        <w:t>with a floor area up to 2 000 m</w:t>
      </w:r>
      <w:r>
        <w:rPr>
          <w:vertAlign w:val="superscript"/>
        </w:rPr>
        <w:t>2</w:t>
      </w:r>
      <w:r>
        <w:t>; and</w:t>
      </w:r>
    </w:p>
    <w:p>
      <w:pPr>
        <w:pStyle w:val="Defpara"/>
        <w:spacing w:before="60"/>
      </w:pPr>
      <w:r>
        <w:tab/>
        <w:t>(b)</w:t>
      </w:r>
      <w:r>
        <w:tab/>
        <w:t>not more than 3 storeys in height.</w:t>
      </w:r>
    </w:p>
    <w:p>
      <w:pPr>
        <w:pStyle w:val="Footnotesection"/>
      </w:pPr>
      <w:r>
        <w:tab/>
        <w:t>[Regulation 28A inserted in Gazette 12 Mar 2012 p. 992-3.]</w:t>
      </w:r>
    </w:p>
    <w:p>
      <w:pPr>
        <w:pStyle w:val="Heading5"/>
      </w:pPr>
      <w:bookmarkStart w:id="45" w:name="_Toc478638882"/>
      <w:r>
        <w:rPr>
          <w:rStyle w:val="CharSectno"/>
        </w:rPr>
        <w:t>28B</w:t>
      </w:r>
      <w:r>
        <w:t>.</w:t>
      </w:r>
      <w:r>
        <w:tab/>
        <w:t>Prescribed titles: building surveying practitioners and building surveying contractors</w:t>
      </w:r>
      <w:bookmarkEnd w:id="45"/>
    </w:p>
    <w:p>
      <w:pPr>
        <w:pStyle w:val="Subsection"/>
      </w:pPr>
      <w:r>
        <w:tab/>
        <w:t>(1)</w:t>
      </w:r>
      <w:r>
        <w:tab/>
        <w:t>The titles listed under each Part heading in the Table are prescribed for the purposes of section 4(1).</w:t>
      </w:r>
    </w:p>
    <w:p>
      <w:pPr>
        <w:pStyle w:val="THeading"/>
        <w:keepLines/>
      </w:pPr>
      <w:r>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pPr>
            <w:r>
              <w:t>Registered Building Surveying Contractor: Company</w:t>
            </w:r>
          </w:p>
          <w:p>
            <w:pPr>
              <w:pStyle w:val="TableNAm"/>
            </w:pPr>
            <w:r>
              <w:t>Registered Building Surveying Contractor (Company)</w:t>
            </w:r>
          </w:p>
        </w:tc>
      </w:tr>
    </w:tbl>
    <w:p>
      <w:pPr>
        <w:pStyle w:val="Subsection"/>
        <w:keepNext/>
      </w:pPr>
      <w:r>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in Gazette 12 Mar 2012 p. 993-5.]</w:t>
      </w:r>
    </w:p>
    <w:p>
      <w:pPr>
        <w:pStyle w:val="Heading5"/>
      </w:pPr>
      <w:bookmarkStart w:id="46" w:name="_Toc478638883"/>
      <w:r>
        <w:rPr>
          <w:rStyle w:val="CharSectno"/>
        </w:rPr>
        <w:t>28C</w:t>
      </w:r>
      <w:r>
        <w:t>.</w:t>
      </w:r>
      <w:r>
        <w:tab/>
        <w:t>Building surveying contractors: building services prescribed</w:t>
      </w:r>
      <w:bookmarkEnd w:id="46"/>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in Gazette 12 Mar 2012 p. 1009.]</w:t>
      </w:r>
    </w:p>
    <w:p>
      <w:pPr>
        <w:pStyle w:val="Heading5"/>
      </w:pPr>
      <w:bookmarkStart w:id="47" w:name="_Toc478638884"/>
      <w:r>
        <w:rPr>
          <w:rStyle w:val="CharSectno"/>
        </w:rPr>
        <w:t>28D</w:t>
      </w:r>
      <w:r>
        <w:t>.</w:t>
      </w:r>
      <w:r>
        <w:tab/>
        <w:t>Qualifications and experience: building surveying practitioners</w:t>
      </w:r>
      <w:bookmarkEnd w:id="47"/>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 xml:space="preserve">Bachelor of Building Surveying and Certification granted by the </w:t>
            </w:r>
            <w:smartTag w:uri="urn:schemas-microsoft-com:office:smarttags" w:element="place">
              <w:smartTag w:uri="urn:schemas-microsoft-com:office:smarttags" w:element="PlaceName">
                <w:r>
                  <w:t>Central</w:t>
                </w:r>
              </w:smartTag>
              <w:r>
                <w:t xml:space="preserve"> </w:t>
              </w:r>
              <w:smartTag w:uri="urn:schemas-microsoft-com:office:smarttags" w:element="PlaceName">
                <w:r>
                  <w:t>Queensland</w:t>
                </w:r>
              </w:smartTag>
              <w:r>
                <w:t xml:space="preserve"> </w:t>
              </w:r>
              <w:smartTag w:uri="urn:schemas-microsoft-com:office:smarttags" w:element="PlaceType">
                <w:r>
                  <w:t>University</w:t>
                </w:r>
              </w:smartTag>
            </w:smartTag>
            <w:r>
              <w:t>; or</w:t>
            </w:r>
          </w:p>
          <w:p>
            <w:pPr>
              <w:pStyle w:val="TableNAm"/>
            </w:pPr>
            <w:r>
              <w:t>an equivalent qualification as determined by the Board</w:t>
            </w:r>
          </w:p>
        </w:tc>
        <w:tc>
          <w:tcPr>
            <w:tcW w:w="2552" w:type="dxa"/>
          </w:tcPr>
          <w:p>
            <w:pPr>
              <w:pStyle w:val="TableNAm"/>
            </w:pPr>
            <w:r>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3</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1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t>Table</w:t>
      </w:r>
    </w:p>
    <w:tbl>
      <w:tblPr>
        <w:tblW w:w="5954" w:type="dxa"/>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spacing w:before="80"/>
            </w:pPr>
            <w:r>
              <w:t>CPC60108 Advanced Diploma in Building Surveying as described in CPC08: Construction, Plumbing and Services Training Package published by Training.gov.au; or</w:t>
            </w:r>
          </w:p>
          <w:p>
            <w:pPr>
              <w:pStyle w:val="TableNAm"/>
              <w:spacing w:before="60"/>
              <w:rPr>
                <w:b/>
              </w:rPr>
            </w:pPr>
            <w:r>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spacing w:before="100"/>
            </w:pPr>
            <w:r>
              <w:t>Set 2</w:t>
            </w:r>
          </w:p>
        </w:tc>
        <w:tc>
          <w:tcPr>
            <w:tcW w:w="2551" w:type="dxa"/>
          </w:tcPr>
          <w:p>
            <w:pPr>
              <w:pStyle w:val="TableNAm"/>
              <w:spacing w:before="100"/>
            </w:pPr>
            <w:r>
              <w:t>CPC50108 Diploma in Building Surveying as described in CPC08: Construction, Plumbing and Services Training Package published by Training.gov.au</w:t>
            </w:r>
          </w:p>
        </w:tc>
        <w:tc>
          <w:tcPr>
            <w:tcW w:w="2552" w:type="dxa"/>
          </w:tcPr>
          <w:p>
            <w:pPr>
              <w:pStyle w:val="TableNAm"/>
              <w:spacing w:before="100"/>
            </w:pPr>
            <w:r>
              <w:t>periods totalling at least the equivalent of 4 years full</w:t>
            </w:r>
            <w:r>
              <w:noBreakHyphen/>
              <w:t xml:space="preserve">time unrestricted experience as a building surveyor for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 xml:space="preserve">time experience with a local government in </w:t>
            </w:r>
            <w:smartTag w:uri="urn:schemas-microsoft-com:office:smarttags" w:element="place">
              <w:smartTag w:uri="urn:schemas-microsoft-com:office:smarttags" w:element="State">
                <w:r>
                  <w:t>Western Australia</w:t>
                </w:r>
              </w:smartTag>
            </w:smartTag>
            <w:r>
              <w:t xml:space="preserve">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4</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who was registered as a building surveying practitioner level 2 at any time in the period of 3 years ending on the 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rPr>
                <w:szCs w:val="24"/>
              </w:rPr>
            </w:pPr>
            <w:r>
              <w:rPr>
                <w:szCs w:val="24"/>
              </w:rPr>
              <w:t>CPC50108 Diploma in Building Surveying as described in CPC08: Construction, Plumbing and Services Training Package published by Training.gov.au; or</w:t>
            </w:r>
          </w:p>
          <w:p>
            <w:pPr>
              <w:pStyle w:val="TableNAm"/>
              <w:rPr>
                <w:szCs w:val="24"/>
              </w:rPr>
            </w:pPr>
            <w:r>
              <w:rPr>
                <w:szCs w:val="24"/>
              </w:rPr>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in Gazette 12 Mar 2012 p. 995-9; amended in Gazette 6 Nov 2012 p. 5294; 18 Dec 2012 p. 6586</w:t>
      </w:r>
      <w:r>
        <w:noBreakHyphen/>
        <w:t>9; 22 Jan 2013 p. 211; 19 Dec 2014 p. 4842.]</w:t>
      </w:r>
    </w:p>
    <w:p>
      <w:pPr>
        <w:pStyle w:val="Heading5"/>
      </w:pPr>
      <w:bookmarkStart w:id="48" w:name="_Toc478638885"/>
      <w:r>
        <w:rPr>
          <w:rStyle w:val="CharSectno"/>
        </w:rPr>
        <w:t>28E</w:t>
      </w:r>
      <w:r>
        <w:t>.</w:t>
      </w:r>
      <w:r>
        <w:tab/>
        <w:t>Financial requirements: building surveying contractors</w:t>
      </w:r>
      <w:bookmarkEnd w:id="4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in Gazette 12 Mar 2012 p. 999-1000.]</w:t>
      </w:r>
    </w:p>
    <w:p>
      <w:pPr>
        <w:pStyle w:val="Heading5"/>
      </w:pPr>
      <w:bookmarkStart w:id="49" w:name="_Toc478638886"/>
      <w:r>
        <w:rPr>
          <w:rStyle w:val="CharSectno"/>
        </w:rPr>
        <w:t>28F</w:t>
      </w:r>
      <w:r>
        <w:t>.</w:t>
      </w:r>
      <w:r>
        <w:tab/>
        <w:t>Insurance requirements: building surveying contractors</w:t>
      </w:r>
      <w:bookmarkEnd w:id="49"/>
    </w:p>
    <w:p>
      <w:pPr>
        <w:pStyle w:val="Subsection"/>
      </w:pPr>
      <w:r>
        <w:tab/>
      </w:r>
      <w:r>
        <w:tab/>
        <w:t xml:space="preserve">For the purposes of section 18(1)(c) the insurance requirements for registration as a building surveying contractor are that the applicant has professional indemnity insurance with a minimum level of indemnity of — </w:t>
      </w:r>
    </w:p>
    <w:p>
      <w:pPr>
        <w:pStyle w:val="Indenta"/>
      </w:pPr>
      <w:r>
        <w:tab/>
        <w:t>(a)</w:t>
      </w:r>
      <w:r>
        <w:tab/>
        <w:t>$1 000 000 for any one claim; and</w:t>
      </w:r>
    </w:p>
    <w:p>
      <w:pPr>
        <w:pStyle w:val="Indenta"/>
      </w:pPr>
      <w:r>
        <w:tab/>
        <w:t>(b)</w:t>
      </w:r>
      <w:r>
        <w:tab/>
        <w:t>$2 000 000 in aggregate during any one period of insurance.</w:t>
      </w:r>
    </w:p>
    <w:p>
      <w:pPr>
        <w:pStyle w:val="Footnotesection"/>
      </w:pPr>
      <w:r>
        <w:tab/>
        <w:t>[Regulation 28F inserted in Gazette 12 Mar 2012 p. 1000.]</w:t>
      </w:r>
    </w:p>
    <w:p>
      <w:pPr>
        <w:pStyle w:val="Heading5"/>
      </w:pPr>
      <w:bookmarkStart w:id="50" w:name="_Toc478638887"/>
      <w:r>
        <w:rPr>
          <w:rStyle w:val="CharSectno"/>
        </w:rPr>
        <w:t>28G</w:t>
      </w:r>
      <w:r>
        <w:t>.</w:t>
      </w:r>
      <w:r>
        <w:tab/>
        <w:t>Prescribed requirements: building surveying contractors</w:t>
      </w:r>
      <w:bookmarkEnd w:id="5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in Gazette 12 Mar 2012 p. 1001.]</w:t>
      </w:r>
    </w:p>
    <w:p>
      <w:pPr>
        <w:pStyle w:val="Heading5"/>
      </w:pPr>
      <w:bookmarkStart w:id="51" w:name="_Toc478638888"/>
      <w:r>
        <w:rPr>
          <w:rStyle w:val="CharSectno"/>
        </w:rPr>
        <w:t>28H</w:t>
      </w:r>
      <w:r>
        <w:t>.</w:t>
      </w:r>
      <w:r>
        <w:tab/>
        <w:t>Supervisor for building surveying contractors: eligible person</w:t>
      </w:r>
      <w:bookmarkEnd w:id="51"/>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in Gazette 12 Mar 2012 p. 1001-2.]</w:t>
      </w:r>
    </w:p>
    <w:p>
      <w:pPr>
        <w:pStyle w:val="Heading5"/>
        <w:spacing w:before="240"/>
      </w:pPr>
      <w:bookmarkStart w:id="52" w:name="_Toc478638889"/>
      <w:r>
        <w:rPr>
          <w:rStyle w:val="CharSectno"/>
        </w:rPr>
        <w:t>28I</w:t>
      </w:r>
      <w:r>
        <w:t>.</w:t>
      </w:r>
      <w:r>
        <w:tab/>
        <w:t>Condition on registration: building surveying contractor</w:t>
      </w:r>
      <w:bookmarkEnd w:id="5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in Gazette 12 Mar 2012 p. 1010.]</w:t>
      </w:r>
    </w:p>
    <w:p>
      <w:pPr>
        <w:pStyle w:val="Heading5"/>
        <w:spacing w:before="240"/>
      </w:pPr>
      <w:bookmarkStart w:id="53" w:name="_Toc478638890"/>
      <w:r>
        <w:rPr>
          <w:rStyle w:val="CharSectno"/>
        </w:rPr>
        <w:t>28J</w:t>
      </w:r>
      <w:r>
        <w:t>.</w:t>
      </w:r>
      <w:r>
        <w:tab/>
        <w:t>Display of certificate of registration</w:t>
      </w:r>
      <w:bookmarkEnd w:id="53"/>
    </w:p>
    <w:p>
      <w:pPr>
        <w:pStyle w:val="Subsection"/>
      </w:pPr>
      <w:r>
        <w:tab/>
        <w:t>(1)</w:t>
      </w:r>
      <w:r>
        <w:tab/>
        <w:t xml:space="preserve">Subject to subregulation (2), a building surveying contractor who carries out building surveying work as the person issuing a compliance certificate must ensure that there is displayed in a prominent location at the premises where the contractor principally carries on business the following — </w:t>
      </w:r>
    </w:p>
    <w:p>
      <w:pPr>
        <w:pStyle w:val="Indenta"/>
      </w:pPr>
      <w:r>
        <w:tab/>
        <w:t>(a)</w:t>
      </w:r>
      <w:r>
        <w:tab/>
        <w:t>the contractor’s certificate of registration;</w:t>
      </w:r>
    </w:p>
    <w:p>
      <w:pPr>
        <w:pStyle w:val="Indenta"/>
      </w:pPr>
      <w:r>
        <w:tab/>
        <w:t>(b)</w:t>
      </w:r>
      <w:r>
        <w:tab/>
        <w:t>the certificate of registration as a practitioner of a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certificates of registration referred to in subregulation (1) if no part of the residence is used for the purpose of meeting with clients or prospective clients.</w:t>
      </w:r>
    </w:p>
    <w:p>
      <w:pPr>
        <w:pStyle w:val="Footnotesection"/>
      </w:pPr>
      <w:r>
        <w:tab/>
        <w:t>[Regulation 28J inserted in Gazette 12 Mar 2012 p. 1010.]</w:t>
      </w:r>
    </w:p>
    <w:p>
      <w:pPr>
        <w:pStyle w:val="Heading5"/>
      </w:pPr>
      <w:bookmarkStart w:id="54" w:name="_Toc478638891"/>
      <w:r>
        <w:rPr>
          <w:rStyle w:val="CharSectno"/>
        </w:rPr>
        <w:t>28K</w:t>
      </w:r>
      <w:r>
        <w:t>.</w:t>
      </w:r>
      <w:r>
        <w:tab/>
        <w:t>Display of signs</w:t>
      </w:r>
      <w:bookmarkEnd w:id="54"/>
    </w:p>
    <w:p>
      <w:pPr>
        <w:pStyle w:val="Subsection"/>
      </w:pPr>
      <w:r>
        <w:tab/>
        <w:t>(1)</w:t>
      </w:r>
      <w:r>
        <w:tab/>
        <w:t xml:space="preserve">Subject to subregulation (2), a building surveying contractor who carries out building surveying work as the person issuing a compliance certificate must ensure that there is displayed at the premises where the contractor principally carries on business a sign that complies with the following requirements — </w:t>
      </w:r>
    </w:p>
    <w:p>
      <w:pPr>
        <w:pStyle w:val="Indenta"/>
      </w:pPr>
      <w:r>
        <w:tab/>
        <w:t>(a)</w:t>
      </w:r>
      <w:r>
        <w:tab/>
        <w:t>the sign must be located in a prominent position at the premises and be able to be read by a person entering the premises;</w:t>
      </w:r>
    </w:p>
    <w:p>
      <w:pPr>
        <w:pStyle w:val="Indenta"/>
      </w:pPr>
      <w:r>
        <w:tab/>
        <w:t>(b)</w:t>
      </w:r>
      <w:r>
        <w:tab/>
        <w:t xml:space="preserve">the sign must contain the following details — </w:t>
      </w:r>
    </w:p>
    <w:p>
      <w:pPr>
        <w:pStyle w:val="Indenti"/>
      </w:pPr>
      <w:r>
        <w:tab/>
        <w:t>(i)</w:t>
      </w:r>
      <w:r>
        <w:tab/>
        <w:t>the registered name of the contractor;</w:t>
      </w:r>
    </w:p>
    <w:p>
      <w:pPr>
        <w:pStyle w:val="Indenti"/>
      </w:pPr>
      <w:r>
        <w:tab/>
        <w:t>(ii)</w:t>
      </w:r>
      <w:r>
        <w:tab/>
        <w:t>the trading name of the contractor if the trading name is different to the registered name;</w:t>
      </w:r>
    </w:p>
    <w:p>
      <w:pPr>
        <w:pStyle w:val="Indenti"/>
      </w:pPr>
      <w:r>
        <w:tab/>
        <w:t>(iii)</w:t>
      </w:r>
      <w:r>
        <w:tab/>
        <w:t>the class of registration of the contractor;</w:t>
      </w:r>
    </w:p>
    <w:p>
      <w:pPr>
        <w:pStyle w:val="Indenti"/>
      </w:pPr>
      <w:r>
        <w:tab/>
        <w:t>(iv)</w:t>
      </w:r>
      <w:r>
        <w:tab/>
        <w:t>the contractor’s registration number;</w:t>
      </w:r>
    </w:p>
    <w:p>
      <w:pPr>
        <w:pStyle w:val="Indenti"/>
      </w:pPr>
      <w:r>
        <w:tab/>
        <w:t>(v)</w:t>
      </w:r>
      <w:r>
        <w:tab/>
        <w:t>the name and registration number of at least one nominated supervisor for the contractor.</w:t>
      </w:r>
    </w:p>
    <w:p>
      <w:pPr>
        <w:pStyle w:val="Penstart"/>
      </w:pPr>
      <w:r>
        <w:tab/>
        <w:t>Penalty: a fine of $1 000.</w:t>
      </w:r>
    </w:p>
    <w:p>
      <w:pPr>
        <w:pStyle w:val="Subsection"/>
      </w:pPr>
      <w:r>
        <w:tab/>
        <w:t>(2)</w:t>
      </w:r>
      <w:r>
        <w:tab/>
        <w:t>A building surveying contractor who carries on business at a private residence is not required to display the sign referred to in subregulation (1) if no part of the residence is used for the purpose of meeting with clients or prospective clients.</w:t>
      </w:r>
    </w:p>
    <w:p>
      <w:pPr>
        <w:pStyle w:val="Footnotesection"/>
      </w:pPr>
      <w:r>
        <w:tab/>
        <w:t>[Regulation 28K inserted in Gazette 12 Mar 2012 p. 1011.]</w:t>
      </w:r>
    </w:p>
    <w:p>
      <w:pPr>
        <w:pStyle w:val="Heading2"/>
      </w:pPr>
      <w:bookmarkStart w:id="55" w:name="_Toc454978769"/>
      <w:bookmarkStart w:id="56" w:name="_Toc478638892"/>
      <w:r>
        <w:rPr>
          <w:rStyle w:val="CharPartNo"/>
        </w:rPr>
        <w:t>Part 3</w:t>
      </w:r>
      <w:r>
        <w:rPr>
          <w:rStyle w:val="CharDivNo"/>
        </w:rPr>
        <w:t> </w:t>
      </w:r>
      <w:r>
        <w:t>—</w:t>
      </w:r>
      <w:r>
        <w:rPr>
          <w:rStyle w:val="CharDivText"/>
        </w:rPr>
        <w:t> </w:t>
      </w:r>
      <w:r>
        <w:rPr>
          <w:rStyle w:val="CharPartText"/>
        </w:rPr>
        <w:t>Painters</w:t>
      </w:r>
      <w:bookmarkEnd w:id="55"/>
      <w:bookmarkEnd w:id="56"/>
    </w:p>
    <w:p>
      <w:pPr>
        <w:pStyle w:val="Heading5"/>
        <w:spacing w:before="240"/>
      </w:pPr>
      <w:bookmarkStart w:id="57" w:name="_Toc478638893"/>
      <w:r>
        <w:rPr>
          <w:rStyle w:val="CharSectno"/>
        </w:rPr>
        <w:t>28</w:t>
      </w:r>
      <w:r>
        <w:t>.</w:t>
      </w:r>
      <w:r>
        <w:tab/>
        <w:t>Terms used</w:t>
      </w:r>
      <w:bookmarkEnd w:id="57"/>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If materials used in painting are provided or supplied at the cost of a person other than the person carrying out the painting the value of the materials is to be added to the value of the contract to carry out the work for the purposes of calculating the value of the painting work.</w:t>
      </w:r>
    </w:p>
    <w:p>
      <w:pPr>
        <w:pStyle w:val="Heading5"/>
        <w:spacing w:before="240"/>
      </w:pPr>
      <w:bookmarkStart w:id="58" w:name="_Toc478638894"/>
      <w:r>
        <w:rPr>
          <w:rStyle w:val="CharSectno"/>
        </w:rPr>
        <w:t>29</w:t>
      </w:r>
      <w:r>
        <w:t>.</w:t>
      </w:r>
      <w:r>
        <w:tab/>
        <w:t>Prescribed titles: painting practitioners and painting contractors</w:t>
      </w:r>
      <w:bookmarkEnd w:id="58"/>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59" w:name="_Toc478638895"/>
      <w:r>
        <w:rPr>
          <w:rStyle w:val="CharSectno"/>
        </w:rPr>
        <w:t>30</w:t>
      </w:r>
      <w:r>
        <w:t>.</w:t>
      </w:r>
      <w:r>
        <w:tab/>
        <w:t>Painting contractors: building services prescribed</w:t>
      </w:r>
      <w:bookmarkEnd w:id="5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60" w:name="_Toc478638896"/>
      <w:r>
        <w:rPr>
          <w:rStyle w:val="CharSectno"/>
        </w:rPr>
        <w:t>31</w:t>
      </w:r>
      <w:r>
        <w:t>.</w:t>
      </w:r>
      <w:r>
        <w:tab/>
        <w:t>Qualifications and experience: painting practitioners</w:t>
      </w:r>
      <w:bookmarkEnd w:id="60"/>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TableNAm"/>
              <w:spacing w:before="80"/>
              <w:rPr>
                <w:b/>
                <w:bCs/>
              </w:rPr>
            </w:pPr>
          </w:p>
        </w:tc>
        <w:tc>
          <w:tcPr>
            <w:tcW w:w="2694" w:type="dxa"/>
          </w:tcPr>
          <w:p>
            <w:pPr>
              <w:pStyle w:val="TableNAm"/>
              <w:spacing w:before="80"/>
              <w:rPr>
                <w:b/>
                <w:bCs/>
              </w:rPr>
            </w:pPr>
            <w:r>
              <w:rPr>
                <w:b/>
                <w:bCs/>
              </w:rPr>
              <w:t>Qualifications</w:t>
            </w:r>
          </w:p>
        </w:tc>
        <w:tc>
          <w:tcPr>
            <w:tcW w:w="2693" w:type="dxa"/>
          </w:tcPr>
          <w:p>
            <w:pPr>
              <w:pStyle w:val="TableNAm"/>
              <w:spacing w:before="80"/>
              <w:rPr>
                <w:b/>
                <w:bCs/>
              </w:rPr>
            </w:pPr>
            <w:r>
              <w:rPr>
                <w:b/>
                <w:bCs/>
              </w:rPr>
              <w:t>Experience</w:t>
            </w:r>
          </w:p>
        </w:tc>
      </w:tr>
      <w:tr>
        <w:tc>
          <w:tcPr>
            <w:tcW w:w="822" w:type="dxa"/>
          </w:tcPr>
          <w:p>
            <w:pPr>
              <w:pStyle w:val="TableNAm"/>
              <w:spacing w:before="80"/>
            </w:pPr>
            <w:r>
              <w:t>Set 1</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paragraph (a) of set 3;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gained in the course of the completion of an apprenticeship in painting; or</w:t>
            </w:r>
          </w:p>
          <w:p>
            <w:pPr>
              <w:pStyle w:val="TableNAm"/>
              <w:tabs>
                <w:tab w:val="clear" w:pos="567"/>
                <w:tab w:val="left" w:pos="411"/>
              </w:tabs>
              <w:spacing w:before="80"/>
              <w:ind w:left="425" w:hanging="425"/>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spacing w:before="80"/>
            </w:pPr>
            <w:r>
              <w:t>Set 2</w:t>
            </w:r>
          </w:p>
        </w:tc>
        <w:tc>
          <w:tcPr>
            <w:tcW w:w="2694" w:type="dxa"/>
          </w:tcPr>
          <w:p>
            <w:pPr>
              <w:pStyle w:val="TableNAm"/>
              <w:tabs>
                <w:tab w:val="clear" w:pos="567"/>
                <w:tab w:val="left" w:pos="445"/>
              </w:tabs>
              <w:spacing w:before="80"/>
              <w:ind w:left="445" w:hanging="445"/>
            </w:pPr>
            <w:r>
              <w:t>(a)</w:t>
            </w:r>
            <w:r>
              <w:tab/>
              <w:t>CPC30611 Certificate III in Painting and Decorating as described in the CPC08: Construction, Plumbing and Services Training Package published by Training.gov.au; or</w:t>
            </w:r>
          </w:p>
          <w:p>
            <w:pPr>
              <w:pStyle w:val="TableNAm"/>
              <w:tabs>
                <w:tab w:val="clear" w:pos="567"/>
                <w:tab w:val="left" w:pos="445"/>
              </w:tabs>
              <w:spacing w:before="80"/>
              <w:ind w:left="445" w:hanging="445"/>
            </w:pPr>
            <w:r>
              <w:t>(b)</w:t>
            </w:r>
            <w:r>
              <w:tab/>
              <w:t>an equivalent qualification as determined by the Board</w:t>
            </w:r>
          </w:p>
        </w:tc>
        <w:tc>
          <w:tcPr>
            <w:tcW w:w="2693" w:type="dxa"/>
          </w:tcPr>
          <w:p>
            <w:pPr>
              <w:pStyle w:val="TableNAm"/>
              <w:tabs>
                <w:tab w:val="clear" w:pos="567"/>
                <w:tab w:val="left" w:pos="411"/>
              </w:tabs>
              <w:spacing w:before="80"/>
              <w:ind w:left="425" w:hanging="425"/>
            </w:pPr>
            <w:r>
              <w:t>(a)</w:t>
            </w:r>
            <w:r>
              <w:tab/>
              <w:t>experience in carrying out painting work for periods totalling at least the equivalent of 4 years full</w:t>
            </w:r>
            <w:r>
              <w:noBreakHyphen/>
              <w:t>time covering a significant range of painting techniques; and</w:t>
            </w:r>
          </w:p>
          <w:p>
            <w:pPr>
              <w:pStyle w:val="TableNAm"/>
              <w:tabs>
                <w:tab w:val="clear" w:pos="567"/>
                <w:tab w:val="left" w:pos="411"/>
              </w:tabs>
              <w:spacing w:before="80"/>
              <w:ind w:left="425" w:hanging="425"/>
            </w:pPr>
            <w:r>
              <w:t>(b)</w:t>
            </w:r>
            <w:r>
              <w:tab/>
              <w:t>experience in small business management and estimating and specification sufficient to gain knowledge and skills equivalent to those possessed by a person who has successfully 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tabs>
                <w:tab w:val="clear" w:pos="567"/>
                <w:tab w:val="left" w:pos="445"/>
              </w:tabs>
              <w:ind w:left="445" w:hanging="445"/>
            </w:pPr>
            <w:r>
              <w:t>(a)</w:t>
            </w:r>
            <w:r>
              <w:tab/>
              <w:t>52202 Course in Painters’ Registration being an accredited course described in the register published by Training.gov.au; or</w:t>
            </w:r>
          </w:p>
          <w:p>
            <w:pPr>
              <w:pStyle w:val="TableNAm"/>
              <w:tabs>
                <w:tab w:val="clear" w:pos="567"/>
                <w:tab w:val="left" w:pos="445"/>
              </w:tabs>
              <w:ind w:left="445" w:hanging="445"/>
            </w:pPr>
            <w:r>
              <w:t>(b)</w:t>
            </w:r>
            <w:r>
              <w:tab/>
              <w:t>an equivalent qualification as determined by the Board</w:t>
            </w:r>
          </w:p>
        </w:tc>
        <w:tc>
          <w:tcPr>
            <w:tcW w:w="2693" w:type="dxa"/>
          </w:tcPr>
          <w:p>
            <w:pPr>
              <w:pStyle w:val="TableNAm"/>
              <w:tabs>
                <w:tab w:val="clear" w:pos="567"/>
                <w:tab w:val="left" w:pos="746"/>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pPr>
            <w:r>
              <w:t>Set 4</w:t>
            </w:r>
          </w:p>
        </w:tc>
        <w:tc>
          <w:tcPr>
            <w:tcW w:w="2694" w:type="dxa"/>
          </w:tcPr>
          <w:p>
            <w:pPr>
              <w:pStyle w:val="TableNAm"/>
              <w:tabs>
                <w:tab w:val="clear" w:pos="567"/>
                <w:tab w:val="left" w:pos="357"/>
                <w:tab w:val="left" w:pos="746"/>
              </w:tabs>
              <w:ind w:left="357" w:hanging="357"/>
            </w:pPr>
          </w:p>
        </w:tc>
        <w:tc>
          <w:tcPr>
            <w:tcW w:w="2693" w:type="dxa"/>
          </w:tcPr>
          <w:p>
            <w:pPr>
              <w:pStyle w:val="TableNAm"/>
              <w:tabs>
                <w:tab w:val="clear" w:pos="567"/>
                <w:tab w:val="left" w:pos="746"/>
              </w:tabs>
            </w:pPr>
            <w:r>
              <w:t xml:space="preserve">experience in carrying out painting work — </w:t>
            </w:r>
          </w:p>
          <w:p>
            <w:pPr>
              <w:pStyle w:val="TableNAm"/>
              <w:tabs>
                <w:tab w:val="clear" w:pos="567"/>
                <w:tab w:val="left" w:pos="411"/>
              </w:tabs>
              <w:spacing w:after="120"/>
              <w:ind w:left="425" w:hanging="425"/>
            </w:pPr>
            <w:r>
              <w:t>(a)</w:t>
            </w:r>
            <w:r>
              <w:tab/>
              <w:t>covering a significant range of painting techniques for periods totalling at least the equivalent of 5 years full</w:t>
            </w:r>
            <w:r>
              <w:noBreakHyphen/>
              <w:t>time; and</w:t>
            </w:r>
          </w:p>
          <w:p>
            <w:pPr>
              <w:pStyle w:val="TableNAm"/>
              <w:tabs>
                <w:tab w:val="clear" w:pos="567"/>
                <w:tab w:val="left" w:pos="411"/>
              </w:tabs>
              <w:ind w:left="425" w:hanging="425"/>
            </w:pPr>
            <w:r>
              <w:t>(b)</w:t>
            </w:r>
            <w:r>
              <w:tab/>
              <w:t>sufficient to gain knowledge and skills equivalent to those possessed by a person who has successfully completed a qualification referred to in set 3</w:t>
            </w: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spacing w:before="140"/>
      </w:pPr>
      <w:r>
        <w:tab/>
        <w:t>(4)</w:t>
      </w:r>
      <w:r>
        <w:tab/>
        <w:t xml:space="preserve">In subregulation (3) — </w:t>
      </w:r>
    </w:p>
    <w:p>
      <w:pPr>
        <w:pStyle w:val="Defstart"/>
      </w:pPr>
      <w:r>
        <w:tab/>
      </w:r>
      <w:r>
        <w:rPr>
          <w:rStyle w:val="CharDefText"/>
        </w:rPr>
        <w:t>eligible person</w:t>
      </w:r>
      <w:r>
        <w:t xml:space="preserve"> means a person — </w:t>
      </w:r>
    </w:p>
    <w:p>
      <w:pPr>
        <w:pStyle w:val="Defpara"/>
        <w:spacing w:before="60"/>
      </w:pPr>
      <w:r>
        <w:tab/>
        <w:t>(a)</w:t>
      </w:r>
      <w:r>
        <w:tab/>
        <w:t>who was previously registered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Defstart"/>
      </w:pPr>
      <w:r>
        <w:tab/>
      </w:r>
      <w:r>
        <w:rPr>
          <w:rStyle w:val="CharDefText"/>
        </w:rPr>
        <w:t>previously registered</w:t>
      </w:r>
      <w:r>
        <w:t xml:space="preserve"> means — </w:t>
      </w:r>
    </w:p>
    <w:p>
      <w:pPr>
        <w:pStyle w:val="Defpara"/>
        <w:spacing w:before="60"/>
      </w:pPr>
      <w:r>
        <w:tab/>
        <w:t>(a)</w:t>
      </w:r>
      <w:r>
        <w:tab/>
        <w:t>registered as a painting practitioner; or</w:t>
      </w:r>
    </w:p>
    <w:p>
      <w:pPr>
        <w:pStyle w:val="Defpara"/>
        <w:spacing w:before="60"/>
      </w:pPr>
      <w:r>
        <w:tab/>
        <w:t>(b)</w:t>
      </w:r>
      <w:r>
        <w:tab/>
        <w:t xml:space="preserve">registered under the </w:t>
      </w:r>
      <w:r>
        <w:rPr>
          <w:i/>
        </w:rPr>
        <w:t>Painters’ Registration Act 1961</w:t>
      </w:r>
      <w:r>
        <w:rPr>
          <w:vertAlign w:val="superscript"/>
        </w:rPr>
        <w:t> 5</w:t>
      </w:r>
      <w:r>
        <w:t xml:space="preserve"> section 12(1) or (2).</w:t>
      </w:r>
    </w:p>
    <w:p>
      <w:pPr>
        <w:pStyle w:val="Footnotesection"/>
        <w:spacing w:before="80"/>
      </w:pPr>
      <w:r>
        <w:tab/>
        <w:t>[Regulation 31 amended in Gazette 31 Jan 2012 p. 596</w:t>
      </w:r>
      <w:r>
        <w:noBreakHyphen/>
        <w:t>9; 18 Dec 2012 p. 6589.]</w:t>
      </w:r>
    </w:p>
    <w:p>
      <w:pPr>
        <w:pStyle w:val="Heading5"/>
      </w:pPr>
      <w:bookmarkStart w:id="61" w:name="_Toc478638897"/>
      <w:r>
        <w:rPr>
          <w:rStyle w:val="CharSectno"/>
        </w:rPr>
        <w:t>32</w:t>
      </w:r>
      <w:r>
        <w:t>.</w:t>
      </w:r>
      <w:r>
        <w:tab/>
        <w:t>Conduct of examinations</w:t>
      </w:r>
      <w:bookmarkEnd w:id="61"/>
    </w:p>
    <w:p>
      <w:pPr>
        <w:pStyle w:val="Subsection"/>
      </w:pPr>
      <w:r>
        <w:tab/>
      </w:r>
      <w:r>
        <w:tab/>
        <w:t>For the purpose of assessing a person’s knowledge and skills in relation to painting work, small business management or estimating and specification, the Board may conduct such examinations as the Board considers appropriate.</w:t>
      </w:r>
    </w:p>
    <w:p>
      <w:pPr>
        <w:pStyle w:val="Heading5"/>
      </w:pPr>
      <w:bookmarkStart w:id="62" w:name="_Toc478638898"/>
      <w:r>
        <w:rPr>
          <w:rStyle w:val="CharSectno"/>
        </w:rPr>
        <w:t>33</w:t>
      </w:r>
      <w:r>
        <w:t>.</w:t>
      </w:r>
      <w:r>
        <w:tab/>
        <w:t>Financial requirements: painting contractors</w:t>
      </w:r>
      <w:bookmarkEnd w:id="62"/>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spacing w:before="180"/>
      </w:pPr>
      <w:r>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63" w:name="_Toc478638899"/>
      <w:r>
        <w:rPr>
          <w:rStyle w:val="CharSectno"/>
        </w:rPr>
        <w:t>34</w:t>
      </w:r>
      <w:r>
        <w:t>.</w:t>
      </w:r>
      <w:r>
        <w:tab/>
        <w:t>Prescribed requirements: painting contractors</w:t>
      </w:r>
      <w:bookmarkEnd w:id="63"/>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64" w:name="_Toc478638900"/>
      <w:r>
        <w:rPr>
          <w:rStyle w:val="CharSectno"/>
        </w:rPr>
        <w:t>35</w:t>
      </w:r>
      <w:r>
        <w:t>.</w:t>
      </w:r>
      <w:r>
        <w:tab/>
        <w:t>Supervisor for painting contractor: eligible person</w:t>
      </w:r>
      <w:bookmarkEnd w:id="64"/>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65" w:name="_Toc478638901"/>
      <w:r>
        <w:rPr>
          <w:rStyle w:val="CharSectno"/>
        </w:rPr>
        <w:t>36</w:t>
      </w:r>
      <w:r>
        <w:t>.</w:t>
      </w:r>
      <w:r>
        <w:tab/>
        <w:t>Display of signs</w:t>
      </w:r>
      <w:bookmarkEnd w:id="65"/>
    </w:p>
    <w:p>
      <w:pPr>
        <w:pStyle w:val="Subsection"/>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in Gazette 31 Jan 2012 p. 599.]</w:t>
      </w:r>
    </w:p>
    <w:p>
      <w:pPr>
        <w:pStyle w:val="Heading2"/>
      </w:pPr>
      <w:bookmarkStart w:id="66" w:name="_Toc454978779"/>
      <w:bookmarkStart w:id="67" w:name="_Toc478638902"/>
      <w:r>
        <w:rPr>
          <w:rStyle w:val="CharPartNo"/>
        </w:rPr>
        <w:t>Part 4</w:t>
      </w:r>
      <w:r>
        <w:t> — </w:t>
      </w:r>
      <w:r>
        <w:rPr>
          <w:rStyle w:val="CharPartText"/>
        </w:rPr>
        <w:t>Transitional provisions</w:t>
      </w:r>
      <w:bookmarkEnd w:id="66"/>
      <w:bookmarkEnd w:id="67"/>
    </w:p>
    <w:p>
      <w:pPr>
        <w:pStyle w:val="Heading3"/>
      </w:pPr>
      <w:bookmarkStart w:id="68" w:name="_Toc454978780"/>
      <w:bookmarkStart w:id="69" w:name="_Toc478638903"/>
      <w:r>
        <w:rPr>
          <w:rStyle w:val="CharDivNo"/>
        </w:rPr>
        <w:t>Division 1</w:t>
      </w:r>
      <w:r>
        <w:t> — </w:t>
      </w:r>
      <w:r>
        <w:rPr>
          <w:rStyle w:val="CharDivText"/>
          <w:i/>
        </w:rPr>
        <w:t>Builders’ Registration Act 1939</w:t>
      </w:r>
      <w:bookmarkEnd w:id="68"/>
      <w:bookmarkEnd w:id="69"/>
    </w:p>
    <w:p>
      <w:pPr>
        <w:pStyle w:val="Heading5"/>
      </w:pPr>
      <w:bookmarkStart w:id="70" w:name="_Toc478638904"/>
      <w:r>
        <w:rPr>
          <w:rStyle w:val="CharSectno"/>
        </w:rPr>
        <w:t>37</w:t>
      </w:r>
      <w:r>
        <w:t>.</w:t>
      </w:r>
      <w:r>
        <w:tab/>
        <w:t>Terms used</w:t>
      </w:r>
      <w:bookmarkEnd w:id="70"/>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2</w:t>
      </w:r>
      <w:r>
        <w:t>.</w:t>
      </w:r>
    </w:p>
    <w:p>
      <w:pPr>
        <w:pStyle w:val="Heading5"/>
      </w:pPr>
      <w:bookmarkStart w:id="71" w:name="_Toc478638905"/>
      <w:r>
        <w:rPr>
          <w:rStyle w:val="CharSectno"/>
        </w:rPr>
        <w:t>38</w:t>
      </w:r>
      <w:r>
        <w:t>.</w:t>
      </w:r>
      <w:r>
        <w:tab/>
        <w:t>Continuation of registration (Act s. 114)</w:t>
      </w:r>
      <w:bookmarkEnd w:id="71"/>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72" w:name="_Toc478638906"/>
      <w:r>
        <w:rPr>
          <w:rStyle w:val="CharSectno"/>
        </w:rPr>
        <w:t>39</w:t>
      </w:r>
      <w:r>
        <w:t>.</w:t>
      </w:r>
      <w:r>
        <w:tab/>
        <w:t>Continuation of declaration of ineligible persons</w:t>
      </w:r>
      <w:bookmarkEnd w:id="72"/>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73" w:name="_Toc478638907"/>
      <w:r>
        <w:rPr>
          <w:rStyle w:val="CharSectno"/>
        </w:rPr>
        <w:t>40</w:t>
      </w:r>
      <w:r>
        <w:t>.</w:t>
      </w:r>
      <w:r>
        <w:tab/>
        <w:t>Membership of Board — experience as builder</w:t>
      </w:r>
      <w:bookmarkEnd w:id="73"/>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74" w:name="_Toc478638908"/>
      <w:r>
        <w:rPr>
          <w:rStyle w:val="CharSectno"/>
        </w:rPr>
        <w:t>41</w:t>
      </w:r>
      <w:r>
        <w:t>.</w:t>
      </w:r>
      <w:r>
        <w:tab/>
        <w:t>Continuation of owner</w:t>
      </w:r>
      <w:r>
        <w:noBreakHyphen/>
        <w:t>builder authorisation</w:t>
      </w:r>
      <w:bookmarkEnd w:id="74"/>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75" w:name="_Toc478638909"/>
      <w:r>
        <w:rPr>
          <w:rStyle w:val="CharSectno"/>
        </w:rPr>
        <w:t>42</w:t>
      </w:r>
      <w:r>
        <w:t>.</w:t>
      </w:r>
      <w:r>
        <w:tab/>
        <w:t>Building Commissioner may exercise powers</w:t>
      </w:r>
      <w:bookmarkEnd w:id="75"/>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76" w:name="_Toc454978787"/>
      <w:bookmarkStart w:id="77" w:name="_Toc478638910"/>
      <w:r>
        <w:rPr>
          <w:rStyle w:val="CharDivNo"/>
        </w:rPr>
        <w:t>Division 2</w:t>
      </w:r>
      <w:r>
        <w:t> — </w:t>
      </w:r>
      <w:r>
        <w:rPr>
          <w:rStyle w:val="CharDivText"/>
          <w:i/>
        </w:rPr>
        <w:t>Painters’ Registration Act 1961</w:t>
      </w:r>
      <w:bookmarkEnd w:id="76"/>
      <w:bookmarkEnd w:id="77"/>
    </w:p>
    <w:p>
      <w:pPr>
        <w:pStyle w:val="Heading5"/>
      </w:pPr>
      <w:bookmarkStart w:id="78" w:name="_Toc478638911"/>
      <w:r>
        <w:rPr>
          <w:rStyle w:val="CharSectno"/>
        </w:rPr>
        <w:t>43</w:t>
      </w:r>
      <w:r>
        <w:t>.</w:t>
      </w:r>
      <w:r>
        <w:tab/>
        <w:t>Terms used</w:t>
      </w:r>
      <w:bookmarkEnd w:id="78"/>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5</w:t>
      </w:r>
      <w:r>
        <w:t>.</w:t>
      </w:r>
    </w:p>
    <w:p>
      <w:pPr>
        <w:pStyle w:val="Heading5"/>
      </w:pPr>
      <w:bookmarkStart w:id="79" w:name="_Toc478638912"/>
      <w:r>
        <w:rPr>
          <w:rStyle w:val="CharSectno"/>
        </w:rPr>
        <w:t>44</w:t>
      </w:r>
      <w:r>
        <w:t>.</w:t>
      </w:r>
      <w:r>
        <w:tab/>
        <w:t>Continuation of registration (Act s. 127)</w:t>
      </w:r>
      <w:bookmarkEnd w:id="79"/>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80" w:name="_Toc478638913"/>
      <w:r>
        <w:rPr>
          <w:rStyle w:val="CharSectno"/>
        </w:rPr>
        <w:t>45</w:t>
      </w:r>
      <w:r>
        <w:t>.</w:t>
      </w:r>
      <w:r>
        <w:tab/>
        <w:t>Membership of Board — experience as painter</w:t>
      </w:r>
      <w:bookmarkEnd w:id="80"/>
    </w:p>
    <w:p>
      <w:pPr>
        <w:pStyle w:val="Subsection"/>
      </w:pPr>
      <w:r>
        <w:tab/>
      </w:r>
      <w:r>
        <w:tab/>
        <w:t>For the purposes of section 67(2)(c) a person who has experience as a person registered under section 12 of the repealed Act is to be taken to be a person who has experience as a registered building service provider in a class listed in item 2 of the Table to regulation 8.</w:t>
      </w:r>
    </w:p>
    <w:p>
      <w:pPr>
        <w:pStyle w:val="Heading5"/>
      </w:pPr>
      <w:bookmarkStart w:id="81" w:name="_Toc478638914"/>
      <w:r>
        <w:rPr>
          <w:rStyle w:val="CharSectno"/>
        </w:rPr>
        <w:t>46</w:t>
      </w:r>
      <w:r>
        <w:t>.</w:t>
      </w:r>
      <w:r>
        <w:tab/>
        <w:t>Building Commissioner may exercise powers</w:t>
      </w:r>
      <w:bookmarkEnd w:id="81"/>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82" w:name="_Toc454978792"/>
      <w:bookmarkStart w:id="83" w:name="_Toc478638915"/>
      <w:r>
        <w:rPr>
          <w:rStyle w:val="CharDivNo"/>
        </w:rPr>
        <w:t>Division 3</w:t>
      </w:r>
      <w:r>
        <w:t> — </w:t>
      </w:r>
      <w:r>
        <w:rPr>
          <w:rStyle w:val="CharDivText"/>
          <w:i/>
        </w:rPr>
        <w:t>Local Government (Building Surveyors) Regulations 2008</w:t>
      </w:r>
      <w:bookmarkEnd w:id="82"/>
      <w:bookmarkEnd w:id="83"/>
    </w:p>
    <w:p>
      <w:pPr>
        <w:pStyle w:val="Footnoteheading"/>
      </w:pPr>
      <w:r>
        <w:tab/>
        <w:t>[Heading inserted in Gazette 12 Mar 2012 p. 1002.]</w:t>
      </w:r>
    </w:p>
    <w:p>
      <w:pPr>
        <w:pStyle w:val="Heading5"/>
      </w:pPr>
      <w:bookmarkStart w:id="84" w:name="_Toc478638916"/>
      <w:r>
        <w:rPr>
          <w:rStyle w:val="CharSectno"/>
        </w:rPr>
        <w:t>47</w:t>
      </w:r>
      <w:r>
        <w:t>.</w:t>
      </w:r>
      <w:r>
        <w:tab/>
        <w:t>Terms used</w:t>
      </w:r>
      <w:bookmarkEnd w:id="84"/>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4</w:t>
      </w:r>
      <w:r>
        <w:t>;</w:t>
      </w:r>
    </w:p>
    <w:p>
      <w:pPr>
        <w:pStyle w:val="Defstart"/>
      </w:pPr>
      <w:r>
        <w:tab/>
      </w:r>
      <w:r>
        <w:rPr>
          <w:rStyle w:val="CharDefText"/>
        </w:rPr>
        <w:t>repeal day</w:t>
      </w:r>
      <w:r>
        <w:t xml:space="preserve"> means the day on which section 112 comes into operation</w:t>
      </w:r>
      <w:r>
        <w:rPr>
          <w:vertAlign w:val="superscript"/>
        </w:rPr>
        <w:t> 4</w:t>
      </w:r>
      <w:r>
        <w:t>.</w:t>
      </w:r>
    </w:p>
    <w:p>
      <w:pPr>
        <w:pStyle w:val="Footnotesection"/>
        <w:ind w:left="890" w:hanging="890"/>
      </w:pPr>
      <w:r>
        <w:tab/>
        <w:t>[Regulation 47 inserted in Gazette 12 Mar 2012 p. 1002.]</w:t>
      </w:r>
    </w:p>
    <w:p>
      <w:pPr>
        <w:pStyle w:val="Heading5"/>
      </w:pPr>
      <w:bookmarkStart w:id="85" w:name="_Toc478638917"/>
      <w:r>
        <w:rPr>
          <w:rStyle w:val="CharSectno"/>
        </w:rPr>
        <w:t>48</w:t>
      </w:r>
      <w:r>
        <w:t>.</w:t>
      </w:r>
      <w:r>
        <w:tab/>
        <w:t>Continuation of registration</w:t>
      </w:r>
      <w:bookmarkEnd w:id="85"/>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in Gazette 12 Mar 2012 p. 1002-3.]</w:t>
      </w:r>
    </w:p>
    <w:p>
      <w:pPr>
        <w:pStyle w:val="Heading5"/>
      </w:pPr>
      <w:bookmarkStart w:id="86" w:name="_Toc478638918"/>
      <w:r>
        <w:rPr>
          <w:rStyle w:val="CharSectno"/>
        </w:rPr>
        <w:t>49</w:t>
      </w:r>
      <w:r>
        <w:t>.</w:t>
      </w:r>
      <w:r>
        <w:tab/>
        <w:t>Nominated supervisors for contractors before repeal day</w:t>
      </w:r>
      <w:bookmarkEnd w:id="86"/>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3</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in Gazette 12 Mar 2012 p. 1003-4.]</w:t>
      </w:r>
    </w:p>
    <w:p>
      <w:pPr>
        <w:pStyle w:val="Heading5"/>
      </w:pPr>
      <w:bookmarkStart w:id="87" w:name="_Toc478638919"/>
      <w:r>
        <w:rPr>
          <w:rStyle w:val="CharSectno"/>
        </w:rPr>
        <w:t>50</w:t>
      </w:r>
      <w:r>
        <w:t>.</w:t>
      </w:r>
      <w:r>
        <w:tab/>
        <w:t>Cancellation of certificate</w:t>
      </w:r>
      <w:bookmarkEnd w:id="87"/>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in Gazette 12 Mar 2012 p. 1004.]</w:t>
      </w:r>
    </w:p>
    <w:p>
      <w:pPr>
        <w:pStyle w:val="Heading5"/>
      </w:pPr>
      <w:bookmarkStart w:id="88" w:name="_Toc478638920"/>
      <w:r>
        <w:rPr>
          <w:rStyle w:val="CharSectno"/>
        </w:rPr>
        <w:t>51</w:t>
      </w:r>
      <w:r>
        <w:t>.</w:t>
      </w:r>
      <w:r>
        <w:tab/>
        <w:t>Membership of Board — experience as a building surveyor</w:t>
      </w:r>
      <w:bookmarkEnd w:id="88"/>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in Gazette 12 Mar 2012 p. 1004-5.]</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89" w:name="_Toc454978798"/>
      <w:bookmarkStart w:id="90" w:name="_Toc478638921"/>
      <w:r>
        <w:rPr>
          <w:rStyle w:val="CharSchNo"/>
        </w:rPr>
        <w:t>Schedule 1</w:t>
      </w:r>
      <w:r>
        <w:t> — </w:t>
      </w:r>
      <w:r>
        <w:rPr>
          <w:rStyle w:val="CharSchText"/>
        </w:rPr>
        <w:t>Fees</w:t>
      </w:r>
      <w:bookmarkEnd w:id="89"/>
      <w:bookmarkEnd w:id="90"/>
    </w:p>
    <w:p>
      <w:pPr>
        <w:pStyle w:val="yShoulderClause"/>
      </w:pPr>
      <w:r>
        <w:t>[r. 9]</w:t>
      </w:r>
    </w:p>
    <w:p>
      <w:pPr>
        <w:pStyle w:val="yHeading3"/>
        <w:spacing w:after="120"/>
      </w:pPr>
      <w:bookmarkStart w:id="91" w:name="_Toc454978799"/>
      <w:bookmarkStart w:id="92" w:name="_Toc478638922"/>
      <w:r>
        <w:rPr>
          <w:rStyle w:val="CharSDivNo"/>
        </w:rPr>
        <w:t>Division 1</w:t>
      </w:r>
      <w:r>
        <w:t xml:space="preserve"> — </w:t>
      </w:r>
      <w:r>
        <w:rPr>
          <w:rStyle w:val="CharSDivText"/>
        </w:rPr>
        <w:t>General</w:t>
      </w:r>
      <w:bookmarkEnd w:id="91"/>
      <w:bookmarkEnd w:id="92"/>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Service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Issue of replacement certificate of registration</w:t>
            </w:r>
          </w:p>
        </w:tc>
        <w:tc>
          <w:tcPr>
            <w:tcW w:w="1134" w:type="dxa"/>
          </w:tcPr>
          <w:p>
            <w:pPr>
              <w:pStyle w:val="yTableNAm"/>
              <w:tabs>
                <w:tab w:val="clear" w:pos="567"/>
                <w:tab w:val="left" w:pos="176"/>
              </w:tabs>
              <w:spacing w:before="80"/>
              <w:ind w:right="98"/>
              <w:jc w:val="right"/>
            </w:pPr>
            <w:r>
              <w:rPr>
                <w:szCs w:val="22"/>
              </w:rPr>
              <w:t>60.00</w:t>
            </w:r>
          </w:p>
        </w:tc>
      </w:tr>
      <w:tr>
        <w:tc>
          <w:tcPr>
            <w:tcW w:w="992" w:type="dxa"/>
          </w:tcPr>
          <w:p>
            <w:pPr>
              <w:pStyle w:val="yTableNAm"/>
              <w:spacing w:before="80"/>
            </w:pPr>
            <w:r>
              <w:t>2.</w:t>
            </w:r>
          </w:p>
        </w:tc>
        <w:tc>
          <w:tcPr>
            <w:tcW w:w="4678" w:type="dxa"/>
          </w:tcPr>
          <w:p>
            <w:pPr>
              <w:pStyle w:val="yTableNAm"/>
              <w:spacing w:before="80"/>
            </w:pPr>
            <w:r>
              <w:t>Issue of new certificate of registration following name change</w:t>
            </w:r>
          </w:p>
        </w:tc>
        <w:tc>
          <w:tcPr>
            <w:tcW w:w="1134" w:type="dxa"/>
          </w:tcPr>
          <w:p>
            <w:pPr>
              <w:pStyle w:val="yTableNAm"/>
              <w:tabs>
                <w:tab w:val="clear" w:pos="567"/>
                <w:tab w:val="left" w:pos="176"/>
              </w:tabs>
              <w:spacing w:before="80"/>
              <w:ind w:right="98"/>
              <w:jc w:val="right"/>
            </w:pPr>
            <w:r>
              <w:br/>
            </w:r>
            <w:r>
              <w:rPr>
                <w:szCs w:val="22"/>
              </w:rPr>
              <w:t>60.00</w:t>
            </w:r>
          </w:p>
        </w:tc>
      </w:tr>
      <w:tr>
        <w:tc>
          <w:tcPr>
            <w:tcW w:w="992" w:type="dxa"/>
          </w:tcPr>
          <w:p>
            <w:pPr>
              <w:pStyle w:val="yTableNAm"/>
              <w:spacing w:before="80"/>
            </w:pPr>
            <w:r>
              <w:t>3.</w:t>
            </w:r>
          </w:p>
        </w:tc>
        <w:tc>
          <w:tcPr>
            <w:tcW w:w="4678" w:type="dxa"/>
          </w:tcPr>
          <w:p>
            <w:pPr>
              <w:pStyle w:val="yTableNAm"/>
              <w:spacing w:before="80"/>
            </w:pPr>
            <w:r>
              <w:t xml:space="preserve">Provision of a certified </w:t>
            </w:r>
            <w:r>
              <w:rPr>
                <w:szCs w:val="22"/>
              </w:rPr>
              <w:t>or uncertified</w:t>
            </w:r>
            <w:r>
              <w:t xml:space="preserve"> copy of the register</w:t>
            </w:r>
          </w:p>
        </w:tc>
        <w:tc>
          <w:tcPr>
            <w:tcW w:w="1134" w:type="dxa"/>
          </w:tcPr>
          <w:p>
            <w:pPr>
              <w:pStyle w:val="yTableNAm"/>
              <w:tabs>
                <w:tab w:val="clear" w:pos="567"/>
                <w:tab w:val="left" w:pos="176"/>
              </w:tabs>
              <w:spacing w:before="80"/>
              <w:ind w:right="98"/>
              <w:jc w:val="right"/>
            </w:pPr>
            <w:r>
              <w:br/>
            </w:r>
            <w:r>
              <w:rPr>
                <w:szCs w:val="22"/>
              </w:rPr>
              <w:t>60.00</w:t>
            </w:r>
          </w:p>
        </w:tc>
      </w:tr>
      <w:tr>
        <w:tc>
          <w:tcPr>
            <w:tcW w:w="992" w:type="dxa"/>
          </w:tcPr>
          <w:p>
            <w:pPr>
              <w:pStyle w:val="yTableNAm"/>
              <w:spacing w:before="80"/>
            </w:pPr>
            <w:r>
              <w:t>4.</w:t>
            </w:r>
          </w:p>
        </w:tc>
        <w:tc>
          <w:tcPr>
            <w:tcW w:w="4678" w:type="dxa"/>
          </w:tcPr>
          <w:p>
            <w:pPr>
              <w:pStyle w:val="yTableNAm"/>
              <w:spacing w:before="80"/>
            </w:pPr>
            <w:r>
              <w:t xml:space="preserve">Provision of a certified </w:t>
            </w:r>
            <w:r>
              <w:rPr>
                <w:szCs w:val="22"/>
              </w:rPr>
              <w:t>or uncertified</w:t>
            </w:r>
            <w:r>
              <w:t xml:space="preserve"> copy of the register in respect of the classes of building service contractors in a specified occupation group referred to in regulation 8</w:t>
            </w:r>
          </w:p>
        </w:tc>
        <w:tc>
          <w:tcPr>
            <w:tcW w:w="1134" w:type="dxa"/>
          </w:tcPr>
          <w:p>
            <w:pPr>
              <w:pStyle w:val="yTableNAm"/>
              <w:tabs>
                <w:tab w:val="clear" w:pos="567"/>
                <w:tab w:val="left" w:pos="176"/>
              </w:tabs>
              <w:spacing w:before="80"/>
              <w:ind w:right="98"/>
              <w:jc w:val="right"/>
            </w:pPr>
            <w:r>
              <w:br/>
            </w:r>
            <w:r>
              <w:br/>
            </w:r>
            <w:r>
              <w:br/>
            </w:r>
            <w:r>
              <w:rPr>
                <w:szCs w:val="22"/>
              </w:rPr>
              <w:t>60.00</w:t>
            </w:r>
          </w:p>
        </w:tc>
      </w:tr>
      <w:tr>
        <w:tc>
          <w:tcPr>
            <w:tcW w:w="992" w:type="dxa"/>
          </w:tcPr>
          <w:p>
            <w:pPr>
              <w:pStyle w:val="yTableNAm"/>
              <w:spacing w:before="80"/>
            </w:pPr>
            <w:r>
              <w:t>5.</w:t>
            </w:r>
          </w:p>
        </w:tc>
        <w:tc>
          <w:tcPr>
            <w:tcW w:w="4678" w:type="dxa"/>
          </w:tcPr>
          <w:p>
            <w:pPr>
              <w:pStyle w:val="yTableNAm"/>
              <w:spacing w:before="80"/>
            </w:pPr>
            <w:r>
              <w:t xml:space="preserve">Provision of a certified </w:t>
            </w:r>
            <w:r>
              <w:rPr>
                <w:szCs w:val="22"/>
              </w:rPr>
              <w:t>or uncertified</w:t>
            </w:r>
            <w:r>
              <w:t xml:space="preserve"> copy of the entry in the register in respect of a specified building service provider on a specified day or within a specified period</w:t>
            </w:r>
          </w:p>
        </w:tc>
        <w:tc>
          <w:tcPr>
            <w:tcW w:w="1134" w:type="dxa"/>
          </w:tcPr>
          <w:p>
            <w:pPr>
              <w:pStyle w:val="yTableNAm"/>
              <w:tabs>
                <w:tab w:val="clear" w:pos="567"/>
                <w:tab w:val="left" w:pos="176"/>
              </w:tabs>
              <w:spacing w:before="80"/>
              <w:ind w:right="98"/>
              <w:jc w:val="right"/>
            </w:pPr>
            <w:r>
              <w:br/>
            </w:r>
            <w:r>
              <w:br/>
            </w:r>
            <w:r>
              <w:br/>
            </w:r>
            <w:r>
              <w:rPr>
                <w:szCs w:val="22"/>
              </w:rPr>
              <w:t>60.00</w:t>
            </w:r>
          </w:p>
        </w:tc>
      </w:tr>
      <w:tr>
        <w:tc>
          <w:tcPr>
            <w:tcW w:w="992" w:type="dxa"/>
          </w:tcPr>
          <w:p>
            <w:pPr>
              <w:pStyle w:val="yTableNAm"/>
              <w:spacing w:before="80"/>
            </w:pPr>
            <w:r>
              <w:t>6.</w:t>
            </w:r>
          </w:p>
        </w:tc>
        <w:tc>
          <w:tcPr>
            <w:tcW w:w="4678" w:type="dxa"/>
          </w:tcPr>
          <w:p>
            <w:pPr>
              <w:pStyle w:val="yTableNAm"/>
              <w:spacing w:before="80"/>
            </w:pPr>
            <w:r>
              <w:t xml:space="preserve">Provision of a certified </w:t>
            </w:r>
            <w:r>
              <w:rPr>
                <w:szCs w:val="22"/>
              </w:rPr>
              <w:t>or uncertified</w:t>
            </w:r>
            <w:r>
              <w:t xml:space="preserve"> copy of entries that have been added to, or deleted from, the register after a specified day </w:t>
            </w:r>
          </w:p>
        </w:tc>
        <w:tc>
          <w:tcPr>
            <w:tcW w:w="1134" w:type="dxa"/>
          </w:tcPr>
          <w:p>
            <w:pPr>
              <w:pStyle w:val="yTableNAm"/>
              <w:tabs>
                <w:tab w:val="clear" w:pos="567"/>
                <w:tab w:val="left" w:pos="176"/>
              </w:tabs>
              <w:spacing w:before="80"/>
              <w:ind w:right="98"/>
              <w:jc w:val="right"/>
            </w:pPr>
            <w:r>
              <w:br/>
            </w:r>
            <w:r>
              <w:br/>
            </w:r>
            <w:r>
              <w:rPr>
                <w:szCs w:val="22"/>
              </w:rPr>
              <w:t>60.00</w:t>
            </w:r>
          </w:p>
        </w:tc>
      </w:tr>
    </w:tbl>
    <w:p>
      <w:pPr>
        <w:pStyle w:val="yFootnotesection"/>
      </w:pPr>
      <w:r>
        <w:tab/>
        <w:t>[Division 1 amended in Gazette 31 Jan 2012 p. 599; 15 Jun 2012 p. 2618; 27 Jun 2013 p. 2665-6; 17 Jun 2014 p. 1960; 23 Jun 2015 p. 2165</w:t>
      </w:r>
      <w:r>
        <w:noBreakHyphen/>
        <w:t>6; 3 Jun 2016 p. 1753.]</w:t>
      </w:r>
    </w:p>
    <w:p>
      <w:pPr>
        <w:pStyle w:val="yHeading3"/>
      </w:pPr>
      <w:bookmarkStart w:id="93" w:name="_Toc454978800"/>
      <w:bookmarkStart w:id="94" w:name="_Toc478638923"/>
      <w:r>
        <w:rPr>
          <w:rStyle w:val="CharSDivNo"/>
        </w:rPr>
        <w:t>Division 2</w:t>
      </w:r>
      <w:r>
        <w:rPr>
          <w:b w:val="0"/>
        </w:rPr>
        <w:t> — </w:t>
      </w:r>
      <w:r>
        <w:rPr>
          <w:rStyle w:val="CharSDivText"/>
        </w:rPr>
        <w:t>Builders</w:t>
      </w:r>
      <w:bookmarkEnd w:id="93"/>
      <w:bookmarkEnd w:id="94"/>
    </w:p>
    <w:p>
      <w:pPr>
        <w:pStyle w:val="yFootnoteheading"/>
        <w:keepNext/>
        <w:spacing w:after="120"/>
      </w:pPr>
      <w:r>
        <w:tab/>
        <w:t>[Heading inserted in Gazette 31 Dec 2013 p. 6537.]</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keepNext/>
              <w:spacing w:before="80"/>
              <w:rPr>
                <w:b/>
                <w:sz w:val="22"/>
                <w:szCs w:val="22"/>
              </w:rPr>
            </w:pPr>
            <w:r>
              <w:rPr>
                <w:b/>
                <w:sz w:val="22"/>
                <w:szCs w:val="22"/>
              </w:rPr>
              <w:t>Item</w:t>
            </w:r>
          </w:p>
        </w:tc>
        <w:tc>
          <w:tcPr>
            <w:tcW w:w="4678" w:type="dxa"/>
          </w:tcPr>
          <w:p>
            <w:pPr>
              <w:keepNext/>
              <w:spacing w:before="80"/>
              <w:rPr>
                <w:b/>
                <w:sz w:val="22"/>
                <w:szCs w:val="22"/>
              </w:rPr>
            </w:pPr>
            <w:r>
              <w:rPr>
                <w:b/>
                <w:sz w:val="22"/>
                <w:szCs w:val="22"/>
              </w:rPr>
              <w:t>Description of fee</w:t>
            </w:r>
          </w:p>
        </w:tc>
        <w:tc>
          <w:tcPr>
            <w:tcW w:w="1134" w:type="dxa"/>
          </w:tcPr>
          <w:p>
            <w:pPr>
              <w:keepNext/>
              <w:spacing w:before="80"/>
              <w:jc w:val="center"/>
              <w:rPr>
                <w:b/>
                <w:sz w:val="22"/>
                <w:szCs w:val="22"/>
              </w:rPr>
            </w:pPr>
            <w:r>
              <w:rPr>
                <w:b/>
                <w:sz w:val="22"/>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 xml:space="preserve">Application for registration as building practitioner </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contractor (individual)</w:t>
            </w:r>
          </w:p>
        </w:tc>
        <w:tc>
          <w:tcPr>
            <w:tcW w:w="1134" w:type="dxa"/>
          </w:tcPr>
          <w:p>
            <w:pPr>
              <w:spacing w:before="80"/>
              <w:jc w:val="center"/>
              <w:rPr>
                <w:sz w:val="22"/>
                <w:szCs w:val="22"/>
              </w:rPr>
            </w:pPr>
            <w:r>
              <w:rPr>
                <w:sz w:val="22"/>
                <w:szCs w:val="22"/>
              </w:rPr>
              <w:br/>
              <w:t>200.00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contractor (partnership)</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contractor (company)</w:t>
            </w:r>
          </w:p>
        </w:tc>
        <w:tc>
          <w:tcPr>
            <w:tcW w:w="1134" w:type="dxa"/>
          </w:tcPr>
          <w:p>
            <w:pPr>
              <w:spacing w:before="80"/>
              <w:jc w:val="center"/>
              <w:rPr>
                <w:sz w:val="22"/>
                <w:szCs w:val="22"/>
              </w:rPr>
            </w:pPr>
            <w:r>
              <w:rPr>
                <w:sz w:val="22"/>
                <w:szCs w:val="22"/>
              </w:rPr>
              <w:br/>
              <w:t>328.00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building practitioner (18 months)</w:t>
            </w:r>
          </w:p>
        </w:tc>
        <w:tc>
          <w:tcPr>
            <w:tcW w:w="1134" w:type="dxa"/>
          </w:tcPr>
          <w:p>
            <w:pPr>
              <w:spacing w:before="80"/>
              <w:jc w:val="center"/>
              <w:rPr>
                <w:sz w:val="22"/>
                <w:szCs w:val="22"/>
              </w:rPr>
            </w:pPr>
            <w:r>
              <w:rPr>
                <w:sz w:val="22"/>
                <w:szCs w:val="22"/>
              </w:rPr>
              <w:br/>
              <w:t>287.50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practitioner (3 years)</w:t>
            </w:r>
          </w:p>
        </w:tc>
        <w:tc>
          <w:tcPr>
            <w:tcW w:w="1134" w:type="dxa"/>
          </w:tcPr>
          <w:p>
            <w:pPr>
              <w:spacing w:before="80"/>
              <w:jc w:val="center"/>
              <w:rPr>
                <w:sz w:val="22"/>
                <w:szCs w:val="22"/>
              </w:rPr>
            </w:pPr>
            <w:r>
              <w:rPr>
                <w:sz w:val="22"/>
                <w:szCs w:val="22"/>
              </w:rPr>
              <w:t>575.00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contractor (individual) (18 months)</w:t>
            </w:r>
          </w:p>
        </w:tc>
        <w:tc>
          <w:tcPr>
            <w:tcW w:w="1134" w:type="dxa"/>
          </w:tcPr>
          <w:p>
            <w:pPr>
              <w:spacing w:before="80"/>
              <w:jc w:val="center"/>
              <w:rPr>
                <w:sz w:val="22"/>
                <w:szCs w:val="22"/>
              </w:rPr>
            </w:pPr>
            <w:r>
              <w:rPr>
                <w:sz w:val="22"/>
                <w:szCs w:val="22"/>
              </w:rPr>
              <w:br/>
              <w:t>192.00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contractor (individual) (3 years)</w:t>
            </w:r>
          </w:p>
        </w:tc>
        <w:tc>
          <w:tcPr>
            <w:tcW w:w="1134" w:type="dxa"/>
          </w:tcPr>
          <w:p>
            <w:pPr>
              <w:spacing w:before="80"/>
              <w:jc w:val="center"/>
              <w:rPr>
                <w:sz w:val="22"/>
                <w:szCs w:val="22"/>
              </w:rPr>
            </w:pPr>
            <w:r>
              <w:rPr>
                <w:sz w:val="22"/>
                <w:szCs w:val="22"/>
              </w:rPr>
              <w:br/>
              <w:t>384.00</w:t>
            </w:r>
          </w:p>
        </w:tc>
      </w:tr>
      <w:tr>
        <w:trPr>
          <w:cantSplit/>
        </w:trPr>
        <w:tc>
          <w:tcPr>
            <w:tcW w:w="992" w:type="dxa"/>
          </w:tcPr>
          <w:p>
            <w:pPr>
              <w:rPr>
                <w:sz w:val="22"/>
                <w:szCs w:val="22"/>
              </w:rPr>
            </w:pPr>
            <w:r>
              <w:rPr>
                <w:sz w:val="22"/>
                <w:szCs w:val="22"/>
              </w:rPr>
              <w:t>9.</w:t>
            </w:r>
          </w:p>
        </w:tc>
        <w:tc>
          <w:tcPr>
            <w:tcW w:w="4678" w:type="dxa"/>
          </w:tcPr>
          <w:p>
            <w:pPr>
              <w:rPr>
                <w:sz w:val="22"/>
                <w:szCs w:val="22"/>
              </w:rPr>
            </w:pPr>
            <w:r>
              <w:rPr>
                <w:sz w:val="22"/>
                <w:szCs w:val="22"/>
              </w:rPr>
              <w:t>Registration fee for building contractor (partnership) (18 months)</w:t>
            </w:r>
          </w:p>
        </w:tc>
        <w:tc>
          <w:tcPr>
            <w:tcW w:w="1134" w:type="dxa"/>
          </w:tcPr>
          <w:p>
            <w:pPr>
              <w:jc w:val="center"/>
              <w:rPr>
                <w:sz w:val="22"/>
                <w:szCs w:val="22"/>
              </w:rPr>
            </w:pPr>
            <w:r>
              <w:rPr>
                <w:sz w:val="22"/>
                <w:szCs w:val="22"/>
              </w:rPr>
              <w:br/>
              <w:t>645.00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contractor (partnership) (3 years)</w:t>
            </w:r>
          </w:p>
        </w:tc>
        <w:tc>
          <w:tcPr>
            <w:tcW w:w="1134" w:type="dxa"/>
          </w:tcPr>
          <w:p>
            <w:pPr>
              <w:spacing w:before="80"/>
              <w:jc w:val="center"/>
              <w:rPr>
                <w:sz w:val="22"/>
                <w:szCs w:val="22"/>
              </w:rPr>
            </w:pPr>
            <w:r>
              <w:rPr>
                <w:sz w:val="22"/>
                <w:szCs w:val="22"/>
              </w:rPr>
              <w:br/>
              <w:t>1 290.00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contractor (company) (18 months)</w:t>
            </w:r>
          </w:p>
        </w:tc>
        <w:tc>
          <w:tcPr>
            <w:tcW w:w="1134" w:type="dxa"/>
          </w:tcPr>
          <w:p>
            <w:pPr>
              <w:spacing w:before="80"/>
              <w:jc w:val="center"/>
              <w:rPr>
                <w:sz w:val="22"/>
                <w:szCs w:val="22"/>
              </w:rPr>
            </w:pPr>
            <w:r>
              <w:rPr>
                <w:sz w:val="22"/>
                <w:szCs w:val="22"/>
              </w:rPr>
              <w:br/>
              <w:t>1 468.00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contractor (company) (3 years)</w:t>
            </w:r>
          </w:p>
        </w:tc>
        <w:tc>
          <w:tcPr>
            <w:tcW w:w="1134" w:type="dxa"/>
          </w:tcPr>
          <w:p>
            <w:pPr>
              <w:spacing w:before="80"/>
              <w:jc w:val="center"/>
              <w:rPr>
                <w:sz w:val="22"/>
                <w:szCs w:val="22"/>
              </w:rPr>
            </w:pPr>
            <w:r>
              <w:rPr>
                <w:sz w:val="22"/>
                <w:szCs w:val="22"/>
              </w:rPr>
              <w:br/>
              <w:t>2 936.00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180.00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55.00</w:t>
            </w:r>
          </w:p>
        </w:tc>
      </w:tr>
    </w:tbl>
    <w:p>
      <w:pPr>
        <w:pStyle w:val="yFootnotesection"/>
      </w:pPr>
      <w:r>
        <w:tab/>
        <w:t xml:space="preserve">[Division 2 inserted in Gazette </w:t>
      </w:r>
      <w:r>
        <w:rPr>
          <w:szCs w:val="22"/>
        </w:rPr>
        <w:t>31 Dec 2013 p</w:t>
      </w:r>
      <w:r>
        <w:t>. 6537</w:t>
      </w:r>
      <w:r>
        <w:noBreakHyphen/>
        <w:t>8; amended in Gazette 17 Jun 2014 p. 1960; 23 Jun 2015 p. 2166; 3 Jun 2016 p. 1753.]</w:t>
      </w:r>
    </w:p>
    <w:p>
      <w:pPr>
        <w:pStyle w:val="yHeading3"/>
        <w:spacing w:after="120"/>
      </w:pPr>
      <w:bookmarkStart w:id="95" w:name="_Toc454978801"/>
      <w:bookmarkStart w:id="96" w:name="_Toc478638924"/>
      <w:r>
        <w:rPr>
          <w:rStyle w:val="CharSDivNo"/>
        </w:rPr>
        <w:t>Division 3</w:t>
      </w:r>
      <w:r>
        <w:t xml:space="preserve"> — </w:t>
      </w:r>
      <w:r>
        <w:rPr>
          <w:rStyle w:val="CharSDivText"/>
        </w:rPr>
        <w:t>Owner</w:t>
      </w:r>
      <w:r>
        <w:rPr>
          <w:rStyle w:val="CharSDivText"/>
        </w:rPr>
        <w:noBreakHyphen/>
        <w:t>builders</w:t>
      </w:r>
      <w:bookmarkEnd w:id="95"/>
      <w:bookmarkEnd w:id="96"/>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tblHeader/>
        </w:trPr>
        <w:tc>
          <w:tcPr>
            <w:tcW w:w="992" w:type="dxa"/>
          </w:tcPr>
          <w:p>
            <w:pPr>
              <w:pStyle w:val="yTableNAm"/>
              <w:spacing w:before="80"/>
              <w:rPr>
                <w:b/>
                <w:bCs/>
              </w:rPr>
            </w:pPr>
            <w:r>
              <w:rPr>
                <w:b/>
                <w:bCs/>
              </w:rPr>
              <w:t>Item</w:t>
            </w:r>
          </w:p>
        </w:tc>
        <w:tc>
          <w:tcPr>
            <w:tcW w:w="4678" w:type="dxa"/>
          </w:tcPr>
          <w:p>
            <w:pPr>
              <w:pStyle w:val="yTableNAm"/>
              <w:spacing w:before="80"/>
              <w:rPr>
                <w:b/>
                <w:bCs/>
              </w:rPr>
            </w:pPr>
            <w:r>
              <w:rPr>
                <w:b/>
                <w:bCs/>
              </w:rPr>
              <w:t>Description of fee</w:t>
            </w:r>
          </w:p>
        </w:tc>
        <w:tc>
          <w:tcPr>
            <w:tcW w:w="1134" w:type="dxa"/>
          </w:tcPr>
          <w:p>
            <w:pPr>
              <w:pStyle w:val="yTableNAm"/>
              <w:spacing w:before="80"/>
              <w:ind w:right="98"/>
              <w:jc w:val="right"/>
              <w:rPr>
                <w:b/>
                <w:bCs/>
              </w:rPr>
            </w:pPr>
            <w:r>
              <w:rPr>
                <w:b/>
                <w:bCs/>
              </w:rPr>
              <w:t>Fee ($)</w:t>
            </w:r>
          </w:p>
        </w:tc>
      </w:tr>
      <w:tr>
        <w:tc>
          <w:tcPr>
            <w:tcW w:w="992" w:type="dxa"/>
          </w:tcPr>
          <w:p>
            <w:pPr>
              <w:pStyle w:val="yTableNAm"/>
              <w:spacing w:before="80"/>
            </w:pPr>
            <w:r>
              <w:t>1.</w:t>
            </w:r>
          </w:p>
        </w:tc>
        <w:tc>
          <w:tcPr>
            <w:tcW w:w="4678" w:type="dxa"/>
          </w:tcPr>
          <w:p>
            <w:pPr>
              <w:pStyle w:val="yTableNAm"/>
              <w:spacing w:before="80"/>
            </w:pPr>
            <w:r>
              <w:t>Application for owner</w:t>
            </w:r>
            <w:r>
              <w:noBreakHyphen/>
              <w:t>builder approval (residential)</w:t>
            </w:r>
          </w:p>
        </w:tc>
        <w:tc>
          <w:tcPr>
            <w:tcW w:w="1134" w:type="dxa"/>
          </w:tcPr>
          <w:p>
            <w:pPr>
              <w:pStyle w:val="yTableNAm"/>
              <w:tabs>
                <w:tab w:val="clear" w:pos="567"/>
                <w:tab w:val="left" w:pos="176"/>
              </w:tabs>
              <w:spacing w:before="80"/>
              <w:ind w:right="98"/>
              <w:jc w:val="right"/>
            </w:pPr>
            <w:r>
              <w:rPr>
                <w:szCs w:val="22"/>
              </w:rPr>
              <w:t>155.00</w:t>
            </w:r>
          </w:p>
        </w:tc>
      </w:tr>
      <w:tr>
        <w:tc>
          <w:tcPr>
            <w:tcW w:w="992" w:type="dxa"/>
          </w:tcPr>
          <w:p>
            <w:pPr>
              <w:pStyle w:val="yTableNAm"/>
              <w:spacing w:before="80"/>
            </w:pPr>
            <w:r>
              <w:t>2.</w:t>
            </w:r>
          </w:p>
        </w:tc>
        <w:tc>
          <w:tcPr>
            <w:tcW w:w="4678" w:type="dxa"/>
          </w:tcPr>
          <w:p>
            <w:pPr>
              <w:pStyle w:val="yTableNAm"/>
              <w:spacing w:before="80"/>
            </w:pPr>
            <w:r>
              <w:t>Application for owner</w:t>
            </w:r>
            <w:r>
              <w:noBreakHyphen/>
              <w:t>builder approval (commercial)</w:t>
            </w:r>
          </w:p>
        </w:tc>
        <w:tc>
          <w:tcPr>
            <w:tcW w:w="1134" w:type="dxa"/>
          </w:tcPr>
          <w:p>
            <w:pPr>
              <w:pStyle w:val="yTableNAm"/>
              <w:tabs>
                <w:tab w:val="clear" w:pos="567"/>
                <w:tab w:val="left" w:pos="176"/>
              </w:tabs>
              <w:spacing w:before="80"/>
              <w:ind w:right="98"/>
              <w:jc w:val="right"/>
            </w:pPr>
            <w:r>
              <w:br/>
            </w:r>
            <w:r>
              <w:rPr>
                <w:szCs w:val="22"/>
              </w:rPr>
              <w:t>416.00</w:t>
            </w:r>
          </w:p>
        </w:tc>
      </w:tr>
    </w:tbl>
    <w:p>
      <w:pPr>
        <w:pStyle w:val="yFootnotesection"/>
      </w:pPr>
      <w:r>
        <w:tab/>
        <w:t>[Division 3 amended in Gazette 15 Jun 2012 p. 2619; 27 Jun 2013 p. 2667; 17 Jun 2014 p. 1960; 23 Jun 2015 p. 2166; 3 Jun 2016 p. 1753.]</w:t>
      </w:r>
    </w:p>
    <w:p>
      <w:pPr>
        <w:pStyle w:val="yHeading3"/>
      </w:pPr>
      <w:bookmarkStart w:id="97" w:name="_Toc454978802"/>
      <w:bookmarkStart w:id="98" w:name="_Toc478638925"/>
      <w:r>
        <w:rPr>
          <w:rStyle w:val="CharSDivNo"/>
        </w:rPr>
        <w:t>Division 4A</w:t>
      </w:r>
      <w:r>
        <w:rPr>
          <w:b w:val="0"/>
        </w:rPr>
        <w:t> — </w:t>
      </w:r>
      <w:r>
        <w:rPr>
          <w:rStyle w:val="CharSDivText"/>
        </w:rPr>
        <w:t>Building surveyors</w:t>
      </w:r>
      <w:bookmarkEnd w:id="97"/>
      <w:bookmarkEnd w:id="98"/>
    </w:p>
    <w:p>
      <w:pPr>
        <w:pStyle w:val="yFootnoteheading"/>
        <w:keepNext/>
        <w:spacing w:after="120"/>
      </w:pPr>
      <w:r>
        <w:tab/>
        <w:t>[Heading inserted in Gazette 31 Dec 2013 p. 6538.]</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keepNext/>
              <w:spacing w:before="80"/>
              <w:rPr>
                <w:szCs w:val="22"/>
              </w:rPr>
            </w:pPr>
            <w:r>
              <w:rPr>
                <w:b/>
                <w:szCs w:val="22"/>
              </w:rPr>
              <w:t>Item</w:t>
            </w:r>
          </w:p>
        </w:tc>
        <w:tc>
          <w:tcPr>
            <w:tcW w:w="4678" w:type="dxa"/>
          </w:tcPr>
          <w:p>
            <w:pPr>
              <w:pStyle w:val="yTableNAm"/>
              <w:keepNext/>
              <w:spacing w:before="80"/>
              <w:rPr>
                <w:szCs w:val="22"/>
              </w:rPr>
            </w:pPr>
            <w:r>
              <w:rPr>
                <w:b/>
                <w:szCs w:val="22"/>
              </w:rPr>
              <w:t>Description of fee</w:t>
            </w:r>
          </w:p>
        </w:tc>
        <w:tc>
          <w:tcPr>
            <w:tcW w:w="1134" w:type="dxa"/>
          </w:tcPr>
          <w:p>
            <w:pPr>
              <w:pStyle w:val="yTableNAm"/>
              <w:keepNext/>
              <w:spacing w:before="80"/>
              <w:ind w:right="98"/>
              <w:jc w:val="right"/>
              <w:rPr>
                <w:szCs w:val="22"/>
              </w:rPr>
            </w:pPr>
            <w:r>
              <w:rPr>
                <w:b/>
                <w:szCs w:val="22"/>
              </w:rPr>
              <w:t>Fee ($)</w:t>
            </w:r>
          </w:p>
        </w:tc>
      </w:tr>
      <w:tr>
        <w:trPr>
          <w:cantSplit/>
        </w:trPr>
        <w:tc>
          <w:tcPr>
            <w:tcW w:w="992" w:type="dxa"/>
          </w:tcPr>
          <w:p>
            <w:pPr>
              <w:keepNext/>
              <w:spacing w:before="80"/>
              <w:rPr>
                <w:sz w:val="22"/>
                <w:szCs w:val="22"/>
              </w:rPr>
            </w:pPr>
            <w:r>
              <w:rPr>
                <w:sz w:val="22"/>
                <w:szCs w:val="22"/>
              </w:rPr>
              <w:t>1.</w:t>
            </w:r>
          </w:p>
        </w:tc>
        <w:tc>
          <w:tcPr>
            <w:tcW w:w="4678" w:type="dxa"/>
          </w:tcPr>
          <w:p>
            <w:pPr>
              <w:keepNext/>
              <w:spacing w:before="80"/>
              <w:rPr>
                <w:sz w:val="22"/>
                <w:szCs w:val="22"/>
              </w:rPr>
            </w:pPr>
            <w:r>
              <w:rPr>
                <w:sz w:val="22"/>
                <w:szCs w:val="22"/>
              </w:rPr>
              <w:t>Application for registration as building surveying practitioner level 1 or level 2</w:t>
            </w:r>
          </w:p>
        </w:tc>
        <w:tc>
          <w:tcPr>
            <w:tcW w:w="1134" w:type="dxa"/>
          </w:tcPr>
          <w:p>
            <w:pPr>
              <w:keepNext/>
              <w:spacing w:before="80"/>
              <w:jc w:val="center"/>
              <w:rPr>
                <w:sz w:val="22"/>
                <w:szCs w:val="22"/>
              </w:rPr>
            </w:pPr>
            <w:r>
              <w:rPr>
                <w:sz w:val="22"/>
                <w:szCs w:val="22"/>
              </w:rPr>
              <w:br/>
              <w:t>105.00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building surveying practitioner technician</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building surveying contractor level 1 or level 2 (individual)</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building surveying contractor level 1 or level 2 (partnership)</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Application for registration as building surveying contractor level 1 or level 2 (company)</w:t>
            </w:r>
          </w:p>
        </w:tc>
        <w:tc>
          <w:tcPr>
            <w:tcW w:w="1134" w:type="dxa"/>
          </w:tcPr>
          <w:p>
            <w:pPr>
              <w:spacing w:before="80"/>
              <w:jc w:val="center"/>
              <w:rPr>
                <w:sz w:val="22"/>
                <w:szCs w:val="22"/>
              </w:rPr>
            </w:pPr>
            <w:r>
              <w:rPr>
                <w:sz w:val="22"/>
                <w:szCs w:val="22"/>
              </w:rPr>
              <w:br/>
              <w:t>70.00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building surveying practitioner technician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7A.</w:t>
            </w:r>
          </w:p>
        </w:tc>
        <w:tc>
          <w:tcPr>
            <w:tcW w:w="4678" w:type="dxa"/>
          </w:tcPr>
          <w:p>
            <w:pPr>
              <w:spacing w:before="80"/>
              <w:rPr>
                <w:sz w:val="22"/>
                <w:szCs w:val="22"/>
              </w:rPr>
            </w:pPr>
            <w:r>
              <w:rPr>
                <w:sz w:val="22"/>
                <w:szCs w:val="22"/>
              </w:rPr>
              <w:t>Registration fee for building surveying practitioner technician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building surveying practitioner level 1 or level 2 (18 months)</w:t>
            </w:r>
          </w:p>
        </w:tc>
        <w:tc>
          <w:tcPr>
            <w:tcW w:w="1134" w:type="dxa"/>
          </w:tcPr>
          <w:p>
            <w:pPr>
              <w:spacing w:before="80"/>
              <w:jc w:val="center"/>
              <w:rPr>
                <w:sz w:val="22"/>
                <w:szCs w:val="22"/>
              </w:rPr>
            </w:pPr>
            <w:r>
              <w:rPr>
                <w:sz w:val="22"/>
                <w:szCs w:val="22"/>
              </w:rPr>
              <w:br/>
              <w:t>434.00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building surveying practitioner level 1 or level 2 (3 years)</w:t>
            </w:r>
          </w:p>
        </w:tc>
        <w:tc>
          <w:tcPr>
            <w:tcW w:w="1134" w:type="dxa"/>
          </w:tcPr>
          <w:p>
            <w:pPr>
              <w:spacing w:before="80"/>
              <w:jc w:val="center"/>
              <w:rPr>
                <w:sz w:val="22"/>
                <w:szCs w:val="22"/>
              </w:rPr>
            </w:pPr>
            <w:r>
              <w:rPr>
                <w:sz w:val="22"/>
                <w:szCs w:val="22"/>
              </w:rPr>
              <w:br/>
              <w:t>868.00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building surveying contractor level 1 or level 2 (individual) (18 months)</w:t>
            </w:r>
          </w:p>
        </w:tc>
        <w:tc>
          <w:tcPr>
            <w:tcW w:w="1134" w:type="dxa"/>
          </w:tcPr>
          <w:p>
            <w:pPr>
              <w:spacing w:before="80"/>
              <w:jc w:val="center"/>
              <w:rPr>
                <w:sz w:val="22"/>
                <w:szCs w:val="22"/>
              </w:rPr>
            </w:pPr>
            <w:r>
              <w:rPr>
                <w:sz w:val="22"/>
                <w:szCs w:val="22"/>
              </w:rPr>
              <w:br/>
              <w:t>303.25</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building surveying contractor level 1 or level 2 (individual) (3 years)</w:t>
            </w:r>
          </w:p>
        </w:tc>
        <w:tc>
          <w:tcPr>
            <w:tcW w:w="1134" w:type="dxa"/>
          </w:tcPr>
          <w:p>
            <w:pPr>
              <w:spacing w:before="80"/>
              <w:jc w:val="center"/>
              <w:rPr>
                <w:sz w:val="22"/>
                <w:szCs w:val="22"/>
              </w:rPr>
            </w:pPr>
            <w:r>
              <w:rPr>
                <w:sz w:val="22"/>
                <w:szCs w:val="22"/>
              </w:rPr>
              <w:br/>
              <w:t>606.50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building surveying contractor level 1 or level 2 (partnership) (18 months)</w:t>
            </w:r>
          </w:p>
        </w:tc>
        <w:tc>
          <w:tcPr>
            <w:tcW w:w="1134" w:type="dxa"/>
          </w:tcPr>
          <w:p>
            <w:pPr>
              <w:spacing w:before="80"/>
              <w:jc w:val="center"/>
              <w:rPr>
                <w:sz w:val="22"/>
                <w:szCs w:val="22"/>
              </w:rPr>
            </w:pPr>
            <w:r>
              <w:rPr>
                <w:sz w:val="22"/>
                <w:szCs w:val="22"/>
              </w:rPr>
              <w:br/>
              <w:t>758.50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building surveying contractor level 1 or level 2 (partnership) (3 years)</w:t>
            </w:r>
          </w:p>
        </w:tc>
        <w:tc>
          <w:tcPr>
            <w:tcW w:w="1134" w:type="dxa"/>
          </w:tcPr>
          <w:p>
            <w:pPr>
              <w:spacing w:before="80"/>
              <w:jc w:val="center"/>
              <w:rPr>
                <w:sz w:val="22"/>
                <w:szCs w:val="22"/>
              </w:rPr>
            </w:pPr>
            <w:r>
              <w:rPr>
                <w:sz w:val="22"/>
                <w:szCs w:val="22"/>
              </w:rPr>
              <w:br/>
              <w:t>1 517.00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Registration fee for building surveying contractor level 1 or level 2 (company) (18 months)</w:t>
            </w:r>
          </w:p>
        </w:tc>
        <w:tc>
          <w:tcPr>
            <w:tcW w:w="1134" w:type="dxa"/>
          </w:tcPr>
          <w:p>
            <w:pPr>
              <w:spacing w:before="80"/>
              <w:jc w:val="center"/>
              <w:rPr>
                <w:sz w:val="22"/>
                <w:szCs w:val="22"/>
              </w:rPr>
            </w:pPr>
            <w:r>
              <w:rPr>
                <w:sz w:val="22"/>
                <w:szCs w:val="22"/>
              </w:rPr>
              <w:br/>
              <w:t>988.50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Registration fee for building surveying contractor level 1 or level 2 (company) (3 years)</w:t>
            </w:r>
          </w:p>
        </w:tc>
        <w:tc>
          <w:tcPr>
            <w:tcW w:w="1134" w:type="dxa"/>
          </w:tcPr>
          <w:p>
            <w:pPr>
              <w:spacing w:before="80"/>
              <w:jc w:val="center"/>
              <w:rPr>
                <w:sz w:val="22"/>
                <w:szCs w:val="22"/>
              </w:rPr>
            </w:pPr>
            <w:r>
              <w:rPr>
                <w:sz w:val="22"/>
                <w:szCs w:val="22"/>
              </w:rPr>
              <w:br/>
              <w:t>1 977.00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53.50</w:t>
            </w:r>
          </w:p>
        </w:tc>
      </w:tr>
    </w:tbl>
    <w:p>
      <w:pPr>
        <w:pStyle w:val="yFootnotesection"/>
      </w:pPr>
      <w:r>
        <w:tab/>
        <w:t xml:space="preserve">[Division 4A inserted in Gazette </w:t>
      </w:r>
      <w:r>
        <w:rPr>
          <w:szCs w:val="22"/>
        </w:rPr>
        <w:t>31 Dec 2013 p</w:t>
      </w:r>
      <w:r>
        <w:t>. 6538; amended in Gazette 17 Jun 2014 p. 1960</w:t>
      </w:r>
      <w:r>
        <w:noBreakHyphen/>
        <w:t>1; 19 Dec 2014 p. 4842; 23 Jun 2015 p. 2166</w:t>
      </w:r>
      <w:r>
        <w:noBreakHyphen/>
        <w:t>7.]</w:t>
      </w:r>
    </w:p>
    <w:p>
      <w:pPr>
        <w:pStyle w:val="yHeading3"/>
      </w:pPr>
      <w:bookmarkStart w:id="99" w:name="_Toc454978803"/>
      <w:bookmarkStart w:id="100" w:name="_Toc478638926"/>
      <w:r>
        <w:rPr>
          <w:rStyle w:val="CharSDivNo"/>
        </w:rPr>
        <w:t>Division 4</w:t>
      </w:r>
      <w:r>
        <w:rPr>
          <w:b w:val="0"/>
        </w:rPr>
        <w:t> — </w:t>
      </w:r>
      <w:r>
        <w:rPr>
          <w:rStyle w:val="CharSDivText"/>
        </w:rPr>
        <w:t>Painters</w:t>
      </w:r>
      <w:bookmarkEnd w:id="99"/>
      <w:bookmarkEnd w:id="100"/>
    </w:p>
    <w:p>
      <w:pPr>
        <w:pStyle w:val="yFootnoteheading"/>
        <w:spacing w:after="120"/>
      </w:pPr>
      <w:r>
        <w:tab/>
        <w:t>[Heading inserted in Gazette 31 Dec 2013 p. 6539.]</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992"/>
        <w:gridCol w:w="4678"/>
        <w:gridCol w:w="1134"/>
      </w:tblGrid>
      <w:tr>
        <w:trPr>
          <w:cantSplit/>
          <w:tblHeader/>
        </w:trPr>
        <w:tc>
          <w:tcPr>
            <w:tcW w:w="992" w:type="dxa"/>
          </w:tcPr>
          <w:p>
            <w:pPr>
              <w:pStyle w:val="yTableNAm"/>
              <w:spacing w:before="80"/>
              <w:rPr>
                <w:b/>
                <w:szCs w:val="22"/>
              </w:rPr>
            </w:pPr>
            <w:r>
              <w:rPr>
                <w:b/>
                <w:szCs w:val="22"/>
              </w:rPr>
              <w:t>Item</w:t>
            </w:r>
          </w:p>
        </w:tc>
        <w:tc>
          <w:tcPr>
            <w:tcW w:w="4678" w:type="dxa"/>
          </w:tcPr>
          <w:p>
            <w:pPr>
              <w:pStyle w:val="yTableNAm"/>
              <w:spacing w:before="80"/>
              <w:rPr>
                <w:b/>
                <w:szCs w:val="22"/>
              </w:rPr>
            </w:pPr>
            <w:r>
              <w:rPr>
                <w:b/>
                <w:szCs w:val="22"/>
              </w:rPr>
              <w:t>Description of fee</w:t>
            </w:r>
          </w:p>
        </w:tc>
        <w:tc>
          <w:tcPr>
            <w:tcW w:w="1134" w:type="dxa"/>
          </w:tcPr>
          <w:p>
            <w:pPr>
              <w:pStyle w:val="yTableNAm"/>
              <w:spacing w:before="80"/>
              <w:ind w:right="98"/>
              <w:jc w:val="right"/>
              <w:rPr>
                <w:b/>
                <w:szCs w:val="22"/>
              </w:rPr>
            </w:pPr>
            <w:r>
              <w:rPr>
                <w:b/>
                <w:szCs w:val="22"/>
              </w:rPr>
              <w:t>Fee ($)</w:t>
            </w:r>
          </w:p>
        </w:tc>
      </w:tr>
      <w:tr>
        <w:trPr>
          <w:cantSplit/>
        </w:trPr>
        <w:tc>
          <w:tcPr>
            <w:tcW w:w="992" w:type="dxa"/>
          </w:tcPr>
          <w:p>
            <w:pPr>
              <w:spacing w:before="80"/>
              <w:rPr>
                <w:sz w:val="22"/>
                <w:szCs w:val="22"/>
              </w:rPr>
            </w:pPr>
            <w:r>
              <w:rPr>
                <w:sz w:val="22"/>
                <w:szCs w:val="22"/>
              </w:rPr>
              <w:t>1.</w:t>
            </w:r>
          </w:p>
        </w:tc>
        <w:tc>
          <w:tcPr>
            <w:tcW w:w="4678" w:type="dxa"/>
          </w:tcPr>
          <w:p>
            <w:pPr>
              <w:spacing w:before="80"/>
              <w:rPr>
                <w:sz w:val="22"/>
                <w:szCs w:val="22"/>
              </w:rPr>
            </w:pPr>
            <w:r>
              <w:rPr>
                <w:sz w:val="22"/>
                <w:szCs w:val="22"/>
              </w:rPr>
              <w:t>Application for registration as painting practitioner</w:t>
            </w:r>
          </w:p>
        </w:tc>
        <w:tc>
          <w:tcPr>
            <w:tcW w:w="1134" w:type="dxa"/>
          </w:tcPr>
          <w:p>
            <w:pPr>
              <w:spacing w:before="80"/>
              <w:jc w:val="center"/>
              <w:rPr>
                <w:sz w:val="22"/>
                <w:szCs w:val="22"/>
              </w:rPr>
            </w:pPr>
            <w:r>
              <w:rPr>
                <w:sz w:val="22"/>
                <w:szCs w:val="22"/>
              </w:rPr>
              <w:t>82.50</w:t>
            </w:r>
          </w:p>
        </w:tc>
      </w:tr>
      <w:tr>
        <w:trPr>
          <w:cantSplit/>
        </w:trPr>
        <w:tc>
          <w:tcPr>
            <w:tcW w:w="992" w:type="dxa"/>
          </w:tcPr>
          <w:p>
            <w:pPr>
              <w:spacing w:before="80"/>
              <w:rPr>
                <w:sz w:val="22"/>
                <w:szCs w:val="22"/>
              </w:rPr>
            </w:pPr>
            <w:r>
              <w:rPr>
                <w:sz w:val="22"/>
                <w:szCs w:val="22"/>
              </w:rPr>
              <w:t>2.</w:t>
            </w:r>
          </w:p>
        </w:tc>
        <w:tc>
          <w:tcPr>
            <w:tcW w:w="4678" w:type="dxa"/>
          </w:tcPr>
          <w:p>
            <w:pPr>
              <w:spacing w:before="80"/>
              <w:rPr>
                <w:sz w:val="22"/>
                <w:szCs w:val="22"/>
              </w:rPr>
            </w:pPr>
            <w:r>
              <w:rPr>
                <w:sz w:val="22"/>
                <w:szCs w:val="22"/>
              </w:rPr>
              <w:t>Application for registration as painting contractor (individual)</w:t>
            </w:r>
          </w:p>
        </w:tc>
        <w:tc>
          <w:tcPr>
            <w:tcW w:w="1134" w:type="dxa"/>
          </w:tcPr>
          <w:p>
            <w:pPr>
              <w:spacing w:before="80"/>
              <w:jc w:val="center"/>
              <w:rPr>
                <w:sz w:val="22"/>
                <w:szCs w:val="22"/>
              </w:rPr>
            </w:pPr>
            <w:r>
              <w:rPr>
                <w:sz w:val="22"/>
                <w:szCs w:val="22"/>
              </w:rPr>
              <w:br/>
              <w:t>55.00</w:t>
            </w:r>
          </w:p>
        </w:tc>
      </w:tr>
      <w:tr>
        <w:trPr>
          <w:cantSplit/>
        </w:trPr>
        <w:tc>
          <w:tcPr>
            <w:tcW w:w="992" w:type="dxa"/>
          </w:tcPr>
          <w:p>
            <w:pPr>
              <w:spacing w:before="80"/>
              <w:rPr>
                <w:sz w:val="22"/>
                <w:szCs w:val="22"/>
              </w:rPr>
            </w:pPr>
            <w:r>
              <w:rPr>
                <w:sz w:val="22"/>
                <w:szCs w:val="22"/>
              </w:rPr>
              <w:t>3.</w:t>
            </w:r>
          </w:p>
        </w:tc>
        <w:tc>
          <w:tcPr>
            <w:tcW w:w="4678" w:type="dxa"/>
          </w:tcPr>
          <w:p>
            <w:pPr>
              <w:spacing w:before="80"/>
              <w:rPr>
                <w:sz w:val="22"/>
                <w:szCs w:val="22"/>
              </w:rPr>
            </w:pPr>
            <w:r>
              <w:rPr>
                <w:sz w:val="22"/>
                <w:szCs w:val="22"/>
              </w:rPr>
              <w:t>Application for registration as painting contractor (partnership)</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4.</w:t>
            </w:r>
          </w:p>
        </w:tc>
        <w:tc>
          <w:tcPr>
            <w:tcW w:w="4678" w:type="dxa"/>
          </w:tcPr>
          <w:p>
            <w:pPr>
              <w:spacing w:before="80"/>
              <w:rPr>
                <w:sz w:val="22"/>
                <w:szCs w:val="22"/>
              </w:rPr>
            </w:pPr>
            <w:r>
              <w:rPr>
                <w:sz w:val="22"/>
                <w:szCs w:val="22"/>
              </w:rPr>
              <w:t>Application for registration as painting contractor (company)</w:t>
            </w:r>
          </w:p>
        </w:tc>
        <w:tc>
          <w:tcPr>
            <w:tcW w:w="1134" w:type="dxa"/>
          </w:tcPr>
          <w:p>
            <w:pPr>
              <w:spacing w:before="80"/>
              <w:jc w:val="center"/>
              <w:rPr>
                <w:sz w:val="22"/>
                <w:szCs w:val="22"/>
              </w:rPr>
            </w:pPr>
            <w:r>
              <w:rPr>
                <w:sz w:val="22"/>
                <w:szCs w:val="22"/>
              </w:rPr>
              <w:br/>
              <w:t>133.50</w:t>
            </w:r>
          </w:p>
        </w:tc>
      </w:tr>
      <w:tr>
        <w:trPr>
          <w:cantSplit/>
        </w:trPr>
        <w:tc>
          <w:tcPr>
            <w:tcW w:w="992" w:type="dxa"/>
          </w:tcPr>
          <w:p>
            <w:pPr>
              <w:spacing w:before="80"/>
              <w:rPr>
                <w:sz w:val="22"/>
                <w:szCs w:val="22"/>
              </w:rPr>
            </w:pPr>
            <w:r>
              <w:rPr>
                <w:sz w:val="22"/>
                <w:szCs w:val="22"/>
              </w:rPr>
              <w:t>5.</w:t>
            </w:r>
          </w:p>
        </w:tc>
        <w:tc>
          <w:tcPr>
            <w:tcW w:w="4678" w:type="dxa"/>
          </w:tcPr>
          <w:p>
            <w:pPr>
              <w:spacing w:before="80"/>
              <w:rPr>
                <w:sz w:val="22"/>
                <w:szCs w:val="22"/>
              </w:rPr>
            </w:pPr>
            <w:r>
              <w:rPr>
                <w:sz w:val="22"/>
                <w:szCs w:val="22"/>
              </w:rPr>
              <w:t>Registration fee for painting practitioner (18 months)</w:t>
            </w:r>
          </w:p>
        </w:tc>
        <w:tc>
          <w:tcPr>
            <w:tcW w:w="1134" w:type="dxa"/>
          </w:tcPr>
          <w:p>
            <w:pPr>
              <w:spacing w:before="80"/>
              <w:rPr>
                <w:sz w:val="22"/>
                <w:szCs w:val="22"/>
              </w:rPr>
            </w:pPr>
            <w:r>
              <w:rPr>
                <w:sz w:val="22"/>
                <w:szCs w:val="22"/>
              </w:rPr>
              <w:br/>
              <w:t>212.50</w:t>
            </w:r>
          </w:p>
        </w:tc>
      </w:tr>
      <w:tr>
        <w:trPr>
          <w:cantSplit/>
        </w:trPr>
        <w:tc>
          <w:tcPr>
            <w:tcW w:w="992" w:type="dxa"/>
          </w:tcPr>
          <w:p>
            <w:pPr>
              <w:spacing w:before="80"/>
              <w:rPr>
                <w:sz w:val="22"/>
                <w:szCs w:val="22"/>
              </w:rPr>
            </w:pPr>
            <w:r>
              <w:rPr>
                <w:sz w:val="22"/>
                <w:szCs w:val="22"/>
              </w:rPr>
              <w:t>6.</w:t>
            </w:r>
          </w:p>
        </w:tc>
        <w:tc>
          <w:tcPr>
            <w:tcW w:w="4678" w:type="dxa"/>
          </w:tcPr>
          <w:p>
            <w:pPr>
              <w:spacing w:before="80"/>
              <w:rPr>
                <w:sz w:val="22"/>
                <w:szCs w:val="22"/>
              </w:rPr>
            </w:pPr>
            <w:r>
              <w:rPr>
                <w:sz w:val="22"/>
                <w:szCs w:val="22"/>
              </w:rPr>
              <w:t>Registration fee for painting practitioner (3 years)</w:t>
            </w:r>
          </w:p>
        </w:tc>
        <w:tc>
          <w:tcPr>
            <w:tcW w:w="1134" w:type="dxa"/>
          </w:tcPr>
          <w:p>
            <w:pPr>
              <w:spacing w:before="80"/>
              <w:jc w:val="center"/>
              <w:rPr>
                <w:sz w:val="22"/>
                <w:szCs w:val="22"/>
              </w:rPr>
            </w:pPr>
            <w:r>
              <w:rPr>
                <w:sz w:val="22"/>
                <w:szCs w:val="22"/>
              </w:rPr>
              <w:t>425.00</w:t>
            </w:r>
          </w:p>
        </w:tc>
      </w:tr>
      <w:tr>
        <w:trPr>
          <w:cantSplit/>
        </w:trPr>
        <w:tc>
          <w:tcPr>
            <w:tcW w:w="992" w:type="dxa"/>
          </w:tcPr>
          <w:p>
            <w:pPr>
              <w:spacing w:before="80"/>
              <w:rPr>
                <w:sz w:val="22"/>
                <w:szCs w:val="22"/>
              </w:rPr>
            </w:pPr>
            <w:r>
              <w:rPr>
                <w:sz w:val="22"/>
                <w:szCs w:val="22"/>
              </w:rPr>
              <w:t>7.</w:t>
            </w:r>
          </w:p>
        </w:tc>
        <w:tc>
          <w:tcPr>
            <w:tcW w:w="4678" w:type="dxa"/>
          </w:tcPr>
          <w:p>
            <w:pPr>
              <w:spacing w:before="80"/>
              <w:rPr>
                <w:sz w:val="22"/>
                <w:szCs w:val="22"/>
              </w:rPr>
            </w:pPr>
            <w:r>
              <w:rPr>
                <w:sz w:val="22"/>
                <w:szCs w:val="22"/>
              </w:rPr>
              <w:t>Registration fee for painting contractor (individual) (18 months)</w:t>
            </w:r>
          </w:p>
        </w:tc>
        <w:tc>
          <w:tcPr>
            <w:tcW w:w="1134" w:type="dxa"/>
          </w:tcPr>
          <w:p>
            <w:pPr>
              <w:spacing w:before="80"/>
              <w:jc w:val="center"/>
              <w:rPr>
                <w:sz w:val="22"/>
                <w:szCs w:val="22"/>
              </w:rPr>
            </w:pPr>
            <w:r>
              <w:rPr>
                <w:sz w:val="22"/>
                <w:szCs w:val="22"/>
              </w:rPr>
              <w:br/>
              <w:t>142.50</w:t>
            </w:r>
          </w:p>
        </w:tc>
      </w:tr>
      <w:tr>
        <w:trPr>
          <w:cantSplit/>
        </w:trPr>
        <w:tc>
          <w:tcPr>
            <w:tcW w:w="992" w:type="dxa"/>
          </w:tcPr>
          <w:p>
            <w:pPr>
              <w:spacing w:before="80"/>
              <w:rPr>
                <w:sz w:val="22"/>
                <w:szCs w:val="22"/>
              </w:rPr>
            </w:pPr>
            <w:r>
              <w:rPr>
                <w:sz w:val="22"/>
                <w:szCs w:val="22"/>
              </w:rPr>
              <w:t>8.</w:t>
            </w:r>
          </w:p>
        </w:tc>
        <w:tc>
          <w:tcPr>
            <w:tcW w:w="4678" w:type="dxa"/>
          </w:tcPr>
          <w:p>
            <w:pPr>
              <w:spacing w:before="80"/>
              <w:rPr>
                <w:sz w:val="22"/>
                <w:szCs w:val="22"/>
              </w:rPr>
            </w:pPr>
            <w:r>
              <w:rPr>
                <w:sz w:val="22"/>
                <w:szCs w:val="22"/>
              </w:rPr>
              <w:t>Registration fee for painting contractor (individual) (3 years)</w:t>
            </w:r>
          </w:p>
        </w:tc>
        <w:tc>
          <w:tcPr>
            <w:tcW w:w="1134" w:type="dxa"/>
          </w:tcPr>
          <w:p>
            <w:pPr>
              <w:spacing w:before="80"/>
              <w:jc w:val="center"/>
              <w:rPr>
                <w:sz w:val="22"/>
                <w:szCs w:val="22"/>
              </w:rPr>
            </w:pPr>
            <w:r>
              <w:rPr>
                <w:sz w:val="22"/>
                <w:szCs w:val="22"/>
              </w:rPr>
              <w:br/>
              <w:t>285.00</w:t>
            </w:r>
          </w:p>
        </w:tc>
      </w:tr>
      <w:tr>
        <w:trPr>
          <w:cantSplit/>
        </w:trPr>
        <w:tc>
          <w:tcPr>
            <w:tcW w:w="992" w:type="dxa"/>
          </w:tcPr>
          <w:p>
            <w:pPr>
              <w:spacing w:before="80"/>
              <w:rPr>
                <w:sz w:val="22"/>
                <w:szCs w:val="22"/>
              </w:rPr>
            </w:pPr>
            <w:r>
              <w:rPr>
                <w:sz w:val="22"/>
                <w:szCs w:val="22"/>
              </w:rPr>
              <w:t>9.</w:t>
            </w:r>
          </w:p>
        </w:tc>
        <w:tc>
          <w:tcPr>
            <w:tcW w:w="4678" w:type="dxa"/>
          </w:tcPr>
          <w:p>
            <w:pPr>
              <w:spacing w:before="80"/>
              <w:rPr>
                <w:sz w:val="22"/>
                <w:szCs w:val="22"/>
              </w:rPr>
            </w:pPr>
            <w:r>
              <w:rPr>
                <w:sz w:val="22"/>
                <w:szCs w:val="22"/>
              </w:rPr>
              <w:t>Registration fee for painting contractor (partnership) (18 months)</w:t>
            </w:r>
          </w:p>
        </w:tc>
        <w:tc>
          <w:tcPr>
            <w:tcW w:w="1134" w:type="dxa"/>
          </w:tcPr>
          <w:p>
            <w:pPr>
              <w:spacing w:before="80"/>
              <w:jc w:val="center"/>
              <w:rPr>
                <w:sz w:val="22"/>
                <w:szCs w:val="22"/>
              </w:rPr>
            </w:pPr>
            <w:r>
              <w:rPr>
                <w:sz w:val="22"/>
                <w:szCs w:val="22"/>
              </w:rPr>
              <w:br/>
              <w:t>225.00</w:t>
            </w:r>
          </w:p>
        </w:tc>
      </w:tr>
      <w:tr>
        <w:trPr>
          <w:cantSplit/>
        </w:trPr>
        <w:tc>
          <w:tcPr>
            <w:tcW w:w="992" w:type="dxa"/>
          </w:tcPr>
          <w:p>
            <w:pPr>
              <w:spacing w:before="80"/>
              <w:rPr>
                <w:sz w:val="22"/>
                <w:szCs w:val="22"/>
              </w:rPr>
            </w:pPr>
            <w:r>
              <w:rPr>
                <w:sz w:val="22"/>
                <w:szCs w:val="22"/>
              </w:rPr>
              <w:t>10.</w:t>
            </w:r>
          </w:p>
        </w:tc>
        <w:tc>
          <w:tcPr>
            <w:tcW w:w="4678" w:type="dxa"/>
          </w:tcPr>
          <w:p>
            <w:pPr>
              <w:spacing w:before="80"/>
              <w:rPr>
                <w:sz w:val="22"/>
                <w:szCs w:val="22"/>
              </w:rPr>
            </w:pPr>
            <w:r>
              <w:rPr>
                <w:sz w:val="22"/>
                <w:szCs w:val="22"/>
              </w:rPr>
              <w:t>Registration fee for painting contractor (partnership) (3 years)</w:t>
            </w:r>
          </w:p>
        </w:tc>
        <w:tc>
          <w:tcPr>
            <w:tcW w:w="1134" w:type="dxa"/>
          </w:tcPr>
          <w:p>
            <w:pPr>
              <w:spacing w:before="80"/>
              <w:jc w:val="center"/>
              <w:rPr>
                <w:sz w:val="22"/>
                <w:szCs w:val="22"/>
              </w:rPr>
            </w:pPr>
            <w:r>
              <w:rPr>
                <w:sz w:val="22"/>
                <w:szCs w:val="22"/>
              </w:rPr>
              <w:br/>
              <w:t>450.00</w:t>
            </w:r>
          </w:p>
        </w:tc>
      </w:tr>
      <w:tr>
        <w:trPr>
          <w:cantSplit/>
        </w:trPr>
        <w:tc>
          <w:tcPr>
            <w:tcW w:w="992" w:type="dxa"/>
          </w:tcPr>
          <w:p>
            <w:pPr>
              <w:spacing w:before="80"/>
              <w:rPr>
                <w:sz w:val="22"/>
                <w:szCs w:val="22"/>
              </w:rPr>
            </w:pPr>
            <w:r>
              <w:rPr>
                <w:sz w:val="22"/>
                <w:szCs w:val="22"/>
              </w:rPr>
              <w:t>11.</w:t>
            </w:r>
          </w:p>
        </w:tc>
        <w:tc>
          <w:tcPr>
            <w:tcW w:w="4678" w:type="dxa"/>
          </w:tcPr>
          <w:p>
            <w:pPr>
              <w:spacing w:before="80"/>
              <w:rPr>
                <w:sz w:val="22"/>
                <w:szCs w:val="22"/>
              </w:rPr>
            </w:pPr>
            <w:r>
              <w:rPr>
                <w:sz w:val="22"/>
                <w:szCs w:val="22"/>
              </w:rPr>
              <w:t>Registration fee for painting contractor (company) (18 months)</w:t>
            </w:r>
          </w:p>
        </w:tc>
        <w:tc>
          <w:tcPr>
            <w:tcW w:w="1134" w:type="dxa"/>
          </w:tcPr>
          <w:p>
            <w:pPr>
              <w:spacing w:before="80"/>
              <w:jc w:val="center"/>
              <w:rPr>
                <w:sz w:val="22"/>
                <w:szCs w:val="22"/>
              </w:rPr>
            </w:pPr>
            <w:r>
              <w:rPr>
                <w:sz w:val="22"/>
                <w:szCs w:val="22"/>
              </w:rPr>
              <w:br/>
              <w:t>535.00</w:t>
            </w:r>
          </w:p>
        </w:tc>
      </w:tr>
      <w:tr>
        <w:trPr>
          <w:cantSplit/>
        </w:trPr>
        <w:tc>
          <w:tcPr>
            <w:tcW w:w="992" w:type="dxa"/>
          </w:tcPr>
          <w:p>
            <w:pPr>
              <w:spacing w:before="80"/>
              <w:rPr>
                <w:sz w:val="22"/>
                <w:szCs w:val="22"/>
              </w:rPr>
            </w:pPr>
            <w:r>
              <w:rPr>
                <w:sz w:val="22"/>
                <w:szCs w:val="22"/>
              </w:rPr>
              <w:t>12.</w:t>
            </w:r>
          </w:p>
        </w:tc>
        <w:tc>
          <w:tcPr>
            <w:tcW w:w="4678" w:type="dxa"/>
          </w:tcPr>
          <w:p>
            <w:pPr>
              <w:spacing w:before="80"/>
              <w:rPr>
                <w:sz w:val="22"/>
                <w:szCs w:val="22"/>
              </w:rPr>
            </w:pPr>
            <w:r>
              <w:rPr>
                <w:sz w:val="22"/>
                <w:szCs w:val="22"/>
              </w:rPr>
              <w:t>Registration fee for painting contractor (company) (3 years)</w:t>
            </w:r>
          </w:p>
        </w:tc>
        <w:tc>
          <w:tcPr>
            <w:tcW w:w="1134" w:type="dxa"/>
          </w:tcPr>
          <w:p>
            <w:pPr>
              <w:spacing w:before="80"/>
              <w:jc w:val="center"/>
              <w:rPr>
                <w:sz w:val="22"/>
                <w:szCs w:val="22"/>
              </w:rPr>
            </w:pPr>
            <w:r>
              <w:rPr>
                <w:sz w:val="22"/>
                <w:szCs w:val="22"/>
              </w:rPr>
              <w:br/>
              <w:t>1 070.00</w:t>
            </w:r>
          </w:p>
        </w:tc>
      </w:tr>
      <w:tr>
        <w:trPr>
          <w:cantSplit/>
        </w:trPr>
        <w:tc>
          <w:tcPr>
            <w:tcW w:w="992" w:type="dxa"/>
          </w:tcPr>
          <w:p>
            <w:pPr>
              <w:spacing w:before="80"/>
              <w:rPr>
                <w:sz w:val="22"/>
                <w:szCs w:val="22"/>
              </w:rPr>
            </w:pPr>
            <w:r>
              <w:rPr>
                <w:sz w:val="22"/>
                <w:szCs w:val="22"/>
              </w:rPr>
              <w:t>13.</w:t>
            </w:r>
          </w:p>
        </w:tc>
        <w:tc>
          <w:tcPr>
            <w:tcW w:w="4678" w:type="dxa"/>
          </w:tcPr>
          <w:p>
            <w:pPr>
              <w:spacing w:before="80"/>
              <w:rPr>
                <w:sz w:val="22"/>
                <w:szCs w:val="22"/>
              </w:rPr>
            </w:pPr>
            <w:r>
              <w:rPr>
                <w:sz w:val="22"/>
                <w:szCs w:val="22"/>
              </w:rPr>
              <w:t>Late fee for application for renewal made after the renewal period</w:t>
            </w:r>
          </w:p>
        </w:tc>
        <w:tc>
          <w:tcPr>
            <w:tcW w:w="1134" w:type="dxa"/>
          </w:tcPr>
          <w:p>
            <w:pPr>
              <w:spacing w:before="80"/>
              <w:jc w:val="center"/>
              <w:rPr>
                <w:sz w:val="22"/>
                <w:szCs w:val="22"/>
              </w:rPr>
            </w:pPr>
            <w:r>
              <w:rPr>
                <w:sz w:val="22"/>
                <w:szCs w:val="22"/>
              </w:rPr>
              <w:br/>
              <w:t>40.00</w:t>
            </w:r>
          </w:p>
        </w:tc>
      </w:tr>
      <w:tr>
        <w:trPr>
          <w:cantSplit/>
        </w:trPr>
        <w:tc>
          <w:tcPr>
            <w:tcW w:w="992" w:type="dxa"/>
          </w:tcPr>
          <w:p>
            <w:pPr>
              <w:spacing w:before="80"/>
              <w:rPr>
                <w:sz w:val="22"/>
                <w:szCs w:val="22"/>
              </w:rPr>
            </w:pPr>
            <w:r>
              <w:rPr>
                <w:sz w:val="22"/>
                <w:szCs w:val="22"/>
              </w:rPr>
              <w:t>14.</w:t>
            </w:r>
          </w:p>
        </w:tc>
        <w:tc>
          <w:tcPr>
            <w:tcW w:w="4678" w:type="dxa"/>
          </w:tcPr>
          <w:p>
            <w:pPr>
              <w:spacing w:before="80"/>
              <w:rPr>
                <w:sz w:val="22"/>
                <w:szCs w:val="22"/>
              </w:rPr>
            </w:pPr>
            <w:r>
              <w:rPr>
                <w:sz w:val="22"/>
                <w:szCs w:val="22"/>
              </w:rPr>
              <w:t>Fee for sitting an examination — metropolitan area</w:t>
            </w:r>
          </w:p>
        </w:tc>
        <w:tc>
          <w:tcPr>
            <w:tcW w:w="1134" w:type="dxa"/>
          </w:tcPr>
          <w:p>
            <w:pPr>
              <w:spacing w:before="80"/>
              <w:jc w:val="center"/>
              <w:rPr>
                <w:sz w:val="22"/>
                <w:szCs w:val="22"/>
              </w:rPr>
            </w:pPr>
            <w:r>
              <w:rPr>
                <w:sz w:val="22"/>
                <w:szCs w:val="22"/>
              </w:rPr>
              <w:br/>
              <w:t>75.00</w:t>
            </w:r>
          </w:p>
        </w:tc>
      </w:tr>
      <w:tr>
        <w:trPr>
          <w:cantSplit/>
        </w:trPr>
        <w:tc>
          <w:tcPr>
            <w:tcW w:w="992" w:type="dxa"/>
          </w:tcPr>
          <w:p>
            <w:pPr>
              <w:spacing w:before="80"/>
              <w:rPr>
                <w:sz w:val="22"/>
                <w:szCs w:val="22"/>
              </w:rPr>
            </w:pPr>
            <w:r>
              <w:rPr>
                <w:sz w:val="22"/>
                <w:szCs w:val="22"/>
              </w:rPr>
              <w:t>15.</w:t>
            </w:r>
          </w:p>
        </w:tc>
        <w:tc>
          <w:tcPr>
            <w:tcW w:w="4678" w:type="dxa"/>
          </w:tcPr>
          <w:p>
            <w:pPr>
              <w:spacing w:before="80"/>
              <w:rPr>
                <w:sz w:val="22"/>
                <w:szCs w:val="22"/>
              </w:rPr>
            </w:pPr>
            <w:r>
              <w:rPr>
                <w:sz w:val="22"/>
                <w:szCs w:val="22"/>
              </w:rPr>
              <w:t>Fee for marking an examination sat outside metropolitan area</w:t>
            </w:r>
          </w:p>
        </w:tc>
        <w:tc>
          <w:tcPr>
            <w:tcW w:w="1134" w:type="dxa"/>
          </w:tcPr>
          <w:p>
            <w:pPr>
              <w:spacing w:before="80"/>
              <w:jc w:val="center"/>
              <w:rPr>
                <w:sz w:val="22"/>
                <w:szCs w:val="22"/>
              </w:rPr>
            </w:pPr>
            <w:r>
              <w:rPr>
                <w:sz w:val="22"/>
                <w:szCs w:val="22"/>
              </w:rPr>
              <w:br/>
              <w:t>55.00</w:t>
            </w:r>
          </w:p>
        </w:tc>
      </w:tr>
    </w:tbl>
    <w:p>
      <w:pPr>
        <w:pStyle w:val="yFootnotesection"/>
      </w:pPr>
      <w:r>
        <w:tab/>
        <w:t xml:space="preserve">[Division 4 inserted in Gazette </w:t>
      </w:r>
      <w:r>
        <w:rPr>
          <w:szCs w:val="22"/>
        </w:rPr>
        <w:t>31 Dec 2013 p</w:t>
      </w:r>
      <w:r>
        <w:t>. 6539; amended in Gazette 17 Jun 2014 p. 1961; 23 Jun 2015 p. 2167; 3 Jun 2016 p. 1753.]</w:t>
      </w:r>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102" w:name="_Toc454978804"/>
      <w:bookmarkStart w:id="103" w:name="_Toc478638927"/>
      <w:r>
        <w:rPr>
          <w:rStyle w:val="CharSchNo"/>
        </w:rPr>
        <w:t>Schedule 2</w:t>
      </w:r>
      <w:r>
        <w:rPr>
          <w:rStyle w:val="CharSDivNo"/>
        </w:rPr>
        <w:t> </w:t>
      </w:r>
      <w:r>
        <w:t>—</w:t>
      </w:r>
      <w:r>
        <w:rPr>
          <w:rStyle w:val="CharSDivText"/>
        </w:rPr>
        <w:t> </w:t>
      </w:r>
      <w:r>
        <w:rPr>
          <w:rStyle w:val="CharSchText"/>
        </w:rPr>
        <w:t>Estimating the value of work</w:t>
      </w:r>
      <w:bookmarkEnd w:id="102"/>
      <w:bookmarkEnd w:id="103"/>
    </w:p>
    <w:p>
      <w:pPr>
        <w:pStyle w:val="yShoulderClause"/>
      </w:pPr>
      <w:r>
        <w:t>[r. 13(1), 28(1)]</w:t>
      </w:r>
    </w:p>
    <w:p>
      <w:pPr>
        <w:pStyle w:val="yHeading5"/>
      </w:pPr>
      <w:bookmarkStart w:id="104" w:name="_Toc478638928"/>
      <w:r>
        <w:rPr>
          <w:rStyle w:val="CharSClsNo"/>
        </w:rPr>
        <w:t>1</w:t>
      </w:r>
      <w:r>
        <w:t>.</w:t>
      </w:r>
      <w:r>
        <w:tab/>
        <w:t>Terms used</w:t>
      </w:r>
      <w:bookmarkEnd w:id="104"/>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05" w:name="_Toc478638929"/>
      <w:r>
        <w:rPr>
          <w:rStyle w:val="CharSClsNo"/>
        </w:rPr>
        <w:t>2</w:t>
      </w:r>
      <w:r>
        <w:t>.</w:t>
      </w:r>
      <w:r>
        <w:tab/>
        <w:t>Estimated value of work</w:t>
      </w:r>
      <w:bookmarkEnd w:id="105"/>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06" w:name="_Toc454978807"/>
      <w:bookmarkStart w:id="107" w:name="_Toc478638930"/>
      <w:r>
        <w:rPr>
          <w:rStyle w:val="CharSchNo"/>
        </w:rPr>
        <w:t>Schedule 3</w:t>
      </w:r>
      <w:r>
        <w:rPr>
          <w:rStyle w:val="CharSDivNo"/>
        </w:rPr>
        <w:t> </w:t>
      </w:r>
      <w:r>
        <w:t>—</w:t>
      </w:r>
      <w:r>
        <w:rPr>
          <w:rStyle w:val="CharSDivText"/>
        </w:rPr>
        <w:t> </w:t>
      </w:r>
      <w:r>
        <w:rPr>
          <w:rStyle w:val="CharSchText"/>
        </w:rPr>
        <w:t>Builder work: areas of State for purposes of definition</w:t>
      </w:r>
      <w:bookmarkEnd w:id="106"/>
      <w:bookmarkEnd w:id="107"/>
    </w:p>
    <w:p>
      <w:pPr>
        <w:pStyle w:val="yShoulderClause"/>
      </w:pPr>
      <w:r>
        <w:t>[r. 13(1)]</w:t>
      </w:r>
    </w:p>
    <w:p>
      <w:pPr>
        <w:pStyle w:val="yHeading5"/>
      </w:pPr>
      <w:bookmarkStart w:id="108" w:name="_Toc478638931"/>
      <w:r>
        <w:rPr>
          <w:rStyle w:val="CharSClsNo"/>
        </w:rPr>
        <w:t>1</w:t>
      </w:r>
      <w:r>
        <w:t>.</w:t>
      </w:r>
      <w:r>
        <w:tab/>
        <w:t>Term used: townsite</w:t>
      </w:r>
      <w:bookmarkEnd w:id="108"/>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09" w:name="_Toc478638932"/>
      <w:r>
        <w:rPr>
          <w:rStyle w:val="CharSClsNo"/>
        </w:rPr>
        <w:t>2</w:t>
      </w:r>
      <w:r>
        <w:t>.</w:t>
      </w:r>
      <w:r>
        <w:tab/>
        <w:t>Areas of State</w:t>
      </w:r>
      <w:bookmarkEnd w:id="109"/>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Geraldton, Greenough, </w:t>
      </w:r>
      <w:smartTag w:uri="urn:schemas-microsoft-com:office:smarttags" w:element="PlaceName">
        <w:r>
          <w:t>Chapman</w:t>
        </w:r>
      </w:smartTag>
      <w:r>
        <w:t xml:space="preserve"> </w:t>
      </w:r>
      <w:smartTag w:uri="urn:schemas-microsoft-com:office:smarttags" w:element="PlaceType">
        <w:r>
          <w:t>Valley</w:t>
        </w:r>
      </w:smartTag>
      <w:r>
        <w:t xml:space="preserve"> and </w:t>
      </w:r>
      <w:smartTag w:uri="urn:schemas-microsoft-com:office:smarttags" w:element="place">
        <w:smartTag w:uri="urn:schemas-microsoft-com:office:smarttags" w:element="City">
          <w:r>
            <w:t>Northampton</w:t>
          </w:r>
        </w:smartTag>
      </w:smartTag>
      <w:r>
        <w:t>.</w:t>
      </w:r>
    </w:p>
    <w:p>
      <w:pPr>
        <w:pStyle w:val="ySubsection"/>
      </w:pPr>
      <w:r>
        <w:tab/>
        <w:t>(3)</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 xml:space="preserve">the townsites of Port Hedland, </w:t>
      </w:r>
      <w:smartTag w:uri="urn:schemas-microsoft-com:office:smarttags" w:element="place">
        <w:r>
          <w:t>South Hedland</w:t>
        </w:r>
      </w:smartTag>
      <w:r>
        <w:t xml:space="preserve"> and Wedgefield in the local government district of Port Hedland; and</w:t>
      </w:r>
    </w:p>
    <w:p>
      <w:pPr>
        <w:pStyle w:val="yIndenta"/>
      </w:pPr>
      <w:r>
        <w:tab/>
        <w:t>(l)</w:t>
      </w:r>
      <w:r>
        <w:tab/>
        <w:t>the townsites of Karratha, Roebourne, Point Samson, Dampier and Wickham, in the local government district of Roebourne; and</w:t>
      </w:r>
    </w:p>
    <w:p>
      <w:pPr>
        <w:pStyle w:val="yIndenta"/>
      </w:pPr>
      <w:r>
        <w:tab/>
        <w:t>(m)</w:t>
      </w:r>
      <w:r>
        <w:tab/>
        <w:t xml:space="preserve">the townsites of Carnarvon, </w:t>
      </w:r>
      <w:smartTag w:uri="urn:schemas-microsoft-com:office:smarttags" w:element="place">
        <w:smartTag w:uri="urn:schemas-microsoft-com:office:smarttags" w:element="PlaceName">
          <w:r>
            <w:t>Coral</w:t>
          </w:r>
        </w:smartTag>
        <w:r>
          <w:t xml:space="preserve"> </w:t>
        </w:r>
        <w:smartTag w:uri="urn:schemas-microsoft-com:office:smarttags" w:element="PlaceType">
          <w:r>
            <w:t>Bay</w:t>
          </w:r>
        </w:smartTag>
      </w:smartTag>
      <w:r>
        <w:t xml:space="preserve">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 xml:space="preserve">the townsites of </w:t>
      </w:r>
      <w:smartTag w:uri="urn:schemas-microsoft-com:office:smarttags" w:element="place">
        <w:smartTag w:uri="urn:schemas-microsoft-com:office:smarttags" w:element="City">
          <w:r>
            <w:t>Derby</w:t>
          </w:r>
        </w:smartTag>
      </w:smartTag>
      <w:r>
        <w:t>, Fitzroy Crossing and Camballin in the local government district of Derby West Kimberley.</w:t>
      </w:r>
    </w:p>
    <w:p>
      <w:pPr>
        <w:pStyle w:val="yScheduleHeading"/>
      </w:pPr>
      <w:bookmarkStart w:id="110" w:name="_Toc454978810"/>
      <w:bookmarkStart w:id="111" w:name="_Toc478638933"/>
      <w:r>
        <w:rPr>
          <w:rStyle w:val="CharSchNo"/>
        </w:rPr>
        <w:t>Schedule 4</w:t>
      </w:r>
      <w:r>
        <w:rPr>
          <w:rStyle w:val="CharSDivNo"/>
        </w:rPr>
        <w:t> </w:t>
      </w:r>
      <w:r>
        <w:t>—</w:t>
      </w:r>
      <w:r>
        <w:rPr>
          <w:rStyle w:val="CharSDivText"/>
        </w:rPr>
        <w:t> </w:t>
      </w:r>
      <w:r>
        <w:rPr>
          <w:rStyle w:val="CharSchText"/>
        </w:rPr>
        <w:t>Painter work: areas of the State for purposes of definition</w:t>
      </w:r>
      <w:bookmarkEnd w:id="110"/>
      <w:bookmarkEnd w:id="111"/>
    </w:p>
    <w:p>
      <w:pPr>
        <w:pStyle w:val="yShoulderClause"/>
      </w:pPr>
      <w:r>
        <w:t>[r. 28]</w:t>
      </w:r>
    </w:p>
    <w:p>
      <w:pPr>
        <w:pStyle w:val="yHeading5"/>
      </w:pPr>
      <w:bookmarkStart w:id="112" w:name="_Toc478638934"/>
      <w:r>
        <w:rPr>
          <w:rStyle w:val="CharSClsNo"/>
        </w:rPr>
        <w:t>1</w:t>
      </w:r>
      <w:r>
        <w:t>.</w:t>
      </w:r>
      <w:r>
        <w:tab/>
        <w:t>Term used: townsite</w:t>
      </w:r>
      <w:bookmarkEnd w:id="112"/>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13" w:name="_Toc478638935"/>
      <w:r>
        <w:rPr>
          <w:rStyle w:val="CharSClsNo"/>
        </w:rPr>
        <w:t>2</w:t>
      </w:r>
      <w:r>
        <w:t>.</w:t>
      </w:r>
      <w:r>
        <w:tab/>
        <w:t>Areas of State</w:t>
      </w:r>
      <w:bookmarkEnd w:id="113"/>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 xml:space="preserve">the townsites of </w:t>
      </w:r>
      <w:smartTag w:uri="urn:schemas-microsoft-com:office:smarttags" w:element="City">
        <w:r>
          <w:t>Kalgoorlie</w:t>
        </w:r>
      </w:smartTag>
      <w:r>
        <w:t xml:space="preserve"> and </w:t>
      </w:r>
      <w:smartTag w:uri="urn:schemas-microsoft-com:office:smarttags" w:element="place">
        <w:smartTag w:uri="urn:schemas-microsoft-com:office:smarttags" w:element="City">
          <w:r>
            <w:t>Boulder</w:t>
          </w:r>
        </w:smartTag>
      </w:smartTag>
      <w:r>
        <w:t>, in the local government district of Kalgoorlie Boulder; and</w:t>
      </w:r>
    </w:p>
    <w:p>
      <w:pPr>
        <w:pStyle w:val="yIndenta"/>
      </w:pPr>
      <w:r>
        <w:tab/>
        <w:t>(b)</w:t>
      </w:r>
      <w:r>
        <w:tab/>
        <w:t>the townsites of Esperance, Salmon Gums, Grass Patch, Scaddan, Condingup, Coomalbidgup, Cascade and Gibson in the local government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nHeading2"/>
      </w:pPr>
      <w:bookmarkStart w:id="114" w:name="_Toc454978813"/>
      <w:bookmarkStart w:id="115" w:name="_Toc478638936"/>
      <w:r>
        <w:t>Notes</w:t>
      </w:r>
      <w:bookmarkEnd w:id="114"/>
      <w:bookmarkEnd w:id="115"/>
    </w:p>
    <w:p>
      <w:pPr>
        <w:pStyle w:val="nSubsection"/>
      </w:pPr>
      <w:r>
        <w:rPr>
          <w:vertAlign w:val="superscript"/>
        </w:rPr>
        <w:t>1</w:t>
      </w:r>
      <w:r>
        <w:tab/>
        <w:t xml:space="preserve">This is a compilation of the </w:t>
      </w:r>
      <w:r>
        <w:rPr>
          <w:i/>
          <w:noProof/>
        </w:rPr>
        <w:t>Building Services (Registration) Regulations 2011</w:t>
      </w:r>
      <w:r>
        <w:t xml:space="preserve"> and includes the amendments made by the other written laws referred to in the following table.  The table also contains information about any reprint.</w:t>
      </w:r>
    </w:p>
    <w:p>
      <w:pPr>
        <w:pStyle w:val="nHeading3"/>
      </w:pPr>
      <w:bookmarkStart w:id="116" w:name="_Toc478638937"/>
      <w:r>
        <w:t>Compilation table</w:t>
      </w:r>
      <w:bookmarkEnd w:id="11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snapToGrid w:val="0"/>
              </w:rPr>
              <w:t>Building Services (Registration) Regulations 2011</w:t>
            </w:r>
          </w:p>
        </w:tc>
        <w:tc>
          <w:tcPr>
            <w:tcW w:w="1276" w:type="dxa"/>
            <w:tcBorders>
              <w:top w:val="single" w:sz="8" w:space="0" w:color="auto"/>
              <w:bottom w:val="nil"/>
            </w:tcBorders>
          </w:tcPr>
          <w:p>
            <w:pPr>
              <w:pStyle w:val="nTable"/>
              <w:spacing w:after="40"/>
            </w:pPr>
            <w:r>
              <w:t>26 Aug 2011 p. 3411-52</w:t>
            </w:r>
          </w:p>
        </w:tc>
        <w:tc>
          <w:tcPr>
            <w:tcW w:w="2693"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76" w:type="dxa"/>
            <w:tcBorders>
              <w:top w:val="nil"/>
              <w:left w:val="nil"/>
              <w:bottom w:val="nil"/>
              <w:right w:val="nil"/>
            </w:tcBorders>
          </w:tcPr>
          <w:p>
            <w:pPr>
              <w:pStyle w:val="nTable"/>
              <w:spacing w:after="40"/>
            </w:pPr>
            <w:r>
              <w:t>31 Jan 2012 p. 591</w:t>
            </w:r>
            <w:r>
              <w:noBreakHyphen/>
              <w:t>601</w:t>
            </w:r>
          </w:p>
        </w:tc>
        <w:tc>
          <w:tcPr>
            <w:tcW w:w="2693" w:type="dxa"/>
            <w:tcBorders>
              <w:top w:val="nil"/>
              <w:left w:val="nil"/>
              <w:bottom w:val="nil"/>
            </w:tcBorders>
          </w:tcPr>
          <w:p>
            <w:pPr>
              <w:pStyle w:val="nTable"/>
              <w:spacing w:after="40"/>
            </w:pPr>
            <w:r>
              <w:t>r. 1 and 2: 31 Jan 2012 (see r. 2(a));</w:t>
            </w:r>
            <w:r>
              <w:br/>
              <w:t>Regulations other than r. 1 and 2: 1 Feb 2012 (see r. 2(b))</w:t>
            </w:r>
          </w:p>
        </w:tc>
      </w:tr>
      <w:tr>
        <w:tc>
          <w:tcPr>
            <w:tcW w:w="3119"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76" w:type="dxa"/>
            <w:tcBorders>
              <w:top w:val="nil"/>
              <w:left w:val="nil"/>
              <w:bottom w:val="nil"/>
              <w:right w:val="nil"/>
            </w:tcBorders>
          </w:tcPr>
          <w:p>
            <w:pPr>
              <w:pStyle w:val="nTable"/>
              <w:spacing w:after="40"/>
            </w:pPr>
            <w:r>
              <w:t>12 Mar 2012 p. 989-1011</w:t>
            </w:r>
          </w:p>
        </w:tc>
        <w:tc>
          <w:tcPr>
            <w:tcW w:w="2693"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76" w:type="dxa"/>
            <w:tcBorders>
              <w:top w:val="nil"/>
              <w:left w:val="nil"/>
              <w:bottom w:val="nil"/>
              <w:right w:val="nil"/>
            </w:tcBorders>
          </w:tcPr>
          <w:p>
            <w:pPr>
              <w:pStyle w:val="nTable"/>
              <w:spacing w:after="40"/>
            </w:pPr>
            <w:r>
              <w:t>15 Jun 2012 p. 2617-20</w:t>
            </w:r>
          </w:p>
        </w:tc>
        <w:tc>
          <w:tcPr>
            <w:tcW w:w="2693" w:type="dxa"/>
            <w:tcBorders>
              <w:top w:val="nil"/>
              <w:left w:val="nil"/>
              <w:bottom w:val="nil"/>
            </w:tcBorders>
          </w:tcPr>
          <w:p>
            <w:pPr>
              <w:pStyle w:val="nTable"/>
              <w:spacing w:after="40"/>
            </w:pPr>
            <w:r>
              <w:t>r. 1 and 2: 15 Jun 2012 (see r. 2(a));</w:t>
            </w:r>
            <w:r>
              <w:br/>
              <w:t>Regulations other than r. 1 and 2: 1 Jul 2012 (see r. 2(b))</w:t>
            </w:r>
          </w:p>
        </w:tc>
      </w:tr>
      <w:tr>
        <w:tc>
          <w:tcPr>
            <w:tcW w:w="3119"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76" w:type="dxa"/>
            <w:tcBorders>
              <w:top w:val="nil"/>
              <w:left w:val="nil"/>
              <w:bottom w:val="nil"/>
              <w:right w:val="nil"/>
            </w:tcBorders>
          </w:tcPr>
          <w:p>
            <w:pPr>
              <w:pStyle w:val="nTable"/>
              <w:spacing w:after="40"/>
            </w:pPr>
            <w:r>
              <w:t>6 Nov 2012 p. 5293-4</w:t>
            </w:r>
          </w:p>
        </w:tc>
        <w:tc>
          <w:tcPr>
            <w:tcW w:w="2693" w:type="dxa"/>
            <w:tcBorders>
              <w:top w:val="nil"/>
              <w:left w:val="nil"/>
              <w:bottom w:val="nil"/>
            </w:tcBorders>
          </w:tcPr>
          <w:p>
            <w:pPr>
              <w:pStyle w:val="nTable"/>
              <w:spacing w:after="40"/>
            </w:pPr>
            <w:r>
              <w:t>r. 1 and 2: 6 Nov 2012 (see r. 2(a));</w:t>
            </w:r>
            <w:r>
              <w:br/>
              <w:t>Regulations other than r. 1 and 2: 7 Nov 2012 (see r. 2(b))</w:t>
            </w:r>
          </w:p>
        </w:tc>
      </w:tr>
      <w:tr>
        <w:tc>
          <w:tcPr>
            <w:tcW w:w="3119"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r>
              <w:rPr>
                <w:snapToGrid w:val="0"/>
                <w:vertAlign w:val="superscript"/>
              </w:rPr>
              <w:t>6</w:t>
            </w:r>
          </w:p>
        </w:tc>
        <w:tc>
          <w:tcPr>
            <w:tcW w:w="1276" w:type="dxa"/>
            <w:tcBorders>
              <w:top w:val="nil"/>
              <w:left w:val="nil"/>
              <w:bottom w:val="nil"/>
              <w:right w:val="nil"/>
            </w:tcBorders>
          </w:tcPr>
          <w:p>
            <w:pPr>
              <w:pStyle w:val="nTable"/>
              <w:spacing w:after="40"/>
            </w:pPr>
            <w:r>
              <w:t>18 Dec 2012 p. 6585-9</w:t>
            </w:r>
          </w:p>
        </w:tc>
        <w:tc>
          <w:tcPr>
            <w:tcW w:w="2693" w:type="dxa"/>
            <w:tcBorders>
              <w:top w:val="nil"/>
              <w:left w:val="nil"/>
              <w:bottom w:val="nil"/>
            </w:tcBorders>
          </w:tcPr>
          <w:p>
            <w:pPr>
              <w:pStyle w:val="nTable"/>
              <w:spacing w:after="40"/>
            </w:pPr>
            <w:r>
              <w:t>r. 1 and 2: 18 Dec 2012 (see r. 2(a));</w:t>
            </w:r>
            <w:r>
              <w:br/>
              <w:t>Regulations other than r. 1 and 2: 19 Dec 2012 (see r. 2(b))</w:t>
            </w:r>
          </w:p>
        </w:tc>
      </w:tr>
      <w:tr>
        <w:tc>
          <w:tcPr>
            <w:tcW w:w="3119"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76" w:type="dxa"/>
            <w:tcBorders>
              <w:top w:val="nil"/>
              <w:left w:val="nil"/>
              <w:bottom w:val="nil"/>
              <w:right w:val="nil"/>
            </w:tcBorders>
            <w:shd w:val="clear" w:color="auto" w:fill="auto"/>
          </w:tcPr>
          <w:p>
            <w:pPr>
              <w:pStyle w:val="nTable"/>
              <w:spacing w:after="40"/>
            </w:pPr>
            <w:r>
              <w:t>22 Jan 2013 p. 211</w:t>
            </w:r>
          </w:p>
        </w:tc>
        <w:tc>
          <w:tcPr>
            <w:tcW w:w="2693"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8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19" w:type="dxa"/>
            <w:tcBorders>
              <w:top w:val="nil"/>
              <w:bottom w:val="nil"/>
              <w:right w:val="nil"/>
            </w:tcBorders>
            <w:shd w:val="clear" w:color="auto" w:fill="auto"/>
          </w:tcPr>
          <w:p>
            <w:pPr>
              <w:pStyle w:val="nTable"/>
              <w:keepNext/>
              <w:spacing w:after="40"/>
              <w:rPr>
                <w:i/>
                <w:snapToGrid w:val="0"/>
              </w:rPr>
            </w:pPr>
            <w:r>
              <w:rPr>
                <w:i/>
                <w:snapToGrid w:val="0"/>
              </w:rPr>
              <w:t>Building Services (Registration) Amendment Regulations (No. 3) 2013</w:t>
            </w:r>
          </w:p>
        </w:tc>
        <w:tc>
          <w:tcPr>
            <w:tcW w:w="1276" w:type="dxa"/>
            <w:tcBorders>
              <w:top w:val="nil"/>
              <w:left w:val="nil"/>
              <w:bottom w:val="nil"/>
              <w:right w:val="nil"/>
            </w:tcBorders>
            <w:shd w:val="clear" w:color="auto" w:fill="auto"/>
          </w:tcPr>
          <w:p>
            <w:pPr>
              <w:pStyle w:val="nTable"/>
              <w:keepNext/>
              <w:spacing w:after="40"/>
            </w:pPr>
            <w:r>
              <w:t>27 Jun 2013 p. 2665-9</w:t>
            </w:r>
          </w:p>
        </w:tc>
        <w:tc>
          <w:tcPr>
            <w:tcW w:w="2693"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19"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76" w:type="dxa"/>
            <w:tcBorders>
              <w:top w:val="nil"/>
              <w:left w:val="nil"/>
              <w:bottom w:val="nil"/>
              <w:right w:val="nil"/>
            </w:tcBorders>
            <w:shd w:val="clear" w:color="auto" w:fill="auto"/>
          </w:tcPr>
          <w:p>
            <w:pPr>
              <w:pStyle w:val="nTable"/>
              <w:spacing w:after="40"/>
            </w:pPr>
            <w:r>
              <w:t>14 Nov 2013 p. 5029</w:t>
            </w:r>
          </w:p>
        </w:tc>
        <w:tc>
          <w:tcPr>
            <w:tcW w:w="2693"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76" w:type="dxa"/>
            <w:tcBorders>
              <w:top w:val="nil"/>
              <w:left w:val="nil"/>
              <w:bottom w:val="nil"/>
              <w:right w:val="nil"/>
            </w:tcBorders>
            <w:shd w:val="clear" w:color="auto" w:fill="auto"/>
          </w:tcPr>
          <w:p>
            <w:pPr>
              <w:pStyle w:val="nTable"/>
              <w:spacing w:after="40"/>
            </w:pPr>
            <w:r>
              <w:t>31 Dec 2013 p. 6535</w:t>
            </w:r>
            <w:r>
              <w:noBreakHyphen/>
              <w:t>9</w:t>
            </w:r>
          </w:p>
        </w:tc>
        <w:tc>
          <w:tcPr>
            <w:tcW w:w="2693"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76" w:type="dxa"/>
            <w:tcBorders>
              <w:top w:val="nil"/>
              <w:left w:val="nil"/>
              <w:bottom w:val="nil"/>
              <w:right w:val="nil"/>
            </w:tcBorders>
            <w:shd w:val="clear" w:color="auto" w:fill="auto"/>
          </w:tcPr>
          <w:p>
            <w:pPr>
              <w:pStyle w:val="nTable"/>
              <w:spacing w:after="40"/>
            </w:pPr>
            <w:r>
              <w:t>17 Jun 2014 p. 1959</w:t>
            </w:r>
            <w:r>
              <w:noBreakHyphen/>
              <w:t>61</w:t>
            </w:r>
          </w:p>
        </w:tc>
        <w:tc>
          <w:tcPr>
            <w:tcW w:w="2693" w:type="dxa"/>
            <w:tcBorders>
              <w:top w:val="nil"/>
              <w:left w:val="nil"/>
              <w:bottom w:val="nil"/>
            </w:tcBorders>
            <w:shd w:val="clear" w:color="auto" w:fill="auto"/>
          </w:tcPr>
          <w:p>
            <w:pPr>
              <w:pStyle w:val="nTable"/>
              <w:spacing w:after="40"/>
              <w:rPr>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9"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76" w:type="dxa"/>
            <w:tcBorders>
              <w:top w:val="nil"/>
              <w:left w:val="nil"/>
              <w:bottom w:val="nil"/>
              <w:right w:val="nil"/>
            </w:tcBorders>
            <w:shd w:val="clear" w:color="auto" w:fill="auto"/>
          </w:tcPr>
          <w:p>
            <w:pPr>
              <w:pStyle w:val="nTable"/>
              <w:spacing w:after="40"/>
            </w:pPr>
            <w:r>
              <w:t>19 Dec 2014 p. 4841</w:t>
            </w:r>
            <w:r>
              <w:noBreakHyphen/>
              <w:t>2</w:t>
            </w:r>
          </w:p>
        </w:tc>
        <w:tc>
          <w:tcPr>
            <w:tcW w:w="2693" w:type="dxa"/>
            <w:tcBorders>
              <w:top w:val="nil"/>
              <w:left w:val="nil"/>
              <w:bottom w:val="nil"/>
            </w:tcBorders>
            <w:shd w:val="clear" w:color="auto" w:fill="auto"/>
          </w:tcPr>
          <w:p>
            <w:pPr>
              <w:pStyle w:val="nTable"/>
              <w:spacing w:after="40"/>
              <w:rPr>
                <w:rFonts w:ascii="Times" w:hAnsi="Times"/>
                <w:bCs/>
                <w:snapToGrid w:val="0"/>
              </w:rPr>
            </w:pPr>
            <w:r>
              <w:rPr>
                <w:rFonts w:ascii="Times" w:hAnsi="Times"/>
                <w:bCs/>
                <w:snapToGrid w:val="0"/>
              </w:rPr>
              <w:t>r. 1 and 2: 19 Dec 2014 (see r. 2(a));</w:t>
            </w:r>
            <w:r>
              <w:rPr>
                <w:rFonts w:ascii="Times" w:hAnsi="Times"/>
                <w:bCs/>
                <w:snapToGrid w:val="0"/>
              </w:rPr>
              <w:br/>
              <w:t>Regulations other than r. 1 and 2: 20 Dec 2014 (see r. 2(b))</w:t>
            </w:r>
          </w:p>
        </w:tc>
      </w:tr>
      <w:tr>
        <w:tc>
          <w:tcPr>
            <w:tcW w:w="7088" w:type="dxa"/>
            <w:gridSpan w:val="3"/>
            <w:tcBorders>
              <w:top w:val="nil"/>
              <w:bottom w:val="nil"/>
            </w:tcBorders>
            <w:shd w:val="clear" w:color="auto" w:fill="auto"/>
          </w:tcPr>
          <w:p>
            <w:pPr>
              <w:pStyle w:val="nTable"/>
              <w:spacing w:after="40"/>
              <w:rPr>
                <w:rFonts w:ascii="Times" w:hAnsi="Times"/>
                <w:bCs/>
                <w:snapToGrid w:val="0"/>
              </w:rPr>
            </w:pPr>
            <w:r>
              <w:rPr>
                <w:rFonts w:ascii="Times" w:hAnsi="Times"/>
                <w:b/>
                <w:bCs/>
                <w:snapToGrid w:val="0"/>
              </w:rPr>
              <w:t xml:space="preserve">Reprint 2: The </w:t>
            </w:r>
            <w:r>
              <w:rPr>
                <w:rFonts w:ascii="Times" w:hAnsi="Times"/>
                <w:b/>
                <w:bCs/>
                <w:i/>
                <w:noProof/>
                <w:snapToGrid w:val="0"/>
              </w:rPr>
              <w:t>Building Services (Registration) Regulations 2011</w:t>
            </w:r>
            <w:r>
              <w:rPr>
                <w:rFonts w:ascii="Times" w:hAnsi="Times"/>
                <w:b/>
                <w:bCs/>
                <w:snapToGrid w:val="0"/>
              </w:rPr>
              <w:t xml:space="preserve"> as at 8 May 2015</w:t>
            </w:r>
            <w:r>
              <w:rPr>
                <w:rFonts w:ascii="Times" w:hAnsi="Times"/>
                <w:bCs/>
                <w:snapToGrid w:val="0"/>
              </w:rPr>
              <w:t xml:space="preserve"> (includes amendments listed above)</w:t>
            </w:r>
          </w:p>
        </w:tc>
      </w:tr>
      <w:tr>
        <w:tc>
          <w:tcPr>
            <w:tcW w:w="3119" w:type="dxa"/>
            <w:tcBorders>
              <w:top w:val="nil"/>
              <w:bottom w:val="nil"/>
            </w:tcBorders>
            <w:shd w:val="clear" w:color="auto" w:fill="auto"/>
          </w:tcPr>
          <w:p>
            <w:pPr>
              <w:pStyle w:val="nTable"/>
              <w:spacing w:after="40"/>
              <w:rPr>
                <w:rFonts w:ascii="Times" w:hAnsi="Times"/>
                <w:b/>
                <w:bCs/>
                <w:snapToGrid w:val="0"/>
              </w:rPr>
            </w:pPr>
            <w:r>
              <w:rPr>
                <w:i/>
              </w:rPr>
              <w:t>Building Services (Registration) Amendment Regulations 2015</w:t>
            </w:r>
          </w:p>
        </w:tc>
        <w:tc>
          <w:tcPr>
            <w:tcW w:w="1276" w:type="dxa"/>
            <w:tcBorders>
              <w:top w:val="nil"/>
              <w:bottom w:val="nil"/>
            </w:tcBorders>
            <w:shd w:val="clear" w:color="auto" w:fill="auto"/>
          </w:tcPr>
          <w:p>
            <w:pPr>
              <w:pStyle w:val="nTable"/>
              <w:spacing w:after="40"/>
              <w:rPr>
                <w:rFonts w:ascii="Times" w:hAnsi="Times"/>
                <w:b/>
                <w:bCs/>
                <w:snapToGrid w:val="0"/>
              </w:rPr>
            </w:pPr>
            <w:r>
              <w:t>23 Jun 2015 p. 2165</w:t>
            </w:r>
            <w:r>
              <w:noBreakHyphen/>
              <w:t>7</w:t>
            </w:r>
          </w:p>
        </w:tc>
        <w:tc>
          <w:tcPr>
            <w:tcW w:w="2693" w:type="dxa"/>
            <w:tcBorders>
              <w:top w:val="nil"/>
              <w:bottom w:val="nil"/>
            </w:tcBorders>
            <w:shd w:val="clear" w:color="auto" w:fill="auto"/>
          </w:tcPr>
          <w:p>
            <w:pPr>
              <w:pStyle w:val="nTable"/>
              <w:spacing w:after="40"/>
              <w:rPr>
                <w:rFonts w:ascii="Times" w:hAnsi="Times"/>
                <w:b/>
                <w:bCs/>
                <w:snapToGrid w:val="0"/>
              </w:rPr>
            </w:pPr>
            <w:r>
              <w:rPr>
                <w:rFonts w:ascii="Times" w:hAnsi="Times"/>
                <w:bCs/>
                <w:snapToGrid w:val="0"/>
              </w:rPr>
              <w:t xml:space="preserve">r. 1 and 2: </w:t>
            </w:r>
            <w: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tcBorders>
              <w:top w:val="nil"/>
              <w:bottom w:val="nil"/>
            </w:tcBorders>
          </w:tcPr>
          <w:p>
            <w:pPr>
              <w:pStyle w:val="nTable"/>
              <w:spacing w:after="40"/>
            </w:pPr>
            <w:r>
              <w:rPr>
                <w:i/>
              </w:rPr>
              <w:t>Commerce Regulations Amendment (Fees and Charges) Regulations 2016</w:t>
            </w:r>
            <w:r>
              <w:t xml:space="preserve"> Pt. 4</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9" w:type="dxa"/>
            <w:tcBorders>
              <w:top w:val="nil"/>
              <w:bottom w:val="single" w:sz="4" w:space="0" w:color="auto"/>
            </w:tcBorders>
          </w:tcPr>
          <w:p>
            <w:pPr>
              <w:pStyle w:val="nTable"/>
              <w:spacing w:after="40"/>
              <w:rPr>
                <w:i/>
              </w:rPr>
            </w:pPr>
            <w:r>
              <w:rPr>
                <w:i/>
              </w:rPr>
              <w:t>Building Services (Registration) Amendment Regulations 2017</w:t>
            </w:r>
          </w:p>
        </w:tc>
        <w:tc>
          <w:tcPr>
            <w:tcW w:w="1276" w:type="dxa"/>
            <w:tcBorders>
              <w:top w:val="nil"/>
              <w:bottom w:val="single" w:sz="4" w:space="0" w:color="auto"/>
            </w:tcBorders>
          </w:tcPr>
          <w:p>
            <w:pPr>
              <w:pStyle w:val="nTable"/>
              <w:spacing w:after="40"/>
            </w:pPr>
            <w:r>
              <w:t>31 Mar 2017 p. 1941-2</w:t>
            </w:r>
          </w:p>
        </w:tc>
        <w:tc>
          <w:tcPr>
            <w:tcW w:w="2693" w:type="dxa"/>
            <w:tcBorders>
              <w:top w:val="nil"/>
              <w:bottom w:val="single" w:sz="4" w:space="0" w:color="auto"/>
            </w:tcBorders>
          </w:tcPr>
          <w:p>
            <w:pPr>
              <w:pStyle w:val="nTable"/>
              <w:spacing w:after="40"/>
            </w:pPr>
            <w:r>
              <w:rPr>
                <w:rFonts w:ascii="Times" w:hAnsi="Times"/>
                <w:bCs/>
                <w:snapToGrid w:val="0"/>
                <w:spacing w:val="-2"/>
              </w:rPr>
              <w:t xml:space="preserve">r. 1 and 2: </w:t>
            </w:r>
            <w:r>
              <w:t>31 Mar 2017</w:t>
            </w:r>
            <w:r>
              <w:rPr>
                <w:rFonts w:ascii="Times" w:hAnsi="Times"/>
                <w:bCs/>
                <w:snapToGrid w:val="0"/>
                <w:spacing w:val="-2"/>
              </w:rPr>
              <w:t xml:space="preserve"> (see r. 2(a));</w:t>
            </w:r>
            <w:r>
              <w:rPr>
                <w:rFonts w:ascii="Times" w:hAnsi="Times"/>
                <w:bCs/>
                <w:snapToGrid w:val="0"/>
                <w:spacing w:val="-2"/>
              </w:rPr>
              <w:br/>
              <w:t xml:space="preserve">Regulations other than r. 1 and 2: </w:t>
            </w:r>
            <w:r>
              <w:t>1 Apr 2017</w:t>
            </w:r>
            <w:r>
              <w:rPr>
                <w:rFonts w:ascii="Times" w:hAnsi="Times"/>
                <w:bCs/>
                <w:snapToGrid w:val="0"/>
                <w:spacing w:val="-2"/>
              </w:rPr>
              <w:t xml:space="preserve"> (see r. 2(b))</w:t>
            </w:r>
          </w:p>
        </w:tc>
      </w:tr>
    </w:tbl>
    <w:p>
      <w:pPr>
        <w:pStyle w:val="nSubsection"/>
        <w:spacing w:before="160"/>
        <w:rPr>
          <w:vertAlign w:val="superscript"/>
        </w:rPr>
      </w:pPr>
      <w:r>
        <w:rPr>
          <w:vertAlign w:val="superscript"/>
        </w:rPr>
        <w:t>2</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Subsection"/>
      </w:pPr>
      <w:r>
        <w:rPr>
          <w:vertAlign w:val="superscript"/>
        </w:rPr>
        <w:t>3</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Subsection"/>
        <w:rPr>
          <w:spacing w:val="-2"/>
        </w:rPr>
      </w:pPr>
      <w:r>
        <w:rPr>
          <w:vertAlign w:val="superscript"/>
        </w:rPr>
        <w:t>4</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Subsection"/>
        <w:rPr>
          <w:vertAlign w:val="superscript"/>
        </w:rPr>
      </w:pPr>
      <w:r>
        <w:rPr>
          <w:vertAlign w:val="superscript"/>
        </w:rPr>
        <w:t>5</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118" w:name="_Toc478638938"/>
      <w:r>
        <w:rPr>
          <w:sz w:val="28"/>
        </w:rPr>
        <w:t>Defined terms</w:t>
      </w:r>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approval number</w:t>
      </w:r>
      <w:r>
        <w:tab/>
        <w:t>27(1)</w:t>
      </w:r>
    </w:p>
    <w:p>
      <w:pPr>
        <w:pStyle w:val="DefinedTerms"/>
      </w:pPr>
      <w:r>
        <w:t>builder work</w:t>
      </w:r>
      <w:r>
        <w:tab/>
        <w:t>3, 13(1)</w:t>
      </w:r>
    </w:p>
    <w:p>
      <w:pPr>
        <w:pStyle w:val="DefinedTerms"/>
      </w:pPr>
      <w:r>
        <w:t>Building Code</w:t>
      </w:r>
      <w:r>
        <w:tab/>
        <w:t>22</w:t>
      </w:r>
    </w:p>
    <w:p>
      <w:pPr>
        <w:pStyle w:val="DefinedTerms"/>
      </w:pPr>
      <w:r>
        <w:t>building contractor</w:t>
      </w:r>
      <w:r>
        <w:tab/>
        <w:t>13(1)</w:t>
      </w:r>
    </w:p>
    <w:p>
      <w:pPr>
        <w:pStyle w:val="DefinedTerms"/>
      </w:pPr>
      <w:r>
        <w:t>building surveying contractor</w:t>
      </w:r>
      <w:r>
        <w:tab/>
        <w:t>28A</w:t>
      </w:r>
    </w:p>
    <w:p>
      <w:pPr>
        <w:pStyle w:val="DefinedTerms"/>
      </w:pPr>
      <w:r>
        <w:t>building surveying work</w:t>
      </w:r>
      <w:r>
        <w:tab/>
        <w:t>28A</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w:t>
      </w:r>
    </w:p>
    <w:p>
      <w:pPr>
        <w:pStyle w:val="DefinedTerms"/>
      </w:pPr>
      <w:r>
        <w:t>compliance certificate</w:t>
      </w:r>
      <w:r>
        <w:tab/>
        <w:t>3</w:t>
      </w:r>
    </w:p>
    <w:p>
      <w:pPr>
        <w:pStyle w:val="DefinedTerms"/>
      </w:pPr>
      <w:r>
        <w:t>detached house</w:t>
      </w:r>
      <w:r>
        <w:tab/>
        <w:t>22</w:t>
      </w:r>
    </w:p>
    <w:p>
      <w:pPr>
        <w:pStyle w:val="DefinedTerms"/>
      </w:pPr>
      <w:r>
        <w:t>eligible person</w:t>
      </w:r>
      <w:r>
        <w:tab/>
        <w:t>16(4), 28D(2A), 28D(3A), 31(4)</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insolvent</w:t>
      </w:r>
      <w:r>
        <w:tab/>
        <w:t>3</w:t>
      </w:r>
    </w:p>
    <w:p>
      <w:pPr>
        <w:pStyle w:val="DefinedTerms"/>
      </w:pPr>
      <w:r>
        <w:t>owner</w:t>
      </w:r>
      <w:r>
        <w:noBreakHyphen/>
        <w:t>builder authorisation</w:t>
      </w:r>
      <w:r>
        <w:tab/>
        <w:t>37</w:t>
      </w:r>
    </w:p>
    <w:p>
      <w:pPr>
        <w:pStyle w:val="DefinedTerms"/>
      </w:pPr>
      <w:r>
        <w:t>painter work</w:t>
      </w:r>
      <w:r>
        <w:tab/>
        <w:t>3, 28(1)</w:t>
      </w:r>
    </w:p>
    <w:p>
      <w:pPr>
        <w:pStyle w:val="DefinedTerms"/>
      </w:pPr>
      <w:r>
        <w:t>painting contractor</w:t>
      </w:r>
      <w:r>
        <w:tab/>
        <w:t>28(1)</w:t>
      </w:r>
    </w:p>
    <w:p>
      <w:pPr>
        <w:pStyle w:val="DefinedTerms"/>
      </w:pPr>
      <w:r>
        <w:t>painting work</w:t>
      </w:r>
      <w:r>
        <w:tab/>
        <w:t>28(1)</w:t>
      </w:r>
    </w:p>
    <w:p>
      <w:pPr>
        <w:pStyle w:val="DefinedTerms"/>
      </w:pPr>
      <w:r>
        <w:t>previously registered</w:t>
      </w:r>
      <w:r>
        <w:tab/>
        <w:t>16(4), 31(4)</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townsite</w:t>
      </w:r>
      <w:r>
        <w:tab/>
        <w:t>Sch. 3 cl. 1, Sch. 4 cl. 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"Division 3Division 4Division 4</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1Schedule 1</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"Division 1Division 4Division 4</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Painters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Painters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30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29153504"/>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0FF39-1F9F-4762-8732-7C0B0F719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12572</Words>
  <Characters>67139</Characters>
  <Application>Microsoft Office Word</Application>
  <DocSecurity>0</DocSecurity>
  <Lines>2397</Lines>
  <Paragraphs>1398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2011 - 02-e0-01</dc:title>
  <dc:subject/>
  <dc:creator/>
  <cp:keywords/>
  <dc:description/>
  <cp:lastModifiedBy>svcMRProcess</cp:lastModifiedBy>
  <cp:revision>4</cp:revision>
  <cp:lastPrinted>2015-05-15T03:21:00Z</cp:lastPrinted>
  <dcterms:created xsi:type="dcterms:W3CDTF">2018-09-18T18:37:00Z</dcterms:created>
  <dcterms:modified xsi:type="dcterms:W3CDTF">2018-09-18T18:37:00Z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01 Apr 2017</vt:lpwstr>
  </property>
  <property fmtid="{D5CDD505-2E9C-101B-9397-08002B2CF9AE}" pid="7" name="Suffix">
    <vt:lpwstr>02-e0-01</vt:lpwstr>
  </property>
  <property fmtid="{D5CDD505-2E9C-101B-9397-08002B2CF9AE}" pid="8" name="CommencementDate">
    <vt:lpwstr>20170401</vt:lpwstr>
  </property>
</Properties>
</file>