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Transmission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Transmission Regulations 1996</w:t>
      </w:r>
      <w:r>
        <w:fldChar w:fldCharType="end"/>
      </w:r>
    </w:p>
    <w:p>
      <w:pPr>
        <w:pStyle w:val="Arrangement"/>
      </w:pPr>
      <w:r>
        <w:t>CONTENTS</w:t>
      </w:r>
    </w:p>
    <w:p>
      <w:pPr>
        <w:pStyle w:val="TOC2"/>
        <w:tabs>
          <w:tab w:val="right" w:leader="dot" w:pos="7078"/>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General</w:t>
      </w:r>
    </w:p>
    <w:p>
      <w:pPr>
        <w:pStyle w:val="TOC8"/>
        <w:rPr>
          <w:sz w:val="24"/>
        </w:rPr>
      </w:pPr>
      <w:r>
        <w:t>1</w:t>
      </w:r>
      <w:r>
        <w:rPr>
          <w:snapToGrid w:val="0"/>
        </w:rPr>
        <w:t>.</w:t>
      </w:r>
      <w:r>
        <w:rPr>
          <w:snapToGrid w:val="0"/>
        </w:rPr>
        <w:tab/>
        <w:t>Citation</w:t>
      </w:r>
      <w:r>
        <w:tab/>
      </w:r>
      <w:r>
        <w:fldChar w:fldCharType="begin"/>
      </w:r>
      <w:r>
        <w:instrText xml:space="preserve"> PAGEREF _Toc146530145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_Toc146530146 \h </w:instrText>
      </w:r>
      <w:r>
        <w:fldChar w:fldCharType="separate"/>
      </w:r>
      <w:r>
        <w:t>1</w:t>
      </w:r>
      <w:r>
        <w:fldChar w:fldCharType="end"/>
      </w:r>
    </w:p>
    <w:p>
      <w:pPr>
        <w:pStyle w:val="TOC8"/>
        <w:rPr>
          <w:sz w:val="24"/>
        </w:rPr>
      </w:pPr>
      <w:r>
        <w:t>3</w:t>
      </w:r>
      <w:r>
        <w:rPr>
          <w:snapToGrid w:val="0"/>
        </w:rPr>
        <w:t>.</w:t>
      </w:r>
      <w:r>
        <w:rPr>
          <w:snapToGrid w:val="0"/>
        </w:rPr>
        <w:tab/>
        <w:t>Definitions</w:t>
      </w:r>
      <w:r>
        <w:tab/>
      </w:r>
      <w:r>
        <w:fldChar w:fldCharType="begin"/>
      </w:r>
      <w:r>
        <w:instrText xml:space="preserve"> PAGEREF _Toc146530147 \h </w:instrText>
      </w:r>
      <w:r>
        <w:fldChar w:fldCharType="separate"/>
      </w:r>
      <w:r>
        <w:t>1</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_Toc146530148 \h </w:instrText>
      </w:r>
      <w:r>
        <w:fldChar w:fldCharType="separate"/>
      </w:r>
      <w:r>
        <w:t>8</w:t>
      </w:r>
      <w:r>
        <w:fldChar w:fldCharType="end"/>
      </w:r>
    </w:p>
    <w:p>
      <w:pPr>
        <w:pStyle w:val="TOC8"/>
        <w:rPr>
          <w:sz w:val="24"/>
        </w:rPr>
      </w:pPr>
      <w:r>
        <w:t>5</w:t>
      </w:r>
      <w:r>
        <w:rPr>
          <w:snapToGrid w:val="0"/>
        </w:rPr>
        <w:t>.</w:t>
      </w:r>
      <w:r>
        <w:rPr>
          <w:snapToGrid w:val="0"/>
        </w:rPr>
        <w:tab/>
        <w:t>Electricity transmission network</w:t>
      </w:r>
      <w:r>
        <w:tab/>
      </w:r>
      <w:r>
        <w:fldChar w:fldCharType="begin"/>
      </w:r>
      <w:r>
        <w:instrText xml:space="preserve"> PAGEREF _Toc146530149 \h </w:instrText>
      </w:r>
      <w:r>
        <w:fldChar w:fldCharType="separate"/>
      </w:r>
      <w:r>
        <w:t>10</w:t>
      </w:r>
      <w:r>
        <w:fldChar w:fldCharType="end"/>
      </w:r>
    </w:p>
    <w:p>
      <w:pPr>
        <w:pStyle w:val="TOC8"/>
        <w:rPr>
          <w:sz w:val="24"/>
        </w:rPr>
      </w:pPr>
      <w:r>
        <w:t>6</w:t>
      </w:r>
      <w:r>
        <w:rPr>
          <w:snapToGrid w:val="0"/>
        </w:rPr>
        <w:t>.</w:t>
      </w:r>
      <w:r>
        <w:rPr>
          <w:snapToGrid w:val="0"/>
        </w:rPr>
        <w:tab/>
        <w:t>Reports and forecasts and prescribed fees</w:t>
      </w:r>
      <w:r>
        <w:tab/>
      </w:r>
      <w:r>
        <w:fldChar w:fldCharType="begin"/>
      </w:r>
      <w:r>
        <w:instrText xml:space="preserve"> PAGEREF _Toc146530150 \h </w:instrText>
      </w:r>
      <w:r>
        <w:fldChar w:fldCharType="separate"/>
      </w:r>
      <w:r>
        <w:t>10</w:t>
      </w:r>
      <w:r>
        <w:fldChar w:fldCharType="end"/>
      </w:r>
    </w:p>
    <w:p>
      <w:pPr>
        <w:pStyle w:val="TOC2"/>
        <w:tabs>
          <w:tab w:val="right" w:leader="dot" w:pos="7078"/>
        </w:tabs>
        <w:rPr>
          <w:b w:val="0"/>
          <w:sz w:val="24"/>
        </w:rPr>
      </w:pPr>
      <w:r>
        <w:t>Part 2 — Access</w:t>
      </w:r>
    </w:p>
    <w:p>
      <w:pPr>
        <w:pStyle w:val="TOC8"/>
        <w:rPr>
          <w:sz w:val="24"/>
        </w:rPr>
      </w:pPr>
      <w:r>
        <w:t>7</w:t>
      </w:r>
      <w:r>
        <w:rPr>
          <w:snapToGrid w:val="0"/>
        </w:rPr>
        <w:t>.</w:t>
      </w:r>
      <w:r>
        <w:rPr>
          <w:snapToGrid w:val="0"/>
        </w:rPr>
        <w:tab/>
        <w:t>Access procedure</w:t>
      </w:r>
      <w:r>
        <w:tab/>
      </w:r>
      <w:r>
        <w:fldChar w:fldCharType="begin"/>
      </w:r>
      <w:r>
        <w:instrText xml:space="preserve"> PAGEREF _Toc146530152 \h </w:instrText>
      </w:r>
      <w:r>
        <w:fldChar w:fldCharType="separate"/>
      </w:r>
      <w:r>
        <w:t>12</w:t>
      </w:r>
      <w:r>
        <w:fldChar w:fldCharType="end"/>
      </w:r>
    </w:p>
    <w:p>
      <w:pPr>
        <w:pStyle w:val="TOC8"/>
        <w:rPr>
          <w:sz w:val="24"/>
        </w:rPr>
      </w:pPr>
      <w:r>
        <w:t>8</w:t>
      </w:r>
      <w:r>
        <w:rPr>
          <w:snapToGrid w:val="0"/>
        </w:rPr>
        <w:t>.</w:t>
      </w:r>
      <w:r>
        <w:rPr>
          <w:snapToGrid w:val="0"/>
        </w:rPr>
        <w:tab/>
        <w:t>Access application</w:t>
      </w:r>
      <w:r>
        <w:tab/>
      </w:r>
      <w:r>
        <w:fldChar w:fldCharType="begin"/>
      </w:r>
      <w:r>
        <w:instrText xml:space="preserve"> PAGEREF _Toc146530153 \h </w:instrText>
      </w:r>
      <w:r>
        <w:fldChar w:fldCharType="separate"/>
      </w:r>
      <w:r>
        <w:t>12</w:t>
      </w:r>
      <w:r>
        <w:fldChar w:fldCharType="end"/>
      </w:r>
    </w:p>
    <w:p>
      <w:pPr>
        <w:pStyle w:val="TOC8"/>
        <w:rPr>
          <w:sz w:val="24"/>
        </w:rPr>
      </w:pPr>
      <w:r>
        <w:t>9</w:t>
      </w:r>
      <w:r>
        <w:rPr>
          <w:snapToGrid w:val="0"/>
        </w:rPr>
        <w:t>.</w:t>
      </w:r>
      <w:r>
        <w:rPr>
          <w:snapToGrid w:val="0"/>
        </w:rPr>
        <w:tab/>
        <w:t>Provision and use of information in respect of an access application</w:t>
      </w:r>
      <w:r>
        <w:tab/>
      </w:r>
      <w:r>
        <w:fldChar w:fldCharType="begin"/>
      </w:r>
      <w:r>
        <w:instrText xml:space="preserve"> PAGEREF _Toc146530154 \h </w:instrText>
      </w:r>
      <w:r>
        <w:fldChar w:fldCharType="separate"/>
      </w:r>
      <w:r>
        <w:t>13</w:t>
      </w:r>
      <w:r>
        <w:fldChar w:fldCharType="end"/>
      </w:r>
    </w:p>
    <w:p>
      <w:pPr>
        <w:pStyle w:val="TOC8"/>
        <w:rPr>
          <w:sz w:val="24"/>
        </w:rPr>
      </w:pPr>
      <w:r>
        <w:t>10</w:t>
      </w:r>
      <w:r>
        <w:rPr>
          <w:snapToGrid w:val="0"/>
        </w:rPr>
        <w:t>.</w:t>
      </w:r>
      <w:r>
        <w:rPr>
          <w:snapToGrid w:val="0"/>
        </w:rPr>
        <w:tab/>
        <w:t>Preliminary assessment</w:t>
      </w:r>
      <w:r>
        <w:tab/>
      </w:r>
      <w:r>
        <w:fldChar w:fldCharType="begin"/>
      </w:r>
      <w:r>
        <w:instrText xml:space="preserve"> PAGEREF _Toc146530155 \h </w:instrText>
      </w:r>
      <w:r>
        <w:fldChar w:fldCharType="separate"/>
      </w:r>
      <w:r>
        <w:t>15</w:t>
      </w:r>
      <w:r>
        <w:fldChar w:fldCharType="end"/>
      </w:r>
    </w:p>
    <w:p>
      <w:pPr>
        <w:pStyle w:val="TOC8"/>
        <w:rPr>
          <w:sz w:val="24"/>
        </w:rPr>
      </w:pPr>
      <w:r>
        <w:t>11</w:t>
      </w:r>
      <w:r>
        <w:rPr>
          <w:snapToGrid w:val="0"/>
        </w:rPr>
        <w:t>.</w:t>
      </w:r>
      <w:r>
        <w:rPr>
          <w:snapToGrid w:val="0"/>
        </w:rPr>
        <w:tab/>
        <w:t>Access offer</w:t>
      </w:r>
      <w:r>
        <w:tab/>
      </w:r>
      <w:r>
        <w:fldChar w:fldCharType="begin"/>
      </w:r>
      <w:r>
        <w:instrText xml:space="preserve"> PAGEREF _Toc146530156 \h </w:instrText>
      </w:r>
      <w:r>
        <w:fldChar w:fldCharType="separate"/>
      </w:r>
      <w:r>
        <w:t>15</w:t>
      </w:r>
      <w:r>
        <w:fldChar w:fldCharType="end"/>
      </w:r>
    </w:p>
    <w:p>
      <w:pPr>
        <w:pStyle w:val="TOC8"/>
        <w:rPr>
          <w:sz w:val="24"/>
        </w:rPr>
      </w:pPr>
      <w:r>
        <w:t>12</w:t>
      </w:r>
      <w:r>
        <w:rPr>
          <w:snapToGrid w:val="0"/>
        </w:rPr>
        <w:t>.</w:t>
      </w:r>
      <w:r>
        <w:rPr>
          <w:snapToGrid w:val="0"/>
        </w:rPr>
        <w:tab/>
        <w:t>Capital contributions</w:t>
      </w:r>
      <w:r>
        <w:tab/>
      </w:r>
      <w:r>
        <w:fldChar w:fldCharType="begin"/>
      </w:r>
      <w:r>
        <w:instrText xml:space="preserve"> PAGEREF _Toc146530157 \h </w:instrText>
      </w:r>
      <w:r>
        <w:fldChar w:fldCharType="separate"/>
      </w:r>
      <w:r>
        <w:t>19</w:t>
      </w:r>
      <w:r>
        <w:fldChar w:fldCharType="end"/>
      </w:r>
    </w:p>
    <w:p>
      <w:pPr>
        <w:pStyle w:val="TOC8"/>
        <w:rPr>
          <w:sz w:val="24"/>
        </w:rPr>
      </w:pPr>
      <w:r>
        <w:t>13</w:t>
      </w:r>
      <w:r>
        <w:rPr>
          <w:snapToGrid w:val="0"/>
        </w:rPr>
        <w:t>.</w:t>
      </w:r>
      <w:r>
        <w:rPr>
          <w:snapToGrid w:val="0"/>
        </w:rPr>
        <w:tab/>
        <w:t>First come first served</w:t>
      </w:r>
      <w:r>
        <w:tab/>
      </w:r>
      <w:r>
        <w:fldChar w:fldCharType="begin"/>
      </w:r>
      <w:r>
        <w:instrText xml:space="preserve"> PAGEREF _Toc146530158 \h </w:instrText>
      </w:r>
      <w:r>
        <w:fldChar w:fldCharType="separate"/>
      </w:r>
      <w:r>
        <w:t>23</w:t>
      </w:r>
      <w:r>
        <w:fldChar w:fldCharType="end"/>
      </w:r>
    </w:p>
    <w:p>
      <w:pPr>
        <w:pStyle w:val="TOC8"/>
        <w:rPr>
          <w:sz w:val="24"/>
        </w:rPr>
      </w:pPr>
      <w:r>
        <w:t>14</w:t>
      </w:r>
      <w:r>
        <w:rPr>
          <w:snapToGrid w:val="0"/>
        </w:rPr>
        <w:t>.</w:t>
      </w:r>
      <w:r>
        <w:rPr>
          <w:snapToGrid w:val="0"/>
        </w:rPr>
        <w:tab/>
        <w:t>Confidentiality</w:t>
      </w:r>
      <w:r>
        <w:tab/>
      </w:r>
      <w:r>
        <w:fldChar w:fldCharType="begin"/>
      </w:r>
      <w:r>
        <w:instrText xml:space="preserve"> PAGEREF _Toc146530159 \h </w:instrText>
      </w:r>
      <w:r>
        <w:fldChar w:fldCharType="separate"/>
      </w:r>
      <w:r>
        <w:t>24</w:t>
      </w:r>
      <w:r>
        <w:fldChar w:fldCharType="end"/>
      </w:r>
    </w:p>
    <w:p>
      <w:pPr>
        <w:pStyle w:val="TOC8"/>
        <w:rPr>
          <w:sz w:val="24"/>
        </w:rPr>
      </w:pPr>
      <w:r>
        <w:t>15</w:t>
      </w:r>
      <w:r>
        <w:rPr>
          <w:snapToGrid w:val="0"/>
        </w:rPr>
        <w:t>.</w:t>
      </w:r>
      <w:r>
        <w:rPr>
          <w:snapToGrid w:val="0"/>
        </w:rPr>
        <w:tab/>
        <w:t>Access agreements</w:t>
      </w:r>
      <w:r>
        <w:tab/>
      </w:r>
      <w:r>
        <w:fldChar w:fldCharType="begin"/>
      </w:r>
      <w:r>
        <w:instrText xml:space="preserve"> PAGEREF _Toc146530160 \h </w:instrText>
      </w:r>
      <w:r>
        <w:fldChar w:fldCharType="separate"/>
      </w:r>
      <w:r>
        <w:t>26</w:t>
      </w:r>
      <w:r>
        <w:fldChar w:fldCharType="end"/>
      </w:r>
    </w:p>
    <w:p>
      <w:pPr>
        <w:pStyle w:val="TOC8"/>
        <w:rPr>
          <w:sz w:val="24"/>
        </w:rPr>
      </w:pPr>
      <w:r>
        <w:t>16</w:t>
      </w:r>
      <w:r>
        <w:rPr>
          <w:snapToGrid w:val="0"/>
        </w:rPr>
        <w:t>.</w:t>
      </w:r>
      <w:r>
        <w:rPr>
          <w:snapToGrid w:val="0"/>
        </w:rPr>
        <w:tab/>
        <w:t>Cost of processing access applications</w:t>
      </w:r>
      <w:r>
        <w:tab/>
      </w:r>
      <w:r>
        <w:fldChar w:fldCharType="begin"/>
      </w:r>
      <w:r>
        <w:instrText xml:space="preserve"> PAGEREF _Toc146530161 \h </w:instrText>
      </w:r>
      <w:r>
        <w:fldChar w:fldCharType="separate"/>
      </w:r>
      <w:r>
        <w:t>27</w:t>
      </w:r>
      <w:r>
        <w:fldChar w:fldCharType="end"/>
      </w:r>
    </w:p>
    <w:p>
      <w:pPr>
        <w:pStyle w:val="TOC8"/>
        <w:rPr>
          <w:sz w:val="24"/>
        </w:rPr>
      </w:pPr>
      <w:r>
        <w:t>16A</w:t>
      </w:r>
      <w:r>
        <w:rPr>
          <w:snapToGrid w:val="0"/>
        </w:rPr>
        <w:t>.</w:t>
      </w:r>
      <w:r>
        <w:rPr>
          <w:snapToGrid w:val="0"/>
        </w:rPr>
        <w:tab/>
        <w:t>Suspension of time periods</w:t>
      </w:r>
      <w:r>
        <w:tab/>
      </w:r>
      <w:r>
        <w:fldChar w:fldCharType="begin"/>
      </w:r>
      <w:r>
        <w:instrText xml:space="preserve"> PAGEREF _Toc146530162 \h </w:instrText>
      </w:r>
      <w:r>
        <w:fldChar w:fldCharType="separate"/>
      </w:r>
      <w:r>
        <w:t>27</w:t>
      </w:r>
      <w:r>
        <w:fldChar w:fldCharType="end"/>
      </w:r>
    </w:p>
    <w:p>
      <w:pPr>
        <w:pStyle w:val="TOC2"/>
        <w:tabs>
          <w:tab w:val="right" w:leader="dot" w:pos="7078"/>
        </w:tabs>
        <w:rPr>
          <w:b w:val="0"/>
          <w:sz w:val="24"/>
        </w:rPr>
      </w:pPr>
      <w:r>
        <w:t>Part 3 — Pricing, prices and charges</w:t>
      </w:r>
    </w:p>
    <w:p>
      <w:pPr>
        <w:pStyle w:val="TOC8"/>
        <w:rPr>
          <w:sz w:val="24"/>
        </w:rPr>
      </w:pPr>
      <w:r>
        <w:t>17</w:t>
      </w:r>
      <w:r>
        <w:rPr>
          <w:snapToGrid w:val="0"/>
        </w:rPr>
        <w:t>.</w:t>
      </w:r>
      <w:r>
        <w:rPr>
          <w:snapToGrid w:val="0"/>
        </w:rPr>
        <w:tab/>
        <w:t>Pricing methods and prices</w:t>
      </w:r>
      <w:r>
        <w:tab/>
      </w:r>
      <w:r>
        <w:fldChar w:fldCharType="begin"/>
      </w:r>
      <w:r>
        <w:instrText xml:space="preserve"> PAGEREF _Toc146530164 \h </w:instrText>
      </w:r>
      <w:r>
        <w:fldChar w:fldCharType="separate"/>
      </w:r>
      <w:r>
        <w:t>28</w:t>
      </w:r>
      <w:r>
        <w:fldChar w:fldCharType="end"/>
      </w:r>
    </w:p>
    <w:p>
      <w:pPr>
        <w:pStyle w:val="TOC8"/>
        <w:rPr>
          <w:sz w:val="24"/>
        </w:rPr>
      </w:pPr>
      <w:r>
        <w:t>18</w:t>
      </w:r>
      <w:r>
        <w:rPr>
          <w:snapToGrid w:val="0"/>
        </w:rPr>
        <w:t>.</w:t>
      </w:r>
      <w:r>
        <w:rPr>
          <w:snapToGrid w:val="0"/>
        </w:rPr>
        <w:tab/>
        <w:t>Charges</w:t>
      </w:r>
      <w:r>
        <w:tab/>
      </w:r>
      <w:r>
        <w:fldChar w:fldCharType="begin"/>
      </w:r>
      <w:r>
        <w:instrText xml:space="preserve"> PAGEREF _Toc146530165 \h </w:instrText>
      </w:r>
      <w:r>
        <w:fldChar w:fldCharType="separate"/>
      </w:r>
      <w:r>
        <w:t>28</w:t>
      </w:r>
      <w:r>
        <w:fldChar w:fldCharType="end"/>
      </w:r>
    </w:p>
    <w:p>
      <w:pPr>
        <w:pStyle w:val="TOC2"/>
        <w:tabs>
          <w:tab w:val="right" w:leader="dot" w:pos="7078"/>
        </w:tabs>
        <w:rPr>
          <w:b w:val="0"/>
          <w:sz w:val="24"/>
        </w:rPr>
      </w:pPr>
      <w:r>
        <w:t>Part 4 — Balancing</w:t>
      </w:r>
    </w:p>
    <w:p>
      <w:pPr>
        <w:pStyle w:val="TOC8"/>
        <w:rPr>
          <w:sz w:val="24"/>
        </w:rPr>
      </w:pPr>
      <w:r>
        <w:t>18A.</w:t>
      </w:r>
      <w:r>
        <w:tab/>
        <w:t>Application of Part modified for wholesale electricity market</w:t>
      </w:r>
      <w:r>
        <w:tab/>
      </w:r>
      <w:r>
        <w:fldChar w:fldCharType="begin"/>
      </w:r>
      <w:r>
        <w:instrText xml:space="preserve"> PAGEREF _Toc146530167 \h </w:instrText>
      </w:r>
      <w:r>
        <w:fldChar w:fldCharType="separate"/>
      </w:r>
      <w:r>
        <w:t>29</w:t>
      </w:r>
      <w:r>
        <w:fldChar w:fldCharType="end"/>
      </w:r>
    </w:p>
    <w:p>
      <w:pPr>
        <w:pStyle w:val="TOC8"/>
        <w:rPr>
          <w:sz w:val="24"/>
        </w:rPr>
      </w:pPr>
      <w:r>
        <w:t>19</w:t>
      </w:r>
      <w:r>
        <w:rPr>
          <w:snapToGrid w:val="0"/>
        </w:rPr>
        <w:t>.</w:t>
      </w:r>
      <w:r>
        <w:rPr>
          <w:snapToGrid w:val="0"/>
        </w:rPr>
        <w:tab/>
        <w:t>Standby arrangements</w:t>
      </w:r>
      <w:r>
        <w:tab/>
      </w:r>
      <w:r>
        <w:fldChar w:fldCharType="begin"/>
      </w:r>
      <w:r>
        <w:instrText xml:space="preserve"> PAGEREF _Toc146530168 \h </w:instrText>
      </w:r>
      <w:r>
        <w:fldChar w:fldCharType="separate"/>
      </w:r>
      <w:r>
        <w:t>29</w:t>
      </w:r>
      <w:r>
        <w:fldChar w:fldCharType="end"/>
      </w:r>
    </w:p>
    <w:p>
      <w:pPr>
        <w:pStyle w:val="TOC8"/>
        <w:rPr>
          <w:sz w:val="24"/>
        </w:rPr>
      </w:pPr>
      <w:r>
        <w:t>20.</w:t>
      </w:r>
      <w:r>
        <w:tab/>
        <w:t>Loss factors</w:t>
      </w:r>
      <w:r>
        <w:tab/>
      </w:r>
      <w:r>
        <w:fldChar w:fldCharType="begin"/>
      </w:r>
      <w:r>
        <w:instrText xml:space="preserve"> PAGEREF _Toc146530169 \h </w:instrText>
      </w:r>
      <w:r>
        <w:fldChar w:fldCharType="separate"/>
      </w:r>
      <w:r>
        <w:t>30</w:t>
      </w:r>
      <w:r>
        <w:fldChar w:fldCharType="end"/>
      </w:r>
    </w:p>
    <w:p>
      <w:pPr>
        <w:pStyle w:val="TOC8"/>
        <w:rPr>
          <w:sz w:val="24"/>
        </w:rPr>
      </w:pPr>
      <w:r>
        <w:t>21</w:t>
      </w:r>
      <w:r>
        <w:rPr>
          <w:snapToGrid w:val="0"/>
        </w:rPr>
        <w:t>.</w:t>
      </w:r>
      <w:r>
        <w:rPr>
          <w:snapToGrid w:val="0"/>
        </w:rPr>
        <w:tab/>
        <w:t>Interpretation of regulations 22, 23 and 25</w:t>
      </w:r>
      <w:r>
        <w:tab/>
      </w:r>
      <w:r>
        <w:fldChar w:fldCharType="begin"/>
      </w:r>
      <w:r>
        <w:instrText xml:space="preserve"> PAGEREF _Toc146530170 \h </w:instrText>
      </w:r>
      <w:r>
        <w:fldChar w:fldCharType="separate"/>
      </w:r>
      <w:r>
        <w:t>31</w:t>
      </w:r>
      <w:r>
        <w:fldChar w:fldCharType="end"/>
      </w:r>
    </w:p>
    <w:p>
      <w:pPr>
        <w:pStyle w:val="TOC8"/>
        <w:rPr>
          <w:sz w:val="24"/>
        </w:rPr>
      </w:pPr>
      <w:r>
        <w:t>22</w:t>
      </w:r>
      <w:r>
        <w:rPr>
          <w:snapToGrid w:val="0"/>
        </w:rPr>
        <w:t>.</w:t>
      </w:r>
      <w:r>
        <w:rPr>
          <w:snapToGrid w:val="0"/>
        </w:rPr>
        <w:tab/>
        <w:t>Balancing</w:t>
      </w:r>
      <w:r>
        <w:tab/>
      </w:r>
      <w:r>
        <w:fldChar w:fldCharType="begin"/>
      </w:r>
      <w:r>
        <w:instrText xml:space="preserve"> PAGEREF _Toc146530171 \h </w:instrText>
      </w:r>
      <w:r>
        <w:fldChar w:fldCharType="separate"/>
      </w:r>
      <w:r>
        <w:t>33</w:t>
      </w:r>
      <w:r>
        <w:fldChar w:fldCharType="end"/>
      </w:r>
    </w:p>
    <w:p>
      <w:pPr>
        <w:pStyle w:val="TOC8"/>
        <w:rPr>
          <w:sz w:val="24"/>
        </w:rPr>
      </w:pPr>
      <w:r>
        <w:t>23</w:t>
      </w:r>
      <w:r>
        <w:rPr>
          <w:snapToGrid w:val="0"/>
        </w:rPr>
        <w:t>.</w:t>
      </w:r>
      <w:r>
        <w:rPr>
          <w:snapToGrid w:val="0"/>
        </w:rPr>
        <w:tab/>
        <w:t>Excess standby generation charge</w:t>
      </w:r>
      <w:r>
        <w:tab/>
      </w:r>
      <w:r>
        <w:fldChar w:fldCharType="begin"/>
      </w:r>
      <w:r>
        <w:instrText xml:space="preserve"> PAGEREF _Toc146530172 \h </w:instrText>
      </w:r>
      <w:r>
        <w:fldChar w:fldCharType="separate"/>
      </w:r>
      <w:r>
        <w:t>36</w:t>
      </w:r>
      <w:r>
        <w:fldChar w:fldCharType="end"/>
      </w:r>
    </w:p>
    <w:p>
      <w:pPr>
        <w:pStyle w:val="TOC8"/>
        <w:rPr>
          <w:sz w:val="24"/>
        </w:rPr>
      </w:pPr>
      <w:r>
        <w:t>24</w:t>
      </w:r>
      <w:r>
        <w:rPr>
          <w:snapToGrid w:val="0"/>
        </w:rPr>
        <w:t>.</w:t>
      </w:r>
      <w:r>
        <w:rPr>
          <w:snapToGrid w:val="0"/>
        </w:rPr>
        <w:tab/>
        <w:t>Excess network usage charge</w:t>
      </w:r>
      <w:r>
        <w:tab/>
      </w:r>
      <w:r>
        <w:fldChar w:fldCharType="begin"/>
      </w:r>
      <w:r>
        <w:instrText xml:space="preserve"> PAGEREF _Toc146530173 \h </w:instrText>
      </w:r>
      <w:r>
        <w:fldChar w:fldCharType="separate"/>
      </w:r>
      <w:r>
        <w:t>39</w:t>
      </w:r>
      <w:r>
        <w:fldChar w:fldCharType="end"/>
      </w:r>
    </w:p>
    <w:p>
      <w:pPr>
        <w:pStyle w:val="TOC8"/>
        <w:rPr>
          <w:sz w:val="24"/>
        </w:rPr>
      </w:pPr>
      <w:r>
        <w:t>25</w:t>
      </w:r>
      <w:r>
        <w:rPr>
          <w:snapToGrid w:val="0"/>
        </w:rPr>
        <w:t>.</w:t>
      </w:r>
      <w:r>
        <w:rPr>
          <w:snapToGrid w:val="0"/>
        </w:rPr>
        <w:tab/>
        <w:t>Other consequences of being out of balance</w:t>
      </w:r>
      <w:r>
        <w:tab/>
      </w:r>
      <w:r>
        <w:fldChar w:fldCharType="begin"/>
      </w:r>
      <w:r>
        <w:instrText xml:space="preserve"> PAGEREF _Toc146530174 \h </w:instrText>
      </w:r>
      <w:r>
        <w:fldChar w:fldCharType="separate"/>
      </w:r>
      <w:r>
        <w:t>42</w:t>
      </w:r>
      <w:r>
        <w:fldChar w:fldCharType="end"/>
      </w:r>
    </w:p>
    <w:p>
      <w:pPr>
        <w:pStyle w:val="TOC2"/>
        <w:tabs>
          <w:tab w:val="right" w:leader="dot" w:pos="7078"/>
        </w:tabs>
        <w:rPr>
          <w:b w:val="0"/>
          <w:sz w:val="24"/>
        </w:rPr>
      </w:pPr>
      <w:r>
        <w:t>Part 5 — Technical regulation</w:t>
      </w:r>
    </w:p>
    <w:p>
      <w:pPr>
        <w:pStyle w:val="TOC8"/>
        <w:rPr>
          <w:sz w:val="24"/>
        </w:rPr>
      </w:pPr>
      <w:r>
        <w:t>26</w:t>
      </w:r>
      <w:r>
        <w:rPr>
          <w:snapToGrid w:val="0"/>
        </w:rPr>
        <w:t>.</w:t>
      </w:r>
      <w:r>
        <w:rPr>
          <w:snapToGrid w:val="0"/>
        </w:rPr>
        <w:tab/>
        <w:t>Technical Code</w:t>
      </w:r>
      <w:r>
        <w:tab/>
      </w:r>
      <w:r>
        <w:fldChar w:fldCharType="begin"/>
      </w:r>
      <w:r>
        <w:instrText xml:space="preserve"> PAGEREF _Toc146530176 \h </w:instrText>
      </w:r>
      <w:r>
        <w:fldChar w:fldCharType="separate"/>
      </w:r>
      <w:r>
        <w:t>44</w:t>
      </w:r>
      <w:r>
        <w:fldChar w:fldCharType="end"/>
      </w:r>
    </w:p>
    <w:p>
      <w:pPr>
        <w:pStyle w:val="TOC8"/>
        <w:rPr>
          <w:sz w:val="24"/>
        </w:rPr>
      </w:pPr>
      <w:r>
        <w:t>27</w:t>
      </w:r>
      <w:r>
        <w:rPr>
          <w:snapToGrid w:val="0"/>
        </w:rPr>
        <w:t>.</w:t>
      </w:r>
      <w:r>
        <w:rPr>
          <w:snapToGrid w:val="0"/>
        </w:rPr>
        <w:tab/>
        <w:t>Network planning criteria</w:t>
      </w:r>
      <w:r>
        <w:tab/>
      </w:r>
      <w:r>
        <w:fldChar w:fldCharType="begin"/>
      </w:r>
      <w:r>
        <w:instrText xml:space="preserve"> PAGEREF _Toc146530177 \h </w:instrText>
      </w:r>
      <w:r>
        <w:fldChar w:fldCharType="separate"/>
      </w:r>
      <w:r>
        <w:t>47</w:t>
      </w:r>
      <w:r>
        <w:fldChar w:fldCharType="end"/>
      </w:r>
    </w:p>
    <w:p>
      <w:pPr>
        <w:pStyle w:val="TOC8"/>
        <w:rPr>
          <w:sz w:val="24"/>
        </w:rPr>
      </w:pPr>
      <w:r>
        <w:t>28</w:t>
      </w:r>
      <w:r>
        <w:rPr>
          <w:snapToGrid w:val="0"/>
        </w:rPr>
        <w:t>.</w:t>
      </w:r>
      <w:r>
        <w:rPr>
          <w:snapToGrid w:val="0"/>
        </w:rPr>
        <w:tab/>
        <w:t>Good electricity industry practice</w:t>
      </w:r>
      <w:r>
        <w:tab/>
      </w:r>
      <w:r>
        <w:fldChar w:fldCharType="begin"/>
      </w:r>
      <w:r>
        <w:instrText xml:space="preserve"> PAGEREF _Toc146530178 \h </w:instrText>
      </w:r>
      <w:r>
        <w:fldChar w:fldCharType="separate"/>
      </w:r>
      <w:r>
        <w:t>48</w:t>
      </w:r>
      <w:r>
        <w:fldChar w:fldCharType="end"/>
      </w:r>
    </w:p>
    <w:p>
      <w:pPr>
        <w:pStyle w:val="TOC8"/>
        <w:rPr>
          <w:sz w:val="24"/>
        </w:rPr>
      </w:pPr>
      <w:r>
        <w:t>29</w:t>
      </w:r>
      <w:r>
        <w:rPr>
          <w:snapToGrid w:val="0"/>
        </w:rPr>
        <w:t>.</w:t>
      </w:r>
      <w:r>
        <w:rPr>
          <w:snapToGrid w:val="0"/>
        </w:rPr>
        <w:tab/>
        <w:t>Interruption and curtailment powers</w:t>
      </w:r>
      <w:r>
        <w:tab/>
      </w:r>
      <w:r>
        <w:fldChar w:fldCharType="begin"/>
      </w:r>
      <w:r>
        <w:instrText xml:space="preserve"> PAGEREF _Toc146530179 \h </w:instrText>
      </w:r>
      <w:r>
        <w:fldChar w:fldCharType="separate"/>
      </w:r>
      <w:r>
        <w:t>49</w:t>
      </w:r>
      <w:r>
        <w:fldChar w:fldCharType="end"/>
      </w:r>
    </w:p>
    <w:p>
      <w:pPr>
        <w:pStyle w:val="TOC8"/>
        <w:rPr>
          <w:sz w:val="24"/>
        </w:rPr>
      </w:pPr>
      <w:r>
        <w:t>30</w:t>
      </w:r>
      <w:r>
        <w:rPr>
          <w:snapToGrid w:val="0"/>
        </w:rPr>
        <w:t>.</w:t>
      </w:r>
      <w:r>
        <w:rPr>
          <w:snapToGrid w:val="0"/>
        </w:rPr>
        <w:tab/>
        <w:t>Safety and security of electricity transmission network</w:t>
      </w:r>
      <w:r>
        <w:tab/>
      </w:r>
      <w:r>
        <w:fldChar w:fldCharType="begin"/>
      </w:r>
      <w:r>
        <w:instrText xml:space="preserve"> PAGEREF _Toc146530180 \h </w:instrText>
      </w:r>
      <w:r>
        <w:fldChar w:fldCharType="separate"/>
      </w:r>
      <w:r>
        <w:t>50</w:t>
      </w:r>
      <w:r>
        <w:fldChar w:fldCharType="end"/>
      </w:r>
    </w:p>
    <w:p>
      <w:pPr>
        <w:pStyle w:val="TOC8"/>
        <w:rPr>
          <w:sz w:val="24"/>
        </w:rPr>
      </w:pPr>
      <w:r>
        <w:t>31</w:t>
      </w:r>
      <w:r>
        <w:rPr>
          <w:snapToGrid w:val="0"/>
        </w:rPr>
        <w:t>.</w:t>
      </w:r>
      <w:r>
        <w:rPr>
          <w:snapToGrid w:val="0"/>
        </w:rPr>
        <w:tab/>
        <w:t>Operation, maintenance and extension planning</w:t>
      </w:r>
      <w:r>
        <w:tab/>
      </w:r>
      <w:r>
        <w:fldChar w:fldCharType="begin"/>
      </w:r>
      <w:r>
        <w:instrText xml:space="preserve"> PAGEREF _Toc146530181 \h </w:instrText>
      </w:r>
      <w:r>
        <w:fldChar w:fldCharType="separate"/>
      </w:r>
      <w:r>
        <w:t>51</w:t>
      </w:r>
      <w:r>
        <w:fldChar w:fldCharType="end"/>
      </w:r>
    </w:p>
    <w:p>
      <w:pPr>
        <w:pStyle w:val="TOC8"/>
        <w:rPr>
          <w:sz w:val="24"/>
        </w:rPr>
      </w:pPr>
      <w:r>
        <w:t>32</w:t>
      </w:r>
      <w:r>
        <w:rPr>
          <w:snapToGrid w:val="0"/>
        </w:rPr>
        <w:t>.</w:t>
      </w:r>
      <w:r>
        <w:rPr>
          <w:snapToGrid w:val="0"/>
        </w:rPr>
        <w:tab/>
        <w:t>Information required to prepare annual reports</w:t>
      </w:r>
      <w:r>
        <w:tab/>
      </w:r>
      <w:r>
        <w:fldChar w:fldCharType="begin"/>
      </w:r>
      <w:r>
        <w:instrText xml:space="preserve"> PAGEREF _Toc146530182 \h </w:instrText>
      </w:r>
      <w:r>
        <w:fldChar w:fldCharType="separate"/>
      </w:r>
      <w:r>
        <w:t>53</w:t>
      </w:r>
      <w:r>
        <w:fldChar w:fldCharType="end"/>
      </w:r>
    </w:p>
    <w:p>
      <w:pPr>
        <w:pStyle w:val="TOC8"/>
        <w:rPr>
          <w:sz w:val="24"/>
        </w:rPr>
      </w:pPr>
      <w:r>
        <w:t>33</w:t>
      </w:r>
      <w:r>
        <w:rPr>
          <w:snapToGrid w:val="0"/>
        </w:rPr>
        <w:t>.</w:t>
      </w:r>
      <w:r>
        <w:rPr>
          <w:snapToGrid w:val="0"/>
        </w:rPr>
        <w:tab/>
        <w:t>Augmentation of the electricity transmission network</w:t>
      </w:r>
      <w:r>
        <w:tab/>
      </w:r>
      <w:r>
        <w:fldChar w:fldCharType="begin"/>
      </w:r>
      <w:r>
        <w:instrText xml:space="preserve"> PAGEREF _Toc146530183 \h </w:instrText>
      </w:r>
      <w:r>
        <w:fldChar w:fldCharType="separate"/>
      </w:r>
      <w:r>
        <w:t>53</w:t>
      </w:r>
      <w:r>
        <w:fldChar w:fldCharType="end"/>
      </w:r>
    </w:p>
    <w:p>
      <w:pPr>
        <w:pStyle w:val="TOC2"/>
        <w:tabs>
          <w:tab w:val="right" w:leader="dot" w:pos="7078"/>
        </w:tabs>
        <w:rPr>
          <w:b w:val="0"/>
          <w:sz w:val="24"/>
        </w:rPr>
      </w:pPr>
      <w:r>
        <w:t>Part 6 — Access terms</w:t>
      </w:r>
    </w:p>
    <w:p>
      <w:pPr>
        <w:pStyle w:val="TOC8"/>
        <w:rPr>
          <w:sz w:val="24"/>
        </w:rPr>
      </w:pPr>
      <w:r>
        <w:t>34</w:t>
      </w:r>
      <w:r>
        <w:rPr>
          <w:snapToGrid w:val="0"/>
        </w:rPr>
        <w:t>.</w:t>
      </w:r>
      <w:r>
        <w:rPr>
          <w:snapToGrid w:val="0"/>
        </w:rPr>
        <w:tab/>
        <w:t>Reasonable endeavours</w:t>
      </w:r>
      <w:r>
        <w:tab/>
      </w:r>
      <w:r>
        <w:fldChar w:fldCharType="begin"/>
      </w:r>
      <w:r>
        <w:instrText xml:space="preserve"> PAGEREF _Toc146530185 \h </w:instrText>
      </w:r>
      <w:r>
        <w:fldChar w:fldCharType="separate"/>
      </w:r>
      <w:r>
        <w:t>54</w:t>
      </w:r>
      <w:r>
        <w:fldChar w:fldCharType="end"/>
      </w:r>
    </w:p>
    <w:p>
      <w:pPr>
        <w:pStyle w:val="TOC8"/>
        <w:rPr>
          <w:sz w:val="24"/>
        </w:rPr>
      </w:pPr>
      <w:r>
        <w:t>35</w:t>
      </w:r>
      <w:r>
        <w:rPr>
          <w:snapToGrid w:val="0"/>
        </w:rPr>
        <w:t>.</w:t>
      </w:r>
      <w:r>
        <w:rPr>
          <w:snapToGrid w:val="0"/>
        </w:rPr>
        <w:tab/>
      </w:r>
      <w:r>
        <w:rPr>
          <w:i/>
          <w:snapToGrid w:val="0"/>
        </w:rPr>
        <w:t>Force majeure</w:t>
      </w:r>
      <w:r>
        <w:rPr>
          <w:snapToGrid w:val="0"/>
        </w:rPr>
        <w:t xml:space="preserve"> and interruption</w:t>
      </w:r>
      <w:r>
        <w:tab/>
      </w:r>
      <w:r>
        <w:fldChar w:fldCharType="begin"/>
      </w:r>
      <w:r>
        <w:instrText xml:space="preserve"> PAGEREF _Toc146530186 \h </w:instrText>
      </w:r>
      <w:r>
        <w:fldChar w:fldCharType="separate"/>
      </w:r>
      <w:r>
        <w:t>54</w:t>
      </w:r>
      <w:r>
        <w:fldChar w:fldCharType="end"/>
      </w:r>
    </w:p>
    <w:p>
      <w:pPr>
        <w:pStyle w:val="TOC8"/>
        <w:rPr>
          <w:sz w:val="24"/>
        </w:rPr>
      </w:pPr>
      <w:r>
        <w:t>36</w:t>
      </w:r>
      <w:r>
        <w:rPr>
          <w:snapToGrid w:val="0"/>
        </w:rPr>
        <w:t>.</w:t>
      </w:r>
      <w:r>
        <w:rPr>
          <w:snapToGrid w:val="0"/>
        </w:rPr>
        <w:tab/>
        <w:t>Effect of access to capacity</w:t>
      </w:r>
      <w:r>
        <w:tab/>
      </w:r>
      <w:r>
        <w:fldChar w:fldCharType="begin"/>
      </w:r>
      <w:r>
        <w:instrText xml:space="preserve"> PAGEREF _Toc146530187 \h </w:instrText>
      </w:r>
      <w:r>
        <w:fldChar w:fldCharType="separate"/>
      </w:r>
      <w:r>
        <w:t>56</w:t>
      </w:r>
      <w:r>
        <w:fldChar w:fldCharType="end"/>
      </w:r>
    </w:p>
    <w:p>
      <w:pPr>
        <w:pStyle w:val="TOC8"/>
        <w:rPr>
          <w:sz w:val="24"/>
        </w:rPr>
      </w:pPr>
      <w:r>
        <w:t>37</w:t>
      </w:r>
      <w:r>
        <w:rPr>
          <w:snapToGrid w:val="0"/>
        </w:rPr>
        <w:t>.</w:t>
      </w:r>
      <w:r>
        <w:rPr>
          <w:snapToGrid w:val="0"/>
        </w:rPr>
        <w:tab/>
        <w:t>Minimum term and renewal</w:t>
      </w:r>
      <w:r>
        <w:tab/>
      </w:r>
      <w:r>
        <w:fldChar w:fldCharType="begin"/>
      </w:r>
      <w:r>
        <w:instrText xml:space="preserve"> PAGEREF _Toc146530188 \h </w:instrText>
      </w:r>
      <w:r>
        <w:fldChar w:fldCharType="separate"/>
      </w:r>
      <w:r>
        <w:t>57</w:t>
      </w:r>
      <w:r>
        <w:fldChar w:fldCharType="end"/>
      </w:r>
    </w:p>
    <w:p>
      <w:pPr>
        <w:pStyle w:val="TOC8"/>
        <w:rPr>
          <w:sz w:val="24"/>
        </w:rPr>
      </w:pPr>
      <w:r>
        <w:t>38</w:t>
      </w:r>
      <w:r>
        <w:rPr>
          <w:snapToGrid w:val="0"/>
        </w:rPr>
        <w:t>.</w:t>
      </w:r>
      <w:r>
        <w:rPr>
          <w:snapToGrid w:val="0"/>
        </w:rPr>
        <w:tab/>
        <w:t>Contract maximum demand and declared sent</w:t>
      </w:r>
      <w:r>
        <w:rPr>
          <w:snapToGrid w:val="0"/>
        </w:rPr>
        <w:noBreakHyphen/>
        <w:t>out capacity</w:t>
      </w:r>
      <w:r>
        <w:tab/>
      </w:r>
      <w:r>
        <w:fldChar w:fldCharType="begin"/>
      </w:r>
      <w:r>
        <w:instrText xml:space="preserve"> PAGEREF _Toc146530189 \h </w:instrText>
      </w:r>
      <w:r>
        <w:fldChar w:fldCharType="separate"/>
      </w:r>
      <w:r>
        <w:t>57</w:t>
      </w:r>
      <w:r>
        <w:fldChar w:fldCharType="end"/>
      </w:r>
    </w:p>
    <w:p>
      <w:pPr>
        <w:pStyle w:val="TOC8"/>
        <w:rPr>
          <w:sz w:val="24"/>
        </w:rPr>
      </w:pPr>
      <w:r>
        <w:t>39</w:t>
      </w:r>
      <w:r>
        <w:rPr>
          <w:snapToGrid w:val="0"/>
        </w:rPr>
        <w:t>.</w:t>
      </w:r>
      <w:r>
        <w:rPr>
          <w:snapToGrid w:val="0"/>
        </w:rPr>
        <w:tab/>
        <w:t>Commencement date</w:t>
      </w:r>
      <w:r>
        <w:tab/>
      </w:r>
      <w:r>
        <w:fldChar w:fldCharType="begin"/>
      </w:r>
      <w:r>
        <w:instrText xml:space="preserve"> PAGEREF _Toc146530190 \h </w:instrText>
      </w:r>
      <w:r>
        <w:fldChar w:fldCharType="separate"/>
      </w:r>
      <w:r>
        <w:t>59</w:t>
      </w:r>
      <w:r>
        <w:fldChar w:fldCharType="end"/>
      </w:r>
    </w:p>
    <w:p>
      <w:pPr>
        <w:pStyle w:val="TOC2"/>
        <w:tabs>
          <w:tab w:val="right" w:leader="dot" w:pos="7078"/>
        </w:tabs>
        <w:rPr>
          <w:b w:val="0"/>
          <w:sz w:val="24"/>
        </w:rPr>
      </w:pPr>
      <w:r>
        <w:t>Part 7 — Enforcement, liability and insurance</w:t>
      </w:r>
    </w:p>
    <w:p>
      <w:pPr>
        <w:pStyle w:val="TOC8"/>
        <w:rPr>
          <w:sz w:val="24"/>
        </w:rPr>
      </w:pPr>
      <w:r>
        <w:t>40</w:t>
      </w:r>
      <w:r>
        <w:rPr>
          <w:snapToGrid w:val="0"/>
        </w:rPr>
        <w:t>.</w:t>
      </w:r>
      <w:r>
        <w:rPr>
          <w:snapToGrid w:val="0"/>
        </w:rPr>
        <w:tab/>
        <w:t>Enforcement</w:t>
      </w:r>
      <w:r>
        <w:tab/>
      </w:r>
      <w:r>
        <w:fldChar w:fldCharType="begin"/>
      </w:r>
      <w:r>
        <w:instrText xml:space="preserve"> PAGEREF _Toc146530192 \h </w:instrText>
      </w:r>
      <w:r>
        <w:fldChar w:fldCharType="separate"/>
      </w:r>
      <w:r>
        <w:t>60</w:t>
      </w:r>
      <w:r>
        <w:fldChar w:fldCharType="end"/>
      </w:r>
    </w:p>
    <w:p>
      <w:pPr>
        <w:pStyle w:val="TOC8"/>
        <w:rPr>
          <w:sz w:val="24"/>
        </w:rPr>
      </w:pPr>
      <w:r>
        <w:t>41</w:t>
      </w:r>
      <w:r>
        <w:rPr>
          <w:snapToGrid w:val="0"/>
        </w:rPr>
        <w:t>.</w:t>
      </w:r>
      <w:r>
        <w:rPr>
          <w:snapToGrid w:val="0"/>
        </w:rPr>
        <w:tab/>
        <w:t>Liability, insurance and indemnity</w:t>
      </w:r>
      <w:r>
        <w:tab/>
      </w:r>
      <w:r>
        <w:fldChar w:fldCharType="begin"/>
      </w:r>
      <w:r>
        <w:instrText xml:space="preserve"> PAGEREF _Toc146530193 \h </w:instrText>
      </w:r>
      <w:r>
        <w:fldChar w:fldCharType="separate"/>
      </w:r>
      <w:r>
        <w:t>61</w:t>
      </w:r>
      <w:r>
        <w:fldChar w:fldCharType="end"/>
      </w:r>
    </w:p>
    <w:p>
      <w:pPr>
        <w:pStyle w:val="TOC2"/>
        <w:tabs>
          <w:tab w:val="right" w:leader="dot" w:pos="7078"/>
        </w:tabs>
        <w:rPr>
          <w:b w:val="0"/>
          <w:sz w:val="24"/>
        </w:rPr>
      </w:pPr>
      <w:r>
        <w:t>Part 8 — Other matters</w:t>
      </w:r>
    </w:p>
    <w:p>
      <w:pPr>
        <w:pStyle w:val="TOC8"/>
        <w:rPr>
          <w:sz w:val="24"/>
        </w:rPr>
      </w:pPr>
      <w:r>
        <w:t>43</w:t>
      </w:r>
      <w:r>
        <w:rPr>
          <w:snapToGrid w:val="0"/>
        </w:rPr>
        <w:t>.</w:t>
      </w:r>
      <w:r>
        <w:rPr>
          <w:snapToGrid w:val="0"/>
        </w:rPr>
        <w:tab/>
        <w:t>Prudential requirements</w:t>
      </w:r>
      <w:r>
        <w:tab/>
      </w:r>
      <w:r>
        <w:fldChar w:fldCharType="begin"/>
      </w:r>
      <w:r>
        <w:instrText xml:space="preserve"> PAGEREF _Toc146530195 \h </w:instrText>
      </w:r>
      <w:r>
        <w:fldChar w:fldCharType="separate"/>
      </w:r>
      <w:r>
        <w:t>64</w:t>
      </w:r>
      <w:r>
        <w:fldChar w:fldCharType="end"/>
      </w:r>
    </w:p>
    <w:p>
      <w:pPr>
        <w:pStyle w:val="TOC8"/>
        <w:rPr>
          <w:sz w:val="24"/>
        </w:rPr>
      </w:pPr>
      <w:r>
        <w:t>44</w:t>
      </w:r>
      <w:r>
        <w:rPr>
          <w:snapToGrid w:val="0"/>
        </w:rPr>
        <w:t>.</w:t>
      </w:r>
      <w:r>
        <w:rPr>
          <w:snapToGrid w:val="0"/>
        </w:rPr>
        <w:tab/>
        <w:t>Title to electricity</w:t>
      </w:r>
      <w:r>
        <w:tab/>
      </w:r>
      <w:r>
        <w:fldChar w:fldCharType="begin"/>
      </w:r>
      <w:r>
        <w:instrText xml:space="preserve"> PAGEREF _Toc146530196 \h </w:instrText>
      </w:r>
      <w:r>
        <w:fldChar w:fldCharType="separate"/>
      </w:r>
      <w:r>
        <w:t>64</w:t>
      </w:r>
      <w:r>
        <w:fldChar w:fldCharType="end"/>
      </w:r>
    </w:p>
    <w:p>
      <w:pPr>
        <w:pStyle w:val="TOC8"/>
        <w:rPr>
          <w:sz w:val="24"/>
        </w:rPr>
      </w:pPr>
      <w:r>
        <w:t>45</w:t>
      </w:r>
      <w:r>
        <w:rPr>
          <w:snapToGrid w:val="0"/>
        </w:rPr>
        <w:t>.</w:t>
      </w:r>
      <w:r>
        <w:rPr>
          <w:snapToGrid w:val="0"/>
        </w:rPr>
        <w:tab/>
        <w:t>Assignment of access agreements</w:t>
      </w:r>
      <w:r>
        <w:tab/>
      </w:r>
      <w:r>
        <w:fldChar w:fldCharType="begin"/>
      </w:r>
      <w:r>
        <w:instrText xml:space="preserve"> PAGEREF _Toc146530197 \h </w:instrText>
      </w:r>
      <w:r>
        <w:fldChar w:fldCharType="separate"/>
      </w:r>
      <w:r>
        <w:t>65</w:t>
      </w:r>
      <w:r>
        <w:fldChar w:fldCharType="end"/>
      </w:r>
    </w:p>
    <w:p>
      <w:pPr>
        <w:pStyle w:val="TOC8"/>
        <w:rPr>
          <w:sz w:val="24"/>
        </w:rPr>
      </w:pPr>
      <w:r>
        <w:t>46</w:t>
      </w:r>
      <w:r>
        <w:rPr>
          <w:snapToGrid w:val="0"/>
        </w:rPr>
        <w:t>.</w:t>
      </w:r>
      <w:r>
        <w:rPr>
          <w:snapToGrid w:val="0"/>
        </w:rPr>
        <w:tab/>
        <w:t>Essential terms</w:t>
      </w:r>
      <w:r>
        <w:tab/>
      </w:r>
      <w:r>
        <w:fldChar w:fldCharType="begin"/>
      </w:r>
      <w:r>
        <w:instrText xml:space="preserve"> PAGEREF _Toc146530198 \h </w:instrText>
      </w:r>
      <w:r>
        <w:fldChar w:fldCharType="separate"/>
      </w:r>
      <w:r>
        <w:t>66</w:t>
      </w:r>
      <w:r>
        <w:fldChar w:fldCharType="end"/>
      </w:r>
    </w:p>
    <w:p>
      <w:pPr>
        <w:pStyle w:val="TOC8"/>
        <w:rPr>
          <w:sz w:val="24"/>
        </w:rPr>
      </w:pPr>
      <w:r>
        <w:t>47</w:t>
      </w:r>
      <w:r>
        <w:rPr>
          <w:snapToGrid w:val="0"/>
        </w:rPr>
        <w:t>.</w:t>
      </w:r>
      <w:r>
        <w:rPr>
          <w:snapToGrid w:val="0"/>
        </w:rPr>
        <w:tab/>
        <w:t>Representations and warranties</w:t>
      </w:r>
      <w:r>
        <w:tab/>
      </w:r>
      <w:r>
        <w:fldChar w:fldCharType="begin"/>
      </w:r>
      <w:r>
        <w:instrText xml:space="preserve"> PAGEREF _Toc146530199 \h </w:instrText>
      </w:r>
      <w:r>
        <w:fldChar w:fldCharType="separate"/>
      </w:r>
      <w:r>
        <w:t>66</w:t>
      </w:r>
      <w:r>
        <w:fldChar w:fldCharType="end"/>
      </w:r>
    </w:p>
    <w:p>
      <w:pPr>
        <w:pStyle w:val="TOC8"/>
        <w:rPr>
          <w:sz w:val="24"/>
        </w:rPr>
      </w:pPr>
      <w:r>
        <w:t>48</w:t>
      </w:r>
      <w:r>
        <w:rPr>
          <w:snapToGrid w:val="0"/>
        </w:rPr>
        <w:t>.</w:t>
      </w:r>
      <w:r>
        <w:rPr>
          <w:snapToGrid w:val="0"/>
        </w:rPr>
        <w:tab/>
        <w:t>Payment arrangements</w:t>
      </w:r>
      <w:r>
        <w:tab/>
      </w:r>
      <w:r>
        <w:fldChar w:fldCharType="begin"/>
      </w:r>
      <w:r>
        <w:instrText xml:space="preserve"> PAGEREF _Toc146530200 \h </w:instrText>
      </w:r>
      <w:r>
        <w:fldChar w:fldCharType="separate"/>
      </w:r>
      <w:r>
        <w:t>68</w:t>
      </w:r>
      <w:r>
        <w:fldChar w:fldCharType="end"/>
      </w:r>
    </w:p>
    <w:p>
      <w:pPr>
        <w:pStyle w:val="TOC2"/>
        <w:tabs>
          <w:tab w:val="right" w:leader="dot" w:pos="7078"/>
        </w:tabs>
        <w:rPr>
          <w:b w:val="0"/>
          <w:sz w:val="24"/>
        </w:rPr>
      </w:pPr>
      <w:r>
        <w:t>Part 9 — Committed capacity and transitional provisions</w:t>
      </w:r>
    </w:p>
    <w:p>
      <w:pPr>
        <w:pStyle w:val="TOC8"/>
        <w:rPr>
          <w:sz w:val="24"/>
        </w:rPr>
      </w:pPr>
      <w:r>
        <w:t>49.</w:t>
      </w:r>
      <w:r>
        <w:tab/>
        <w:t>Regional Power Corporation’s existing capacity</w:t>
      </w:r>
      <w:r>
        <w:tab/>
      </w:r>
      <w:r>
        <w:fldChar w:fldCharType="begin"/>
      </w:r>
      <w:r>
        <w:instrText xml:space="preserve"> PAGEREF _Toc146530202 \h </w:instrText>
      </w:r>
      <w:r>
        <w:fldChar w:fldCharType="separate"/>
      </w:r>
      <w:r>
        <w:t>69</w:t>
      </w:r>
      <w:r>
        <w:fldChar w:fldCharType="end"/>
      </w:r>
    </w:p>
    <w:p>
      <w:pPr>
        <w:pStyle w:val="TOC8"/>
        <w:rPr>
          <w:sz w:val="24"/>
        </w:rPr>
      </w:pPr>
      <w:r>
        <w:t>49A.</w:t>
      </w:r>
      <w:r>
        <w:tab/>
        <w:t>Contract maximum demand for existing connections</w:t>
      </w:r>
      <w:r>
        <w:tab/>
      </w:r>
      <w:r>
        <w:fldChar w:fldCharType="begin"/>
      </w:r>
      <w:r>
        <w:instrText xml:space="preserve"> PAGEREF _Toc146530203 \h </w:instrText>
      </w:r>
      <w:r>
        <w:fldChar w:fldCharType="separate"/>
      </w:r>
      <w:r>
        <w:t>69</w:t>
      </w:r>
      <w:r>
        <w:fldChar w:fldCharType="end"/>
      </w:r>
    </w:p>
    <w:p>
      <w:pPr>
        <w:pStyle w:val="TOC8"/>
        <w:rPr>
          <w:sz w:val="24"/>
        </w:rPr>
      </w:pPr>
      <w:r>
        <w:t>50</w:t>
      </w:r>
      <w:r>
        <w:rPr>
          <w:snapToGrid w:val="0"/>
        </w:rPr>
        <w:t>.</w:t>
      </w:r>
      <w:r>
        <w:rPr>
          <w:snapToGrid w:val="0"/>
        </w:rPr>
        <w:tab/>
        <w:t>Existing agreements</w:t>
      </w:r>
      <w:r>
        <w:tab/>
      </w:r>
      <w:r>
        <w:fldChar w:fldCharType="begin"/>
      </w:r>
      <w:r>
        <w:instrText xml:space="preserve"> PAGEREF _Toc146530204 \h </w:instrText>
      </w:r>
      <w:r>
        <w:fldChar w:fldCharType="separate"/>
      </w:r>
      <w:r>
        <w:t>69</w:t>
      </w:r>
      <w:r>
        <w:fldChar w:fldCharType="end"/>
      </w:r>
    </w:p>
    <w:p>
      <w:pPr>
        <w:pStyle w:val="TOC2"/>
        <w:tabs>
          <w:tab w:val="right" w:leader="dot" w:pos="7078"/>
        </w:tabs>
        <w:rPr>
          <w:b w:val="0"/>
          <w:sz w:val="24"/>
        </w:rPr>
      </w:pPr>
      <w:r>
        <w:t>Schedule 1</w:t>
      </w:r>
      <w:r>
        <w:rPr>
          <w:sz w:val="24"/>
        </w:rPr>
        <w:t> </w:t>
      </w:r>
      <w:r>
        <w:t>—</w:t>
      </w:r>
      <w:r>
        <w:rPr>
          <w:sz w:val="24"/>
        </w:rPr>
        <w:t> </w:t>
      </w:r>
      <w:r>
        <w:t>Access application flow chart</w:t>
      </w:r>
    </w:p>
    <w:p>
      <w:pPr>
        <w:pStyle w:val="TOC2"/>
        <w:tabs>
          <w:tab w:val="right" w:leader="dot" w:pos="7078"/>
        </w:tabs>
        <w:rPr>
          <w:b w:val="0"/>
          <w:sz w:val="24"/>
        </w:rPr>
      </w:pPr>
      <w:r>
        <w:t>Schedule 2 — Access information</w:t>
      </w:r>
    </w:p>
    <w:p>
      <w:pPr>
        <w:pStyle w:val="TOC2"/>
        <w:tabs>
          <w:tab w:val="right" w:leader="dot" w:pos="7078"/>
        </w:tabs>
        <w:rPr>
          <w:b w:val="0"/>
          <w:sz w:val="24"/>
        </w:rPr>
      </w:pPr>
      <w:r>
        <w:t>Schedule 3 —</w:t>
      </w:r>
      <w:r>
        <w:rPr>
          <w:sz w:val="24"/>
        </w:rPr>
        <w:t> </w:t>
      </w:r>
      <w:r>
        <w:t>Terms of an access offer</w:t>
      </w:r>
    </w:p>
    <w:p>
      <w:pPr>
        <w:pStyle w:val="TOC2"/>
        <w:tabs>
          <w:tab w:val="right" w:leader="dot" w:pos="7078"/>
        </w:tabs>
        <w:rPr>
          <w:b w:val="0"/>
          <w:sz w:val="24"/>
        </w:rPr>
      </w:pPr>
      <w:r>
        <w:t>Notes</w:t>
      </w:r>
    </w:p>
    <w:p>
      <w:pPr>
        <w:pStyle w:val="TOC8"/>
        <w:rPr>
          <w:sz w:val="24"/>
        </w:rPr>
      </w:pPr>
      <w:r>
        <w:rPr>
          <w:snapToGrid w:val="0"/>
        </w:rPr>
        <w:tab/>
        <w:t>Compilation table</w:t>
      </w:r>
      <w:r>
        <w:tab/>
      </w:r>
      <w:r>
        <w:fldChar w:fldCharType="begin"/>
      </w:r>
      <w:r>
        <w:instrText xml:space="preserve"> PAGEREF _Toc146530209 \h </w:instrText>
      </w:r>
      <w:r>
        <w:fldChar w:fldCharType="separate"/>
      </w:r>
      <w:r>
        <w:t>75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Transmission Regulations 1996</w:t>
      </w:r>
    </w:p>
    <w:p>
      <w:pPr>
        <w:pStyle w:val="Heading2"/>
        <w:pageBreakBefore w:val="0"/>
      </w:pPr>
      <w:bookmarkStart w:id="2" w:name="_Toc92191378"/>
      <w:bookmarkStart w:id="3" w:name="_Toc92191443"/>
      <w:bookmarkStart w:id="4" w:name="_Toc92254560"/>
      <w:bookmarkStart w:id="5" w:name="_Toc107388397"/>
      <w:bookmarkStart w:id="6" w:name="_Toc125447383"/>
      <w:bookmarkStart w:id="7" w:name="_Toc125452796"/>
      <w:bookmarkStart w:id="8" w:name="_Toc131823621"/>
      <w:bookmarkStart w:id="9" w:name="_Toc131823746"/>
      <w:bookmarkStart w:id="10" w:name="_Toc131917318"/>
      <w:bookmarkStart w:id="11" w:name="_Toc135112651"/>
      <w:bookmarkStart w:id="12" w:name="_Toc135207673"/>
      <w:bookmarkStart w:id="13" w:name="_Toc136160890"/>
      <w:bookmarkStart w:id="14" w:name="_Toc138497550"/>
      <w:bookmarkStart w:id="15" w:name="_Toc146527231"/>
      <w:bookmarkStart w:id="16" w:name="_Toc146530144"/>
      <w:r>
        <w:rPr>
          <w:rStyle w:val="CharPartNo"/>
        </w:rPr>
        <w:t>Part 1</w:t>
      </w:r>
      <w:r>
        <w:rPr>
          <w:rStyle w:val="CharDivNo"/>
        </w:rPr>
        <w:t> </w:t>
      </w:r>
      <w:r>
        <w:t>—</w:t>
      </w:r>
      <w:r>
        <w:rPr>
          <w:rStyle w:val="CharDivText"/>
        </w:rPr>
        <w:t> </w:t>
      </w:r>
      <w:r>
        <w:rPr>
          <w:rStyle w:val="CharPartText"/>
        </w:rPr>
        <w:t>General</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34108042"/>
      <w:bookmarkStart w:id="18" w:name="_Toc4983138"/>
      <w:bookmarkStart w:id="19" w:name="_Toc131823622"/>
      <w:bookmarkStart w:id="20" w:name="_Toc146530145"/>
      <w:r>
        <w:rPr>
          <w:rStyle w:val="CharSectno"/>
        </w:rPr>
        <w:t>1</w:t>
      </w:r>
      <w:r>
        <w:rPr>
          <w:snapToGrid w:val="0"/>
        </w:rPr>
        <w:t>.</w:t>
      </w:r>
      <w:r>
        <w:rPr>
          <w:snapToGrid w:val="0"/>
        </w:rPr>
        <w:tab/>
        <w:t>Citation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21" w:name="_Toc534108043"/>
      <w:bookmarkStart w:id="22" w:name="_Toc4983139"/>
      <w:bookmarkStart w:id="23" w:name="_Toc131823623"/>
      <w:bookmarkStart w:id="24" w:name="_Toc146530146"/>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25" w:name="_Toc534108044"/>
      <w:bookmarkStart w:id="26" w:name="_Toc4983140"/>
      <w:bookmarkStart w:id="27" w:name="_Toc131823624"/>
      <w:bookmarkStart w:id="28" w:name="_Toc146530147"/>
      <w:r>
        <w:rPr>
          <w:rStyle w:val="CharSectno"/>
        </w:rPr>
        <w:t>3</w:t>
      </w:r>
      <w:r>
        <w:rPr>
          <w:snapToGrid w:val="0"/>
        </w:rPr>
        <w:t>.</w:t>
      </w:r>
      <w:r>
        <w:rPr>
          <w:snapToGrid w:val="0"/>
        </w:rPr>
        <w:tab/>
        <w:t>Definitions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access agreement</w:t>
      </w:r>
      <w:r>
        <w:rPr>
          <w:b/>
        </w:rPr>
        <w:t>”</w:t>
      </w:r>
      <w:r>
        <w:t xml:space="preserve">, in respect of a user — </w:t>
      </w:r>
    </w:p>
    <w:p>
      <w:pPr>
        <w:pStyle w:val="Defpara"/>
      </w:pPr>
      <w:r>
        <w:tab/>
        <w:t>(a)</w:t>
      </w:r>
      <w:r>
        <w:tab/>
        <w:t>means an agreement between a corporation and the user under which the corporation agrees to provide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access services to the user that arises as a result of a transfer order under Part 9 Division 3 of the </w:t>
      </w:r>
      <w:r>
        <w:rPr>
          <w:i/>
        </w:rPr>
        <w:t>Electricity Corporations Act 2005</w:t>
      </w:r>
      <w:r>
        <w:t>;</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tab/>
        <w:t>“</w:t>
      </w:r>
      <w:r>
        <w:rPr>
          <w:rStyle w:val="CharDefText"/>
        </w:rPr>
        <w:t>access information</w:t>
      </w:r>
      <w:r>
        <w:rPr>
          <w:b/>
        </w:rPr>
        <w:t>”</w:t>
      </w:r>
      <w:r>
        <w:t xml:space="preserve"> has the meaning given in regulation 14(1);</w:t>
      </w:r>
    </w:p>
    <w:p>
      <w:pPr>
        <w:pStyle w:val="Defstart"/>
      </w:pPr>
      <w:r>
        <w:rPr>
          <w:b/>
        </w:rPr>
        <w:tab/>
        <w:t>“</w:t>
      </w:r>
      <w:r>
        <w:rPr>
          <w:rStyle w:val="CharDefText"/>
        </w:rPr>
        <w:t>access offer</w:t>
      </w:r>
      <w:r>
        <w:rPr>
          <w:b/>
        </w:rPr>
        <w:t>”</w:t>
      </w:r>
      <w:r>
        <w:t xml:space="preserve"> means an offer made by a corporation to an applicant to provide the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t>“</w:t>
      </w:r>
      <w:r>
        <w:rPr>
          <w:rStyle w:val="CharDefText"/>
        </w:rPr>
        <w:t>access services</w:t>
      </w:r>
      <w:r>
        <w:rPr>
          <w:b/>
        </w:rPr>
        <w:t>”</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t>“</w:t>
      </w:r>
      <w:r>
        <w:rPr>
          <w:rStyle w:val="CharDefText"/>
        </w:rPr>
        <w:t>affected obligation</w:t>
      </w:r>
      <w:r>
        <w:rPr>
          <w:b/>
        </w:rPr>
        <w:t>”</w:t>
      </w:r>
      <w:r>
        <w:t xml:space="preserve"> has the meaning given in regulation 35(2);</w:t>
      </w:r>
    </w:p>
    <w:p>
      <w:pPr>
        <w:pStyle w:val="Defstart"/>
      </w:pPr>
      <w:r>
        <w:rPr>
          <w:b/>
        </w:rPr>
        <w:tab/>
        <w:t>“</w:t>
      </w:r>
      <w:r>
        <w:rPr>
          <w:rStyle w:val="CharDefText"/>
        </w:rPr>
        <w:t>affected person</w:t>
      </w:r>
      <w:r>
        <w:rPr>
          <w:b/>
        </w:rPr>
        <w:t>”</w:t>
      </w:r>
      <w:r>
        <w:t xml:space="preserve"> has the meaning given in regulation 35(2);</w:t>
      </w:r>
    </w:p>
    <w:p>
      <w:pPr>
        <w:pStyle w:val="Defstart"/>
      </w:pPr>
      <w:r>
        <w:rPr>
          <w:b/>
        </w:rPr>
        <w:tab/>
        <w:t>“</w:t>
      </w:r>
      <w:r>
        <w:rPr>
          <w:rStyle w:val="CharDefText"/>
        </w:rPr>
        <w:t>alternative services</w:t>
      </w:r>
      <w:r>
        <w:rPr>
          <w:b/>
        </w:rPr>
        <w:t>”</w:t>
      </w:r>
      <w:r>
        <w:t xml:space="preserve"> has the meaning given in regulation 11(4);</w:t>
      </w:r>
    </w:p>
    <w:p>
      <w:pPr>
        <w:pStyle w:val="Defstart"/>
      </w:pPr>
      <w:r>
        <w:rPr>
          <w:b/>
        </w:rPr>
        <w:tab/>
        <w:t>“</w:t>
      </w:r>
      <w:r>
        <w:rPr>
          <w:rStyle w:val="CharDefText"/>
        </w:rPr>
        <w:t>ancillary services</w:t>
      </w:r>
      <w:r>
        <w:rPr>
          <w:b/>
        </w:rPr>
        <w:t>”</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w:t>
      </w:r>
      <w:r>
        <w:rPr>
          <w:rStyle w:val="CharDefText"/>
        </w:rPr>
        <w:t>applicable laws</w:t>
      </w:r>
      <w:r>
        <w:rPr>
          <w:b/>
        </w:rPr>
        <w:t>”</w:t>
      </w:r>
      <w:r>
        <w:t xml:space="preserve"> means the Act, the </w:t>
      </w:r>
      <w:r>
        <w:rPr>
          <w:i/>
        </w:rPr>
        <w:t>Energy Operators (Powers) Act 1979</w:t>
      </w:r>
      <w:r>
        <w:t xml:space="preserve">, the </w:t>
      </w:r>
      <w:r>
        <w:rPr>
          <w:i/>
        </w:rPr>
        <w:t>Electricity Act 1945</w:t>
      </w:r>
      <w:r>
        <w:t xml:space="preserve">, the </w:t>
      </w:r>
      <w:r>
        <w:rPr>
          <w:i/>
        </w:rPr>
        <w:t>Energy Coordination Act 1994</w:t>
      </w:r>
      <w:r>
        <w:t xml:space="preserve">, the </w:t>
      </w:r>
      <w:r>
        <w:rPr>
          <w:i/>
        </w:rPr>
        <w:t xml:space="preserve">Electricity Industry Act 2004 </w:t>
      </w:r>
      <w:r>
        <w:t xml:space="preserve">and the </w:t>
      </w:r>
      <w:r>
        <w:rPr>
          <w:i/>
        </w:rPr>
        <w:t>Electricity Corporations Act 2005</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rPr>
        <w:t>augment</w:t>
      </w:r>
      <w:r>
        <w:rPr>
          <w:b/>
        </w:rPr>
        <w:t>”</w:t>
      </w:r>
      <w:r>
        <w:t>, in relation to the electricity transmission network, means to enhance or expand the electricity transmission network;</w:t>
      </w:r>
    </w:p>
    <w:p>
      <w:pPr>
        <w:pStyle w:val="Defstart"/>
      </w:pPr>
      <w:r>
        <w:rPr>
          <w:b/>
        </w:rPr>
        <w:tab/>
        <w:t>“</w:t>
      </w:r>
      <w:r>
        <w:rPr>
          <w:rStyle w:val="CharDefText"/>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rPr>
        <w:t>common services</w:t>
      </w:r>
      <w:r>
        <w:rPr>
          <w:b/>
        </w:rPr>
        <w:t>”</w:t>
      </w:r>
      <w:r>
        <w:t xml:space="preserve"> means a network service that ensures the integrity of the electricity transmission network and benefits all users and that cannot practically be allocated to users on a locational basis;</w:t>
      </w:r>
    </w:p>
    <w:p>
      <w:pPr>
        <w:pStyle w:val="Defstart"/>
      </w:pPr>
      <w:r>
        <w:rPr>
          <w:b/>
        </w:rPr>
        <w:tab/>
        <w:t>“</w:t>
      </w:r>
      <w:r>
        <w:rPr>
          <w:rStyle w:val="CharDefText"/>
        </w:rPr>
        <w:t>connection</w:t>
      </w:r>
      <w:r>
        <w:rPr>
          <w:b/>
        </w:rPr>
        <w:t>”</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t>“</w:t>
      </w:r>
      <w:r>
        <w:rPr>
          <w:rStyle w:val="CharDefText"/>
        </w:rPr>
        <w:t>connection agreement</w:t>
      </w:r>
      <w:r>
        <w:rPr>
          <w:b/>
        </w:rPr>
        <w:t>”</w:t>
      </w:r>
      <w:r>
        <w:t xml:space="preserve"> means an agreement between a corporation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t>“</w:t>
      </w:r>
      <w:r>
        <w:rPr>
          <w:rStyle w:val="CharDefText"/>
        </w:rPr>
        <w:t>connection point</w:t>
      </w:r>
      <w:r>
        <w:rPr>
          <w:b/>
        </w:rPr>
        <w:t>”</w:t>
      </w:r>
      <w:r>
        <w:t xml:space="preserve"> means an entry point or an exit point;</w:t>
      </w:r>
    </w:p>
    <w:p>
      <w:pPr>
        <w:pStyle w:val="Defstart"/>
      </w:pPr>
      <w:r>
        <w:rPr>
          <w:b/>
        </w:rPr>
        <w:tab/>
        <w:t>“</w:t>
      </w:r>
      <w:r>
        <w:rPr>
          <w:rStyle w:val="CharDefText"/>
        </w:rPr>
        <w:t>connection services</w:t>
      </w:r>
      <w:r>
        <w:rPr>
          <w:b/>
        </w:rPr>
        <w:t>”</w:t>
      </w:r>
      <w:r>
        <w:t>, in respect of a connection, means the establishment and maintenance of that connection;</w:t>
      </w:r>
    </w:p>
    <w:p>
      <w:pPr>
        <w:pStyle w:val="Defstart"/>
      </w:pPr>
      <w:r>
        <w:rPr>
          <w:b/>
        </w:rPr>
        <w:tab/>
        <w:t>“</w:t>
      </w:r>
      <w:r>
        <w:rPr>
          <w:rStyle w:val="CharDefText"/>
        </w:rPr>
        <w:t>contract maximum demand</w:t>
      </w:r>
      <w:r>
        <w:rPr>
          <w:b/>
        </w:rPr>
        <w:t>”</w:t>
      </w:r>
      <w:r>
        <w:t xml:space="preserve"> in respect of a connection means the contract maximum demand (expressed in kW) specified in the access agreement in respect of the connection (if any);</w:t>
      </w:r>
    </w:p>
    <w:p>
      <w:pPr>
        <w:pStyle w:val="Defstart"/>
      </w:pPr>
      <w:r>
        <w:rPr>
          <w:b/>
        </w:rPr>
        <w:tab/>
        <w:t>“</w:t>
      </w:r>
      <w:r>
        <w:rPr>
          <w:rStyle w:val="CharDefText"/>
        </w:rPr>
        <w:t>control system services</w:t>
      </w:r>
      <w:r>
        <w:rPr>
          <w:b/>
        </w:rPr>
        <w:t>”</w:t>
      </w:r>
      <w:r>
        <w:t xml:space="preserve"> means the 24</w:t>
      </w:r>
      <w:r>
        <w:noBreakHyphen/>
        <w:t>hour control of the power system through monitoring, switching and dispatch which is provided through control centres and SCADA and communication equipment;</w:t>
      </w:r>
    </w:p>
    <w:p>
      <w:pPr>
        <w:pStyle w:val="Defstart"/>
        <w:keepNext/>
        <w:keepLines/>
      </w:pPr>
      <w:r>
        <w:rPr>
          <w:b/>
        </w:rPr>
        <w:tab/>
        <w:t>“</w:t>
      </w:r>
      <w:r>
        <w:rPr>
          <w:rStyle w:val="CharDefText"/>
        </w:rPr>
        <w:t>controllers</w:t>
      </w:r>
      <w:r>
        <w:rPr>
          <w:b/>
        </w:rPr>
        <w:t>”</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t>“</w:t>
      </w:r>
      <w:r>
        <w:rPr>
          <w:rStyle w:val="CharDefText"/>
        </w:rPr>
        <w:t>corporation</w:t>
      </w:r>
      <w:r>
        <w:rPr>
          <w:b/>
        </w:rPr>
        <w:t>”</w:t>
      </w:r>
      <w:r>
        <w:t xml:space="preserve"> has the meaning given to that term in section 2 of the Act;</w:t>
      </w:r>
    </w:p>
    <w:p>
      <w:pPr>
        <w:pStyle w:val="Defstart"/>
      </w:pPr>
      <w:r>
        <w:rPr>
          <w:b/>
        </w:rPr>
        <w:tab/>
        <w:t>“</w:t>
      </w:r>
      <w:r>
        <w:rPr>
          <w:rStyle w:val="CharDefText"/>
        </w:rPr>
        <w:t>declared sent</w:t>
      </w:r>
      <w:r>
        <w:rPr>
          <w:rStyle w:val="CharDefText"/>
        </w:rPr>
        <w:noBreakHyphen/>
        <w:t>out capacity</w:t>
      </w:r>
      <w:r>
        <w:rPr>
          <w:b/>
        </w:rPr>
        <w:t>”</w:t>
      </w:r>
      <w:r>
        <w:t xml:space="preserve"> in respect of a generating unit is determined in accordance with regulation 38;</w:t>
      </w:r>
    </w:p>
    <w:p>
      <w:pPr>
        <w:pStyle w:val="Defstart"/>
      </w:pPr>
      <w:r>
        <w:rPr>
          <w:b/>
        </w:rPr>
        <w:tab/>
        <w:t>“</w:t>
      </w:r>
      <w:r>
        <w:rPr>
          <w:rStyle w:val="CharDefText"/>
        </w:rPr>
        <w:t>disconnect</w:t>
      </w:r>
      <w:r>
        <w:rPr>
          <w:b/>
        </w:rPr>
        <w:t>”</w:t>
      </w:r>
      <w:r>
        <w:t>, in respect of a connection, means to operate switching equipment so as to prevent the transfer of electricity through the connection;</w:t>
      </w:r>
    </w:p>
    <w:p>
      <w:pPr>
        <w:pStyle w:val="Defstart"/>
      </w:pPr>
      <w:r>
        <w:rPr>
          <w:b/>
        </w:rPr>
        <w:tab/>
        <w:t>“</w:t>
      </w:r>
      <w:r>
        <w:rPr>
          <w:rStyle w:val="CharDefText"/>
        </w:rPr>
        <w:t>Electricity Generation Corporation</w:t>
      </w:r>
      <w:r>
        <w:rPr>
          <w:b/>
        </w:rPr>
        <w:t>”</w:t>
      </w:r>
      <w:r>
        <w:t xml:space="preserve"> means the body established by section 4(1)(a) of the </w:t>
      </w:r>
      <w:r>
        <w:rPr>
          <w:i/>
        </w:rPr>
        <w:t>Electricity Corporations Act 2005</w:t>
      </w:r>
      <w:r>
        <w:t>;</w:t>
      </w:r>
    </w:p>
    <w:p>
      <w:pPr>
        <w:pStyle w:val="Defstart"/>
      </w:pPr>
      <w:r>
        <w:rPr>
          <w:b/>
        </w:rPr>
        <w:tab/>
        <w:t>“</w:t>
      </w:r>
      <w:r>
        <w:rPr>
          <w:rStyle w:val="CharDefText"/>
        </w:rPr>
        <w:t>Electricity Networks Corporation</w:t>
      </w:r>
      <w:r>
        <w:rPr>
          <w:b/>
        </w:rPr>
        <w:t>”</w:t>
      </w:r>
      <w:r>
        <w:t xml:space="preserve"> means the body established by section 4(1)(b) of the </w:t>
      </w:r>
      <w:r>
        <w:rPr>
          <w:i/>
        </w:rPr>
        <w:t>Electricity Corporations Act 2005</w:t>
      </w:r>
      <w:r>
        <w:t>;</w:t>
      </w:r>
    </w:p>
    <w:p>
      <w:pPr>
        <w:pStyle w:val="Defstart"/>
      </w:pPr>
      <w:r>
        <w:rPr>
          <w:b/>
        </w:rPr>
        <w:tab/>
        <w:t>“</w:t>
      </w:r>
      <w:r>
        <w:rPr>
          <w:rStyle w:val="CharDefText"/>
        </w:rPr>
        <w:t>Electricity Retail Corporation</w:t>
      </w:r>
      <w:r>
        <w:rPr>
          <w:b/>
        </w:rPr>
        <w:t>”</w:t>
      </w:r>
      <w:r>
        <w:t xml:space="preserve"> means the body established by section 4(1)(c) of the </w:t>
      </w:r>
      <w:r>
        <w:rPr>
          <w:i/>
        </w:rPr>
        <w:t>Electricity Corporations Act 2005</w:t>
      </w:r>
      <w:r>
        <w:t>;</w:t>
      </w:r>
    </w:p>
    <w:p>
      <w:pPr>
        <w:pStyle w:val="Defstart"/>
      </w:pPr>
      <w:r>
        <w:rPr>
          <w:b/>
        </w:rPr>
        <w:tab/>
        <w:t>“</w:t>
      </w:r>
      <w:r>
        <w:rPr>
          <w:rStyle w:val="CharDefText"/>
        </w:rPr>
        <w:t>electricity transmission network</w:t>
      </w:r>
      <w:r>
        <w:rPr>
          <w:b/>
        </w:rPr>
        <w:t>”</w:t>
      </w:r>
      <w:r>
        <w:t>, in respect of a corporation, means the parts of the corporation’s system prescribed in regulation 5(1);</w:t>
      </w:r>
    </w:p>
    <w:p>
      <w:pPr>
        <w:pStyle w:val="Defstart"/>
      </w:pPr>
      <w:r>
        <w:rPr>
          <w:b/>
        </w:rPr>
        <w:tab/>
        <w:t>“</w:t>
      </w:r>
      <w:r>
        <w:rPr>
          <w:rStyle w:val="CharDefText"/>
        </w:rPr>
        <w:t>embedded generating unit</w:t>
      </w:r>
      <w:r>
        <w:rPr>
          <w:b/>
        </w:rPr>
        <w:t>”</w:t>
      </w:r>
      <w:r>
        <w:t xml:space="preserve"> means a generating unit which supplies on</w:t>
      </w:r>
      <w:r>
        <w:noBreakHyphen/>
        <w:t>site loads or loads at the same connection or which is connected to an electricity distribution network;</w:t>
      </w:r>
    </w:p>
    <w:p>
      <w:pPr>
        <w:pStyle w:val="Defstart"/>
      </w:pPr>
      <w:r>
        <w:rPr>
          <w:b/>
        </w:rPr>
        <w:tab/>
        <w:t>“</w:t>
      </w:r>
      <w:r>
        <w:rPr>
          <w:rStyle w:val="CharDefText"/>
        </w:rPr>
        <w:t>encumbrance</w:t>
      </w:r>
      <w:r>
        <w:rPr>
          <w:b/>
        </w:rPr>
        <w:t>”</w:t>
      </w:r>
      <w:r>
        <w:t xml:space="preserve"> includes a mortgage, pledge, lien, charge or other security interest;</w:t>
      </w:r>
    </w:p>
    <w:p>
      <w:pPr>
        <w:pStyle w:val="Defstart"/>
      </w:pPr>
      <w:r>
        <w:rPr>
          <w:b/>
        </w:rPr>
        <w:tab/>
        <w:t>“</w:t>
      </w:r>
      <w:r>
        <w:rPr>
          <w:rStyle w:val="CharDefText"/>
        </w:rPr>
        <w:t>entry point</w:t>
      </w:r>
      <w:r>
        <w:rPr>
          <w:b/>
        </w:rPr>
        <w:t>”</w:t>
      </w:r>
      <w:r>
        <w:t xml:space="preserve"> means a connection at which electricity is more likely to be transferred to the electricity transmission network than to be transferred from the electricity transmission network;</w:t>
      </w:r>
    </w:p>
    <w:p>
      <w:pPr>
        <w:pStyle w:val="Defstart"/>
      </w:pPr>
      <w:r>
        <w:rPr>
          <w:b/>
        </w:rPr>
        <w:tab/>
        <w:t>“</w:t>
      </w:r>
      <w:r>
        <w:rPr>
          <w:rStyle w:val="CharDefText"/>
        </w:rPr>
        <w:t>exempt connection</w:t>
      </w:r>
      <w:r>
        <w:rPr>
          <w:b/>
        </w:rPr>
        <w:t>”</w:t>
      </w:r>
      <w:r>
        <w:t xml:space="preserve"> means a connection which is not an existing connection;</w:t>
      </w:r>
    </w:p>
    <w:p>
      <w:pPr>
        <w:pStyle w:val="Defstart"/>
      </w:pPr>
      <w:r>
        <w:rPr>
          <w:b/>
        </w:rPr>
        <w:tab/>
        <w:t>“</w:t>
      </w:r>
      <w:r>
        <w:rPr>
          <w:rStyle w:val="CharDefText"/>
        </w:rPr>
        <w:t>existing connection</w:t>
      </w:r>
      <w:r>
        <w:rPr>
          <w:b/>
        </w:rPr>
        <w:t>”</w:t>
      </w:r>
      <w:r>
        <w:t xml:space="preserve"> means a connection which exists as at 1 January 1997;</w:t>
      </w:r>
    </w:p>
    <w:p>
      <w:pPr>
        <w:pStyle w:val="Defstart"/>
      </w:pPr>
      <w:r>
        <w:rPr>
          <w:b/>
        </w:rPr>
        <w:tab/>
        <w:t>“</w:t>
      </w:r>
      <w:r>
        <w:rPr>
          <w:rStyle w:val="CharDefText"/>
        </w:rPr>
        <w:t>exit point</w:t>
      </w:r>
      <w:r>
        <w:rPr>
          <w:b/>
        </w:rPr>
        <w:t>”</w:t>
      </w:r>
      <w:r>
        <w:t xml:space="preserve"> means a connection at which electricity is more likely to be transferred from the electricity transmission network than to be transferred to the electricity transmission network;</w:t>
      </w:r>
    </w:p>
    <w:p>
      <w:pPr>
        <w:pStyle w:val="Defstart"/>
      </w:pPr>
      <w:r>
        <w:rPr>
          <w:b/>
        </w:rPr>
        <w:tab/>
        <w:t>“</w:t>
      </w:r>
      <w:r>
        <w:rPr>
          <w:rStyle w:val="CharDefText"/>
        </w:rPr>
        <w:t>fee schedule</w:t>
      </w:r>
      <w:r>
        <w:rPr>
          <w:b/>
        </w:rPr>
        <w:t>”</w:t>
      </w:r>
      <w:r>
        <w:t>, in respect of a financial year, means the fee schedule published in respect of that financial year by a corporation;</w:t>
      </w:r>
    </w:p>
    <w:p>
      <w:pPr>
        <w:pStyle w:val="Defstart"/>
      </w:pPr>
      <w:r>
        <w:rPr>
          <w:b/>
        </w:rPr>
        <w:tab/>
        <w:t>“</w:t>
      </w:r>
      <w:r>
        <w:rPr>
          <w:rStyle w:val="CharDefText"/>
          <w:i/>
        </w:rPr>
        <w:t>force majeure</w:t>
      </w:r>
      <w:r>
        <w:rPr>
          <w:rStyle w:val="CharDefText"/>
        </w:rPr>
        <w:t xml:space="preserve"> event</w:t>
      </w:r>
      <w:r>
        <w:rPr>
          <w:b/>
        </w:rPr>
        <w:t>”</w:t>
      </w:r>
      <w:r>
        <w:t xml:space="preserve"> has the meaning given in regulation 35(1);</w:t>
      </w:r>
    </w:p>
    <w:p>
      <w:pPr>
        <w:pStyle w:val="Defstart"/>
      </w:pPr>
      <w:r>
        <w:rPr>
          <w:b/>
        </w:rPr>
        <w:tab/>
        <w:t>“</w:t>
      </w:r>
      <w:r>
        <w:rPr>
          <w:rStyle w:val="CharDefText"/>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rPr>
        <w:t>good electricity industry practice</w:t>
      </w:r>
      <w:r>
        <w:rPr>
          <w:b/>
        </w:rPr>
        <w:t>”</w:t>
      </w:r>
      <w:r>
        <w:t xml:space="preserve"> has the meaning given in regulation 28(1);</w:t>
      </w:r>
    </w:p>
    <w:p>
      <w:pPr>
        <w:pStyle w:val="Defstart"/>
      </w:pPr>
      <w:r>
        <w:rPr>
          <w:b/>
        </w:rPr>
        <w:tab/>
        <w:t>“</w:t>
      </w:r>
      <w:r>
        <w:rPr>
          <w:rStyle w:val="CharDefText"/>
        </w:rPr>
        <w:t>network planning criteria</w:t>
      </w:r>
      <w:r>
        <w:rPr>
          <w:b/>
        </w:rPr>
        <w:t>”</w:t>
      </w:r>
      <w:r>
        <w:t xml:space="preserve"> means the criteria prepared by a corporation under regulation 27;</w:t>
      </w:r>
    </w:p>
    <w:p>
      <w:pPr>
        <w:pStyle w:val="Defstart"/>
      </w:pPr>
      <w:r>
        <w:rPr>
          <w:b/>
        </w:rPr>
        <w:tab/>
        <w:t>“</w:t>
      </w:r>
      <w:r>
        <w:rPr>
          <w:rStyle w:val="CharDefText"/>
        </w:rPr>
        <w:t>network services</w:t>
      </w:r>
      <w:r>
        <w:rPr>
          <w:b/>
        </w:rPr>
        <w:t>”</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rPr>
          <w:snapToGrid w:val="0"/>
        </w:rPr>
      </w:pPr>
      <w:r>
        <w:rPr>
          <w:snapToGrid w:val="0"/>
        </w:rPr>
        <w:tab/>
        <w:t>(i)</w:t>
      </w:r>
      <w:r>
        <w:rPr>
          <w:snapToGrid w:val="0"/>
        </w:rPr>
        <w:tab/>
        <w:t>the electricity transmission network’s ability to transfer electricity;</w:t>
      </w:r>
    </w:p>
    <w:p>
      <w:pPr>
        <w:pStyle w:val="Defsubpara"/>
        <w:rPr>
          <w:snapToGrid w:val="0"/>
        </w:rPr>
      </w:pPr>
      <w:r>
        <w:rPr>
          <w:snapToGrid w:val="0"/>
        </w:rPr>
        <w:tab/>
        <w:t>(ii)</w:t>
      </w:r>
      <w:r>
        <w:rPr>
          <w:snapToGrid w:val="0"/>
        </w:rPr>
        <w:tab/>
        <w:t>configuration switching capability at nodes;</w:t>
      </w:r>
    </w:p>
    <w:p>
      <w:pPr>
        <w:pStyle w:val="Defsubpara"/>
        <w:rPr>
          <w:snapToGrid w:val="0"/>
        </w:rPr>
      </w:pPr>
      <w:r>
        <w:rPr>
          <w:snapToGrid w:val="0"/>
        </w:rPr>
        <w:tab/>
        <w:t>(iii)</w:t>
      </w:r>
      <w:r>
        <w:rPr>
          <w:snapToGrid w:val="0"/>
        </w:rPr>
        <w:tab/>
        <w:t>network security and stabilisation capability services; and</w:t>
      </w:r>
    </w:p>
    <w:p>
      <w:pPr>
        <w:pStyle w:val="Defsubpara"/>
        <w:rPr>
          <w:snapToGrid w:val="0"/>
        </w:rPr>
      </w:pPr>
      <w:r>
        <w:rPr>
          <w:snapToGrid w:val="0"/>
        </w:rPr>
        <w:tab/>
        <w:t>(iv)</w:t>
      </w:r>
      <w:r>
        <w:rPr>
          <w:snapToGrid w:val="0"/>
        </w:rPr>
        <w:tab/>
        <w:t>voltage and reactive control capability at nodes;</w:t>
      </w:r>
    </w:p>
    <w:p>
      <w:pPr>
        <w:pStyle w:val="Defpara"/>
      </w:pPr>
      <w:r>
        <w:tab/>
        <w:t>(b)</w:t>
      </w:r>
      <w:r>
        <w:tab/>
        <w:t>network operation systems, including — </w:t>
      </w:r>
    </w:p>
    <w:p>
      <w:pPr>
        <w:pStyle w:val="Defsubpara"/>
        <w:rPr>
          <w:snapToGrid w:val="0"/>
        </w:rPr>
      </w:pPr>
      <w:r>
        <w:rPr>
          <w:snapToGrid w:val="0"/>
        </w:rPr>
        <w:tab/>
        <w:t>(i)</w:t>
      </w:r>
      <w:r>
        <w:rPr>
          <w:snapToGrid w:val="0"/>
        </w:rPr>
        <w:tab/>
        <w:t>remote operation services;</w:t>
      </w:r>
    </w:p>
    <w:p>
      <w:pPr>
        <w:pStyle w:val="Defsubpara"/>
        <w:rPr>
          <w:snapToGrid w:val="0"/>
        </w:rPr>
      </w:pPr>
      <w:r>
        <w:rPr>
          <w:snapToGrid w:val="0"/>
        </w:rPr>
        <w:tab/>
        <w:t>(ii)</w:t>
      </w:r>
      <w:r>
        <w:rPr>
          <w:snapToGrid w:val="0"/>
        </w:rPr>
        <w:tab/>
        <w:t>voice and data communication services;</w:t>
      </w:r>
    </w:p>
    <w:p>
      <w:pPr>
        <w:pStyle w:val="Defsubpara"/>
        <w:rPr>
          <w:snapToGrid w:val="0"/>
        </w:rPr>
      </w:pPr>
      <w:r>
        <w:rPr>
          <w:snapToGrid w:val="0"/>
        </w:rPr>
        <w:tab/>
        <w:t>(iii)</w:t>
      </w:r>
      <w:r>
        <w:rPr>
          <w:snapToGrid w:val="0"/>
        </w:rPr>
        <w:tab/>
        <w:t>network performance monitoring services;</w:t>
      </w:r>
    </w:p>
    <w:p>
      <w:pPr>
        <w:pStyle w:val="Defsubpara"/>
        <w:rPr>
          <w:snapToGrid w:val="0"/>
        </w:rPr>
      </w:pPr>
      <w:r>
        <w:rPr>
          <w:snapToGrid w:val="0"/>
        </w:rPr>
        <w:tab/>
        <w:t>(iv)</w:t>
      </w:r>
      <w:r>
        <w:rPr>
          <w:snapToGrid w:val="0"/>
        </w:rPr>
        <w:tab/>
        <w:t>real time operational information and control capability;</w:t>
      </w:r>
    </w:p>
    <w:p>
      <w:pPr>
        <w:pStyle w:val="Defsubpara"/>
        <w:rPr>
          <w:snapToGrid w:val="0"/>
        </w:rPr>
      </w:pPr>
      <w:r>
        <w:rPr>
          <w:snapToGrid w:val="0"/>
        </w:rPr>
        <w:tab/>
        <w:t>(v)</w:t>
      </w:r>
      <w:r>
        <w:rPr>
          <w:snapToGrid w:val="0"/>
        </w:rPr>
        <w:tab/>
        <w:t>operational information (including plant characteristics);</w:t>
      </w:r>
    </w:p>
    <w:p>
      <w:pPr>
        <w:pStyle w:val="Defsubpara"/>
        <w:rPr>
          <w:snapToGrid w:val="0"/>
        </w:rPr>
      </w:pPr>
      <w:r>
        <w:rPr>
          <w:snapToGrid w:val="0"/>
        </w:rPr>
        <w:tab/>
        <w:t>(vi)</w:t>
      </w:r>
      <w:r>
        <w:rPr>
          <w:snapToGrid w:val="0"/>
        </w:rPr>
        <w:tab/>
        <w:t>generation scheduling; and</w:t>
      </w:r>
    </w:p>
    <w:p>
      <w:pPr>
        <w:pStyle w:val="Defsubpara"/>
        <w:rPr>
          <w:snapToGrid w:val="0"/>
        </w:rPr>
      </w:pPr>
      <w:r>
        <w:rPr>
          <w:snapToGrid w:val="0"/>
        </w:rPr>
        <w:tab/>
        <w:t>(vii)</w:t>
      </w:r>
      <w:r>
        <w:rPr>
          <w:snapToGrid w:val="0"/>
        </w:rP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t>“</w:t>
      </w:r>
      <w:r>
        <w:rPr>
          <w:rStyle w:val="CharDefText"/>
        </w:rPr>
        <w:t>outage</w:t>
      </w:r>
      <w:r>
        <w:rPr>
          <w:b/>
        </w:rPr>
        <w:t>”</w:t>
      </w:r>
      <w:r>
        <w:t xml:space="preserve"> means any planned or unplanned full or partial unavailability of plant or equipment;</w:t>
      </w:r>
    </w:p>
    <w:p>
      <w:pPr>
        <w:pStyle w:val="Defstart"/>
      </w:pPr>
      <w:r>
        <w:rPr>
          <w:b/>
        </w:rPr>
        <w:tab/>
        <w:t>“</w:t>
      </w:r>
      <w:r>
        <w:rPr>
          <w:rStyle w:val="CharDefText"/>
        </w:rPr>
        <w:t>post</w:t>
      </w:r>
      <w:r>
        <w:rPr>
          <w:rStyle w:val="CharDefText"/>
        </w:rPr>
        <w:noBreakHyphen/>
        <w:t>trip management</w:t>
      </w:r>
      <w:r>
        <w:rPr>
          <w:b/>
        </w:rPr>
        <w:t>”</w:t>
      </w:r>
      <w:r>
        <w:t xml:space="preserve"> means the maintenance of system security in the aftermath of trips;</w:t>
      </w:r>
    </w:p>
    <w:p>
      <w:pPr>
        <w:pStyle w:val="Defstart"/>
      </w:pPr>
      <w:r>
        <w:rPr>
          <w:b/>
        </w:rPr>
        <w:tab/>
        <w:t>“</w:t>
      </w:r>
      <w:r>
        <w:rPr>
          <w:rStyle w:val="CharDefText"/>
        </w:rPr>
        <w:t>preliminary assessment</w:t>
      </w:r>
      <w:r>
        <w:rPr>
          <w:b/>
        </w:rPr>
        <w:t>”</w:t>
      </w:r>
      <w:r>
        <w:t>, in relation to an application, means a preliminary opinion of a corporation,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pPr>
      <w:r>
        <w:rPr>
          <w:b/>
        </w:rPr>
        <w:tab/>
        <w:t>“</w:t>
      </w:r>
      <w:r>
        <w:rPr>
          <w:rStyle w:val="CharDefText"/>
        </w:rPr>
        <w:t>Regional Power Corporation</w:t>
      </w:r>
      <w:r>
        <w:rPr>
          <w:b/>
        </w:rPr>
        <w:t>”</w:t>
      </w:r>
      <w:r>
        <w:t xml:space="preserve"> means the body established by section 4(1)(d) of the </w:t>
      </w:r>
      <w:r>
        <w:rPr>
          <w:i/>
        </w:rPr>
        <w:t>Electricity Corporations Act 2005</w:t>
      </w:r>
      <w:r>
        <w:t>;</w:t>
      </w:r>
    </w:p>
    <w:p>
      <w:pPr>
        <w:pStyle w:val="Defstart"/>
        <w:keepNext/>
      </w:pPr>
      <w:r>
        <w:rPr>
          <w:b/>
        </w:rPr>
        <w:tab/>
        <w:t>“</w:t>
      </w:r>
      <w:r>
        <w:rPr>
          <w:rStyle w:val="CharDefText"/>
        </w:rPr>
        <w:t>related body corporate</w:t>
      </w:r>
      <w:r>
        <w:rPr>
          <w:b/>
        </w:rPr>
        <w:t>”</w:t>
      </w:r>
      <w:r>
        <w:t xml:space="preserve"> means — </w:t>
      </w:r>
    </w:p>
    <w:p>
      <w:pPr>
        <w:pStyle w:val="Defpara"/>
      </w:pPr>
      <w:r>
        <w:tab/>
        <w:t>(a)</w:t>
      </w:r>
      <w:r>
        <w:tab/>
        <w:t xml:space="preserve">in respect of a corporation, a subsidiary (as defined in section 3 of the </w:t>
      </w:r>
      <w:r>
        <w:rPr>
          <w:i/>
        </w:rPr>
        <w:t>Electricity Corporations Act 2005</w:t>
      </w:r>
      <w:r>
        <w:t>) of the corporation;</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rPr>
        <w:t>response</w:t>
      </w:r>
      <w:r>
        <w:rPr>
          <w:b/>
        </w:rPr>
        <w:t>”</w:t>
      </w:r>
      <w:r>
        <w:t xml:space="preserve"> in respect of an access application means the response given under regulation 8(5);</w:t>
      </w:r>
    </w:p>
    <w:p>
      <w:pPr>
        <w:pStyle w:val="Defstart"/>
      </w:pPr>
      <w:r>
        <w:rPr>
          <w:b/>
        </w:rPr>
        <w:tab/>
        <w:t>“</w:t>
      </w:r>
      <w:r>
        <w:rPr>
          <w:rStyle w:val="CharDefText"/>
        </w:rPr>
        <w:t>RTU</w:t>
      </w:r>
      <w:r>
        <w:rPr>
          <w:b/>
        </w:rPr>
        <w:t>”</w:t>
      </w:r>
      <w:r>
        <w:t xml:space="preserve"> means a Remote Terminal Unit installed within a substation to enable monitoring and control of a facility from a control centre;</w:t>
      </w:r>
    </w:p>
    <w:p>
      <w:pPr>
        <w:pStyle w:val="Defstart"/>
      </w:pPr>
      <w:r>
        <w:rPr>
          <w:b/>
        </w:rPr>
        <w:tab/>
        <w:t>“</w:t>
      </w:r>
      <w:r>
        <w:rPr>
          <w:rStyle w:val="CharDefText"/>
        </w:rPr>
        <w:t>SCADA</w:t>
      </w:r>
      <w:r>
        <w:rPr>
          <w:b/>
        </w:rPr>
        <w:t>”</w:t>
      </w:r>
      <w:r>
        <w:t xml:space="preserve"> means Supervisory Control and Data Acquisition;</w:t>
      </w:r>
    </w:p>
    <w:p>
      <w:pPr>
        <w:pStyle w:val="Defstart"/>
      </w:pPr>
      <w:r>
        <w:rPr>
          <w:b/>
        </w:rPr>
        <w:tab/>
        <w:t>“</w:t>
      </w:r>
      <w:r>
        <w:rPr>
          <w:rStyle w:val="CharDefText"/>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rPr>
        <w:t>supervising officers</w:t>
      </w:r>
      <w:r>
        <w:rPr>
          <w:b/>
        </w:rPr>
        <w:t>”</w:t>
      </w:r>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keepNext/>
        <w:keepLines/>
      </w:pPr>
      <w:r>
        <w:rPr>
          <w:b/>
        </w:rPr>
        <w:tab/>
        <w:t>“</w:t>
      </w:r>
      <w:r>
        <w:rPr>
          <w:rStyle w:val="CharDefText"/>
        </w:rPr>
        <w:t>taxes</w:t>
      </w:r>
      <w:r>
        <w:rPr>
          <w:b/>
        </w:rPr>
        <w:t>”</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a corporation;</w:t>
      </w:r>
    </w:p>
    <w:p>
      <w:pPr>
        <w:pStyle w:val="Defstart"/>
      </w:pPr>
      <w:r>
        <w:rPr>
          <w:b/>
        </w:rPr>
        <w:tab/>
        <w:t>“</w:t>
      </w:r>
      <w:r>
        <w:rPr>
          <w:rStyle w:val="CharDefText"/>
        </w:rPr>
        <w:t>Technical Code</w:t>
      </w:r>
      <w:r>
        <w:rPr>
          <w:b/>
        </w:rPr>
        <w:t>”</w:t>
      </w:r>
      <w:r>
        <w:t>, in relation to a corporation, means the Technical Code prepared by the corporation under regulation 26;</w:t>
      </w:r>
    </w:p>
    <w:p>
      <w:pPr>
        <w:pStyle w:val="Defstart"/>
      </w:pPr>
      <w:r>
        <w:rPr>
          <w:b/>
        </w:rPr>
        <w:tab/>
        <w:t>“</w:t>
      </w:r>
      <w:r>
        <w:rPr>
          <w:rStyle w:val="CharDefText"/>
        </w:rPr>
        <w:t>transmission employee</w:t>
      </w:r>
      <w:r>
        <w:rPr>
          <w:b/>
        </w:rPr>
        <w:t>”</w:t>
      </w:r>
      <w:r>
        <w:t xml:space="preserve"> means an employee or officer of the Regional Power Corporation who is engaged wholly or partly in those parts of that corporation’s business involving the granting of access to electricity transmission capacity or the planning, operation, maintenance, development or augmentation of the electricity transmission network;</w:t>
      </w:r>
    </w:p>
    <w:p>
      <w:pPr>
        <w:pStyle w:val="Defstart"/>
      </w:pPr>
      <w:r>
        <w:rPr>
          <w:b/>
        </w:rPr>
        <w:tab/>
        <w:t>“</w:t>
      </w:r>
      <w:r>
        <w:rPr>
          <w:rStyle w:val="CharDefText"/>
        </w:rPr>
        <w:t>use of system services</w:t>
      </w:r>
      <w:r>
        <w:rPr>
          <w:b/>
        </w:rPr>
        <w:t>”</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t>“</w:t>
      </w:r>
      <w:r>
        <w:rPr>
          <w:rStyle w:val="CharDefText"/>
        </w:rPr>
        <w:t>voltage control</w:t>
      </w:r>
      <w:r>
        <w:rPr>
          <w:b/>
        </w:rPr>
        <w:t>”</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Subsection"/>
        <w:keepNext/>
        <w:keepLines/>
        <w:spacing w:before="120"/>
      </w:pPr>
      <w:r>
        <w:tab/>
        <w:t>(2)</w:t>
      </w:r>
      <w:r>
        <w:tab/>
        <w:t xml:space="preserve">In these regulations, references to the electricity transmission network, or to the electricity transmission network of a corporation, are — </w:t>
      </w:r>
    </w:p>
    <w:p>
      <w:pPr>
        <w:pStyle w:val="Indenta"/>
      </w:pPr>
      <w:r>
        <w:tab/>
        <w:t>(a)</w:t>
      </w:r>
      <w:r>
        <w:tab/>
        <w:t>in relation to the Electricity Networks Corporation, references to the electricity transmission network operated by that corporation; and</w:t>
      </w:r>
    </w:p>
    <w:p>
      <w:pPr>
        <w:pStyle w:val="Indenta"/>
      </w:pPr>
      <w:r>
        <w:tab/>
        <w:t>(b)</w:t>
      </w:r>
      <w:r>
        <w:tab/>
        <w:t>in relation to the Regional Power Corporation, references to any electricity transmission network operated by that corporation.</w:t>
      </w:r>
    </w:p>
    <w:p>
      <w:pPr>
        <w:pStyle w:val="Footnotesection"/>
      </w:pPr>
      <w:r>
        <w:tab/>
        <w:t>[Regulation 3 amended in Gazette 28 Sep 2001 p. 5357; 28 Dec 2001 p. 6718; 22 Jun 2004 p. 2165</w:t>
      </w:r>
      <w:r>
        <w:noBreakHyphen/>
        <w:t>6; 24 Jun 2005 p. 2752; 31 Mar 2006 p. 1326</w:t>
      </w:r>
      <w:r>
        <w:noBreakHyphen/>
        <w:t>9 and 1338; 25 Aug 2006 p. 3497.]</w:t>
      </w:r>
    </w:p>
    <w:p>
      <w:pPr>
        <w:pStyle w:val="Heading5"/>
        <w:rPr>
          <w:snapToGrid w:val="0"/>
        </w:rPr>
      </w:pPr>
      <w:bookmarkStart w:id="29" w:name="_Toc534108045"/>
      <w:bookmarkStart w:id="30" w:name="_Toc4983141"/>
      <w:bookmarkStart w:id="31" w:name="_Toc131823625"/>
      <w:bookmarkStart w:id="32" w:name="_Toc146530148"/>
      <w:r>
        <w:rPr>
          <w:rStyle w:val="CharSectno"/>
        </w:rPr>
        <w:t>4</w:t>
      </w:r>
      <w:r>
        <w:rPr>
          <w:snapToGrid w:val="0"/>
        </w:rPr>
        <w:t>.</w:t>
      </w:r>
      <w:r>
        <w:rPr>
          <w:snapToGrid w:val="0"/>
        </w:rPr>
        <w:tab/>
        <w:t>Interpretation</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w:t>
      </w:r>
      <w:r>
        <w:rPr>
          <w:snapToGrid w:val="0"/>
        </w:rPr>
        <w:sym w:font="Symbol" w:char="F053"/>
      </w:r>
      <w:r>
        <w:rPr>
          <w:snapToGrid w:val="0"/>
        </w:rPr>
        <w:t>”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 “</w:t>
      </w:r>
      <w:r>
        <w:rPr>
          <w:rStyle w:val="CharDefText"/>
          <w:b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 in Gazette 31 Mar 2006 p. 1338.]</w:t>
      </w:r>
    </w:p>
    <w:p>
      <w:pPr>
        <w:pStyle w:val="Heading5"/>
        <w:rPr>
          <w:snapToGrid w:val="0"/>
        </w:rPr>
      </w:pPr>
      <w:bookmarkStart w:id="33" w:name="_Toc534108046"/>
      <w:bookmarkStart w:id="34" w:name="_Toc4983142"/>
      <w:bookmarkStart w:id="35" w:name="_Toc131823626"/>
      <w:bookmarkStart w:id="36" w:name="_Toc146530149"/>
      <w:r>
        <w:rPr>
          <w:rStyle w:val="CharSectno"/>
        </w:rPr>
        <w:t>5</w:t>
      </w:r>
      <w:r>
        <w:rPr>
          <w:snapToGrid w:val="0"/>
        </w:rPr>
        <w:t>.</w:t>
      </w:r>
      <w:r>
        <w:rPr>
          <w:snapToGrid w:val="0"/>
        </w:rPr>
        <w:tab/>
        <w:t>Electricity transmission network</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the definition of “electricity transmission system” in section 89(1) of the Act, all parts of the system operated by a corporation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the corporation.</w:t>
      </w:r>
    </w:p>
    <w:p>
      <w:pPr>
        <w:pStyle w:val="Ednotesubsection"/>
      </w:pPr>
      <w:r>
        <w:tab/>
        <w:t>[(2)</w:t>
      </w:r>
      <w:r>
        <w:tab/>
        <w:t>repealed]</w:t>
      </w:r>
    </w:p>
    <w:p>
      <w:pPr>
        <w:pStyle w:val="Subsection"/>
        <w:rPr>
          <w:snapToGrid w:val="0"/>
        </w:rPr>
      </w:pPr>
      <w:r>
        <w:rPr>
          <w:snapToGrid w:val="0"/>
        </w:rPr>
        <w:tab/>
        <w:t>(3)</w:t>
      </w:r>
      <w:r>
        <w:rPr>
          <w:snapToGrid w:val="0"/>
        </w:rPr>
        <w:tab/>
        <w:t>Subject to subregulation (4), a corporation must prepare and maintain an accurate description (including a geographical depiction) of its electricity transmission network.</w:t>
      </w:r>
    </w:p>
    <w:p>
      <w:pPr>
        <w:pStyle w:val="Subsection"/>
        <w:rPr>
          <w:snapToGrid w:val="0"/>
        </w:rPr>
      </w:pPr>
      <w:r>
        <w:rPr>
          <w:snapToGrid w:val="0"/>
        </w:rPr>
        <w:tab/>
        <w:t>(4)</w:t>
      </w:r>
      <w:r>
        <w:rPr>
          <w:snapToGrid w:val="0"/>
        </w:rPr>
        <w:tab/>
        <w:t>A corporation must prepare the initial description of the electricity transmission network under subregulation (3) as at</w:t>
      </w:r>
      <w:r>
        <w:t xml:space="preserve"> 1 April 2006 on or before 1 May 2006.</w:t>
      </w:r>
    </w:p>
    <w:p>
      <w:pPr>
        <w:pStyle w:val="Subsection"/>
        <w:rPr>
          <w:snapToGrid w:val="0"/>
        </w:rPr>
      </w:pPr>
      <w:r>
        <w:rPr>
          <w:snapToGrid w:val="0"/>
        </w:rPr>
        <w:tab/>
        <w:t>(5)</w:t>
      </w:r>
      <w:r>
        <w:rPr>
          <w:snapToGrid w:val="0"/>
        </w:rPr>
        <w:tab/>
      </w:r>
      <w:r>
        <w:t xml:space="preserve">A corporation </w:t>
      </w:r>
      <w:r>
        <w:rPr>
          <w:snapToGrid w:val="0"/>
        </w:rPr>
        <w:t>must supply a copy of the description of the electricity transmission network prepared and maintained under subregulation (3) to any person which requests a copy of it.</w:t>
      </w:r>
    </w:p>
    <w:p>
      <w:pPr>
        <w:pStyle w:val="Footnotesection"/>
      </w:pPr>
      <w:r>
        <w:tab/>
        <w:t>[Regulation 5 amended in Gazette 31 Mar 2006 p. 1329</w:t>
      </w:r>
      <w:r>
        <w:noBreakHyphen/>
        <w:t>30 and 1338.]</w:t>
      </w:r>
    </w:p>
    <w:p>
      <w:pPr>
        <w:pStyle w:val="Heading5"/>
        <w:rPr>
          <w:snapToGrid w:val="0"/>
        </w:rPr>
      </w:pPr>
      <w:bookmarkStart w:id="37" w:name="_Toc534108047"/>
      <w:bookmarkStart w:id="38" w:name="_Toc4983143"/>
      <w:bookmarkStart w:id="39" w:name="_Toc131823627"/>
      <w:bookmarkStart w:id="40" w:name="_Toc146530150"/>
      <w:r>
        <w:rPr>
          <w:rStyle w:val="CharSectno"/>
        </w:rPr>
        <w:t>6</w:t>
      </w:r>
      <w:r>
        <w:rPr>
          <w:snapToGrid w:val="0"/>
        </w:rPr>
        <w:t>.</w:t>
      </w:r>
      <w:r>
        <w:rPr>
          <w:snapToGrid w:val="0"/>
        </w:rPr>
        <w:tab/>
        <w:t>Reports and forecasts and prescribed fees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must prepare the annual reports and forecasts required by clause 4(1) of Schedule 5 to the Act no later than 31 May each year.</w:t>
      </w:r>
    </w:p>
    <w:p>
      <w:pPr>
        <w:pStyle w:val="Subsection"/>
        <w:rPr>
          <w:snapToGrid w:val="0"/>
        </w:rPr>
      </w:pPr>
      <w:r>
        <w:rPr>
          <w:snapToGrid w:val="0"/>
        </w:rPr>
        <w:tab/>
        <w:t>(2)</w:t>
      </w:r>
      <w:r>
        <w:rPr>
          <w:snapToGrid w:val="0"/>
        </w:rPr>
        <w:tab/>
      </w:r>
      <w:r>
        <w:t xml:space="preserve">A corporation </w:t>
      </w:r>
      <w:r>
        <w:rPr>
          <w:snapToGrid w:val="0"/>
        </w:rPr>
        <w:t xml:space="preserve">must prepare the first annual report required by clause 4(1)(c) of Schedule 5 to the Act on or before </w:t>
      </w:r>
      <w:r>
        <w:t>1 May 2006.</w:t>
      </w:r>
    </w:p>
    <w:p>
      <w:pPr>
        <w:pStyle w:val="Ednotesubsection"/>
      </w:pPr>
      <w:r>
        <w:tab/>
        <w:t>[(3), (4)</w:t>
      </w:r>
      <w:r>
        <w:tab/>
        <w:t>repealed]</w:t>
      </w:r>
    </w:p>
    <w:p>
      <w:pPr>
        <w:pStyle w:val="Subsection"/>
        <w:rPr>
          <w:snapToGrid w:val="0"/>
        </w:rPr>
      </w:pPr>
      <w:r>
        <w:rPr>
          <w:snapToGrid w:val="0"/>
        </w:rPr>
        <w:tab/>
        <w:t>(5)</w:t>
      </w:r>
      <w:r>
        <w:rPr>
          <w:snapToGrid w:val="0"/>
        </w:rPr>
        <w:tab/>
        <w:t>For the purposes of clauses 4(1), 6(1)(d) and 6(3) of Schedule 5 to the Act and these regulations, the prescribed fee is $50.00.</w:t>
      </w:r>
    </w:p>
    <w:p>
      <w:pPr>
        <w:pStyle w:val="Footnotesection"/>
      </w:pPr>
      <w:r>
        <w:tab/>
        <w:t>[Regulation 6 amended in Gazette 31 Mar 2006 p. 1330.]</w:t>
      </w:r>
    </w:p>
    <w:p>
      <w:pPr>
        <w:pStyle w:val="Heading2"/>
      </w:pPr>
      <w:bookmarkStart w:id="41" w:name="_Toc92191385"/>
      <w:bookmarkStart w:id="42" w:name="_Toc92191450"/>
      <w:bookmarkStart w:id="43" w:name="_Toc92254567"/>
      <w:bookmarkStart w:id="44" w:name="_Toc107388404"/>
      <w:bookmarkStart w:id="45" w:name="_Toc125447390"/>
      <w:bookmarkStart w:id="46" w:name="_Toc125452803"/>
      <w:bookmarkStart w:id="47" w:name="_Toc131823628"/>
      <w:bookmarkStart w:id="48" w:name="_Toc131823753"/>
      <w:bookmarkStart w:id="49" w:name="_Toc131917325"/>
      <w:bookmarkStart w:id="50" w:name="_Toc135112658"/>
      <w:bookmarkStart w:id="51" w:name="_Toc135207680"/>
      <w:bookmarkStart w:id="52" w:name="_Toc136160897"/>
      <w:bookmarkStart w:id="53" w:name="_Toc138497557"/>
      <w:bookmarkStart w:id="54" w:name="_Toc146527238"/>
      <w:bookmarkStart w:id="55" w:name="_Toc146530151"/>
      <w:r>
        <w:rPr>
          <w:rStyle w:val="CharPartNo"/>
        </w:rPr>
        <w:t>Part 2</w:t>
      </w:r>
      <w:r>
        <w:rPr>
          <w:rStyle w:val="CharDivNo"/>
        </w:rPr>
        <w:t> </w:t>
      </w:r>
      <w:r>
        <w:t>—</w:t>
      </w:r>
      <w:r>
        <w:rPr>
          <w:rStyle w:val="CharDivText"/>
        </w:rPr>
        <w:t> </w:t>
      </w:r>
      <w:r>
        <w:rPr>
          <w:rStyle w:val="CharPartText"/>
        </w:rPr>
        <w:t>Access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534108048"/>
      <w:bookmarkStart w:id="57" w:name="_Toc4983144"/>
      <w:bookmarkStart w:id="58" w:name="_Toc131823629"/>
      <w:bookmarkStart w:id="59" w:name="_Toc146530152"/>
      <w:r>
        <w:rPr>
          <w:rStyle w:val="CharSectno"/>
        </w:rPr>
        <w:t>7</w:t>
      </w:r>
      <w:r>
        <w:rPr>
          <w:snapToGrid w:val="0"/>
        </w:rPr>
        <w:t>.</w:t>
      </w:r>
      <w:r>
        <w:rPr>
          <w:snapToGrid w:val="0"/>
        </w:rPr>
        <w:tab/>
        <w:t>Access procedure</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60" w:name="_Toc534108049"/>
      <w:bookmarkStart w:id="61" w:name="_Toc4983145"/>
      <w:bookmarkStart w:id="62" w:name="_Toc131823630"/>
      <w:bookmarkStart w:id="63" w:name="_Toc146530153"/>
      <w:r>
        <w:rPr>
          <w:rStyle w:val="CharSectno"/>
        </w:rPr>
        <w:t>8</w:t>
      </w:r>
      <w:r>
        <w:rPr>
          <w:snapToGrid w:val="0"/>
        </w:rPr>
        <w:t>.</w:t>
      </w:r>
      <w:r>
        <w:rPr>
          <w:snapToGrid w:val="0"/>
        </w:rPr>
        <w:tab/>
        <w:t>Access application</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r>
        <w:t xml:space="preserve">a corporation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t>repealed]</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(5)</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 and</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w:t>
      </w:r>
      <w:r>
        <w:t xml:space="preserve"> the corporation</w:t>
      </w:r>
      <w:r>
        <w:rPr>
          <w:snapToGrid w:val="0"/>
        </w:rPr>
        <w:t>.</w:t>
      </w:r>
    </w:p>
    <w:p>
      <w:pPr>
        <w:pStyle w:val="Footnotesection"/>
      </w:pPr>
      <w:r>
        <w:tab/>
        <w:t>[Regulation 8 amended in Gazette 31 Dec 2004 p. 7139; 31 Mar 2006 p. 1330 and 1338-9.]</w:t>
      </w:r>
    </w:p>
    <w:p>
      <w:pPr>
        <w:pStyle w:val="Heading5"/>
        <w:rPr>
          <w:snapToGrid w:val="0"/>
        </w:rPr>
      </w:pPr>
      <w:bookmarkStart w:id="64" w:name="_Toc534108050"/>
      <w:bookmarkStart w:id="65" w:name="_Toc4983146"/>
      <w:bookmarkStart w:id="66" w:name="_Toc131823631"/>
      <w:bookmarkStart w:id="67" w:name="_Toc146530154"/>
      <w:r>
        <w:rPr>
          <w:rStyle w:val="CharSectno"/>
        </w:rPr>
        <w:t>9</w:t>
      </w:r>
      <w:r>
        <w:rPr>
          <w:snapToGrid w:val="0"/>
        </w:rPr>
        <w:t>.</w:t>
      </w:r>
      <w:r>
        <w:rPr>
          <w:snapToGrid w:val="0"/>
        </w:rPr>
        <w:tab/>
        <w:t>Provision and use of information in respect of an access application</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making the request or such longer time as the corporation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r>
        <w:t xml:space="preserve">the corporation </w:t>
      </w:r>
      <w:r>
        <w:rPr>
          <w:snapToGrid w:val="0"/>
        </w:rPr>
        <w:t>in writing of that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(7) or otherwise becomes aware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in order to do so; or</w:t>
      </w:r>
    </w:p>
    <w:p>
      <w:pPr>
        <w:pStyle w:val="Indenta"/>
        <w:rPr>
          <w:snapToGrid w:val="0"/>
        </w:rPr>
      </w:pPr>
      <w:r>
        <w:rPr>
          <w:snapToGrid w:val="0"/>
        </w:rPr>
        <w:tab/>
        <w:t>(b)</w:t>
      </w:r>
      <w:r>
        <w:rPr>
          <w:snapToGrid w:val="0"/>
        </w:rPr>
        <w:tab/>
        <w:t>where the material alteration to information is such as to, in the reasonable opinion of</w:t>
      </w:r>
      <w:r>
        <w:t xml:space="preserve"> the corporation</w:t>
      </w:r>
      <w:r>
        <w:rPr>
          <w:snapToGrid w:val="0"/>
        </w:rPr>
        <w:t xml:space="preserve">, materially alter the access services requested by the access application, </w:t>
      </w:r>
      <w:r>
        <w:t xml:space="preserve">the corporation </w:t>
      </w:r>
      <w:r>
        <w:rPr>
          <w:snapToGrid w:val="0"/>
        </w:rPr>
        <w:t>may reject the access application.</w:t>
      </w:r>
    </w:p>
    <w:p>
      <w:pPr>
        <w:pStyle w:val="Footnotesection"/>
      </w:pPr>
      <w:r>
        <w:tab/>
        <w:t>[Regulation 9 amended in Gazette 31 Mar 2006 p. 1338-9.]</w:t>
      </w:r>
    </w:p>
    <w:p>
      <w:pPr>
        <w:pStyle w:val="Heading5"/>
        <w:rPr>
          <w:snapToGrid w:val="0"/>
        </w:rPr>
      </w:pPr>
      <w:bookmarkStart w:id="68" w:name="_Toc534108051"/>
      <w:bookmarkStart w:id="69" w:name="_Toc4983147"/>
      <w:bookmarkStart w:id="70" w:name="_Toc131823632"/>
      <w:bookmarkStart w:id="71" w:name="_Toc146530155"/>
      <w:r>
        <w:rPr>
          <w:rStyle w:val="CharSectno"/>
        </w:rPr>
        <w:t>10</w:t>
      </w:r>
      <w:r>
        <w:rPr>
          <w:snapToGrid w:val="0"/>
        </w:rPr>
        <w:t>.</w:t>
      </w:r>
      <w:r>
        <w:rPr>
          <w:snapToGrid w:val="0"/>
        </w:rPr>
        <w:tab/>
        <w:t>Preliminary assessment</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1339</w:t>
      </w:r>
      <w:r>
        <w:noBreakHyphen/>
        <w:t>40.]</w:t>
      </w:r>
    </w:p>
    <w:p>
      <w:pPr>
        <w:pStyle w:val="Heading5"/>
        <w:rPr>
          <w:snapToGrid w:val="0"/>
        </w:rPr>
      </w:pPr>
      <w:bookmarkStart w:id="72" w:name="_Toc534108052"/>
      <w:bookmarkStart w:id="73" w:name="_Toc4983148"/>
      <w:bookmarkStart w:id="74" w:name="_Toc131823633"/>
      <w:bookmarkStart w:id="75" w:name="_Toc146530156"/>
      <w:r>
        <w:rPr>
          <w:rStyle w:val="CharSectno"/>
        </w:rPr>
        <w:t>11</w:t>
      </w:r>
      <w:r>
        <w:rPr>
          <w:snapToGrid w:val="0"/>
        </w:rPr>
        <w:t>.</w:t>
      </w:r>
      <w:r>
        <w:rPr>
          <w:snapToGrid w:val="0"/>
        </w:rPr>
        <w:tab/>
        <w:t>Access offer</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r>
        <w:t>the corporation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the corporation’s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access services (called the </w:t>
      </w:r>
      <w:r>
        <w:rPr>
          <w:b/>
          <w:snapToGrid w:val="0"/>
        </w:rPr>
        <w:t>“</w:t>
      </w:r>
      <w:r>
        <w:rPr>
          <w:rStyle w:val="CharDefText"/>
        </w:rPr>
        <w:t>alternative services</w:t>
      </w:r>
      <w:r>
        <w:rPr>
          <w:b/>
          <w:snapToGrid w:val="0"/>
        </w:rPr>
        <w:t>”</w:t>
      </w:r>
      <w:r>
        <w:rPr>
          <w:snapToGrid w:val="0"/>
        </w:rPr>
        <w:t xml:space="preserve">) to those requested in the access application, then </w:t>
      </w:r>
      <w:r>
        <w:t xml:space="preserve">the corporation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12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spacing w:before="120"/>
        <w:rPr>
          <w:snapToGrid w:val="0"/>
        </w:rPr>
      </w:pPr>
      <w:r>
        <w:rPr>
          <w:snapToGrid w:val="0"/>
        </w:rPr>
        <w:tab/>
        <w:t>(8)</w:t>
      </w:r>
      <w:r>
        <w:rPr>
          <w:snapToGrid w:val="0"/>
        </w:rPr>
        <w:tab/>
        <w:t xml:space="preserve">The provision of access services by </w:t>
      </w:r>
      <w:r>
        <w:t xml:space="preserve">a corporation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r>
        <w:t xml:space="preserve">the corporation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r>
        <w:t xml:space="preserve">the corporation </w:t>
      </w:r>
      <w:r>
        <w:rPr>
          <w:snapToGrid w:val="0"/>
        </w:rPr>
        <w:t>gaining the approval of the Minister under section </w:t>
      </w:r>
      <w:r>
        <w:t xml:space="preserve">68 of the </w:t>
      </w:r>
      <w:r>
        <w:rPr>
          <w:i/>
        </w:rPr>
        <w:t>Electricity Corporations Act 2005</w:t>
      </w:r>
      <w:r>
        <w:rPr>
          <w:snapToGrid w:val="0"/>
        </w:rPr>
        <w:t>, if required; and</w:t>
      </w:r>
    </w:p>
    <w:p>
      <w:pPr>
        <w:pStyle w:val="Indenta"/>
        <w:rPr>
          <w:snapToGrid w:val="0"/>
        </w:rPr>
      </w:pPr>
      <w:r>
        <w:rPr>
          <w:snapToGrid w:val="0"/>
        </w:rPr>
        <w:tab/>
        <w:t>(c)</w:t>
      </w:r>
      <w:r>
        <w:rPr>
          <w:snapToGrid w:val="0"/>
        </w:rPr>
        <w:tab/>
        <w:t xml:space="preserve">the entry into of a connection agreement with </w:t>
      </w:r>
      <w:r>
        <w:t xml:space="preserve">the corporation </w:t>
      </w:r>
      <w:r>
        <w:rPr>
          <w:snapToGrid w:val="0"/>
        </w:rPr>
        <w:t xml:space="preserve">by such of the controllers as </w:t>
      </w:r>
      <w:r>
        <w:t xml:space="preserve">the corporation </w:t>
      </w:r>
      <w:r>
        <w:rPr>
          <w:snapToGrid w:val="0"/>
        </w:rPr>
        <w:t>requires in relation to the connection (in form and substance satisfactory to</w:t>
      </w:r>
      <w:r>
        <w:t xml:space="preserve"> the corporation</w:t>
      </w:r>
      <w:r>
        <w:rPr>
          <w:snapToGrid w:val="0"/>
        </w:rPr>
        <w:t xml:space="preserve">, acting reasonably), if the person with which </w:t>
      </w:r>
      <w:r>
        <w:t xml:space="preserve">the corporation </w:t>
      </w:r>
      <w:r>
        <w:rPr>
          <w:snapToGrid w:val="0"/>
        </w:rPr>
        <w:t>enters into the access agreement is not the controller or is not the only controller in respect of a connection which is the subject of the access agreement.</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makes an access offer; and </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 xml:space="preserve">if the applicant chooses not to have </w:t>
      </w:r>
      <w:r>
        <w:t xml:space="preserve">the corporation </w:t>
      </w:r>
      <w:r>
        <w:rPr>
          <w:snapToGrid w:val="0"/>
        </w:rPr>
        <w:t>provide the connection services at the exempt connection, augment the electricity transmission network to the extent necessary to permit the transfer of electricity between the electricity transmission network and the exempt connection; or</w:t>
      </w:r>
    </w:p>
    <w:p>
      <w:pPr>
        <w:pStyle w:val="Indenti"/>
        <w:rPr>
          <w:snapToGrid w:val="0"/>
        </w:rPr>
      </w:pPr>
      <w:r>
        <w:rPr>
          <w:snapToGrid w:val="0"/>
        </w:rPr>
        <w:tab/>
        <w:t>(ii)</w:t>
      </w:r>
      <w:r>
        <w:rPr>
          <w:snapToGrid w:val="0"/>
        </w:rPr>
        <w:tab/>
        <w:t xml:space="preserve">if the applicant chooses to have </w:t>
      </w:r>
      <w:r>
        <w:t xml:space="preserve">the corporation </w:t>
      </w:r>
      <w:r>
        <w:rPr>
          <w:snapToGrid w:val="0"/>
        </w:rPr>
        <w:t>provide the connection services at the exempt connection, augment the electricity transmission network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in Gazette 24 Jun 2005 p. 2753; 31 Mar 2006 p. 1331 and 1338-41.]</w:t>
      </w:r>
    </w:p>
    <w:p>
      <w:pPr>
        <w:pStyle w:val="Heading5"/>
        <w:rPr>
          <w:snapToGrid w:val="0"/>
        </w:rPr>
      </w:pPr>
      <w:bookmarkStart w:id="76" w:name="_Toc534108053"/>
      <w:bookmarkStart w:id="77" w:name="_Toc4983149"/>
      <w:bookmarkStart w:id="78" w:name="_Toc131823634"/>
      <w:bookmarkStart w:id="79" w:name="_Toc146530157"/>
      <w:r>
        <w:rPr>
          <w:rStyle w:val="CharSectno"/>
        </w:rPr>
        <w:t>12</w:t>
      </w:r>
      <w:r>
        <w:rPr>
          <w:snapToGrid w:val="0"/>
        </w:rPr>
        <w:t>.</w:t>
      </w:r>
      <w:r>
        <w:rPr>
          <w:snapToGrid w:val="0"/>
        </w:rPr>
        <w:tab/>
        <w:t>Capital contributions</w:t>
      </w:r>
      <w:bookmarkEnd w:id="76"/>
      <w:bookmarkEnd w:id="77"/>
      <w:bookmarkEnd w:id="78"/>
      <w:bookmarkEnd w:id="79"/>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5 to the Act, and not increase the charges payable by existing users; and</w:t>
      </w:r>
    </w:p>
    <w:p>
      <w:pPr>
        <w:pStyle w:val="Indenti"/>
      </w:pPr>
      <w:r>
        <w:tab/>
        <w:t>(ii)</w:t>
      </w:r>
      <w:r>
        <w:tab/>
        <w:t xml:space="preserve">it has sufficient allocated capital funds to undertake the augmentation, having regard to sections 127 and 128 of the </w:t>
      </w:r>
      <w:r>
        <w:rPr>
          <w:i/>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5 to the Act, and not increase the charges payable by existing users; and</w:t>
      </w:r>
    </w:p>
    <w:p>
      <w:pPr>
        <w:pStyle w:val="Indenti"/>
      </w:pPr>
      <w:r>
        <w:tab/>
        <w:t>(ii)</w:t>
      </w:r>
      <w:r>
        <w:tab/>
        <w:t xml:space="preserve">the division of the corporation responsible for operating its electricity transmission network has sufficient allocated capital funds to undertake the augmentation, having regard to sections 127 and 128 of the </w:t>
      </w:r>
      <w:r>
        <w:rPr>
          <w:i/>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rPr>
          <w:snapToGrid w:val="0"/>
        </w:rPr>
      </w:pPr>
      <w:r>
        <w:rPr>
          <w:snapToGrid w:val="0"/>
        </w:rPr>
        <w:tab/>
        <w:t>(a)</w:t>
      </w:r>
      <w:r>
        <w:rPr>
          <w:snapToGrid w:val="0"/>
        </w:rPr>
        <w:tab/>
      </w:r>
      <w:r>
        <w:t xml:space="preserve">the corporation’s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r>
        <w:t xml:space="preserve">the corporation’s </w:t>
      </w:r>
      <w:r>
        <w:rPr>
          <w:snapToGrid w:val="0"/>
        </w:rPr>
        <w:t>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a corporation</w:t>
      </w:r>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in Gazette 1 Jul 1997 p. 3251</w:t>
      </w:r>
      <w:r>
        <w:noBreakHyphen/>
        <w:t>2; amended in Gazette 28 Dec 2001 p. 6718; 31 Mar 2006 p. 1331</w:t>
      </w:r>
      <w:r>
        <w:noBreakHyphen/>
        <w:t xml:space="preserve">2 and 1338-41.] </w:t>
      </w:r>
    </w:p>
    <w:p>
      <w:pPr>
        <w:pStyle w:val="Heading5"/>
        <w:rPr>
          <w:snapToGrid w:val="0"/>
        </w:rPr>
      </w:pPr>
      <w:bookmarkStart w:id="80" w:name="_Toc534108054"/>
      <w:bookmarkStart w:id="81" w:name="_Toc4983150"/>
      <w:bookmarkStart w:id="82" w:name="_Toc131823635"/>
      <w:bookmarkStart w:id="83" w:name="_Toc146530158"/>
      <w:r>
        <w:rPr>
          <w:rStyle w:val="CharSectno"/>
        </w:rPr>
        <w:t>13</w:t>
      </w:r>
      <w:r>
        <w:rPr>
          <w:snapToGrid w:val="0"/>
        </w:rPr>
        <w:t>.</w:t>
      </w:r>
      <w:r>
        <w:rPr>
          <w:snapToGrid w:val="0"/>
        </w:rPr>
        <w:tab/>
        <w:t>First come first served</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rPr>
        <w:t>first access application</w:t>
      </w:r>
      <w:r>
        <w:rPr>
          <w:b/>
          <w:snapToGrid w:val="0"/>
        </w:rPr>
        <w:t>”</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 xml:space="preserve">a corporation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1338-40.]</w:t>
      </w:r>
    </w:p>
    <w:p>
      <w:pPr>
        <w:pStyle w:val="Heading5"/>
        <w:rPr>
          <w:snapToGrid w:val="0"/>
        </w:rPr>
      </w:pPr>
      <w:bookmarkStart w:id="84" w:name="_Toc534108055"/>
      <w:bookmarkStart w:id="85" w:name="_Toc4983151"/>
      <w:bookmarkStart w:id="86" w:name="_Toc131823636"/>
      <w:bookmarkStart w:id="87" w:name="_Toc146530159"/>
      <w:r>
        <w:rPr>
          <w:rStyle w:val="CharSectno"/>
        </w:rPr>
        <w:t>14</w:t>
      </w:r>
      <w:r>
        <w:rPr>
          <w:snapToGrid w:val="0"/>
        </w:rPr>
        <w:t>.</w:t>
      </w:r>
      <w:r>
        <w:rPr>
          <w:snapToGrid w:val="0"/>
        </w:rPr>
        <w:tab/>
        <w:t>Confidentiality</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access information</w:t>
      </w:r>
      <w:r>
        <w:rPr>
          <w:b/>
        </w:rPr>
        <w:t>”</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a corporation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 xml:space="preserve">or a related body corporate of </w:t>
      </w:r>
      <w:r>
        <w:t xml:space="preserve">the corporation </w:t>
      </w:r>
      <w:r>
        <w:rPr>
          <w:snapToGrid w:val="0"/>
        </w:rPr>
        <w:t xml:space="preserve">who requires the item for the purpose of advising </w:t>
      </w:r>
      <w:r>
        <w:t xml:space="preserve">the corporation </w:t>
      </w:r>
      <w:r>
        <w:rPr>
          <w:snapToGrid w:val="0"/>
        </w:rPr>
        <w:t>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keepNext/>
        <w:keepLines/>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 xml:space="preserve">to the extent reasonably required in connection with </w:t>
      </w:r>
      <w:r>
        <w:t xml:space="preserve">the corporation’s </w:t>
      </w:r>
      <w:r>
        <w:rPr>
          <w:snapToGrid w:val="0"/>
        </w:rPr>
        <w:t xml:space="preserve">financing arrangements, investment in </w:t>
      </w:r>
      <w:r>
        <w:t xml:space="preserve">the corporation </w:t>
      </w:r>
      <w:r>
        <w:rPr>
          <w:snapToGrid w:val="0"/>
        </w:rPr>
        <w:t xml:space="preserve">or a disposal of </w:t>
      </w:r>
      <w:r>
        <w:t xml:space="preserve">the corporation’s </w:t>
      </w:r>
      <w:r>
        <w:rPr>
          <w:snapToGrid w:val="0"/>
        </w:rPr>
        <w:t>assets;</w:t>
      </w:r>
    </w:p>
    <w:p>
      <w:pPr>
        <w:pStyle w:val="Indenti"/>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1338-41.]</w:t>
      </w:r>
    </w:p>
    <w:p>
      <w:pPr>
        <w:pStyle w:val="Heading5"/>
        <w:rPr>
          <w:snapToGrid w:val="0"/>
        </w:rPr>
      </w:pPr>
      <w:bookmarkStart w:id="88" w:name="_Toc534108056"/>
      <w:bookmarkStart w:id="89" w:name="_Toc4983152"/>
      <w:bookmarkStart w:id="90" w:name="_Toc131823637"/>
      <w:bookmarkStart w:id="91" w:name="_Toc146530160"/>
      <w:r>
        <w:rPr>
          <w:rStyle w:val="CharSectno"/>
        </w:rPr>
        <w:t>15</w:t>
      </w:r>
      <w:r>
        <w:rPr>
          <w:snapToGrid w:val="0"/>
        </w:rPr>
        <w:t>.</w:t>
      </w:r>
      <w:r>
        <w:rPr>
          <w:snapToGrid w:val="0"/>
        </w:rPr>
        <w:tab/>
        <w:t>Access agreements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5 to the Act when </w:t>
      </w:r>
      <w:r>
        <w:t xml:space="preserve">the corporation </w:t>
      </w:r>
      <w:r>
        <w:rPr>
          <w:snapToGrid w:val="0"/>
        </w:rPr>
        <w:t>and the person enter into an access agreement.</w:t>
      </w:r>
    </w:p>
    <w:p>
      <w:pPr>
        <w:pStyle w:val="Ednotesubsection"/>
      </w:pPr>
      <w:bookmarkStart w:id="92" w:name="_Toc534108057"/>
      <w:bookmarkStart w:id="93" w:name="_Toc4983153"/>
      <w:r>
        <w:tab/>
        <w:t>[(2)</w:t>
      </w:r>
      <w:r>
        <w:noBreakHyphen/>
        <w:t>(6)</w:t>
      </w:r>
      <w:r>
        <w:tab/>
        <w:t>repealed]</w:t>
      </w:r>
    </w:p>
    <w:p>
      <w:pPr>
        <w:pStyle w:val="Footnotesection"/>
      </w:pPr>
      <w:r>
        <w:tab/>
        <w:t>[Regulation 15 amended in Gazette 20 Jan 2006 p. 377-8; 31 Mar 2006 p. 1332, 1338</w:t>
      </w:r>
      <w:r>
        <w:noBreakHyphen/>
        <w:t>1340.]</w:t>
      </w:r>
    </w:p>
    <w:p>
      <w:pPr>
        <w:pStyle w:val="Heading5"/>
        <w:rPr>
          <w:snapToGrid w:val="0"/>
        </w:rPr>
      </w:pPr>
      <w:bookmarkStart w:id="94" w:name="_Toc131823638"/>
      <w:bookmarkStart w:id="95" w:name="_Toc146530161"/>
      <w:r>
        <w:rPr>
          <w:rStyle w:val="CharSectno"/>
        </w:rPr>
        <w:t>16</w:t>
      </w:r>
      <w:r>
        <w:rPr>
          <w:snapToGrid w:val="0"/>
        </w:rPr>
        <w:t>.</w:t>
      </w:r>
      <w:r>
        <w:rPr>
          <w:snapToGrid w:val="0"/>
        </w:rPr>
        <w:tab/>
        <w:t>Cost of processing access applications</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making an access offer under regulation 11 and negotiating an access agreement.</w:t>
      </w:r>
    </w:p>
    <w:p>
      <w:pPr>
        <w:pStyle w:val="Footnotesection"/>
      </w:pPr>
      <w:r>
        <w:tab/>
        <w:t>[Regulation 16 amended in Gazette 31 Mar 2006 p. 1338-40.]</w:t>
      </w:r>
    </w:p>
    <w:p>
      <w:pPr>
        <w:pStyle w:val="Heading5"/>
        <w:rPr>
          <w:snapToGrid w:val="0"/>
        </w:rPr>
      </w:pPr>
      <w:bookmarkStart w:id="96" w:name="_Toc534108058"/>
      <w:bookmarkStart w:id="97" w:name="_Toc4983154"/>
      <w:bookmarkStart w:id="98" w:name="_Toc131823639"/>
      <w:bookmarkStart w:id="99" w:name="_Toc146530162"/>
      <w:r>
        <w:rPr>
          <w:rStyle w:val="CharSectno"/>
        </w:rPr>
        <w:t>16A</w:t>
      </w:r>
      <w:r>
        <w:rPr>
          <w:snapToGrid w:val="0"/>
        </w:rPr>
        <w:t>.</w:t>
      </w:r>
      <w:r>
        <w:rPr>
          <w:snapToGrid w:val="0"/>
        </w:rPr>
        <w:tab/>
        <w:t>Suspension of time periods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rPr>
        <w:t>.</w:t>
      </w:r>
    </w:p>
    <w:p>
      <w:pPr>
        <w:pStyle w:val="Footnotesection"/>
      </w:pPr>
      <w:r>
        <w:tab/>
        <w:t>[Regulation 16A inserted in Gazette 1 Jul 1997 p. 3252.]</w:t>
      </w:r>
    </w:p>
    <w:p>
      <w:pPr>
        <w:pStyle w:val="Heading2"/>
      </w:pPr>
      <w:bookmarkStart w:id="100" w:name="_Toc92191397"/>
      <w:bookmarkStart w:id="101" w:name="_Toc92191462"/>
      <w:bookmarkStart w:id="102" w:name="_Toc92254579"/>
      <w:bookmarkStart w:id="103" w:name="_Toc107388416"/>
      <w:bookmarkStart w:id="104" w:name="_Toc125447402"/>
      <w:bookmarkStart w:id="105" w:name="_Toc125452815"/>
      <w:bookmarkStart w:id="106" w:name="_Toc131823640"/>
      <w:bookmarkStart w:id="107" w:name="_Toc131823765"/>
      <w:bookmarkStart w:id="108" w:name="_Toc131917337"/>
      <w:bookmarkStart w:id="109" w:name="_Toc135112670"/>
      <w:bookmarkStart w:id="110" w:name="_Toc135207692"/>
      <w:bookmarkStart w:id="111" w:name="_Toc136160909"/>
      <w:bookmarkStart w:id="112" w:name="_Toc138497569"/>
      <w:bookmarkStart w:id="113" w:name="_Toc146527250"/>
      <w:bookmarkStart w:id="114" w:name="_Toc146530163"/>
      <w:r>
        <w:rPr>
          <w:rStyle w:val="CharPartNo"/>
        </w:rPr>
        <w:t>Part 3</w:t>
      </w:r>
      <w:r>
        <w:rPr>
          <w:rStyle w:val="CharDivNo"/>
        </w:rPr>
        <w:t> </w:t>
      </w:r>
      <w:r>
        <w:t>—</w:t>
      </w:r>
      <w:r>
        <w:rPr>
          <w:rStyle w:val="CharDivText"/>
        </w:rPr>
        <w:t> </w:t>
      </w:r>
      <w:r>
        <w:rPr>
          <w:rStyle w:val="CharPartText"/>
        </w:rPr>
        <w:t>Pricing, prices and charges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534108059"/>
      <w:bookmarkStart w:id="116" w:name="_Toc4983155"/>
      <w:bookmarkStart w:id="117" w:name="_Toc131823641"/>
      <w:bookmarkStart w:id="118" w:name="_Toc146530164"/>
      <w:r>
        <w:rPr>
          <w:rStyle w:val="CharSectno"/>
        </w:rPr>
        <w:t>17</w:t>
      </w:r>
      <w:r>
        <w:rPr>
          <w:snapToGrid w:val="0"/>
        </w:rPr>
        <w:t>.</w:t>
      </w:r>
      <w:r>
        <w:rPr>
          <w:snapToGrid w:val="0"/>
        </w:rPr>
        <w:tab/>
        <w:t>Pricing methods and prices</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 xml:space="preserve">Before </w:t>
      </w:r>
      <w:r>
        <w:t xml:space="preserve">a corporation </w:t>
      </w:r>
      <w:r>
        <w:rPr>
          <w:snapToGrid w:val="0"/>
        </w:rPr>
        <w:t>adopts pricing methods under clause 6(2) of Schedule 5 to the Act or determines prices to be paid by users, it must — </w:t>
      </w:r>
    </w:p>
    <w:p>
      <w:pPr>
        <w:pStyle w:val="Indenta"/>
        <w:rPr>
          <w:snapToGrid w:val="0"/>
        </w:rPr>
      </w:pPr>
      <w:r>
        <w:rPr>
          <w:snapToGrid w:val="0"/>
        </w:rPr>
        <w:tab/>
        <w:t>(a)</w:t>
      </w:r>
      <w:r>
        <w:rPr>
          <w:snapToGrid w:val="0"/>
        </w:rPr>
        <w:tab/>
        <w:t xml:space="preserve">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Footnotesection"/>
      </w:pPr>
      <w:r>
        <w:tab/>
        <w:t>[Regulation 17 amended in Gazette 31 Mar 2006 p. 1338</w:t>
      </w:r>
      <w:r>
        <w:noBreakHyphen/>
        <w:t>9.]</w:t>
      </w:r>
    </w:p>
    <w:p>
      <w:pPr>
        <w:pStyle w:val="Heading5"/>
        <w:rPr>
          <w:snapToGrid w:val="0"/>
        </w:rPr>
      </w:pPr>
      <w:bookmarkStart w:id="119" w:name="_Toc534108060"/>
      <w:bookmarkStart w:id="120" w:name="_Toc4983156"/>
      <w:bookmarkStart w:id="121" w:name="_Toc131823642"/>
      <w:bookmarkStart w:id="122" w:name="_Toc146530165"/>
      <w:r>
        <w:rPr>
          <w:rStyle w:val="CharSectno"/>
        </w:rPr>
        <w:t>18</w:t>
      </w:r>
      <w:r>
        <w:rPr>
          <w:snapToGrid w:val="0"/>
        </w:rPr>
        <w:t>.</w:t>
      </w:r>
      <w:r>
        <w:rPr>
          <w:snapToGrid w:val="0"/>
        </w:rPr>
        <w:tab/>
        <w:t>Charges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r>
        <w:t xml:space="preserve">a corporation </w:t>
      </w:r>
      <w:r>
        <w:rPr>
          <w:snapToGrid w:val="0"/>
        </w:rPr>
        <w:t xml:space="preserve">of providing the access services under the access agreement which was not contemplated at the time the access agreement was entered into, 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w:t>
      </w:r>
    </w:p>
    <w:p>
      <w:pPr>
        <w:pStyle w:val="Footnotesection"/>
      </w:pPr>
      <w:r>
        <w:tab/>
        <w:t>[Regulation 18 amended in Gazette 31 Mar 2006 p. 1338-40.]</w:t>
      </w:r>
    </w:p>
    <w:p>
      <w:pPr>
        <w:pStyle w:val="Heading2"/>
      </w:pPr>
      <w:bookmarkStart w:id="123" w:name="_Toc92191400"/>
      <w:bookmarkStart w:id="124" w:name="_Toc92191465"/>
      <w:bookmarkStart w:id="125" w:name="_Toc92254582"/>
      <w:bookmarkStart w:id="126" w:name="_Toc107388419"/>
      <w:bookmarkStart w:id="127" w:name="_Toc125447405"/>
      <w:bookmarkStart w:id="128" w:name="_Toc125452818"/>
      <w:bookmarkStart w:id="129" w:name="_Toc131823643"/>
      <w:bookmarkStart w:id="130" w:name="_Toc131823768"/>
      <w:bookmarkStart w:id="131" w:name="_Toc131917340"/>
      <w:bookmarkStart w:id="132" w:name="_Toc135112673"/>
      <w:bookmarkStart w:id="133" w:name="_Toc135207695"/>
      <w:bookmarkStart w:id="134" w:name="_Toc136160912"/>
      <w:bookmarkStart w:id="135" w:name="_Toc138497572"/>
      <w:bookmarkStart w:id="136" w:name="_Toc146527253"/>
      <w:bookmarkStart w:id="137" w:name="_Toc146530166"/>
      <w:r>
        <w:rPr>
          <w:rStyle w:val="CharPartNo"/>
        </w:rPr>
        <w:t>Part 4</w:t>
      </w:r>
      <w:r>
        <w:rPr>
          <w:rStyle w:val="CharDivNo"/>
        </w:rPr>
        <w:t> </w:t>
      </w:r>
      <w:r>
        <w:t>—</w:t>
      </w:r>
      <w:r>
        <w:rPr>
          <w:rStyle w:val="CharDivText"/>
        </w:rPr>
        <w:t> </w:t>
      </w:r>
      <w:r>
        <w:rPr>
          <w:rStyle w:val="CharPartText"/>
        </w:rPr>
        <w:t>Balancing</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pPr>
      <w:bookmarkStart w:id="138" w:name="_Toc146530167"/>
      <w:bookmarkStart w:id="139" w:name="_Toc534108061"/>
      <w:bookmarkStart w:id="140" w:name="_Toc4983157"/>
      <w:bookmarkStart w:id="141" w:name="_Toc131823644"/>
      <w:r>
        <w:rPr>
          <w:rStyle w:val="CharSectno"/>
        </w:rPr>
        <w:t>18A.</w:t>
      </w:r>
      <w:r>
        <w:rPr>
          <w:rStyle w:val="CharSectno"/>
        </w:rPr>
        <w:tab/>
        <w:t>Application of Part modified for wholesale</w:t>
      </w:r>
      <w:r>
        <w:t xml:space="preserve"> electricity market</w:t>
      </w:r>
      <w:bookmarkEnd w:id="138"/>
    </w:p>
    <w:p>
      <w:pPr>
        <w:pStyle w:val="Subsection"/>
      </w:pPr>
      <w:r>
        <w:tab/>
        <w:t>(1)</w:t>
      </w:r>
      <w:r>
        <w:tab/>
        <w:t xml:space="preserve">In this regulation — </w:t>
      </w:r>
    </w:p>
    <w:p>
      <w:pPr>
        <w:pStyle w:val="Defstart"/>
      </w:pPr>
      <w:r>
        <w:rPr>
          <w:b/>
        </w:rPr>
        <w:tab/>
        <w:t>“</w:t>
      </w:r>
      <w:r>
        <w:rPr>
          <w:rStyle w:val="CharDefText"/>
        </w:rPr>
        <w:t>market rules</w:t>
      </w:r>
      <w:r>
        <w:rPr>
          <w:b/>
        </w:rPr>
        <w:t>”</w:t>
      </w:r>
      <w:r>
        <w:t xml:space="preserve"> means the market rules made under the </w:t>
      </w:r>
      <w:r>
        <w:rPr>
          <w:i/>
        </w:rPr>
        <w:t>Electricity Industry Act 2004</w:t>
      </w:r>
      <w:r>
        <w:t xml:space="preserve"> Part 9;</w:t>
      </w:r>
    </w:p>
    <w:p>
      <w:pPr>
        <w:pStyle w:val="Defstart"/>
      </w:pPr>
      <w:r>
        <w:rPr>
          <w:b/>
        </w:rPr>
        <w:tab/>
        <w:t>“</w:t>
      </w:r>
      <w:r>
        <w:rPr>
          <w:rStyle w:val="CharDefText"/>
        </w:rPr>
        <w:t>wholesale electricity market commencement</w:t>
      </w:r>
      <w:r>
        <w:rPr>
          <w:b/>
        </w:rPr>
        <w:t>”</w:t>
      </w:r>
      <w:r>
        <w:t xml:space="preserve"> means the time at which the first trading day under the market rules commences.</w:t>
      </w:r>
    </w:p>
    <w:p>
      <w:pPr>
        <w:pStyle w:val="Subsection"/>
      </w:pPr>
      <w:r>
        <w:tab/>
        <w:t>(2)</w:t>
      </w:r>
      <w:r>
        <w:tab/>
        <w:t>After wholesale electricity market commencement this Part (other than regulation 24) does not apply to, or in relation to, a user if the user’s access agreement relates to any part of the South West interconnected system.</w:t>
      </w:r>
    </w:p>
    <w:p>
      <w:pPr>
        <w:pStyle w:val="Footnotesection"/>
      </w:pPr>
      <w:r>
        <w:tab/>
        <w:t>[Regulation 18A inserted in Gazette 25 Aug 2006 p. 3498.]</w:t>
      </w:r>
    </w:p>
    <w:p>
      <w:pPr>
        <w:pStyle w:val="Heading5"/>
        <w:rPr>
          <w:snapToGrid w:val="0"/>
        </w:rPr>
      </w:pPr>
      <w:bookmarkStart w:id="142" w:name="_Toc146530168"/>
      <w:r>
        <w:rPr>
          <w:rStyle w:val="CharSectno"/>
        </w:rPr>
        <w:t>19</w:t>
      </w:r>
      <w:r>
        <w:rPr>
          <w:snapToGrid w:val="0"/>
        </w:rPr>
        <w:t>.</w:t>
      </w:r>
      <w:r>
        <w:rPr>
          <w:snapToGrid w:val="0"/>
        </w:rPr>
        <w:tab/>
        <w:t>Standby arrangements</w:t>
      </w:r>
      <w:bookmarkEnd w:id="139"/>
      <w:bookmarkEnd w:id="140"/>
      <w:bookmarkEnd w:id="141"/>
      <w:bookmarkEnd w:id="142"/>
      <w:r>
        <w:rPr>
          <w:snapToGrid w:val="0"/>
        </w:rPr>
        <w:t xml:space="preserve"> </w:t>
      </w:r>
    </w:p>
    <w:p>
      <w:pPr>
        <w:pStyle w:val="Ednotesubsection"/>
      </w:pPr>
      <w:r>
        <w:tab/>
        <w:t>[(1a)</w:t>
      </w:r>
      <w:r>
        <w:tab/>
        <w:t>repealed]</w:t>
      </w:r>
    </w:p>
    <w:p>
      <w:pPr>
        <w:pStyle w:val="Subsection"/>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bookmarkStart w:id="143" w:name="_Toc534108063"/>
      <w:bookmarkStart w:id="144" w:name="_Toc4983159"/>
      <w:r>
        <w:tab/>
        <w:t>[Regulation 19 amended in Gazette 24 Jun 2005 p. 2753; 31 Mar 2006 p. 1332; 25 Aug 2006 p. 3498.]</w:t>
      </w:r>
    </w:p>
    <w:p>
      <w:pPr>
        <w:pStyle w:val="Heading5"/>
      </w:pPr>
      <w:bookmarkStart w:id="145" w:name="_Toc131823645"/>
      <w:bookmarkStart w:id="146" w:name="_Toc146530169"/>
      <w:r>
        <w:rPr>
          <w:rStyle w:val="CharSectno"/>
        </w:rPr>
        <w:t>20</w:t>
      </w:r>
      <w:r>
        <w:t>.</w:t>
      </w:r>
      <w:r>
        <w:tab/>
        <w:t>Loss factors</w:t>
      </w:r>
      <w:bookmarkEnd w:id="145"/>
      <w:bookmarkEnd w:id="146"/>
    </w:p>
    <w:p>
      <w:pPr>
        <w:pStyle w:val="Ednotesubsection"/>
      </w:pPr>
      <w:r>
        <w:tab/>
        <w:t>[(1a)</w:t>
      </w:r>
      <w:r>
        <w:tab/>
        <w:t>repealed]</w:t>
      </w:r>
    </w:p>
    <w:p>
      <w:pPr>
        <w:pStyle w:val="Subsection"/>
        <w:keepNext/>
        <w:keepLines/>
      </w:pPr>
      <w:r>
        <w:tab/>
        <w:t>(1)</w:t>
      </w:r>
      <w:r>
        <w:tab/>
        <w:t xml:space="preserve">In this regulation — </w:t>
      </w:r>
    </w:p>
    <w:p>
      <w:pPr>
        <w:pStyle w:val="Defstart"/>
      </w:pPr>
      <w:r>
        <w:rPr>
          <w:b/>
        </w:rPr>
        <w:tab/>
        <w:t>“</w:t>
      </w:r>
      <w:r>
        <w:rPr>
          <w:rStyle w:val="CharDefText"/>
        </w:rPr>
        <w:t>Prices and Charges Paper</w:t>
      </w:r>
      <w:r>
        <w:rPr>
          <w:b/>
        </w:rPr>
        <w:t>”</w:t>
      </w:r>
      <w:r>
        <w:t xml:space="preserve"> means a document prepared by the Regional Power Corporation containing details of pricing methods referred to in clause 6(3)(c) of Schedule 5 to the Act.</w:t>
      </w:r>
    </w:p>
    <w:p>
      <w:pPr>
        <w:pStyle w:val="Subsection"/>
        <w:keepNext/>
        <w:keepLines/>
      </w:pPr>
      <w:r>
        <w:tab/>
        <w:t>(1a)</w:t>
      </w:r>
      <w:r>
        <w:tab/>
        <w:t xml:space="preserve">In the case of the electricity transmission network operated by the Electricity Networks Corporation, the loss factor for a particular connection or a connection of a particular class, is the loss factor (as defined in the market rules made under the </w:t>
      </w:r>
      <w:r>
        <w:rPr>
          <w:i/>
        </w:rPr>
        <w:t>Electricity Industry Act 2004</w:t>
      </w:r>
      <w:r>
        <w:t xml:space="preserve"> Part 9) for that connection or class.</w:t>
      </w:r>
    </w:p>
    <w:p>
      <w:pPr>
        <w:pStyle w:val="Subsection"/>
      </w:pPr>
      <w:r>
        <w:tab/>
        <w:t>(2)</w:t>
      </w:r>
      <w:r>
        <w:tab/>
        <w:t>In the case of any electricity transmission network operated by the Regional Power Corporation, 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The Regional Power Corporation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Before the Regional Power Corporation —</w:t>
      </w:r>
    </w:p>
    <w:p>
      <w:pPr>
        <w:pStyle w:val="Indenta"/>
      </w:pPr>
      <w:r>
        <w:tab/>
        <w:t>(a)</w:t>
      </w:r>
      <w:r>
        <w:tab/>
        <w:t>makes an amendment of a kind described in subregulation (4); or</w:t>
      </w:r>
    </w:p>
    <w:p>
      <w:pPr>
        <w:pStyle w:val="Indenta"/>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keepNext/>
        <w:keepLines/>
      </w:pPr>
      <w:r>
        <w:tab/>
        <w:t>(7)</w:t>
      </w:r>
      <w:r>
        <w:tab/>
        <w:t>The Regional Power Corporation must review annually the loss factors specified in the Prices and Charges Paper.</w:t>
      </w:r>
    </w:p>
    <w:p>
      <w:pPr>
        <w:pStyle w:val="Footnotesection"/>
      </w:pPr>
      <w:r>
        <w:tab/>
        <w:t>[Regulation 20 inserted in Gazette 29 Oct 2002 p. 5343-4; amended in Gazette 24 Jun 2005 p. 2753; 31 Mar 2006 p. 1333 and 1338-9; 25 Aug 2006 p. 3498</w:t>
      </w:r>
      <w:r>
        <w:noBreakHyphen/>
        <w:t>9.]</w:t>
      </w:r>
    </w:p>
    <w:p>
      <w:pPr>
        <w:pStyle w:val="Heading5"/>
        <w:rPr>
          <w:snapToGrid w:val="0"/>
        </w:rPr>
      </w:pPr>
      <w:bookmarkStart w:id="147" w:name="_Toc131823646"/>
      <w:bookmarkStart w:id="148" w:name="_Toc146530170"/>
      <w:r>
        <w:rPr>
          <w:rStyle w:val="CharSectno"/>
        </w:rPr>
        <w:t>21</w:t>
      </w:r>
      <w:r>
        <w:rPr>
          <w:snapToGrid w:val="0"/>
        </w:rPr>
        <w:t>.</w:t>
      </w:r>
      <w:r>
        <w:rPr>
          <w:snapToGrid w:val="0"/>
        </w:rPr>
        <w:tab/>
        <w:t>Interpretation of regulations 22, 23 and 25</w:t>
      </w:r>
      <w:bookmarkEnd w:id="143"/>
      <w:bookmarkEnd w:id="144"/>
      <w:bookmarkEnd w:id="147"/>
      <w:bookmarkEnd w:id="148"/>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b/>
          <w:snapToGrid w:val="0"/>
        </w:rPr>
        <w:t>“</w:t>
      </w:r>
      <w:r>
        <w:rPr>
          <w:rStyle w:val="CharDefText"/>
        </w:rPr>
        <w:t>group of connections</w:t>
      </w:r>
      <w:r>
        <w:rPr>
          <w:b/>
          <w:snapToGrid w:val="0"/>
        </w:rPr>
        <w:t>”</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r>
        <w:t xml:space="preserve">the Electricity Generation Corporation </w:t>
      </w:r>
      <w:r>
        <w:rPr>
          <w:snapToGrid w:val="0"/>
        </w:rPr>
        <w:t>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b/>
          <w:snapToGrid w:val="0"/>
        </w:rPr>
        <w:t>“</w:t>
      </w:r>
      <w:r>
        <w:rPr>
          <w:rStyle w:val="CharDefText"/>
        </w:rPr>
        <w:t>energy entry amount</w:t>
      </w:r>
      <w:r>
        <w:rPr>
          <w:b/>
          <w:snapToGrid w:val="0"/>
        </w:rPr>
        <w:t>”</w:t>
      </w:r>
      <w:r>
        <w:rPr>
          <w:snapToGrid w:val="0"/>
        </w:rPr>
        <w:t xml:space="preserve"> for the group of connections in respect of an access agreement for a period is determined by applying the following formula:</w:t>
      </w:r>
    </w:p>
    <w:p>
      <w:pPr>
        <w:pStyle w:val="Equation"/>
        <w:ind w:firstLine="1560"/>
        <w:rPr>
          <w:snapToGrid w:val="0"/>
        </w:rPr>
      </w:pPr>
      <w:r>
        <w:rPr>
          <w:position w:val="-38"/>
          <w:sz w:val="20"/>
        </w:rPr>
        <w:object w:dxaOrig="332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o:ole="" fillcolor="window">
            <v:imagedata r:id="rId20" o:title=""/>
          </v:shape>
          <o:OLEObject Type="Embed" ProgID="Equation.3" ShapeID="_x0000_i1025" DrawAspect="Content" ObjectID="_1643722780" r:id="rId21"/>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keepNext/>
        <w:keepLines/>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b/>
          <w:snapToGrid w:val="0"/>
        </w:rPr>
        <w:t>“</w:t>
      </w:r>
      <w:r>
        <w:rPr>
          <w:rStyle w:val="CharDefText"/>
        </w:rPr>
        <w:t>energy exit amount</w:t>
      </w:r>
      <w:r>
        <w:rPr>
          <w:b/>
          <w:snapToGrid w:val="0"/>
        </w:rPr>
        <w:t>”</w:t>
      </w:r>
      <w:r>
        <w:rPr>
          <w:snapToGrid w:val="0"/>
        </w:rPr>
        <w:t xml:space="preserve"> for the group of connections in respect of a user’s access agreement for a period is determined by applying the following formula:</w:t>
      </w:r>
    </w:p>
    <w:p>
      <w:pPr>
        <w:pStyle w:val="Equation"/>
        <w:ind w:left="896" w:firstLine="720"/>
        <w:rPr>
          <w:snapToGrid w:val="0"/>
        </w:rPr>
      </w:pPr>
      <w:r>
        <w:rPr>
          <w:position w:val="-34"/>
          <w:sz w:val="20"/>
        </w:rPr>
        <w:object w:dxaOrig="3220" w:dyaOrig="800">
          <v:shape id="_x0000_i1026" type="#_x0000_t75" style="width:161.25pt;height:39.75pt" o:ole="" fillcolor="window">
            <v:imagedata r:id="rId22" o:title=""/>
          </v:shape>
          <o:OLEObject Type="Embed" ProgID="Equation.3" ShapeID="_x0000_i1026" DrawAspect="Content" ObjectID="_1643722781" r:id="rId23"/>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keepNext/>
        <w:keepLines/>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60"/>
        <w:ind w:left="890" w:hanging="890"/>
      </w:pPr>
      <w:r>
        <w:tab/>
        <w:t>[Regulation 21 amended in Gazette 28 Dec 2001 p. 6718; 22 Jun 2004 p. 2166; 31 Mar 2006 p. 1333.]</w:t>
      </w:r>
    </w:p>
    <w:p>
      <w:pPr>
        <w:pStyle w:val="Heading5"/>
        <w:rPr>
          <w:snapToGrid w:val="0"/>
        </w:rPr>
      </w:pPr>
      <w:bookmarkStart w:id="149" w:name="_Toc534108064"/>
      <w:bookmarkStart w:id="150" w:name="_Toc4983160"/>
      <w:bookmarkStart w:id="151" w:name="_Toc131823647"/>
      <w:bookmarkStart w:id="152" w:name="_Toc146530171"/>
      <w:r>
        <w:rPr>
          <w:rStyle w:val="CharSectno"/>
        </w:rPr>
        <w:t>22</w:t>
      </w:r>
      <w:r>
        <w:rPr>
          <w:snapToGrid w:val="0"/>
        </w:rPr>
        <w:t>.</w:t>
      </w:r>
      <w:r>
        <w:rPr>
          <w:snapToGrid w:val="0"/>
        </w:rPr>
        <w:tab/>
        <w:t>Balancing</w:t>
      </w:r>
      <w:bookmarkEnd w:id="149"/>
      <w:bookmarkEnd w:id="150"/>
      <w:bookmarkEnd w:id="151"/>
      <w:bookmarkEnd w:id="152"/>
      <w:r>
        <w:rPr>
          <w:snapToGrid w:val="0"/>
        </w:rPr>
        <w:t xml:space="preserve"> </w:t>
      </w:r>
    </w:p>
    <w:p>
      <w:pPr>
        <w:pStyle w:val="Ednotesubsection"/>
      </w:pPr>
      <w:r>
        <w:tab/>
        <w:t>[(1a),(1aa)</w:t>
      </w:r>
      <w:r>
        <w:tab/>
        <w:t>repealed]</w:t>
      </w:r>
    </w:p>
    <w:p>
      <w:pPr>
        <w:pStyle w:val="Subsection"/>
        <w:spacing w:before="180"/>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spacing w:before="200"/>
        <w:rPr>
          <w:snapToGrid w:val="0"/>
        </w:rPr>
      </w:pPr>
      <w:r>
        <w:rPr>
          <w:snapToGrid w:val="0"/>
        </w:rPr>
        <w:tab/>
        <w:t>(2)</w:t>
      </w:r>
      <w:r>
        <w:rPr>
          <w:snapToGrid w:val="0"/>
        </w:rPr>
        <w:tab/>
        <w:t xml:space="preserve">For the purposes of subregulation (3), the </w:t>
      </w:r>
      <w:r>
        <w:rPr>
          <w:b/>
          <w:snapToGrid w:val="0"/>
        </w:rPr>
        <w:t>“</w:t>
      </w:r>
      <w:r>
        <w:rPr>
          <w:rStyle w:val="CharDefText"/>
        </w:rPr>
        <w:t>revised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159" w:firstLine="720"/>
      </w:pPr>
      <w:r>
        <w:rPr>
          <w:position w:val="-24"/>
          <w:sz w:val="20"/>
        </w:rPr>
        <w:object w:dxaOrig="2940" w:dyaOrig="620">
          <v:shape id="_x0000_i1027" type="#_x0000_t75" style="width:147pt;height:30.75pt" o:ole="" fillcolor="window">
            <v:imagedata r:id="rId24" o:title=""/>
          </v:shape>
          <o:OLEObject Type="Embed" ProgID="Equation.3" ShapeID="_x0000_i1027" DrawAspect="Content" ObjectID="_1643722782" r:id="rId25"/>
        </w:obje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rPr>
          <w:snapToGrid w:val="0"/>
        </w:rPr>
      </w:pPr>
      <w:r>
        <w:rPr>
          <w:snapToGrid w:val="0"/>
        </w:rPr>
        <w:tab/>
        <w:t>(6)</w:t>
      </w:r>
      <w:r>
        <w:rPr>
          <w:snapToGrid w:val="0"/>
        </w:rPr>
        <w:tab/>
        <w:t xml:space="preserve">For the purposes of subregulation (7), the </w:t>
      </w:r>
      <w:r>
        <w:rPr>
          <w:b/>
          <w:snapToGrid w:val="0"/>
        </w:rPr>
        <w:t>“</w:t>
      </w:r>
      <w:r>
        <w:rPr>
          <w:rStyle w:val="CharDefText"/>
        </w:rPr>
        <w:t>adjusted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keepNext/>
        <w:keepLines/>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firstLine="851"/>
      </w:pPr>
      <w:r>
        <w:rPr>
          <w:position w:val="-24"/>
          <w:sz w:val="20"/>
        </w:rPr>
        <w:object w:dxaOrig="2600" w:dyaOrig="620">
          <v:shape id="_x0000_i1028" type="#_x0000_t75" style="width:129.75pt;height:30.75pt" o:ole="" fillcolor="window">
            <v:imagedata r:id="rId26" o:title=""/>
          </v:shape>
          <o:OLEObject Type="Embed" ProgID="Equation.3" ShapeID="_x0000_i1028" DrawAspect="Content" ObjectID="_1643722783" r:id="rId27"/>
        </w:object>
      </w:r>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access agreement for the month;</w:t>
      </w:r>
    </w:p>
    <w:p>
      <w:pPr>
        <w:pStyle w:val="Indenta"/>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22 amended in Gazette 28 Dec 2001 p. 6718; 22 Jun 2004 p. 2167; 24 Jun 2005 p. 2753; 31 Mar 2006 p. 1333; 25 Aug 2006 p. 3499.]</w:t>
      </w:r>
    </w:p>
    <w:p>
      <w:pPr>
        <w:pStyle w:val="Heading5"/>
        <w:rPr>
          <w:snapToGrid w:val="0"/>
        </w:rPr>
      </w:pPr>
      <w:bookmarkStart w:id="153" w:name="_Toc534108065"/>
      <w:bookmarkStart w:id="154" w:name="_Toc4983161"/>
      <w:bookmarkStart w:id="155" w:name="_Toc131823648"/>
      <w:bookmarkStart w:id="156" w:name="_Toc146530172"/>
      <w:r>
        <w:rPr>
          <w:rStyle w:val="CharSectno"/>
        </w:rPr>
        <w:t>23</w:t>
      </w:r>
      <w:r>
        <w:rPr>
          <w:snapToGrid w:val="0"/>
        </w:rPr>
        <w:t>.</w:t>
      </w:r>
      <w:r>
        <w:rPr>
          <w:snapToGrid w:val="0"/>
        </w:rPr>
        <w:tab/>
        <w:t>Excess standby generation charge</w:t>
      </w:r>
      <w:bookmarkEnd w:id="153"/>
      <w:bookmarkEnd w:id="154"/>
      <w:bookmarkEnd w:id="155"/>
      <w:bookmarkEnd w:id="156"/>
      <w:r>
        <w:rPr>
          <w:snapToGrid w:val="0"/>
        </w:rPr>
        <w:t xml:space="preserve"> </w:t>
      </w:r>
    </w:p>
    <w:p>
      <w:pPr>
        <w:pStyle w:val="Ednotesubsection"/>
      </w:pPr>
      <w:r>
        <w:tab/>
        <w:t>[(1a),(1aa)</w:t>
      </w:r>
      <w:r>
        <w:tab/>
        <w:t>repealed]</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rPr>
        <w:t>demand exit rate</w:t>
      </w:r>
      <w:r>
        <w:rPr>
          <w:b/>
          <w:snapToGrid w:val="0"/>
        </w:rPr>
        <w:t>”</w:t>
      </w:r>
      <w:r>
        <w:rPr>
          <w:snapToGrid w:val="0"/>
        </w:rPr>
        <w:t xml:space="preserve"> for the group of connections in respect of a user’s access agreement for a half hour is determined by applying the following formula:</w:t>
      </w:r>
    </w:p>
    <w:p>
      <w:pPr>
        <w:pStyle w:val="Equation"/>
        <w:ind w:left="896" w:firstLine="720"/>
      </w:pPr>
      <w:r>
        <w:rPr>
          <w:position w:val="-28"/>
          <w:sz w:val="20"/>
        </w:rPr>
        <w:object w:dxaOrig="3140" w:dyaOrig="680">
          <v:shape id="_x0000_i1029" type="#_x0000_t75" style="width:156.75pt;height:33.75pt" o:ole="" fillcolor="window">
            <v:imagedata r:id="rId28" o:title=""/>
          </v:shape>
          <o:OLEObject Type="Embed" ProgID="Equation.3" ShapeID="_x0000_i1029" DrawAspect="Content" ObjectID="_1643722784" r:id="rId29"/>
        </w:obje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keepNext/>
        <w:keepLines/>
        <w:rPr>
          <w:snapToGrid w:val="0"/>
        </w:rPr>
      </w:pPr>
      <w:r>
        <w:rPr>
          <w:snapToGrid w:val="0"/>
        </w:rPr>
        <w:tab/>
        <w:t>(b)</w:t>
      </w:r>
      <w:r>
        <w:rPr>
          <w:snapToGrid w:val="0"/>
        </w:rPr>
        <w:tab/>
        <w:t xml:space="preserve">the </w:t>
      </w:r>
      <w:r>
        <w:rPr>
          <w:b/>
          <w:snapToGrid w:val="0"/>
        </w:rPr>
        <w:t>“</w:t>
      </w:r>
      <w:r>
        <w:rPr>
          <w:rStyle w:val="CharDefText"/>
        </w:rPr>
        <w:t>demand entry rate</w:t>
      </w:r>
      <w:r>
        <w:rPr>
          <w:b/>
          <w:snapToGrid w:val="0"/>
        </w:rPr>
        <w:t>”</w:t>
      </w:r>
      <w:r>
        <w:rPr>
          <w:snapToGrid w:val="0"/>
        </w:rPr>
        <w:t xml:space="preserve"> for the group of connections in respect of an access agreement for a half hour is determined by applying the following formula:</w:t>
      </w:r>
    </w:p>
    <w:p>
      <w:pPr>
        <w:pStyle w:val="Equation"/>
        <w:ind w:left="896" w:firstLine="720"/>
      </w:pPr>
      <w:r>
        <w:rPr>
          <w:position w:val="-32"/>
          <w:sz w:val="20"/>
        </w:rPr>
        <w:object w:dxaOrig="3220" w:dyaOrig="740">
          <v:shape id="_x0000_i1030" type="#_x0000_t75" style="width:161.25pt;height:36.75pt" o:ole="" fillcolor="window">
            <v:imagedata r:id="rId30" o:title=""/>
          </v:shape>
          <o:OLEObject Type="Embed" ProgID="Equation.3" ShapeID="_x0000_i1030" DrawAspect="Content" ObjectID="_1643722785" r:id="rId31"/>
        </w:object>
      </w:r>
    </w:p>
    <w:p>
      <w:pPr>
        <w:pStyle w:val="Indenta"/>
        <w:rPr>
          <w:snapToGrid w:val="0"/>
        </w:rPr>
      </w:pPr>
      <w:r>
        <w:rPr>
          <w:snapToGrid w:val="0"/>
        </w:rPr>
        <w:tab/>
      </w:r>
      <w:r>
        <w:rPr>
          <w:snapToGrid w:val="0"/>
        </w:rPr>
        <w:tab/>
        <w:t>where — </w:t>
      </w:r>
    </w:p>
    <w:p>
      <w:pPr>
        <w:pStyle w:val="Indenti"/>
        <w:rPr>
          <w:snapToGrid w:val="0"/>
        </w:rPr>
      </w:pPr>
      <w:r>
        <w:rPr>
          <w:snapToGrid w:val="0"/>
        </w:rPr>
        <w:tab/>
        <w:t>DER</w:t>
      </w:r>
      <w:r>
        <w:rPr>
          <w:snapToGrid w:val="0"/>
        </w:rPr>
        <w:tab/>
        <w:t>(in kW) is the demand entry rate for the group of connections in respect of the access agreement for the half hour;</w:t>
      </w:r>
    </w:p>
    <w:p>
      <w:pPr>
        <w:pStyle w:val="Indenti"/>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rPr>
        <w:t>standby generation reservation</w:t>
      </w:r>
      <w:r>
        <w:rPr>
          <w:b/>
          <w:snapToGrid w:val="0"/>
        </w:rPr>
        <w:t>”</w:t>
      </w:r>
      <w:r>
        <w:rPr>
          <w:snapToGrid w:val="0"/>
        </w:rPr>
        <w:t xml:space="preserve"> (in kW) for a group of connections is the aggregate rate at which </w:t>
      </w:r>
      <w:r>
        <w:t xml:space="preserve">the Electricity Generation Corporation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b/>
          <w:snapToGrid w:val="0"/>
        </w:rPr>
        <w:t>“</w:t>
      </w:r>
      <w:r>
        <w:rPr>
          <w:rStyle w:val="CharDefText"/>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pPr>
      <w:r>
        <w:rPr>
          <w:position w:val="-28"/>
          <w:sz w:val="20"/>
        </w:rPr>
        <w:object w:dxaOrig="2380" w:dyaOrig="680">
          <v:shape id="_x0000_i1031" type="#_x0000_t75" style="width:119.25pt;height:33.75pt" o:ole="" fillcolor="window">
            <v:imagedata r:id="rId32" o:title=""/>
          </v:shape>
          <o:OLEObject Type="Embed" ProgID="Equation.3" ShapeID="_x0000_i1031" DrawAspect="Content" ObjectID="_1643722786" r:id="rId33"/>
        </w:obje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23 amended in Gazette 28 Dec 2001 p. 6718; 22 Jun 2004 p. 2167; 24 Jun 2005 p. 2753-4; 31 Mar 2006 p. 1333; 25 Aug 2006 p. 3499.]</w:t>
      </w:r>
    </w:p>
    <w:p>
      <w:pPr>
        <w:pStyle w:val="Heading5"/>
        <w:rPr>
          <w:snapToGrid w:val="0"/>
        </w:rPr>
      </w:pPr>
      <w:bookmarkStart w:id="157" w:name="_Toc534108066"/>
      <w:bookmarkStart w:id="158" w:name="_Toc4983162"/>
      <w:bookmarkStart w:id="159" w:name="_Toc131823649"/>
      <w:bookmarkStart w:id="160" w:name="_Toc146530173"/>
      <w:r>
        <w:rPr>
          <w:rStyle w:val="CharSectno"/>
        </w:rPr>
        <w:t>24</w:t>
      </w:r>
      <w:r>
        <w:rPr>
          <w:snapToGrid w:val="0"/>
        </w:rPr>
        <w:t>.</w:t>
      </w:r>
      <w:r>
        <w:rPr>
          <w:snapToGrid w:val="0"/>
        </w:rPr>
        <w:tab/>
        <w:t>Excess network usage charge</w:t>
      </w:r>
      <w:bookmarkEnd w:id="157"/>
      <w:bookmarkEnd w:id="158"/>
      <w:bookmarkEnd w:id="159"/>
      <w:bookmarkEnd w:id="160"/>
      <w:r>
        <w:rPr>
          <w:snapToGrid w:val="0"/>
        </w:rPr>
        <w:t xml:space="preserve"> </w:t>
      </w:r>
    </w:p>
    <w:p>
      <w:pPr>
        <w:pStyle w:val="Ednotesubsection"/>
      </w:pPr>
      <w:r>
        <w:tab/>
        <w:t>[(1aa)</w:t>
      </w:r>
      <w:r>
        <w:tab/>
        <w:t>repealed]</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b/>
          <w:snapToGrid w:val="0"/>
        </w:rPr>
        <w:t>“</w:t>
      </w:r>
      <w:r>
        <w:rPr>
          <w:rStyle w:val="CharDefText"/>
        </w:rPr>
        <w:t>excess amount</w:t>
      </w:r>
      <w:r>
        <w:rPr>
          <w:b/>
          <w:snapToGrid w:val="0"/>
        </w:rPr>
        <w: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pPr>
      <w:r>
        <w:rPr>
          <w:position w:val="-28"/>
          <w:sz w:val="20"/>
        </w:rPr>
        <w:object w:dxaOrig="2799" w:dyaOrig="680">
          <v:shape id="_x0000_i1032" type="#_x0000_t75" style="width:140.25pt;height:33.75pt" o:ole="" fillcolor="window">
            <v:imagedata r:id="rId34" o:title=""/>
          </v:shape>
          <o:OLEObject Type="Embed" ProgID="Equation.3" ShapeID="_x0000_i1032" DrawAspect="Content" ObjectID="_1643722787" r:id="rId35"/>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rPr>
        <w:t>excess rate</w:t>
      </w:r>
      <w:r>
        <w:rPr>
          <w:b/>
          <w:snapToGrid w:val="0"/>
        </w:rPr>
        <w:t>”</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pPr>
      <w:r>
        <w:rPr>
          <w:position w:val="-28"/>
          <w:sz w:val="20"/>
        </w:rPr>
        <w:object w:dxaOrig="3600" w:dyaOrig="680">
          <v:shape id="_x0000_i1033" type="#_x0000_t75" style="width:180pt;height:33.75pt" o:ole="" fillcolor="window">
            <v:imagedata r:id="rId36" o:title=""/>
          </v:shape>
          <o:OLEObject Type="Embed" ProgID="Equation.3" ShapeID="_x0000_i1033" DrawAspect="Content" ObjectID="_1643722788"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in Gazette 28 Dec 2001 p. 6719; 22 Jun 2004 p. 2167; 25 Aug 2006 p. 3499.]</w:t>
      </w:r>
    </w:p>
    <w:p>
      <w:pPr>
        <w:pStyle w:val="Heading5"/>
        <w:rPr>
          <w:snapToGrid w:val="0"/>
        </w:rPr>
      </w:pPr>
      <w:bookmarkStart w:id="161" w:name="_Toc534108067"/>
      <w:bookmarkStart w:id="162" w:name="_Toc4983163"/>
      <w:bookmarkStart w:id="163" w:name="_Toc131823650"/>
      <w:bookmarkStart w:id="164" w:name="_Toc146530174"/>
      <w:r>
        <w:rPr>
          <w:rStyle w:val="CharSectno"/>
        </w:rPr>
        <w:t>25</w:t>
      </w:r>
      <w:r>
        <w:rPr>
          <w:snapToGrid w:val="0"/>
        </w:rPr>
        <w:t>.</w:t>
      </w:r>
      <w:r>
        <w:rPr>
          <w:snapToGrid w:val="0"/>
        </w:rPr>
        <w:tab/>
        <w:t>Other consequences of being out of balance</w:t>
      </w:r>
      <w:bookmarkEnd w:id="161"/>
      <w:bookmarkEnd w:id="162"/>
      <w:bookmarkEnd w:id="163"/>
      <w:bookmarkEnd w:id="164"/>
      <w:r>
        <w:rPr>
          <w:snapToGrid w:val="0"/>
        </w:rPr>
        <w:t xml:space="preserve"> </w:t>
      </w:r>
    </w:p>
    <w:p>
      <w:pPr>
        <w:pStyle w:val="Ednotesubsection"/>
      </w:pPr>
      <w:r>
        <w:tab/>
        <w:t>[(1a),(1aa)</w:t>
      </w:r>
      <w:r>
        <w:tab/>
        <w:t>repealed]</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is materially out of balance in respect of one of its access agreements for a period; and</w:t>
      </w:r>
    </w:p>
    <w:p>
      <w:pPr>
        <w:pStyle w:val="Indenta"/>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in Gazette 1 Jul 1997 p. 3252; 28 Dec 2001 p. 6719; 22 Jun 2004 p. 2167; 24 Jun 2005 p. 2754; 31 Mar 2006 p. 1338-40; 25 Aug 2006 p. 3499.]</w:t>
      </w:r>
    </w:p>
    <w:p>
      <w:pPr>
        <w:pStyle w:val="Heading2"/>
      </w:pPr>
      <w:bookmarkStart w:id="165" w:name="_Toc92191408"/>
      <w:bookmarkStart w:id="166" w:name="_Toc92191473"/>
      <w:bookmarkStart w:id="167" w:name="_Toc92254590"/>
      <w:bookmarkStart w:id="168" w:name="_Toc107388427"/>
      <w:bookmarkStart w:id="169" w:name="_Toc125447413"/>
      <w:bookmarkStart w:id="170" w:name="_Toc125452826"/>
      <w:bookmarkStart w:id="171" w:name="_Toc131823651"/>
      <w:bookmarkStart w:id="172" w:name="_Toc131823776"/>
      <w:bookmarkStart w:id="173" w:name="_Toc131917348"/>
      <w:bookmarkStart w:id="174" w:name="_Toc135112681"/>
      <w:bookmarkStart w:id="175" w:name="_Toc135207703"/>
      <w:bookmarkStart w:id="176" w:name="_Toc136160920"/>
      <w:bookmarkStart w:id="177" w:name="_Toc138497580"/>
      <w:bookmarkStart w:id="178" w:name="_Toc146527262"/>
      <w:bookmarkStart w:id="179" w:name="_Toc146530175"/>
      <w:r>
        <w:rPr>
          <w:rStyle w:val="CharPartNo"/>
        </w:rPr>
        <w:t>Part 5</w:t>
      </w:r>
      <w:r>
        <w:rPr>
          <w:rStyle w:val="CharDivNo"/>
        </w:rPr>
        <w:t> </w:t>
      </w:r>
      <w:r>
        <w:t>—</w:t>
      </w:r>
      <w:r>
        <w:rPr>
          <w:rStyle w:val="CharDivText"/>
        </w:rPr>
        <w:t> </w:t>
      </w:r>
      <w:r>
        <w:rPr>
          <w:rStyle w:val="CharPartText"/>
        </w:rPr>
        <w:t>Technical regulation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534108068"/>
      <w:bookmarkStart w:id="181" w:name="_Toc4983164"/>
      <w:bookmarkStart w:id="182" w:name="_Toc131823652"/>
      <w:bookmarkStart w:id="183" w:name="_Toc146530176"/>
      <w:r>
        <w:rPr>
          <w:rStyle w:val="CharSectno"/>
        </w:rPr>
        <w:t>26</w:t>
      </w:r>
      <w:r>
        <w:rPr>
          <w:snapToGrid w:val="0"/>
        </w:rPr>
        <w:t>.</w:t>
      </w:r>
      <w:r>
        <w:rPr>
          <w:snapToGrid w:val="0"/>
        </w:rPr>
        <w:tab/>
        <w:t>Technical Code</w:t>
      </w:r>
      <w:bookmarkEnd w:id="180"/>
      <w:bookmarkEnd w:id="181"/>
      <w:bookmarkEnd w:id="182"/>
      <w:bookmarkEnd w:id="183"/>
      <w:r>
        <w:rPr>
          <w:snapToGrid w:val="0"/>
        </w:rPr>
        <w:t xml:space="preserve"> </w:t>
      </w:r>
    </w:p>
    <w:p>
      <w:pPr>
        <w:pStyle w:val="Subsection"/>
      </w:pPr>
      <w:r>
        <w:tab/>
        <w:t>(1)</w:t>
      </w:r>
      <w:r>
        <w:tab/>
        <w:t>A corporation must prepare and make publicly available a Technical Code in respect of its electricity transmission network on or before 1 May 2006.</w:t>
      </w:r>
    </w:p>
    <w:p>
      <w:pPr>
        <w:pStyle w:val="Subsection"/>
        <w:rPr>
          <w:snapToGrid w:val="0"/>
        </w:rPr>
      </w:pPr>
      <w:r>
        <w:rPr>
          <w:snapToGrid w:val="0"/>
        </w:rPr>
        <w:tab/>
        <w:t>(2)</w:t>
      </w:r>
      <w:r>
        <w:rPr>
          <w:snapToGrid w:val="0"/>
        </w:rPr>
        <w:tab/>
      </w:r>
      <w:r>
        <w:t xml:space="preserve">A corporation </w:t>
      </w:r>
      <w:r>
        <w:rPr>
          <w:snapToGrid w:val="0"/>
        </w:rPr>
        <w:t xml:space="preserve">may from time to time thereafter prepare and make publicly available amendments to the Technical Code but before doing so </w:t>
      </w:r>
      <w:r>
        <w:t xml:space="preserve">the corporation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rPr>
          <w:snapToGrid w:val="0"/>
        </w:rPr>
      </w:pPr>
      <w:r>
        <w:rPr>
          <w:snapToGrid w:val="0"/>
        </w:rPr>
        <w:tab/>
        <w:t>(j)</w:t>
      </w:r>
      <w:r>
        <w:rPr>
          <w:snapToGrid w:val="0"/>
        </w:rPr>
        <w:tab/>
        <w:t>procedures which apply to the disconnection of plant or equipment from the electricity transmission network;</w:t>
      </w:r>
    </w:p>
    <w:p>
      <w:pPr>
        <w:pStyle w:val="Indenta"/>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rPr>
          <w:snapToGrid w:val="0"/>
        </w:rPr>
      </w:pPr>
      <w:r>
        <w:rPr>
          <w:snapToGrid w:val="0"/>
        </w:rPr>
        <w:tab/>
        <w:t>(l)</w:t>
      </w:r>
      <w:r>
        <w:rPr>
          <w:snapToGrid w:val="0"/>
        </w:rPr>
        <w:tab/>
        <w:t>metering requirements in relation to connections;</w:t>
      </w:r>
    </w:p>
    <w:p>
      <w:pPr>
        <w:pStyle w:val="Indenta"/>
        <w:rPr>
          <w:snapToGrid w:val="0"/>
        </w:rPr>
      </w:pPr>
      <w:r>
        <w:rPr>
          <w:snapToGrid w:val="0"/>
        </w:rPr>
        <w:tab/>
        <w:t>(m)</w:t>
      </w:r>
      <w:r>
        <w:rPr>
          <w:snapToGrid w:val="0"/>
        </w:rPr>
        <w:tab/>
        <w:t xml:space="preserve">the information which each user is required to provide </w:t>
      </w:r>
      <w:r>
        <w:t xml:space="preserve">to the corporation </w:t>
      </w:r>
      <w:r>
        <w:rPr>
          <w:snapToGrid w:val="0"/>
        </w:rPr>
        <w:t>in relation to the operation of plant or equipment connected to the electricity transmission network at the user’s connections and how and when that information is to be provided;</w:t>
      </w:r>
    </w:p>
    <w:p>
      <w:pPr>
        <w:pStyle w:val="Indenta"/>
        <w:rPr>
          <w:snapToGrid w:val="0"/>
        </w:rPr>
      </w:pPr>
      <w:r>
        <w:rPr>
          <w:snapToGrid w:val="0"/>
        </w:rPr>
        <w:tab/>
        <w:t>(n)</w:t>
      </w:r>
      <w:r>
        <w:rPr>
          <w:snapToGrid w:val="0"/>
        </w:rPr>
        <w:tab/>
        <w:t>requirements in relation to under frequency load shedding with which users must comply; and</w:t>
      </w:r>
    </w:p>
    <w:p>
      <w:pPr>
        <w:pStyle w:val="Indenta"/>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rPr>
          <w:snapToGrid w:val="0"/>
        </w:rPr>
      </w:pPr>
      <w:r>
        <w:rPr>
          <w:snapToGrid w:val="0"/>
        </w:rPr>
        <w:tab/>
        <w:t>(4)</w:t>
      </w:r>
      <w:r>
        <w:rPr>
          <w:snapToGrid w:val="0"/>
        </w:rPr>
        <w:tab/>
        <w:t xml:space="preserve">Subject to subregulation (10), </w:t>
      </w:r>
      <w:r>
        <w:t xml:space="preserve">the corporation </w:t>
      </w:r>
      <w:r>
        <w:rPr>
          <w:snapToGrid w:val="0"/>
        </w:rPr>
        <w:t>and all users must use all reasonable endeavours to comply with the Technical Code.</w:t>
      </w:r>
    </w:p>
    <w:p>
      <w:pPr>
        <w:pStyle w:val="Subsection"/>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r>
        <w:t xml:space="preserve">a corporation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r>
        <w:t xml:space="preserve">a corporation </w:t>
      </w:r>
      <w:r>
        <w:rPr>
          <w:snapToGrid w:val="0"/>
        </w:rPr>
        <w:t xml:space="preserve">receives an application under subregulation (6), then </w:t>
      </w:r>
      <w:r>
        <w:t xml:space="preserve">the corporation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r>
        <w:t xml:space="preserve">a corporation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r>
        <w:t xml:space="preserve">a corporation </w:t>
      </w:r>
      <w:r>
        <w:rPr>
          <w:snapToGrid w:val="0"/>
        </w:rPr>
        <w:t>must make available to users a report providing details of any determination made under subregulation (7) during the preceding financial year.</w:t>
      </w:r>
    </w:p>
    <w:p>
      <w:pPr>
        <w:pStyle w:val="Footnotesection"/>
      </w:pPr>
      <w:r>
        <w:tab/>
        <w:t>[Regulation 26 amended in Gazette 31 Mar 2006 p. 1334 and 1338</w:t>
      </w:r>
      <w:r>
        <w:noBreakHyphen/>
        <w:t>40.]</w:t>
      </w:r>
    </w:p>
    <w:p>
      <w:pPr>
        <w:pStyle w:val="Heading5"/>
        <w:rPr>
          <w:snapToGrid w:val="0"/>
        </w:rPr>
      </w:pPr>
      <w:bookmarkStart w:id="184" w:name="_Toc534108069"/>
      <w:bookmarkStart w:id="185" w:name="_Toc4983165"/>
      <w:bookmarkStart w:id="186" w:name="_Toc131823653"/>
      <w:bookmarkStart w:id="187" w:name="_Toc146530177"/>
      <w:r>
        <w:rPr>
          <w:rStyle w:val="CharSectno"/>
        </w:rPr>
        <w:t>27</w:t>
      </w:r>
      <w:r>
        <w:rPr>
          <w:snapToGrid w:val="0"/>
        </w:rPr>
        <w:t>.</w:t>
      </w:r>
      <w:r>
        <w:rPr>
          <w:snapToGrid w:val="0"/>
        </w:rPr>
        <w:tab/>
        <w:t>Network planning criteria</w:t>
      </w:r>
      <w:bookmarkEnd w:id="184"/>
      <w:bookmarkEnd w:id="185"/>
      <w:bookmarkEnd w:id="186"/>
      <w:bookmarkEnd w:id="187"/>
      <w:r>
        <w:rPr>
          <w:snapToGrid w:val="0"/>
        </w:rPr>
        <w:t xml:space="preserve"> </w:t>
      </w:r>
    </w:p>
    <w:p>
      <w:pPr>
        <w:pStyle w:val="Subsection"/>
      </w:pPr>
      <w:r>
        <w:tab/>
        <w:t>(1)</w:t>
      </w:r>
      <w:r>
        <w:tab/>
        <w:t>A corporation must prepare criteria relating to the planning of its electricity transmission network on or before 1 May 2006.</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r>
        <w:t xml:space="preserve">A corporation </w:t>
      </w:r>
      <w:r>
        <w:rPr>
          <w:snapToGrid w:val="0"/>
        </w:rPr>
        <w:t xml:space="preserve">may from time to time amend the network planning criteria but before doing so </w:t>
      </w:r>
      <w:r>
        <w:t xml:space="preserve">the corporation </w:t>
      </w:r>
      <w:r>
        <w:rPr>
          <w:snapToGrid w:val="0"/>
        </w:rPr>
        <w:t>must provide details of the proposed amendment to users and give users a reasonable period of time within which to comment on the proposed amendment.</w:t>
      </w:r>
    </w:p>
    <w:p>
      <w:pPr>
        <w:pStyle w:val="Subsection"/>
        <w:keepNext/>
        <w:keepLines/>
        <w:rPr>
          <w:snapToGrid w:val="0"/>
        </w:rPr>
      </w:pPr>
      <w:r>
        <w:rPr>
          <w:snapToGrid w:val="0"/>
        </w:rPr>
        <w:tab/>
        <w:t>(4)</w:t>
      </w:r>
      <w:r>
        <w:rPr>
          <w:snapToGrid w:val="0"/>
        </w:rPr>
        <w:tab/>
      </w:r>
      <w:r>
        <w:t xml:space="preserve">A corporation </w:t>
      </w:r>
      <w:r>
        <w:rPr>
          <w:snapToGrid w:val="0"/>
        </w:rPr>
        <w:t>must provide a copy of the network planning criteria (as amended) to any user or applicant who requests a copy of it.</w:t>
      </w:r>
    </w:p>
    <w:p>
      <w:pPr>
        <w:pStyle w:val="Footnotesection"/>
      </w:pPr>
      <w:r>
        <w:tab/>
        <w:t>[Regulation 27 amended in Gazette 31 Mar 2006 p. 1334 and 1338</w:t>
      </w:r>
      <w:r>
        <w:noBreakHyphen/>
        <w:t>40.]</w:t>
      </w:r>
    </w:p>
    <w:p>
      <w:pPr>
        <w:pStyle w:val="Heading5"/>
        <w:rPr>
          <w:snapToGrid w:val="0"/>
        </w:rPr>
      </w:pPr>
      <w:bookmarkStart w:id="188" w:name="_Toc534108070"/>
      <w:bookmarkStart w:id="189" w:name="_Toc4983166"/>
      <w:bookmarkStart w:id="190" w:name="_Toc131823654"/>
      <w:bookmarkStart w:id="191" w:name="_Toc146530178"/>
      <w:r>
        <w:rPr>
          <w:rStyle w:val="CharSectno"/>
        </w:rPr>
        <w:t>28</w:t>
      </w:r>
      <w:r>
        <w:rPr>
          <w:snapToGrid w:val="0"/>
        </w:rPr>
        <w:t>.</w:t>
      </w:r>
      <w:r>
        <w:rPr>
          <w:snapToGrid w:val="0"/>
        </w:rPr>
        <w:tab/>
        <w:t>Good electricity industry practice</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pPr>
      <w:r>
        <w:tab/>
        <w:t>[Regulation 28 amended in Gazette 31 Mar 2006 p. 1338.]</w:t>
      </w:r>
    </w:p>
    <w:p>
      <w:pPr>
        <w:pStyle w:val="Heading5"/>
        <w:rPr>
          <w:snapToGrid w:val="0"/>
        </w:rPr>
      </w:pPr>
      <w:bookmarkStart w:id="192" w:name="_Toc534108071"/>
      <w:bookmarkStart w:id="193" w:name="_Toc4983167"/>
      <w:bookmarkStart w:id="194" w:name="_Toc131823655"/>
      <w:bookmarkStart w:id="195" w:name="_Toc146530179"/>
      <w:r>
        <w:rPr>
          <w:rStyle w:val="CharSectno"/>
        </w:rPr>
        <w:t>29</w:t>
      </w:r>
      <w:r>
        <w:rPr>
          <w:snapToGrid w:val="0"/>
        </w:rPr>
        <w:t>.</w:t>
      </w:r>
      <w:r>
        <w:rPr>
          <w:snapToGrid w:val="0"/>
        </w:rPr>
        <w:tab/>
        <w:t>Interruption and curtailment powers</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connection or the provision of an access service in respect of a connection to the extent, and for such period of time, as </w:t>
      </w:r>
      <w:r>
        <w:t xml:space="preserve">the corporation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r>
        <w:t xml:space="preserve">the corporation’s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r>
        <w:t xml:space="preserve">the corporation’s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pPr>
      <w:r>
        <w:tab/>
        <w:t>[Regulation 29 amended in Gazette 31 Mar 2006 p. 1338-41.]</w:t>
      </w:r>
    </w:p>
    <w:p>
      <w:pPr>
        <w:pStyle w:val="Heading5"/>
        <w:rPr>
          <w:snapToGrid w:val="0"/>
        </w:rPr>
      </w:pPr>
      <w:bookmarkStart w:id="196" w:name="_Toc534108072"/>
      <w:bookmarkStart w:id="197" w:name="_Toc4983168"/>
      <w:bookmarkStart w:id="198" w:name="_Toc131823656"/>
      <w:bookmarkStart w:id="199" w:name="_Toc146530180"/>
      <w:r>
        <w:rPr>
          <w:rStyle w:val="CharSectno"/>
        </w:rPr>
        <w:t>30</w:t>
      </w:r>
      <w:r>
        <w:rPr>
          <w:snapToGrid w:val="0"/>
        </w:rPr>
        <w:t>.</w:t>
      </w:r>
      <w:r>
        <w:rPr>
          <w:snapToGrid w:val="0"/>
        </w:rPr>
        <w:tab/>
        <w:t>Safety and security of electricity transmission network</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for reasons of public safety or the security of </w:t>
      </w:r>
      <w:r>
        <w:t xml:space="preserve">its electricity </w:t>
      </w:r>
      <w:r>
        <w:rPr>
          <w:snapToGrid w:val="0"/>
        </w:rPr>
        <w:t xml:space="preserve">transmission network, then </w:t>
      </w:r>
      <w:r>
        <w:t xml:space="preserve">the corporation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(4)</w:t>
      </w:r>
      <w:r>
        <w:rPr>
          <w:snapToGrid w:val="0"/>
        </w:rPr>
        <w:tab/>
        <w:t xml:space="preserve">If a person (in this regulation called the </w:t>
      </w:r>
      <w:r>
        <w:rPr>
          <w:b/>
          <w:snapToGrid w:val="0"/>
        </w:rPr>
        <w:t>“</w:t>
      </w:r>
      <w:r>
        <w:rPr>
          <w:rStyle w:val="CharDefText"/>
        </w:rPr>
        <w:t>first person</w:t>
      </w:r>
      <w:r>
        <w:rPr>
          <w:b/>
          <w:snapToGrid w:val="0"/>
        </w:rPr>
        <w:t>”</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a corporation</w:t>
      </w:r>
      <w:r>
        <w:rPr>
          <w:snapToGrid w:val="0"/>
        </w:rPr>
        <w:t>.</w:t>
      </w:r>
    </w:p>
    <w:p>
      <w:pPr>
        <w:pStyle w:val="Footnotesection"/>
      </w:pPr>
      <w:r>
        <w:tab/>
        <w:t>[Regulation 30 amended in Gazette 31 Mar 2006 p. 1334 and 1338</w:t>
      </w:r>
      <w:r>
        <w:noBreakHyphen/>
        <w:t>40.]</w:t>
      </w:r>
    </w:p>
    <w:p>
      <w:pPr>
        <w:pStyle w:val="Heading5"/>
        <w:rPr>
          <w:snapToGrid w:val="0"/>
        </w:rPr>
      </w:pPr>
      <w:bookmarkStart w:id="200" w:name="_Toc534108073"/>
      <w:bookmarkStart w:id="201" w:name="_Toc4983169"/>
      <w:bookmarkStart w:id="202" w:name="_Toc131823657"/>
      <w:bookmarkStart w:id="203" w:name="_Toc146530181"/>
      <w:r>
        <w:rPr>
          <w:rStyle w:val="CharSectno"/>
        </w:rPr>
        <w:t>31</w:t>
      </w:r>
      <w:r>
        <w:rPr>
          <w:snapToGrid w:val="0"/>
        </w:rPr>
        <w:t>.</w:t>
      </w:r>
      <w:r>
        <w:rPr>
          <w:snapToGrid w:val="0"/>
        </w:rPr>
        <w:tab/>
        <w:t>Operation, maintenance and extension planning</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a corporation’s electricity transmission network are coordinated.</w:t>
      </w:r>
    </w:p>
    <w:p>
      <w:pPr>
        <w:pStyle w:val="Subsection"/>
        <w:rPr>
          <w:snapToGrid w:val="0"/>
        </w:rPr>
      </w:pPr>
      <w:r>
        <w:rPr>
          <w:snapToGrid w:val="0"/>
        </w:rPr>
        <w:tab/>
        <w:t>(2)</w:t>
      </w:r>
      <w:r>
        <w:rPr>
          <w:snapToGrid w:val="0"/>
        </w:rPr>
        <w:tab/>
        <w:t>On or before 30 September each year, each user must provide to</w:t>
      </w:r>
      <w:r>
        <w:t xml:space="preserve"> the corporation</w:t>
      </w:r>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rPr>
          <w:snapToGrid w:val="0"/>
        </w:rPr>
      </w:pPr>
      <w:r>
        <w:rPr>
          <w:snapToGrid w:val="0"/>
        </w:rPr>
        <w:tab/>
        <w:t>(3)</w:t>
      </w:r>
      <w:r>
        <w:rPr>
          <w:snapToGrid w:val="0"/>
        </w:rPr>
        <w:tab/>
        <w:t xml:space="preserve">A user must provide </w:t>
      </w:r>
      <w:r>
        <w:t xml:space="preserve">the corporation </w:t>
      </w:r>
      <w:r>
        <w:rPr>
          <w:snapToGrid w:val="0"/>
        </w:rPr>
        <w:t xml:space="preserve">with any information that </w:t>
      </w:r>
      <w:r>
        <w:t xml:space="preserve">the corporation </w:t>
      </w:r>
      <w:r>
        <w:rPr>
          <w:snapToGrid w:val="0"/>
        </w:rPr>
        <w:t>reasonably requests concerning maintenance of plant and equipment connected at the user’s connections.</w:t>
      </w:r>
    </w:p>
    <w:p>
      <w:pPr>
        <w:pStyle w:val="Subsection"/>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the corporation</w:t>
      </w:r>
      <w:r>
        <w:rPr>
          <w:snapToGrid w:val="0"/>
        </w:rPr>
        <w:t>.</w:t>
      </w:r>
    </w:p>
    <w:p>
      <w:pPr>
        <w:pStyle w:val="Subsection"/>
        <w:rPr>
          <w:snapToGrid w:val="0"/>
        </w:rPr>
      </w:pPr>
      <w:r>
        <w:rPr>
          <w:snapToGrid w:val="0"/>
        </w:rPr>
        <w:tab/>
        <w:t>(5)</w:t>
      </w:r>
      <w:r>
        <w:rPr>
          <w:snapToGrid w:val="0"/>
        </w:rPr>
        <w:tab/>
        <w:t>A maintenance schedule or a maintenance plan must — </w:t>
      </w:r>
    </w:p>
    <w:p>
      <w:pPr>
        <w:pStyle w:val="Indenta"/>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rPr>
          <w:snapToGrid w:val="0"/>
        </w:rPr>
      </w:pPr>
      <w:r>
        <w:rPr>
          <w:snapToGrid w:val="0"/>
        </w:rPr>
        <w:tab/>
        <w:t>(b)</w:t>
      </w:r>
      <w:r>
        <w:rPr>
          <w:snapToGrid w:val="0"/>
        </w:rPr>
        <w:tab/>
        <w:t>specify the work planned to be carried out during each such outage;</w:t>
      </w:r>
    </w:p>
    <w:p>
      <w:pPr>
        <w:pStyle w:val="Indenta"/>
        <w:rPr>
          <w:snapToGrid w:val="0"/>
        </w:rPr>
      </w:pPr>
      <w:r>
        <w:rPr>
          <w:snapToGrid w:val="0"/>
        </w:rPr>
        <w:tab/>
        <w:t>(c)</w:t>
      </w:r>
      <w:r>
        <w:rPr>
          <w:snapToGrid w:val="0"/>
        </w:rPr>
        <w:tab/>
        <w:t>be in writing in substantially the form requested by</w:t>
      </w:r>
      <w:r>
        <w:t xml:space="preserve"> the corporation</w:t>
      </w:r>
      <w:r>
        <w:rPr>
          <w:snapToGrid w:val="0"/>
        </w:rPr>
        <w:t>; and</w:t>
      </w:r>
    </w:p>
    <w:p>
      <w:pPr>
        <w:pStyle w:val="Indenta"/>
        <w:rPr>
          <w:snapToGrid w:val="0"/>
        </w:rPr>
      </w:pPr>
      <w:r>
        <w:rPr>
          <w:snapToGrid w:val="0"/>
        </w:rPr>
        <w:tab/>
        <w:t>(d)</w:t>
      </w:r>
      <w:r>
        <w:rPr>
          <w:snapToGrid w:val="0"/>
        </w:rPr>
        <w:tab/>
        <w:t>be consistent with good electricity industry practice.</w:t>
      </w:r>
    </w:p>
    <w:p>
      <w:pPr>
        <w:pStyle w:val="Subsection"/>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w:t>
      </w:r>
      <w:r>
        <w:t xml:space="preserve"> the corporation</w:t>
      </w:r>
      <w:r>
        <w:rPr>
          <w:snapToGrid w:val="0"/>
        </w:rPr>
        <w:t>.</w:t>
      </w:r>
    </w:p>
    <w:p>
      <w:pPr>
        <w:pStyle w:val="Footnotesection"/>
      </w:pPr>
      <w:r>
        <w:tab/>
        <w:t>[Regulation 31 amended in Gazette 31 Mar 2006 p. 1335 and 1339.]</w:t>
      </w:r>
    </w:p>
    <w:p>
      <w:pPr>
        <w:pStyle w:val="Heading5"/>
        <w:rPr>
          <w:snapToGrid w:val="0"/>
        </w:rPr>
      </w:pPr>
      <w:bookmarkStart w:id="204" w:name="_Toc534108074"/>
      <w:bookmarkStart w:id="205" w:name="_Toc4983170"/>
      <w:bookmarkStart w:id="206" w:name="_Toc131823658"/>
      <w:bookmarkStart w:id="207" w:name="_Toc146530182"/>
      <w:r>
        <w:rPr>
          <w:rStyle w:val="CharSectno"/>
        </w:rPr>
        <w:t>32</w:t>
      </w:r>
      <w:r>
        <w:rPr>
          <w:snapToGrid w:val="0"/>
        </w:rPr>
        <w:t>.</w:t>
      </w:r>
      <w:r>
        <w:rPr>
          <w:snapToGrid w:val="0"/>
        </w:rPr>
        <w:tab/>
        <w:t>Information required to prepare annual reports</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Each user must, on or before 31 July in each year, provide </w:t>
      </w:r>
      <w:r>
        <w:t xml:space="preserve">a corporation </w:t>
      </w:r>
      <w:r>
        <w:rPr>
          <w:snapToGrid w:val="0"/>
        </w:rPr>
        <w:t xml:space="preserve">with such electricity generation and load forecast information in relation to each of its connections as is reasonably required by </w:t>
      </w:r>
      <w:r>
        <w:t xml:space="preserve">the corporation </w:t>
      </w:r>
      <w:r>
        <w:rPr>
          <w:snapToGrid w:val="0"/>
        </w:rPr>
        <w:t xml:space="preserve">to enable </w:t>
      </w:r>
      <w:r>
        <w:t xml:space="preserve">the corporation </w:t>
      </w:r>
      <w:r>
        <w:rPr>
          <w:snapToGrid w:val="0"/>
        </w:rPr>
        <w:t>to comply with its obligations under clause 4(1) of Schedule 5 to the Act.</w:t>
      </w:r>
    </w:p>
    <w:p>
      <w:pPr>
        <w:pStyle w:val="Subsection"/>
        <w:rPr>
          <w:snapToGrid w:val="0"/>
        </w:rPr>
      </w:pPr>
      <w:r>
        <w:rPr>
          <w:snapToGrid w:val="0"/>
        </w:rPr>
        <w:tab/>
        <w:t>(2)</w:t>
      </w:r>
      <w:r>
        <w:rPr>
          <w:snapToGrid w:val="0"/>
        </w:rPr>
        <w:tab/>
        <w:t>Each user must use reasonable endeavours to provide accurate and complete information under subregulation (1).</w:t>
      </w:r>
    </w:p>
    <w:p>
      <w:pPr>
        <w:pStyle w:val="Footnotesection"/>
      </w:pPr>
      <w:r>
        <w:tab/>
        <w:t>[Regulation 32 amended in Gazette 31 Mar 2006 p. 1338-9.]</w:t>
      </w:r>
    </w:p>
    <w:p>
      <w:pPr>
        <w:pStyle w:val="Heading5"/>
        <w:rPr>
          <w:snapToGrid w:val="0"/>
        </w:rPr>
      </w:pPr>
      <w:bookmarkStart w:id="208" w:name="_Toc534108075"/>
      <w:bookmarkStart w:id="209" w:name="_Toc4983171"/>
      <w:bookmarkStart w:id="210" w:name="_Toc131823659"/>
      <w:bookmarkStart w:id="211" w:name="_Toc146530183"/>
      <w:r>
        <w:rPr>
          <w:rStyle w:val="CharSectno"/>
        </w:rPr>
        <w:t>33</w:t>
      </w:r>
      <w:r>
        <w:rPr>
          <w:snapToGrid w:val="0"/>
        </w:rPr>
        <w:t>.</w:t>
      </w:r>
      <w:r>
        <w:rPr>
          <w:snapToGrid w:val="0"/>
        </w:rPr>
        <w:tab/>
        <w:t>Augmentation of the electricity transmission network</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Without limiting </w:t>
      </w:r>
      <w:r>
        <w:t xml:space="preserve">a corporation’s </w:t>
      </w:r>
      <w:r>
        <w:rPr>
          <w:snapToGrid w:val="0"/>
        </w:rPr>
        <w:t xml:space="preserve">obligations under the Act, any proposal to augment </w:t>
      </w:r>
      <w:r>
        <w:t xml:space="preserve">its electricity </w:t>
      </w:r>
      <w:r>
        <w:rPr>
          <w:snapToGrid w:val="0"/>
        </w:rPr>
        <w:t xml:space="preserve">transmission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r>
        <w:t xml:space="preserve">a corporation </w:t>
      </w:r>
      <w:r>
        <w:rPr>
          <w:snapToGrid w:val="0"/>
        </w:rPr>
        <w:t xml:space="preserve">believes that it is necessary or desirable to augment </w:t>
      </w:r>
      <w:r>
        <w:t xml:space="preserve">its electricity </w:t>
      </w:r>
      <w:r>
        <w:rPr>
          <w:snapToGrid w:val="0"/>
        </w:rPr>
        <w:t xml:space="preserve">transmission network, then </w:t>
      </w:r>
      <w:r>
        <w:t xml:space="preserve">the corporation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r>
        <w:t xml:space="preserve">the corporation’s </w:t>
      </w:r>
      <w:r>
        <w:rPr>
          <w:snapToGrid w:val="0"/>
        </w:rPr>
        <w:t>opinion, likely to be materially affected by the proposed augmentation.</w:t>
      </w:r>
    </w:p>
    <w:p>
      <w:pPr>
        <w:pStyle w:val="Footnotesection"/>
      </w:pPr>
      <w:r>
        <w:tab/>
        <w:t>[Regulation 33 amended in Gazette 31 Mar 2006 p. 1335 and 1338</w:t>
      </w:r>
      <w:r>
        <w:noBreakHyphen/>
        <w:t>41.]</w:t>
      </w:r>
    </w:p>
    <w:p>
      <w:pPr>
        <w:pStyle w:val="Heading2"/>
      </w:pPr>
      <w:bookmarkStart w:id="212" w:name="_Toc92191417"/>
      <w:bookmarkStart w:id="213" w:name="_Toc92191482"/>
      <w:bookmarkStart w:id="214" w:name="_Toc92254599"/>
      <w:bookmarkStart w:id="215" w:name="_Toc107388436"/>
      <w:bookmarkStart w:id="216" w:name="_Toc125447422"/>
      <w:bookmarkStart w:id="217" w:name="_Toc125452835"/>
      <w:bookmarkStart w:id="218" w:name="_Toc131823660"/>
      <w:bookmarkStart w:id="219" w:name="_Toc131823785"/>
      <w:bookmarkStart w:id="220" w:name="_Toc131917357"/>
      <w:bookmarkStart w:id="221" w:name="_Toc135112690"/>
      <w:bookmarkStart w:id="222" w:name="_Toc135207712"/>
      <w:bookmarkStart w:id="223" w:name="_Toc136160929"/>
      <w:bookmarkStart w:id="224" w:name="_Toc138497589"/>
      <w:bookmarkStart w:id="225" w:name="_Toc146527271"/>
      <w:bookmarkStart w:id="226" w:name="_Toc146530184"/>
      <w:r>
        <w:rPr>
          <w:rStyle w:val="CharPartNo"/>
        </w:rPr>
        <w:t>Part 6</w:t>
      </w:r>
      <w:r>
        <w:rPr>
          <w:rStyle w:val="CharDivNo"/>
        </w:rPr>
        <w:t> </w:t>
      </w:r>
      <w:r>
        <w:t>—</w:t>
      </w:r>
      <w:r>
        <w:rPr>
          <w:rStyle w:val="CharDivText"/>
        </w:rPr>
        <w:t> </w:t>
      </w:r>
      <w:r>
        <w:rPr>
          <w:rStyle w:val="CharPartText"/>
        </w:rPr>
        <w:t>Access terms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Heading5"/>
        <w:rPr>
          <w:snapToGrid w:val="0"/>
        </w:rPr>
      </w:pPr>
      <w:bookmarkStart w:id="227" w:name="_Toc534108076"/>
      <w:bookmarkStart w:id="228" w:name="_Toc4983172"/>
      <w:bookmarkStart w:id="229" w:name="_Toc131823661"/>
      <w:bookmarkStart w:id="230" w:name="_Toc146530185"/>
      <w:r>
        <w:rPr>
          <w:rStyle w:val="CharSectno"/>
        </w:rPr>
        <w:t>34</w:t>
      </w:r>
      <w:r>
        <w:rPr>
          <w:snapToGrid w:val="0"/>
        </w:rPr>
        <w:t>.</w:t>
      </w:r>
      <w:r>
        <w:rPr>
          <w:snapToGrid w:val="0"/>
        </w:rPr>
        <w:tab/>
        <w:t>Reasonable endeavours</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r>
        <w:t xml:space="preserve">a corporation </w:t>
      </w:r>
      <w:r>
        <w:rPr>
          <w:snapToGrid w:val="0"/>
        </w:rPr>
        <w:t xml:space="preserve">to provide access services or to ensure service quality parameters in relation to </w:t>
      </w:r>
      <w:r>
        <w:t xml:space="preserve">its electricity </w:t>
      </w:r>
      <w:r>
        <w:rPr>
          <w:snapToGrid w:val="0"/>
        </w:rPr>
        <w:t>transmission network is to be read and construed as an obligation to use all reasonable endeavours to provide those services or ensure those parameters.</w:t>
      </w:r>
    </w:p>
    <w:p>
      <w:pPr>
        <w:pStyle w:val="Footnotesection"/>
      </w:pPr>
      <w:r>
        <w:tab/>
        <w:t>[Regulation 34 amended in Gazette 31 Mar 2006 p. 1335 and 1338.]</w:t>
      </w:r>
    </w:p>
    <w:p>
      <w:pPr>
        <w:pStyle w:val="Heading5"/>
        <w:rPr>
          <w:snapToGrid w:val="0"/>
        </w:rPr>
      </w:pPr>
      <w:bookmarkStart w:id="231" w:name="_Toc534108077"/>
      <w:bookmarkStart w:id="232" w:name="_Toc4983173"/>
      <w:bookmarkStart w:id="233" w:name="_Toc131823662"/>
      <w:bookmarkStart w:id="234" w:name="_Toc146530186"/>
      <w:r>
        <w:rPr>
          <w:rStyle w:val="CharSectno"/>
        </w:rPr>
        <w:t>35</w:t>
      </w:r>
      <w:r>
        <w:rPr>
          <w:snapToGrid w:val="0"/>
        </w:rPr>
        <w:t>.</w:t>
      </w:r>
      <w:r>
        <w:rPr>
          <w:snapToGrid w:val="0"/>
        </w:rPr>
        <w:tab/>
      </w:r>
      <w:r>
        <w:rPr>
          <w:i/>
          <w:snapToGrid w:val="0"/>
        </w:rPr>
        <w:t>Force majeure</w:t>
      </w:r>
      <w:r>
        <w:rPr>
          <w:snapToGrid w:val="0"/>
        </w:rPr>
        <w:t xml:space="preserve"> and interruption</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(called the </w:t>
      </w:r>
      <w:r>
        <w:rPr>
          <w:b/>
          <w:snapToGrid w:val="0"/>
        </w:rPr>
        <w:t>“</w:t>
      </w:r>
      <w:r>
        <w:rPr>
          <w:rStyle w:val="CharDefText"/>
        </w:rPr>
        <w:t>affected person</w:t>
      </w:r>
      <w:r>
        <w:rPr>
          <w:b/>
          <w:snapToGrid w:val="0"/>
        </w:rPr>
        <w:t>”</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b/>
          <w:snapToGrid w:val="0"/>
        </w:rPr>
        <w:t>“</w:t>
      </w:r>
      <w:r>
        <w:rPr>
          <w:rStyle w:val="CharDefText"/>
        </w:rPr>
        <w:t>affected obligation</w:t>
      </w:r>
      <w:r>
        <w:rPr>
          <w:b/>
          <w:snapToGrid w:val="0"/>
        </w:rPr>
        <w:t>”</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 xml:space="preserve">a corporation’s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pPr>
      <w:r>
        <w:tab/>
        <w:t>[Regulation 35 amended in Gazette 31 Mar 2006 p. 1339-41.]</w:t>
      </w:r>
    </w:p>
    <w:p>
      <w:pPr>
        <w:pStyle w:val="Heading5"/>
        <w:rPr>
          <w:snapToGrid w:val="0"/>
        </w:rPr>
      </w:pPr>
      <w:bookmarkStart w:id="235" w:name="_Toc534108078"/>
      <w:bookmarkStart w:id="236" w:name="_Toc4983174"/>
      <w:bookmarkStart w:id="237" w:name="_Toc131823663"/>
      <w:bookmarkStart w:id="238" w:name="_Toc146530187"/>
      <w:r>
        <w:rPr>
          <w:rStyle w:val="CharSectno"/>
        </w:rPr>
        <w:t>36</w:t>
      </w:r>
      <w:r>
        <w:rPr>
          <w:snapToGrid w:val="0"/>
        </w:rPr>
        <w:t>.</w:t>
      </w:r>
      <w:r>
        <w:rPr>
          <w:snapToGrid w:val="0"/>
        </w:rPr>
        <w:tab/>
        <w:t>Effect of access to capacity</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239" w:name="_Toc534108079"/>
      <w:bookmarkStart w:id="240" w:name="_Toc4983175"/>
      <w:bookmarkStart w:id="241" w:name="_Toc131823664"/>
      <w:bookmarkStart w:id="242" w:name="_Toc146530188"/>
      <w:r>
        <w:rPr>
          <w:rStyle w:val="CharSectno"/>
        </w:rPr>
        <w:t>37</w:t>
      </w:r>
      <w:r>
        <w:rPr>
          <w:snapToGrid w:val="0"/>
        </w:rPr>
        <w:t>.</w:t>
      </w:r>
      <w:r>
        <w:rPr>
          <w:snapToGrid w:val="0"/>
        </w:rPr>
        <w:tab/>
        <w:t>Minimum term and renewal</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37 amended in Gazette 31 Mar 2006 p. 1339</w:t>
      </w:r>
      <w:r>
        <w:noBreakHyphen/>
        <w:t>40.]</w:t>
      </w:r>
    </w:p>
    <w:p>
      <w:pPr>
        <w:pStyle w:val="Heading5"/>
        <w:rPr>
          <w:snapToGrid w:val="0"/>
        </w:rPr>
      </w:pPr>
      <w:bookmarkStart w:id="243" w:name="_Toc534108080"/>
      <w:bookmarkStart w:id="244" w:name="_Toc4983176"/>
      <w:bookmarkStart w:id="245" w:name="_Toc131823665"/>
      <w:bookmarkStart w:id="246" w:name="_Toc146530189"/>
      <w:r>
        <w:rPr>
          <w:rStyle w:val="CharSectno"/>
        </w:rPr>
        <w:t>38</w:t>
      </w:r>
      <w:r>
        <w:rPr>
          <w:snapToGrid w:val="0"/>
        </w:rPr>
        <w:t>.</w:t>
      </w:r>
      <w:r>
        <w:rPr>
          <w:snapToGrid w:val="0"/>
        </w:rPr>
        <w:tab/>
        <w:t>Contract maximum demand and declared sent</w:t>
      </w:r>
      <w:r>
        <w:rPr>
          <w:snapToGrid w:val="0"/>
        </w:rPr>
        <w:noBreakHyphen/>
        <w:t>out capacity</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r>
        <w:t xml:space="preserve">a corporation </w:t>
      </w:r>
      <w:r>
        <w:rPr>
          <w:snapToGrid w:val="0"/>
        </w:rPr>
        <w:t>in respect of the generating unit from time to time.</w:t>
      </w:r>
    </w:p>
    <w:p>
      <w:pPr>
        <w:pStyle w:val="Subsection"/>
        <w:rPr>
          <w:snapToGrid w:val="0"/>
        </w:rPr>
      </w:pPr>
      <w:r>
        <w:rPr>
          <w:snapToGrid w:val="0"/>
        </w:rPr>
        <w:tab/>
        <w:t>(5)</w:t>
      </w:r>
      <w:r>
        <w:rPr>
          <w:snapToGrid w:val="0"/>
        </w:rPr>
        <w:tab/>
      </w:r>
      <w:r>
        <w:t xml:space="preserve">A corporation </w:t>
      </w:r>
      <w:r>
        <w:rPr>
          <w:snapToGrid w:val="0"/>
        </w:rPr>
        <w:t>must publish the declared sent</w:t>
      </w:r>
      <w:r>
        <w:rPr>
          <w:snapToGrid w:val="0"/>
        </w:rPr>
        <w:noBreakHyphen/>
        <w:t xml:space="preserve">out capacity for generating units as at </w:t>
      </w:r>
      <w:r>
        <w:t>1 April 2006 on or before 1 May 2006.</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r>
        <w:t xml:space="preserve">the corporation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r>
        <w:t xml:space="preserve">the corporation </w:t>
      </w:r>
      <w:r>
        <w:rPr>
          <w:snapToGrid w:val="0"/>
        </w:rPr>
        <w:t>and the user in respect of the entry point prior to electricity first being transferred between the electricity transmission network and the connection.</w:t>
      </w:r>
    </w:p>
    <w:p>
      <w:pPr>
        <w:pStyle w:val="Subsection"/>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the corporation</w:t>
      </w:r>
      <w:r>
        <w:rPr>
          <w:snapToGrid w:val="0"/>
        </w:rPr>
        <w:t>.</w:t>
      </w:r>
    </w:p>
    <w:p>
      <w:pPr>
        <w:pStyle w:val="Subsection"/>
        <w:rPr>
          <w:snapToGrid w:val="0"/>
        </w:rPr>
      </w:pPr>
      <w:r>
        <w:rPr>
          <w:snapToGrid w:val="0"/>
        </w:rPr>
        <w:tab/>
        <w:t>(10)</w:t>
      </w:r>
      <w:r>
        <w:rPr>
          <w:snapToGrid w:val="0"/>
        </w:rPr>
        <w:tab/>
      </w:r>
      <w:r>
        <w:t xml:space="preserve">A corporation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pPr>
      <w:r>
        <w:tab/>
        <w:t>[Regulation 38 amended in Gazette 31 Mar 2006 p. 1335 and 1338</w:t>
      </w:r>
      <w:r>
        <w:noBreakHyphen/>
        <w:t>40.]</w:t>
      </w:r>
    </w:p>
    <w:p>
      <w:pPr>
        <w:pStyle w:val="Heading5"/>
        <w:rPr>
          <w:snapToGrid w:val="0"/>
        </w:rPr>
      </w:pPr>
      <w:bookmarkStart w:id="247" w:name="_Toc534108081"/>
      <w:bookmarkStart w:id="248" w:name="_Toc4983177"/>
      <w:bookmarkStart w:id="249" w:name="_Toc131823666"/>
      <w:bookmarkStart w:id="250" w:name="_Toc146530190"/>
      <w:r>
        <w:rPr>
          <w:rStyle w:val="CharSectno"/>
        </w:rPr>
        <w:t>39</w:t>
      </w:r>
      <w:r>
        <w:rPr>
          <w:snapToGrid w:val="0"/>
        </w:rPr>
        <w:t>.</w:t>
      </w:r>
      <w:r>
        <w:rPr>
          <w:snapToGrid w:val="0"/>
        </w:rPr>
        <w:tab/>
        <w:t>Commencement date</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r>
        <w:t xml:space="preserve">the corporation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r>
        <w:t xml:space="preserve">the corporation </w:t>
      </w:r>
      <w:r>
        <w:rPr>
          <w:snapToGrid w:val="0"/>
        </w:rPr>
        <w:t>is under no obligation to provide access services under that access agreement until that later day.</w:t>
      </w:r>
    </w:p>
    <w:p>
      <w:pPr>
        <w:pStyle w:val="Footnotesection"/>
      </w:pPr>
      <w:r>
        <w:tab/>
        <w:t>[Regulation 39 amended in Gazette 31 Mar 2006 p. 1339</w:t>
      </w:r>
      <w:r>
        <w:noBreakHyphen/>
        <w:t>40.]</w:t>
      </w:r>
    </w:p>
    <w:p>
      <w:pPr>
        <w:pStyle w:val="Heading2"/>
      </w:pPr>
      <w:bookmarkStart w:id="251" w:name="_Toc92191424"/>
      <w:bookmarkStart w:id="252" w:name="_Toc92191489"/>
      <w:bookmarkStart w:id="253" w:name="_Toc92254606"/>
      <w:bookmarkStart w:id="254" w:name="_Toc107388443"/>
      <w:bookmarkStart w:id="255" w:name="_Toc125447429"/>
      <w:bookmarkStart w:id="256" w:name="_Toc125452842"/>
      <w:bookmarkStart w:id="257" w:name="_Toc131823667"/>
      <w:bookmarkStart w:id="258" w:name="_Toc131823792"/>
      <w:bookmarkStart w:id="259" w:name="_Toc131917364"/>
      <w:bookmarkStart w:id="260" w:name="_Toc135112697"/>
      <w:bookmarkStart w:id="261" w:name="_Toc135207719"/>
      <w:bookmarkStart w:id="262" w:name="_Toc136160936"/>
      <w:bookmarkStart w:id="263" w:name="_Toc138497596"/>
      <w:bookmarkStart w:id="264" w:name="_Toc146527278"/>
      <w:bookmarkStart w:id="265" w:name="_Toc146530191"/>
      <w:r>
        <w:rPr>
          <w:rStyle w:val="CharPartNo"/>
        </w:rPr>
        <w:t>Part 7</w:t>
      </w:r>
      <w:r>
        <w:rPr>
          <w:rStyle w:val="CharDivNo"/>
        </w:rPr>
        <w:t> </w:t>
      </w:r>
      <w:r>
        <w:t>—</w:t>
      </w:r>
      <w:r>
        <w:rPr>
          <w:rStyle w:val="CharDivText"/>
        </w:rPr>
        <w:t> </w:t>
      </w:r>
      <w:r>
        <w:rPr>
          <w:rStyle w:val="CharPartText"/>
        </w:rPr>
        <w:t>Enforcement, liability and insurance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PartText"/>
        </w:rPr>
        <w:t xml:space="preserve"> </w:t>
      </w:r>
    </w:p>
    <w:p>
      <w:pPr>
        <w:pStyle w:val="Heading5"/>
        <w:rPr>
          <w:snapToGrid w:val="0"/>
        </w:rPr>
      </w:pPr>
      <w:bookmarkStart w:id="266" w:name="_Toc534108082"/>
      <w:bookmarkStart w:id="267" w:name="_Toc4983178"/>
      <w:bookmarkStart w:id="268" w:name="_Toc131823668"/>
      <w:bookmarkStart w:id="269" w:name="_Toc146530192"/>
      <w:r>
        <w:rPr>
          <w:rStyle w:val="CharSectno"/>
        </w:rPr>
        <w:t>40</w:t>
      </w:r>
      <w:r>
        <w:rPr>
          <w:snapToGrid w:val="0"/>
        </w:rPr>
        <w:t>.</w:t>
      </w:r>
      <w:r>
        <w:rPr>
          <w:snapToGrid w:val="0"/>
        </w:rPr>
        <w:tab/>
        <w:t>Enforcement</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b/>
          <w:snapToGrid w:val="0"/>
        </w:rPr>
        <w:t>“</w:t>
      </w:r>
      <w:r>
        <w:rPr>
          <w:rStyle w:val="CharDefText"/>
        </w:rPr>
        <w:t>default</w:t>
      </w:r>
      <w:r>
        <w:rPr>
          <w:b/>
          <w:snapToGrid w:val="0"/>
        </w:rPr>
        <w: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the corporation</w:t>
      </w:r>
      <w:r>
        <w:rPr>
          <w:snapToGrid w:val="0"/>
        </w:rPr>
        <w:t>’s rights under this regulation and is not to be taken as any commitment by the corporation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in Gazette 28 Dec 2001 p. 6719; 31 Mar 2006 p. 1338-41.]</w:t>
      </w:r>
    </w:p>
    <w:p>
      <w:pPr>
        <w:pStyle w:val="Heading5"/>
        <w:rPr>
          <w:snapToGrid w:val="0"/>
        </w:rPr>
      </w:pPr>
      <w:bookmarkStart w:id="270" w:name="_Toc534108083"/>
      <w:bookmarkStart w:id="271" w:name="_Toc4983179"/>
      <w:bookmarkStart w:id="272" w:name="_Toc131823669"/>
      <w:bookmarkStart w:id="273" w:name="_Toc146530193"/>
      <w:r>
        <w:rPr>
          <w:rStyle w:val="CharSectno"/>
        </w:rPr>
        <w:t>41</w:t>
      </w:r>
      <w:r>
        <w:rPr>
          <w:snapToGrid w:val="0"/>
        </w:rPr>
        <w:t>.</w:t>
      </w:r>
      <w:r>
        <w:rPr>
          <w:snapToGrid w:val="0"/>
        </w:rPr>
        <w:tab/>
        <w:t>Liability, insurance and indemnity</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direct damage</w:t>
      </w:r>
      <w:r>
        <w:rPr>
          <w:b/>
        </w:rPr>
        <w:t>”</w:t>
      </w:r>
      <w:r>
        <w:t xml:space="preserve"> suffered by a person means loss or damage suffered by the person which is not indirect damage;</w:t>
      </w:r>
    </w:p>
    <w:p>
      <w:pPr>
        <w:pStyle w:val="Defstart"/>
      </w:pPr>
      <w:r>
        <w:rPr>
          <w:b/>
        </w:rPr>
        <w:tab/>
        <w:t>“</w:t>
      </w:r>
      <w:r>
        <w:rPr>
          <w:rStyle w:val="CharDefText"/>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t>
      </w:r>
      <w:r>
        <w:t xml:space="preserve">a corporation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r>
      <w:r>
        <w:t xml:space="preserve">A corporation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r>
        <w:t xml:space="preserve">a corporation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which </w:t>
      </w:r>
      <w:r>
        <w:t xml:space="preserve">the corporation </w:t>
      </w:r>
      <w:r>
        <w:rPr>
          <w:snapToGrid w:val="0"/>
        </w:rPr>
        <w:t xml:space="preserve">may suffer because of the provision of or failure to provide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which </w:t>
      </w:r>
      <w:r>
        <w:t xml:space="preserve">the corporation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41 amended in Gazette 20 Jan 2006 p. 378; 31 Mar 2006 p. 1338-41.]</w:t>
      </w:r>
    </w:p>
    <w:p>
      <w:pPr>
        <w:pStyle w:val="Heading2"/>
      </w:pPr>
      <w:bookmarkStart w:id="274" w:name="_Toc92191427"/>
      <w:bookmarkStart w:id="275" w:name="_Toc92191492"/>
      <w:bookmarkStart w:id="276" w:name="_Toc92254609"/>
      <w:bookmarkStart w:id="277" w:name="_Toc107388446"/>
      <w:bookmarkStart w:id="278" w:name="_Toc125447432"/>
      <w:bookmarkStart w:id="279" w:name="_Toc125452845"/>
      <w:bookmarkStart w:id="280" w:name="_Toc131823670"/>
      <w:bookmarkStart w:id="281" w:name="_Toc131823795"/>
      <w:bookmarkStart w:id="282" w:name="_Toc131917367"/>
      <w:bookmarkStart w:id="283" w:name="_Toc135112700"/>
      <w:bookmarkStart w:id="284" w:name="_Toc135207722"/>
      <w:bookmarkStart w:id="285" w:name="_Toc136160939"/>
      <w:bookmarkStart w:id="286" w:name="_Toc138497599"/>
      <w:bookmarkStart w:id="287" w:name="_Toc146527281"/>
      <w:bookmarkStart w:id="288" w:name="_Toc146530194"/>
      <w:r>
        <w:rPr>
          <w:rStyle w:val="CharPartNo"/>
        </w:rPr>
        <w:t>Part 8</w:t>
      </w:r>
      <w:r>
        <w:rPr>
          <w:rStyle w:val="CharDivNo"/>
        </w:rPr>
        <w:t> </w:t>
      </w:r>
      <w:r>
        <w:t>—</w:t>
      </w:r>
      <w:r>
        <w:rPr>
          <w:rStyle w:val="CharDivText"/>
        </w:rPr>
        <w:t> </w:t>
      </w:r>
      <w:r>
        <w:rPr>
          <w:rStyle w:val="CharPartText"/>
        </w:rPr>
        <w:t>Other matters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PartText"/>
        </w:rPr>
        <w:t xml:space="preserve"> </w:t>
      </w:r>
    </w:p>
    <w:p>
      <w:pPr>
        <w:pStyle w:val="Ednotesection"/>
        <w:rPr>
          <w:rStyle w:val="CharSectno"/>
        </w:rPr>
      </w:pPr>
      <w:bookmarkStart w:id="289" w:name="_Toc534108085"/>
      <w:bookmarkStart w:id="290" w:name="_Toc4983181"/>
      <w:bookmarkStart w:id="291" w:name="_Toc131823672"/>
      <w:r>
        <w:rPr>
          <w:rStyle w:val="CharSectno"/>
        </w:rPr>
        <w:t>[</w:t>
      </w:r>
      <w:r>
        <w:rPr>
          <w:rStyle w:val="CharSectno"/>
          <w:b/>
        </w:rPr>
        <w:t>42.</w:t>
      </w:r>
      <w:r>
        <w:rPr>
          <w:rStyle w:val="CharSectno"/>
        </w:rPr>
        <w:tab/>
        <w:t xml:space="preserve">Repealed in Gazette </w:t>
      </w:r>
      <w:r>
        <w:t>25 Aug 2006 p. 3499.]</w:t>
      </w:r>
    </w:p>
    <w:p>
      <w:pPr>
        <w:pStyle w:val="Heading5"/>
        <w:rPr>
          <w:snapToGrid w:val="0"/>
        </w:rPr>
      </w:pPr>
      <w:bookmarkStart w:id="292" w:name="_Toc146530195"/>
      <w:r>
        <w:rPr>
          <w:rStyle w:val="CharSectno"/>
        </w:rPr>
        <w:t>43</w:t>
      </w:r>
      <w:r>
        <w:rPr>
          <w:snapToGrid w:val="0"/>
        </w:rPr>
        <w:t>.</w:t>
      </w:r>
      <w:r>
        <w:rPr>
          <w:snapToGrid w:val="0"/>
        </w:rPr>
        <w:tab/>
        <w:t>Prudential requirements</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A user other than </w:t>
      </w:r>
      <w:r>
        <w:t>the Electricity Generation Corporation or the Electricity Retail Corporation</w:t>
      </w:r>
      <w:r>
        <w:rPr>
          <w:snapToGrid w:val="0"/>
        </w:rPr>
        <w:t xml:space="preserve"> must provide and maintain a bank guarantee in a form and with a bank acceptable to </w:t>
      </w:r>
      <w:r>
        <w:t xml:space="preserve">a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43 amended in Gazette 31 Mar 2006 p. 1336 and 1338</w:t>
      </w:r>
      <w:r>
        <w:noBreakHyphen/>
        <w:t>40.]</w:t>
      </w:r>
    </w:p>
    <w:p>
      <w:pPr>
        <w:pStyle w:val="Heading5"/>
        <w:rPr>
          <w:snapToGrid w:val="0"/>
        </w:rPr>
      </w:pPr>
      <w:bookmarkStart w:id="293" w:name="_Toc534108086"/>
      <w:bookmarkStart w:id="294" w:name="_Toc4983182"/>
      <w:bookmarkStart w:id="295" w:name="_Toc131823673"/>
      <w:bookmarkStart w:id="296" w:name="_Toc146530196"/>
      <w:r>
        <w:rPr>
          <w:rStyle w:val="CharSectno"/>
        </w:rPr>
        <w:t>44</w:t>
      </w:r>
      <w:r>
        <w:rPr>
          <w:snapToGrid w:val="0"/>
        </w:rPr>
        <w:t>.</w:t>
      </w:r>
      <w:r>
        <w:rPr>
          <w:snapToGrid w:val="0"/>
        </w:rPr>
        <w:tab/>
        <w:t>Title to electricity</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r>
        <w:t xml:space="preserve">a corporation </w:t>
      </w:r>
      <w:r>
        <w:rPr>
          <w:snapToGrid w:val="0"/>
        </w:rPr>
        <w:t>at the time it passes through the relevant connection.</w:t>
      </w:r>
    </w:p>
    <w:p>
      <w:pPr>
        <w:pStyle w:val="Subsection"/>
        <w:rPr>
          <w:snapToGrid w:val="0"/>
        </w:rPr>
      </w:pPr>
      <w:r>
        <w:rPr>
          <w:snapToGrid w:val="0"/>
        </w:rPr>
        <w:tab/>
        <w:t>(2)</w:t>
      </w:r>
      <w:r>
        <w:rPr>
          <w:snapToGrid w:val="0"/>
        </w:rPr>
        <w:tab/>
        <w:t xml:space="preserve">Title to, and risk in, electricity which is transferred from the electricity transmission network passes from </w:t>
      </w:r>
      <w:r>
        <w:t xml:space="preserve">a corporation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in Gazette 28 Dec 2001 p. 6719; 31 Mar 2006 p. 1338</w:t>
      </w:r>
      <w:r>
        <w:noBreakHyphen/>
        <w:t>9.]</w:t>
      </w:r>
    </w:p>
    <w:p>
      <w:pPr>
        <w:pStyle w:val="Heading5"/>
        <w:rPr>
          <w:snapToGrid w:val="0"/>
        </w:rPr>
      </w:pPr>
      <w:bookmarkStart w:id="297" w:name="_Toc534108087"/>
      <w:bookmarkStart w:id="298" w:name="_Toc4983183"/>
      <w:bookmarkStart w:id="299" w:name="_Toc131823674"/>
      <w:bookmarkStart w:id="300" w:name="_Toc146530197"/>
      <w:r>
        <w:rPr>
          <w:rStyle w:val="CharSectno"/>
        </w:rPr>
        <w:t>45</w:t>
      </w:r>
      <w:r>
        <w:rPr>
          <w:snapToGrid w:val="0"/>
        </w:rPr>
        <w:t>.</w:t>
      </w:r>
      <w:r>
        <w:rPr>
          <w:snapToGrid w:val="0"/>
        </w:rPr>
        <w:tab/>
        <w:t>Assignment of access agreements</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an access agreement or a grant of access under clause 2 of Schedule 5 to the Act;</w:t>
      </w:r>
    </w:p>
    <w:p>
      <w:pPr>
        <w:pStyle w:val="Indenta"/>
        <w:rPr>
          <w:snapToGrid w:val="0"/>
        </w:rPr>
      </w:pPr>
      <w:r>
        <w:rPr>
          <w:snapToGrid w:val="0"/>
        </w:rPr>
        <w:tab/>
        <w:t>(b)</w:t>
      </w:r>
      <w:r>
        <w:rPr>
          <w:snapToGrid w:val="0"/>
        </w:rPr>
        <w:tab/>
        <w:t>subcontract the performance of its obligations under an access agreement or a grant of access under clause 2 of Schedule 5 to the Act;</w:t>
      </w:r>
    </w:p>
    <w:p>
      <w:pPr>
        <w:pStyle w:val="Indenta"/>
        <w:rPr>
          <w:snapToGrid w:val="0"/>
        </w:rPr>
      </w:pPr>
      <w:r>
        <w:rPr>
          <w:snapToGrid w:val="0"/>
        </w:rPr>
        <w:tab/>
        <w:t>(c)</w:t>
      </w:r>
      <w:r>
        <w:rPr>
          <w:snapToGrid w:val="0"/>
        </w:rPr>
        <w:tab/>
        <w:t>create an encumbrance over any of its rights or obligations under an access agreement or a grant of access under clause 2 of Schedule 5 to the Act,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an access agreement to any person who may own or operate all or any part of the electricity transmission network.</w:t>
      </w:r>
    </w:p>
    <w:p>
      <w:pPr>
        <w:pStyle w:val="Footnotesection"/>
      </w:pPr>
      <w:r>
        <w:tab/>
        <w:t>[Regulation 45 amended in Gazette 31 Mar 2006 p. 1338-40.]</w:t>
      </w:r>
    </w:p>
    <w:p>
      <w:pPr>
        <w:pStyle w:val="Heading5"/>
        <w:rPr>
          <w:snapToGrid w:val="0"/>
        </w:rPr>
      </w:pPr>
      <w:bookmarkStart w:id="301" w:name="_Toc534108088"/>
      <w:bookmarkStart w:id="302" w:name="_Toc4983184"/>
      <w:bookmarkStart w:id="303" w:name="_Toc131823675"/>
      <w:bookmarkStart w:id="304" w:name="_Toc146530198"/>
      <w:r>
        <w:rPr>
          <w:rStyle w:val="CharSectno"/>
        </w:rPr>
        <w:t>46</w:t>
      </w:r>
      <w:r>
        <w:rPr>
          <w:snapToGrid w:val="0"/>
        </w:rPr>
        <w:t>.</w:t>
      </w:r>
      <w:r>
        <w:rPr>
          <w:snapToGrid w:val="0"/>
        </w:rPr>
        <w:tab/>
        <w:t>Essential terms</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5 of the Act:</w:t>
      </w: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160"/>
              <w:rPr>
                <w:snapToGrid w:val="0"/>
                <w:sz w:val="24"/>
              </w:rPr>
            </w:pPr>
            <w:r>
              <w:rPr>
                <w:snapToGrid w:val="0"/>
                <w:sz w:val="24"/>
              </w:rPr>
              <w:t>Part 3</w:t>
            </w:r>
          </w:p>
        </w:tc>
        <w:tc>
          <w:tcPr>
            <w:tcW w:w="2268" w:type="dxa"/>
          </w:tcPr>
          <w:p>
            <w:pPr>
              <w:pStyle w:val="Table"/>
              <w:spacing w:before="16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Heading5"/>
        <w:rPr>
          <w:snapToGrid w:val="0"/>
        </w:rPr>
      </w:pPr>
      <w:bookmarkStart w:id="305" w:name="_Toc534108089"/>
      <w:bookmarkStart w:id="306" w:name="_Toc4983185"/>
      <w:bookmarkStart w:id="307" w:name="_Toc131823676"/>
      <w:bookmarkStart w:id="308" w:name="_Toc146530199"/>
      <w:r>
        <w:rPr>
          <w:rStyle w:val="CharSectno"/>
        </w:rPr>
        <w:t>47</w:t>
      </w:r>
      <w:r>
        <w:rPr>
          <w:snapToGrid w:val="0"/>
        </w:rPr>
        <w:t>.</w:t>
      </w:r>
      <w:r>
        <w:rPr>
          <w:snapToGrid w:val="0"/>
        </w:rPr>
        <w:tab/>
        <w:t>Representations and warranties</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an access agreement is or may be outstanding.</w:t>
      </w:r>
    </w:p>
    <w:p>
      <w:pPr>
        <w:pStyle w:val="Footnotesection"/>
      </w:pPr>
      <w:r>
        <w:tab/>
        <w:t>[Regulation 47 amended in Gazette 31 Mar 2006 p. 1339-40.]</w:t>
      </w:r>
    </w:p>
    <w:p>
      <w:pPr>
        <w:pStyle w:val="Heading5"/>
        <w:rPr>
          <w:snapToGrid w:val="0"/>
        </w:rPr>
      </w:pPr>
      <w:bookmarkStart w:id="309" w:name="_Toc534108090"/>
      <w:bookmarkStart w:id="310" w:name="_Toc4983186"/>
      <w:bookmarkStart w:id="311" w:name="_Toc131823677"/>
      <w:bookmarkStart w:id="312" w:name="_Toc146530200"/>
      <w:r>
        <w:rPr>
          <w:rStyle w:val="CharSectno"/>
        </w:rPr>
        <w:t>48</w:t>
      </w:r>
      <w:r>
        <w:rPr>
          <w:snapToGrid w:val="0"/>
        </w:rPr>
        <w:t>.</w:t>
      </w:r>
      <w:r>
        <w:rPr>
          <w:snapToGrid w:val="0"/>
        </w:rPr>
        <w:tab/>
        <w:t>Payment arrangements</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access services, and a user must pay those charges, in accordance with the procedures set out in the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access agreement between the user and</w:t>
      </w:r>
      <w:r>
        <w:t xml:space="preserve"> the corporation</w:t>
      </w:r>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w:t>
      </w:r>
      <w:r>
        <w:t xml:space="preserve"> a corporation</w:t>
      </w:r>
      <w:r>
        <w:rPr>
          <w:snapToGrid w:val="0"/>
        </w:rPr>
        <w:t>.</w:t>
      </w:r>
    </w:p>
    <w:p>
      <w:pPr>
        <w:pStyle w:val="Footnotesection"/>
      </w:pPr>
      <w:r>
        <w:tab/>
        <w:t>[Regulation 48 amended in Gazette 31 Mar 2006 p. 1338-40.]</w:t>
      </w:r>
    </w:p>
    <w:p>
      <w:pPr>
        <w:pStyle w:val="Heading2"/>
      </w:pPr>
      <w:bookmarkStart w:id="313" w:name="_Toc92191435"/>
      <w:bookmarkStart w:id="314" w:name="_Toc92191500"/>
      <w:bookmarkStart w:id="315" w:name="_Toc92254617"/>
      <w:bookmarkStart w:id="316" w:name="_Toc107388454"/>
      <w:bookmarkStart w:id="317" w:name="_Toc125447440"/>
      <w:bookmarkStart w:id="318" w:name="_Toc125452853"/>
      <w:bookmarkStart w:id="319" w:name="_Toc131823678"/>
      <w:bookmarkStart w:id="320" w:name="_Toc131823803"/>
      <w:bookmarkStart w:id="321" w:name="_Toc131917375"/>
      <w:bookmarkStart w:id="322" w:name="_Toc135112708"/>
      <w:bookmarkStart w:id="323" w:name="_Toc135207730"/>
      <w:bookmarkStart w:id="324" w:name="_Toc136160947"/>
      <w:bookmarkStart w:id="325" w:name="_Toc138497607"/>
      <w:bookmarkStart w:id="326" w:name="_Toc146527289"/>
      <w:bookmarkStart w:id="327" w:name="_Toc146530201"/>
      <w:r>
        <w:rPr>
          <w:rStyle w:val="CharPartNo"/>
        </w:rPr>
        <w:t>Part 9</w:t>
      </w:r>
      <w:r>
        <w:rPr>
          <w:rStyle w:val="CharDivNo"/>
        </w:rPr>
        <w:t> </w:t>
      </w:r>
      <w:r>
        <w:t>—</w:t>
      </w:r>
      <w:r>
        <w:rPr>
          <w:rStyle w:val="CharDivText"/>
        </w:rPr>
        <w:t> </w:t>
      </w:r>
      <w:r>
        <w:rPr>
          <w:rStyle w:val="CharPartText"/>
        </w:rPr>
        <w:t>Committed capacity and transitional provisions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pPr>
      <w:bookmarkStart w:id="328" w:name="_Toc131823680"/>
      <w:bookmarkStart w:id="329" w:name="_Toc146530202"/>
      <w:bookmarkStart w:id="330" w:name="_Toc534108092"/>
      <w:bookmarkStart w:id="331" w:name="_Toc4983188"/>
      <w:r>
        <w:rPr>
          <w:rStyle w:val="CharSectno"/>
        </w:rPr>
        <w:t>49</w:t>
      </w:r>
      <w:r>
        <w:t>.</w:t>
      </w:r>
      <w:r>
        <w:tab/>
        <w:t>Regional Power Corporation’s existing capacity</w:t>
      </w:r>
      <w:bookmarkEnd w:id="328"/>
      <w:bookmarkEnd w:id="329"/>
    </w:p>
    <w:p>
      <w:pPr>
        <w:pStyle w:val="Subsection"/>
      </w:pPr>
      <w:r>
        <w:tab/>
      </w:r>
      <w:r>
        <w:tab/>
        <w:t>The Regional Power Corporation must on or before 1 May 2006 publish a description of the electricity transmission capacity utilised by that corporation, in its role as a retailer of electricity, as at 1 April 2006 and that electricity transmission capacity is to be taken to be committed to that corporation.</w:t>
      </w:r>
    </w:p>
    <w:p>
      <w:pPr>
        <w:pStyle w:val="Footnotesection"/>
      </w:pPr>
      <w:r>
        <w:tab/>
        <w:t>[Regulation 49 inserted in Gazette 31 Mar 2006 p. 1336</w:t>
      </w:r>
      <w:r>
        <w:noBreakHyphen/>
        <w:t>7.]</w:t>
      </w:r>
    </w:p>
    <w:p>
      <w:pPr>
        <w:pStyle w:val="Heading5"/>
      </w:pPr>
      <w:bookmarkStart w:id="332" w:name="_Toc131823681"/>
      <w:bookmarkStart w:id="333" w:name="_Toc146530203"/>
      <w:r>
        <w:rPr>
          <w:rStyle w:val="CharSectno"/>
        </w:rPr>
        <w:t>49A</w:t>
      </w:r>
      <w:r>
        <w:t>.</w:t>
      </w:r>
      <w:r>
        <w:tab/>
        <w:t>Contract maximum demand for existing connections</w:t>
      </w:r>
      <w:bookmarkEnd w:id="332"/>
      <w:bookmarkEnd w:id="333"/>
    </w:p>
    <w:p>
      <w:pPr>
        <w:pStyle w:val="Subsection"/>
      </w:pPr>
      <w:r>
        <w:tab/>
      </w:r>
      <w:r>
        <w:tab/>
        <w:t>The contract maximum demand in respect of an existing connection as at 1 April 2006 is the figure published in respect of the connection by a corporation on or before 1 May 2006.</w:t>
      </w:r>
    </w:p>
    <w:p>
      <w:pPr>
        <w:pStyle w:val="Footnotesection"/>
      </w:pPr>
      <w:r>
        <w:tab/>
        <w:t>[Regulation 49A inserted in Gazette 31 Mar 2006 p. 1337.]</w:t>
      </w:r>
    </w:p>
    <w:p>
      <w:pPr>
        <w:pStyle w:val="Heading5"/>
        <w:rPr>
          <w:snapToGrid w:val="0"/>
        </w:rPr>
      </w:pPr>
      <w:bookmarkStart w:id="334" w:name="_Toc131823682"/>
      <w:bookmarkStart w:id="335" w:name="_Toc146530204"/>
      <w:r>
        <w:rPr>
          <w:rStyle w:val="CharSectno"/>
        </w:rPr>
        <w:t>50</w:t>
      </w:r>
      <w:r>
        <w:rPr>
          <w:snapToGrid w:val="0"/>
        </w:rPr>
        <w:t>.</w:t>
      </w:r>
      <w:r>
        <w:rPr>
          <w:snapToGrid w:val="0"/>
        </w:rPr>
        <w:tab/>
        <w:t>Existing agreements</w:t>
      </w:r>
      <w:bookmarkEnd w:id="330"/>
      <w:bookmarkEnd w:id="331"/>
      <w:bookmarkEnd w:id="334"/>
      <w:bookmarkEnd w:id="335"/>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pPr>
      <w:r>
        <w:tab/>
        <w:t>[Regulation 50 amended in Gazette 31 Mar 2006 p. 1338</w:t>
      </w:r>
      <w:r>
        <w:noBreakHyphen/>
        <w:t>9.]</w:t>
      </w:r>
    </w:p>
    <w:p>
      <w:pPr>
        <w:rPr>
          <w:rStyle w:val="CharDivText"/>
        </w:rPr>
        <w:sectPr>
          <w:headerReference w:type="even" r:id="rId38"/>
          <w:headerReference w:type="default" r:id="rId39"/>
          <w:footerReference w:type="even" r:id="rId40"/>
          <w:footerReference w:type="default" r:id="rId41"/>
          <w:headerReference w:type="first" r:id="rId42"/>
          <w:footerReference w:type="first" r:id="rId43"/>
          <w:pgSz w:w="11906" w:h="16838" w:code="9"/>
          <w:pgMar w:top="2381" w:right="2409" w:bottom="3543" w:left="2409" w:header="720" w:footer="3380" w:gutter="0"/>
          <w:pgNumType w:start="1"/>
          <w:cols w:space="720"/>
          <w:noEndnote/>
          <w:titlePg/>
          <w:docGrid w:linePitch="326"/>
        </w:sectPr>
      </w:pPr>
    </w:p>
    <w:p>
      <w:pPr>
        <w:pStyle w:val="yScheduleHeading"/>
      </w:pPr>
      <w:bookmarkStart w:id="336" w:name="_Toc125452856"/>
      <w:bookmarkStart w:id="337" w:name="_Toc131823683"/>
      <w:bookmarkStart w:id="338" w:name="_Toc131823808"/>
      <w:bookmarkStart w:id="339" w:name="_Toc131917379"/>
      <w:bookmarkStart w:id="340" w:name="_Toc135112712"/>
      <w:bookmarkStart w:id="341" w:name="_Toc135207734"/>
      <w:bookmarkStart w:id="342" w:name="_Toc136160951"/>
      <w:bookmarkStart w:id="343" w:name="_Toc138497611"/>
      <w:bookmarkStart w:id="344" w:name="_Toc146527293"/>
      <w:bookmarkStart w:id="345" w:name="_Toc146530205"/>
      <w:r>
        <w:rPr>
          <w:rStyle w:val="CharSchNo"/>
        </w:rPr>
        <w:t>Schedule 1</w:t>
      </w:r>
      <w:r>
        <w:rPr>
          <w:rStyle w:val="CharSDivNo"/>
          <w:sz w:val="28"/>
        </w:rPr>
        <w:t> </w:t>
      </w:r>
      <w:r>
        <w:t>—</w:t>
      </w:r>
      <w:r>
        <w:rPr>
          <w:rStyle w:val="CharSDivText"/>
          <w:sz w:val="28"/>
        </w:rPr>
        <w:t> </w:t>
      </w:r>
      <w:r>
        <w:rPr>
          <w:rStyle w:val="CharSchText"/>
        </w:rPr>
        <w:t>Access application flow chart</w:t>
      </w:r>
      <w:bookmarkEnd w:id="336"/>
      <w:bookmarkEnd w:id="337"/>
      <w:bookmarkEnd w:id="338"/>
      <w:bookmarkEnd w:id="339"/>
      <w:bookmarkEnd w:id="340"/>
      <w:bookmarkEnd w:id="341"/>
      <w:bookmarkEnd w:id="342"/>
      <w:bookmarkEnd w:id="343"/>
      <w:bookmarkEnd w:id="344"/>
      <w:bookmarkEnd w:id="345"/>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2"/>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tabs>
                <w:tab w:val="left" w:pos="298"/>
              </w:tabs>
              <w:ind w:left="298" w:hanging="298"/>
              <w:rPr>
                <w:snapToGrid w:val="0"/>
              </w:rPr>
            </w:pPr>
            <w:r>
              <w:rPr>
                <w:snapToGrid w:val="0"/>
              </w:rPr>
              <w:t>3.</w:t>
            </w:r>
            <w:r>
              <w:rPr>
                <w:snapToGrid w:val="0"/>
              </w:rPr>
              <w:tab/>
              <w:t>Prepare written response to access application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4"/>
              </w:numPr>
              <w:tabs>
                <w:tab w:val="clear" w:pos="360"/>
              </w:tabs>
              <w:spacing w:before="0"/>
              <w:ind w:left="602" w:hanging="284"/>
              <w:rPr>
                <w:snapToGrid w:val="0"/>
              </w:rPr>
            </w:pPr>
            <w:r>
              <w:rPr>
                <w:snapToGrid w:val="0"/>
              </w:rPr>
              <w:t>time for preliminary assessment</w:t>
            </w:r>
          </w:p>
          <w:p>
            <w:pPr>
              <w:pStyle w:val="yTable"/>
              <w:numPr>
                <w:ilvl w:val="0"/>
                <w:numId w:val="14"/>
              </w:numPr>
              <w:tabs>
                <w:tab w:val="clear" w:pos="360"/>
              </w:tabs>
              <w:spacing w:before="0"/>
              <w:ind w:left="601" w:hanging="283"/>
              <w:rPr>
                <w:snapToGrid w:val="0"/>
              </w:rPr>
            </w:pPr>
            <w:r>
              <w:rPr>
                <w:snapToGrid w:val="0"/>
              </w:rPr>
              <w:t>time to make access offer.</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3"/>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3"/>
            <w:vMerge/>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3"/>
            <w:vMerge/>
            <w:tcBorders>
              <w:bottom w:val="nil"/>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3790" w:type="dxa"/>
            <w:gridSpan w:val="3"/>
            <w:tcBorders>
              <w:top w:val="single" w:sz="4" w:space="0" w:color="auto"/>
              <w:left w:val="nil"/>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tcBorders>
          </w:tcPr>
          <w:p>
            <w:pPr>
              <w:pStyle w:val="yTable"/>
              <w:rPr>
                <w:snapToGrid w:val="0"/>
                <w:sz w:val="6"/>
              </w:rPr>
            </w:pPr>
          </w:p>
        </w:tc>
        <w:tc>
          <w:tcPr>
            <w:tcW w:w="3790" w:type="dxa"/>
            <w:gridSpan w:val="3"/>
            <w:vMerge w:val="restart"/>
            <w:tcBorders>
              <w:top w:val="nil"/>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tcBorders>
          </w:tcPr>
          <w:p>
            <w:pPr>
              <w:pStyle w:val="yTable"/>
              <w:rPr>
                <w:snapToGrid w:val="0"/>
                <w:sz w:val="6"/>
              </w:rPr>
            </w:pPr>
          </w:p>
        </w:tc>
        <w:tc>
          <w:tcPr>
            <w:tcW w:w="3790" w:type="dxa"/>
            <w:gridSpan w:val="3"/>
            <w:vMerge/>
          </w:tcPr>
          <w:p>
            <w:pPr>
              <w:pStyle w:val="yTable"/>
              <w:rPr>
                <w:snapToGrid w:val="0"/>
                <w:sz w:val="6"/>
              </w:rPr>
            </w:pPr>
          </w:p>
        </w:tc>
      </w:tr>
    </w:tbl>
    <w:p>
      <w:pPr>
        <w:rPr>
          <w:snapToGrid w:val="0"/>
        </w:rPr>
      </w:pPr>
    </w:p>
    <w:p>
      <w:pPr>
        <w:pStyle w:val="NotesPerm"/>
        <w:rPr>
          <w:snapToGrid w:val="0"/>
        </w:rPr>
      </w:pPr>
      <w:r>
        <w:rPr>
          <w:snapToGrid w:val="0"/>
        </w:rPr>
        <w:t>NOTE:</w:t>
      </w:r>
      <w:r>
        <w:rPr>
          <w:snapToGrid w:val="0"/>
        </w:rPr>
        <w:tab/>
        <w:t>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pPr>
      <w:r>
        <w:tab/>
        <w:t>[Schedule 1 amended in Gazette 31 Mar 2006 p. 1337.]</w:t>
      </w:r>
    </w:p>
    <w:p>
      <w:pPr>
        <w:pStyle w:val="yScheduleHeading"/>
      </w:pPr>
      <w:bookmarkStart w:id="346" w:name="_Toc125452857"/>
      <w:bookmarkStart w:id="347" w:name="_Toc131823684"/>
      <w:bookmarkStart w:id="348" w:name="_Toc131823809"/>
      <w:bookmarkStart w:id="349" w:name="_Toc131917380"/>
      <w:bookmarkStart w:id="350" w:name="_Toc135112713"/>
      <w:bookmarkStart w:id="351" w:name="_Toc135207735"/>
      <w:bookmarkStart w:id="352" w:name="_Toc136160952"/>
      <w:bookmarkStart w:id="353" w:name="_Toc138497612"/>
      <w:bookmarkStart w:id="354" w:name="_Toc146527294"/>
      <w:bookmarkStart w:id="355" w:name="_Toc146530206"/>
      <w:r>
        <w:rPr>
          <w:rStyle w:val="CharSchNo"/>
        </w:rPr>
        <w:t>Schedule 2</w:t>
      </w:r>
      <w:r>
        <w:t> — </w:t>
      </w:r>
      <w:r>
        <w:rPr>
          <w:rStyle w:val="CharSchText"/>
        </w:rPr>
        <w:t>Access information</w:t>
      </w:r>
      <w:bookmarkEnd w:id="346"/>
      <w:bookmarkEnd w:id="347"/>
      <w:bookmarkEnd w:id="348"/>
      <w:bookmarkEnd w:id="349"/>
      <w:bookmarkEnd w:id="350"/>
      <w:bookmarkEnd w:id="351"/>
      <w:bookmarkEnd w:id="352"/>
      <w:bookmarkEnd w:id="353"/>
      <w:bookmarkEnd w:id="354"/>
      <w:bookmarkEnd w:id="355"/>
      <w:r>
        <w:t xml:space="preserve"> </w:t>
      </w:r>
    </w:p>
    <w:p>
      <w:pPr>
        <w:pStyle w:val="yShoulderClause"/>
        <w:rPr>
          <w:snapToGrid w:val="0"/>
        </w:rPr>
      </w:pPr>
      <w:r>
        <w:rPr>
          <w:snapToGrid w:val="0"/>
        </w:rPr>
        <w:t>[r. 8(4) &amp; (6)]</w:t>
      </w:r>
    </w:p>
    <w:p>
      <w:pPr>
        <w:pStyle w:val="yScheduleHeading2"/>
      </w:pPr>
      <w:r>
        <w:rPr>
          <w:rStyle w:val="CharSDivNo"/>
          <w:sz w:val="28"/>
        </w:rPr>
        <w:t>Part A</w:t>
      </w:r>
      <w:r>
        <w:t> — </w:t>
      </w:r>
      <w:r>
        <w:rPr>
          <w:rStyle w:val="CharSDivText"/>
          <w:sz w:val="28"/>
        </w:rPr>
        <w:t>Information to be included in an access application</w:t>
      </w:r>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r>
        <w:t xml:space="preserve">electricity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the corporation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the corporation.</w:t>
      </w:r>
    </w:p>
    <w:p>
      <w:pPr>
        <w:pStyle w:val="yFootnotesection"/>
      </w:pPr>
      <w:r>
        <w:tab/>
        <w:t>[Part A amended in Gazette 24 Jun 2005 p. 2754; 31 Mar 2006 p. 1337.]</w:t>
      </w:r>
    </w:p>
    <w:p>
      <w:pPr>
        <w:pStyle w:val="yScheduleHeading2"/>
      </w:pPr>
      <w:r>
        <w:rPr>
          <w:rStyle w:val="CharSDivNo"/>
          <w:sz w:val="28"/>
        </w:rPr>
        <w:t>Part B</w:t>
      </w:r>
      <w:r>
        <w:t> — </w:t>
      </w:r>
      <w:r>
        <w:rPr>
          <w:rStyle w:val="CharSDivText"/>
          <w:sz w:val="28"/>
        </w:rPr>
        <w:t>Information to be included in a response</w:t>
      </w:r>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the corporation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pPr>
      <w:r>
        <w:tab/>
        <w:t>[Part B amended in Gazette 31 Mar 2006 p. 1337.]</w:t>
      </w:r>
    </w:p>
    <w:p>
      <w:pPr>
        <w:pStyle w:val="yScheduleHeading"/>
      </w:pPr>
      <w:bookmarkStart w:id="356" w:name="_Toc125452858"/>
      <w:bookmarkStart w:id="357" w:name="_Toc131823685"/>
      <w:bookmarkStart w:id="358" w:name="_Toc131823810"/>
      <w:bookmarkStart w:id="359" w:name="_Toc131917381"/>
      <w:bookmarkStart w:id="360" w:name="_Toc135112714"/>
      <w:bookmarkStart w:id="361" w:name="_Toc135207736"/>
      <w:bookmarkStart w:id="362" w:name="_Toc136160953"/>
      <w:bookmarkStart w:id="363" w:name="_Toc138497613"/>
      <w:bookmarkStart w:id="364" w:name="_Toc146527295"/>
      <w:bookmarkStart w:id="365" w:name="_Toc146530207"/>
      <w:r>
        <w:rPr>
          <w:rStyle w:val="CharSchNo"/>
        </w:rPr>
        <w:t>Schedule 3</w:t>
      </w:r>
      <w:r>
        <w:rPr>
          <w:rStyle w:val="CharSDivNo"/>
          <w:sz w:val="28"/>
        </w:rPr>
        <w:t> </w:t>
      </w:r>
      <w:r>
        <w:t>—</w:t>
      </w:r>
      <w:r>
        <w:rPr>
          <w:rStyle w:val="CharSDivText"/>
          <w:sz w:val="28"/>
        </w:rPr>
        <w:t> </w:t>
      </w:r>
      <w:r>
        <w:rPr>
          <w:rStyle w:val="CharSchText"/>
        </w:rPr>
        <w:t>Terms of an access offer</w:t>
      </w:r>
      <w:bookmarkEnd w:id="356"/>
      <w:bookmarkEnd w:id="357"/>
      <w:bookmarkEnd w:id="358"/>
      <w:bookmarkEnd w:id="359"/>
      <w:bookmarkEnd w:id="360"/>
      <w:bookmarkEnd w:id="361"/>
      <w:bookmarkEnd w:id="362"/>
      <w:bookmarkEnd w:id="363"/>
      <w:bookmarkEnd w:id="364"/>
      <w:bookmarkEnd w:id="365"/>
      <w:r>
        <w:t xml:space="preserve"> </w:t>
      </w:r>
    </w:p>
    <w:p>
      <w:pPr>
        <w:pStyle w:val="yShoulderClause"/>
        <w:rPr>
          <w:snapToGrid w:val="0"/>
        </w:rPr>
      </w:pPr>
      <w:r>
        <w:rPr>
          <w:snapToGrid w:val="0"/>
        </w:rPr>
        <w:t>[r. 11(3)]</w:t>
      </w:r>
    </w:p>
    <w:p>
      <w:pPr>
        <w:pStyle w:val="yMiscellaneousBody"/>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6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6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6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6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6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60"/>
        <w:ind w:left="1134" w:hanging="1134"/>
        <w:rPr>
          <w:snapToGrid w:val="0"/>
        </w:rPr>
      </w:pPr>
      <w:r>
        <w:rPr>
          <w:snapToGrid w:val="0"/>
        </w:rPr>
        <w:tab/>
        <w:t>(f)</w:t>
      </w:r>
      <w:r>
        <w:rPr>
          <w:snapToGrid w:val="0"/>
        </w:rPr>
        <w:tab/>
        <w:t>the payment conditions;</w:t>
      </w:r>
    </w:p>
    <w:p>
      <w:pPr>
        <w:pStyle w:val="yMiscellaneousBody"/>
        <w:tabs>
          <w:tab w:val="left" w:pos="567"/>
        </w:tabs>
        <w:spacing w:before="6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6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6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6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6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6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6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in Gazette 24 Jun 2005 p. 2754.]</w:t>
      </w:r>
    </w:p>
    <w:p>
      <w:pPr>
        <w:pStyle w:val="yEdnoteschedule"/>
      </w:pPr>
      <w:r>
        <w:t>[Schedule 4 repealed in Gazette 29 Oct 2002 p. 5344.]</w:t>
      </w:r>
    </w:p>
    <w:p>
      <w:pPr>
        <w:sectPr>
          <w:headerReference w:type="even" r:id="rId44"/>
          <w:headerReference w:type="default" r:id="rId45"/>
          <w:headerReference w:type="first" r:id="rId46"/>
          <w:pgSz w:w="11906" w:h="16838" w:code="9"/>
          <w:pgMar w:top="2381" w:right="2409" w:bottom="3543" w:left="2409" w:header="720" w:footer="3380" w:gutter="0"/>
          <w:cols w:space="720"/>
          <w:noEndnote/>
          <w:docGrid w:linePitch="326"/>
        </w:sectPr>
      </w:pPr>
    </w:p>
    <w:p>
      <w:pPr>
        <w:pStyle w:val="nHeading2"/>
      </w:pPr>
      <w:bookmarkStart w:id="366" w:name="_Toc92191441"/>
      <w:bookmarkStart w:id="367" w:name="_Toc92191506"/>
      <w:bookmarkStart w:id="368" w:name="_Toc92254623"/>
      <w:bookmarkStart w:id="369" w:name="_Toc107388460"/>
      <w:bookmarkStart w:id="370" w:name="_Toc125447446"/>
      <w:bookmarkStart w:id="371" w:name="_Toc125452859"/>
      <w:bookmarkStart w:id="372" w:name="_Toc131823686"/>
      <w:bookmarkStart w:id="373" w:name="_Toc131823811"/>
      <w:bookmarkStart w:id="374" w:name="_Toc131917382"/>
      <w:bookmarkStart w:id="375" w:name="_Toc135112715"/>
      <w:bookmarkStart w:id="376" w:name="_Toc135207737"/>
      <w:bookmarkStart w:id="377" w:name="_Toc136160954"/>
      <w:bookmarkStart w:id="378" w:name="_Toc138497614"/>
      <w:bookmarkStart w:id="379" w:name="_Toc146527296"/>
      <w:bookmarkStart w:id="380" w:name="_Toc146530208"/>
      <w:r>
        <w:t>Notes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381" w:name="_Toc146530209"/>
      <w:r>
        <w:t>Compilation table</w:t>
      </w:r>
      <w:bookmarkEnd w:id="3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Electricity Transmission Regulations 1996</w:t>
            </w:r>
          </w:p>
        </w:tc>
        <w:tc>
          <w:tcPr>
            <w:tcW w:w="1276" w:type="dxa"/>
            <w:tcBorders>
              <w:top w:val="single" w:sz="8" w:space="0" w:color="auto"/>
            </w:tcBorders>
          </w:tcPr>
          <w:p>
            <w:pPr>
              <w:pStyle w:val="nTable"/>
              <w:spacing w:after="40"/>
              <w:rPr>
                <w:sz w:val="19"/>
              </w:rPr>
            </w:pPr>
            <w:r>
              <w:rPr>
                <w:sz w:val="19"/>
              </w:rPr>
              <w:t>31 Dec 1996 p. 7257</w:t>
            </w:r>
            <w:r>
              <w:rPr>
                <w:sz w:val="19"/>
              </w:rPr>
              <w:noBreakHyphen/>
              <w:t>320</w:t>
            </w:r>
          </w:p>
        </w:tc>
        <w:tc>
          <w:tcPr>
            <w:tcW w:w="2693" w:type="dxa"/>
            <w:tcBorders>
              <w:top w:val="single" w:sz="8" w:space="0" w:color="auto"/>
            </w:tcBorders>
          </w:tcPr>
          <w:p>
            <w:pPr>
              <w:pStyle w:val="nTable"/>
              <w:spacing w:after="40"/>
              <w:rPr>
                <w:sz w:val="19"/>
              </w:rPr>
            </w:pPr>
            <w:r>
              <w:rPr>
                <w:sz w:val="19"/>
              </w:rPr>
              <w:t>1 Jan 1997 (see r. 2)</w:t>
            </w:r>
          </w:p>
        </w:tc>
      </w:tr>
      <w:tr>
        <w:tc>
          <w:tcPr>
            <w:tcW w:w="3119" w:type="dxa"/>
          </w:tcPr>
          <w:p>
            <w:pPr>
              <w:pStyle w:val="nTable"/>
              <w:spacing w:after="40"/>
              <w:rPr>
                <w:sz w:val="19"/>
              </w:rPr>
            </w:pPr>
            <w:r>
              <w:rPr>
                <w:i/>
                <w:sz w:val="19"/>
              </w:rPr>
              <w:t>Electricity Transmission Amendment Regulations 1997</w:t>
            </w:r>
          </w:p>
        </w:tc>
        <w:tc>
          <w:tcPr>
            <w:tcW w:w="1276" w:type="dxa"/>
          </w:tcPr>
          <w:p>
            <w:pPr>
              <w:pStyle w:val="nTable"/>
              <w:spacing w:after="40"/>
              <w:rPr>
                <w:sz w:val="19"/>
              </w:rPr>
            </w:pPr>
            <w:r>
              <w:rPr>
                <w:sz w:val="19"/>
              </w:rPr>
              <w:t>1 Jul 1997 p. 3251</w:t>
            </w:r>
            <w:r>
              <w:rPr>
                <w:sz w:val="19"/>
              </w:rPr>
              <w:noBreakHyphen/>
              <w:t>2</w:t>
            </w:r>
          </w:p>
        </w:tc>
        <w:tc>
          <w:tcPr>
            <w:tcW w:w="2693" w:type="dxa"/>
          </w:tcPr>
          <w:p>
            <w:pPr>
              <w:pStyle w:val="nTable"/>
              <w:spacing w:after="40"/>
              <w:rPr>
                <w:sz w:val="19"/>
              </w:rPr>
            </w:pPr>
            <w:r>
              <w:rPr>
                <w:sz w:val="19"/>
              </w:rPr>
              <w:t>1 Jul 1997 (see r. 2)</w:t>
            </w:r>
          </w:p>
        </w:tc>
      </w:tr>
      <w:tr>
        <w:tc>
          <w:tcPr>
            <w:tcW w:w="3119" w:type="dxa"/>
          </w:tcPr>
          <w:p>
            <w:pPr>
              <w:pStyle w:val="nTable"/>
              <w:spacing w:after="40"/>
              <w:rPr>
                <w:i/>
                <w:sz w:val="19"/>
              </w:rPr>
            </w:pPr>
            <w:r>
              <w:rPr>
                <w:i/>
                <w:sz w:val="19"/>
              </w:rPr>
              <w:t>Electricity Transmission Amendment Regulations 2001</w:t>
            </w:r>
          </w:p>
        </w:tc>
        <w:tc>
          <w:tcPr>
            <w:tcW w:w="1276" w:type="dxa"/>
          </w:tcPr>
          <w:p>
            <w:pPr>
              <w:pStyle w:val="nTable"/>
              <w:spacing w:after="40"/>
              <w:rPr>
                <w:sz w:val="19"/>
              </w:rPr>
            </w:pPr>
            <w:r>
              <w:rPr>
                <w:sz w:val="19"/>
              </w:rPr>
              <w:t>31 Aug 2001 p. 4877</w:t>
            </w:r>
            <w:r>
              <w:rPr>
                <w:sz w:val="19"/>
              </w:rPr>
              <w:noBreakHyphen/>
              <w:t>81</w:t>
            </w:r>
          </w:p>
        </w:tc>
        <w:tc>
          <w:tcPr>
            <w:tcW w:w="2693" w:type="dxa"/>
          </w:tcPr>
          <w:p>
            <w:pPr>
              <w:pStyle w:val="nTable"/>
              <w:spacing w:after="40"/>
              <w:rPr>
                <w:sz w:val="19"/>
              </w:rPr>
            </w:pPr>
            <w:r>
              <w:rPr>
                <w:sz w:val="19"/>
              </w:rPr>
              <w:t>31 Aug 2001</w:t>
            </w:r>
          </w:p>
        </w:tc>
      </w:tr>
      <w:tr>
        <w:tc>
          <w:tcPr>
            <w:tcW w:w="3119" w:type="dxa"/>
          </w:tcPr>
          <w:p>
            <w:pPr>
              <w:pStyle w:val="nTable"/>
              <w:spacing w:after="40"/>
              <w:rPr>
                <w:sz w:val="19"/>
              </w:rPr>
            </w:pPr>
            <w:r>
              <w:rPr>
                <w:i/>
                <w:sz w:val="19"/>
              </w:rPr>
              <w:t>Corporations (Consequential Amendments) Regulations 2001</w:t>
            </w:r>
            <w:r>
              <w:rPr>
                <w:sz w:val="19"/>
              </w:rPr>
              <w:t xml:space="preserve"> 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9" w:type="dxa"/>
          </w:tcPr>
          <w:p>
            <w:pPr>
              <w:pStyle w:val="nTable"/>
              <w:spacing w:after="40"/>
              <w:rPr>
                <w:i/>
                <w:sz w:val="19"/>
              </w:rPr>
            </w:pPr>
            <w:r>
              <w:rPr>
                <w:i/>
                <w:sz w:val="19"/>
              </w:rPr>
              <w:t>Electricity Transmission Amendment Regulations (No. 2) 2001</w:t>
            </w:r>
          </w:p>
        </w:tc>
        <w:tc>
          <w:tcPr>
            <w:tcW w:w="1276" w:type="dxa"/>
          </w:tcPr>
          <w:p>
            <w:pPr>
              <w:pStyle w:val="nTable"/>
              <w:spacing w:after="40"/>
              <w:rPr>
                <w:sz w:val="19"/>
              </w:rPr>
            </w:pPr>
            <w:r>
              <w:rPr>
                <w:sz w:val="19"/>
              </w:rPr>
              <w:t>28 Dec 2001 p. 6717</w:t>
            </w:r>
            <w:r>
              <w:rPr>
                <w:sz w:val="19"/>
              </w:rPr>
              <w:noBreakHyphen/>
              <w:t>19</w:t>
            </w:r>
          </w:p>
        </w:tc>
        <w:tc>
          <w:tcPr>
            <w:tcW w:w="2693" w:type="dxa"/>
          </w:tcPr>
          <w:p>
            <w:pPr>
              <w:pStyle w:val="nTable"/>
              <w:spacing w:after="40"/>
              <w:rPr>
                <w:sz w:val="19"/>
              </w:rPr>
            </w:pPr>
            <w:r>
              <w:rPr>
                <w:sz w:val="19"/>
              </w:rPr>
              <w:t>28 Dec 2001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Electricity Transmission Regulations 1996 </w:t>
            </w:r>
            <w:r>
              <w:rPr>
                <w:b/>
                <w:sz w:val="19"/>
              </w:rPr>
              <w:t>as at 24 May 2002</w:t>
            </w:r>
            <w:r>
              <w:rPr>
                <w:b/>
                <w:sz w:val="19"/>
              </w:rPr>
              <w:br/>
            </w:r>
            <w:r>
              <w:rPr>
                <w:sz w:val="19"/>
              </w:rPr>
              <w:t>(includes amendments listed above)</w:t>
            </w:r>
          </w:p>
        </w:tc>
      </w:tr>
      <w:tr>
        <w:tc>
          <w:tcPr>
            <w:tcW w:w="3119" w:type="dxa"/>
          </w:tcPr>
          <w:p>
            <w:pPr>
              <w:pStyle w:val="nTable"/>
              <w:spacing w:after="40"/>
              <w:rPr>
                <w:sz w:val="19"/>
              </w:rPr>
            </w:pPr>
            <w:r>
              <w:rPr>
                <w:i/>
                <w:sz w:val="19"/>
              </w:rPr>
              <w:t>Electricity Transmission Amendment Regulations 2002</w:t>
            </w:r>
          </w:p>
        </w:tc>
        <w:tc>
          <w:tcPr>
            <w:tcW w:w="1276" w:type="dxa"/>
          </w:tcPr>
          <w:p>
            <w:pPr>
              <w:pStyle w:val="nTable"/>
              <w:spacing w:after="40"/>
              <w:rPr>
                <w:sz w:val="19"/>
              </w:rPr>
            </w:pPr>
            <w:r>
              <w:rPr>
                <w:sz w:val="19"/>
              </w:rPr>
              <w:t>29 Oct 2002 p. 5343-5</w:t>
            </w:r>
          </w:p>
        </w:tc>
        <w:tc>
          <w:tcPr>
            <w:tcW w:w="2693" w:type="dxa"/>
          </w:tcPr>
          <w:p>
            <w:pPr>
              <w:pStyle w:val="nTable"/>
              <w:spacing w:after="40"/>
              <w:rPr>
                <w:sz w:val="19"/>
              </w:rPr>
            </w:pPr>
            <w:r>
              <w:rPr>
                <w:sz w:val="19"/>
              </w:rPr>
              <w:t>1 Jan 2003 (see r. 2)</w:t>
            </w:r>
          </w:p>
        </w:tc>
      </w:tr>
      <w:tr>
        <w:tc>
          <w:tcPr>
            <w:tcW w:w="3119" w:type="dxa"/>
          </w:tcPr>
          <w:p>
            <w:pPr>
              <w:pStyle w:val="nTable"/>
              <w:spacing w:after="40"/>
              <w:rPr>
                <w:i/>
                <w:sz w:val="19"/>
              </w:rPr>
            </w:pPr>
            <w:r>
              <w:rPr>
                <w:i/>
                <w:sz w:val="19"/>
              </w:rPr>
              <w:t>Electricity Transmission Amendment Regulations (No. 2) 2004</w:t>
            </w:r>
          </w:p>
        </w:tc>
        <w:tc>
          <w:tcPr>
            <w:tcW w:w="1276" w:type="dxa"/>
          </w:tcPr>
          <w:p>
            <w:pPr>
              <w:pStyle w:val="nTable"/>
              <w:spacing w:after="40"/>
              <w:rPr>
                <w:sz w:val="19"/>
              </w:rPr>
            </w:pPr>
            <w:r>
              <w:rPr>
                <w:sz w:val="19"/>
              </w:rPr>
              <w:t>22 Jun 2004 p. 2165</w:t>
            </w:r>
            <w:r>
              <w:rPr>
                <w:sz w:val="19"/>
              </w:rPr>
              <w:noBreakHyphen/>
              <w:t>7</w:t>
            </w:r>
          </w:p>
        </w:tc>
        <w:tc>
          <w:tcPr>
            <w:tcW w:w="2693" w:type="dxa"/>
          </w:tcPr>
          <w:p>
            <w:pPr>
              <w:pStyle w:val="nTable"/>
              <w:spacing w:after="40"/>
              <w:rPr>
                <w:sz w:val="19"/>
              </w:rPr>
            </w:pPr>
            <w:r>
              <w:rPr>
                <w:sz w:val="19"/>
              </w:rPr>
              <w:t xml:space="preserve">23 Jun 2004 (see r. 2 and </w:t>
            </w:r>
            <w:r>
              <w:rPr>
                <w:i/>
                <w:sz w:val="19"/>
              </w:rPr>
              <w:t>Gazette</w:t>
            </w:r>
            <w:r>
              <w:rPr>
                <w:sz w:val="19"/>
              </w:rPr>
              <w:t xml:space="preserve"> 22 Jun 2004 p. 2161)</w:t>
            </w:r>
          </w:p>
        </w:tc>
      </w:tr>
      <w:tr>
        <w:tc>
          <w:tcPr>
            <w:tcW w:w="3119" w:type="dxa"/>
          </w:tcPr>
          <w:p>
            <w:pPr>
              <w:pStyle w:val="nTable"/>
              <w:spacing w:after="40"/>
              <w:rPr>
                <w:i/>
                <w:sz w:val="19"/>
              </w:rPr>
            </w:pPr>
            <w:r>
              <w:rPr>
                <w:i/>
                <w:sz w:val="19"/>
              </w:rPr>
              <w:t>Electricity Transmission Amendment Regulations (No. 3) 2004</w:t>
            </w:r>
          </w:p>
        </w:tc>
        <w:tc>
          <w:tcPr>
            <w:tcW w:w="1276" w:type="dxa"/>
          </w:tcPr>
          <w:p>
            <w:pPr>
              <w:pStyle w:val="nTable"/>
              <w:spacing w:after="40"/>
              <w:rPr>
                <w:sz w:val="19"/>
              </w:rPr>
            </w:pPr>
            <w:r>
              <w:rPr>
                <w:sz w:val="19"/>
              </w:rPr>
              <w:t>31 Dec 2004 p. 7139</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Electricity Transmission Amendment Regulations 2005</w:t>
            </w:r>
          </w:p>
        </w:tc>
        <w:tc>
          <w:tcPr>
            <w:tcW w:w="1276" w:type="dxa"/>
          </w:tcPr>
          <w:p>
            <w:pPr>
              <w:pStyle w:val="nTable"/>
              <w:spacing w:after="40"/>
              <w:rPr>
                <w:sz w:val="19"/>
              </w:rPr>
            </w:pPr>
            <w:r>
              <w:rPr>
                <w:sz w:val="19"/>
              </w:rPr>
              <w:t>24 Jun 2005 p. 2752-4</w:t>
            </w:r>
          </w:p>
        </w:tc>
        <w:tc>
          <w:tcPr>
            <w:tcW w:w="2693" w:type="dxa"/>
          </w:tcPr>
          <w:p>
            <w:pPr>
              <w:pStyle w:val="nTable"/>
              <w:spacing w:after="40"/>
              <w:rPr>
                <w:sz w:val="19"/>
              </w:rPr>
            </w:pPr>
            <w:r>
              <w:rPr>
                <w:sz w:val="19"/>
              </w:rPr>
              <w:t>24 Jun 2005</w:t>
            </w:r>
          </w:p>
        </w:tc>
      </w:tr>
      <w:tr>
        <w:tc>
          <w:tcPr>
            <w:tcW w:w="3119" w:type="dxa"/>
          </w:tcPr>
          <w:p>
            <w:pPr>
              <w:pStyle w:val="nTable"/>
              <w:spacing w:after="40"/>
              <w:rPr>
                <w:i/>
                <w:sz w:val="19"/>
              </w:rPr>
            </w:pPr>
            <w:r>
              <w:rPr>
                <w:i/>
                <w:sz w:val="19"/>
              </w:rPr>
              <w:t>Electricity Transmission Amendment Regulations 2006</w:t>
            </w:r>
          </w:p>
        </w:tc>
        <w:tc>
          <w:tcPr>
            <w:tcW w:w="1276" w:type="dxa"/>
          </w:tcPr>
          <w:p>
            <w:pPr>
              <w:pStyle w:val="nTable"/>
              <w:spacing w:after="40"/>
              <w:rPr>
                <w:sz w:val="19"/>
              </w:rPr>
            </w:pPr>
            <w:r>
              <w:rPr>
                <w:sz w:val="19"/>
              </w:rPr>
              <w:t>20 Jan 2006 p. 377-8</w:t>
            </w:r>
          </w:p>
        </w:tc>
        <w:tc>
          <w:tcPr>
            <w:tcW w:w="2693" w:type="dxa"/>
          </w:tcPr>
          <w:p>
            <w:pPr>
              <w:pStyle w:val="nTable"/>
              <w:spacing w:after="40"/>
              <w:rPr>
                <w:sz w:val="19"/>
              </w:rPr>
            </w:pPr>
            <w:r>
              <w:rPr>
                <w:sz w:val="19"/>
              </w:rPr>
              <w:t>20 Jan 2006</w:t>
            </w:r>
          </w:p>
        </w:tc>
      </w:tr>
      <w:tr>
        <w:tc>
          <w:tcPr>
            <w:tcW w:w="3119" w:type="dxa"/>
          </w:tcPr>
          <w:p>
            <w:pPr>
              <w:pStyle w:val="nTable"/>
              <w:spacing w:after="40"/>
              <w:rPr>
                <w:sz w:val="19"/>
              </w:rPr>
            </w:pPr>
            <w:r>
              <w:rPr>
                <w:i/>
                <w:sz w:val="19"/>
              </w:rPr>
              <w:t>Electricity Corporations (Consequential Amendments) Regulations 2006</w:t>
            </w:r>
            <w:r>
              <w:rPr>
                <w:sz w:val="19"/>
              </w:rPr>
              <w:t xml:space="preserve"> Pt. 5</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Electricity Transmission Regulations 1996 </w:t>
            </w:r>
            <w:r>
              <w:rPr>
                <w:b/>
                <w:sz w:val="19"/>
              </w:rPr>
              <w:t>as at 2 Jun 2006</w:t>
            </w:r>
            <w:r>
              <w:rPr>
                <w:b/>
                <w:sz w:val="19"/>
              </w:rPr>
              <w:br/>
            </w:r>
            <w:r>
              <w:rPr>
                <w:sz w:val="19"/>
              </w:rPr>
              <w:t>(includes amendments listed above)</w:t>
            </w:r>
          </w:p>
        </w:tc>
      </w:tr>
      <w:tr>
        <w:tc>
          <w:tcPr>
            <w:tcW w:w="3119" w:type="dxa"/>
            <w:tcBorders>
              <w:bottom w:val="single" w:sz="4" w:space="0" w:color="auto"/>
            </w:tcBorders>
          </w:tcPr>
          <w:p>
            <w:pPr>
              <w:pStyle w:val="nTable"/>
              <w:spacing w:after="40"/>
              <w:rPr>
                <w:i/>
                <w:sz w:val="19"/>
              </w:rPr>
            </w:pPr>
            <w:r>
              <w:rPr>
                <w:i/>
                <w:sz w:val="19"/>
              </w:rPr>
              <w:t>Electricity Transmission Amendment Regulations (No. 2) 2006</w:t>
            </w:r>
          </w:p>
        </w:tc>
        <w:tc>
          <w:tcPr>
            <w:tcW w:w="1276" w:type="dxa"/>
            <w:tcBorders>
              <w:bottom w:val="single" w:sz="4" w:space="0" w:color="auto"/>
            </w:tcBorders>
          </w:tcPr>
          <w:p>
            <w:pPr>
              <w:pStyle w:val="nTable"/>
              <w:spacing w:after="40"/>
              <w:rPr>
                <w:sz w:val="19"/>
              </w:rPr>
            </w:pPr>
            <w:r>
              <w:rPr>
                <w:sz w:val="19"/>
              </w:rPr>
              <w:t>25 Aug 2006 p. 3497</w:t>
            </w:r>
            <w:r>
              <w:rPr>
                <w:sz w:val="19"/>
              </w:rPr>
              <w:noBreakHyphen/>
              <w:t>9</w:t>
            </w:r>
          </w:p>
        </w:tc>
        <w:tc>
          <w:tcPr>
            <w:tcW w:w="2693" w:type="dxa"/>
            <w:tcBorders>
              <w:bottom w:val="single" w:sz="4" w:space="0" w:color="auto"/>
            </w:tcBorders>
          </w:tcPr>
          <w:p>
            <w:pPr>
              <w:pStyle w:val="nTable"/>
              <w:spacing w:after="40"/>
              <w:rPr>
                <w:sz w:val="19"/>
              </w:rPr>
            </w:pPr>
            <w:r>
              <w:rPr>
                <w:sz w:val="19"/>
              </w:rPr>
              <w:t xml:space="preserve">21 Sep 2006 08:00 (WST) (see r. 2 and </w:t>
            </w:r>
            <w:r>
              <w:rPr>
                <w:i/>
                <w:sz w:val="19"/>
              </w:rPr>
              <w:t>Gazette</w:t>
            </w:r>
            <w:r>
              <w:rPr>
                <w:sz w:val="19"/>
              </w:rPr>
              <w:t xml:space="preserve"> 19 Sep 2006 p. 4065)</w:t>
            </w:r>
          </w:p>
        </w:tc>
      </w:tr>
    </w:tbl>
    <w:p>
      <w:pPr>
        <w:pStyle w:val="nSubsection"/>
      </w:pPr>
      <w:r>
        <w:rPr>
          <w:vertAlign w:val="superscript"/>
        </w:rPr>
        <w:t>2</w:t>
      </w:r>
      <w:r>
        <w:rPr>
          <w:vertAlign w:val="superscript"/>
        </w:rPr>
        <w:tab/>
      </w:r>
      <w:r>
        <w:t xml:space="preserve">Formerly referred to the </w:t>
      </w:r>
      <w:r>
        <w:rPr>
          <w:i/>
        </w:rPr>
        <w:t>Electricity Corporation Act 1994</w:t>
      </w:r>
      <w:r>
        <w:t xml:space="preserve"> the short title of which was changed to the </w:t>
      </w:r>
      <w:r>
        <w:rPr>
          <w:i/>
          <w:snapToGrid w:val="0"/>
        </w:rPr>
        <w:t>Electricity Transmission and Distribution Systems (Access) Act 1994</w:t>
      </w:r>
      <w:r>
        <w:rPr>
          <w:snapToGrid w:val="0"/>
        </w:rPr>
        <w:t xml:space="preserve"> </w:t>
      </w:r>
      <w:r>
        <w:t xml:space="preserve">by the </w:t>
      </w:r>
      <w:r>
        <w:rPr>
          <w:i/>
          <w:snapToGrid w:val="0"/>
        </w:rPr>
        <w:t>Electricity Corporations Act 2005</w:t>
      </w:r>
      <w:r>
        <w:rPr>
          <w:snapToGrid w:val="0"/>
        </w:rPr>
        <w:t xml:space="preserve"> s. 139</w:t>
      </w:r>
      <w:r>
        <w:t>.</w:t>
      </w:r>
    </w:p>
    <w:p>
      <w:pPr>
        <w:keepNext/>
        <w:keepLines/>
      </w:pPr>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sectPr>
      <w:headerReference w:type="even" r:id="rId50"/>
      <w:headerReference w:type="default" r:id="rId5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Electricity Transmission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Access application flow chart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Electricity Transmission Regulations 1996</w:t>
            </w:r>
          </w:fldSimple>
        </w:p>
      </w:tc>
    </w:tr>
    <w:tr>
      <w:tc>
        <w:tcPr>
          <w:tcW w:w="5715" w:type="dxa"/>
          <w:vAlign w:val="bottom"/>
        </w:tcPr>
        <w:p>
          <w:pPr>
            <w:pStyle w:val="HeaderTextRight"/>
          </w:pPr>
          <w:fldSimple w:instr=" styleref CharSchText ">
            <w:r>
              <w:rPr>
                <w:noProof/>
              </w:rPr>
              <w:t>Access application flow chart</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8"/>
  </w:num>
  <w:num w:numId="13">
    <w:abstractNumId w:val="22"/>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eader" Target="header9.xml"/><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7.xml"/><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9.bin"/><Relationship Id="rId40" Type="http://schemas.openxmlformats.org/officeDocument/2006/relationships/footer" Target="footer7.xml"/><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10.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footer" Target="footer9.xml"/><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18594</Words>
  <Characters>95578</Characters>
  <Application>Microsoft Office Word</Application>
  <DocSecurity>0</DocSecurity>
  <Lines>2515</Lines>
  <Paragraphs>1153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1996 - 02-c0-02</dc:title>
  <dc:subject/>
  <dc:creator/>
  <cp:keywords/>
  <dc:description/>
  <cp:lastModifiedBy>svcMRProcess</cp:lastModifiedBy>
  <cp:revision>4</cp:revision>
  <cp:lastPrinted>2006-09-20T06:49:00Z</cp:lastPrinted>
  <dcterms:created xsi:type="dcterms:W3CDTF">2020-02-20T08:53:00Z</dcterms:created>
  <dcterms:modified xsi:type="dcterms:W3CDTF">2020-02-20T08:53:00Z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20060921</vt:lpwstr>
  </property>
  <property fmtid="{D5CDD505-2E9C-101B-9397-08002B2CF9AE}" pid="4" name="DocumentType">
    <vt:lpwstr>Reg</vt:lpwstr>
  </property>
  <property fmtid="{D5CDD505-2E9C-101B-9397-08002B2CF9AE}" pid="5" name="OwlsUID">
    <vt:i4>4411</vt:i4>
  </property>
  <property fmtid="{D5CDD505-2E9C-101B-9397-08002B2CF9AE}" pid="6" name="ReprintNo">
    <vt:lpwstr>2</vt:lpwstr>
  </property>
  <property fmtid="{D5CDD505-2E9C-101B-9397-08002B2CF9AE}" pid="7" name="AsAtDate">
    <vt:lpwstr>21 Sep 2006</vt:lpwstr>
  </property>
  <property fmtid="{D5CDD505-2E9C-101B-9397-08002B2CF9AE}" pid="8" name="Suffix">
    <vt:lpwstr>02-c0-02</vt:lpwstr>
  </property>
</Properties>
</file>