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2ACB" w:rsidRDefault="005A1673">
      <w:pPr>
        <w:pStyle w:val="WA"/>
      </w:pPr>
      <w:bookmarkStart w:id="0" w:name="_GoBack"/>
      <w:bookmarkEnd w:id="0"/>
      <w:r>
        <w:t>Western Australia</w:t>
      </w:r>
    </w:p>
    <w:p w:rsidR="00D02ACB" w:rsidRDefault="005A1673">
      <w:pPr>
        <w:pStyle w:val="NameofActRegPage1"/>
        <w:tabs>
          <w:tab w:val="left" w:pos="5529"/>
        </w:tabs>
        <w:spacing w:before="3760" w:after="4200"/>
        <w:ind w:left="567" w:right="617"/>
      </w:pPr>
      <w:r>
        <w:fldChar w:fldCharType="begin"/>
      </w:r>
      <w:r>
        <w:instrText xml:space="preserve"> STYLEREF "Name Of Act/Reg"</w:instrText>
      </w:r>
      <w:r>
        <w:fldChar w:fldCharType="separate"/>
      </w:r>
      <w:r w:rsidR="004E01AF">
        <w:rPr>
          <w:noProof/>
        </w:rPr>
        <w:t>Emergency Management Regulations 2006</w:t>
      </w:r>
      <w:r>
        <w:fldChar w:fldCharType="end"/>
      </w:r>
    </w:p>
    <w:p w:rsidR="00D02ACB" w:rsidRDefault="00D02ACB">
      <w:pPr>
        <w:jc w:val="center"/>
        <w:rPr>
          <w:b/>
        </w:rPr>
        <w:sectPr w:rsidR="00D02ACB">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D02ACB" w:rsidRDefault="005A1673">
      <w:pPr>
        <w:pStyle w:val="WA"/>
      </w:pPr>
      <w:r>
        <w:lastRenderedPageBreak/>
        <w:t>Western Australia</w:t>
      </w:r>
    </w:p>
    <w:p w:rsidR="00D02ACB" w:rsidRDefault="005A1673">
      <w:pPr>
        <w:pStyle w:val="NameofActRegPage1"/>
      </w:pPr>
      <w:r>
        <w:fldChar w:fldCharType="begin"/>
      </w:r>
      <w:r>
        <w:instrText xml:space="preserve"> STYLEREF "Name Of Act/Reg"</w:instrText>
      </w:r>
      <w:r>
        <w:fldChar w:fldCharType="separate"/>
      </w:r>
      <w:r w:rsidR="004E01AF">
        <w:rPr>
          <w:noProof/>
        </w:rPr>
        <w:t>Emergency Management Regulations 2006</w:t>
      </w:r>
      <w:r>
        <w:fldChar w:fldCharType="end"/>
      </w:r>
    </w:p>
    <w:p w:rsidR="00D02ACB" w:rsidRDefault="005A1673">
      <w:pPr>
        <w:pStyle w:val="Arrangement"/>
      </w:pPr>
      <w:r>
        <w:t>CONTENTS</w:t>
      </w:r>
    </w:p>
    <w:p w:rsidR="00D02ACB" w:rsidRDefault="005A1673">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_Toc133315995 \h </w:instrText>
      </w:r>
      <w:r>
        <w:fldChar w:fldCharType="separate"/>
      </w:r>
      <w:r w:rsidR="004E01AF">
        <w:t>1</w:t>
      </w:r>
      <w:r>
        <w:fldChar w:fldCharType="end"/>
      </w:r>
    </w:p>
    <w:p w:rsidR="00D02ACB" w:rsidRDefault="005A1673">
      <w:pPr>
        <w:pStyle w:val="TOC8"/>
        <w:rPr>
          <w:sz w:val="24"/>
          <w:szCs w:val="24"/>
        </w:rPr>
      </w:pPr>
      <w:r>
        <w:rPr>
          <w:szCs w:val="24"/>
        </w:rPr>
        <w:t>2.</w:t>
      </w:r>
      <w:r>
        <w:rPr>
          <w:szCs w:val="24"/>
        </w:rPr>
        <w:tab/>
        <w:t>Membership of the SEMC</w:t>
      </w:r>
      <w:r>
        <w:tab/>
      </w:r>
      <w:r>
        <w:fldChar w:fldCharType="begin"/>
      </w:r>
      <w:r>
        <w:instrText xml:space="preserve"> PAGEREF _Toc133315996 \h </w:instrText>
      </w:r>
      <w:r>
        <w:fldChar w:fldCharType="separate"/>
      </w:r>
      <w:r w:rsidR="004E01AF">
        <w:t>1</w:t>
      </w:r>
      <w:r>
        <w:fldChar w:fldCharType="end"/>
      </w:r>
    </w:p>
    <w:p w:rsidR="00D02ACB" w:rsidRDefault="005A1673">
      <w:pPr>
        <w:pStyle w:val="TOC8"/>
        <w:rPr>
          <w:sz w:val="24"/>
          <w:szCs w:val="24"/>
        </w:rPr>
      </w:pPr>
      <w:r>
        <w:rPr>
          <w:szCs w:val="24"/>
        </w:rPr>
        <w:t>3.</w:t>
      </w:r>
      <w:r>
        <w:rPr>
          <w:szCs w:val="24"/>
        </w:rPr>
        <w:tab/>
        <w:t>Term of office</w:t>
      </w:r>
      <w:r>
        <w:tab/>
      </w:r>
      <w:r>
        <w:fldChar w:fldCharType="begin"/>
      </w:r>
      <w:r>
        <w:instrText xml:space="preserve"> PAGEREF _Toc133315997 \h </w:instrText>
      </w:r>
      <w:r>
        <w:fldChar w:fldCharType="separate"/>
      </w:r>
      <w:r w:rsidR="004E01AF">
        <w:t>1</w:t>
      </w:r>
      <w:r>
        <w:fldChar w:fldCharType="end"/>
      </w:r>
    </w:p>
    <w:p w:rsidR="00D02ACB" w:rsidRDefault="005A1673">
      <w:pPr>
        <w:pStyle w:val="TOC8"/>
        <w:rPr>
          <w:sz w:val="24"/>
          <w:szCs w:val="24"/>
        </w:rPr>
      </w:pPr>
      <w:r>
        <w:rPr>
          <w:szCs w:val="24"/>
        </w:rPr>
        <w:t>4.</w:t>
      </w:r>
      <w:r>
        <w:rPr>
          <w:szCs w:val="24"/>
        </w:rPr>
        <w:tab/>
        <w:t>Vacancies</w:t>
      </w:r>
      <w:r>
        <w:tab/>
      </w:r>
      <w:r>
        <w:fldChar w:fldCharType="begin"/>
      </w:r>
      <w:r>
        <w:instrText xml:space="preserve"> PAGEREF _Toc133315998 \h </w:instrText>
      </w:r>
      <w:r>
        <w:fldChar w:fldCharType="separate"/>
      </w:r>
      <w:r w:rsidR="004E01AF">
        <w:t>2</w:t>
      </w:r>
      <w:r>
        <w:fldChar w:fldCharType="end"/>
      </w:r>
    </w:p>
    <w:p w:rsidR="00D02ACB" w:rsidRDefault="005A1673">
      <w:pPr>
        <w:pStyle w:val="TOC8"/>
        <w:rPr>
          <w:sz w:val="24"/>
          <w:szCs w:val="24"/>
        </w:rPr>
      </w:pPr>
      <w:r>
        <w:rPr>
          <w:szCs w:val="24"/>
        </w:rPr>
        <w:t>5.</w:t>
      </w:r>
      <w:r>
        <w:rPr>
          <w:szCs w:val="24"/>
        </w:rPr>
        <w:tab/>
        <w:t>Leave of absence</w:t>
      </w:r>
      <w:r>
        <w:tab/>
      </w:r>
      <w:r>
        <w:fldChar w:fldCharType="begin"/>
      </w:r>
      <w:r>
        <w:instrText xml:space="preserve"> PAGEREF _Toc133315999 \h </w:instrText>
      </w:r>
      <w:r>
        <w:fldChar w:fldCharType="separate"/>
      </w:r>
      <w:r w:rsidR="004E01AF">
        <w:t>3</w:t>
      </w:r>
      <w:r>
        <w:fldChar w:fldCharType="end"/>
      </w:r>
    </w:p>
    <w:p w:rsidR="00D02ACB" w:rsidRDefault="005A1673">
      <w:pPr>
        <w:pStyle w:val="TOC8"/>
        <w:rPr>
          <w:sz w:val="24"/>
          <w:szCs w:val="24"/>
        </w:rPr>
      </w:pPr>
      <w:r>
        <w:rPr>
          <w:szCs w:val="24"/>
        </w:rPr>
        <w:t>6.</w:t>
      </w:r>
      <w:r>
        <w:rPr>
          <w:szCs w:val="24"/>
        </w:rPr>
        <w:tab/>
        <w:t>Chairman unable to act</w:t>
      </w:r>
      <w:r>
        <w:tab/>
      </w:r>
      <w:r>
        <w:fldChar w:fldCharType="begin"/>
      </w:r>
      <w:r>
        <w:instrText xml:space="preserve"> PAGEREF _Toc133316000 \h </w:instrText>
      </w:r>
      <w:r>
        <w:fldChar w:fldCharType="separate"/>
      </w:r>
      <w:r w:rsidR="004E01AF">
        <w:t>3</w:t>
      </w:r>
      <w:r>
        <w:fldChar w:fldCharType="end"/>
      </w:r>
    </w:p>
    <w:p w:rsidR="00D02ACB" w:rsidRDefault="005A1673">
      <w:pPr>
        <w:pStyle w:val="TOC8"/>
        <w:rPr>
          <w:sz w:val="24"/>
          <w:szCs w:val="24"/>
        </w:rPr>
      </w:pPr>
      <w:r>
        <w:rPr>
          <w:szCs w:val="24"/>
        </w:rPr>
        <w:t>7.</w:t>
      </w:r>
      <w:r>
        <w:rPr>
          <w:szCs w:val="24"/>
        </w:rPr>
        <w:tab/>
        <w:t>Deputy members</w:t>
      </w:r>
      <w:r>
        <w:tab/>
      </w:r>
      <w:r>
        <w:fldChar w:fldCharType="begin"/>
      </w:r>
      <w:r>
        <w:instrText xml:space="preserve"> PAGEREF _Toc133316001 \h </w:instrText>
      </w:r>
      <w:r>
        <w:fldChar w:fldCharType="separate"/>
      </w:r>
      <w:r w:rsidR="004E01AF">
        <w:t>3</w:t>
      </w:r>
      <w:r>
        <w:fldChar w:fldCharType="end"/>
      </w:r>
    </w:p>
    <w:p w:rsidR="00D02ACB" w:rsidRDefault="005A1673">
      <w:pPr>
        <w:pStyle w:val="TOC8"/>
        <w:rPr>
          <w:sz w:val="24"/>
          <w:szCs w:val="24"/>
        </w:rPr>
      </w:pPr>
      <w:r>
        <w:rPr>
          <w:szCs w:val="24"/>
        </w:rPr>
        <w:t>8.</w:t>
      </w:r>
      <w:r>
        <w:rPr>
          <w:szCs w:val="24"/>
        </w:rPr>
        <w:tab/>
        <w:t>Saving</w:t>
      </w:r>
      <w:r>
        <w:tab/>
      </w:r>
      <w:r>
        <w:fldChar w:fldCharType="begin"/>
      </w:r>
      <w:r>
        <w:instrText xml:space="preserve"> PAGEREF _Toc133316002 \h </w:instrText>
      </w:r>
      <w:r>
        <w:fldChar w:fldCharType="separate"/>
      </w:r>
      <w:r w:rsidR="004E01AF">
        <w:t>3</w:t>
      </w:r>
      <w:r>
        <w:fldChar w:fldCharType="end"/>
      </w:r>
    </w:p>
    <w:p w:rsidR="00D02ACB" w:rsidRDefault="005A1673">
      <w:pPr>
        <w:pStyle w:val="TOC8"/>
        <w:rPr>
          <w:sz w:val="24"/>
          <w:szCs w:val="24"/>
        </w:rPr>
      </w:pPr>
      <w:r>
        <w:rPr>
          <w:szCs w:val="24"/>
        </w:rPr>
        <w:t>9.</w:t>
      </w:r>
      <w:r>
        <w:rPr>
          <w:szCs w:val="24"/>
        </w:rPr>
        <w:tab/>
        <w:t>Calling of meeting</w:t>
      </w:r>
      <w:r>
        <w:tab/>
      </w:r>
      <w:r>
        <w:fldChar w:fldCharType="begin"/>
      </w:r>
      <w:r>
        <w:instrText xml:space="preserve"> PAGEREF _Toc133316003 \h </w:instrText>
      </w:r>
      <w:r>
        <w:fldChar w:fldCharType="separate"/>
      </w:r>
      <w:r w:rsidR="004E01AF">
        <w:t>4</w:t>
      </w:r>
      <w:r>
        <w:fldChar w:fldCharType="end"/>
      </w:r>
    </w:p>
    <w:p w:rsidR="00D02ACB" w:rsidRDefault="005A1673">
      <w:pPr>
        <w:pStyle w:val="TOC8"/>
        <w:rPr>
          <w:sz w:val="24"/>
          <w:szCs w:val="24"/>
        </w:rPr>
      </w:pPr>
      <w:r>
        <w:rPr>
          <w:szCs w:val="24"/>
        </w:rPr>
        <w:t>10.</w:t>
      </w:r>
      <w:r>
        <w:rPr>
          <w:szCs w:val="24"/>
        </w:rPr>
        <w:tab/>
        <w:t>Quorum</w:t>
      </w:r>
      <w:r>
        <w:tab/>
      </w:r>
      <w:r>
        <w:fldChar w:fldCharType="begin"/>
      </w:r>
      <w:r>
        <w:instrText xml:space="preserve"> PAGEREF _Toc133316004 \h </w:instrText>
      </w:r>
      <w:r>
        <w:fldChar w:fldCharType="separate"/>
      </w:r>
      <w:r w:rsidR="004E01AF">
        <w:t>4</w:t>
      </w:r>
      <w:r>
        <w:fldChar w:fldCharType="end"/>
      </w:r>
    </w:p>
    <w:p w:rsidR="00D02ACB" w:rsidRDefault="005A1673">
      <w:pPr>
        <w:pStyle w:val="TOC8"/>
        <w:rPr>
          <w:sz w:val="24"/>
          <w:szCs w:val="24"/>
        </w:rPr>
      </w:pPr>
      <w:r>
        <w:rPr>
          <w:szCs w:val="24"/>
        </w:rPr>
        <w:t>11.</w:t>
      </w:r>
      <w:r>
        <w:rPr>
          <w:szCs w:val="24"/>
        </w:rPr>
        <w:tab/>
        <w:t>Minutes</w:t>
      </w:r>
      <w:r>
        <w:tab/>
      </w:r>
      <w:r>
        <w:fldChar w:fldCharType="begin"/>
      </w:r>
      <w:r>
        <w:instrText xml:space="preserve"> PAGEREF _Toc133316005 \h </w:instrText>
      </w:r>
      <w:r>
        <w:fldChar w:fldCharType="separate"/>
      </w:r>
      <w:r w:rsidR="004E01AF">
        <w:t>4</w:t>
      </w:r>
      <w:r>
        <w:fldChar w:fldCharType="end"/>
      </w:r>
    </w:p>
    <w:p w:rsidR="00D02ACB" w:rsidRDefault="005A1673">
      <w:pPr>
        <w:pStyle w:val="TOC8"/>
        <w:rPr>
          <w:sz w:val="24"/>
          <w:szCs w:val="24"/>
        </w:rPr>
      </w:pPr>
      <w:r>
        <w:rPr>
          <w:szCs w:val="24"/>
        </w:rPr>
        <w:t>12.</w:t>
      </w:r>
      <w:r>
        <w:rPr>
          <w:szCs w:val="24"/>
        </w:rPr>
        <w:tab/>
        <w:t>Holding meetings remotely</w:t>
      </w:r>
      <w:r>
        <w:tab/>
      </w:r>
      <w:r>
        <w:fldChar w:fldCharType="begin"/>
      </w:r>
      <w:r>
        <w:instrText xml:space="preserve"> PAGEREF _Toc133316006 \h </w:instrText>
      </w:r>
      <w:r>
        <w:fldChar w:fldCharType="separate"/>
      </w:r>
      <w:r w:rsidR="004E01AF">
        <w:t>4</w:t>
      </w:r>
      <w:r>
        <w:fldChar w:fldCharType="end"/>
      </w:r>
    </w:p>
    <w:p w:rsidR="00D02ACB" w:rsidRDefault="005A1673">
      <w:pPr>
        <w:pStyle w:val="TOC8"/>
        <w:rPr>
          <w:sz w:val="24"/>
          <w:szCs w:val="24"/>
        </w:rPr>
      </w:pPr>
      <w:r>
        <w:rPr>
          <w:szCs w:val="24"/>
        </w:rPr>
        <w:t>13.</w:t>
      </w:r>
      <w:r>
        <w:rPr>
          <w:szCs w:val="24"/>
        </w:rPr>
        <w:tab/>
        <w:t>Resolution without meeting</w:t>
      </w:r>
      <w:r>
        <w:tab/>
      </w:r>
      <w:r>
        <w:fldChar w:fldCharType="begin"/>
      </w:r>
      <w:r>
        <w:instrText xml:space="preserve"> PAGEREF _Toc133316007 \h </w:instrText>
      </w:r>
      <w:r>
        <w:fldChar w:fldCharType="separate"/>
      </w:r>
      <w:r w:rsidR="004E01AF">
        <w:t>4</w:t>
      </w:r>
      <w:r>
        <w:fldChar w:fldCharType="end"/>
      </w:r>
    </w:p>
    <w:p w:rsidR="00D02ACB" w:rsidRDefault="005A1673">
      <w:pPr>
        <w:pStyle w:val="TOC2"/>
        <w:tabs>
          <w:tab w:val="right" w:leader="dot" w:pos="7086"/>
        </w:tabs>
        <w:rPr>
          <w:b w:val="0"/>
          <w:sz w:val="24"/>
          <w:szCs w:val="24"/>
        </w:rPr>
      </w:pPr>
      <w:r>
        <w:rPr>
          <w:szCs w:val="26"/>
        </w:rPr>
        <w:t>Notes</w:t>
      </w:r>
    </w:p>
    <w:p w:rsidR="00D02ACB" w:rsidRDefault="005A1673">
      <w:pPr>
        <w:pStyle w:val="TOC8"/>
        <w:rPr>
          <w:sz w:val="24"/>
          <w:szCs w:val="24"/>
        </w:rPr>
      </w:pPr>
      <w:r>
        <w:rPr>
          <w:szCs w:val="24"/>
        </w:rPr>
        <w:tab/>
        <w:t>Compilation table</w:t>
      </w:r>
      <w:r>
        <w:tab/>
      </w:r>
      <w:r>
        <w:fldChar w:fldCharType="begin"/>
      </w:r>
      <w:r>
        <w:instrText xml:space="preserve"> PAGEREF _Toc133316009 \h </w:instrText>
      </w:r>
      <w:r>
        <w:fldChar w:fldCharType="separate"/>
      </w:r>
      <w:r w:rsidR="004E01AF">
        <w:t>5</w:t>
      </w:r>
      <w:r>
        <w:fldChar w:fldCharType="end"/>
      </w:r>
    </w:p>
    <w:p w:rsidR="00D02ACB" w:rsidRDefault="005A1673">
      <w:pPr>
        <w:pStyle w:val="TOC8"/>
      </w:pPr>
      <w:r>
        <w:fldChar w:fldCharType="end"/>
      </w:r>
    </w:p>
    <w:p w:rsidR="00D02ACB" w:rsidRDefault="005A167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D02ACB" w:rsidRDefault="00D02ACB">
      <w:pPr>
        <w:pStyle w:val="NoteHeading"/>
        <w:sectPr w:rsidR="00D02ACB">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D02ACB" w:rsidRDefault="005A1673">
      <w:pPr>
        <w:pStyle w:val="WA"/>
      </w:pPr>
      <w:r>
        <w:t>Western Australia</w:t>
      </w:r>
    </w:p>
    <w:p w:rsidR="00D02ACB" w:rsidRDefault="005A1673">
      <w:pPr>
        <w:pStyle w:val="PrincipalActReg"/>
      </w:pPr>
      <w:r>
        <w:t>Emergency Management Act 2005</w:t>
      </w:r>
    </w:p>
    <w:p w:rsidR="00D02ACB" w:rsidRDefault="005A1673">
      <w:pPr>
        <w:pStyle w:val="NameofActReg"/>
      </w:pPr>
      <w:r>
        <w:t>Emergency Management Regulations 2006</w:t>
      </w:r>
    </w:p>
    <w:p w:rsidR="00D02ACB" w:rsidRDefault="005A1673">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33315995"/>
      <w:r>
        <w:rPr>
          <w:rStyle w:val="CharSectno"/>
        </w:rPr>
        <w:t>1</w:t>
      </w:r>
      <w:r>
        <w:t>.</w:t>
      </w:r>
      <w:r>
        <w:tab/>
        <w:t>Citation</w:t>
      </w:r>
      <w:bookmarkEnd w:id="1"/>
      <w:bookmarkEnd w:id="2"/>
      <w:bookmarkEnd w:id="3"/>
      <w:bookmarkEnd w:id="4"/>
      <w:bookmarkEnd w:id="5"/>
      <w:bookmarkEnd w:id="6"/>
      <w:bookmarkEnd w:id="7"/>
      <w:bookmarkEnd w:id="8"/>
    </w:p>
    <w:p w:rsidR="00D02ACB" w:rsidRDefault="005A1673">
      <w:pPr>
        <w:pStyle w:val="Subsection"/>
        <w:ind w:right="282"/>
        <w:rPr>
          <w:i/>
        </w:rPr>
      </w:pPr>
      <w:r>
        <w:tab/>
      </w:r>
      <w:r>
        <w:tab/>
      </w:r>
      <w:bookmarkStart w:id="9" w:name="Start_Cursor"/>
      <w:bookmarkEnd w:id="9"/>
      <w:r>
        <w:rPr>
          <w:spacing w:val="-2"/>
        </w:rPr>
        <w:t>These</w:t>
      </w:r>
      <w:r>
        <w:t xml:space="preserve"> </w:t>
      </w:r>
      <w:r>
        <w:rPr>
          <w:spacing w:val="-2"/>
        </w:rPr>
        <w:t>regulations</w:t>
      </w:r>
      <w:r>
        <w:t xml:space="preserve"> are the </w:t>
      </w:r>
      <w:r>
        <w:rPr>
          <w:i/>
        </w:rPr>
        <w:t>Emergency Management Regulations 2006</w:t>
      </w:r>
      <w:r>
        <w:rPr>
          <w:iCs/>
        </w:rPr>
        <w:t xml:space="preserve"> </w:t>
      </w:r>
      <w:r>
        <w:rPr>
          <w:iCs/>
          <w:vertAlign w:val="superscript"/>
        </w:rPr>
        <w:t>1</w:t>
      </w:r>
      <w:r>
        <w:t>.</w:t>
      </w:r>
      <w:bookmarkStart w:id="10" w:name="UpToHere"/>
      <w:bookmarkEnd w:id="10"/>
    </w:p>
    <w:p w:rsidR="00D02ACB" w:rsidRDefault="005A1673">
      <w:pPr>
        <w:pStyle w:val="Heading5"/>
      </w:pPr>
      <w:bookmarkStart w:id="11" w:name="_Toc133315996"/>
      <w:r>
        <w:rPr>
          <w:rStyle w:val="CharSectno"/>
        </w:rPr>
        <w:t>2</w:t>
      </w:r>
      <w:r>
        <w:t>.</w:t>
      </w:r>
      <w:r>
        <w:tab/>
        <w:t>Membership of the SEMC</w:t>
      </w:r>
      <w:bookmarkEnd w:id="11"/>
    </w:p>
    <w:p w:rsidR="00D02ACB" w:rsidRDefault="005A1673">
      <w:pPr>
        <w:pStyle w:val="Subsection"/>
      </w:pPr>
      <w:r>
        <w:tab/>
      </w:r>
      <w:r>
        <w:tab/>
        <w:t xml:space="preserve">In addition to the members referred to in section 13(2)(a), (b), (c) and (d) of the Act, the SEMC is to consist of — </w:t>
      </w:r>
    </w:p>
    <w:p w:rsidR="00D02ACB" w:rsidRDefault="005A1673">
      <w:pPr>
        <w:pStyle w:val="Indenta"/>
      </w:pPr>
      <w:r>
        <w:tab/>
        <w:t>(a)</w:t>
      </w:r>
      <w:r>
        <w:tab/>
        <w:t xml:space="preserve">the chief executive officer of the department principally assisting the Minister administering the </w:t>
      </w:r>
      <w:r>
        <w:rPr>
          <w:i/>
          <w:iCs/>
        </w:rPr>
        <w:t>Health Act 1911</w:t>
      </w:r>
      <w:r>
        <w:t>, or a nominee of that chief executive officer, appointed by the Minister;</w:t>
      </w:r>
    </w:p>
    <w:p w:rsidR="00D02ACB" w:rsidRDefault="005A1673">
      <w:pPr>
        <w:pStyle w:val="Indenta"/>
      </w:pPr>
      <w:r>
        <w:tab/>
        <w:t>(b)</w:t>
      </w:r>
      <w:r>
        <w:tab/>
        <w:t xml:space="preserve">the chief executive officer of the department principally assisting the Minister administering the </w:t>
      </w:r>
      <w:r>
        <w:rPr>
          <w:i/>
          <w:iCs/>
        </w:rPr>
        <w:t>Children and Community Services Act 2004</w:t>
      </w:r>
      <w:r>
        <w:t>, or a nominee of that chief executive officer, appointed by the Minister; and</w:t>
      </w:r>
    </w:p>
    <w:p w:rsidR="00D02ACB" w:rsidRDefault="005A1673">
      <w:pPr>
        <w:pStyle w:val="Indenta"/>
      </w:pPr>
      <w:r>
        <w:tab/>
        <w:t>(c)</w:t>
      </w:r>
      <w:r>
        <w:tab/>
        <w:t>not more than 5 other members appointed by the Minister.</w:t>
      </w:r>
    </w:p>
    <w:p w:rsidR="00D02ACB" w:rsidRDefault="005A1673">
      <w:pPr>
        <w:pStyle w:val="Heading5"/>
      </w:pPr>
      <w:bookmarkStart w:id="12" w:name="_Toc133315997"/>
      <w:r>
        <w:rPr>
          <w:rStyle w:val="CharSectno"/>
        </w:rPr>
        <w:t>3</w:t>
      </w:r>
      <w:r>
        <w:t>.</w:t>
      </w:r>
      <w:r>
        <w:tab/>
        <w:t>Term of office</w:t>
      </w:r>
      <w:bookmarkEnd w:id="12"/>
    </w:p>
    <w:p w:rsidR="00D02ACB" w:rsidRDefault="005A1673">
      <w:pPr>
        <w:pStyle w:val="Subsection"/>
      </w:pPr>
      <w:r>
        <w:tab/>
        <w:t>(1)</w:t>
      </w:r>
      <w:r>
        <w:tab/>
        <w:t xml:space="preserve">Subject to regulation 4, a member holds office — </w:t>
      </w:r>
    </w:p>
    <w:p w:rsidR="00D02ACB" w:rsidRDefault="005A1673">
      <w:pPr>
        <w:pStyle w:val="Indenta"/>
      </w:pPr>
      <w:r>
        <w:tab/>
        <w:t>(a)</w:t>
      </w:r>
      <w:r>
        <w:tab/>
        <w:t>if the member is appointed ex officio and a term of office is not specified in the instrument of his or her appointment, until the Minister terminates the appointment; or</w:t>
      </w:r>
    </w:p>
    <w:p w:rsidR="00D02ACB" w:rsidRDefault="005A1673">
      <w:pPr>
        <w:pStyle w:val="Indenta"/>
      </w:pPr>
      <w:r>
        <w:tab/>
        <w:t>(b)</w:t>
      </w:r>
      <w:r>
        <w:tab/>
        <w:t>otherwise, for the term, not exceeding 3 years, specified in the instrument of his or her appointment.</w:t>
      </w:r>
    </w:p>
    <w:p w:rsidR="00D02ACB" w:rsidRDefault="005A1673">
      <w:pPr>
        <w:pStyle w:val="Subsection"/>
      </w:pPr>
      <w:r>
        <w:tab/>
        <w:t>(2)</w:t>
      </w:r>
      <w:r>
        <w:tab/>
        <w:t>A member may from time to time be reappointed.</w:t>
      </w:r>
    </w:p>
    <w:p w:rsidR="00D02ACB" w:rsidRDefault="005A1673">
      <w:pPr>
        <w:pStyle w:val="Subsection"/>
      </w:pPr>
      <w:r>
        <w:tab/>
        <w:t>(3)</w:t>
      </w:r>
      <w:r>
        <w:tab/>
        <w:t>A member whose term of office expires by the passage of time continues in office until that member is reappointed or the successor of that member comes into office.</w:t>
      </w:r>
    </w:p>
    <w:p w:rsidR="00D02ACB" w:rsidRDefault="005A1673">
      <w:pPr>
        <w:pStyle w:val="Heading5"/>
      </w:pPr>
      <w:bookmarkStart w:id="13" w:name="_Toc133315998"/>
      <w:r>
        <w:rPr>
          <w:rStyle w:val="CharSectno"/>
        </w:rPr>
        <w:t>4</w:t>
      </w:r>
      <w:r>
        <w:t>.</w:t>
      </w:r>
      <w:r>
        <w:tab/>
        <w:t>Vacancies</w:t>
      </w:r>
      <w:bookmarkEnd w:id="13"/>
    </w:p>
    <w:p w:rsidR="00D02ACB" w:rsidRDefault="005A1673">
      <w:pPr>
        <w:pStyle w:val="Subsection"/>
      </w:pPr>
      <w:r>
        <w:tab/>
        <w:t>(1)</w:t>
      </w:r>
      <w:r>
        <w:tab/>
        <w:t xml:space="preserve">The office of a member becomes vacant if — </w:t>
      </w:r>
    </w:p>
    <w:p w:rsidR="00D02ACB" w:rsidRDefault="005A1673">
      <w:pPr>
        <w:pStyle w:val="Indenta"/>
      </w:pPr>
      <w:r>
        <w:tab/>
        <w:t>(a)</w:t>
      </w:r>
      <w:r>
        <w:tab/>
        <w:t>the member resigns the office by written notice addressed to the Minister;</w:t>
      </w:r>
    </w:p>
    <w:p w:rsidR="00D02ACB" w:rsidRDefault="005A1673">
      <w:pPr>
        <w:pStyle w:val="Indenta"/>
      </w:pPr>
      <w:r>
        <w:tab/>
        <w:t>(b)</w:t>
      </w:r>
      <w:r>
        <w:tab/>
        <w:t>in the case of a nominated member referred to in regulation 2(a) or (b), the chief executive officer who nominated the member advises the Minister in writing that the nomination is withdrawn; or</w:t>
      </w:r>
    </w:p>
    <w:p w:rsidR="00D02ACB" w:rsidRDefault="005A1673">
      <w:pPr>
        <w:pStyle w:val="Indenta"/>
      </w:pPr>
      <w:r>
        <w:tab/>
        <w:t>(c)</w:t>
      </w:r>
      <w:r>
        <w:tab/>
        <w:t>the Minister terminates the appointment under regulation 3(1)(a) or removes the member from office under subregulation (2).</w:t>
      </w:r>
    </w:p>
    <w:p w:rsidR="00D02ACB" w:rsidRDefault="005A1673">
      <w:pPr>
        <w:pStyle w:val="Subsection"/>
      </w:pPr>
      <w:r>
        <w:tab/>
        <w:t>(2)</w:t>
      </w:r>
      <w:r>
        <w:tab/>
        <w:t xml:space="preserve">The Minister may remove a member who holds office for a specified term from office if the Minister is satisfied that the member — </w:t>
      </w:r>
    </w:p>
    <w:p w:rsidR="00D02ACB" w:rsidRDefault="005A1673">
      <w:pPr>
        <w:pStyle w:val="Indenta"/>
      </w:pPr>
      <w:r>
        <w:tab/>
        <w:t>(a)</w:t>
      </w:r>
      <w:r>
        <w:tab/>
        <w:t>has neglected his or her duty;</w:t>
      </w:r>
    </w:p>
    <w:p w:rsidR="00D02ACB" w:rsidRDefault="005A1673">
      <w:pPr>
        <w:pStyle w:val="Indenta"/>
      </w:pPr>
      <w:r>
        <w:tab/>
        <w:t>(b)</w:t>
      </w:r>
      <w:r>
        <w:tab/>
        <w:t>has misbehaved;</w:t>
      </w:r>
    </w:p>
    <w:p w:rsidR="00D02ACB" w:rsidRDefault="005A1673">
      <w:pPr>
        <w:pStyle w:val="Indenta"/>
      </w:pPr>
      <w:r>
        <w:tab/>
        <w:t>(c)</w:t>
      </w:r>
      <w:r>
        <w:tab/>
        <w:t>is incompetent;</w:t>
      </w:r>
    </w:p>
    <w:p w:rsidR="00D02ACB" w:rsidRDefault="005A1673">
      <w:pPr>
        <w:pStyle w:val="Indenta"/>
      </w:pPr>
      <w:r>
        <w:tab/>
        <w:t>(d)</w:t>
      </w:r>
      <w:r>
        <w:tab/>
        <w:t>is suffering from mental or physical incapacity impairing the performance of his or her functions as a member; or</w:t>
      </w:r>
    </w:p>
    <w:p w:rsidR="00D02ACB" w:rsidRDefault="005A1673">
      <w:pPr>
        <w:pStyle w:val="Indenta"/>
      </w:pPr>
      <w:r>
        <w:tab/>
        <w:t>(e)</w:t>
      </w:r>
      <w:r>
        <w:tab/>
        <w:t>has been absent, without leave or reasonable excuse, from 3 consecutive meetings of the SEMC of which the member has had notice.</w:t>
      </w:r>
    </w:p>
    <w:p w:rsidR="00D02ACB" w:rsidRDefault="005A1673">
      <w:pPr>
        <w:pStyle w:val="Heading5"/>
      </w:pPr>
      <w:bookmarkStart w:id="14" w:name="_Toc133315999"/>
      <w:r>
        <w:rPr>
          <w:rStyle w:val="CharSectno"/>
        </w:rPr>
        <w:t>5</w:t>
      </w:r>
      <w:r>
        <w:t>.</w:t>
      </w:r>
      <w:r>
        <w:tab/>
        <w:t>Leave of absence</w:t>
      </w:r>
      <w:bookmarkEnd w:id="14"/>
    </w:p>
    <w:p w:rsidR="00D02ACB" w:rsidRDefault="005A1673">
      <w:pPr>
        <w:pStyle w:val="Subsection"/>
      </w:pPr>
      <w:r>
        <w:tab/>
      </w:r>
      <w:r>
        <w:tab/>
        <w:t>The SEMC may grant leave of absence to a member on any terms and conditions it thinks fit.</w:t>
      </w:r>
    </w:p>
    <w:p w:rsidR="00D02ACB" w:rsidRDefault="005A1673">
      <w:pPr>
        <w:pStyle w:val="Heading5"/>
      </w:pPr>
      <w:bookmarkStart w:id="15" w:name="_Toc133316000"/>
      <w:r>
        <w:rPr>
          <w:rStyle w:val="CharSectno"/>
        </w:rPr>
        <w:t>6</w:t>
      </w:r>
      <w:r>
        <w:t>.</w:t>
      </w:r>
      <w:r>
        <w:tab/>
        <w:t>Chairman unable to act</w:t>
      </w:r>
      <w:bookmarkEnd w:id="15"/>
    </w:p>
    <w:p w:rsidR="00D02ACB" w:rsidRDefault="005A1673">
      <w:pPr>
        <w:pStyle w:val="Subsection"/>
      </w:pPr>
      <w:r>
        <w:tab/>
      </w:r>
      <w:r>
        <w:tab/>
        <w:t>If the chairman is unable to act because of illness, absence or other cause, or during any vacancy in that office, the deputy chairman must perform the functions of the chairman.</w:t>
      </w:r>
    </w:p>
    <w:p w:rsidR="00D02ACB" w:rsidRDefault="005A1673">
      <w:pPr>
        <w:pStyle w:val="Heading5"/>
      </w:pPr>
      <w:bookmarkStart w:id="16" w:name="_Toc133316001"/>
      <w:r>
        <w:rPr>
          <w:rStyle w:val="CharSectno"/>
        </w:rPr>
        <w:t>7</w:t>
      </w:r>
      <w:r>
        <w:t>.</w:t>
      </w:r>
      <w:r>
        <w:tab/>
        <w:t>Deputy members</w:t>
      </w:r>
      <w:bookmarkEnd w:id="16"/>
    </w:p>
    <w:p w:rsidR="00D02ACB" w:rsidRDefault="005A1673">
      <w:pPr>
        <w:pStyle w:val="Subsection"/>
      </w:pPr>
      <w:r>
        <w:tab/>
        <w:t>(1)</w:t>
      </w:r>
      <w:r>
        <w:tab/>
        <w:t>The Minister may appoint one or more persons to be deputies of a member other than the chairman.</w:t>
      </w:r>
    </w:p>
    <w:p w:rsidR="00D02ACB" w:rsidRDefault="005A1673">
      <w:pPr>
        <w:pStyle w:val="Subsection"/>
      </w:pPr>
      <w:r>
        <w:tab/>
        <w:t>(2)</w:t>
      </w:r>
      <w:r>
        <w:tab/>
        <w:t>The Minister must ensure that each deputy of a member has expertise or experience that, in the Minister’s opinion, is relevant to the functions of the SEMC.</w:t>
      </w:r>
    </w:p>
    <w:p w:rsidR="00D02ACB" w:rsidRDefault="005A1673">
      <w:pPr>
        <w:pStyle w:val="Subsection"/>
      </w:pPr>
      <w:r>
        <w:tab/>
        <w:t>(3)</w:t>
      </w:r>
      <w:r>
        <w:tab/>
        <w:t>A deputy of a member may perform the functions of the member when the member is unable to act because of illness, absence or other cause.</w:t>
      </w:r>
    </w:p>
    <w:p w:rsidR="00D02ACB" w:rsidRDefault="005A1673">
      <w:pPr>
        <w:pStyle w:val="Subsection"/>
      </w:pPr>
      <w:r>
        <w:tab/>
        <w:t>(4)</w:t>
      </w:r>
      <w:r>
        <w:tab/>
        <w:t>If the member who is the deputy chairman is performing the functions of the chairman, a deputy of the member may act in his or her place as a member.</w:t>
      </w:r>
    </w:p>
    <w:p w:rsidR="00D02ACB" w:rsidRDefault="005A1673">
      <w:pPr>
        <w:pStyle w:val="Subsection"/>
      </w:pPr>
      <w:r>
        <w:tab/>
        <w:t>(5)</w:t>
      </w:r>
      <w:r>
        <w:tab/>
        <w:t>The Minister may terminate the appointment of a person under this regulation at any time.</w:t>
      </w:r>
    </w:p>
    <w:p w:rsidR="00D02ACB" w:rsidRDefault="005A1673">
      <w:pPr>
        <w:pStyle w:val="Subsection"/>
      </w:pPr>
      <w:r>
        <w:tab/>
        <w:t>(6)</w:t>
      </w:r>
      <w:r>
        <w:tab/>
        <w:t>A deputy of a member, while acting as a member, has all the functions of, and all the protection given to, a member.</w:t>
      </w:r>
    </w:p>
    <w:p w:rsidR="00D02ACB" w:rsidRDefault="005A1673">
      <w:pPr>
        <w:pStyle w:val="Heading5"/>
      </w:pPr>
      <w:bookmarkStart w:id="17" w:name="_Toc133316002"/>
      <w:r>
        <w:rPr>
          <w:rStyle w:val="CharSectno"/>
        </w:rPr>
        <w:t>8</w:t>
      </w:r>
      <w:r>
        <w:t>.</w:t>
      </w:r>
      <w:r>
        <w:tab/>
        <w:t>Saving</w:t>
      </w:r>
      <w:bookmarkEnd w:id="17"/>
    </w:p>
    <w:p w:rsidR="00D02ACB" w:rsidRDefault="005A1673">
      <w:pPr>
        <w:pStyle w:val="Subsection"/>
      </w:pPr>
      <w:r>
        <w:tab/>
      </w:r>
      <w:r>
        <w:tab/>
        <w:t>No act or omission of a person acting in place of another under regulation 6 or 7 is to be questioned on the ground that the occasion for his or her appointment or acting had not arisen or had ceased.</w:t>
      </w:r>
    </w:p>
    <w:p w:rsidR="00D02ACB" w:rsidRDefault="005A1673">
      <w:pPr>
        <w:pStyle w:val="Heading5"/>
      </w:pPr>
      <w:bookmarkStart w:id="18" w:name="_Toc133316003"/>
      <w:r>
        <w:rPr>
          <w:rStyle w:val="CharSectno"/>
        </w:rPr>
        <w:t>9</w:t>
      </w:r>
      <w:r>
        <w:t>.</w:t>
      </w:r>
      <w:r>
        <w:tab/>
        <w:t>Calling of meeting</w:t>
      </w:r>
      <w:bookmarkEnd w:id="18"/>
    </w:p>
    <w:p w:rsidR="00D02ACB" w:rsidRDefault="005A1673">
      <w:pPr>
        <w:pStyle w:val="Subsection"/>
      </w:pPr>
      <w:r>
        <w:tab/>
        <w:t>(1)</w:t>
      </w:r>
      <w:r>
        <w:tab/>
        <w:t>Subject to subregulation (2), meetings are to be held at the times and places that the SEMC determines.</w:t>
      </w:r>
    </w:p>
    <w:p w:rsidR="00D02ACB" w:rsidRDefault="005A1673">
      <w:pPr>
        <w:pStyle w:val="Subsection"/>
      </w:pPr>
      <w:r>
        <w:tab/>
        <w:t>(2)</w:t>
      </w:r>
      <w:r>
        <w:tab/>
        <w:t>The chairman may at any time convene a special meeting of the SEMC.</w:t>
      </w:r>
    </w:p>
    <w:p w:rsidR="00D02ACB" w:rsidRDefault="005A1673">
      <w:pPr>
        <w:pStyle w:val="Heading5"/>
      </w:pPr>
      <w:bookmarkStart w:id="19" w:name="_Toc133316004"/>
      <w:r>
        <w:rPr>
          <w:rStyle w:val="CharSectno"/>
        </w:rPr>
        <w:t>10</w:t>
      </w:r>
      <w:r>
        <w:t>.</w:t>
      </w:r>
      <w:r>
        <w:tab/>
        <w:t>Quorum</w:t>
      </w:r>
      <w:bookmarkEnd w:id="19"/>
    </w:p>
    <w:p w:rsidR="00D02ACB" w:rsidRDefault="005A1673">
      <w:pPr>
        <w:pStyle w:val="Subsection"/>
      </w:pPr>
      <w:r>
        <w:tab/>
      </w:r>
      <w:r>
        <w:tab/>
        <w:t>At a meeting of the SEMC a quorum is constituted by at least half of the number of members in office, of whom one is the chairman or deputy chairman appointed under section 13 of the Act.</w:t>
      </w:r>
    </w:p>
    <w:p w:rsidR="00D02ACB" w:rsidRDefault="005A1673">
      <w:pPr>
        <w:pStyle w:val="Heading5"/>
      </w:pPr>
      <w:bookmarkStart w:id="20" w:name="_Toc133316005"/>
      <w:r>
        <w:rPr>
          <w:rStyle w:val="CharSectno"/>
        </w:rPr>
        <w:t>11</w:t>
      </w:r>
      <w:r>
        <w:t>.</w:t>
      </w:r>
      <w:r>
        <w:tab/>
        <w:t>Minutes</w:t>
      </w:r>
      <w:bookmarkEnd w:id="20"/>
    </w:p>
    <w:p w:rsidR="00D02ACB" w:rsidRDefault="005A1673">
      <w:pPr>
        <w:pStyle w:val="Subsection"/>
      </w:pPr>
      <w:r>
        <w:tab/>
      </w:r>
      <w:r>
        <w:tab/>
        <w:t>The SEMC must cause accurate minutes to be kept of the proceedings at its meetings and of each resolution passed by the SEMC.</w:t>
      </w:r>
    </w:p>
    <w:p w:rsidR="00D02ACB" w:rsidRDefault="005A1673">
      <w:pPr>
        <w:pStyle w:val="Heading5"/>
      </w:pPr>
      <w:bookmarkStart w:id="21" w:name="_Toc133316006"/>
      <w:r>
        <w:rPr>
          <w:rStyle w:val="CharSectno"/>
        </w:rPr>
        <w:t>12</w:t>
      </w:r>
      <w:r>
        <w:t>.</w:t>
      </w:r>
      <w:r>
        <w:tab/>
        <w:t>Holding meetings remotely</w:t>
      </w:r>
      <w:bookmarkEnd w:id="21"/>
    </w:p>
    <w:p w:rsidR="00D02ACB" w:rsidRDefault="005A1673">
      <w:pPr>
        <w:pStyle w:val="Subsection"/>
      </w:pPr>
      <w:r>
        <w:tab/>
      </w:r>
      <w:r>
        <w:tab/>
        <w:t>The presence of a member at a meeting of the SEMC need not be by attendance in person but may be by that person and each other person at the meeting being simultaneously in contact by telephone, or other means of instantaneous communication.</w:t>
      </w:r>
    </w:p>
    <w:p w:rsidR="00D02ACB" w:rsidRDefault="005A1673">
      <w:pPr>
        <w:pStyle w:val="Heading5"/>
      </w:pPr>
      <w:bookmarkStart w:id="22" w:name="_Toc133316007"/>
      <w:r>
        <w:rPr>
          <w:rStyle w:val="CharSectno"/>
        </w:rPr>
        <w:t>13</w:t>
      </w:r>
      <w:r>
        <w:t>.</w:t>
      </w:r>
      <w:r>
        <w:tab/>
        <w:t>Resolution without meeting</w:t>
      </w:r>
      <w:bookmarkEnd w:id="22"/>
    </w:p>
    <w:p w:rsidR="00D02ACB" w:rsidRDefault="005A1673">
      <w:pPr>
        <w:pStyle w:val="Subsection"/>
      </w:pPr>
      <w:r>
        <w:tab/>
      </w:r>
      <w:r>
        <w:tab/>
        <w:t>A resolution in writing signed by each member of the SEMC or assented to by each member by letter, facsimile transmission, electronic mail or other written means has effect as if it had been passed at a meeting of the SEMC.</w:t>
      </w:r>
    </w:p>
    <w:p w:rsidR="00D02ACB" w:rsidRDefault="00D02ACB">
      <w:pPr>
        <w:sectPr w:rsidR="00D02ACB">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D02ACB" w:rsidRDefault="005A1673">
      <w:pPr>
        <w:pStyle w:val="nHeading2"/>
      </w:pPr>
      <w:bookmarkStart w:id="23" w:name="_Toc113695922"/>
      <w:bookmarkStart w:id="24" w:name="_Toc133291507"/>
      <w:bookmarkStart w:id="25" w:name="_Toc133316008"/>
      <w:r>
        <w:t>Notes</w:t>
      </w:r>
      <w:bookmarkEnd w:id="23"/>
      <w:bookmarkEnd w:id="24"/>
      <w:bookmarkEnd w:id="25"/>
    </w:p>
    <w:p w:rsidR="00D02ACB" w:rsidRDefault="005A1673">
      <w:pPr>
        <w:pStyle w:val="nSubsection"/>
        <w:rPr>
          <w:snapToGrid w:val="0"/>
        </w:rPr>
      </w:pPr>
      <w:bookmarkStart w:id="26" w:name="_Toc70311430"/>
      <w:bookmarkStart w:id="27" w:name="_Toc113695923"/>
      <w:r>
        <w:rPr>
          <w:snapToGrid w:val="0"/>
          <w:vertAlign w:val="superscript"/>
        </w:rPr>
        <w:t>1</w:t>
      </w:r>
      <w:r>
        <w:rPr>
          <w:snapToGrid w:val="0"/>
        </w:rPr>
        <w:tab/>
        <w:t xml:space="preserve">This is a compilation of the </w:t>
      </w:r>
      <w:r>
        <w:rPr>
          <w:i/>
          <w:noProof/>
          <w:snapToGrid w:val="0"/>
        </w:rPr>
        <w:t>Emergency Management Regulations 2006</w:t>
      </w:r>
      <w:r>
        <w:rPr>
          <w:snapToGrid w:val="0"/>
        </w:rPr>
        <w:t xml:space="preserve">.  The following table contains information about those regulations. </w:t>
      </w:r>
    </w:p>
    <w:p w:rsidR="00D02ACB" w:rsidRDefault="005A1673">
      <w:pPr>
        <w:pStyle w:val="nHeading3"/>
      </w:pPr>
      <w:bookmarkStart w:id="28" w:name="_Toc133316009"/>
      <w:r>
        <w:t>Compilation table</w:t>
      </w:r>
      <w:bookmarkEnd w:id="26"/>
      <w:bookmarkEnd w:id="27"/>
      <w:bookmarkEnd w:id="2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D02ACB">
        <w:trPr>
          <w:tblHeader/>
        </w:trPr>
        <w:tc>
          <w:tcPr>
            <w:tcW w:w="3118" w:type="dxa"/>
            <w:tcBorders>
              <w:top w:val="single" w:sz="8" w:space="0" w:color="auto"/>
              <w:bottom w:val="single" w:sz="8" w:space="0" w:color="auto"/>
            </w:tcBorders>
          </w:tcPr>
          <w:p w:rsidR="00D02ACB" w:rsidRDefault="005A1673">
            <w:pPr>
              <w:pStyle w:val="nTable"/>
              <w:spacing w:before="60" w:after="60"/>
              <w:rPr>
                <w:b/>
                <w:sz w:val="19"/>
              </w:rPr>
            </w:pPr>
            <w:r>
              <w:rPr>
                <w:b/>
                <w:sz w:val="19"/>
              </w:rPr>
              <w:t>Citation</w:t>
            </w:r>
          </w:p>
        </w:tc>
        <w:tc>
          <w:tcPr>
            <w:tcW w:w="1276" w:type="dxa"/>
            <w:tcBorders>
              <w:top w:val="single" w:sz="8" w:space="0" w:color="auto"/>
              <w:bottom w:val="single" w:sz="8" w:space="0" w:color="auto"/>
            </w:tcBorders>
          </w:tcPr>
          <w:p w:rsidR="00D02ACB" w:rsidRDefault="005A1673">
            <w:pPr>
              <w:pStyle w:val="nTable"/>
              <w:spacing w:before="60" w:after="60"/>
              <w:rPr>
                <w:b/>
                <w:sz w:val="19"/>
              </w:rPr>
            </w:pPr>
            <w:r>
              <w:rPr>
                <w:b/>
                <w:sz w:val="19"/>
              </w:rPr>
              <w:t>Gazettal</w:t>
            </w:r>
          </w:p>
        </w:tc>
        <w:tc>
          <w:tcPr>
            <w:tcW w:w="2693" w:type="dxa"/>
            <w:tcBorders>
              <w:top w:val="single" w:sz="8" w:space="0" w:color="auto"/>
              <w:bottom w:val="single" w:sz="8" w:space="0" w:color="auto"/>
            </w:tcBorders>
          </w:tcPr>
          <w:p w:rsidR="00D02ACB" w:rsidRDefault="005A1673">
            <w:pPr>
              <w:pStyle w:val="nTable"/>
              <w:spacing w:before="60" w:after="60"/>
              <w:rPr>
                <w:b/>
                <w:sz w:val="19"/>
              </w:rPr>
            </w:pPr>
            <w:r>
              <w:rPr>
                <w:b/>
                <w:sz w:val="19"/>
              </w:rPr>
              <w:t>Commencement</w:t>
            </w:r>
          </w:p>
        </w:tc>
      </w:tr>
      <w:tr w:rsidR="00D02ACB">
        <w:tc>
          <w:tcPr>
            <w:tcW w:w="3118" w:type="dxa"/>
            <w:tcBorders>
              <w:top w:val="single" w:sz="8" w:space="0" w:color="auto"/>
              <w:bottom w:val="single" w:sz="4" w:space="0" w:color="auto"/>
            </w:tcBorders>
          </w:tcPr>
          <w:p w:rsidR="00D02ACB" w:rsidRDefault="005A1673">
            <w:pPr>
              <w:pStyle w:val="nTable"/>
              <w:rPr>
                <w:sz w:val="19"/>
              </w:rPr>
            </w:pPr>
            <w:r>
              <w:rPr>
                <w:i/>
                <w:noProof/>
                <w:snapToGrid w:val="0"/>
              </w:rPr>
              <w:t>Emergency Management Regulations 2006</w:t>
            </w:r>
          </w:p>
        </w:tc>
        <w:tc>
          <w:tcPr>
            <w:tcW w:w="1276" w:type="dxa"/>
            <w:tcBorders>
              <w:top w:val="single" w:sz="8" w:space="0" w:color="auto"/>
              <w:bottom w:val="single" w:sz="4" w:space="0" w:color="auto"/>
            </w:tcBorders>
          </w:tcPr>
          <w:p w:rsidR="00D02ACB" w:rsidRDefault="005A1673">
            <w:pPr>
              <w:pStyle w:val="nTable"/>
              <w:rPr>
                <w:sz w:val="19"/>
              </w:rPr>
            </w:pPr>
            <w:r>
              <w:rPr>
                <w:sz w:val="19"/>
              </w:rPr>
              <w:t>21 Apr 2006 p. 1582</w:t>
            </w:r>
            <w:r>
              <w:rPr>
                <w:sz w:val="19"/>
              </w:rPr>
              <w:noBreakHyphen/>
              <w:t>4</w:t>
            </w:r>
          </w:p>
        </w:tc>
        <w:tc>
          <w:tcPr>
            <w:tcW w:w="2693" w:type="dxa"/>
            <w:tcBorders>
              <w:top w:val="single" w:sz="8" w:space="0" w:color="auto"/>
              <w:bottom w:val="single" w:sz="4" w:space="0" w:color="auto"/>
            </w:tcBorders>
          </w:tcPr>
          <w:p w:rsidR="00D02ACB" w:rsidRDefault="005A1673">
            <w:pPr>
              <w:pStyle w:val="nTable"/>
              <w:rPr>
                <w:sz w:val="19"/>
              </w:rPr>
            </w:pPr>
            <w:r>
              <w:rPr>
                <w:sz w:val="19"/>
              </w:rPr>
              <w:t>21 Apr 2006</w:t>
            </w:r>
          </w:p>
        </w:tc>
      </w:tr>
    </w:tbl>
    <w:p w:rsidR="00D02ACB" w:rsidRDefault="00D02ACB"/>
    <w:p w:rsidR="00D02ACB" w:rsidRDefault="00D02ACB">
      <w:pPr>
        <w:sectPr w:rsidR="00D02ACB">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D02ACB" w:rsidRDefault="00D02ACB"/>
    <w:sectPr w:rsidR="00D02ACB">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2ACB" w:rsidRDefault="005A1673">
      <w:pPr>
        <w:rPr>
          <w:b/>
          <w:sz w:val="28"/>
        </w:rPr>
      </w:pPr>
      <w:r>
        <w:rPr>
          <w:b/>
          <w:sz w:val="28"/>
        </w:rPr>
        <w:t>Endnotes</w:t>
      </w:r>
    </w:p>
    <w:p w:rsidR="00D02ACB" w:rsidRDefault="005A1673">
      <w:pPr>
        <w:spacing w:after="240"/>
        <w:rPr>
          <w:rFonts w:ascii="Times" w:hAnsi="Times"/>
          <w:sz w:val="18"/>
        </w:rPr>
      </w:pPr>
      <w:r>
        <w:rPr>
          <w:sz w:val="20"/>
        </w:rPr>
        <w:t>[For ease of reference detach these notes and read them alongside the draft.]</w:t>
      </w:r>
    </w:p>
    <w:p w:rsidR="00D02ACB" w:rsidRDefault="00D02ACB"/>
  </w:endnote>
  <w:endnote w:type="continuationSeparator" w:id="0">
    <w:p w:rsidR="00D02ACB" w:rsidRDefault="00D02ACB">
      <w:pPr>
        <w:pStyle w:val="Footer"/>
      </w:pPr>
    </w:p>
    <w:p w:rsidR="00D02ACB" w:rsidRDefault="00D02A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ACB" w:rsidRDefault="00D02ACB">
    <w:pPr>
      <w:pStyle w:val="Footer"/>
      <w:tabs>
        <w:tab w:val="clear" w:pos="4153"/>
        <w:tab w:val="right" w:pos="7088"/>
      </w:tabs>
      <w:rPr>
        <w:rStyle w:val="PageNumber"/>
      </w:rPr>
    </w:pPr>
  </w:p>
  <w:p w:rsidR="00D02ACB" w:rsidRDefault="005A16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E01AF">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E01AF">
      <w:rPr>
        <w:rFonts w:ascii="Arial" w:hAnsi="Arial" w:cs="Arial"/>
        <w:sz w:val="20"/>
        <w:lang w:val="en-US"/>
      </w:rPr>
      <w:t>21 Apr 2006</w:t>
    </w:r>
    <w:r>
      <w:rPr>
        <w:rFonts w:ascii="Arial" w:hAnsi="Arial" w:cs="Arial"/>
        <w:sz w:val="20"/>
        <w:lang w:val="en-US"/>
      </w:rPr>
      <w:fldChar w:fldCharType="end"/>
    </w:r>
  </w:p>
  <w:p w:rsidR="00D02ACB" w:rsidRDefault="005A167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ACB" w:rsidRDefault="00D02ACB">
    <w:pPr>
      <w:pStyle w:val="Footer"/>
      <w:tabs>
        <w:tab w:val="clear" w:pos="4153"/>
        <w:tab w:val="right" w:pos="7088"/>
      </w:tabs>
      <w:rPr>
        <w:rStyle w:val="PageNumber"/>
      </w:rPr>
    </w:pPr>
  </w:p>
  <w:p w:rsidR="00D02ACB" w:rsidRDefault="005A16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E01AF">
      <w:rPr>
        <w:rFonts w:ascii="Arial" w:hAnsi="Arial" w:cs="Arial"/>
        <w:sz w:val="20"/>
        <w:lang w:val="en-US"/>
      </w:rPr>
      <w:t>21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E01AF">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D02ACB" w:rsidRDefault="005A167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ACB" w:rsidRDefault="00D02ACB">
    <w:pPr>
      <w:pStyle w:val="Footer"/>
      <w:tabs>
        <w:tab w:val="clear" w:pos="4153"/>
        <w:tab w:val="right" w:pos="7088"/>
      </w:tabs>
      <w:rPr>
        <w:rStyle w:val="PageNumber"/>
      </w:rPr>
    </w:pPr>
  </w:p>
  <w:p w:rsidR="00D02ACB" w:rsidRDefault="005A16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E01AF">
      <w:rPr>
        <w:rFonts w:ascii="Arial" w:hAnsi="Arial" w:cs="Arial"/>
        <w:sz w:val="20"/>
        <w:lang w:val="en-US"/>
      </w:rPr>
      <w:t>21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E01AF">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D02ACB" w:rsidRDefault="005A167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ACB" w:rsidRDefault="00D02ACB">
    <w:pPr>
      <w:pStyle w:val="Footer"/>
      <w:tabs>
        <w:tab w:val="clear" w:pos="4153"/>
        <w:tab w:val="right" w:pos="7088"/>
      </w:tabs>
      <w:rPr>
        <w:rStyle w:val="PageNumber"/>
      </w:rPr>
    </w:pPr>
  </w:p>
  <w:p w:rsidR="00D02ACB" w:rsidRDefault="005A16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E01AF">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E01AF">
      <w:rPr>
        <w:rFonts w:ascii="Arial" w:hAnsi="Arial" w:cs="Arial"/>
        <w:sz w:val="20"/>
        <w:lang w:val="en-US"/>
      </w:rPr>
      <w:t>21 Apr 2006</w:t>
    </w:r>
    <w:r>
      <w:rPr>
        <w:rFonts w:ascii="Arial" w:hAnsi="Arial" w:cs="Arial"/>
        <w:sz w:val="20"/>
        <w:lang w:val="en-US"/>
      </w:rPr>
      <w:fldChar w:fldCharType="end"/>
    </w:r>
  </w:p>
  <w:p w:rsidR="00D02ACB" w:rsidRDefault="005A167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ACB" w:rsidRDefault="00D02ACB">
    <w:pPr>
      <w:pStyle w:val="Footer"/>
      <w:tabs>
        <w:tab w:val="clear" w:pos="4153"/>
        <w:tab w:val="right" w:pos="7088"/>
      </w:tabs>
      <w:rPr>
        <w:rStyle w:val="PageNumber"/>
      </w:rPr>
    </w:pPr>
  </w:p>
  <w:p w:rsidR="00D02ACB" w:rsidRDefault="005A16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E01AF">
      <w:rPr>
        <w:rFonts w:ascii="Arial" w:hAnsi="Arial" w:cs="Arial"/>
        <w:sz w:val="20"/>
        <w:lang w:val="en-US"/>
      </w:rPr>
      <w:t>21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E01AF">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D02ACB" w:rsidRDefault="005A167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ACB" w:rsidRDefault="00D02ACB">
    <w:pPr>
      <w:pStyle w:val="Footer"/>
      <w:tabs>
        <w:tab w:val="clear" w:pos="4153"/>
        <w:tab w:val="right" w:pos="7088"/>
      </w:tabs>
      <w:rPr>
        <w:rStyle w:val="PageNumber"/>
      </w:rPr>
    </w:pPr>
  </w:p>
  <w:p w:rsidR="00D02ACB" w:rsidRDefault="005A16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E01AF">
      <w:rPr>
        <w:rFonts w:ascii="Arial" w:hAnsi="Arial" w:cs="Arial"/>
        <w:sz w:val="20"/>
        <w:lang w:val="en-US"/>
      </w:rPr>
      <w:t>21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E01AF">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E01AF">
      <w:rPr>
        <w:rStyle w:val="PageNumber"/>
        <w:rFonts w:ascii="Arial" w:hAnsi="Arial" w:cs="Arial"/>
        <w:noProof/>
      </w:rPr>
      <w:t>i</w:t>
    </w:r>
    <w:r>
      <w:rPr>
        <w:rStyle w:val="PageNumber"/>
        <w:rFonts w:ascii="Arial" w:hAnsi="Arial" w:cs="Arial"/>
      </w:rPr>
      <w:fldChar w:fldCharType="end"/>
    </w:r>
  </w:p>
  <w:p w:rsidR="00D02ACB" w:rsidRDefault="005A1673">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ACB" w:rsidRDefault="00D02ACB">
    <w:pPr>
      <w:pStyle w:val="Footer"/>
      <w:tabs>
        <w:tab w:val="clear" w:pos="4153"/>
        <w:tab w:val="right" w:pos="7088"/>
      </w:tabs>
      <w:rPr>
        <w:rStyle w:val="PageNumber"/>
      </w:rPr>
    </w:pPr>
  </w:p>
  <w:p w:rsidR="00D02ACB" w:rsidRDefault="005A16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E01AF">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E01AF">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E01AF">
      <w:rPr>
        <w:rFonts w:ascii="Arial" w:hAnsi="Arial" w:cs="Arial"/>
        <w:sz w:val="20"/>
        <w:lang w:val="en-US"/>
      </w:rPr>
      <w:t>21 Apr 2006</w:t>
    </w:r>
    <w:r>
      <w:rPr>
        <w:rFonts w:ascii="Arial" w:hAnsi="Arial" w:cs="Arial"/>
        <w:sz w:val="20"/>
        <w:lang w:val="en-US"/>
      </w:rPr>
      <w:fldChar w:fldCharType="end"/>
    </w:r>
    <w:r>
      <w:rPr>
        <w:rFonts w:ascii="Arial" w:hAnsi="Arial" w:cs="Arial"/>
        <w:sz w:val="20"/>
        <w:lang w:val="en-US"/>
      </w:rPr>
      <w:t xml:space="preserve"> </w:t>
    </w:r>
  </w:p>
  <w:p w:rsidR="00D02ACB" w:rsidRDefault="005A167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ACB" w:rsidRDefault="00D02ACB">
    <w:pPr>
      <w:pStyle w:val="Footer"/>
      <w:tabs>
        <w:tab w:val="clear" w:pos="4153"/>
        <w:tab w:val="right" w:pos="7088"/>
      </w:tabs>
      <w:rPr>
        <w:rStyle w:val="PageNumber"/>
      </w:rPr>
    </w:pPr>
  </w:p>
  <w:p w:rsidR="00D02ACB" w:rsidRDefault="005A16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E01AF">
      <w:rPr>
        <w:rFonts w:ascii="Arial" w:hAnsi="Arial" w:cs="Arial"/>
        <w:sz w:val="20"/>
        <w:lang w:val="en-US"/>
      </w:rPr>
      <w:t>21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E01AF">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E01AF">
      <w:rPr>
        <w:rStyle w:val="CharPageNo"/>
        <w:rFonts w:ascii="Arial" w:hAnsi="Arial"/>
        <w:noProof/>
      </w:rPr>
      <w:t>5</w:t>
    </w:r>
    <w:r>
      <w:rPr>
        <w:rStyle w:val="CharPageNo"/>
        <w:rFonts w:ascii="Arial" w:hAnsi="Arial"/>
      </w:rPr>
      <w:fldChar w:fldCharType="end"/>
    </w:r>
  </w:p>
  <w:p w:rsidR="00D02ACB" w:rsidRDefault="005A1673">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ACB" w:rsidRDefault="00D02ACB">
    <w:pPr>
      <w:pStyle w:val="Footer"/>
      <w:tabs>
        <w:tab w:val="clear" w:pos="4153"/>
        <w:tab w:val="right" w:pos="7088"/>
      </w:tabs>
      <w:rPr>
        <w:rStyle w:val="PageNumber"/>
      </w:rPr>
    </w:pPr>
  </w:p>
  <w:p w:rsidR="00D02ACB" w:rsidRDefault="005A16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E01AF">
      <w:rPr>
        <w:rFonts w:ascii="Arial" w:hAnsi="Arial" w:cs="Arial"/>
        <w:sz w:val="20"/>
        <w:lang w:val="en-US"/>
      </w:rPr>
      <w:t>21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E01AF">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E01AF">
      <w:rPr>
        <w:rStyle w:val="CharPageNo"/>
        <w:rFonts w:ascii="Arial" w:hAnsi="Arial"/>
        <w:noProof/>
      </w:rPr>
      <w:t>1</w:t>
    </w:r>
    <w:r>
      <w:rPr>
        <w:rStyle w:val="CharPageNo"/>
        <w:rFonts w:ascii="Arial" w:hAnsi="Arial"/>
      </w:rPr>
      <w:fldChar w:fldCharType="end"/>
    </w:r>
  </w:p>
  <w:p w:rsidR="00D02ACB" w:rsidRDefault="005A1673">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2ACB" w:rsidRDefault="005A1673">
      <w:r>
        <w:separator/>
      </w:r>
    </w:p>
  </w:footnote>
  <w:footnote w:type="continuationSeparator" w:id="0">
    <w:p w:rsidR="00D02ACB" w:rsidRDefault="005A16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ACB" w:rsidRDefault="005A1673">
    <w:pPr>
      <w:pStyle w:val="headerpartodd"/>
      <w:ind w:left="0" w:firstLine="0"/>
      <w:rPr>
        <w:i/>
      </w:rPr>
    </w:pPr>
    <w:r>
      <w:rPr>
        <w:i/>
      </w:rPr>
      <w:fldChar w:fldCharType="begin"/>
    </w:r>
    <w:r>
      <w:rPr>
        <w:i/>
      </w:rPr>
      <w:instrText xml:space="preserve"> Styleref "Name of Act/Reg" </w:instrText>
    </w:r>
    <w:r>
      <w:rPr>
        <w:i/>
      </w:rPr>
      <w:fldChar w:fldCharType="separate"/>
    </w:r>
    <w:r w:rsidR="004E01AF">
      <w:rPr>
        <w:i/>
        <w:noProof/>
      </w:rPr>
      <w:t>Emergency Management Regulations 2006</w:t>
    </w:r>
    <w:r>
      <w:rPr>
        <w:i/>
      </w:rPr>
      <w:fldChar w:fldCharType="end"/>
    </w:r>
  </w:p>
  <w:p w:rsidR="00D02ACB" w:rsidRDefault="005A1673">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D02ACB" w:rsidRDefault="005A1673">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D02ACB" w:rsidRDefault="00D02ACB">
    <w:pPr>
      <w:pStyle w:val="headerpart"/>
    </w:pPr>
  </w:p>
  <w:p w:rsidR="00D02ACB" w:rsidRDefault="00D02ACB">
    <w:pPr>
      <w:pBdr>
        <w:bottom w:val="single" w:sz="6" w:space="1" w:color="auto"/>
      </w:pBdr>
      <w:rPr>
        <w:b/>
      </w:rPr>
    </w:pPr>
  </w:p>
  <w:p w:rsidR="00D02ACB" w:rsidRDefault="00D02AC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ACB" w:rsidRDefault="00D02AC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ACB" w:rsidRDefault="00D02AC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02ACB">
      <w:trPr>
        <w:cantSplit/>
      </w:trPr>
      <w:tc>
        <w:tcPr>
          <w:tcW w:w="7258" w:type="dxa"/>
          <w:gridSpan w:val="2"/>
        </w:tcPr>
        <w:p w:rsidR="00D02ACB" w:rsidRDefault="005A1673">
          <w:pPr>
            <w:pStyle w:val="HeaderActNameLeft"/>
          </w:pPr>
          <w:fldSimple w:instr=" Styleref &quot;Name of Act/Reg&quot; ">
            <w:r w:rsidR="004E01AF">
              <w:rPr>
                <w:noProof/>
              </w:rPr>
              <w:t>Emergency Management Regulations 2006</w:t>
            </w:r>
          </w:fldSimple>
        </w:p>
      </w:tc>
    </w:tr>
    <w:tr w:rsidR="00D02ACB">
      <w:tc>
        <w:tcPr>
          <w:tcW w:w="1548" w:type="dxa"/>
        </w:tcPr>
        <w:p w:rsidR="00D02ACB" w:rsidRDefault="00D02ACB">
          <w:pPr>
            <w:pStyle w:val="HeaderNumberLeft"/>
          </w:pPr>
        </w:p>
      </w:tc>
      <w:tc>
        <w:tcPr>
          <w:tcW w:w="5715" w:type="dxa"/>
        </w:tcPr>
        <w:p w:rsidR="00D02ACB" w:rsidRDefault="00D02ACB">
          <w:pPr>
            <w:pStyle w:val="HeaderTextLeft"/>
          </w:pPr>
        </w:p>
      </w:tc>
    </w:tr>
    <w:tr w:rsidR="00D02ACB">
      <w:tc>
        <w:tcPr>
          <w:tcW w:w="1548" w:type="dxa"/>
        </w:tcPr>
        <w:p w:rsidR="00D02ACB" w:rsidRDefault="00D02ACB">
          <w:pPr>
            <w:pStyle w:val="HeaderNumberLeft"/>
          </w:pPr>
        </w:p>
      </w:tc>
      <w:tc>
        <w:tcPr>
          <w:tcW w:w="5715" w:type="dxa"/>
        </w:tcPr>
        <w:p w:rsidR="00D02ACB" w:rsidRDefault="00D02ACB">
          <w:pPr>
            <w:pStyle w:val="HeaderTextLeft"/>
          </w:pPr>
        </w:p>
      </w:tc>
    </w:tr>
    <w:tr w:rsidR="00D02ACB">
      <w:trPr>
        <w:cantSplit/>
      </w:trPr>
      <w:tc>
        <w:tcPr>
          <w:tcW w:w="7258" w:type="dxa"/>
          <w:gridSpan w:val="2"/>
        </w:tcPr>
        <w:p w:rsidR="00D02ACB" w:rsidRDefault="005A1673">
          <w:pPr>
            <w:pStyle w:val="HeaderSectionLeft"/>
            <w:rPr>
              <w:b w:val="0"/>
            </w:rPr>
          </w:pPr>
          <w:r>
            <w:rPr>
              <w:b w:val="0"/>
            </w:rPr>
            <w:t>Contents</w:t>
          </w:r>
        </w:p>
      </w:tc>
    </w:tr>
  </w:tbl>
  <w:p w:rsidR="00D02ACB" w:rsidRDefault="00D02AC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02ACB">
      <w:trPr>
        <w:cantSplit/>
      </w:trPr>
      <w:tc>
        <w:tcPr>
          <w:tcW w:w="7258" w:type="dxa"/>
          <w:gridSpan w:val="2"/>
        </w:tcPr>
        <w:p w:rsidR="00D02ACB" w:rsidRDefault="005A1673">
          <w:pPr>
            <w:pStyle w:val="HeaderActNameRight"/>
            <w:ind w:right="17"/>
          </w:pPr>
          <w:fldSimple w:instr=" Styleref &quot;Name of Act/Reg&quot; ">
            <w:r w:rsidR="004E01AF">
              <w:rPr>
                <w:noProof/>
              </w:rPr>
              <w:t>Emergency Management Regulations 2006</w:t>
            </w:r>
          </w:fldSimple>
        </w:p>
      </w:tc>
    </w:tr>
    <w:tr w:rsidR="00D02ACB">
      <w:tc>
        <w:tcPr>
          <w:tcW w:w="5715" w:type="dxa"/>
        </w:tcPr>
        <w:p w:rsidR="00D02ACB" w:rsidRDefault="00D02ACB">
          <w:pPr>
            <w:pStyle w:val="HeaderTextRight"/>
          </w:pPr>
        </w:p>
      </w:tc>
      <w:tc>
        <w:tcPr>
          <w:tcW w:w="1548" w:type="dxa"/>
        </w:tcPr>
        <w:p w:rsidR="00D02ACB" w:rsidRDefault="00D02ACB">
          <w:pPr>
            <w:pStyle w:val="HeaderNumberRight"/>
            <w:ind w:right="17"/>
          </w:pPr>
        </w:p>
      </w:tc>
    </w:tr>
    <w:tr w:rsidR="00D02ACB">
      <w:tc>
        <w:tcPr>
          <w:tcW w:w="5715" w:type="dxa"/>
        </w:tcPr>
        <w:p w:rsidR="00D02ACB" w:rsidRDefault="00D02ACB">
          <w:pPr>
            <w:pStyle w:val="HeaderTextRight"/>
          </w:pPr>
        </w:p>
      </w:tc>
      <w:tc>
        <w:tcPr>
          <w:tcW w:w="1548" w:type="dxa"/>
        </w:tcPr>
        <w:p w:rsidR="00D02ACB" w:rsidRDefault="00D02ACB">
          <w:pPr>
            <w:pStyle w:val="HeaderNumberRight"/>
            <w:ind w:right="17"/>
          </w:pPr>
        </w:p>
      </w:tc>
    </w:tr>
    <w:tr w:rsidR="00D02ACB">
      <w:trPr>
        <w:cantSplit/>
      </w:trPr>
      <w:tc>
        <w:tcPr>
          <w:tcW w:w="7258" w:type="dxa"/>
          <w:gridSpan w:val="2"/>
        </w:tcPr>
        <w:p w:rsidR="00D02ACB" w:rsidRDefault="005A1673">
          <w:pPr>
            <w:pStyle w:val="HeaderSectionRight"/>
            <w:ind w:right="17"/>
            <w:rPr>
              <w:b w:val="0"/>
            </w:rPr>
          </w:pPr>
          <w:r>
            <w:rPr>
              <w:b w:val="0"/>
            </w:rPr>
            <w:t>Contents</w:t>
          </w:r>
        </w:p>
      </w:tc>
    </w:tr>
  </w:tbl>
  <w:p w:rsidR="00D02ACB" w:rsidRDefault="00D02AC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02ACB">
      <w:trPr>
        <w:cantSplit/>
      </w:trPr>
      <w:tc>
        <w:tcPr>
          <w:tcW w:w="7258" w:type="dxa"/>
          <w:gridSpan w:val="2"/>
        </w:tcPr>
        <w:p w:rsidR="00D02ACB" w:rsidRDefault="005A1673">
          <w:pPr>
            <w:pStyle w:val="HeaderActNameLeft"/>
          </w:pPr>
          <w:fldSimple w:instr=" Styleref &quot;Name of Act/Reg&quot; ">
            <w:r w:rsidR="004E01AF">
              <w:rPr>
                <w:noProof/>
              </w:rPr>
              <w:t>Emergency Management Regulations 2006</w:t>
            </w:r>
          </w:fldSimple>
        </w:p>
      </w:tc>
    </w:tr>
    <w:tr w:rsidR="00D02ACB">
      <w:tc>
        <w:tcPr>
          <w:tcW w:w="1548" w:type="dxa"/>
        </w:tcPr>
        <w:p w:rsidR="00D02ACB" w:rsidRDefault="005A1673">
          <w:pPr>
            <w:pStyle w:val="HeaderNumberLeft"/>
          </w:pPr>
          <w:r>
            <w:fldChar w:fldCharType="begin"/>
          </w:r>
          <w:r>
            <w:instrText xml:space="preserve"> styleref CharPartNo </w:instrText>
          </w:r>
          <w:r>
            <w:fldChar w:fldCharType="end"/>
          </w:r>
        </w:p>
      </w:tc>
      <w:tc>
        <w:tcPr>
          <w:tcW w:w="5715" w:type="dxa"/>
          <w:vAlign w:val="bottom"/>
        </w:tcPr>
        <w:p w:rsidR="00D02ACB" w:rsidRDefault="005A1673">
          <w:pPr>
            <w:pStyle w:val="HeaderTextLeft"/>
          </w:pPr>
          <w:r>
            <w:fldChar w:fldCharType="begin"/>
          </w:r>
          <w:r>
            <w:instrText xml:space="preserve"> styleref CharPartText </w:instrText>
          </w:r>
          <w:r>
            <w:fldChar w:fldCharType="end"/>
          </w:r>
        </w:p>
      </w:tc>
    </w:tr>
    <w:tr w:rsidR="00D02ACB">
      <w:tc>
        <w:tcPr>
          <w:tcW w:w="1548" w:type="dxa"/>
        </w:tcPr>
        <w:p w:rsidR="00D02ACB" w:rsidRDefault="005A1673">
          <w:pPr>
            <w:pStyle w:val="HeaderNumberLeft"/>
          </w:pPr>
          <w:r>
            <w:fldChar w:fldCharType="begin"/>
          </w:r>
          <w:r>
            <w:instrText xml:space="preserve"> styleref CharDivNo </w:instrText>
          </w:r>
          <w:r>
            <w:fldChar w:fldCharType="end"/>
          </w:r>
        </w:p>
      </w:tc>
      <w:tc>
        <w:tcPr>
          <w:tcW w:w="5715" w:type="dxa"/>
        </w:tcPr>
        <w:p w:rsidR="00D02ACB" w:rsidRDefault="005A1673">
          <w:pPr>
            <w:pStyle w:val="HeaderTextLeft"/>
          </w:pPr>
          <w:r>
            <w:fldChar w:fldCharType="begin"/>
          </w:r>
          <w:r>
            <w:instrText xml:space="preserve"> styleref CharDivText </w:instrText>
          </w:r>
          <w:r>
            <w:fldChar w:fldCharType="end"/>
          </w:r>
        </w:p>
      </w:tc>
    </w:tr>
    <w:tr w:rsidR="00D02ACB">
      <w:trPr>
        <w:cantSplit/>
      </w:trPr>
      <w:tc>
        <w:tcPr>
          <w:tcW w:w="7258" w:type="dxa"/>
          <w:gridSpan w:val="2"/>
        </w:tcPr>
        <w:p w:rsidR="00D02ACB" w:rsidRDefault="005A1673">
          <w:pPr>
            <w:pStyle w:val="HeaderSectionLeft"/>
          </w:pPr>
          <w:r>
            <w:t xml:space="preserve">r. </w:t>
          </w:r>
          <w:fldSimple w:instr=" styleref CharSectno ">
            <w:r w:rsidR="004E01AF">
              <w:rPr>
                <w:noProof/>
              </w:rPr>
              <w:t>1</w:t>
            </w:r>
          </w:fldSimple>
        </w:p>
      </w:tc>
    </w:tr>
  </w:tbl>
  <w:p w:rsidR="00D02ACB" w:rsidRDefault="00D02ACB">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02ACB">
      <w:trPr>
        <w:cantSplit/>
      </w:trPr>
      <w:tc>
        <w:tcPr>
          <w:tcW w:w="7258" w:type="dxa"/>
          <w:gridSpan w:val="2"/>
        </w:tcPr>
        <w:p w:rsidR="00D02ACB" w:rsidRDefault="005A1673">
          <w:pPr>
            <w:pStyle w:val="HeaderActNameRight"/>
            <w:ind w:right="17"/>
          </w:pPr>
          <w:fldSimple w:instr=" Styleref &quot;Name of Act/Reg&quot; ">
            <w:r w:rsidR="004E01AF">
              <w:rPr>
                <w:noProof/>
              </w:rPr>
              <w:t>Emergency Management Regulations 2006</w:t>
            </w:r>
          </w:fldSimple>
        </w:p>
      </w:tc>
    </w:tr>
    <w:tr w:rsidR="00D02ACB">
      <w:tc>
        <w:tcPr>
          <w:tcW w:w="5715" w:type="dxa"/>
        </w:tcPr>
        <w:p w:rsidR="00D02ACB" w:rsidRDefault="005A1673">
          <w:pPr>
            <w:pStyle w:val="HeaderTextRight"/>
          </w:pPr>
          <w:r>
            <w:fldChar w:fldCharType="begin"/>
          </w:r>
          <w:r>
            <w:instrText xml:space="preserve"> styleref CharPartText </w:instrText>
          </w:r>
          <w:r>
            <w:fldChar w:fldCharType="end"/>
          </w:r>
        </w:p>
      </w:tc>
      <w:tc>
        <w:tcPr>
          <w:tcW w:w="1548" w:type="dxa"/>
        </w:tcPr>
        <w:p w:rsidR="00D02ACB" w:rsidRDefault="005A1673">
          <w:pPr>
            <w:pStyle w:val="HeaderNumberRight"/>
            <w:ind w:right="17"/>
          </w:pPr>
          <w:r>
            <w:fldChar w:fldCharType="begin"/>
          </w:r>
          <w:r>
            <w:instrText xml:space="preserve"> styleref CharPartNo </w:instrText>
          </w:r>
          <w:r>
            <w:fldChar w:fldCharType="end"/>
          </w:r>
        </w:p>
      </w:tc>
    </w:tr>
    <w:tr w:rsidR="00D02ACB">
      <w:tc>
        <w:tcPr>
          <w:tcW w:w="5715" w:type="dxa"/>
        </w:tcPr>
        <w:p w:rsidR="00D02ACB" w:rsidRDefault="005A1673">
          <w:pPr>
            <w:pStyle w:val="HeaderTextRight"/>
          </w:pPr>
          <w:r>
            <w:fldChar w:fldCharType="begin"/>
          </w:r>
          <w:r>
            <w:instrText xml:space="preserve"> styleref CharDivText </w:instrText>
          </w:r>
          <w:r>
            <w:fldChar w:fldCharType="end"/>
          </w:r>
        </w:p>
      </w:tc>
      <w:tc>
        <w:tcPr>
          <w:tcW w:w="1548" w:type="dxa"/>
        </w:tcPr>
        <w:p w:rsidR="00D02ACB" w:rsidRDefault="005A1673">
          <w:pPr>
            <w:pStyle w:val="HeaderNumberRight"/>
            <w:ind w:right="17"/>
          </w:pPr>
          <w:r>
            <w:fldChar w:fldCharType="begin"/>
          </w:r>
          <w:r>
            <w:instrText xml:space="preserve"> styleref CharDivNo </w:instrText>
          </w:r>
          <w:r>
            <w:fldChar w:fldCharType="end"/>
          </w:r>
        </w:p>
      </w:tc>
    </w:tr>
    <w:tr w:rsidR="00D02ACB">
      <w:trPr>
        <w:cantSplit/>
      </w:trPr>
      <w:tc>
        <w:tcPr>
          <w:tcW w:w="7258" w:type="dxa"/>
          <w:gridSpan w:val="2"/>
        </w:tcPr>
        <w:p w:rsidR="00D02ACB" w:rsidRDefault="005A1673">
          <w:pPr>
            <w:pStyle w:val="HeaderSectionRight"/>
            <w:ind w:right="17"/>
          </w:pPr>
          <w:r>
            <w:t xml:space="preserve">r. </w:t>
          </w:r>
          <w:fldSimple w:instr=" styleref CharSectno ">
            <w:r w:rsidR="004E01AF">
              <w:rPr>
                <w:noProof/>
              </w:rPr>
              <w:t>1</w:t>
            </w:r>
          </w:fldSimple>
        </w:p>
      </w:tc>
    </w:tr>
  </w:tbl>
  <w:p w:rsidR="00D02ACB" w:rsidRDefault="00D02AC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ACB" w:rsidRDefault="00D02ACB">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02ACB">
      <w:trPr>
        <w:cantSplit/>
      </w:trPr>
      <w:tc>
        <w:tcPr>
          <w:tcW w:w="7258" w:type="dxa"/>
          <w:gridSpan w:val="2"/>
        </w:tcPr>
        <w:p w:rsidR="00D02ACB" w:rsidRDefault="005A1673">
          <w:pPr>
            <w:pStyle w:val="HeaderActNameLeft"/>
          </w:pPr>
          <w:fldSimple w:instr=" Styleref &quot;Name of Act/Reg&quot; ">
            <w:r w:rsidR="004E01AF">
              <w:rPr>
                <w:noProof/>
              </w:rPr>
              <w:t>Emergency Management Regulations 2006</w:t>
            </w:r>
          </w:fldSimple>
        </w:p>
      </w:tc>
    </w:tr>
    <w:tr w:rsidR="00D02ACB">
      <w:tc>
        <w:tcPr>
          <w:tcW w:w="1548" w:type="dxa"/>
        </w:tcPr>
        <w:p w:rsidR="00D02ACB" w:rsidRDefault="00D02ACB">
          <w:pPr>
            <w:pStyle w:val="HeaderNumberLeft"/>
          </w:pPr>
        </w:p>
      </w:tc>
      <w:tc>
        <w:tcPr>
          <w:tcW w:w="5715" w:type="dxa"/>
        </w:tcPr>
        <w:p w:rsidR="00D02ACB" w:rsidRDefault="00D02ACB">
          <w:pPr>
            <w:pStyle w:val="HeaderTextLeft"/>
          </w:pPr>
        </w:p>
      </w:tc>
    </w:tr>
    <w:tr w:rsidR="00D02ACB">
      <w:tc>
        <w:tcPr>
          <w:tcW w:w="1548" w:type="dxa"/>
        </w:tcPr>
        <w:p w:rsidR="00D02ACB" w:rsidRDefault="00D02ACB">
          <w:pPr>
            <w:pStyle w:val="HeaderNumberLeft"/>
          </w:pPr>
        </w:p>
      </w:tc>
      <w:tc>
        <w:tcPr>
          <w:tcW w:w="5715" w:type="dxa"/>
        </w:tcPr>
        <w:p w:rsidR="00D02ACB" w:rsidRDefault="00D02ACB">
          <w:pPr>
            <w:pStyle w:val="HeaderTextLeft"/>
          </w:pPr>
        </w:p>
      </w:tc>
    </w:tr>
    <w:tr w:rsidR="00D02ACB">
      <w:trPr>
        <w:cantSplit/>
      </w:trPr>
      <w:tc>
        <w:tcPr>
          <w:tcW w:w="7258" w:type="dxa"/>
          <w:gridSpan w:val="2"/>
        </w:tcPr>
        <w:p w:rsidR="00D02ACB" w:rsidRDefault="00D02ACB">
          <w:pPr>
            <w:pStyle w:val="HeaderSectionRight"/>
            <w:ind w:right="17"/>
            <w:jc w:val="left"/>
          </w:pPr>
        </w:p>
      </w:tc>
    </w:tr>
  </w:tbl>
  <w:p w:rsidR="00D02ACB" w:rsidRDefault="00D02ACB">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02ACB">
      <w:trPr>
        <w:cantSplit/>
      </w:trPr>
      <w:tc>
        <w:tcPr>
          <w:tcW w:w="7258" w:type="dxa"/>
          <w:gridSpan w:val="2"/>
        </w:tcPr>
        <w:p w:rsidR="00D02ACB" w:rsidRDefault="005A1673">
          <w:pPr>
            <w:pStyle w:val="HeaderActNameRight"/>
            <w:ind w:right="17"/>
          </w:pPr>
          <w:fldSimple w:instr=" Styleref &quot;Name of Act/Reg&quot; ">
            <w:r w:rsidR="004E01AF">
              <w:rPr>
                <w:noProof/>
              </w:rPr>
              <w:t>Emergency Management Regulations 2006</w:t>
            </w:r>
          </w:fldSimple>
        </w:p>
      </w:tc>
    </w:tr>
    <w:tr w:rsidR="00D02ACB">
      <w:tc>
        <w:tcPr>
          <w:tcW w:w="5715" w:type="dxa"/>
        </w:tcPr>
        <w:p w:rsidR="00D02ACB" w:rsidRDefault="00D02ACB">
          <w:pPr>
            <w:pStyle w:val="HeaderTextRight"/>
          </w:pPr>
        </w:p>
      </w:tc>
      <w:tc>
        <w:tcPr>
          <w:tcW w:w="1548" w:type="dxa"/>
        </w:tcPr>
        <w:p w:rsidR="00D02ACB" w:rsidRDefault="00D02ACB">
          <w:pPr>
            <w:pStyle w:val="HeaderNumberRight"/>
            <w:ind w:right="17"/>
          </w:pPr>
        </w:p>
      </w:tc>
    </w:tr>
    <w:tr w:rsidR="00D02ACB">
      <w:tc>
        <w:tcPr>
          <w:tcW w:w="5715" w:type="dxa"/>
        </w:tcPr>
        <w:p w:rsidR="00D02ACB" w:rsidRDefault="00D02ACB">
          <w:pPr>
            <w:pStyle w:val="HeaderTextRight"/>
          </w:pPr>
        </w:p>
      </w:tc>
      <w:tc>
        <w:tcPr>
          <w:tcW w:w="1548" w:type="dxa"/>
        </w:tcPr>
        <w:p w:rsidR="00D02ACB" w:rsidRDefault="00D02ACB">
          <w:pPr>
            <w:pStyle w:val="HeaderNumberRight"/>
            <w:ind w:right="17"/>
          </w:pPr>
        </w:p>
      </w:tc>
    </w:tr>
    <w:tr w:rsidR="00D02ACB">
      <w:trPr>
        <w:cantSplit/>
      </w:trPr>
      <w:tc>
        <w:tcPr>
          <w:tcW w:w="7258" w:type="dxa"/>
          <w:gridSpan w:val="2"/>
        </w:tcPr>
        <w:p w:rsidR="00D02ACB" w:rsidRDefault="00D02ACB">
          <w:pPr>
            <w:pStyle w:val="HeaderSectionRight"/>
            <w:ind w:right="17"/>
          </w:pPr>
        </w:p>
      </w:tc>
    </w:tr>
  </w:tbl>
  <w:p w:rsidR="00D02ACB" w:rsidRDefault="00D02AC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ACB" w:rsidRDefault="00D02ACB">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02ACB">
      <w:trPr>
        <w:cantSplit/>
      </w:trPr>
      <w:tc>
        <w:tcPr>
          <w:tcW w:w="7312" w:type="dxa"/>
          <w:gridSpan w:val="2"/>
        </w:tcPr>
        <w:p w:rsidR="00D02ACB" w:rsidRDefault="005A1673">
          <w:pPr>
            <w:pStyle w:val="HeaderActNameLeft"/>
          </w:pPr>
          <w:fldSimple w:instr=" Styleref &quot;Name of Act/Reg&quot; ">
            <w:r w:rsidR="004E01AF">
              <w:rPr>
                <w:noProof/>
              </w:rPr>
              <w:t>Emergency Management Regulations 2006</w:t>
            </w:r>
          </w:fldSimple>
        </w:p>
      </w:tc>
    </w:tr>
    <w:tr w:rsidR="00D02ACB">
      <w:tc>
        <w:tcPr>
          <w:tcW w:w="1548" w:type="dxa"/>
        </w:tcPr>
        <w:p w:rsidR="00D02ACB" w:rsidRDefault="00D02ACB">
          <w:pPr>
            <w:pStyle w:val="HeaderNumberLeft"/>
          </w:pPr>
        </w:p>
      </w:tc>
      <w:tc>
        <w:tcPr>
          <w:tcW w:w="5764" w:type="dxa"/>
        </w:tcPr>
        <w:p w:rsidR="00D02ACB" w:rsidRDefault="00D02ACB">
          <w:pPr>
            <w:pStyle w:val="HeaderTextLeft"/>
          </w:pPr>
        </w:p>
      </w:tc>
    </w:tr>
    <w:tr w:rsidR="00D02ACB">
      <w:tc>
        <w:tcPr>
          <w:tcW w:w="1548" w:type="dxa"/>
        </w:tcPr>
        <w:p w:rsidR="00D02ACB" w:rsidRDefault="00D02ACB">
          <w:pPr>
            <w:pStyle w:val="HeaderNumberLeft"/>
          </w:pPr>
        </w:p>
      </w:tc>
      <w:tc>
        <w:tcPr>
          <w:tcW w:w="5764" w:type="dxa"/>
        </w:tcPr>
        <w:p w:rsidR="00D02ACB" w:rsidRDefault="00D02ACB">
          <w:pPr>
            <w:pStyle w:val="HeaderTextLeft"/>
          </w:pPr>
        </w:p>
      </w:tc>
    </w:tr>
    <w:tr w:rsidR="00D02ACB">
      <w:trPr>
        <w:cantSplit/>
      </w:trPr>
      <w:tc>
        <w:tcPr>
          <w:tcW w:w="7312" w:type="dxa"/>
          <w:gridSpan w:val="2"/>
        </w:tcPr>
        <w:p w:rsidR="00D02ACB" w:rsidRDefault="00D02ACB">
          <w:pPr>
            <w:pStyle w:val="HeaderSectionLeft"/>
          </w:pPr>
        </w:p>
      </w:tc>
    </w:tr>
  </w:tbl>
  <w:p w:rsidR="00D02ACB" w:rsidRDefault="00D02ACB">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F60A20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20C3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EFCA814"/>
    <w:lvl w:ilvl="0">
      <w:start w:val="1"/>
      <w:numFmt w:val="decimal"/>
      <w:pStyle w:val="ListNumber3"/>
      <w:lvlText w:val="%1."/>
      <w:lvlJc w:val="left"/>
      <w:pPr>
        <w:tabs>
          <w:tab w:val="num" w:pos="926"/>
        </w:tabs>
        <w:ind w:left="926" w:hanging="360"/>
      </w:pPr>
    </w:lvl>
  </w:abstractNum>
  <w:abstractNum w:abstractNumId="3">
    <w:nsid w:val="FFFFFF7F"/>
    <w:multiLevelType w:val="singleLevel"/>
    <w:tmpl w:val="AFB4142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CCE25D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C4422C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500053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DACAA4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446F774"/>
    <w:lvl w:ilvl="0">
      <w:start w:val="1"/>
      <w:numFmt w:val="decimal"/>
      <w:pStyle w:val="ListNumber"/>
      <w:lvlText w:val="%1."/>
      <w:lvlJc w:val="left"/>
      <w:pPr>
        <w:tabs>
          <w:tab w:val="num" w:pos="360"/>
        </w:tabs>
        <w:ind w:left="360" w:hanging="360"/>
      </w:pPr>
    </w:lvl>
  </w:abstractNum>
  <w:abstractNum w:abstractNumId="9">
    <w:nsid w:val="FFFFFF89"/>
    <w:multiLevelType w:val="singleLevel"/>
    <w:tmpl w:val="5F1AF8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6A47A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04A6B1F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1673"/>
    <w:rsid w:val="004E01AF"/>
    <w:rsid w:val="005A1673"/>
    <w:rsid w:val="00853E5F"/>
    <w:rsid w:val="00D02ACB"/>
    <w:rsid w:val="00EC025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1082</Words>
  <Characters>5130</Characters>
  <Application>Microsoft Office Word</Application>
  <DocSecurity>0</DocSecurity>
  <Lines>171</Lines>
  <Paragraphs>110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Company>Parliamentary Counsel's Office</Company>
  <LinksUpToDate>false</LinksUpToDate>
  <CharactersWithSpaces>6102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Management Regulations 2006 - 00-a0-02</dc:title>
  <dc:subject>Subsidiary Legislation</dc:subject>
  <dc:creator>svcMRProcess</dc:creator>
  <cp:keywords>Brought into Production 7 June 2002</cp:keywords>
  <dc:description/>
  <cp:lastModifiedBy>svcMRProcess</cp:lastModifiedBy>
  <cp:revision>4</cp:revision>
  <cp:lastPrinted>2006-03-21T05:26:00Z</cp:lastPrinted>
  <dcterms:created xsi:type="dcterms:W3CDTF">2013-02-14T06:50:00Z</dcterms:created>
  <dcterms:modified xsi:type="dcterms:W3CDTF">2013-02-14T06:50:00Z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1582-4</vt:lpwstr>
  </property>
  <property fmtid="{D5CDD505-2E9C-101B-9397-08002B2CF9AE}" pid="3" name="CommencementDate">
    <vt:lpwstr>20060421</vt:lpwstr>
  </property>
  <property fmtid="{D5CDD505-2E9C-101B-9397-08002B2CF9AE}" pid="4" name="DocumentType">
    <vt:lpwstr>Reg</vt:lpwstr>
  </property>
  <property fmtid="{D5CDD505-2E9C-101B-9397-08002B2CF9AE}" pid="5" name="OwlsUID">
    <vt:i4>38333</vt:i4>
  </property>
  <property fmtid="{D5CDD505-2E9C-101B-9397-08002B2CF9AE}" pid="6" name="AsAtDate">
    <vt:lpwstr>21 Apr 2006</vt:lpwstr>
  </property>
  <property fmtid="{D5CDD505-2E9C-101B-9397-08002B2CF9AE}" pid="7" name="Suffix">
    <vt:lpwstr>00-a0-02</vt:lpwstr>
  </property>
</Properties>
</file>