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_Toc480537353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_Toc480537354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Jigalong Aboriginal Community</w:t>
      </w:r>
      <w:r>
        <w:tab/>
      </w:r>
      <w:r>
        <w:fldChar w:fldCharType="begin"/>
      </w:r>
      <w:r>
        <w:instrText xml:space="preserve"> PAGEREF _Toc480537355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_Toc480537356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_Toc480537357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_Toc480537358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Jigalong Aboriginal Community</w:t>
      </w:r>
      <w:r>
        <w:tab/>
      </w:r>
      <w:r>
        <w:fldChar w:fldCharType="begin"/>
      </w:r>
      <w:r>
        <w:instrText xml:space="preserve"> PAGEREF _Toc480537359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_Toc480537360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_Toc480537361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_Toc480537363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(Jigalong Restricted Area) Regulations 2009</w:t>
      </w:r>
    </w:p>
    <w:p>
      <w:pPr>
        <w:pStyle w:val="Heading5"/>
      </w:pPr>
      <w:bookmarkStart w:id="3" w:name="_Toc384290498"/>
      <w:bookmarkStart w:id="4" w:name="_Toc48053735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6" w:name="_Toc384290499"/>
      <w:bookmarkStart w:id="7" w:name="_Toc48053735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84290500"/>
      <w:bookmarkStart w:id="9" w:name="_Toc480537355"/>
      <w:r>
        <w:rPr>
          <w:rStyle w:val="CharSectno"/>
        </w:rPr>
        <w:t>3</w:t>
      </w:r>
      <w:r>
        <w:t>.</w:t>
      </w:r>
      <w:r>
        <w:tab/>
        <w:t>Term used: Jigalong Aboriginal Community</w:t>
      </w:r>
      <w:bookmarkEnd w:id="8"/>
      <w:bookmarkEnd w:id="9"/>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10" w:name="_Toc384290501"/>
      <w:bookmarkStart w:id="11" w:name="_Toc480537356"/>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84290502"/>
      <w:bookmarkStart w:id="13" w:name="_Toc480537357"/>
      <w:r>
        <w:rPr>
          <w:rStyle w:val="CharSectno"/>
        </w:rPr>
        <w:t>5</w:t>
      </w:r>
      <w:r>
        <w:t>.</w:t>
      </w:r>
      <w:r>
        <w:tab/>
        <w:t>Declaration of restricted area</w:t>
      </w:r>
      <w:bookmarkEnd w:id="12"/>
      <w:bookmarkEnd w:id="13"/>
    </w:p>
    <w:p>
      <w:pPr>
        <w:pStyle w:val="Subsection"/>
      </w:pPr>
      <w:r>
        <w:tab/>
      </w:r>
      <w:r>
        <w:tab/>
        <w:t>The Jigalong Aboriginal Community is declared to be a restricted area for the purposes of section 175(1a) of the Act.</w:t>
      </w:r>
    </w:p>
    <w:p>
      <w:pPr>
        <w:pStyle w:val="Heading5"/>
      </w:pPr>
      <w:bookmarkStart w:id="14" w:name="_Toc384290503"/>
      <w:bookmarkStart w:id="15" w:name="_Toc480537358"/>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4290504"/>
      <w:bookmarkStart w:id="17" w:name="_Toc480537359"/>
      <w:r>
        <w:rPr>
          <w:rStyle w:val="CharSectno"/>
        </w:rPr>
        <w:t>7</w:t>
      </w:r>
      <w:r>
        <w:t>.</w:t>
      </w:r>
      <w:r>
        <w:tab/>
        <w:t>Prohibitions as to liquor in Jigalong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4290505"/>
      <w:bookmarkStart w:id="19" w:name="_Toc480537360"/>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4290506"/>
      <w:bookmarkStart w:id="21" w:name="_Toc480537361"/>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1 May 2020.</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29 Apr 2011 p. 1534; 4 Apr 2014 p. 884; 21 Apr 2017 p. 2181.]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4290488"/>
      <w:bookmarkStart w:id="23" w:name="_Toc384290507"/>
      <w:bookmarkStart w:id="24" w:name="_Toc421003576"/>
      <w:bookmarkStart w:id="25" w:name="_Toc421003598"/>
      <w:bookmarkStart w:id="26" w:name="_Toc480537362"/>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rPr>
          <w:vertAlign w:val="superscript"/>
        </w:rPr>
        <w:t> 2</w:t>
      </w:r>
      <w:r>
        <w:rPr>
          <w:snapToGrid w:val="0"/>
        </w:rPr>
        <w:t xml:space="preserve"> and includes the amendments made by the other written laws referred to in the following table.  </w:t>
      </w:r>
    </w:p>
    <w:p>
      <w:pPr>
        <w:pStyle w:val="nHeading3"/>
      </w:pPr>
      <w:bookmarkStart w:id="27" w:name="_Toc384290508"/>
      <w:bookmarkStart w:id="28" w:name="_Toc480537363"/>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single" w:sz="8" w:space="0" w:color="auto"/>
            </w:tcBorders>
          </w:tcPr>
          <w:p>
            <w:pPr>
              <w:pStyle w:val="nTable"/>
              <w:spacing w:after="40"/>
              <w:rPr>
                <w:i/>
              </w:rPr>
            </w:pPr>
            <w:r>
              <w:rPr>
                <w:i/>
              </w:rPr>
              <w:t>Liquor Control (Jigalong Restricted Area) Amendment Regulations 2017</w:t>
            </w:r>
          </w:p>
        </w:tc>
        <w:tc>
          <w:tcPr>
            <w:tcW w:w="1276" w:type="dxa"/>
            <w:tcBorders>
              <w:top w:val="nil"/>
              <w:bottom w:val="single" w:sz="8" w:space="0" w:color="auto"/>
            </w:tcBorders>
          </w:tcPr>
          <w:p>
            <w:pPr>
              <w:pStyle w:val="nTable"/>
              <w:spacing w:after="40"/>
            </w:pPr>
            <w:r>
              <w:t>21 Apr 2017 p. 2181</w:t>
            </w:r>
          </w:p>
        </w:tc>
        <w:tc>
          <w:tcPr>
            <w:tcW w:w="2693" w:type="dxa"/>
            <w:tcBorders>
              <w:top w:val="nil"/>
              <w:bottom w:val="single" w:sz="8" w:space="0" w:color="auto"/>
            </w:tcBorders>
          </w:tcPr>
          <w:p>
            <w:pPr>
              <w:pStyle w:val="nTable"/>
              <w:spacing w:after="40"/>
              <w:rPr>
                <w:snapToGrid w:val="0"/>
                <w:spacing w:val="-2"/>
              </w:rPr>
            </w:pPr>
            <w:r>
              <w:rPr>
                <w:rFonts w:ascii="Times" w:hAnsi="Times"/>
                <w:bCs/>
                <w:snapToGrid w:val="0"/>
                <w:spacing w:val="-2"/>
              </w:rPr>
              <w:t xml:space="preserve">r. 1 and 2: </w:t>
            </w:r>
            <w:r>
              <w:rPr>
                <w:snapToGrid w:val="0"/>
                <w:spacing w:val="-2"/>
              </w:rPr>
              <w:t>21 Apr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snapToGrid w:val="0"/>
                <w:spacing w:val="-2"/>
              </w:rPr>
              <w:t>22 Apr 2017</w:t>
            </w:r>
            <w:r>
              <w:rPr>
                <w:rFonts w:ascii="Times" w:hAnsi="Times"/>
                <w:bCs/>
                <w:snapToGrid w:val="0"/>
                <w:spacing w:val="-2"/>
              </w:rPr>
              <w:t xml:space="preserve"> (see r. 2(b))</w:t>
            </w:r>
          </w:p>
        </w:tc>
      </w:tr>
    </w:tbl>
    <w:p>
      <w:pPr>
        <w:pStyle w:val="nSubsection"/>
      </w:pPr>
      <w:r>
        <w:rPr>
          <w:vertAlign w:val="superscript"/>
        </w:rPr>
        <w:t>2</w:t>
      </w:r>
      <w:r>
        <w:tab/>
        <w:t>These regulations expire 1 May 2020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0" w:name="_Toc421003600"/>
      <w:bookmarkStart w:id="31" w:name="_Toc480537364"/>
      <w:r>
        <w:rPr>
          <w:sz w:val="28"/>
        </w:rPr>
        <w:t>Defined terms</w:t>
      </w:r>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Jigalong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7054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950</Words>
  <Characters>4628</Characters>
  <Application>Microsoft Office Word</Application>
  <DocSecurity>0</DocSecurity>
  <Lines>171</Lines>
  <Paragraphs>111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2009 - 00-d0-01</dc:title>
  <dc:subject/>
  <dc:creator/>
  <cp:keywords/>
  <dc:description/>
  <cp:lastModifiedBy>svcMRProcess</cp:lastModifiedBy>
  <cp:revision>4</cp:revision>
  <cp:lastPrinted>2017-04-21T04:13:00Z</cp:lastPrinted>
  <dcterms:created xsi:type="dcterms:W3CDTF">2019-01-17T06:33:00Z</dcterms:created>
  <dcterms:modified xsi:type="dcterms:W3CDTF">2019-01-17T06:33:00Z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CommencementDate">
    <vt:lpwstr>20170422</vt:lpwstr>
  </property>
  <property fmtid="{D5CDD505-2E9C-101B-9397-08002B2CF9AE}" pid="6" name="AsAtDate">
    <vt:lpwstr>22 Apr 2017</vt:lpwstr>
  </property>
  <property fmtid="{D5CDD505-2E9C-101B-9397-08002B2CF9AE}" pid="7" name="Suffix">
    <vt:lpwstr>00-d0-01</vt:lpwstr>
  </property>
</Properties>
</file>