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tabs>
          <w:tab w:val="left" w:pos="5529"/>
        </w:tabs>
        <w:spacing w:before="3760" w:after="4200"/>
        <w:ind w:left="567" w:right="617"/>
      </w:pPr>
      <w:r>
        <w:fldChar w:fldCharType="begin"/>
      </w:r>
      <w:r>
        <w:instrText xml:space="preserve"> STYLEREF "Name Of Act/Reg"</w:instrText>
      </w:r>
      <w:r>
        <w:fldChar w:fldCharType="separate"/>
      </w:r>
      <w:r>
        <w:rPr>
          <w:noProof/>
        </w:rPr>
        <w:t>Emergency Management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Emergency Management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zCs w:val="24"/>
        </w:rPr>
        <w:tab/>
        <w:t>Citation</w:t>
      </w:r>
      <w:r>
        <w:tab/>
      </w:r>
      <w:r>
        <w:fldChar w:fldCharType="begin"/>
      </w:r>
      <w:r>
        <w:instrText xml:space="preserve"> PAGEREF _Toc156291562 \h </w:instrText>
      </w:r>
      <w:r>
        <w:fldChar w:fldCharType="separate"/>
      </w:r>
      <w:r>
        <w:t>2</w:t>
      </w:r>
      <w:r>
        <w:fldChar w:fldCharType="end"/>
      </w:r>
    </w:p>
    <w:p>
      <w:pPr>
        <w:pStyle w:val="TOC2"/>
        <w:tabs>
          <w:tab w:val="right" w:leader="dot" w:pos="7086"/>
        </w:tabs>
        <w:rPr>
          <w:b w:val="0"/>
          <w:sz w:val="24"/>
          <w:szCs w:val="24"/>
        </w:rPr>
      </w:pPr>
      <w:r>
        <w:rPr>
          <w:szCs w:val="30"/>
        </w:rPr>
        <w:t>Part 2 — The State Emergency Management Committee</w:t>
      </w:r>
    </w:p>
    <w:p>
      <w:pPr>
        <w:pStyle w:val="TOC8"/>
        <w:rPr>
          <w:sz w:val="24"/>
          <w:szCs w:val="24"/>
        </w:rPr>
      </w:pPr>
      <w:r>
        <w:rPr>
          <w:szCs w:val="24"/>
        </w:rPr>
        <w:t>2.</w:t>
      </w:r>
      <w:r>
        <w:rPr>
          <w:szCs w:val="24"/>
        </w:rPr>
        <w:tab/>
        <w:t>Membership of the SEMC</w:t>
      </w:r>
      <w:r>
        <w:tab/>
      </w:r>
      <w:r>
        <w:fldChar w:fldCharType="begin"/>
      </w:r>
      <w:r>
        <w:instrText xml:space="preserve"> PAGEREF _Toc156291564 \h </w:instrText>
      </w:r>
      <w:r>
        <w:fldChar w:fldCharType="separate"/>
      </w:r>
      <w:r>
        <w:t>3</w:t>
      </w:r>
      <w:r>
        <w:fldChar w:fldCharType="end"/>
      </w:r>
    </w:p>
    <w:p>
      <w:pPr>
        <w:pStyle w:val="TOC8"/>
        <w:rPr>
          <w:sz w:val="24"/>
          <w:szCs w:val="24"/>
        </w:rPr>
      </w:pPr>
      <w:r>
        <w:rPr>
          <w:szCs w:val="24"/>
        </w:rPr>
        <w:t>3.</w:t>
      </w:r>
      <w:r>
        <w:rPr>
          <w:szCs w:val="24"/>
        </w:rPr>
        <w:tab/>
        <w:t>Term of office</w:t>
      </w:r>
      <w:r>
        <w:tab/>
      </w:r>
      <w:r>
        <w:fldChar w:fldCharType="begin"/>
      </w:r>
      <w:r>
        <w:instrText xml:space="preserve"> PAGEREF _Toc156291565 \h </w:instrText>
      </w:r>
      <w:r>
        <w:fldChar w:fldCharType="separate"/>
      </w:r>
      <w:r>
        <w:t>3</w:t>
      </w:r>
      <w:r>
        <w:fldChar w:fldCharType="end"/>
      </w:r>
    </w:p>
    <w:p>
      <w:pPr>
        <w:pStyle w:val="TOC8"/>
        <w:rPr>
          <w:sz w:val="24"/>
          <w:szCs w:val="24"/>
        </w:rPr>
      </w:pPr>
      <w:r>
        <w:rPr>
          <w:szCs w:val="24"/>
        </w:rPr>
        <w:t>4.</w:t>
      </w:r>
      <w:r>
        <w:rPr>
          <w:szCs w:val="24"/>
        </w:rPr>
        <w:tab/>
        <w:t>Vacancies</w:t>
      </w:r>
      <w:r>
        <w:tab/>
      </w:r>
      <w:r>
        <w:fldChar w:fldCharType="begin"/>
      </w:r>
      <w:r>
        <w:instrText xml:space="preserve"> PAGEREF _Toc156291566 \h </w:instrText>
      </w:r>
      <w:r>
        <w:fldChar w:fldCharType="separate"/>
      </w:r>
      <w:r>
        <w:t>4</w:t>
      </w:r>
      <w:r>
        <w:fldChar w:fldCharType="end"/>
      </w:r>
    </w:p>
    <w:p>
      <w:pPr>
        <w:pStyle w:val="TOC8"/>
        <w:rPr>
          <w:sz w:val="24"/>
          <w:szCs w:val="24"/>
        </w:rPr>
      </w:pPr>
      <w:r>
        <w:rPr>
          <w:szCs w:val="24"/>
        </w:rPr>
        <w:t>5.</w:t>
      </w:r>
      <w:r>
        <w:rPr>
          <w:szCs w:val="24"/>
        </w:rPr>
        <w:tab/>
        <w:t>Leave of absence</w:t>
      </w:r>
      <w:r>
        <w:tab/>
      </w:r>
      <w:r>
        <w:fldChar w:fldCharType="begin"/>
      </w:r>
      <w:r>
        <w:instrText xml:space="preserve"> PAGEREF _Toc156291567 \h </w:instrText>
      </w:r>
      <w:r>
        <w:fldChar w:fldCharType="separate"/>
      </w:r>
      <w:r>
        <w:t>4</w:t>
      </w:r>
      <w:r>
        <w:fldChar w:fldCharType="end"/>
      </w:r>
    </w:p>
    <w:p>
      <w:pPr>
        <w:pStyle w:val="TOC8"/>
        <w:rPr>
          <w:sz w:val="24"/>
          <w:szCs w:val="24"/>
        </w:rPr>
      </w:pPr>
      <w:r>
        <w:rPr>
          <w:szCs w:val="24"/>
        </w:rPr>
        <w:t>6.</w:t>
      </w:r>
      <w:r>
        <w:rPr>
          <w:szCs w:val="24"/>
        </w:rPr>
        <w:tab/>
        <w:t>Chairman unable to act</w:t>
      </w:r>
      <w:r>
        <w:tab/>
      </w:r>
      <w:r>
        <w:fldChar w:fldCharType="begin"/>
      </w:r>
      <w:r>
        <w:instrText xml:space="preserve"> PAGEREF _Toc156291568 \h </w:instrText>
      </w:r>
      <w:r>
        <w:fldChar w:fldCharType="separate"/>
      </w:r>
      <w:r>
        <w:t>4</w:t>
      </w:r>
      <w:r>
        <w:fldChar w:fldCharType="end"/>
      </w:r>
    </w:p>
    <w:p>
      <w:pPr>
        <w:pStyle w:val="TOC8"/>
        <w:rPr>
          <w:sz w:val="24"/>
          <w:szCs w:val="24"/>
        </w:rPr>
      </w:pPr>
      <w:r>
        <w:rPr>
          <w:szCs w:val="24"/>
        </w:rPr>
        <w:t>7.</w:t>
      </w:r>
      <w:r>
        <w:rPr>
          <w:szCs w:val="24"/>
        </w:rPr>
        <w:tab/>
        <w:t>Deputy members</w:t>
      </w:r>
      <w:r>
        <w:tab/>
      </w:r>
      <w:r>
        <w:fldChar w:fldCharType="begin"/>
      </w:r>
      <w:r>
        <w:instrText xml:space="preserve"> PAGEREF _Toc156291569 \h </w:instrText>
      </w:r>
      <w:r>
        <w:fldChar w:fldCharType="separate"/>
      </w:r>
      <w:r>
        <w:t>5</w:t>
      </w:r>
      <w:r>
        <w:fldChar w:fldCharType="end"/>
      </w:r>
    </w:p>
    <w:p>
      <w:pPr>
        <w:pStyle w:val="TOC8"/>
        <w:rPr>
          <w:sz w:val="24"/>
          <w:szCs w:val="24"/>
        </w:rPr>
      </w:pPr>
      <w:r>
        <w:rPr>
          <w:szCs w:val="24"/>
        </w:rPr>
        <w:t>8.</w:t>
      </w:r>
      <w:r>
        <w:rPr>
          <w:szCs w:val="24"/>
        </w:rPr>
        <w:tab/>
        <w:t>Saving</w:t>
      </w:r>
      <w:r>
        <w:tab/>
      </w:r>
      <w:r>
        <w:fldChar w:fldCharType="begin"/>
      </w:r>
      <w:r>
        <w:instrText xml:space="preserve"> PAGEREF _Toc156291570 \h </w:instrText>
      </w:r>
      <w:r>
        <w:fldChar w:fldCharType="separate"/>
      </w:r>
      <w:r>
        <w:t>5</w:t>
      </w:r>
      <w:r>
        <w:fldChar w:fldCharType="end"/>
      </w:r>
    </w:p>
    <w:p>
      <w:pPr>
        <w:pStyle w:val="TOC8"/>
        <w:rPr>
          <w:sz w:val="24"/>
          <w:szCs w:val="24"/>
        </w:rPr>
      </w:pPr>
      <w:r>
        <w:rPr>
          <w:szCs w:val="24"/>
        </w:rPr>
        <w:t>9.</w:t>
      </w:r>
      <w:r>
        <w:rPr>
          <w:szCs w:val="24"/>
        </w:rPr>
        <w:tab/>
        <w:t>Calling of meeting</w:t>
      </w:r>
      <w:r>
        <w:tab/>
      </w:r>
      <w:r>
        <w:fldChar w:fldCharType="begin"/>
      </w:r>
      <w:r>
        <w:instrText xml:space="preserve"> PAGEREF _Toc156291571 \h </w:instrText>
      </w:r>
      <w:r>
        <w:fldChar w:fldCharType="separate"/>
      </w:r>
      <w:r>
        <w:t>5</w:t>
      </w:r>
      <w:r>
        <w:fldChar w:fldCharType="end"/>
      </w:r>
    </w:p>
    <w:p>
      <w:pPr>
        <w:pStyle w:val="TOC8"/>
        <w:rPr>
          <w:sz w:val="24"/>
          <w:szCs w:val="24"/>
        </w:rPr>
      </w:pPr>
      <w:r>
        <w:rPr>
          <w:szCs w:val="24"/>
        </w:rPr>
        <w:t>10.</w:t>
      </w:r>
      <w:r>
        <w:rPr>
          <w:szCs w:val="24"/>
        </w:rPr>
        <w:tab/>
        <w:t>Quorum</w:t>
      </w:r>
      <w:r>
        <w:tab/>
      </w:r>
      <w:r>
        <w:fldChar w:fldCharType="begin"/>
      </w:r>
      <w:r>
        <w:instrText xml:space="preserve"> PAGEREF _Toc156291572 \h </w:instrText>
      </w:r>
      <w:r>
        <w:fldChar w:fldCharType="separate"/>
      </w:r>
      <w:r>
        <w:t>5</w:t>
      </w:r>
      <w:r>
        <w:fldChar w:fldCharType="end"/>
      </w:r>
    </w:p>
    <w:p>
      <w:pPr>
        <w:pStyle w:val="TOC8"/>
        <w:rPr>
          <w:sz w:val="24"/>
          <w:szCs w:val="24"/>
        </w:rPr>
      </w:pPr>
      <w:r>
        <w:rPr>
          <w:szCs w:val="24"/>
        </w:rPr>
        <w:t>11.</w:t>
      </w:r>
      <w:r>
        <w:rPr>
          <w:szCs w:val="24"/>
        </w:rPr>
        <w:tab/>
        <w:t>Minutes</w:t>
      </w:r>
      <w:r>
        <w:tab/>
      </w:r>
      <w:r>
        <w:fldChar w:fldCharType="begin"/>
      </w:r>
      <w:r>
        <w:instrText xml:space="preserve"> PAGEREF _Toc156291573 \h </w:instrText>
      </w:r>
      <w:r>
        <w:fldChar w:fldCharType="separate"/>
      </w:r>
      <w:r>
        <w:t>6</w:t>
      </w:r>
      <w:r>
        <w:fldChar w:fldCharType="end"/>
      </w:r>
    </w:p>
    <w:p>
      <w:pPr>
        <w:pStyle w:val="TOC8"/>
        <w:rPr>
          <w:sz w:val="24"/>
          <w:szCs w:val="24"/>
        </w:rPr>
      </w:pPr>
      <w:r>
        <w:rPr>
          <w:szCs w:val="24"/>
        </w:rPr>
        <w:t>12.</w:t>
      </w:r>
      <w:r>
        <w:rPr>
          <w:szCs w:val="24"/>
        </w:rPr>
        <w:tab/>
        <w:t>Holding meetings remotely</w:t>
      </w:r>
      <w:r>
        <w:tab/>
      </w:r>
      <w:r>
        <w:fldChar w:fldCharType="begin"/>
      </w:r>
      <w:r>
        <w:instrText xml:space="preserve"> PAGEREF _Toc156291574 \h </w:instrText>
      </w:r>
      <w:r>
        <w:fldChar w:fldCharType="separate"/>
      </w:r>
      <w:r>
        <w:t>6</w:t>
      </w:r>
      <w:r>
        <w:fldChar w:fldCharType="end"/>
      </w:r>
    </w:p>
    <w:p>
      <w:pPr>
        <w:pStyle w:val="TOC8"/>
        <w:rPr>
          <w:sz w:val="24"/>
          <w:szCs w:val="24"/>
        </w:rPr>
      </w:pPr>
      <w:r>
        <w:rPr>
          <w:szCs w:val="24"/>
        </w:rPr>
        <w:t>13.</w:t>
      </w:r>
      <w:r>
        <w:rPr>
          <w:szCs w:val="24"/>
        </w:rPr>
        <w:tab/>
        <w:t>Resolution without meeting</w:t>
      </w:r>
      <w:r>
        <w:tab/>
      </w:r>
      <w:r>
        <w:fldChar w:fldCharType="begin"/>
      </w:r>
      <w:r>
        <w:instrText xml:space="preserve"> PAGEREF _Toc156291575 \h </w:instrText>
      </w:r>
      <w:r>
        <w:fldChar w:fldCharType="separate"/>
      </w:r>
      <w:r>
        <w:t>6</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pPr>
        <w:pStyle w:val="TOC8"/>
        <w:rPr>
          <w:sz w:val="24"/>
          <w:szCs w:val="24"/>
        </w:rPr>
      </w:pPr>
      <w:r>
        <w:rPr>
          <w:szCs w:val="24"/>
        </w:rPr>
        <w:t>14.</w:t>
      </w:r>
      <w:r>
        <w:rPr>
          <w:szCs w:val="24"/>
        </w:rPr>
        <w:tab/>
        <w:t>Meaning of terms</w:t>
      </w:r>
      <w:r>
        <w:tab/>
      </w:r>
      <w:r>
        <w:fldChar w:fldCharType="begin"/>
      </w:r>
      <w:r>
        <w:instrText xml:space="preserve"> PAGEREF _Toc156291577 \h </w:instrText>
      </w:r>
      <w:r>
        <w:fldChar w:fldCharType="separate"/>
      </w:r>
      <w:r>
        <w:t>7</w:t>
      </w:r>
      <w:r>
        <w:fldChar w:fldCharType="end"/>
      </w:r>
    </w:p>
    <w:p>
      <w:pPr>
        <w:pStyle w:val="TOC8"/>
        <w:rPr>
          <w:sz w:val="24"/>
          <w:szCs w:val="24"/>
        </w:rPr>
      </w:pPr>
      <w:r>
        <w:rPr>
          <w:szCs w:val="24"/>
        </w:rPr>
        <w:t>15.</w:t>
      </w:r>
      <w:r>
        <w:rPr>
          <w:szCs w:val="24"/>
        </w:rPr>
        <w:tab/>
        <w:t>Events, situations and conditions prescribed as hazards</w:t>
      </w:r>
      <w:r>
        <w:tab/>
      </w:r>
      <w:r>
        <w:fldChar w:fldCharType="begin"/>
      </w:r>
      <w:r>
        <w:instrText xml:space="preserve"> PAGEREF _Toc156291578 \h </w:instrText>
      </w:r>
      <w:r>
        <w:fldChar w:fldCharType="separate"/>
      </w:r>
      <w:r>
        <w:t>7</w:t>
      </w:r>
      <w:r>
        <w:fldChar w:fldCharType="end"/>
      </w:r>
    </w:p>
    <w:p>
      <w:pPr>
        <w:pStyle w:val="TOC8"/>
        <w:rPr>
          <w:sz w:val="24"/>
          <w:szCs w:val="24"/>
        </w:rPr>
      </w:pPr>
      <w:r>
        <w:rPr>
          <w:szCs w:val="24"/>
        </w:rPr>
        <w:t>16.</w:t>
      </w:r>
      <w:r>
        <w:rPr>
          <w:szCs w:val="24"/>
        </w:rPr>
        <w:tab/>
        <w:t>Hazard management agency — Commissioner of Police</w:t>
      </w:r>
      <w:r>
        <w:tab/>
      </w:r>
      <w:r>
        <w:fldChar w:fldCharType="begin"/>
      </w:r>
      <w:r>
        <w:instrText xml:space="preserve"> PAGEREF _Toc156291579 \h </w:instrText>
      </w:r>
      <w:r>
        <w:fldChar w:fldCharType="separate"/>
      </w:r>
      <w:r>
        <w:t>8</w:t>
      </w:r>
      <w:r>
        <w:fldChar w:fldCharType="end"/>
      </w:r>
    </w:p>
    <w:p>
      <w:pPr>
        <w:pStyle w:val="TOC8"/>
        <w:rPr>
          <w:sz w:val="24"/>
          <w:szCs w:val="24"/>
        </w:rPr>
      </w:pPr>
      <w:r>
        <w:rPr>
          <w:szCs w:val="24"/>
        </w:rPr>
        <w:t>17.</w:t>
      </w:r>
      <w:r>
        <w:rPr>
          <w:szCs w:val="24"/>
        </w:rPr>
        <w:tab/>
        <w:t>Hazard management agency — FESA</w:t>
      </w:r>
      <w:r>
        <w:tab/>
      </w:r>
      <w:r>
        <w:fldChar w:fldCharType="begin"/>
      </w:r>
      <w:r>
        <w:instrText xml:space="preserve"> PAGEREF _Toc156291580 \h </w:instrText>
      </w:r>
      <w:r>
        <w:fldChar w:fldCharType="separate"/>
      </w:r>
      <w:r>
        <w:t>8</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_Toc156291582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Emergency Management Act 2005</w:t>
      </w:r>
    </w:p>
    <w:p>
      <w:pPr>
        <w:pStyle w:val="NameofActReg"/>
      </w:pPr>
      <w:r>
        <w:t>Emergency Management Regulations 2006</w:t>
      </w:r>
    </w:p>
    <w:p>
      <w:pPr>
        <w:pStyle w:val="Heading2"/>
        <w:rPr>
          <w:rStyle w:val="CharPartText"/>
        </w:rPr>
      </w:pPr>
      <w:bookmarkStart w:id="1" w:name="UpToHere"/>
      <w:bookmarkStart w:id="2" w:name="_Toc156291561"/>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End w:id="1"/>
      <w:r>
        <w:rPr>
          <w:rStyle w:val="CharPartNo"/>
        </w:rPr>
        <w:t>Part 1</w:t>
      </w:r>
      <w:r>
        <w:rPr>
          <w:b w:val="0"/>
        </w:rPr>
        <w:t> </w:t>
      </w:r>
      <w:r>
        <w:t>—</w:t>
      </w:r>
      <w:r>
        <w:rPr>
          <w:b w:val="0"/>
        </w:rPr>
        <w:t> </w:t>
      </w:r>
      <w:r>
        <w:rPr>
          <w:rStyle w:val="CharPartText"/>
        </w:rPr>
        <w:t>Preliminary</w:t>
      </w:r>
      <w:bookmarkEnd w:id="2"/>
    </w:p>
    <w:p>
      <w:pPr>
        <w:pStyle w:val="Footnoteheading"/>
      </w:pPr>
      <w:r>
        <w:tab/>
        <w:t>[Heading inserted in Gazette 12 Jan 2007 p. 50.]</w:t>
      </w:r>
    </w:p>
    <w:p>
      <w:pPr>
        <w:pStyle w:val="Heading5"/>
      </w:pPr>
      <w:bookmarkStart w:id="10" w:name="_Toc156291562"/>
      <w:r>
        <w:rPr>
          <w:rStyle w:val="CharSectno"/>
        </w:rPr>
        <w:t>1</w:t>
      </w:r>
      <w:r>
        <w:t>.</w:t>
      </w:r>
      <w:r>
        <w:tab/>
        <w:t>Citation</w:t>
      </w:r>
      <w:bookmarkEnd w:id="3"/>
      <w:bookmarkEnd w:id="4"/>
      <w:bookmarkEnd w:id="5"/>
      <w:bookmarkEnd w:id="6"/>
      <w:bookmarkEnd w:id="7"/>
      <w:bookmarkEnd w:id="8"/>
      <w:bookmarkEnd w:id="9"/>
      <w:bookmarkEnd w:id="10"/>
    </w:p>
    <w:p>
      <w:pPr>
        <w:pStyle w:val="Subsection"/>
        <w:ind w:right="282"/>
        <w:rPr>
          <w:i/>
        </w:rPr>
      </w:pPr>
      <w:r>
        <w:tab/>
      </w:r>
      <w:r>
        <w:tab/>
      </w:r>
      <w:bookmarkStart w:id="11" w:name="Start_Cursor"/>
      <w:bookmarkEnd w:id="11"/>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12" w:name="_Toc156291563"/>
      <w:r>
        <w:rPr>
          <w:rStyle w:val="CharPartNo"/>
        </w:rPr>
        <w:t>Part 2</w:t>
      </w:r>
      <w:r>
        <w:t> — </w:t>
      </w:r>
      <w:r>
        <w:rPr>
          <w:rStyle w:val="CharPartText"/>
        </w:rPr>
        <w:t>The State Emergency Management Committee</w:t>
      </w:r>
      <w:bookmarkEnd w:id="12"/>
    </w:p>
    <w:p>
      <w:pPr>
        <w:pStyle w:val="Footnoteheading"/>
      </w:pPr>
      <w:r>
        <w:tab/>
        <w:t>[Heading inserted in Gazette 12 Jan 2007 p. 50.]</w:t>
      </w:r>
    </w:p>
    <w:p>
      <w:pPr>
        <w:pStyle w:val="Heading5"/>
      </w:pPr>
      <w:bookmarkStart w:id="13" w:name="_Toc156291564"/>
      <w:r>
        <w:rPr>
          <w:rStyle w:val="CharSectno"/>
        </w:rPr>
        <w:t>2</w:t>
      </w:r>
      <w:r>
        <w:t>.</w:t>
      </w:r>
      <w:r>
        <w:tab/>
        <w:t>Membership of the SEMC</w:t>
      </w:r>
      <w:bookmarkEnd w:id="13"/>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14" w:name="_Toc156291565"/>
      <w:r>
        <w:rPr>
          <w:rStyle w:val="CharSectno"/>
        </w:rPr>
        <w:t>3</w:t>
      </w:r>
      <w:r>
        <w:t>.</w:t>
      </w:r>
      <w:r>
        <w:tab/>
        <w:t>Term of office</w:t>
      </w:r>
      <w:bookmarkEnd w:id="14"/>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5" w:name="_Toc156291566"/>
      <w:r>
        <w:rPr>
          <w:rStyle w:val="CharSectno"/>
        </w:rPr>
        <w:t>4</w:t>
      </w:r>
      <w:r>
        <w:t>.</w:t>
      </w:r>
      <w:r>
        <w:tab/>
        <w:t>Vacancies</w:t>
      </w:r>
      <w:bookmarkEnd w:id="15"/>
    </w:p>
    <w:p>
      <w:pPr>
        <w:pStyle w:val="Subsection"/>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16" w:name="_Toc156291567"/>
      <w:r>
        <w:rPr>
          <w:rStyle w:val="CharSectno"/>
        </w:rPr>
        <w:t>5</w:t>
      </w:r>
      <w:r>
        <w:t>.</w:t>
      </w:r>
      <w:r>
        <w:tab/>
        <w:t>Leave of absence</w:t>
      </w:r>
      <w:bookmarkEnd w:id="16"/>
    </w:p>
    <w:p>
      <w:pPr>
        <w:pStyle w:val="Subsection"/>
      </w:pPr>
      <w:r>
        <w:tab/>
      </w:r>
      <w:r>
        <w:tab/>
        <w:t>The SEMC may grant leave of absence to a member on any terms and conditions it thinks fit.</w:t>
      </w:r>
    </w:p>
    <w:p>
      <w:pPr>
        <w:pStyle w:val="Heading5"/>
      </w:pPr>
      <w:bookmarkStart w:id="17" w:name="_Toc156291568"/>
      <w:r>
        <w:rPr>
          <w:rStyle w:val="CharSectno"/>
        </w:rPr>
        <w:t>6</w:t>
      </w:r>
      <w:r>
        <w:t>.</w:t>
      </w:r>
      <w:r>
        <w:tab/>
        <w:t>Chairman unable to act</w:t>
      </w:r>
      <w:bookmarkEnd w:id="17"/>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8" w:name="_Toc156291569"/>
      <w:r>
        <w:rPr>
          <w:rStyle w:val="CharSectno"/>
        </w:rPr>
        <w:t>7</w:t>
      </w:r>
      <w:r>
        <w:t>.</w:t>
      </w:r>
      <w:r>
        <w:tab/>
        <w:t>Deputy members</w:t>
      </w:r>
      <w:bookmarkEnd w:id="18"/>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9" w:name="_Toc156291570"/>
      <w:r>
        <w:rPr>
          <w:rStyle w:val="CharSectno"/>
        </w:rPr>
        <w:t>8</w:t>
      </w:r>
      <w:r>
        <w:t>.</w:t>
      </w:r>
      <w:r>
        <w:tab/>
        <w:t>Saving</w:t>
      </w:r>
      <w:bookmarkEnd w:id="19"/>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20" w:name="_Toc156291571"/>
      <w:r>
        <w:rPr>
          <w:rStyle w:val="CharSectno"/>
        </w:rPr>
        <w:t>9</w:t>
      </w:r>
      <w:r>
        <w:t>.</w:t>
      </w:r>
      <w:r>
        <w:tab/>
        <w:t>Calling of meeting</w:t>
      </w:r>
      <w:bookmarkEnd w:id="20"/>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21" w:name="_Toc156291572"/>
      <w:r>
        <w:rPr>
          <w:rStyle w:val="CharSectno"/>
        </w:rPr>
        <w:t>10</w:t>
      </w:r>
      <w:r>
        <w:t>.</w:t>
      </w:r>
      <w:r>
        <w:tab/>
        <w:t>Quorum</w:t>
      </w:r>
      <w:bookmarkEnd w:id="21"/>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2" w:name="_Toc156291573"/>
      <w:r>
        <w:rPr>
          <w:rStyle w:val="CharSectno"/>
        </w:rPr>
        <w:t>11</w:t>
      </w:r>
      <w:r>
        <w:t>.</w:t>
      </w:r>
      <w:r>
        <w:tab/>
        <w:t>Minutes</w:t>
      </w:r>
      <w:bookmarkEnd w:id="22"/>
    </w:p>
    <w:p>
      <w:pPr>
        <w:pStyle w:val="Subsection"/>
      </w:pPr>
      <w:r>
        <w:tab/>
      </w:r>
      <w:r>
        <w:tab/>
        <w:t>The SEMC must cause accurate minutes to be kept of the proceedings at its meetings and of each resolution passed by the SEMC.</w:t>
      </w:r>
    </w:p>
    <w:p>
      <w:pPr>
        <w:pStyle w:val="Heading5"/>
      </w:pPr>
      <w:bookmarkStart w:id="23" w:name="_Toc156291574"/>
      <w:r>
        <w:rPr>
          <w:rStyle w:val="CharSectno"/>
        </w:rPr>
        <w:t>12</w:t>
      </w:r>
      <w:r>
        <w:t>.</w:t>
      </w:r>
      <w:r>
        <w:tab/>
        <w:t>Holding meetings remotely</w:t>
      </w:r>
      <w:bookmarkEnd w:id="23"/>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4" w:name="_Toc156291575"/>
      <w:r>
        <w:rPr>
          <w:rStyle w:val="CharSectno"/>
        </w:rPr>
        <w:t>13</w:t>
      </w:r>
      <w:r>
        <w:t>.</w:t>
      </w:r>
      <w:r>
        <w:tab/>
        <w:t>Resolution without meeting</w:t>
      </w:r>
      <w:bookmarkEnd w:id="24"/>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5" w:name="_Toc156291576"/>
      <w:r>
        <w:rPr>
          <w:rStyle w:val="CharPartNo"/>
        </w:rPr>
        <w:t>Part 3</w:t>
      </w:r>
      <w:r>
        <w:rPr>
          <w:b w:val="0"/>
        </w:rPr>
        <w:t> </w:t>
      </w:r>
      <w:r>
        <w:t>—</w:t>
      </w:r>
      <w:r>
        <w:rPr>
          <w:b w:val="0"/>
        </w:rPr>
        <w:t> </w:t>
      </w:r>
      <w:r>
        <w:rPr>
          <w:rStyle w:val="CharPartText"/>
        </w:rPr>
        <w:t>Hazard management</w:t>
      </w:r>
      <w:bookmarkEnd w:id="25"/>
    </w:p>
    <w:p>
      <w:pPr>
        <w:pStyle w:val="Footnoteheading"/>
      </w:pPr>
      <w:r>
        <w:tab/>
        <w:t>[Heading inserted in Gazette 12 Jan 2007 p. 50.]</w:t>
      </w:r>
    </w:p>
    <w:p>
      <w:pPr>
        <w:pStyle w:val="Heading5"/>
      </w:pPr>
      <w:bookmarkStart w:id="26" w:name="_Toc156291577"/>
      <w:r>
        <w:rPr>
          <w:rStyle w:val="CharSectno"/>
        </w:rPr>
        <w:t>14</w:t>
      </w:r>
      <w:r>
        <w:t>.</w:t>
      </w:r>
      <w:r>
        <w:tab/>
        <w:t>Meaning of terms</w:t>
      </w:r>
      <w:bookmarkEnd w:id="26"/>
    </w:p>
    <w:p>
      <w:pPr>
        <w:pStyle w:val="Subsection"/>
      </w:pPr>
      <w:r>
        <w:tab/>
      </w:r>
      <w:r>
        <w:tab/>
        <w:t xml:space="preserve">In this Part — </w:t>
      </w:r>
    </w:p>
    <w:p>
      <w:pPr>
        <w:pStyle w:val="Defstart"/>
      </w:pPr>
      <w:r>
        <w:rPr>
          <w:b/>
        </w:rPr>
        <w:tab/>
        <w:t>“</w:t>
      </w:r>
      <w:r>
        <w:rPr>
          <w:rStyle w:val="CharDefText"/>
        </w:rPr>
        <w:t>preparedness</w:t>
      </w:r>
      <w:r>
        <w:rPr>
          <w:b/>
        </w:rPr>
        <w:t>”</w:t>
      </w:r>
      <w:r>
        <w:t xml:space="preserve"> has the meaning given in paragraph (b) of the definition of “emergency” in section 3 of the Act;</w:t>
      </w:r>
    </w:p>
    <w:p>
      <w:pPr>
        <w:pStyle w:val="Defstart"/>
      </w:pPr>
      <w:r>
        <w:rPr>
          <w:b/>
        </w:rPr>
        <w:tab/>
        <w:t>“</w:t>
      </w:r>
      <w:r>
        <w:rPr>
          <w:rStyle w:val="CharDefText"/>
        </w:rPr>
        <w:t>response</w:t>
      </w:r>
      <w:r>
        <w:rPr>
          <w:b/>
        </w:rPr>
        <w:t>”</w:t>
      </w:r>
      <w:r>
        <w:t xml:space="preserve"> has the meaning given in paragraph (c) of the definition of “emergency” in section 3 of the Act.</w:t>
      </w:r>
    </w:p>
    <w:p>
      <w:pPr>
        <w:pStyle w:val="Footnotesection"/>
      </w:pPr>
      <w:r>
        <w:tab/>
        <w:t>[Regulation 14 inserted in Gazette 12 Jan 2007 p. 50-1.]</w:t>
      </w:r>
    </w:p>
    <w:p>
      <w:pPr>
        <w:pStyle w:val="Heading5"/>
      </w:pPr>
      <w:bookmarkStart w:id="27" w:name="_Toc156291578"/>
      <w:r>
        <w:rPr>
          <w:rStyle w:val="CharSectno"/>
        </w:rPr>
        <w:t>15</w:t>
      </w:r>
      <w:r>
        <w:t>.</w:t>
      </w:r>
      <w:r>
        <w:tab/>
        <w:t>Events, situations and conditions prescribed as hazards</w:t>
      </w:r>
      <w:bookmarkEnd w:id="27"/>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Footnotesection"/>
      </w:pPr>
      <w:r>
        <w:tab/>
        <w:t>[Regulation 15 inserted in Gazette 12 Jan 2007 p. 51.]</w:t>
      </w:r>
    </w:p>
    <w:p>
      <w:pPr>
        <w:pStyle w:val="Heading5"/>
      </w:pPr>
      <w:bookmarkStart w:id="28" w:name="_Toc156291579"/>
      <w:r>
        <w:rPr>
          <w:rStyle w:val="CharSectno"/>
        </w:rPr>
        <w:t>16</w:t>
      </w:r>
      <w:r>
        <w:t>.</w:t>
      </w:r>
      <w:r>
        <w:tab/>
        <w:t>Hazard management agency — Commissioner of Police</w:t>
      </w:r>
      <w:bookmarkEnd w:id="28"/>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 xml:space="preserve">The Commissioner of Police is the hazard management agency for the hazards set out in subregulation (1)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16 inserted in Gazette 12 Jan 2007 p. 51-2.]</w:t>
      </w:r>
    </w:p>
    <w:p>
      <w:pPr>
        <w:pStyle w:val="Heading5"/>
      </w:pPr>
      <w:bookmarkStart w:id="29" w:name="_Toc156291580"/>
      <w:r>
        <w:rPr>
          <w:rStyle w:val="CharSectno"/>
        </w:rPr>
        <w:t>17</w:t>
      </w:r>
      <w:r>
        <w:t>.</w:t>
      </w:r>
      <w:r>
        <w:tab/>
        <w:t>Hazard management agency — FESA</w:t>
      </w:r>
      <w:bookmarkEnd w:id="29"/>
    </w:p>
    <w:p>
      <w:pPr>
        <w:pStyle w:val="Subsection"/>
      </w:pPr>
      <w:r>
        <w:tab/>
        <w:t>(1)</w:t>
      </w:r>
      <w:r>
        <w:tab/>
        <w:t xml:space="preserve">In this regulation — </w:t>
      </w:r>
    </w:p>
    <w:p>
      <w:pPr>
        <w:pStyle w:val="Defstart"/>
      </w:pPr>
      <w:r>
        <w:rPr>
          <w:b/>
        </w:rPr>
        <w:tab/>
        <w:t>“</w:t>
      </w:r>
      <w:r>
        <w:rPr>
          <w:rStyle w:val="CharDefText"/>
        </w:rPr>
        <w:t>FESA</w:t>
      </w:r>
      <w:r>
        <w:rPr>
          <w:b/>
        </w:rPr>
        <w:t>”</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17 inserted in Gazette 12 Jan 2007 p. 52.]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0" w:name="_Toc113695922"/>
      <w:bookmarkStart w:id="31" w:name="_Toc133291507"/>
      <w:bookmarkStart w:id="32" w:name="_Toc133316008"/>
      <w:bookmarkStart w:id="33" w:name="_Toc156291581"/>
      <w:r>
        <w:t>Notes</w:t>
      </w:r>
      <w:bookmarkEnd w:id="30"/>
      <w:bookmarkEnd w:id="31"/>
      <w:bookmarkEnd w:id="32"/>
      <w:bookmarkEnd w:id="33"/>
    </w:p>
    <w:p>
      <w:pPr>
        <w:pStyle w:val="nSubsection"/>
        <w:rPr>
          <w:snapToGrid w:val="0"/>
        </w:rPr>
      </w:pPr>
      <w:bookmarkStart w:id="34" w:name="_Toc70311430"/>
      <w:bookmarkStart w:id="35" w:name="_Toc113695923"/>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w:t>
      </w:r>
    </w:p>
    <w:p>
      <w:pPr>
        <w:pStyle w:val="nHeading3"/>
      </w:pPr>
      <w:bookmarkStart w:id="36" w:name="_Toc156291582"/>
      <w:r>
        <w:t>Compilation table</w:t>
      </w:r>
      <w:bookmarkEnd w:id="34"/>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rPr>
              <w:t>Emergency Management Regulations 2006</w:t>
            </w:r>
          </w:p>
        </w:tc>
        <w:tc>
          <w:tcPr>
            <w:tcW w:w="1276" w:type="dxa"/>
            <w:tcBorders>
              <w:top w:val="single" w:sz="8" w:space="0" w:color="auto"/>
            </w:tcBorders>
          </w:tcPr>
          <w:p>
            <w:pPr>
              <w:pStyle w:val="nTable"/>
              <w:rPr>
                <w:sz w:val="19"/>
              </w:rPr>
            </w:pPr>
            <w:r>
              <w:rPr>
                <w:sz w:val="19"/>
              </w:rPr>
              <w:t>21 Apr 2006 p. 1582</w:t>
            </w:r>
            <w:r>
              <w:rPr>
                <w:sz w:val="19"/>
              </w:rPr>
              <w:noBreakHyphen/>
              <w:t>4</w:t>
            </w:r>
          </w:p>
        </w:tc>
        <w:tc>
          <w:tcPr>
            <w:tcW w:w="2693" w:type="dxa"/>
            <w:tcBorders>
              <w:top w:val="single" w:sz="8" w:space="0" w:color="auto"/>
            </w:tcBorders>
          </w:tcPr>
          <w:p>
            <w:pPr>
              <w:pStyle w:val="nTable"/>
              <w:rPr>
                <w:sz w:val="19"/>
              </w:rPr>
            </w:pPr>
            <w:r>
              <w:rPr>
                <w:sz w:val="19"/>
              </w:rPr>
              <w:t>21 Apr 2006</w:t>
            </w:r>
          </w:p>
        </w:tc>
      </w:tr>
      <w:tr>
        <w:tc>
          <w:tcPr>
            <w:tcW w:w="3118" w:type="dxa"/>
            <w:tcBorders>
              <w:bottom w:val="single" w:sz="4" w:space="0" w:color="auto"/>
            </w:tcBorders>
          </w:tcPr>
          <w:p>
            <w:pPr>
              <w:pStyle w:val="nTable"/>
              <w:rPr>
                <w:i/>
                <w:noProof/>
                <w:snapToGrid w:val="0"/>
              </w:rPr>
            </w:pPr>
            <w:r>
              <w:rPr>
                <w:i/>
                <w:noProof/>
                <w:snapToGrid w:val="0"/>
              </w:rPr>
              <w:t>Emergency Management Amendment Regulations 2006</w:t>
            </w:r>
          </w:p>
        </w:tc>
        <w:tc>
          <w:tcPr>
            <w:tcW w:w="1276" w:type="dxa"/>
            <w:tcBorders>
              <w:bottom w:val="single" w:sz="4" w:space="0" w:color="auto"/>
            </w:tcBorders>
          </w:tcPr>
          <w:p>
            <w:pPr>
              <w:pStyle w:val="nTable"/>
              <w:rPr>
                <w:sz w:val="19"/>
              </w:rPr>
            </w:pPr>
            <w:r>
              <w:rPr>
                <w:sz w:val="19"/>
              </w:rPr>
              <w:t>12 Jan 2007 p. 50-2</w:t>
            </w:r>
          </w:p>
        </w:tc>
        <w:tc>
          <w:tcPr>
            <w:tcW w:w="2693" w:type="dxa"/>
            <w:tcBorders>
              <w:bottom w:val="single" w:sz="4" w:space="0" w:color="auto"/>
            </w:tcBorders>
          </w:tcPr>
          <w:p>
            <w:pPr>
              <w:pStyle w:val="nTable"/>
              <w:rPr>
                <w:sz w:val="19"/>
              </w:rPr>
            </w:pPr>
            <w:r>
              <w:rPr>
                <w:sz w:val="19"/>
              </w:rPr>
              <w:t>12 Jan 2007</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60A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20C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FCA8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B41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CE2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4422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0005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ACAA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46F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F8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6A47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A6B1F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746"/>
    <w:docVar w:name="WAFER_20151207122746" w:val="RemoveTrackChanges"/>
    <w:docVar w:name="WAFER_20151207122746_GUID" w:val="f702a017-12a9-4177-b0d2-a909642378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1765</Words>
  <Characters>8492</Characters>
  <Application>Microsoft Office Word</Application>
  <DocSecurity>0</DocSecurity>
  <Lines>273</Lines>
  <Paragraphs>183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The State Emergency Management Committee</vt:lpstr>
      <vt:lpstr>    Part 3 — Hazard management</vt:lpstr>
      <vt:lpstr>    Notes</vt:lpstr>
    </vt:vector>
  </TitlesOfParts>
  <Manager/>
  <Company/>
  <LinksUpToDate>false</LinksUpToDate>
  <CharactersWithSpaces>10074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2006 - 00-b0-04</dc:title>
  <dc:subject/>
  <dc:creator/>
  <cp:keywords/>
  <dc:description/>
  <cp:lastModifiedBy>svcMRProcess</cp:lastModifiedBy>
  <cp:revision>4</cp:revision>
  <cp:lastPrinted>2006-03-21T05:26:00Z</cp:lastPrinted>
  <dcterms:created xsi:type="dcterms:W3CDTF">2015-12-08T20:46:00Z</dcterms:created>
  <dcterms:modified xsi:type="dcterms:W3CDTF">2015-12-08T20:46:00Z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38333</vt:i4>
  </property>
  <property fmtid="{D5CDD505-2E9C-101B-9397-08002B2CF9AE}" pid="6" name="AsAtDate">
    <vt:lpwstr>12 Jan 2007</vt:lpwstr>
  </property>
  <property fmtid="{D5CDD505-2E9C-101B-9397-08002B2CF9AE}" pid="7" name="Suffix">
    <vt:lpwstr>00-b0-04</vt:lpwstr>
  </property>
</Properties>
</file>