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1"/>
      <w:r>
        <w:t>Australia</w:t>
      </w:r>
    </w:p>
    <w:bookmarkEnd w:id="0"/>
    <w:p>
      <w:pPr>
        <w:pStyle w:val="NameofActRegPage1"/>
        <w:spacing w:before="3760" w:after="4200"/>
      </w:pPr>
      <w:r>
        <w:fldChar w:fldCharType="begin"/>
      </w:r>
      <w:r>
        <w:instrText xml:space="preserve"> STYLEREF "Name Of Act/Reg"</w:instrText>
      </w:r>
      <w:r>
        <w:fldChar w:fldCharType="separate"/>
      </w:r>
      <w:r>
        <w:rPr>
          <w:noProof/>
        </w:rPr>
        <w:t>Energy Coordination (Gas Tariffs)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rPr>
        <w:tab/>
        <w:t>Citation</w:t>
      </w:r>
      <w:r>
        <w:rPr>
          <w:noProof/>
        </w:rPr>
        <w:tab/>
      </w:r>
      <w:r>
        <w:rPr>
          <w:noProof/>
        </w:rPr>
        <w:fldChar w:fldCharType="begin"/>
      </w:r>
      <w:r>
        <w:rPr>
          <w:noProof/>
        </w:rPr>
        <w:instrText xml:space="preserve"> PAGEREF _Toc22705353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_Toc22705354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Areas to which regulations apply</w:t>
      </w:r>
      <w:r>
        <w:rPr>
          <w:noProof/>
        </w:rPr>
        <w:tab/>
      </w:r>
      <w:r>
        <w:rPr>
          <w:noProof/>
        </w:rPr>
        <w:fldChar w:fldCharType="begin"/>
      </w:r>
      <w:r>
        <w:rPr>
          <w:noProof/>
        </w:rPr>
        <w:instrText xml:space="preserve"> PAGEREF _Toc22705355 \h </w:instrText>
      </w:r>
      <w:r>
        <w:rPr>
          <w:noProof/>
        </w:rPr>
      </w:r>
      <w:r>
        <w:rPr>
          <w:noProof/>
        </w:rPr>
        <w:fldChar w:fldCharType="separate"/>
      </w:r>
      <w:r>
        <w:rPr>
          <w:noProof/>
        </w:rPr>
        <w:t>1</w:t>
      </w:r>
      <w:r>
        <w:rPr>
          <w:noProof/>
        </w:rPr>
        <w:fldChar w:fldCharType="end"/>
      </w:r>
    </w:p>
    <w:p>
      <w:pPr>
        <w:pStyle w:val="TOC4"/>
        <w:rPr>
          <w:noProof/>
        </w:rPr>
      </w:pPr>
      <w:r>
        <w:rPr>
          <w:noProof/>
        </w:rPr>
        <w:t>4.</w:t>
      </w:r>
      <w:r>
        <w:rPr>
          <w:noProof/>
        </w:rPr>
        <w:tab/>
        <w:t>Interpretation</w:t>
      </w:r>
      <w:r>
        <w:rPr>
          <w:noProof/>
        </w:rPr>
        <w:tab/>
      </w:r>
      <w:r>
        <w:rPr>
          <w:noProof/>
        </w:rPr>
        <w:fldChar w:fldCharType="begin"/>
      </w:r>
      <w:r>
        <w:rPr>
          <w:noProof/>
        </w:rPr>
        <w:instrText xml:space="preserve"> PAGEREF _Toc22705356 \h </w:instrText>
      </w:r>
      <w:r>
        <w:rPr>
          <w:noProof/>
        </w:rPr>
      </w:r>
      <w:r>
        <w:rPr>
          <w:noProof/>
        </w:rPr>
        <w:fldChar w:fldCharType="separate"/>
      </w:r>
      <w:r>
        <w:rPr>
          <w:noProof/>
        </w:rPr>
        <w:t>1</w:t>
      </w:r>
      <w:r>
        <w:rPr>
          <w:noProof/>
        </w:rPr>
        <w:fldChar w:fldCharType="end"/>
      </w:r>
    </w:p>
    <w:p>
      <w:pPr>
        <w:pStyle w:val="TOC4"/>
        <w:rPr>
          <w:noProof/>
        </w:rPr>
      </w:pPr>
      <w:r>
        <w:rPr>
          <w:noProof/>
        </w:rPr>
        <w:t>5.</w:t>
      </w:r>
      <w:r>
        <w:rPr>
          <w:noProof/>
        </w:rPr>
        <w:tab/>
        <w:t>Supplier to have at least one capped tariff</w:t>
      </w:r>
      <w:r>
        <w:rPr>
          <w:noProof/>
        </w:rPr>
        <w:tab/>
      </w:r>
      <w:r>
        <w:rPr>
          <w:noProof/>
        </w:rPr>
        <w:fldChar w:fldCharType="begin"/>
      </w:r>
      <w:r>
        <w:rPr>
          <w:noProof/>
        </w:rPr>
        <w:instrText xml:space="preserve"> PAGEREF _Toc22705357 \h </w:instrText>
      </w:r>
      <w:r>
        <w:rPr>
          <w:noProof/>
        </w:rPr>
      </w:r>
      <w:r>
        <w:rPr>
          <w:noProof/>
        </w:rPr>
        <w:fldChar w:fldCharType="separate"/>
      </w:r>
      <w:r>
        <w:rPr>
          <w:noProof/>
        </w:rPr>
        <w:t>3</w:t>
      </w:r>
      <w:r>
        <w:rPr>
          <w:noProof/>
        </w:rPr>
        <w:fldChar w:fldCharType="end"/>
      </w:r>
    </w:p>
    <w:p>
      <w:pPr>
        <w:pStyle w:val="TOC4"/>
        <w:rPr>
          <w:noProof/>
        </w:rPr>
      </w:pPr>
      <w:r>
        <w:rPr>
          <w:noProof/>
        </w:rPr>
        <w:t>6.</w:t>
      </w:r>
      <w:r>
        <w:rPr>
          <w:noProof/>
        </w:rPr>
        <w:tab/>
        <w:t>Gas to be offered under standard contract at capped tariff</w:t>
      </w:r>
      <w:r>
        <w:rPr>
          <w:noProof/>
        </w:rPr>
        <w:tab/>
      </w:r>
      <w:r>
        <w:rPr>
          <w:noProof/>
        </w:rPr>
        <w:fldChar w:fldCharType="begin"/>
      </w:r>
      <w:r>
        <w:rPr>
          <w:noProof/>
        </w:rPr>
        <w:instrText xml:space="preserve"> PAGEREF _Toc22705358 \h </w:instrText>
      </w:r>
      <w:r>
        <w:rPr>
          <w:noProof/>
        </w:rPr>
      </w:r>
      <w:r>
        <w:rPr>
          <w:noProof/>
        </w:rPr>
        <w:fldChar w:fldCharType="separate"/>
      </w:r>
      <w:r>
        <w:rPr>
          <w:noProof/>
        </w:rPr>
        <w:t>3</w:t>
      </w:r>
      <w:r>
        <w:rPr>
          <w:noProof/>
        </w:rPr>
        <w:fldChar w:fldCharType="end"/>
      </w:r>
    </w:p>
    <w:p>
      <w:pPr>
        <w:pStyle w:val="TOC4"/>
        <w:rPr>
          <w:noProof/>
        </w:rPr>
      </w:pPr>
      <w:r>
        <w:rPr>
          <w:noProof/>
        </w:rPr>
        <w:t>7.</w:t>
      </w:r>
      <w:r>
        <w:rPr>
          <w:noProof/>
        </w:rPr>
        <w:tab/>
        <w:t>Calculation of amounts</w:t>
      </w:r>
      <w:r>
        <w:rPr>
          <w:noProof/>
        </w:rPr>
        <w:tab/>
      </w:r>
      <w:r>
        <w:rPr>
          <w:noProof/>
        </w:rPr>
        <w:fldChar w:fldCharType="begin"/>
      </w:r>
      <w:r>
        <w:rPr>
          <w:noProof/>
        </w:rPr>
        <w:instrText xml:space="preserve"> PAGEREF _Toc22705359 \h </w:instrText>
      </w:r>
      <w:r>
        <w:rPr>
          <w:noProof/>
        </w:rPr>
      </w:r>
      <w:r>
        <w:rPr>
          <w:noProof/>
        </w:rPr>
        <w:fldChar w:fldCharType="separate"/>
      </w:r>
      <w:r>
        <w:rPr>
          <w:noProof/>
        </w:rPr>
        <w:t>4</w:t>
      </w:r>
      <w:r>
        <w:rPr>
          <w:noProof/>
        </w:rPr>
        <w:fldChar w:fldCharType="end"/>
      </w:r>
    </w:p>
    <w:p>
      <w:pPr>
        <w:pStyle w:val="TOC4"/>
        <w:rPr>
          <w:noProof/>
        </w:rPr>
      </w:pPr>
      <w:r>
        <w:rPr>
          <w:noProof/>
        </w:rPr>
        <w:t>8.</w:t>
      </w:r>
      <w:r>
        <w:rPr>
          <w:noProof/>
        </w:rPr>
        <w:tab/>
        <w:t>Minister to carry out review</w:t>
      </w:r>
      <w:r>
        <w:rPr>
          <w:noProof/>
        </w:rPr>
        <w:tab/>
      </w:r>
      <w:r>
        <w:rPr>
          <w:noProof/>
        </w:rPr>
        <w:fldChar w:fldCharType="begin"/>
      </w:r>
      <w:r>
        <w:rPr>
          <w:noProof/>
        </w:rPr>
        <w:instrText xml:space="preserve"> PAGEREF _Toc22705360 \h </w:instrText>
      </w:r>
      <w:r>
        <w:rPr>
          <w:noProof/>
        </w:rPr>
      </w:r>
      <w:r>
        <w:rPr>
          <w:noProof/>
        </w:rPr>
        <w:fldChar w:fldCharType="separate"/>
      </w:r>
      <w:r>
        <w:rPr>
          <w:noProof/>
        </w:rPr>
        <w:t>4</w:t>
      </w:r>
      <w:r>
        <w:rPr>
          <w:noProof/>
        </w:rPr>
        <w:fldChar w:fldCharType="end"/>
      </w:r>
    </w:p>
    <w:p>
      <w:pPr>
        <w:pStyle w:val="TOC5"/>
        <w:rPr>
          <w:noProof/>
        </w:rPr>
      </w:pPr>
      <w:r>
        <w:rPr>
          <w:noProof/>
        </w:rPr>
        <w:t>Schedule 1 — Tariff caps</w:t>
      </w:r>
      <w:r>
        <w:rPr>
          <w:noProof/>
        </w:rPr>
        <w:tab/>
      </w:r>
      <w:r>
        <w:rPr>
          <w:b w:val="0"/>
          <w:noProof/>
          <w:sz w:val="22"/>
        </w:rPr>
        <w:fldChar w:fldCharType="begin"/>
      </w:r>
      <w:r>
        <w:rPr>
          <w:b w:val="0"/>
          <w:noProof/>
          <w:sz w:val="22"/>
        </w:rPr>
        <w:instrText xml:space="preserve"> PAGEREF _Toc22705361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7"/>
        <w:rPr>
          <w:noProof/>
        </w:rPr>
      </w:pPr>
      <w:r>
        <w:rPr>
          <w:noProof/>
        </w:rPr>
        <w:t>Part 1 — Mid</w:t>
      </w:r>
      <w:r>
        <w:rPr>
          <w:noProof/>
        </w:rPr>
        <w:noBreakHyphen/>
        <w:t>West/South</w:t>
      </w:r>
      <w:r>
        <w:rPr>
          <w:noProof/>
        </w:rPr>
        <w:noBreakHyphen/>
        <w:t>West area</w:t>
      </w:r>
      <w:r>
        <w:rPr>
          <w:noProof/>
        </w:rPr>
        <w:tab/>
      </w:r>
      <w:r>
        <w:rPr>
          <w:noProof/>
        </w:rPr>
        <w:fldChar w:fldCharType="begin"/>
      </w:r>
      <w:r>
        <w:rPr>
          <w:noProof/>
        </w:rPr>
        <w:instrText xml:space="preserve"> PAGEREF _Toc22705362 \h </w:instrText>
      </w:r>
      <w:r>
        <w:rPr>
          <w:noProof/>
        </w:rPr>
      </w:r>
      <w:r>
        <w:rPr>
          <w:noProof/>
        </w:rPr>
        <w:fldChar w:fldCharType="separate"/>
      </w:r>
      <w:r>
        <w:rPr>
          <w:noProof/>
        </w:rPr>
        <w:t>6</w:t>
      </w:r>
      <w:r>
        <w:rPr>
          <w:noProof/>
        </w:rPr>
        <w:fldChar w:fldCharType="end"/>
      </w:r>
    </w:p>
    <w:p>
      <w:pPr>
        <w:pStyle w:val="TOC4"/>
        <w:rPr>
          <w:noProof/>
        </w:rPr>
      </w:pPr>
      <w:r>
        <w:rPr>
          <w:noProof/>
        </w:rPr>
        <w:t>1.</w:t>
      </w:r>
      <w:r>
        <w:rPr>
          <w:noProof/>
        </w:rPr>
        <w:tab/>
        <w:t>Residential tariff</w:t>
      </w:r>
      <w:r>
        <w:rPr>
          <w:noProof/>
        </w:rPr>
        <w:tab/>
      </w:r>
      <w:r>
        <w:rPr>
          <w:noProof/>
        </w:rPr>
        <w:fldChar w:fldCharType="begin"/>
      </w:r>
      <w:r>
        <w:rPr>
          <w:noProof/>
        </w:rPr>
        <w:instrText xml:space="preserve"> PAGEREF _Toc22705363 \h </w:instrText>
      </w:r>
      <w:r>
        <w:rPr>
          <w:noProof/>
        </w:rPr>
      </w:r>
      <w:r>
        <w:rPr>
          <w:noProof/>
        </w:rPr>
        <w:fldChar w:fldCharType="separate"/>
      </w:r>
      <w:r>
        <w:rPr>
          <w:noProof/>
        </w:rPr>
        <w:t>6</w:t>
      </w:r>
      <w:r>
        <w:rPr>
          <w:noProof/>
        </w:rPr>
        <w:fldChar w:fldCharType="end"/>
      </w:r>
    </w:p>
    <w:p>
      <w:pPr>
        <w:pStyle w:val="TOC4"/>
        <w:rPr>
          <w:noProof/>
        </w:rPr>
      </w:pPr>
      <w:r>
        <w:rPr>
          <w:noProof/>
        </w:rPr>
        <w:t>2.</w:t>
      </w:r>
      <w:r>
        <w:rPr>
          <w:noProof/>
        </w:rPr>
        <w:tab/>
        <w:t>Non</w:t>
      </w:r>
      <w:r>
        <w:rPr>
          <w:noProof/>
        </w:rPr>
        <w:noBreakHyphen/>
        <w:t>residential tariff</w:t>
      </w:r>
      <w:r>
        <w:rPr>
          <w:noProof/>
        </w:rPr>
        <w:tab/>
      </w:r>
      <w:r>
        <w:rPr>
          <w:noProof/>
        </w:rPr>
        <w:fldChar w:fldCharType="begin"/>
      </w:r>
      <w:r>
        <w:rPr>
          <w:noProof/>
        </w:rPr>
        <w:instrText xml:space="preserve"> PAGEREF _Toc22705364 \h </w:instrText>
      </w:r>
      <w:r>
        <w:rPr>
          <w:noProof/>
        </w:rPr>
      </w:r>
      <w:r>
        <w:rPr>
          <w:noProof/>
        </w:rPr>
        <w:fldChar w:fldCharType="separate"/>
      </w:r>
      <w:r>
        <w:rPr>
          <w:noProof/>
        </w:rPr>
        <w:t>6</w:t>
      </w:r>
      <w:r>
        <w:rPr>
          <w:noProof/>
        </w:rPr>
        <w:fldChar w:fldCharType="end"/>
      </w:r>
    </w:p>
    <w:p>
      <w:pPr>
        <w:pStyle w:val="TOC7"/>
        <w:rPr>
          <w:noProof/>
        </w:rPr>
      </w:pPr>
      <w:r>
        <w:rPr>
          <w:noProof/>
        </w:rPr>
        <w:t>Part 2 — Albany area</w:t>
      </w:r>
      <w:r>
        <w:rPr>
          <w:noProof/>
        </w:rPr>
        <w:tab/>
      </w:r>
      <w:r>
        <w:rPr>
          <w:noProof/>
        </w:rPr>
        <w:fldChar w:fldCharType="begin"/>
      </w:r>
      <w:r>
        <w:rPr>
          <w:noProof/>
        </w:rPr>
        <w:instrText xml:space="preserve"> PAGEREF _Toc22705365 \h </w:instrText>
      </w:r>
      <w:r>
        <w:rPr>
          <w:noProof/>
        </w:rPr>
      </w:r>
      <w:r>
        <w:rPr>
          <w:noProof/>
        </w:rPr>
        <w:fldChar w:fldCharType="separate"/>
      </w:r>
      <w:r>
        <w:rPr>
          <w:noProof/>
        </w:rPr>
        <w:t>7</w:t>
      </w:r>
      <w:r>
        <w:rPr>
          <w:noProof/>
        </w:rPr>
        <w:fldChar w:fldCharType="end"/>
      </w:r>
    </w:p>
    <w:p>
      <w:pPr>
        <w:pStyle w:val="TOC4"/>
        <w:rPr>
          <w:noProof/>
        </w:rPr>
      </w:pPr>
      <w:r>
        <w:rPr>
          <w:noProof/>
        </w:rPr>
        <w:t>3.</w:t>
      </w:r>
      <w:r>
        <w:rPr>
          <w:noProof/>
        </w:rPr>
        <w:tab/>
        <w:t>Residential tariff</w:t>
      </w:r>
      <w:r>
        <w:rPr>
          <w:noProof/>
        </w:rPr>
        <w:tab/>
      </w:r>
      <w:r>
        <w:rPr>
          <w:noProof/>
        </w:rPr>
        <w:fldChar w:fldCharType="begin"/>
      </w:r>
      <w:r>
        <w:rPr>
          <w:noProof/>
        </w:rPr>
        <w:instrText xml:space="preserve"> PAGEREF _Toc22705366 \h </w:instrText>
      </w:r>
      <w:r>
        <w:rPr>
          <w:noProof/>
        </w:rPr>
      </w:r>
      <w:r>
        <w:rPr>
          <w:noProof/>
        </w:rPr>
        <w:fldChar w:fldCharType="separate"/>
      </w:r>
      <w:r>
        <w:rPr>
          <w:noProof/>
        </w:rPr>
        <w:t>7</w:t>
      </w:r>
      <w:r>
        <w:rPr>
          <w:noProof/>
        </w:rPr>
        <w:fldChar w:fldCharType="end"/>
      </w:r>
    </w:p>
    <w:p>
      <w:pPr>
        <w:pStyle w:val="TOC4"/>
        <w:rPr>
          <w:noProof/>
        </w:rPr>
      </w:pPr>
      <w:r>
        <w:rPr>
          <w:noProof/>
        </w:rPr>
        <w:t>4.</w:t>
      </w:r>
      <w:r>
        <w:rPr>
          <w:noProof/>
        </w:rPr>
        <w:tab/>
        <w:t>Non</w:t>
      </w:r>
      <w:r>
        <w:rPr>
          <w:noProof/>
        </w:rPr>
        <w:noBreakHyphen/>
        <w:t>residential tariff</w:t>
      </w:r>
      <w:r>
        <w:rPr>
          <w:noProof/>
        </w:rPr>
        <w:tab/>
      </w:r>
      <w:r>
        <w:rPr>
          <w:noProof/>
        </w:rPr>
        <w:fldChar w:fldCharType="begin"/>
      </w:r>
      <w:r>
        <w:rPr>
          <w:noProof/>
        </w:rPr>
        <w:instrText xml:space="preserve"> PAGEREF _Toc22705367 \h </w:instrText>
      </w:r>
      <w:r>
        <w:rPr>
          <w:noProof/>
        </w:rPr>
      </w:r>
      <w:r>
        <w:rPr>
          <w:noProof/>
        </w:rPr>
        <w:fldChar w:fldCharType="separate"/>
      </w:r>
      <w:r>
        <w:rPr>
          <w:noProof/>
        </w:rPr>
        <w:t>7</w:t>
      </w:r>
      <w:r>
        <w:rPr>
          <w:noProof/>
        </w:rPr>
        <w:fldChar w:fldCharType="end"/>
      </w:r>
    </w:p>
    <w:p>
      <w:pPr>
        <w:pStyle w:val="TOC7"/>
        <w:rPr>
          <w:noProof/>
        </w:rPr>
      </w:pPr>
      <w:r>
        <w:rPr>
          <w:noProof/>
        </w:rPr>
        <w:t>Part 3 — Kalgoorlie</w:t>
      </w:r>
      <w:r>
        <w:rPr>
          <w:noProof/>
        </w:rPr>
        <w:noBreakHyphen/>
        <w:t>Boulder area</w:t>
      </w:r>
      <w:r>
        <w:rPr>
          <w:noProof/>
        </w:rPr>
        <w:tab/>
      </w:r>
      <w:r>
        <w:rPr>
          <w:noProof/>
        </w:rPr>
        <w:fldChar w:fldCharType="begin"/>
      </w:r>
      <w:r>
        <w:rPr>
          <w:noProof/>
        </w:rPr>
        <w:instrText xml:space="preserve"> PAGEREF _Toc22705368 \h </w:instrText>
      </w:r>
      <w:r>
        <w:rPr>
          <w:noProof/>
        </w:rPr>
      </w:r>
      <w:r>
        <w:rPr>
          <w:noProof/>
        </w:rPr>
        <w:fldChar w:fldCharType="separate"/>
      </w:r>
      <w:r>
        <w:rPr>
          <w:noProof/>
        </w:rPr>
        <w:t>8</w:t>
      </w:r>
      <w:r>
        <w:rPr>
          <w:noProof/>
        </w:rPr>
        <w:fldChar w:fldCharType="end"/>
      </w:r>
    </w:p>
    <w:p>
      <w:pPr>
        <w:pStyle w:val="TOC4"/>
        <w:rPr>
          <w:noProof/>
        </w:rPr>
      </w:pPr>
      <w:r>
        <w:rPr>
          <w:noProof/>
        </w:rPr>
        <w:t>5.</w:t>
      </w:r>
      <w:r>
        <w:rPr>
          <w:noProof/>
        </w:rPr>
        <w:tab/>
        <w:t>Residential tariff</w:t>
      </w:r>
      <w:r>
        <w:rPr>
          <w:noProof/>
        </w:rPr>
        <w:tab/>
      </w:r>
      <w:r>
        <w:rPr>
          <w:noProof/>
        </w:rPr>
        <w:fldChar w:fldCharType="begin"/>
      </w:r>
      <w:r>
        <w:rPr>
          <w:noProof/>
        </w:rPr>
        <w:instrText xml:space="preserve"> PAGEREF _Toc22705369 \h </w:instrText>
      </w:r>
      <w:r>
        <w:rPr>
          <w:noProof/>
        </w:rPr>
      </w:r>
      <w:r>
        <w:rPr>
          <w:noProof/>
        </w:rPr>
        <w:fldChar w:fldCharType="separate"/>
      </w:r>
      <w:r>
        <w:rPr>
          <w:noProof/>
        </w:rPr>
        <w:t>8</w:t>
      </w:r>
      <w:r>
        <w:rPr>
          <w:noProof/>
        </w:rPr>
        <w:fldChar w:fldCharType="end"/>
      </w:r>
    </w:p>
    <w:p>
      <w:pPr>
        <w:pStyle w:val="TOC4"/>
        <w:rPr>
          <w:noProof/>
        </w:rPr>
      </w:pPr>
      <w:r>
        <w:rPr>
          <w:noProof/>
        </w:rPr>
        <w:t>6.</w:t>
      </w:r>
      <w:r>
        <w:rPr>
          <w:noProof/>
        </w:rPr>
        <w:tab/>
        <w:t>Non</w:t>
      </w:r>
      <w:r>
        <w:rPr>
          <w:noProof/>
        </w:rPr>
        <w:noBreakHyphen/>
        <w:t>residential tariff</w:t>
      </w:r>
      <w:r>
        <w:rPr>
          <w:noProof/>
        </w:rPr>
        <w:tab/>
      </w:r>
      <w:r>
        <w:rPr>
          <w:noProof/>
        </w:rPr>
        <w:fldChar w:fldCharType="begin"/>
      </w:r>
      <w:r>
        <w:rPr>
          <w:noProof/>
        </w:rPr>
        <w:instrText xml:space="preserve"> PAGEREF _Toc22705370 \h </w:instrText>
      </w:r>
      <w:r>
        <w:rPr>
          <w:noProof/>
        </w:rPr>
      </w:r>
      <w:r>
        <w:rPr>
          <w:noProof/>
        </w:rPr>
        <w:fldChar w:fldCharType="separate"/>
      </w:r>
      <w:r>
        <w:rPr>
          <w:noProof/>
        </w:rPr>
        <w:t>8</w:t>
      </w:r>
      <w:r>
        <w:rPr>
          <w:noProof/>
        </w:rPr>
        <w:fldChar w:fldCharType="end"/>
      </w:r>
    </w:p>
    <w:p>
      <w:pPr>
        <w:pStyle w:val="TOC7"/>
        <w:rPr>
          <w:noProof/>
        </w:rPr>
      </w:pPr>
      <w:r>
        <w:rPr>
          <w:noProof/>
        </w:rPr>
        <w:t>Part 4 — Adjustment of certain tariff caps</w:t>
      </w:r>
      <w:r>
        <w:rPr>
          <w:noProof/>
        </w:rPr>
        <w:tab/>
      </w:r>
      <w:r>
        <w:rPr>
          <w:noProof/>
        </w:rPr>
        <w:fldChar w:fldCharType="begin"/>
      </w:r>
      <w:r>
        <w:rPr>
          <w:noProof/>
        </w:rPr>
        <w:instrText xml:space="preserve"> PAGEREF _Toc22705371 \h </w:instrText>
      </w:r>
      <w:r>
        <w:rPr>
          <w:noProof/>
        </w:rPr>
      </w:r>
      <w:r>
        <w:rPr>
          <w:noProof/>
        </w:rPr>
        <w:fldChar w:fldCharType="separate"/>
      </w:r>
      <w:r>
        <w:rPr>
          <w:noProof/>
        </w:rPr>
        <w:t>8</w:t>
      </w:r>
      <w:r>
        <w:rPr>
          <w:noProof/>
        </w:rPr>
        <w:fldChar w:fldCharType="end"/>
      </w:r>
    </w:p>
    <w:p>
      <w:pPr>
        <w:pStyle w:val="TOC4"/>
        <w:rPr>
          <w:noProof/>
        </w:rPr>
      </w:pPr>
      <w:r>
        <w:rPr>
          <w:noProof/>
        </w:rPr>
        <w:t>7.</w:t>
      </w:r>
      <w:r>
        <w:rPr>
          <w:noProof/>
        </w:rPr>
        <w:tab/>
        <w:t>Meaning of “CPI number”</w:t>
      </w:r>
      <w:r>
        <w:rPr>
          <w:noProof/>
        </w:rPr>
        <w:tab/>
      </w:r>
      <w:r>
        <w:rPr>
          <w:noProof/>
        </w:rPr>
        <w:fldChar w:fldCharType="begin"/>
      </w:r>
      <w:r>
        <w:rPr>
          <w:noProof/>
        </w:rPr>
        <w:instrText xml:space="preserve"> PAGEREF _Toc22705372 \h </w:instrText>
      </w:r>
      <w:r>
        <w:rPr>
          <w:noProof/>
        </w:rPr>
      </w:r>
      <w:r>
        <w:rPr>
          <w:noProof/>
        </w:rPr>
        <w:fldChar w:fldCharType="separate"/>
      </w:r>
      <w:r>
        <w:rPr>
          <w:noProof/>
        </w:rPr>
        <w:t>8</w:t>
      </w:r>
      <w:r>
        <w:rPr>
          <w:noProof/>
        </w:rPr>
        <w:fldChar w:fldCharType="end"/>
      </w:r>
    </w:p>
    <w:p>
      <w:pPr>
        <w:pStyle w:val="TOC4"/>
        <w:rPr>
          <w:noProof/>
        </w:rPr>
      </w:pPr>
      <w:r>
        <w:rPr>
          <w:noProof/>
        </w:rPr>
        <w:lastRenderedPageBreak/>
        <w:t>8.</w:t>
      </w:r>
      <w:r>
        <w:rPr>
          <w:noProof/>
        </w:rPr>
        <w:tab/>
        <w:t>Adjustment of rates generally for 2003/04 financial year and thereafter</w:t>
      </w:r>
      <w:r>
        <w:rPr>
          <w:noProof/>
        </w:rPr>
        <w:tab/>
      </w:r>
      <w:r>
        <w:rPr>
          <w:noProof/>
        </w:rPr>
        <w:fldChar w:fldCharType="begin"/>
      </w:r>
      <w:r>
        <w:rPr>
          <w:noProof/>
        </w:rPr>
        <w:instrText xml:space="preserve"> PAGEREF _Toc22705373 \h </w:instrText>
      </w:r>
      <w:r>
        <w:rPr>
          <w:noProof/>
        </w:rPr>
      </w:r>
      <w:r>
        <w:rPr>
          <w:noProof/>
        </w:rPr>
        <w:fldChar w:fldCharType="separate"/>
      </w:r>
      <w:r>
        <w:rPr>
          <w:noProof/>
        </w:rPr>
        <w:t>9</w:t>
      </w:r>
      <w:r>
        <w:rPr>
          <w:noProof/>
        </w:rPr>
        <w:fldChar w:fldCharType="end"/>
      </w:r>
    </w:p>
    <w:p>
      <w:pPr>
        <w:pStyle w:val="TOC4"/>
        <w:rPr>
          <w:noProof/>
        </w:rPr>
      </w:pPr>
      <w:r>
        <w:rPr>
          <w:noProof/>
        </w:rPr>
        <w:t>9.</w:t>
      </w:r>
      <w:r>
        <w:rPr>
          <w:noProof/>
        </w:rPr>
        <w:tab/>
        <w:t>Special adjustment for residential tariffs in Mid West/South West Area</w:t>
      </w:r>
      <w:r>
        <w:rPr>
          <w:noProof/>
        </w:rPr>
        <w:tab/>
      </w:r>
      <w:r>
        <w:rPr>
          <w:noProof/>
        </w:rPr>
        <w:fldChar w:fldCharType="begin"/>
      </w:r>
      <w:r>
        <w:rPr>
          <w:noProof/>
        </w:rPr>
        <w:instrText xml:space="preserve"> PAGEREF _Toc22705374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_Toc22705375 \h </w:instrText>
      </w:r>
      <w:r>
        <w:rPr>
          <w:noProof/>
        </w:rPr>
      </w:r>
      <w:r>
        <w:rPr>
          <w:noProof/>
        </w:rPr>
        <w:fldChar w:fldCharType="separate"/>
      </w:r>
      <w:r>
        <w:rPr>
          <w:noProof/>
        </w:rPr>
        <w:t>11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pPr>
      <w:bookmarkStart w:id="2" w:name="_Toc484947032"/>
      <w:bookmarkStart w:id="3" w:name="_Toc22697744"/>
      <w:bookmarkStart w:id="4" w:name="_Toc22697819"/>
      <w:bookmarkStart w:id="5" w:name="_Toc22705353"/>
      <w:r>
        <w:rPr>
          <w:rStyle w:val="CharSectno"/>
        </w:rPr>
        <w:t>1</w:t>
      </w:r>
      <w:r>
        <w:t>.</w:t>
      </w:r>
      <w:r>
        <w:tab/>
      </w:r>
      <w:bookmarkStart w:id="6" w:name="Start_Cursor"/>
      <w:bookmarkEnd w:id="6"/>
      <w:r>
        <w:t>Citation</w:t>
      </w:r>
      <w:bookmarkEnd w:id="2"/>
      <w:bookmarkEnd w:id="3"/>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p>
    <w:p>
      <w:pPr>
        <w:pStyle w:val="Heading5"/>
        <w:rPr>
          <w:spacing w:val="-2"/>
        </w:rPr>
      </w:pPr>
      <w:bookmarkStart w:id="7" w:name="_Toc484947033"/>
      <w:bookmarkStart w:id="8" w:name="_Toc22697745"/>
      <w:bookmarkStart w:id="9" w:name="_Toc22697820"/>
      <w:bookmarkStart w:id="10" w:name="_Toc22705354"/>
      <w:r>
        <w:rPr>
          <w:rStyle w:val="CharSectno"/>
        </w:rPr>
        <w:t>2</w:t>
      </w:r>
      <w:r>
        <w:rPr>
          <w:spacing w:val="-2"/>
        </w:rPr>
        <w:t>.</w:t>
      </w:r>
      <w:r>
        <w:rPr>
          <w:spacing w:val="-2"/>
        </w:rPr>
        <w:tab/>
        <w:t>Commencement</w:t>
      </w:r>
      <w:bookmarkEnd w:id="7"/>
      <w:bookmarkEnd w:id="8"/>
      <w:bookmarkEnd w:id="9"/>
      <w:bookmarkEnd w:id="10"/>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t>.</w:t>
      </w:r>
    </w:p>
    <w:p>
      <w:pPr>
        <w:pStyle w:val="Heading5"/>
      </w:pPr>
      <w:bookmarkStart w:id="11" w:name="_Toc484947034"/>
      <w:bookmarkStart w:id="12" w:name="_Toc22697746"/>
      <w:bookmarkStart w:id="13" w:name="_Toc22697821"/>
      <w:bookmarkStart w:id="14" w:name="_Toc22705355"/>
      <w:r>
        <w:rPr>
          <w:rStyle w:val="CharSectno"/>
        </w:rPr>
        <w:t>3</w:t>
      </w:r>
      <w:r>
        <w:t>.</w:t>
      </w:r>
      <w:r>
        <w:tab/>
        <w:t>Areas to which regulations apply</w:t>
      </w:r>
      <w:bookmarkEnd w:id="11"/>
      <w:bookmarkEnd w:id="12"/>
      <w:bookmarkEnd w:id="13"/>
      <w:bookmarkEnd w:id="14"/>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15" w:name="_Toc484947035"/>
      <w:bookmarkStart w:id="16" w:name="_Toc22697747"/>
      <w:bookmarkStart w:id="17" w:name="_Toc22697822"/>
      <w:bookmarkStart w:id="18" w:name="_Toc22705356"/>
      <w:r>
        <w:rPr>
          <w:rStyle w:val="CharSectno"/>
        </w:rPr>
        <w:t>4</w:t>
      </w:r>
      <w:r>
        <w:t>.</w:t>
      </w:r>
      <w:r>
        <w:tab/>
        <w:t>Interpretation</w:t>
      </w:r>
      <w:bookmarkEnd w:id="15"/>
      <w:bookmarkEnd w:id="16"/>
      <w:bookmarkEnd w:id="17"/>
      <w:bookmarkEnd w:id="18"/>
    </w:p>
    <w:p>
      <w:pPr>
        <w:pStyle w:val="Subsection"/>
      </w:pPr>
      <w:r>
        <w:tab/>
        <w:t>(1)</w:t>
      </w:r>
      <w:r>
        <w:tab/>
        <w:t>In these regulations, unless the contrary intention appears —</w:t>
      </w:r>
    </w:p>
    <w:p>
      <w:pPr>
        <w:pStyle w:val="Defstart"/>
      </w:pPr>
      <w:r>
        <w:tab/>
      </w:r>
      <w:r>
        <w:rPr>
          <w:b/>
        </w:rPr>
        <w:t>“</w:t>
      </w:r>
      <w:r>
        <w:rPr>
          <w:rStyle w:val="CharDefText"/>
        </w:rPr>
        <w:t>Albany area</w:t>
      </w:r>
      <w:r>
        <w:rPr>
          <w:b/>
        </w:rPr>
        <w:t>”</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r>
      <w:r>
        <w:tab/>
        <w:t>applied when it was first granted;</w:t>
      </w:r>
    </w:p>
    <w:p>
      <w:pPr>
        <w:pStyle w:val="Defstart"/>
      </w:pPr>
      <w:r>
        <w:tab/>
      </w:r>
      <w:r>
        <w:rPr>
          <w:b/>
        </w:rPr>
        <w:t>“</w:t>
      </w:r>
      <w:r>
        <w:rPr>
          <w:rStyle w:val="CharDefText"/>
        </w:rPr>
        <w:t>capped tarif</w:t>
      </w:r>
      <w:r>
        <w:rPr>
          <w:rStyle w:val="CharDefText"/>
          <w:spacing w:val="40"/>
        </w:rPr>
        <w:t>f</w:t>
      </w:r>
      <w:r>
        <w:rPr>
          <w:b/>
        </w:rPr>
        <w:t>”</w:t>
      </w:r>
      <w:r>
        <w:t xml:space="preserve"> has the same meaning as in regulation 5;</w:t>
      </w:r>
    </w:p>
    <w:p>
      <w:pPr>
        <w:pStyle w:val="Defstart"/>
      </w:pPr>
      <w:r>
        <w:tab/>
      </w:r>
      <w:r>
        <w:rPr>
          <w:b/>
        </w:rPr>
        <w:t>“</w:t>
      </w:r>
      <w:r>
        <w:rPr>
          <w:rStyle w:val="CharDefText"/>
        </w:rPr>
        <w:t>dwelling</w:t>
      </w:r>
      <w:r>
        <w:rPr>
          <w:b/>
        </w:rPr>
        <w:t>”</w:t>
      </w:r>
      <w:r>
        <w:t xml:space="preserve"> means a house, flat, home unit or other place of residence;</w:t>
      </w:r>
    </w:p>
    <w:p>
      <w:pPr>
        <w:pStyle w:val="Defstart"/>
      </w:pPr>
      <w:r>
        <w:tab/>
      </w:r>
      <w:r>
        <w:rPr>
          <w:b/>
        </w:rPr>
        <w:t>“</w:t>
      </w:r>
      <w:r>
        <w:rPr>
          <w:rStyle w:val="CharDefText"/>
        </w:rPr>
        <w:t>Kalgoorlie</w:t>
      </w:r>
      <w:r>
        <w:rPr>
          <w:rStyle w:val="CharDefText"/>
        </w:rPr>
        <w:noBreakHyphen/>
        <w:t>Boulder area</w:t>
      </w:r>
      <w:r>
        <w:rPr>
          <w:b/>
        </w:rPr>
        <w:t>”</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r>
      <w:r>
        <w:tab/>
        <w:t>applied when it was first granted;</w:t>
      </w:r>
    </w:p>
    <w:p>
      <w:pPr>
        <w:pStyle w:val="Defstart"/>
      </w:pPr>
      <w:r>
        <w:tab/>
      </w:r>
      <w:r>
        <w:rPr>
          <w:b/>
        </w:rPr>
        <w:t>“</w:t>
      </w:r>
      <w:r>
        <w:rPr>
          <w:rStyle w:val="CharDefText"/>
        </w:rPr>
        <w:t>Mid</w:t>
      </w:r>
      <w:r>
        <w:rPr>
          <w:rStyle w:val="CharDefText"/>
        </w:rPr>
        <w:noBreakHyphen/>
        <w:t>West/South</w:t>
      </w:r>
      <w:r>
        <w:rPr>
          <w:rStyle w:val="CharDefText"/>
        </w:rPr>
        <w:noBreakHyphen/>
        <w:t>West area</w:t>
      </w:r>
      <w:r>
        <w:rPr>
          <w:b/>
        </w:rPr>
        <w:t>”</w:t>
      </w:r>
      <w:r>
        <w:t xml:space="preserve"> means the supply areas or parts of a supply area to which any of the distribution licences of the Gas Corporation, other than a licence referred to in the definition of “Albany area” or “Kalgoorlie</w:t>
      </w:r>
      <w:r>
        <w:noBreakHyphen/>
        <w:t>Boulder area” applied when first granted;</w:t>
      </w:r>
    </w:p>
    <w:p>
      <w:pPr>
        <w:pStyle w:val="Defstart"/>
      </w:pPr>
      <w:r>
        <w:tab/>
      </w:r>
      <w:r>
        <w:rPr>
          <w:b/>
        </w:rPr>
        <w:t>“</w:t>
      </w:r>
      <w:r>
        <w:rPr>
          <w:rStyle w:val="CharDefText"/>
        </w:rPr>
        <w:t>supplier</w:t>
      </w:r>
      <w:r>
        <w:rPr>
          <w:b/>
        </w:rPr>
        <w:t>”</w:t>
      </w:r>
      <w:r>
        <w:t xml:space="preserve"> means a person who supplies gas;</w:t>
      </w:r>
    </w:p>
    <w:p>
      <w:pPr>
        <w:pStyle w:val="Defstart"/>
      </w:pPr>
      <w:r>
        <w:tab/>
      </w:r>
      <w:r>
        <w:rPr>
          <w:b/>
        </w:rPr>
        <w:t>“</w:t>
      </w:r>
      <w:r>
        <w:rPr>
          <w:rStyle w:val="CharDefText"/>
        </w:rPr>
        <w:t>supply</w:t>
      </w:r>
      <w:r>
        <w:rPr>
          <w:b/>
        </w:rPr>
        <w:t>”</w:t>
      </w:r>
      <w:r>
        <w:t xml:space="preserve"> has the meaning given by paragraph (b) of the definition of “supply” in section 3 of the Act;</w:t>
      </w:r>
    </w:p>
    <w:p>
      <w:pPr>
        <w:pStyle w:val="Defstart"/>
      </w:pPr>
      <w:r>
        <w:tab/>
      </w:r>
      <w:r>
        <w:rPr>
          <w:b/>
        </w:rPr>
        <w:t>“</w:t>
      </w:r>
      <w:r>
        <w:rPr>
          <w:rStyle w:val="CharDefText"/>
        </w:rPr>
        <w:t>unit</w:t>
      </w:r>
      <w:r>
        <w:rPr>
          <w:b/>
        </w:rPr>
        <w: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19" w:name="_Toc484947036"/>
      <w:bookmarkStart w:id="20" w:name="_Toc22697748"/>
      <w:bookmarkStart w:id="21" w:name="_Toc22697823"/>
      <w:bookmarkStart w:id="22" w:name="_Toc22705357"/>
      <w:r>
        <w:rPr>
          <w:rStyle w:val="CharSectno"/>
        </w:rPr>
        <w:t>5</w:t>
      </w:r>
      <w:r>
        <w:t>.</w:t>
      </w:r>
      <w:r>
        <w:tab/>
        <w:t>Supplier to have at least one capped tariff</w:t>
      </w:r>
      <w:bookmarkEnd w:id="19"/>
      <w:bookmarkEnd w:id="20"/>
      <w:bookmarkEnd w:id="21"/>
      <w:bookmarkEnd w:id="22"/>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23" w:name="_Hlt472841165"/>
      <w:bookmarkEnd w:id="23"/>
      <w:r>
        <w:t>(2)</w:t>
      </w:r>
      <w:r>
        <w:tab/>
      </w:r>
      <w:bookmarkStart w:id="24" w:name="_Hlt472841237"/>
      <w:bookmarkEnd w:id="24"/>
      <w:r>
        <w:t>In subregulation (1) —</w:t>
      </w:r>
    </w:p>
    <w:p>
      <w:pPr>
        <w:pStyle w:val="Defstart"/>
      </w:pPr>
      <w:r>
        <w:tab/>
      </w:r>
      <w:r>
        <w:rPr>
          <w:b/>
        </w:rPr>
        <w:t>“</w:t>
      </w:r>
      <w:r>
        <w:rPr>
          <w:rStyle w:val="CharDefText"/>
        </w:rPr>
        <w:t>capped tarif</w:t>
      </w:r>
      <w:r>
        <w:rPr>
          <w:rStyle w:val="CharDefText"/>
          <w:spacing w:val="40"/>
        </w:rPr>
        <w:t>f</w:t>
      </w:r>
      <w:r>
        <w:rPr>
          <w:b/>
        </w:rPr>
        <w:t>”</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25" w:name="_Hlt476566238"/>
      <w:bookmarkEnd w:id="25"/>
      <w:r>
        <w:t>1.</w:t>
      </w:r>
    </w:p>
    <w:p>
      <w:pPr>
        <w:pStyle w:val="Footnotesection"/>
      </w:pPr>
      <w:r>
        <w:tab/>
        <w:t>[Regulation 5 amended in Gazette 18 Oct 2002 p. 5224.]</w:t>
      </w:r>
    </w:p>
    <w:p>
      <w:pPr>
        <w:pStyle w:val="Heading5"/>
      </w:pPr>
      <w:bookmarkStart w:id="26" w:name="_Toc484947037"/>
      <w:bookmarkStart w:id="27" w:name="_Toc22697749"/>
      <w:bookmarkStart w:id="28" w:name="_Toc22697824"/>
      <w:bookmarkStart w:id="29" w:name="_Toc22705358"/>
      <w:r>
        <w:rPr>
          <w:rStyle w:val="CharSectno"/>
        </w:rPr>
        <w:t>6</w:t>
      </w:r>
      <w:r>
        <w:t>.</w:t>
      </w:r>
      <w:r>
        <w:tab/>
        <w:t>Gas to be offered under standard contract at capped tariff</w:t>
      </w:r>
      <w:bookmarkEnd w:id="26"/>
      <w:bookmarkEnd w:id="27"/>
      <w:bookmarkEnd w:id="28"/>
      <w:bookmarkEnd w:id="29"/>
    </w:p>
    <w:p>
      <w:pPr>
        <w:pStyle w:val="Ednotesubsection"/>
      </w:pPr>
      <w:r>
        <w:tab/>
        <w:t>[(1)</w:t>
      </w:r>
      <w:r>
        <w:tab/>
        <w:t>repealed]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b/>
        </w:rPr>
        <w:t>“</w:t>
      </w:r>
      <w:r>
        <w:rPr>
          <w:rStyle w:val="CharDefText"/>
        </w:rPr>
        <w:t>existing standard contract customer</w:t>
      </w:r>
      <w:r>
        <w:rPr>
          <w:b/>
        </w:rPr>
        <w:t>”</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pPr>
      <w:r>
        <w:tab/>
        <w:t>(5)</w:t>
      </w:r>
      <w:r>
        <w:tab/>
        <w:t>In subregulation (4) —</w:t>
      </w:r>
    </w:p>
    <w:p>
      <w:pPr>
        <w:pStyle w:val="Defstart"/>
      </w:pPr>
      <w:r>
        <w:tab/>
      </w:r>
      <w:r>
        <w:rPr>
          <w:b/>
        </w:rPr>
        <w:t>“</w:t>
      </w:r>
      <w:r>
        <w:rPr>
          <w:rStyle w:val="CharDefText"/>
        </w:rPr>
        <w:t>approved contract</w:t>
      </w:r>
      <w:r>
        <w:rPr>
          <w:b/>
        </w:rPr>
        <w: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b/>
        </w:rPr>
        <w:t>“</w:t>
      </w:r>
      <w:r>
        <w:rPr>
          <w:rStyle w:val="CharDefText"/>
        </w:rPr>
        <w:t>new customer</w:t>
      </w:r>
      <w:r>
        <w:rPr>
          <w:b/>
        </w:rPr>
        <w:t>”</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30" w:name="_Toc484947038"/>
      <w:bookmarkStart w:id="31" w:name="_Toc22697750"/>
      <w:bookmarkStart w:id="32" w:name="_Toc22697825"/>
      <w:bookmarkStart w:id="33" w:name="_Toc22705359"/>
      <w:r>
        <w:rPr>
          <w:rStyle w:val="CharSectno"/>
        </w:rPr>
        <w:t>7</w:t>
      </w:r>
      <w:r>
        <w:t>.</w:t>
      </w:r>
      <w:r>
        <w:tab/>
        <w:t>Calculation of amounts</w:t>
      </w:r>
      <w:bookmarkEnd w:id="30"/>
      <w:bookmarkEnd w:id="31"/>
      <w:bookmarkEnd w:id="32"/>
      <w:bookmarkEnd w:id="33"/>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Heading5"/>
      </w:pPr>
      <w:bookmarkStart w:id="34" w:name="_Toc484947039"/>
      <w:bookmarkStart w:id="35" w:name="_Toc22697751"/>
      <w:bookmarkStart w:id="36" w:name="_Toc22697826"/>
      <w:bookmarkStart w:id="37" w:name="_Toc22705360"/>
      <w:r>
        <w:rPr>
          <w:rStyle w:val="CharSectno"/>
        </w:rPr>
        <w:t>8</w:t>
      </w:r>
      <w:r>
        <w:t>.</w:t>
      </w:r>
      <w:r>
        <w:tab/>
        <w:t>Minister to carry out review</w:t>
      </w:r>
      <w:bookmarkEnd w:id="34"/>
      <w:bookmarkEnd w:id="35"/>
      <w:bookmarkEnd w:id="36"/>
      <w:bookmarkEnd w:id="37"/>
    </w:p>
    <w:p>
      <w:pPr>
        <w:pStyle w:val="Subsection"/>
      </w:pPr>
      <w:r>
        <w:tab/>
        <w:t>(1)</w:t>
      </w:r>
      <w:r>
        <w:tab/>
        <w:t xml:space="preserve">The Minister is to carry out a review of the operation and effectiveness of these regulations within 5 years after the commencement of the </w:t>
      </w:r>
      <w:r>
        <w:rPr>
          <w:i/>
        </w:rPr>
        <w:t>Energy Coordination (Gas Tariffs) Amendment Regulations 2002</w:t>
      </w:r>
      <w:r>
        <w:t>.</w:t>
      </w:r>
    </w:p>
    <w:p>
      <w:pPr>
        <w:pStyle w:val="Subsection"/>
      </w:pPr>
      <w:r>
        <w:tab/>
        <w:t>(2)</w:t>
      </w:r>
      <w:r>
        <w:tab/>
        <w:t>In the course of the review the Minister is to consider the need for the continuation of these regulations, having regard to —</w:t>
      </w:r>
    </w:p>
    <w:p>
      <w:pPr>
        <w:pStyle w:val="Indenta"/>
      </w:pPr>
      <w:r>
        <w:tab/>
        <w:t>(a)</w:t>
      </w:r>
      <w:r>
        <w:tab/>
        <w:t>the importance of competition in gas industry markets;</w:t>
      </w:r>
    </w:p>
    <w:p>
      <w:pPr>
        <w:pStyle w:val="Indenta"/>
      </w:pPr>
      <w:r>
        <w:tab/>
        <w:t>(b)</w:t>
      </w:r>
      <w:r>
        <w:tab/>
        <w:t>the interests of gas customers generally or of a class of gas customers;</w:t>
      </w:r>
    </w:p>
    <w:p>
      <w:pPr>
        <w:pStyle w:val="Indenta"/>
      </w:pPr>
      <w:r>
        <w:tab/>
        <w:t>(c)</w:t>
      </w:r>
      <w:r>
        <w:tab/>
        <w:t>the legitimate business interests of the holders of trading licences;</w:t>
      </w:r>
    </w:p>
    <w:p>
      <w:pPr>
        <w:pStyle w:val="Indenta"/>
      </w:pPr>
      <w:r>
        <w:tab/>
        <w:t>(d)</w:t>
      </w:r>
      <w:r>
        <w:tab/>
        <w:t>the effectiveness of the regulations in achieving appropriate consumer protection outcomes; and</w:t>
      </w:r>
    </w:p>
    <w:p>
      <w:pPr>
        <w:pStyle w:val="Indenta"/>
      </w:pPr>
      <w:r>
        <w:tab/>
        <w:t>(e)</w:t>
      </w:r>
      <w:r>
        <w:tab/>
        <w:t>any other matter that the Minister considers relevant.</w:t>
      </w:r>
    </w:p>
    <w:p>
      <w:pPr>
        <w:pStyle w:val="Subsection"/>
      </w:pPr>
      <w:r>
        <w:tab/>
        <w:t>(3)</w:t>
      </w:r>
      <w:r>
        <w:tab/>
        <w:t>The Minister is to prepare a report based on the review and, as soon as is practicable after the report is prepared, is to cause it to be laid before each House of Parliament.</w:t>
      </w:r>
      <w:bookmarkStart w:id="38" w:name="_Hlt472841195"/>
      <w:bookmarkEnd w:id="38"/>
    </w:p>
    <w:p>
      <w:pPr>
        <w:pStyle w:val="Footnotesection"/>
      </w:pPr>
      <w:r>
        <w:tab/>
        <w:t>[Regulation 8 amended in Gazette 18 Oct 2002 p. 5224.]</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9" w:name="_Toc22705361"/>
      <w:r>
        <w:rPr>
          <w:rStyle w:val="CharSchNo"/>
        </w:rPr>
        <w:t>Schedule 1</w:t>
      </w:r>
      <w:r>
        <w:t xml:space="preserve"> — </w:t>
      </w:r>
      <w:r>
        <w:rPr>
          <w:rStyle w:val="CharSchText"/>
        </w:rPr>
        <w:t>Tariff caps</w:t>
      </w:r>
      <w:bookmarkEnd w:id="39"/>
    </w:p>
    <w:p>
      <w:pPr>
        <w:pStyle w:val="yShoulderClause"/>
      </w:pPr>
      <w:r>
        <w:t>[r. 5(2)]</w:t>
      </w:r>
    </w:p>
    <w:p>
      <w:pPr>
        <w:pStyle w:val="yHeading2"/>
        <w:rPr>
          <w:rStyle w:val="CharPartText"/>
        </w:rPr>
      </w:pPr>
      <w:bookmarkStart w:id="40" w:name="_Toc22705362"/>
      <w:r>
        <w:rPr>
          <w:rStyle w:val="CharPartNo"/>
        </w:rPr>
        <w:t>Part 1</w:t>
      </w:r>
      <w:r>
        <w:rPr>
          <w:rStyle w:val="CharDivNo"/>
        </w:rPr>
        <w:t xml:space="preserve"> </w:t>
      </w:r>
      <w:r>
        <w:t>—</w:t>
      </w:r>
      <w:r>
        <w:rPr>
          <w:rStyle w:val="CharDivText"/>
        </w:rPr>
        <w:t xml:space="preserve"> Mid</w:t>
      </w:r>
      <w:r>
        <w:rPr>
          <w:rStyle w:val="CharDivText"/>
        </w:rPr>
        <w:noBreakHyphen/>
        <w:t>West/South</w:t>
      </w:r>
      <w:r>
        <w:rPr>
          <w:rStyle w:val="CharDivText"/>
        </w:rPr>
        <w:noBreakHyphen/>
        <w:t>West area</w:t>
      </w:r>
      <w:bookmarkEnd w:id="40"/>
    </w:p>
    <w:p>
      <w:pPr>
        <w:pStyle w:val="yHeading5"/>
      </w:pPr>
      <w:bookmarkStart w:id="41" w:name="_Toc484947040"/>
      <w:bookmarkStart w:id="42" w:name="_Toc22705363"/>
      <w:r>
        <w:t>1.</w:t>
      </w:r>
      <w:r>
        <w:tab/>
        <w:t>Residential tariff</w:t>
      </w:r>
      <w:bookmarkEnd w:id="41"/>
      <w:bookmarkEnd w:id="42"/>
    </w:p>
    <w:p>
      <w:pPr>
        <w:pStyle w:val="ySubsection"/>
        <w:spacing w:after="80"/>
      </w:pPr>
      <w:r>
        <w:tab/>
      </w:r>
      <w:r>
        <w:tab/>
        <w:t xml:space="preserve">Under this Schedule a charge for the supply of gas for residential purposes is calculated by adding the fixed component and the usage component, each of which is calculated at the rate shown in the Table to this clause or, where applicable, that rate as adjusted under Part </w:t>
      </w:r>
      <w:bookmarkStart w:id="43" w:name="_Hlt471891727"/>
      <w:bookmarkStart w:id="44" w:name="_Hlt472825911"/>
      <w:bookmarkEnd w:id="43"/>
      <w:r>
        <w:t>4</w:t>
      </w:r>
      <w:bookmarkEnd w:id="44"/>
      <w:r>
        <w:t>.</w:t>
      </w:r>
    </w:p>
    <w:p>
      <w:pPr>
        <w:pStyle w:val="yMiscellaneousHeading"/>
        <w:spacing w:after="120"/>
        <w:rPr>
          <w:b/>
        </w:rPr>
      </w:pPr>
      <w:r>
        <w:rPr>
          <w:b/>
        </w:rPr>
        <w:t>Rates for components of 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500"/>
      </w:tblGrid>
      <w:tr>
        <w:tc>
          <w:tcPr>
            <w:tcW w:w="1843" w:type="dxa"/>
          </w:tcPr>
          <w:p>
            <w:pPr>
              <w:pStyle w:val="yTable"/>
            </w:pPr>
            <w:r>
              <w:t>Fixed component</w:t>
            </w:r>
          </w:p>
        </w:tc>
        <w:tc>
          <w:tcPr>
            <w:tcW w:w="4500" w:type="dxa"/>
          </w:tcPr>
          <w:p>
            <w:pPr>
              <w:pStyle w:val="yTable"/>
            </w:pPr>
            <w:r>
              <w:t>9.68 cents per day</w:t>
            </w:r>
          </w:p>
        </w:tc>
      </w:tr>
      <w:tr>
        <w:tc>
          <w:tcPr>
            <w:tcW w:w="1843" w:type="dxa"/>
          </w:tcPr>
          <w:p>
            <w:pPr>
              <w:pStyle w:val="yTable"/>
            </w:pPr>
            <w:r>
              <w:t>Usage component</w:t>
            </w:r>
          </w:p>
        </w:tc>
        <w:tc>
          <w:tcPr>
            <w:tcW w:w="4500" w:type="dxa"/>
          </w:tcPr>
          <w:p>
            <w:pPr>
              <w:pStyle w:val="yTable"/>
            </w:pPr>
            <w:r>
              <w:t>6.85 cents per unit for the first L units per day</w:t>
            </w:r>
          </w:p>
          <w:p>
            <w:pPr>
              <w:pStyle w:val="yTable"/>
            </w:pPr>
            <w:r>
              <w:t>4.44 cents per unit for the next M units per day</w:t>
            </w:r>
          </w:p>
          <w:p>
            <w:pPr>
              <w:pStyle w:val="yTable"/>
            </w:pPr>
            <w:r>
              <w:t>3.26 cents per unit for all additional units per day</w:t>
            </w:r>
          </w:p>
          <w:p>
            <w:pPr>
              <w:pStyle w:val="yTable"/>
            </w:pPr>
            <w:r>
              <w:t>where —</w:t>
            </w:r>
          </w:p>
          <w:p>
            <w:pPr>
              <w:pStyle w:val="yTable"/>
            </w:pPr>
            <w:r>
              <w:t>for a single dwelling supplied through a separately metered supply point —</w:t>
            </w:r>
          </w:p>
          <w:p>
            <w:pPr>
              <w:pStyle w:val="yTable"/>
            </w:pPr>
            <w:r>
              <w:t>L = 12</w:t>
            </w:r>
          </w:p>
          <w:p>
            <w:pPr>
              <w:pStyle w:val="yTable"/>
            </w:pPr>
            <w:r>
              <w:t>M = 24</w:t>
            </w:r>
          </w:p>
          <w:p>
            <w:pPr>
              <w:pStyle w:val="yTable"/>
            </w:pPr>
            <w:r>
              <w:t>for multiple dwellings supplied through a commonly metered supply point —</w:t>
            </w:r>
          </w:p>
          <w:p>
            <w:pPr>
              <w:pStyle w:val="yTable"/>
            </w:pPr>
            <w:r>
              <w:t>L = 12 + [(F</w:t>
            </w:r>
            <w:r>
              <w:noBreakHyphen/>
              <w:t xml:space="preserve">1) </w:t>
            </w:r>
            <w:r>
              <w:sym w:font="Wingdings 2" w:char="F0CE"/>
            </w:r>
            <w:r>
              <w:t xml:space="preserve"> 5]</w:t>
            </w:r>
          </w:p>
          <w:p>
            <w:pPr>
              <w:pStyle w:val="yTable"/>
            </w:pPr>
            <w:r>
              <w:t>M = 24 + [(F</w:t>
            </w:r>
            <w:r>
              <w:noBreakHyphen/>
              <w:t xml:space="preserve">1) </w:t>
            </w:r>
            <w:r>
              <w:sym w:font="Wingdings 2" w:char="F0CE"/>
            </w:r>
            <w:r>
              <w:t xml:space="preserve"> 5]</w:t>
            </w:r>
          </w:p>
          <w:p>
            <w:pPr>
              <w:pStyle w:val="yTable"/>
            </w:pPr>
            <w:r>
              <w:t>F = the number of dwellings</w:t>
            </w:r>
          </w:p>
        </w:tc>
      </w:tr>
    </w:tbl>
    <w:p>
      <w:pPr>
        <w:pStyle w:val="yHeading5"/>
      </w:pPr>
      <w:bookmarkStart w:id="45" w:name="_Toc484947041"/>
      <w:bookmarkStart w:id="46" w:name="_Toc22705364"/>
      <w:r>
        <w:t>2.</w:t>
      </w:r>
      <w:r>
        <w:tab/>
        <w:t>Non</w:t>
      </w:r>
      <w:r>
        <w:noBreakHyphen/>
        <w:t>residential tariff</w:t>
      </w:r>
      <w:bookmarkEnd w:id="45"/>
      <w:bookmarkEnd w:id="46"/>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r>
        <w:rPr>
          <w:b/>
        </w:rPr>
        <w:t>Rates for components of non</w:t>
      </w:r>
      <w:r>
        <w:rPr>
          <w:b/>
        </w:rPr>
        <w:noBreakHyphen/>
        <w:t>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500"/>
      </w:tblGrid>
      <w:tr>
        <w:tc>
          <w:tcPr>
            <w:tcW w:w="1843" w:type="dxa"/>
          </w:tcPr>
          <w:p>
            <w:pPr>
              <w:pStyle w:val="yTable"/>
              <w:keepNext/>
            </w:pPr>
            <w:r>
              <w:t>Fixed component</w:t>
            </w:r>
          </w:p>
        </w:tc>
        <w:tc>
          <w:tcPr>
            <w:tcW w:w="4500" w:type="dxa"/>
          </w:tcPr>
          <w:p>
            <w:pPr>
              <w:pStyle w:val="yTable"/>
              <w:keepNext/>
              <w:numPr>
                <w:ilvl w:val="0"/>
                <w:numId w:val="2"/>
              </w:numPr>
            </w:pPr>
            <w:r>
              <w:t>9.68 cents per day</w:t>
            </w:r>
          </w:p>
        </w:tc>
      </w:tr>
      <w:tr>
        <w:tc>
          <w:tcPr>
            <w:tcW w:w="1843" w:type="dxa"/>
          </w:tcPr>
          <w:p>
            <w:pPr>
              <w:pStyle w:val="yTable"/>
              <w:keepNext/>
            </w:pPr>
            <w:r>
              <w:t>Usage component</w:t>
            </w:r>
          </w:p>
        </w:tc>
        <w:tc>
          <w:tcPr>
            <w:tcW w:w="4500" w:type="dxa"/>
          </w:tcPr>
          <w:p>
            <w:pPr>
              <w:pStyle w:val="yTable"/>
              <w:keepNext/>
              <w:numPr>
                <w:ilvl w:val="0"/>
                <w:numId w:val="3"/>
              </w:numPr>
            </w:pPr>
            <w:r>
              <w:t>7.08 cents per unit for the</w:t>
            </w:r>
            <w:bookmarkStart w:id="47" w:name="_Hlt472129287"/>
            <w:bookmarkEnd w:id="47"/>
            <w:r>
              <w:t xml:space="preserve"> first 100 units per day</w:t>
            </w:r>
          </w:p>
          <w:p>
            <w:pPr>
              <w:pStyle w:val="yTable"/>
              <w:keepNext/>
              <w:numPr>
                <w:ilvl w:val="0"/>
                <w:numId w:val="4"/>
              </w:numPr>
            </w:pPr>
            <w:r>
              <w:t>5.64 cents per unit for all additional units per day</w:t>
            </w:r>
          </w:p>
        </w:tc>
      </w:tr>
    </w:tbl>
    <w:p>
      <w:pPr>
        <w:pStyle w:val="yHeading2"/>
        <w:rPr>
          <w:rStyle w:val="CharPartText"/>
        </w:rPr>
      </w:pPr>
      <w:bookmarkStart w:id="48" w:name="_Toc22705365"/>
      <w:r>
        <w:rPr>
          <w:rStyle w:val="CharPartNo"/>
        </w:rPr>
        <w:t>Part 2</w:t>
      </w:r>
      <w:r>
        <w:rPr>
          <w:rStyle w:val="CharDivNo"/>
        </w:rPr>
        <w:t xml:space="preserve"> </w:t>
      </w:r>
      <w:r>
        <w:t>—</w:t>
      </w:r>
      <w:r>
        <w:rPr>
          <w:rStyle w:val="CharDivText"/>
        </w:rPr>
        <w:t xml:space="preserve"> </w:t>
      </w:r>
      <w:r>
        <w:rPr>
          <w:rStyle w:val="CharPartText"/>
        </w:rPr>
        <w:t>Albany area</w:t>
      </w:r>
      <w:bookmarkEnd w:id="48"/>
    </w:p>
    <w:p>
      <w:pPr>
        <w:pStyle w:val="yHeading5"/>
      </w:pPr>
      <w:bookmarkStart w:id="49" w:name="_Toc484947042"/>
      <w:bookmarkStart w:id="50" w:name="_Toc22705366"/>
      <w:r>
        <w:t>3.</w:t>
      </w:r>
      <w:r>
        <w:tab/>
        <w:t>Residential tariff</w:t>
      </w:r>
      <w:bookmarkEnd w:id="49"/>
      <w:bookmarkEnd w:id="50"/>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r>
        <w:rPr>
          <w:b/>
        </w:rPr>
        <w:t>Rates for components of 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926"/>
      </w:tblGrid>
      <w:tr>
        <w:tc>
          <w:tcPr>
            <w:tcW w:w="1417" w:type="dxa"/>
          </w:tcPr>
          <w:p>
            <w:pPr>
              <w:pStyle w:val="yTable"/>
            </w:pPr>
            <w:r>
              <w:t>Fixed component</w:t>
            </w:r>
          </w:p>
        </w:tc>
        <w:tc>
          <w:tcPr>
            <w:tcW w:w="4926" w:type="dxa"/>
          </w:tcPr>
          <w:p>
            <w:pPr>
              <w:pStyle w:val="yTable"/>
              <w:tabs>
                <w:tab w:val="left" w:pos="601"/>
                <w:tab w:val="left" w:pos="2694"/>
                <w:tab w:val="left" w:pos="2835"/>
              </w:tabs>
              <w:ind w:left="601" w:hanging="601"/>
            </w:pPr>
            <w:r>
              <w:t>(a)</w:t>
            </w:r>
            <w:r>
              <w:tab/>
              <w:t>for premises other than those described in paragraph (b), 10.15 cents per day;</w:t>
            </w:r>
          </w:p>
          <w:p>
            <w:pPr>
              <w:pStyle w:val="yTable"/>
              <w:tabs>
                <w:tab w:val="left" w:pos="885"/>
              </w:tabs>
              <w:ind w:left="601" w:hanging="601"/>
            </w:pPr>
            <w:r>
              <w:t>(b)</w:t>
            </w:r>
            <w:r>
              <w:tab/>
              <w:t xml:space="preserve">for multiple dwellings supplied through a commonly metered supply point — </w:t>
            </w:r>
          </w:p>
          <w:p>
            <w:pPr>
              <w:pStyle w:val="yTable"/>
              <w:tabs>
                <w:tab w:val="left" w:pos="743"/>
                <w:tab w:val="left" w:pos="1168"/>
              </w:tabs>
              <w:ind w:left="1168" w:hanging="1134"/>
            </w:pPr>
            <w:r>
              <w:tab/>
              <w:t>•</w:t>
            </w:r>
            <w:r>
              <w:tab/>
              <w:t>10.15 cents per day for the first dwelling;</w:t>
            </w:r>
          </w:p>
          <w:p>
            <w:pPr>
              <w:pStyle w:val="yTable"/>
              <w:tabs>
                <w:tab w:val="left" w:pos="743"/>
                <w:tab w:val="left" w:pos="1168"/>
              </w:tabs>
              <w:ind w:left="1168" w:hanging="1134"/>
            </w:pPr>
            <w:r>
              <w:tab/>
              <w:t>•</w:t>
            </w:r>
            <w:r>
              <w:tab/>
              <w:t>5.07 cents per day for each additional dwelling.</w:t>
            </w:r>
          </w:p>
        </w:tc>
      </w:tr>
      <w:tr>
        <w:tc>
          <w:tcPr>
            <w:tcW w:w="1417" w:type="dxa"/>
          </w:tcPr>
          <w:p>
            <w:pPr>
              <w:pStyle w:val="yTable"/>
            </w:pPr>
            <w:r>
              <w:t>Usage component</w:t>
            </w:r>
          </w:p>
        </w:tc>
        <w:tc>
          <w:tcPr>
            <w:tcW w:w="4926" w:type="dxa"/>
          </w:tcPr>
          <w:p>
            <w:pPr>
              <w:pStyle w:val="yTable"/>
              <w:tabs>
                <w:tab w:val="left" w:pos="459"/>
              </w:tabs>
              <w:ind w:left="494" w:hanging="494"/>
            </w:pPr>
            <w:r>
              <w:t>•</w:t>
            </w:r>
            <w:r>
              <w:tab/>
              <w:t>7.40 cents per unit for the first 100 units per day</w:t>
            </w:r>
          </w:p>
          <w:p>
            <w:pPr>
              <w:pStyle w:val="yTable"/>
              <w:tabs>
                <w:tab w:val="left" w:pos="459"/>
              </w:tabs>
              <w:ind w:left="494" w:hanging="494"/>
            </w:pPr>
            <w:r>
              <w:t>•</w:t>
            </w:r>
            <w:r>
              <w:tab/>
              <w:t>6.19 cents per unit for all additional units per day</w:t>
            </w:r>
          </w:p>
        </w:tc>
      </w:tr>
    </w:tbl>
    <w:p>
      <w:pPr>
        <w:pStyle w:val="yHeading5"/>
      </w:pPr>
      <w:bookmarkStart w:id="51" w:name="_Toc484947043"/>
      <w:bookmarkStart w:id="52" w:name="_Toc22705367"/>
      <w:r>
        <w:t>4.</w:t>
      </w:r>
      <w:r>
        <w:tab/>
        <w:t>Non</w:t>
      </w:r>
      <w:r>
        <w:noBreakHyphen/>
        <w:t>residential tariff</w:t>
      </w:r>
      <w:bookmarkEnd w:id="51"/>
      <w:bookmarkEnd w:id="52"/>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r>
        <w:rPr>
          <w:b/>
        </w:rPr>
        <w:t>Rates for components of non</w:t>
      </w:r>
      <w:r>
        <w:rPr>
          <w:b/>
        </w:rPr>
        <w:noBreakHyphen/>
        <w:t>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926"/>
      </w:tblGrid>
      <w:tr>
        <w:tc>
          <w:tcPr>
            <w:tcW w:w="1417" w:type="dxa"/>
          </w:tcPr>
          <w:p>
            <w:pPr>
              <w:pStyle w:val="yTable"/>
              <w:keepNext/>
            </w:pPr>
            <w:r>
              <w:t>Fixed component</w:t>
            </w:r>
          </w:p>
        </w:tc>
        <w:tc>
          <w:tcPr>
            <w:tcW w:w="4926" w:type="dxa"/>
          </w:tcPr>
          <w:p>
            <w:pPr>
              <w:pStyle w:val="yTable"/>
              <w:tabs>
                <w:tab w:val="left" w:pos="459"/>
              </w:tabs>
              <w:ind w:left="494" w:hanging="494"/>
            </w:pPr>
            <w:r>
              <w:t>•</w:t>
            </w:r>
            <w:r>
              <w:tab/>
              <w:t>10.15 cents per day</w:t>
            </w:r>
          </w:p>
        </w:tc>
      </w:tr>
      <w:tr>
        <w:tc>
          <w:tcPr>
            <w:tcW w:w="1417" w:type="dxa"/>
          </w:tcPr>
          <w:p>
            <w:pPr>
              <w:pStyle w:val="yTable"/>
            </w:pPr>
            <w:r>
              <w:t>Usage component</w:t>
            </w:r>
          </w:p>
        </w:tc>
        <w:tc>
          <w:tcPr>
            <w:tcW w:w="4926" w:type="dxa"/>
          </w:tcPr>
          <w:p>
            <w:pPr>
              <w:pStyle w:val="yTable"/>
              <w:tabs>
                <w:tab w:val="left" w:pos="459"/>
              </w:tabs>
              <w:ind w:left="494" w:hanging="494"/>
            </w:pPr>
            <w:r>
              <w:t>•</w:t>
            </w:r>
            <w:r>
              <w:tab/>
              <w:t>7.40 cents per unit for the first 100 units per day</w:t>
            </w:r>
          </w:p>
          <w:p>
            <w:pPr>
              <w:pStyle w:val="yTable"/>
              <w:tabs>
                <w:tab w:val="left" w:pos="459"/>
              </w:tabs>
              <w:ind w:left="494" w:hanging="494"/>
            </w:pPr>
            <w:r>
              <w:t>•</w:t>
            </w:r>
            <w:r>
              <w:tab/>
              <w:t>6.19 cents per unit for all additional units per day</w:t>
            </w:r>
          </w:p>
        </w:tc>
      </w:tr>
    </w:tbl>
    <w:p>
      <w:pPr>
        <w:pStyle w:val="yHeading2"/>
        <w:rPr>
          <w:rStyle w:val="CharPartText"/>
        </w:rPr>
      </w:pPr>
      <w:bookmarkStart w:id="53" w:name="_Toc22705368"/>
      <w:r>
        <w:rPr>
          <w:rStyle w:val="CharPartNo"/>
        </w:rPr>
        <w:t>Part 3</w:t>
      </w:r>
      <w:r>
        <w:rPr>
          <w:rStyle w:val="CharDivNo"/>
        </w:rPr>
        <w:t xml:space="preserve"> </w:t>
      </w:r>
      <w:r>
        <w:t>—</w:t>
      </w:r>
      <w:r>
        <w:rPr>
          <w:rStyle w:val="CharDivText"/>
        </w:rPr>
        <w:t xml:space="preserve"> </w:t>
      </w:r>
      <w:r>
        <w:rPr>
          <w:rStyle w:val="CharPartText"/>
        </w:rPr>
        <w:t>Kalgoorlie</w:t>
      </w:r>
      <w:r>
        <w:rPr>
          <w:rStyle w:val="CharPartText"/>
        </w:rPr>
        <w:noBreakHyphen/>
        <w:t>Boulder area</w:t>
      </w:r>
      <w:bookmarkEnd w:id="53"/>
    </w:p>
    <w:p>
      <w:pPr>
        <w:pStyle w:val="yHeading5"/>
      </w:pPr>
      <w:bookmarkStart w:id="54" w:name="_Toc484947044"/>
      <w:bookmarkStart w:id="55" w:name="_Toc22705369"/>
      <w:r>
        <w:t>5.</w:t>
      </w:r>
      <w:r>
        <w:tab/>
        <w:t>Residential tariff</w:t>
      </w:r>
      <w:bookmarkEnd w:id="54"/>
      <w:bookmarkEnd w:id="55"/>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r>
        <w:rPr>
          <w:b/>
        </w:rPr>
        <w:t>Rates for components of 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685"/>
      </w:tblGrid>
      <w:tr>
        <w:tc>
          <w:tcPr>
            <w:tcW w:w="2268" w:type="dxa"/>
          </w:tcPr>
          <w:p>
            <w:pPr>
              <w:pStyle w:val="yTable"/>
            </w:pPr>
            <w:r>
              <w:t>Fixed component</w:t>
            </w:r>
          </w:p>
        </w:tc>
        <w:tc>
          <w:tcPr>
            <w:tcW w:w="3685" w:type="dxa"/>
          </w:tcPr>
          <w:p>
            <w:pPr>
              <w:pStyle w:val="yTable"/>
              <w:tabs>
                <w:tab w:val="left" w:pos="459"/>
              </w:tabs>
              <w:ind w:left="494" w:hanging="494"/>
            </w:pPr>
            <w:r>
              <w:t>•</w:t>
            </w:r>
            <w:r>
              <w:tab/>
              <w:t>21.74 cents per day</w:t>
            </w:r>
          </w:p>
        </w:tc>
      </w:tr>
      <w:tr>
        <w:tc>
          <w:tcPr>
            <w:tcW w:w="2268" w:type="dxa"/>
          </w:tcPr>
          <w:p>
            <w:pPr>
              <w:pStyle w:val="yTable"/>
            </w:pPr>
            <w:r>
              <w:t>Usage component</w:t>
            </w:r>
          </w:p>
        </w:tc>
        <w:tc>
          <w:tcPr>
            <w:tcW w:w="3685" w:type="dxa"/>
          </w:tcPr>
          <w:p>
            <w:pPr>
              <w:pStyle w:val="yTable"/>
              <w:tabs>
                <w:tab w:val="left" w:pos="459"/>
              </w:tabs>
              <w:ind w:left="494" w:hanging="494"/>
            </w:pPr>
            <w:r>
              <w:t>•</w:t>
            </w:r>
            <w:r>
              <w:tab/>
              <w:t>6.04 cents per unit</w:t>
            </w:r>
          </w:p>
        </w:tc>
      </w:tr>
    </w:tbl>
    <w:p>
      <w:pPr>
        <w:pStyle w:val="yHeading5"/>
      </w:pPr>
      <w:bookmarkStart w:id="56" w:name="_Toc484947045"/>
      <w:bookmarkStart w:id="57" w:name="_Toc22705370"/>
      <w:r>
        <w:t>6.</w:t>
      </w:r>
      <w:r>
        <w:tab/>
        <w:t>Non</w:t>
      </w:r>
      <w:r>
        <w:noBreakHyphen/>
        <w:t>residential tariff</w:t>
      </w:r>
      <w:bookmarkEnd w:id="56"/>
      <w:bookmarkEnd w:id="57"/>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bookmarkStart w:id="58" w:name="_Hlt476483918"/>
      <w:bookmarkEnd w:id="58"/>
      <w:r>
        <w:rPr>
          <w:b/>
        </w:rPr>
        <w:t>Rates for components of non</w:t>
      </w:r>
      <w:r>
        <w:rPr>
          <w:b/>
        </w:rPr>
        <w:noBreakHyphen/>
        <w:t>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9"/>
        <w:gridCol w:w="3189"/>
      </w:tblGrid>
      <w:tr>
        <w:tc>
          <w:tcPr>
            <w:tcW w:w="2339" w:type="dxa"/>
          </w:tcPr>
          <w:p>
            <w:pPr>
              <w:pStyle w:val="yTable"/>
            </w:pPr>
            <w:r>
              <w:t>Fixed component</w:t>
            </w:r>
          </w:p>
        </w:tc>
        <w:tc>
          <w:tcPr>
            <w:tcW w:w="3189" w:type="dxa"/>
          </w:tcPr>
          <w:p>
            <w:pPr>
              <w:pStyle w:val="yTable"/>
              <w:tabs>
                <w:tab w:val="left" w:pos="459"/>
              </w:tabs>
              <w:ind w:left="494" w:hanging="494"/>
            </w:pPr>
            <w:r>
              <w:t>•</w:t>
            </w:r>
            <w:r>
              <w:tab/>
              <w:t xml:space="preserve">21.74 cents per day </w:t>
            </w:r>
          </w:p>
        </w:tc>
      </w:tr>
      <w:tr>
        <w:tc>
          <w:tcPr>
            <w:tcW w:w="2339" w:type="dxa"/>
          </w:tcPr>
          <w:p>
            <w:pPr>
              <w:pStyle w:val="yTable"/>
            </w:pPr>
            <w:r>
              <w:t>Usage component</w:t>
            </w:r>
          </w:p>
        </w:tc>
        <w:tc>
          <w:tcPr>
            <w:tcW w:w="3189" w:type="dxa"/>
          </w:tcPr>
          <w:p>
            <w:pPr>
              <w:pStyle w:val="yTable"/>
              <w:tabs>
                <w:tab w:val="left" w:pos="459"/>
              </w:tabs>
              <w:ind w:left="494" w:hanging="494"/>
            </w:pPr>
            <w:r>
              <w:t>•</w:t>
            </w:r>
            <w:r>
              <w:tab/>
              <w:t>5.38 cents per unit</w:t>
            </w:r>
          </w:p>
        </w:tc>
      </w:tr>
    </w:tbl>
    <w:p>
      <w:pPr>
        <w:pStyle w:val="yHeading2"/>
      </w:pPr>
      <w:bookmarkStart w:id="59" w:name="_Hlt472154491"/>
      <w:bookmarkStart w:id="60" w:name="endcomma"/>
      <w:bookmarkStart w:id="61" w:name="comma"/>
      <w:bookmarkStart w:id="62" w:name="_Hlt476707899"/>
      <w:bookmarkStart w:id="63" w:name="_Hlt471891715"/>
      <w:bookmarkStart w:id="64" w:name="_Hlt472129258"/>
      <w:bookmarkStart w:id="65" w:name="_Hlt472129337"/>
      <w:bookmarkStart w:id="66" w:name="_Hlt476483916"/>
      <w:bookmarkStart w:id="67" w:name="_Hlt476572447"/>
      <w:bookmarkStart w:id="68" w:name="_Toc22705371"/>
      <w:bookmarkEnd w:id="59"/>
      <w:bookmarkEnd w:id="60"/>
      <w:bookmarkEnd w:id="61"/>
      <w:bookmarkEnd w:id="62"/>
      <w:bookmarkEnd w:id="63"/>
      <w:bookmarkEnd w:id="64"/>
      <w:bookmarkEnd w:id="65"/>
      <w:bookmarkEnd w:id="66"/>
      <w:bookmarkEnd w:id="67"/>
      <w:r>
        <w:t>Part 4</w:t>
      </w:r>
      <w:r>
        <w:rPr>
          <w:b w:val="0"/>
        </w:rPr>
        <w:t> </w:t>
      </w:r>
      <w:r>
        <w:t>—</w:t>
      </w:r>
      <w:r>
        <w:rPr>
          <w:b w:val="0"/>
        </w:rPr>
        <w:t> </w:t>
      </w:r>
      <w:r>
        <w:t>Adjustment of certain tariff caps</w:t>
      </w:r>
      <w:bookmarkEnd w:id="68"/>
    </w:p>
    <w:p>
      <w:pPr>
        <w:pStyle w:val="yHeading5"/>
      </w:pPr>
      <w:bookmarkStart w:id="69" w:name="_Toc22705372"/>
      <w:r>
        <w:t>7.</w:t>
      </w:r>
      <w:r>
        <w:tab/>
        <w:t>Meaning of “CPI number”</w:t>
      </w:r>
      <w:bookmarkEnd w:id="69"/>
    </w:p>
    <w:p>
      <w:pPr>
        <w:pStyle w:val="ySubsection"/>
      </w:pPr>
      <w:r>
        <w:tab/>
      </w:r>
      <w:r>
        <w:tab/>
        <w:t xml:space="preserve">In this Part — </w:t>
      </w:r>
    </w:p>
    <w:p>
      <w:pPr>
        <w:pStyle w:val="yDefstart"/>
      </w:pPr>
      <w:r>
        <w:rPr>
          <w:b/>
        </w:rPr>
        <w:tab/>
        <w:t>“</w:t>
      </w:r>
      <w:r>
        <w:rPr>
          <w:rStyle w:val="CharDefText"/>
        </w:rPr>
        <w:t>CPI number</w:t>
      </w:r>
      <w:r>
        <w:rPr>
          <w:b/>
        </w:rPr>
        <w:t>”</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Heading5"/>
      </w:pPr>
      <w:bookmarkStart w:id="70" w:name="_Toc22705373"/>
      <w:r>
        <w:t>8.</w:t>
      </w:r>
      <w:r>
        <w:tab/>
        <w:t>Adjustment of rates generally for 2003/04 financial year and thereafter</w:t>
      </w:r>
      <w:bookmarkEnd w:id="70"/>
    </w:p>
    <w:p>
      <w:pPr>
        <w:pStyle w:val="ySubsection"/>
      </w:pPr>
      <w:r>
        <w:tab/>
        <w:t>(1)</w:t>
      </w:r>
      <w:r>
        <w:tab/>
        <w:t xml:space="preserve">This clause applies to the calculation of the fixed component or the usage component (other than the usage component to which clause 9 applies) of a charge under this Schedule for the supply of gas in the 2003/04 financial year or a subsequent financial year (in this clause called </w:t>
      </w:r>
      <w:r>
        <w:rPr>
          <w:b/>
        </w:rPr>
        <w:t>“</w:t>
      </w:r>
      <w:r>
        <w:rPr>
          <w:rStyle w:val="CharDefText"/>
        </w:rPr>
        <w:t>the relevant year</w:t>
      </w:r>
      <w:r>
        <w:rPr>
          <w:b/>
        </w:rPr>
        <w:t>”</w:t>
      </w:r>
      <w:r>
        <w:t>).</w:t>
      </w:r>
    </w:p>
    <w:p>
      <w:pPr>
        <w:pStyle w:val="ySubsection"/>
      </w:pPr>
      <w:r>
        <w:tab/>
        <w:t>(2)</w:t>
      </w:r>
      <w:r>
        <w:tab/>
        <w:t>If the CPI number for the quarter ending on the last 31 March before the beginning of the relevant year (</w:t>
      </w:r>
      <w:r>
        <w:rPr>
          <w:b/>
        </w:rPr>
        <w:t>“</w:t>
      </w:r>
      <w:r>
        <w:rPr>
          <w:rStyle w:val="CharDefText"/>
        </w:rPr>
        <w:t>CPI</w:t>
      </w:r>
      <w:r>
        <w:rPr>
          <w:rStyle w:val="CharDefText"/>
          <w:vertAlign w:val="subscript"/>
        </w:rPr>
        <w:t>r</w:t>
      </w:r>
      <w:r>
        <w:rPr>
          <w:b/>
        </w:rPr>
        <w:t>”</w:t>
      </w:r>
      <w:r>
        <w:t>) is more than the CPI number for the quarter ending on the 31 March that was a year earlier (</w:t>
      </w:r>
      <w:r>
        <w:rPr>
          <w:b/>
        </w:rPr>
        <w:t>“</w:t>
      </w:r>
      <w:r>
        <w:rPr>
          <w:rStyle w:val="CharDefText"/>
        </w:rPr>
        <w:t>CPI</w:t>
      </w:r>
      <w:r>
        <w:rPr>
          <w:rStyle w:val="CharDefText"/>
          <w:vertAlign w:val="subscript"/>
        </w:rPr>
        <w:t>r</w:t>
      </w:r>
      <w:r>
        <w:rPr>
          <w:rStyle w:val="CharDefText"/>
          <w:vertAlign w:val="subscript"/>
        </w:rPr>
        <w:noBreakHyphen/>
        <w:t>1</w:t>
      </w:r>
      <w:r>
        <w:rPr>
          <w:b/>
        </w:rPr>
        <w:t>”</w:t>
      </w:r>
      <w:r>
        <w:t xml:space="preserve">), instead of using the number of cents per day or cents per unit shown in the relevant Table the number to be used for the relevant year is derived from the formula — </w:t>
      </w:r>
    </w:p>
    <w:p>
      <w:pPr>
        <w:pStyle w:val="Equation"/>
        <w:jc w:val="center"/>
      </w:pPr>
      <w:r>
        <w:rPr>
          <w:position w:val="-26"/>
        </w:rPr>
        <w:object w:dxaOrig="19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2.25pt" o:ole="">
            <v:imagedata r:id="rId25" o:title=""/>
          </v:shape>
          <o:OLEObject Type="Embed" ProgID="Equation.3" ShapeID="_x0000_i1025" DrawAspect="Content" ObjectID="_1644004970" r:id="rId26"/>
        </w:object>
      </w:r>
    </w:p>
    <w:p>
      <w:pPr>
        <w:pStyle w:val="ySubsection"/>
      </w:pPr>
      <w:r>
        <w:tab/>
      </w:r>
      <w:r>
        <w:tab/>
        <w:t xml:space="preserve">where — </w:t>
      </w:r>
    </w:p>
    <w:p>
      <w:pPr>
        <w:pStyle w:val="yIndenta"/>
      </w:pPr>
      <w:r>
        <w:tab/>
        <w:t>R</w:t>
      </w:r>
      <w:r>
        <w:rPr>
          <w:vertAlign w:val="subscript"/>
        </w:rPr>
        <w:t>n</w:t>
      </w:r>
      <w:r>
        <w:tab/>
        <w:t>is the number of cents per day or cents per unit for the relevant year;</w:t>
      </w:r>
    </w:p>
    <w:p>
      <w:pPr>
        <w:pStyle w:val="yIndenta"/>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Heading5"/>
      </w:pPr>
      <w:bookmarkStart w:id="71" w:name="_Toc22705374"/>
      <w:r>
        <w:t>9.</w:t>
      </w:r>
      <w:r>
        <w:tab/>
        <w:t>Special adjustment for residential tariffs in Mid West/South West Area</w:t>
      </w:r>
      <w:bookmarkEnd w:id="71"/>
    </w:p>
    <w:p>
      <w:pPr>
        <w:pStyle w:val="ySubsection"/>
      </w:pPr>
      <w:r>
        <w:tab/>
        <w:t>(1)</w:t>
      </w:r>
      <w:r>
        <w:tab/>
        <w:t>This clause applies to the calculation of the third usage component (</w:t>
      </w:r>
      <w:r>
        <w:rPr>
          <w:b/>
        </w:rPr>
        <w:t>“</w:t>
      </w:r>
      <w:r>
        <w:rPr>
          <w:rStyle w:val="CharDefText"/>
        </w:rPr>
        <w:t>the relevant component</w:t>
      </w:r>
      <w:r>
        <w:rPr>
          <w:b/>
        </w:rPr>
        <w:t>”</w:t>
      </w:r>
      <w:r>
        <w:t xml:space="preserve">) of a charge under this Schedule for the supply of gas for residential purposes in the Mid West/South West area in the 2003/04 financial year or a subsequent financial year (in this clause called </w:t>
      </w:r>
      <w:r>
        <w:rPr>
          <w:b/>
        </w:rPr>
        <w:t>“</w:t>
      </w:r>
      <w:r>
        <w:rPr>
          <w:rStyle w:val="CharDefText"/>
        </w:rPr>
        <w:t>the relevant year</w:t>
      </w:r>
      <w:r>
        <w:rPr>
          <w:b/>
        </w:rPr>
        <w:t>”</w:t>
      </w:r>
      <w:r>
        <w:t>).</w:t>
      </w:r>
    </w:p>
    <w:p>
      <w:pPr>
        <w:pStyle w:val="ySubsection"/>
      </w:pPr>
      <w:r>
        <w:tab/>
        <w:t>(2)</w:t>
      </w:r>
      <w:r>
        <w:tab/>
        <w:t>If the CPI number for the quarter ending on the last 31 March before the beginning of the relevant year (</w:t>
      </w:r>
      <w:r>
        <w:rPr>
          <w:b/>
        </w:rPr>
        <w:t>“</w:t>
      </w:r>
      <w:r>
        <w:rPr>
          <w:rStyle w:val="CharDefText"/>
        </w:rPr>
        <w:t>CPI</w:t>
      </w:r>
      <w:r>
        <w:rPr>
          <w:rStyle w:val="CharDefText"/>
          <w:vertAlign w:val="subscript"/>
        </w:rPr>
        <w:t>r</w:t>
      </w:r>
      <w:r>
        <w:rPr>
          <w:b/>
        </w:rPr>
        <w:t>”</w:t>
      </w:r>
      <w:r>
        <w:t>) is not at least 2% less than the CPI number for the quarter ending on the March that was a year earlier (</w:t>
      </w:r>
      <w:r>
        <w:rPr>
          <w:b/>
        </w:rPr>
        <w:t>“</w:t>
      </w:r>
      <w:r>
        <w:rPr>
          <w:rStyle w:val="CharDefText"/>
        </w:rPr>
        <w:t>CPI</w:t>
      </w:r>
      <w:r>
        <w:rPr>
          <w:rStyle w:val="CharDefText"/>
          <w:vertAlign w:val="subscript"/>
        </w:rPr>
        <w:t>r</w:t>
      </w:r>
      <w:r>
        <w:rPr>
          <w:rStyle w:val="CharDefText"/>
          <w:vertAlign w:val="subscript"/>
        </w:rPr>
        <w:noBreakHyphen/>
        <w:t>1</w:t>
      </w:r>
      <w:r>
        <w:rPr>
          <w:b/>
        </w:rPr>
        <w:t>”</w:t>
      </w:r>
      <w:r>
        <w:t xml:space="preserve">), instead of using the number of cents per unit shown in the relevant Table the number to be used for the relevant component for the relevant year is derived from the formula — </w:t>
      </w:r>
    </w:p>
    <w:p>
      <w:pPr>
        <w:pStyle w:val="Equation"/>
        <w:jc w:val="center"/>
      </w:pPr>
      <w:r>
        <w:rPr>
          <w:position w:val="-26"/>
        </w:rPr>
        <w:object w:dxaOrig="2500" w:dyaOrig="639">
          <v:shape id="_x0000_i1026" type="#_x0000_t75" style="width:125.25pt;height:32.25pt" o:ole="">
            <v:imagedata r:id="rId27" o:title=""/>
          </v:shape>
          <o:OLEObject Type="Embed" ProgID="Equation.3" ShapeID="_x0000_i1026" DrawAspect="Content" ObjectID="_1644004971" r:id="rId28"/>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pPr>
      <w:r>
        <w:tab/>
        <w:t>[Schedule 1 amended in Gazette 18 Oct 2002 p. 5224</w:t>
      </w:r>
      <w:r>
        <w:noBreakHyphen/>
        <w:t>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Energy Coordination (Gas Tariffs) Regulations 2000</w:t>
      </w:r>
      <w:r>
        <w:rPr>
          <w:snapToGrid w:val="0"/>
        </w:rPr>
        <w:t xml:space="preserve"> and includes the amendments referred to in the following Table.</w:t>
      </w:r>
    </w:p>
    <w:p>
      <w:pPr>
        <w:pStyle w:val="nHeading3"/>
      </w:pPr>
      <w:bookmarkStart w:id="72" w:name="_Toc22705375"/>
      <w:r>
        <w:t>Compilation table</w:t>
      </w:r>
      <w:bookmarkEnd w:id="72"/>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12" w:space="0" w:color="auto"/>
              <w:bottom w:val="single" w:sz="12" w:space="0" w:color="auto"/>
            </w:tcBorders>
          </w:tcPr>
          <w:p>
            <w:pPr>
              <w:pStyle w:val="nTable"/>
              <w:spacing w:before="60" w:after="60"/>
              <w:rPr>
                <w:b/>
              </w:rPr>
            </w:pPr>
            <w:r>
              <w:rPr>
                <w:b/>
              </w:rPr>
              <w:t>Citation</w:t>
            </w:r>
          </w:p>
        </w:tc>
        <w:tc>
          <w:tcPr>
            <w:tcW w:w="1587" w:type="dxa"/>
            <w:tcBorders>
              <w:top w:val="single" w:sz="12" w:space="0" w:color="auto"/>
              <w:bottom w:val="single" w:sz="12" w:space="0" w:color="auto"/>
            </w:tcBorders>
          </w:tcPr>
          <w:p>
            <w:pPr>
              <w:pStyle w:val="nTable"/>
              <w:spacing w:before="60" w:after="60"/>
              <w:rPr>
                <w:b/>
              </w:rPr>
            </w:pPr>
            <w:r>
              <w:rPr>
                <w:b/>
              </w:rPr>
              <w:t>Gazettal</w:t>
            </w:r>
          </w:p>
        </w:tc>
        <w:tc>
          <w:tcPr>
            <w:tcW w:w="1718" w:type="dxa"/>
            <w:tcBorders>
              <w:top w:val="single" w:sz="12" w:space="0" w:color="auto"/>
              <w:bottom w:val="single" w:sz="12" w:space="0" w:color="auto"/>
            </w:tcBorders>
          </w:tcPr>
          <w:p>
            <w:pPr>
              <w:pStyle w:val="nTable"/>
              <w:spacing w:before="60" w:after="60"/>
              <w:rPr>
                <w:b/>
              </w:rPr>
            </w:pPr>
            <w:r>
              <w:rPr>
                <w:b/>
              </w:rPr>
              <w:t>Commencement</w:t>
            </w:r>
          </w:p>
        </w:tc>
        <w:tc>
          <w:tcPr>
            <w:tcW w:w="1474" w:type="dxa"/>
            <w:tcBorders>
              <w:top w:val="single" w:sz="12" w:space="0" w:color="auto"/>
              <w:bottom w:val="single" w:sz="12" w:space="0" w:color="auto"/>
            </w:tcBorders>
          </w:tcPr>
          <w:p>
            <w:pPr>
              <w:pStyle w:val="nTable"/>
              <w:spacing w:before="60" w:after="60"/>
              <w:rPr>
                <w:b/>
              </w:rPr>
            </w:pPr>
            <w:r>
              <w:rPr>
                <w:b/>
              </w:rPr>
              <w:t>Miscellaneous</w:t>
            </w:r>
          </w:p>
        </w:tc>
      </w:tr>
      <w:tr>
        <w:tc>
          <w:tcPr>
            <w:tcW w:w="2041" w:type="dxa"/>
          </w:tcPr>
          <w:p>
            <w:pPr>
              <w:pStyle w:val="nTable"/>
            </w:pPr>
            <w:r>
              <w:rPr>
                <w:i/>
              </w:rPr>
              <w:t>Energy Coordination (Gas Tariffs) Regulations 2000</w:t>
            </w:r>
          </w:p>
        </w:tc>
        <w:tc>
          <w:tcPr>
            <w:tcW w:w="1587" w:type="dxa"/>
          </w:tcPr>
          <w:p>
            <w:pPr>
              <w:pStyle w:val="nTable"/>
            </w:pPr>
            <w:r>
              <w:t>28 Jun 2000 p. 3300</w:t>
            </w:r>
            <w:r>
              <w:noBreakHyphen/>
              <w:t>12</w:t>
            </w:r>
          </w:p>
        </w:tc>
        <w:tc>
          <w:tcPr>
            <w:tcW w:w="1718" w:type="dxa"/>
          </w:tcPr>
          <w:p>
            <w:pPr>
              <w:pStyle w:val="nTable"/>
            </w:pPr>
            <w:r>
              <w:t xml:space="preserve">2 Jul 2000 (see r. 2 and </w:t>
            </w:r>
            <w:r>
              <w:rPr>
                <w:i/>
              </w:rPr>
              <w:t>Gazette</w:t>
            </w:r>
            <w:r>
              <w:t xml:space="preserve"> 28 Jun 2000 p. 3285)</w:t>
            </w:r>
          </w:p>
        </w:tc>
        <w:tc>
          <w:tcPr>
            <w:tcW w:w="1474" w:type="dxa"/>
          </w:tcPr>
          <w:p>
            <w:pPr>
              <w:pStyle w:val="nTable"/>
              <w:rPr>
                <w:vertAlign w:val="superscript"/>
              </w:rPr>
            </w:pPr>
          </w:p>
        </w:tc>
      </w:tr>
      <w:tr>
        <w:tc>
          <w:tcPr>
            <w:tcW w:w="2041" w:type="dxa"/>
            <w:tcBorders>
              <w:bottom w:val="single" w:sz="4" w:space="0" w:color="auto"/>
            </w:tcBorders>
          </w:tcPr>
          <w:p>
            <w:pPr>
              <w:pStyle w:val="nTable"/>
              <w:rPr>
                <w:i/>
              </w:rPr>
            </w:pPr>
            <w:r>
              <w:rPr>
                <w:i/>
              </w:rPr>
              <w:t>Energy Coordination (Gas Tariffs) Amendment Regulations 2002</w:t>
            </w:r>
          </w:p>
        </w:tc>
        <w:tc>
          <w:tcPr>
            <w:tcW w:w="1587" w:type="dxa"/>
            <w:tcBorders>
              <w:bottom w:val="single" w:sz="4" w:space="0" w:color="auto"/>
            </w:tcBorders>
          </w:tcPr>
          <w:p>
            <w:pPr>
              <w:pStyle w:val="nTable"/>
            </w:pPr>
            <w:r>
              <w:t>18 Oct 2002 p. 5223</w:t>
            </w:r>
            <w:r>
              <w:noBreakHyphen/>
              <w:t>6</w:t>
            </w:r>
          </w:p>
        </w:tc>
        <w:tc>
          <w:tcPr>
            <w:tcW w:w="1718" w:type="dxa"/>
            <w:tcBorders>
              <w:bottom w:val="single" w:sz="4" w:space="0" w:color="auto"/>
            </w:tcBorders>
          </w:tcPr>
          <w:p>
            <w:pPr>
              <w:pStyle w:val="nTable"/>
            </w:pPr>
            <w:r>
              <w:t>18 Oct 2002 (see r. 2)</w:t>
            </w:r>
          </w:p>
        </w:tc>
        <w:tc>
          <w:tcPr>
            <w:tcW w:w="1474" w:type="dxa"/>
            <w:tcBorders>
              <w:bottom w:val="single" w:sz="4" w:space="0" w:color="auto"/>
            </w:tcBorders>
          </w:tcPr>
          <w:p>
            <w:pPr>
              <w:pStyle w:val="nTable"/>
              <w:rPr>
                <w:vertAlign w:val="superscript"/>
              </w:rPr>
            </w:pP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698B6653-3001-4ABE-B514-9C36C2660DC3}"/>
    <w:embedBold r:id="rId2" w:fontKey="{13396876-3E7F-4611-9903-8B8583C5B415}"/>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3" w:fontKey="{7C1CFA22-0DCF-4AA5-AA67-4580747B83A6}"/>
  </w:font>
  <w:font w:name="Cambria">
    <w:panose1 w:val="02040503050406030204"/>
    <w:charset w:val="00"/>
    <w:family w:val="roman"/>
    <w:pitch w:val="variable"/>
    <w:sig w:usb0="E00002FF" w:usb1="400004FF" w:usb2="00000000" w:usb3="00000000" w:csb0="0000019F" w:csb1="00000000"/>
    <w:embedRegular r:id="rId4" w:fontKey="{66AFE8F8-1AB8-4E76-8308-AE81CE29591E}"/>
  </w:font>
  <w:font w:name="Calibri">
    <w:panose1 w:val="020F0502020204030204"/>
    <w:charset w:val="00"/>
    <w:family w:val="swiss"/>
    <w:pitch w:val="variable"/>
    <w:sig w:usb0="E00002FF" w:usb1="4000ACFF" w:usb2="00000001" w:usb3="00000000" w:csb0="0000019F" w:csb1="00000000"/>
    <w:embedRegular r:id="rId5" w:fontKey="{E809DE75-801B-4AB0-A362-8A342DA4A1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(Gas Tariffs)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649E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D292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4060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C8E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08AB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36D3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1C30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267F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D47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69A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A5C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564874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240B9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FCF38D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B857B66"/>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30"/>
  </w:num>
  <w:num w:numId="3">
    <w:abstractNumId w:val="24"/>
  </w:num>
  <w:num w:numId="4">
    <w:abstractNumId w:val="1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TrueTypeFont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226"/>
    <w:docVar w:name="WAFER_20151207123226" w:val="RemoveTrackChanges"/>
    <w:docVar w:name="WAFER_20151207123226_GUID" w:val="768a8d08-47c7-49a9-a011-b8fad36b7b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5"/>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5"/>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2510</Words>
  <Characters>12103</Characters>
  <Application>Microsoft Office Word</Application>
  <DocSecurity>0</DocSecurity>
  <Lines>378</Lines>
  <Paragraphs>251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vector>
  </TitlesOfParts>
  <Manager/>
  <Company/>
  <LinksUpToDate>false</LinksUpToDate>
  <CharactersWithSpaces>14362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2000 - 00-a0-07</dc:title>
  <dc:subject/>
  <dc:creator/>
  <cp:keywords/>
  <dc:description/>
  <cp:lastModifiedBy>svcMRProcess</cp:lastModifiedBy>
  <cp:revision>4</cp:revision>
  <cp:lastPrinted>2000-06-29T02:42:00Z</cp:lastPrinted>
  <dcterms:created xsi:type="dcterms:W3CDTF">2020-02-23T15:16:00Z</dcterms:created>
  <dcterms:modified xsi:type="dcterms:W3CDTF">2020-02-23T15:16:00Z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20021018</vt:lpwstr>
  </property>
  <property fmtid="{D5CDD505-2E9C-101B-9397-08002B2CF9AE}" pid="4" name="DocumentType">
    <vt:lpwstr>Reg</vt:lpwstr>
  </property>
  <property fmtid="{D5CDD505-2E9C-101B-9397-08002B2CF9AE}" pid="5" name="AsAtDate">
    <vt:lpwstr>18 Oct 2002</vt:lpwstr>
  </property>
  <property fmtid="{D5CDD505-2E9C-101B-9397-08002B2CF9AE}" pid="6" name="Suffix">
    <vt:lpwstr>00-a0-07</vt:lpwstr>
  </property>
</Properties>
</file>