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_Toc139970910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_Toc139970911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_Toc139970912 \h </w:instrText>
      </w:r>
      <w:r>
        <w:fldChar w:fldCharType="separate"/>
      </w:r>
      <w:r>
        <w:t>1</w:t>
      </w:r>
      <w:r>
        <w:fldChar w:fldCharType="end"/>
      </w:r>
    </w:p>
    <w:p>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_Toc139970913 \h </w:instrText>
      </w:r>
      <w:r>
        <w:fldChar w:fldCharType="separate"/>
      </w:r>
      <w:r>
        <w:t>3</w:t>
      </w:r>
      <w:r>
        <w:fldChar w:fldCharType="end"/>
      </w:r>
    </w:p>
    <w:p>
      <w:pPr>
        <w:pStyle w:val="TOC8"/>
        <w:rPr>
          <w:sz w:val="24"/>
          <w:szCs w:val="24"/>
        </w:rPr>
      </w:pPr>
      <w:r>
        <w:rPr>
          <w:szCs w:val="24"/>
        </w:rPr>
        <w:t>5.</w:t>
      </w:r>
      <w:r>
        <w:rPr>
          <w:szCs w:val="24"/>
        </w:rPr>
        <w:tab/>
        <w:t>Prescribed clearing — section 51C</w:t>
      </w:r>
      <w:r>
        <w:tab/>
      </w:r>
      <w:r>
        <w:fldChar w:fldCharType="begin"/>
      </w:r>
      <w:r>
        <w:instrText xml:space="preserve"> PAGEREF _Toc139970914 \h </w:instrText>
      </w:r>
      <w:r>
        <w:fldChar w:fldCharType="separate"/>
      </w:r>
      <w:r>
        <w:t>4</w:t>
      </w:r>
      <w:r>
        <w:fldChar w:fldCharType="end"/>
      </w:r>
    </w:p>
    <w:p>
      <w:pPr>
        <w:pStyle w:val="TOC8"/>
        <w:rPr>
          <w:sz w:val="24"/>
          <w:szCs w:val="24"/>
        </w:rPr>
      </w:pPr>
      <w:r>
        <w:rPr>
          <w:szCs w:val="24"/>
        </w:rPr>
        <w:t>6.</w:t>
      </w:r>
      <w:r>
        <w:rPr>
          <w:szCs w:val="24"/>
        </w:rPr>
        <w:tab/>
        <w:t>Environmentally sensitive areas</w:t>
      </w:r>
      <w:r>
        <w:tab/>
      </w:r>
      <w:r>
        <w:fldChar w:fldCharType="begin"/>
      </w:r>
      <w:r>
        <w:instrText xml:space="preserve"> PAGEREF _Toc139970915 \h </w:instrText>
      </w:r>
      <w:r>
        <w:fldChar w:fldCharType="separate"/>
      </w:r>
      <w:r>
        <w:t>16</w:t>
      </w:r>
      <w:r>
        <w:fldChar w:fldCharType="end"/>
      </w:r>
    </w:p>
    <w:p>
      <w:pPr>
        <w:pStyle w:val="TOC8"/>
        <w:rPr>
          <w:sz w:val="24"/>
          <w:szCs w:val="24"/>
        </w:rPr>
      </w:pPr>
      <w:r>
        <w:rPr>
          <w:szCs w:val="24"/>
        </w:rPr>
        <w:t>7.</w:t>
      </w:r>
      <w:r>
        <w:rPr>
          <w:szCs w:val="24"/>
        </w:rPr>
        <w:tab/>
        <w:t>Fees</w:t>
      </w:r>
      <w:r>
        <w:tab/>
      </w:r>
      <w:r>
        <w:fldChar w:fldCharType="begin"/>
      </w:r>
      <w:r>
        <w:instrText xml:space="preserve"> PAGEREF _Toc139970916 \h </w:instrText>
      </w:r>
      <w:r>
        <w:fldChar w:fldCharType="separate"/>
      </w:r>
      <w:r>
        <w:t>20</w:t>
      </w:r>
      <w:r>
        <w:fldChar w:fldCharType="end"/>
      </w:r>
    </w:p>
    <w:p>
      <w:pPr>
        <w:pStyle w:val="TOC8"/>
        <w:rPr>
          <w:sz w:val="24"/>
          <w:szCs w:val="24"/>
        </w:rPr>
      </w:pPr>
      <w:r>
        <w:rPr>
          <w:szCs w:val="24"/>
        </w:rPr>
        <w:t>8.</w:t>
      </w:r>
      <w:r>
        <w:rPr>
          <w:szCs w:val="24"/>
        </w:rPr>
        <w:tab/>
        <w:t>Records to be kept by the CEO — section 51Q</w:t>
      </w:r>
      <w:r>
        <w:tab/>
      </w:r>
      <w:r>
        <w:fldChar w:fldCharType="begin"/>
      </w:r>
      <w:r>
        <w:instrText xml:space="preserve"> PAGEREF _Toc139970917 \h </w:instrText>
      </w:r>
      <w:r>
        <w:fldChar w:fldCharType="separate"/>
      </w:r>
      <w:r>
        <w:t>21</w:t>
      </w:r>
      <w:r>
        <w:fldChar w:fldCharType="end"/>
      </w:r>
    </w:p>
    <w:p>
      <w:pPr>
        <w:pStyle w:val="TOC8"/>
        <w:rPr>
          <w:sz w:val="24"/>
          <w:szCs w:val="24"/>
        </w:rPr>
      </w:pPr>
      <w:r>
        <w:rPr>
          <w:szCs w:val="24"/>
        </w:rPr>
        <w:t>9.</w:t>
      </w:r>
      <w:r>
        <w:rPr>
          <w:szCs w:val="24"/>
        </w:rPr>
        <w:tab/>
        <w:t>Expiry of certain provisions</w:t>
      </w:r>
      <w:r>
        <w:tab/>
      </w:r>
      <w:r>
        <w:fldChar w:fldCharType="begin"/>
      </w:r>
      <w:r>
        <w:instrText xml:space="preserve"> PAGEREF _Toc139970918 \h </w:instrText>
      </w:r>
      <w:r>
        <w:fldChar w:fldCharType="separate"/>
      </w:r>
      <w:r>
        <w:t>24</w:t>
      </w:r>
      <w:r>
        <w:fldChar w:fldCharType="end"/>
      </w:r>
    </w:p>
    <w:p>
      <w:pPr>
        <w:pStyle w:val="TOC2"/>
        <w:tabs>
          <w:tab w:val="right" w:leader="dot" w:pos="7086"/>
        </w:tabs>
        <w:rPr>
          <w:b w:val="0"/>
          <w:sz w:val="24"/>
          <w:szCs w:val="24"/>
        </w:rPr>
      </w:pPr>
      <w:r>
        <w:rPr>
          <w:szCs w:val="28"/>
        </w:rPr>
        <w:t>Schedule 1 — Low impact or other mineral or petroleum activities</w:t>
      </w:r>
    </w:p>
    <w:p>
      <w:pPr>
        <w:pStyle w:val="TOC8"/>
        <w:rPr>
          <w:sz w:val="24"/>
          <w:szCs w:val="24"/>
        </w:rPr>
      </w:pPr>
      <w:r>
        <w:rPr>
          <w:szCs w:val="22"/>
        </w:rPr>
        <w:t>1.</w:t>
      </w:r>
      <w:r>
        <w:rPr>
          <w:szCs w:val="22"/>
        </w:rPr>
        <w:tab/>
        <w:t>Terms used in this Schedule</w:t>
      </w:r>
      <w:r>
        <w:tab/>
      </w:r>
      <w:r>
        <w:fldChar w:fldCharType="begin"/>
      </w:r>
      <w:r>
        <w:instrText xml:space="preserve"> PAGEREF _Toc139970920 \h </w:instrText>
      </w:r>
      <w:r>
        <w:fldChar w:fldCharType="separate"/>
      </w:r>
      <w:r>
        <w:t>25</w:t>
      </w:r>
      <w:r>
        <w:fldChar w:fldCharType="end"/>
      </w:r>
    </w:p>
    <w:p>
      <w:pPr>
        <w:pStyle w:val="TOC8"/>
        <w:rPr>
          <w:sz w:val="24"/>
          <w:szCs w:val="24"/>
        </w:rPr>
      </w:pPr>
      <w:r>
        <w:rPr>
          <w:szCs w:val="22"/>
        </w:rPr>
        <w:t>2.</w:t>
      </w:r>
      <w:r>
        <w:rPr>
          <w:szCs w:val="22"/>
        </w:rPr>
        <w:tab/>
        <w:t>Low impact mineral and petroleum activities</w:t>
      </w:r>
      <w:r>
        <w:tab/>
      </w:r>
      <w:r>
        <w:fldChar w:fldCharType="begin"/>
      </w:r>
      <w:r>
        <w:instrText xml:space="preserve"> PAGEREF _Toc139970921 \h </w:instrText>
      </w:r>
      <w:r>
        <w:fldChar w:fldCharType="separate"/>
      </w:r>
      <w:r>
        <w:t>25</w:t>
      </w:r>
      <w:r>
        <w:fldChar w:fldCharType="end"/>
      </w:r>
    </w:p>
    <w:p>
      <w:pPr>
        <w:pStyle w:val="TOC8"/>
        <w:rPr>
          <w:sz w:val="24"/>
          <w:szCs w:val="24"/>
        </w:rPr>
      </w:pPr>
      <w:r>
        <w:rPr>
          <w:szCs w:val="22"/>
        </w:rPr>
        <w:t>3.</w:t>
      </w:r>
      <w:r>
        <w:rPr>
          <w:szCs w:val="22"/>
        </w:rPr>
        <w:tab/>
        <w:t>How the activity is to be carried out</w:t>
      </w:r>
      <w:r>
        <w:tab/>
      </w:r>
      <w:r>
        <w:fldChar w:fldCharType="begin"/>
      </w:r>
      <w:r>
        <w:instrText xml:space="preserve"> PAGEREF _Toc139970922 \h </w:instrText>
      </w:r>
      <w:r>
        <w:fldChar w:fldCharType="separate"/>
      </w:r>
      <w:r>
        <w:t>28</w:t>
      </w:r>
      <w:r>
        <w:fldChar w:fldCharType="end"/>
      </w:r>
    </w:p>
    <w:p>
      <w:pPr>
        <w:pStyle w:val="TOC8"/>
        <w:rPr>
          <w:sz w:val="24"/>
          <w:szCs w:val="24"/>
        </w:rPr>
      </w:pPr>
      <w:r>
        <w:rPr>
          <w:szCs w:val="22"/>
        </w:rPr>
        <w:t>4.</w:t>
      </w:r>
      <w:r>
        <w:rPr>
          <w:szCs w:val="22"/>
        </w:rPr>
        <w:tab/>
        <w:t>Non-permitted areas</w:t>
      </w:r>
      <w:r>
        <w:tab/>
      </w:r>
      <w:r>
        <w:fldChar w:fldCharType="begin"/>
      </w:r>
      <w:r>
        <w:instrText xml:space="preserve"> PAGEREF _Toc139970923 \h </w:instrText>
      </w:r>
      <w:r>
        <w:fldChar w:fldCharType="separate"/>
      </w:r>
      <w:r>
        <w:t>28</w:t>
      </w:r>
      <w:r>
        <w:fldChar w:fldCharType="end"/>
      </w:r>
    </w:p>
    <w:p>
      <w:pPr>
        <w:pStyle w:val="TOC2"/>
        <w:tabs>
          <w:tab w:val="right" w:leader="dot" w:pos="7086"/>
        </w:tabs>
        <w:rPr>
          <w:b w:val="0"/>
          <w:sz w:val="24"/>
          <w:szCs w:val="24"/>
        </w:rPr>
      </w:pPr>
      <w:r>
        <w:rPr>
          <w:szCs w:val="28"/>
        </w:rPr>
        <w:t>Schedule 2 — Clearing for maintenance in existing transport corridors</w:t>
      </w:r>
    </w:p>
    <w:p>
      <w:pPr>
        <w:pStyle w:val="TOC8"/>
        <w:rPr>
          <w:sz w:val="24"/>
          <w:szCs w:val="24"/>
        </w:rPr>
      </w:pPr>
      <w:r>
        <w:rPr>
          <w:szCs w:val="22"/>
        </w:rPr>
        <w:t>1.</w:t>
      </w:r>
      <w:r>
        <w:rPr>
          <w:szCs w:val="22"/>
        </w:rPr>
        <w:tab/>
        <w:t>Terms used in this Schedule</w:t>
      </w:r>
      <w:r>
        <w:tab/>
      </w:r>
      <w:r>
        <w:fldChar w:fldCharType="begin"/>
      </w:r>
      <w:r>
        <w:instrText xml:space="preserve"> PAGEREF _Toc139970925 \h </w:instrText>
      </w:r>
      <w:r>
        <w:fldChar w:fldCharType="separate"/>
      </w:r>
      <w:r>
        <w:t>31</w:t>
      </w:r>
      <w:r>
        <w:fldChar w:fldCharType="end"/>
      </w:r>
    </w:p>
    <w:p>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_Toc139970926 \h </w:instrText>
      </w:r>
      <w:r>
        <w:fldChar w:fldCharType="separate"/>
      </w:r>
      <w:r>
        <w:t>31</w:t>
      </w:r>
      <w:r>
        <w:fldChar w:fldCharType="end"/>
      </w:r>
    </w:p>
    <w:p>
      <w:pPr>
        <w:pStyle w:val="TOC8"/>
        <w:rPr>
          <w:sz w:val="24"/>
          <w:szCs w:val="24"/>
        </w:rPr>
      </w:pPr>
      <w:r>
        <w:rPr>
          <w:szCs w:val="22"/>
        </w:rPr>
        <w:t>3.</w:t>
      </w:r>
      <w:r>
        <w:rPr>
          <w:szCs w:val="22"/>
        </w:rPr>
        <w:tab/>
        <w:t>How the clearing is to be carried out</w:t>
      </w:r>
      <w:r>
        <w:tab/>
      </w:r>
      <w:r>
        <w:fldChar w:fldCharType="begin"/>
      </w:r>
      <w:r>
        <w:instrText xml:space="preserve"> PAGEREF _Toc139970927 \h </w:instrText>
      </w:r>
      <w:r>
        <w:fldChar w:fldCharType="separate"/>
      </w:r>
      <w:r>
        <w:t>32</w:t>
      </w:r>
      <w:r>
        <w:fldChar w:fldCharType="end"/>
      </w:r>
    </w:p>
    <w:p>
      <w:pPr>
        <w:pStyle w:val="TOC2"/>
        <w:tabs>
          <w:tab w:val="right" w:leader="dot" w:pos="7086"/>
        </w:tabs>
        <w:rPr>
          <w:b w:val="0"/>
          <w:sz w:val="24"/>
          <w:szCs w:val="24"/>
        </w:rPr>
      </w:pPr>
      <w:r>
        <w:rPr>
          <w:szCs w:val="28"/>
        </w:rPr>
        <w:lastRenderedPageBreak/>
        <w:t>Schedule 3 — Infrastructure maintenance activities</w:t>
      </w:r>
    </w:p>
    <w:p>
      <w:pPr>
        <w:pStyle w:val="TOC8"/>
        <w:rPr>
          <w:sz w:val="24"/>
          <w:szCs w:val="24"/>
        </w:rPr>
      </w:pPr>
      <w:r>
        <w:rPr>
          <w:szCs w:val="22"/>
        </w:rPr>
        <w:t>1.</w:t>
      </w:r>
      <w:r>
        <w:rPr>
          <w:szCs w:val="22"/>
        </w:rPr>
        <w:tab/>
        <w:t>Infrastructure maintenance activities</w:t>
      </w:r>
      <w:r>
        <w:tab/>
      </w:r>
      <w:r>
        <w:fldChar w:fldCharType="begin"/>
      </w:r>
      <w:r>
        <w:instrText xml:space="preserve"> PAGEREF _Toc139970929 \h </w:instrText>
      </w:r>
      <w:r>
        <w:fldChar w:fldCharType="separate"/>
      </w:r>
      <w:r>
        <w:t>34</w:t>
      </w:r>
      <w:r>
        <w:fldChar w:fldCharType="end"/>
      </w:r>
    </w:p>
    <w:p>
      <w:pPr>
        <w:pStyle w:val="TOC8"/>
        <w:rPr>
          <w:sz w:val="24"/>
          <w:szCs w:val="24"/>
        </w:rPr>
      </w:pPr>
      <w:r>
        <w:rPr>
          <w:szCs w:val="22"/>
        </w:rPr>
        <w:t>2.</w:t>
      </w:r>
      <w:r>
        <w:rPr>
          <w:szCs w:val="22"/>
        </w:rPr>
        <w:tab/>
        <w:t>How the activity is to be carried out</w:t>
      </w:r>
      <w:r>
        <w:tab/>
      </w:r>
      <w:r>
        <w:fldChar w:fldCharType="begin"/>
      </w:r>
      <w:r>
        <w:instrText xml:space="preserve"> PAGEREF _Toc139970930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_Toc139970932 \h </w:instrText>
      </w:r>
      <w:r>
        <w:fldChar w:fldCharType="separate"/>
      </w:r>
      <w:r>
        <w:t>35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76184656"/>
      <w:bookmarkStart w:id="9" w:name="_Toc123034479"/>
      <w:bookmarkStart w:id="10" w:name="_Toc139970910"/>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3997091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20" w:name="_Toc76184658"/>
      <w:bookmarkStart w:id="21" w:name="_Toc123034481"/>
      <w:bookmarkStart w:id="22" w:name="_Toc139970912"/>
      <w:r>
        <w:rPr>
          <w:rStyle w:val="CharSectno"/>
        </w:rPr>
        <w:t>3</w:t>
      </w:r>
      <w:r>
        <w:t>.</w:t>
      </w:r>
      <w:r>
        <w:tab/>
        <w:t>Terms used in these regulations</w:t>
      </w:r>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pPr>
      <w:r>
        <w:tab/>
        <w:t>(a)</w:t>
      </w:r>
      <w:r>
        <w:tab/>
        <w:t>connected to a sewerage system or septic tank; or</w:t>
      </w:r>
    </w:p>
    <w:p>
      <w:pPr>
        <w:pStyle w:val="Defpara"/>
      </w:pPr>
      <w:r>
        <w:tab/>
        <w:t>(b)</w:t>
      </w:r>
      <w:r>
        <w:tab/>
        <w:t>intended to be used as a permanent building;</w:t>
      </w:r>
    </w:p>
    <w:p>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environmentally sensitive area</w:t>
      </w:r>
      <w:r>
        <w:rPr>
          <w:b/>
        </w:rPr>
        <w:t>”</w:t>
      </w:r>
      <w:r>
        <w:t xml:space="preserve"> means an area declared in </w:t>
      </w:r>
      <w:bookmarkStart w:id="23" w:name="_Hlt56417154"/>
      <w:r>
        <w:t>regulation 6</w:t>
      </w:r>
      <w:bookmarkEnd w:id="23"/>
      <w:r>
        <w:t xml:space="preserve"> to be an environmentally sensitive area;</w:t>
      </w:r>
    </w:p>
    <w:p>
      <w:pPr>
        <w:pStyle w:val="Defstart"/>
      </w:pPr>
      <w:r>
        <w:rPr>
          <w:b/>
        </w:rPr>
        <w:tab/>
        <w:t>“</w:t>
      </w:r>
      <w:r>
        <w:rPr>
          <w:rStyle w:val="CharDefText"/>
        </w:rPr>
        <w:t>fence</w:t>
      </w:r>
      <w:r>
        <w:rPr>
          <w:b/>
        </w:rPr>
        <w:t>”</w:t>
      </w:r>
      <w:r>
        <w:t xml:space="preserve"> means a structure, that is permanently fixed to the ground, for controlling movement of persons or animals;</w:t>
      </w:r>
    </w:p>
    <w:p>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pPr>
      <w:r>
        <w:rPr>
          <w:b/>
        </w:rPr>
        <w:tab/>
        <w:t>“</w:t>
      </w:r>
      <w:r>
        <w:rPr>
          <w:rStyle w:val="CharDefText"/>
        </w:rPr>
        <w:t>limited clearing</w:t>
      </w:r>
      <w:r>
        <w:rPr>
          <w:b/>
        </w:rPr>
        <w:t>”</w:t>
      </w:r>
      <w:r>
        <w:t xml:space="preserve"> means clearing described in regulation 5(1) item 1, 5, 6, 7, 10, 12, 13 or 19;</w:t>
      </w:r>
    </w:p>
    <w:p>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Electricity Networks Corporation established by section 4(1)(b) of the </w:t>
      </w:r>
      <w:r>
        <w:rPr>
          <w:i/>
          <w:iCs/>
        </w:rPr>
        <w:t>Electricity Corporations Act 2005</w:t>
      </w:r>
      <w:r>
        <w:t>;</w:t>
      </w:r>
    </w:p>
    <w:p>
      <w:pPr>
        <w:pStyle w:val="Defpara"/>
      </w:pPr>
      <w:r>
        <w:tab/>
        <w:t>(ea)</w:t>
      </w:r>
      <w:r>
        <w:tab/>
        <w:t xml:space="preserve">the Regional Power Corporation established by section 4(1)(d) of the </w:t>
      </w:r>
      <w:r>
        <w:rPr>
          <w:i/>
          <w:iCs/>
        </w:rPr>
        <w:t>Electricity Corporations Act 2005</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Footnotesection"/>
      </w:pPr>
      <w:r>
        <w:tab/>
        <w:t>[Regulation 3 amended in Gazette 31 Mar 2006 p. 1349; 7 Jul 2006 p. 2499.]</w:t>
      </w:r>
    </w:p>
    <w:p>
      <w:pPr>
        <w:pStyle w:val="Heading5"/>
      </w:pPr>
      <w:bookmarkStart w:id="24" w:name="_Toc76184659"/>
      <w:bookmarkStart w:id="25" w:name="_Toc123034482"/>
      <w:bookmarkStart w:id="26" w:name="_Toc139970913"/>
      <w:r>
        <w:rPr>
          <w:rStyle w:val="CharSectno"/>
        </w:rPr>
        <w:t>4</w:t>
      </w:r>
      <w:r>
        <w:t>.</w:t>
      </w:r>
      <w:r>
        <w:tab/>
        <w:t>Intentionally sown, planted or propagated vegetation — section 51A</w:t>
      </w:r>
      <w:bookmarkEnd w:id="24"/>
      <w:bookmarkEnd w:id="25"/>
      <w:bookmarkEnd w:id="26"/>
    </w:p>
    <w:p>
      <w:pPr>
        <w:pStyle w:val="Subsection"/>
      </w:pPr>
      <w:r>
        <w:tab/>
        <w:t>(1)</w:t>
      </w:r>
      <w:r>
        <w:tab/>
        <w:t>The definition of “native vegetation” in section 51A of the Act includes indigenous aquatic or terrestrial vegetation that was intentionally planted if</w:t>
      </w:r>
      <w:r>
        <w:rPr>
          <w:i/>
        </w:rPr>
        <w:t xml:space="preserve"> — </w:t>
      </w:r>
    </w:p>
    <w:p>
      <w:pPr>
        <w:pStyle w:val="Indenta"/>
      </w:pPr>
      <w:r>
        <w:tab/>
        <w:t>(a)</w:t>
      </w:r>
      <w:r>
        <w:tab/>
        <w:t xml:space="preserve">the planting was funded (wholly or partly) — </w:t>
      </w:r>
    </w:p>
    <w:p>
      <w:pPr>
        <w:pStyle w:val="Indenti"/>
      </w:pPr>
      <w:r>
        <w:tab/>
        <w:t>(i)</w:t>
      </w:r>
      <w:r>
        <w:tab/>
        <w:t>by a person who was not the owner of the land; and</w:t>
      </w:r>
    </w:p>
    <w:p>
      <w:pPr>
        <w:pStyle w:val="Indenti"/>
      </w:pPr>
      <w:r>
        <w:tab/>
        <w:t>(ii)</w:t>
      </w:r>
      <w:r>
        <w:tab/>
        <w:t>for the purpose of biodiversity conservation or land conservation;</w:t>
      </w:r>
    </w:p>
    <w:p>
      <w:pPr>
        <w:pStyle w:val="Indenta"/>
      </w:pPr>
      <w:r>
        <w:tab/>
      </w:r>
      <w:r>
        <w:tab/>
        <w:t>or</w:t>
      </w:r>
    </w:p>
    <w:p>
      <w:pPr>
        <w:pStyle w:val="Indenta"/>
      </w:pPr>
      <w:r>
        <w:tab/>
        <w:t>(b)</w:t>
      </w:r>
      <w:r>
        <w:tab/>
        <w:t xml:space="preserve">one of the following is in effect in relation to the vegetation — </w:t>
      </w:r>
    </w:p>
    <w:p>
      <w:pPr>
        <w:pStyle w:val="Indenti"/>
      </w:pPr>
      <w:r>
        <w:tab/>
        <w:t>(i)</w:t>
      </w:r>
      <w:r>
        <w:tab/>
        <w:t xml:space="preserve">a conservation covenant or agreement to reserve under section 30B of the </w:t>
      </w:r>
      <w:r>
        <w:rPr>
          <w:i/>
        </w:rPr>
        <w:t>Soil and Land Conservation Act 1945</w:t>
      </w:r>
      <w:r>
        <w:t>;</w:t>
      </w:r>
    </w:p>
    <w:p>
      <w:pPr>
        <w:pStyle w:val="Indenti"/>
        <w:rPr>
          <w:i/>
        </w:rPr>
      </w:pPr>
      <w:r>
        <w:tab/>
        <w:t>(ii)</w:t>
      </w:r>
      <w:r>
        <w:tab/>
        <w:t xml:space="preserve">a covenant to conserve under section 21A of the </w:t>
      </w:r>
      <w:r>
        <w:rPr>
          <w:i/>
        </w:rPr>
        <w:t>National Trust of Australia (W.A.) Act 1964</w:t>
      </w:r>
      <w:r>
        <w:t>;</w:t>
      </w:r>
    </w:p>
    <w:p>
      <w:pPr>
        <w:pStyle w:val="Indenti"/>
      </w:pPr>
      <w:r>
        <w:tab/>
        <w:t>(iii)</w:t>
      </w:r>
      <w:r>
        <w:tab/>
        <w:t xml:space="preserve">a restrictive covenant to conserve under section 129BA of the </w:t>
      </w:r>
      <w:r>
        <w:rPr>
          <w:i/>
        </w:rPr>
        <w:t>Transfer of Land Act 1893</w:t>
      </w:r>
      <w:r>
        <w:t>;</w:t>
      </w:r>
    </w:p>
    <w:p>
      <w:pPr>
        <w:pStyle w:val="Indenti"/>
      </w:pPr>
      <w:r>
        <w:tab/>
        <w:t>(iv)</w:t>
      </w:r>
      <w:r>
        <w:tab/>
        <w:t>some other form of binding undertaking to establish and maintain, or maintain, the vegetation.</w:t>
      </w:r>
    </w:p>
    <w:p>
      <w:pPr>
        <w:pStyle w:val="Subsection"/>
      </w:pPr>
      <w:r>
        <w:tab/>
        <w:t>(2)</w:t>
      </w:r>
      <w:r>
        <w:tab/>
        <w:t xml:space="preserve">In this regulation — </w:t>
      </w:r>
    </w:p>
    <w:p>
      <w:pPr>
        <w:pStyle w:val="Defstart"/>
      </w:pPr>
      <w:r>
        <w:rPr>
          <w:b/>
        </w:rPr>
        <w:tab/>
        <w:t>“</w:t>
      </w:r>
      <w:r>
        <w:rPr>
          <w:rStyle w:val="CharDefText"/>
        </w:rPr>
        <w:t>biodiversity conservation</w:t>
      </w:r>
      <w:r>
        <w:rPr>
          <w:b/>
        </w:rPr>
        <w:t>”</w:t>
      </w:r>
      <w:r>
        <w:t xml:space="preserve"> includes conservation of species diversity, genetic diversity or ecosystem diversity;</w:t>
      </w:r>
    </w:p>
    <w:p>
      <w:pPr>
        <w:pStyle w:val="Defstart"/>
      </w:pPr>
      <w:r>
        <w:rPr>
          <w:b/>
        </w:rPr>
        <w:tab/>
        <w:t>“</w:t>
      </w:r>
      <w:r>
        <w:rPr>
          <w:rStyle w:val="CharDefText"/>
        </w:rPr>
        <w:t>land conservation</w:t>
      </w:r>
      <w:r>
        <w:rPr>
          <w:b/>
        </w:rPr>
        <w:t>”</w:t>
      </w:r>
      <w:r>
        <w:t xml:space="preserve"> includes management of salinity, erosion, soil acidity or waterlogging;</w:t>
      </w:r>
    </w:p>
    <w:p>
      <w:pPr>
        <w:pStyle w:val="Defstart"/>
      </w:pPr>
      <w:r>
        <w:rPr>
          <w:b/>
        </w:rPr>
        <w:tab/>
        <w:t>“</w:t>
      </w:r>
      <w:r>
        <w:rPr>
          <w:rStyle w:val="CharDefText"/>
        </w:rPr>
        <w:t>plant</w:t>
      </w:r>
      <w:r>
        <w:rPr>
          <w:b/>
        </w:rPr>
        <w:t>”</w:t>
      </w:r>
      <w:r>
        <w:t xml:space="preserve"> includes to sow and to propagate.</w:t>
      </w:r>
    </w:p>
    <w:p>
      <w:pPr>
        <w:pStyle w:val="Heading5"/>
      </w:pPr>
      <w:bookmarkStart w:id="27" w:name="_Toc76184660"/>
      <w:bookmarkStart w:id="28" w:name="_Toc123034483"/>
      <w:bookmarkStart w:id="29" w:name="_Toc139970914"/>
      <w:r>
        <w:rPr>
          <w:rStyle w:val="CharSectno"/>
        </w:rPr>
        <w:t>5</w:t>
      </w:r>
      <w:r>
        <w:t>.</w:t>
      </w:r>
      <w:r>
        <w:tab/>
        <w:t>Prescribed clearing — section 51C</w:t>
      </w:r>
      <w:bookmarkEnd w:id="27"/>
      <w:bookmarkEnd w:id="28"/>
      <w:bookmarkEnd w:id="29"/>
    </w:p>
    <w:p>
      <w:pPr>
        <w:pStyle w:val="Subsection"/>
      </w:pPr>
      <w:r>
        <w:tab/>
        <w:t>(1)</w:t>
      </w:r>
      <w:r>
        <w:tab/>
        <w:t xml:space="preserve">Clearing is of a kind prescribed for the purposes of section 51C(c) if — </w:t>
      </w:r>
    </w:p>
    <w:p>
      <w:pPr>
        <w:pStyle w:val="Indenta"/>
      </w:pPr>
      <w:r>
        <w:tab/>
        <w:t>(a)</w:t>
      </w:r>
      <w:r>
        <w:tab/>
        <w:t>it is described in an item in the Table to this subregulation;</w:t>
      </w:r>
    </w:p>
    <w:p>
      <w:pPr>
        <w:pStyle w:val="Indenta"/>
      </w:pPr>
      <w:r>
        <w:tab/>
        <w:t>(b)</w:t>
      </w:r>
      <w:r>
        <w:tab/>
        <w:t>it is by, or with the prior authority of, a person listed in the item in which the clearing is described; and</w:t>
      </w:r>
    </w:p>
    <w:p>
      <w:pPr>
        <w:pStyle w:val="Indenta"/>
      </w:pPr>
      <w:r>
        <w:tab/>
        <w:t>(c)</w:t>
      </w:r>
      <w:r>
        <w:tab/>
        <w:t>it is done in such a way as to limit damage to neighbouring native vegetation.</w:t>
      </w:r>
    </w:p>
    <w:p>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cantSplit/>
          <w:tblHeader/>
        </w:trPr>
        <w:tc>
          <w:tcPr>
            <w:tcW w:w="709" w:type="dxa"/>
            <w:tcBorders>
              <w:top w:val="single" w:sz="4" w:space="0" w:color="auto"/>
              <w:bottom w:val="single" w:sz="4" w:space="0" w:color="auto"/>
            </w:tcBorders>
          </w:tcPr>
          <w:p>
            <w:pPr>
              <w:pStyle w:val="Table"/>
              <w:keepNext/>
              <w:jc w:val="center"/>
              <w:rPr>
                <w:b/>
              </w:rPr>
            </w:pPr>
            <w:r>
              <w:rPr>
                <w:b/>
              </w:rPr>
              <w:t>Item</w:t>
            </w:r>
          </w:p>
        </w:tc>
        <w:tc>
          <w:tcPr>
            <w:tcW w:w="3827" w:type="dxa"/>
            <w:tcBorders>
              <w:top w:val="single" w:sz="4" w:space="0" w:color="auto"/>
              <w:bottom w:val="single" w:sz="4" w:space="0" w:color="auto"/>
            </w:tcBorders>
          </w:tcPr>
          <w:p>
            <w:pPr>
              <w:pStyle w:val="Table"/>
              <w:jc w:val="center"/>
              <w:rPr>
                <w:b/>
              </w:rPr>
            </w:pPr>
            <w:r>
              <w:rPr>
                <w:b/>
              </w:rPr>
              <w:t>Description of clearing</w:t>
            </w:r>
          </w:p>
        </w:tc>
        <w:tc>
          <w:tcPr>
            <w:tcW w:w="2268" w:type="dxa"/>
            <w:tcBorders>
              <w:top w:val="single" w:sz="4" w:space="0" w:color="auto"/>
              <w:bottom w:val="single" w:sz="4" w:space="0" w:color="auto"/>
            </w:tcBorders>
          </w:tcPr>
          <w:p>
            <w:pPr>
              <w:pStyle w:val="Table"/>
              <w:jc w:val="center"/>
              <w:rPr>
                <w:b/>
              </w:rPr>
            </w:pPr>
            <w:r>
              <w:rPr>
                <w:b/>
              </w:rPr>
              <w:t>Person</w:t>
            </w:r>
          </w:p>
        </w:tc>
      </w:tr>
      <w:tr>
        <w:trPr>
          <w:cantSplit/>
        </w:trPr>
        <w:tc>
          <w:tcPr>
            <w:tcW w:w="709" w:type="dxa"/>
            <w:tcBorders>
              <w:top w:val="single" w:sz="4" w:space="0" w:color="auto"/>
            </w:tcBorders>
          </w:tcPr>
          <w:p>
            <w:pPr>
              <w:pStyle w:val="Table"/>
              <w:keepNext/>
            </w:pPr>
            <w:r>
              <w:t>1</w:t>
            </w:r>
          </w:p>
        </w:tc>
        <w:tc>
          <w:tcPr>
            <w:tcW w:w="3827" w:type="dxa"/>
            <w:tcBorders>
              <w:top w:val="single" w:sz="4" w:space="0" w:color="auto"/>
            </w:tcBorders>
          </w:tcPr>
          <w:p>
            <w:pPr>
              <w:pStyle w:val="Table"/>
              <w:rPr>
                <w:b/>
              </w:rPr>
            </w:pPr>
            <w:r>
              <w:rPr>
                <w:b/>
              </w:rPr>
              <w:t>Clearing to construct a building</w:t>
            </w:r>
          </w:p>
        </w:tc>
        <w:tc>
          <w:tcPr>
            <w:tcW w:w="2268" w:type="dxa"/>
            <w:tcBorders>
              <w:top w:val="single"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ind w:left="459" w:hanging="459"/>
            </w:pPr>
            <w:r>
              <w:t>(a)</w:t>
            </w:r>
            <w:r>
              <w:tab/>
              <w:t>the clearing is to the extent necessary; and</w:t>
            </w:r>
          </w:p>
          <w:p>
            <w:pPr>
              <w:pStyle w:val="Table"/>
              <w:tabs>
                <w:tab w:val="left" w:pos="459"/>
              </w:tabs>
              <w:ind w:left="459" w:hanging="459"/>
            </w:pPr>
            <w:r>
              <w:t>(b)</w:t>
            </w:r>
            <w:r>
              <w:tab/>
              <w:t>the vegetation is not riparian vegetation.</w:t>
            </w:r>
          </w:p>
        </w:tc>
        <w:tc>
          <w:tcPr>
            <w:tcW w:w="2268" w:type="dxa"/>
            <w:tcBorders>
              <w:bottom w:val="dotted" w:sz="4" w:space="0" w:color="auto"/>
            </w:tcBorders>
          </w:tcPr>
          <w:p>
            <w:pPr>
              <w:pStyle w:val="Table"/>
            </w:pPr>
            <w:r>
              <w:t>The owner of the property on which the clearing is to take place.</w:t>
            </w:r>
          </w:p>
        </w:tc>
      </w:tr>
      <w:tr>
        <w:trPr>
          <w:cantSplit/>
        </w:trPr>
        <w:tc>
          <w:tcPr>
            <w:tcW w:w="709" w:type="dxa"/>
            <w:tcBorders>
              <w:top w:val="dotted" w:sz="4" w:space="0" w:color="auto"/>
            </w:tcBorders>
          </w:tcPr>
          <w:p>
            <w:pPr>
              <w:pStyle w:val="Table"/>
              <w:keepNext/>
            </w:pPr>
            <w:r>
              <w:t>2</w:t>
            </w:r>
          </w:p>
        </w:tc>
        <w:tc>
          <w:tcPr>
            <w:tcW w:w="3827" w:type="dxa"/>
            <w:tcBorders>
              <w:top w:val="dotted" w:sz="4" w:space="0" w:color="auto"/>
            </w:tcBorders>
          </w:tcPr>
          <w:p>
            <w:pPr>
              <w:pStyle w:val="Table"/>
              <w:rPr>
                <w:b/>
              </w:rPr>
            </w:pPr>
            <w:r>
              <w:rPr>
                <w:b/>
              </w:rPr>
              <w:t>Clearing resulting from accidents or to reduce danger</w:t>
            </w:r>
          </w:p>
        </w:tc>
        <w:tc>
          <w:tcPr>
            <w:tcW w:w="2268" w:type="dxa"/>
            <w:tcBorders>
              <w:top w:val="dotted" w:sz="4" w:space="0" w:color="auto"/>
            </w:tcBorders>
          </w:tcPr>
          <w:p>
            <w:pPr>
              <w:pStyle w:val="Table"/>
            </w:pP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pPr>
            <w:r>
              <w:t xml:space="preserve">Clearing — </w:t>
            </w:r>
          </w:p>
          <w:p>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pPr>
              <w:pStyle w:val="Table"/>
            </w:pPr>
          </w:p>
          <w:p>
            <w:pPr>
              <w:pStyle w:val="Table"/>
            </w:pPr>
            <w:r>
              <w:t>The owner of the land on which the clearing is to take place.</w:t>
            </w: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pPr>
            <w:r>
              <w:t>A person responsible for the safety or welfare of the persons who are likely to be in danger or for the portion of the environment.</w:t>
            </w:r>
          </w:p>
        </w:tc>
      </w:tr>
      <w:tr>
        <w:trPr>
          <w:cantSplit/>
        </w:trPr>
        <w:tc>
          <w:tcPr>
            <w:tcW w:w="709" w:type="dxa"/>
            <w:tcBorders>
              <w:top w:val="dotted" w:sz="4" w:space="0" w:color="auto"/>
            </w:tcBorders>
          </w:tcPr>
          <w:p>
            <w:pPr>
              <w:pStyle w:val="Table"/>
              <w:keepNext/>
            </w:pPr>
            <w:r>
              <w:t>3</w:t>
            </w:r>
          </w:p>
        </w:tc>
        <w:tc>
          <w:tcPr>
            <w:tcW w:w="3827" w:type="dxa"/>
            <w:tcBorders>
              <w:top w:val="dotted" w:sz="4" w:space="0" w:color="auto"/>
            </w:tcBorders>
          </w:tcPr>
          <w:p>
            <w:pPr>
              <w:pStyle w:val="Table"/>
              <w:keepNext/>
              <w:rPr>
                <w:b/>
              </w:rPr>
            </w:pPr>
            <w:r>
              <w:rPr>
                <w:b/>
              </w:rPr>
              <w:t>Clearing for fire hazard reduction</w:t>
            </w:r>
          </w:p>
        </w:tc>
        <w:tc>
          <w:tcPr>
            <w:tcW w:w="2268" w:type="dxa"/>
            <w:tcBorders>
              <w:top w:val="dotted" w:sz="4" w:space="0" w:color="auto"/>
            </w:tcBorders>
          </w:tcPr>
          <w:p>
            <w:pPr>
              <w:pStyle w:val="Table"/>
              <w:keepNext/>
            </w:pPr>
          </w:p>
        </w:tc>
      </w:tr>
      <w:tr>
        <w:trPr>
          <w:cantSplit/>
          <w:trHeight w:val="1605"/>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fire hazard reduction burning if the clearing is — </w:t>
            </w:r>
          </w:p>
          <w:p>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pPr>
              <w:pStyle w:val="Table"/>
            </w:pPr>
            <w:r>
              <w:t>The owner of the land on which the clearing is to take place.</w:t>
            </w:r>
          </w:p>
        </w:tc>
      </w:tr>
      <w:tr>
        <w:trPr>
          <w:cantSplit/>
          <w:trHeight w:val="1041"/>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done before the earlier of —</w:t>
            </w:r>
          </w:p>
          <w:p>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4</w:t>
            </w:r>
          </w:p>
        </w:tc>
        <w:tc>
          <w:tcPr>
            <w:tcW w:w="3827" w:type="dxa"/>
            <w:tcBorders>
              <w:top w:val="dotted" w:sz="4" w:space="0" w:color="auto"/>
            </w:tcBorders>
          </w:tcPr>
          <w:p>
            <w:pPr>
              <w:pStyle w:val="Table"/>
              <w:rPr>
                <w:b/>
              </w:rPr>
            </w:pPr>
            <w:r>
              <w:rPr>
                <w:b/>
              </w:rPr>
              <w:t>Clearing in accordance with a code of practice</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in accordance with a code of practice issued by the CEO under section 122A of the Act.</w:t>
            </w:r>
          </w:p>
        </w:tc>
        <w:tc>
          <w:tcPr>
            <w:tcW w:w="2268" w:type="dxa"/>
            <w:tcBorders>
              <w:bottom w:val="dotted" w:sz="4" w:space="0" w:color="auto"/>
            </w:tcBorders>
          </w:tcPr>
          <w:p>
            <w:pPr>
              <w:pStyle w:val="Table"/>
              <w:rPr>
                <w:i/>
              </w:rPr>
            </w:pPr>
            <w:r>
              <w:t>A person to whom the code applies.</w:t>
            </w:r>
          </w:p>
        </w:tc>
      </w:tr>
      <w:tr>
        <w:trPr>
          <w:cantSplit/>
        </w:trPr>
        <w:tc>
          <w:tcPr>
            <w:tcW w:w="709" w:type="dxa"/>
            <w:tcBorders>
              <w:top w:val="dotted" w:sz="4" w:space="0" w:color="auto"/>
            </w:tcBorders>
          </w:tcPr>
          <w:p>
            <w:pPr>
              <w:pStyle w:val="Table"/>
              <w:keepNext/>
            </w:pPr>
            <w:r>
              <w:t>5</w:t>
            </w:r>
          </w:p>
        </w:tc>
        <w:tc>
          <w:tcPr>
            <w:tcW w:w="3827" w:type="dxa"/>
            <w:tcBorders>
              <w:top w:val="dotted" w:sz="4" w:space="0" w:color="auto"/>
            </w:tcBorders>
          </w:tcPr>
          <w:p>
            <w:pPr>
              <w:pStyle w:val="Table"/>
              <w:rPr>
                <w:b/>
              </w:rPr>
            </w:pPr>
            <w:r>
              <w:rPr>
                <w:b/>
              </w:rPr>
              <w:t>Clearing for firewood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6</w:t>
            </w:r>
          </w:p>
        </w:tc>
        <w:tc>
          <w:tcPr>
            <w:tcW w:w="3827" w:type="dxa"/>
            <w:tcBorders>
              <w:top w:val="dotted" w:sz="4" w:space="0" w:color="auto"/>
            </w:tcBorders>
          </w:tcPr>
          <w:p>
            <w:pPr>
              <w:pStyle w:val="Table"/>
              <w:rPr>
                <w:b/>
              </w:rPr>
            </w:pPr>
            <w:r>
              <w:rPr>
                <w:b/>
              </w:rPr>
              <w:t>Clearing to provide fencing and farm materials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7</w:t>
            </w:r>
          </w:p>
        </w:tc>
        <w:tc>
          <w:tcPr>
            <w:tcW w:w="3827" w:type="dxa"/>
            <w:tcBorders>
              <w:top w:val="dotted" w:sz="4" w:space="0" w:color="auto"/>
            </w:tcBorders>
          </w:tcPr>
          <w:p>
            <w:pPr>
              <w:pStyle w:val="Table"/>
              <w:rPr>
                <w:b/>
              </w:rPr>
            </w:pPr>
            <w:r>
              <w:rPr>
                <w:b/>
              </w:rPr>
              <w:t>Clearing for woodwork</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pPr>
            <w:r>
              <w:t>The owner or occupier.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8</w:t>
            </w:r>
          </w:p>
        </w:tc>
        <w:tc>
          <w:tcPr>
            <w:tcW w:w="3827" w:type="dxa"/>
            <w:tcBorders>
              <w:top w:val="dotted" w:sz="4" w:space="0" w:color="auto"/>
            </w:tcBorders>
          </w:tcPr>
          <w:p>
            <w:pPr>
              <w:pStyle w:val="Table"/>
              <w:rPr>
                <w:b/>
              </w:rPr>
            </w:pPr>
            <w:r>
              <w:rPr>
                <w:b/>
              </w:rPr>
              <w:t>Clearing for cultural purposes of Aboriginal persons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pPr>
            <w:r>
              <w:t>The Aboriginal person.</w:t>
            </w:r>
          </w:p>
        </w:tc>
      </w:tr>
      <w:tr>
        <w:trPr>
          <w:cantSplit/>
        </w:trPr>
        <w:tc>
          <w:tcPr>
            <w:tcW w:w="709" w:type="dxa"/>
            <w:tcBorders>
              <w:top w:val="dotted" w:sz="4" w:space="0" w:color="auto"/>
            </w:tcBorders>
          </w:tcPr>
          <w:p>
            <w:pPr>
              <w:pStyle w:val="yTable"/>
              <w:keepNext/>
            </w:pPr>
            <w:r>
              <w:t>9</w:t>
            </w:r>
          </w:p>
        </w:tc>
        <w:tc>
          <w:tcPr>
            <w:tcW w:w="3827" w:type="dxa"/>
            <w:tcBorders>
              <w:top w:val="dotted" w:sz="4" w:space="0" w:color="auto"/>
            </w:tcBorders>
          </w:tcPr>
          <w:p>
            <w:pPr>
              <w:pStyle w:val="yTable"/>
              <w:rPr>
                <w:b/>
              </w:rPr>
            </w:pPr>
            <w:r>
              <w:rPr>
                <w:b/>
              </w:rPr>
              <w:t>Clearing by licensed surveyors</w:t>
            </w:r>
          </w:p>
        </w:tc>
        <w:tc>
          <w:tcPr>
            <w:tcW w:w="2268" w:type="dxa"/>
            <w:tcBorders>
              <w:top w:val="dotted" w:sz="4" w:space="0" w:color="auto"/>
            </w:tcBorders>
          </w:tcPr>
          <w:p>
            <w:pPr>
              <w:pStyle w:val="yTable"/>
            </w:pPr>
          </w:p>
        </w:tc>
      </w:tr>
      <w:tr>
        <w:trPr>
          <w:cantSplit/>
        </w:trPr>
        <w:tc>
          <w:tcPr>
            <w:tcW w:w="709" w:type="dxa"/>
          </w:tcPr>
          <w:p>
            <w:pPr>
              <w:pStyle w:val="Table"/>
            </w:pPr>
          </w:p>
        </w:tc>
        <w:tc>
          <w:tcPr>
            <w:tcW w:w="3827" w:type="dxa"/>
          </w:tcPr>
          <w:p>
            <w:pPr>
              <w:pStyle w:val="Table"/>
            </w:pPr>
            <w:r>
              <w:t xml:space="preserve">Clearing by — </w:t>
            </w:r>
          </w:p>
          <w:p>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pPr>
            <w:r>
              <w:t>The authorised land officer or licensed surveyor.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yTable"/>
              <w:keepNext/>
            </w:pPr>
            <w:r>
              <w:t>10</w:t>
            </w:r>
          </w:p>
        </w:tc>
        <w:tc>
          <w:tcPr>
            <w:tcW w:w="3827" w:type="dxa"/>
            <w:tcBorders>
              <w:top w:val="dotted" w:sz="4" w:space="0" w:color="auto"/>
            </w:tcBorders>
          </w:tcPr>
          <w:p>
            <w:pPr>
              <w:pStyle w:val="yTable"/>
              <w:rPr>
                <w:b/>
              </w:rPr>
            </w:pPr>
            <w:r>
              <w:rPr>
                <w:b/>
              </w:rPr>
              <w:t>Clearing along a fence line – alienated land</w:t>
            </w:r>
          </w:p>
        </w:tc>
        <w:tc>
          <w:tcPr>
            <w:tcW w:w="2268" w:type="dxa"/>
            <w:tcBorders>
              <w:top w:val="dotted" w:sz="4" w:space="0" w:color="auto"/>
            </w:tcBorders>
          </w:tcPr>
          <w:p>
            <w:pPr>
              <w:pStyle w:val="yTable"/>
            </w:pPr>
          </w:p>
        </w:tc>
      </w:tr>
      <w:tr>
        <w:trPr>
          <w:cantSplit/>
          <w:trHeight w:val="856"/>
        </w:trPr>
        <w:tc>
          <w:tcPr>
            <w:tcW w:w="709" w:type="dxa"/>
            <w:tcBorders>
              <w:bottom w:val="dotted" w:sz="4" w:space="0" w:color="auto"/>
            </w:tcBorders>
          </w:tcPr>
          <w:p>
            <w:pPr>
              <w:pStyle w:val="yTable"/>
            </w:pPr>
          </w:p>
        </w:tc>
        <w:tc>
          <w:tcPr>
            <w:tcW w:w="3827" w:type="dxa"/>
            <w:tcBorders>
              <w:bottom w:val="dotted" w:sz="4" w:space="0" w:color="auto"/>
            </w:tcBorders>
          </w:tcPr>
          <w:p>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pPr>
            <w:r>
              <w:t>The owner of the property on which the clearing is to take place.</w:t>
            </w:r>
          </w:p>
        </w:tc>
      </w:tr>
      <w:tr>
        <w:trPr>
          <w:cantSplit/>
        </w:trPr>
        <w:tc>
          <w:tcPr>
            <w:tcW w:w="709" w:type="dxa"/>
            <w:tcBorders>
              <w:top w:val="dotted" w:sz="4" w:space="0" w:color="auto"/>
            </w:tcBorders>
          </w:tcPr>
          <w:p>
            <w:pPr>
              <w:pStyle w:val="yTable"/>
            </w:pPr>
            <w:r>
              <w:t>11</w:t>
            </w:r>
          </w:p>
        </w:tc>
        <w:tc>
          <w:tcPr>
            <w:tcW w:w="3827" w:type="dxa"/>
            <w:tcBorders>
              <w:top w:val="dotted" w:sz="4" w:space="0" w:color="auto"/>
            </w:tcBorders>
          </w:tcPr>
          <w:p>
            <w:pPr>
              <w:pStyle w:val="Table"/>
              <w:tabs>
                <w:tab w:val="left" w:pos="459"/>
              </w:tabs>
            </w:pPr>
            <w:r>
              <w:rPr>
                <w:b/>
                <w:bCs/>
              </w:rPr>
              <w:t>Clearing along a fence line — Crown land</w:t>
            </w:r>
          </w:p>
        </w:tc>
        <w:tc>
          <w:tcPr>
            <w:tcW w:w="2268" w:type="dxa"/>
            <w:tcBorders>
              <w:top w:val="dotted" w:sz="4" w:space="0" w:color="auto"/>
            </w:tcBorders>
          </w:tcPr>
          <w:p>
            <w:pPr>
              <w:pStyle w:val="yTable"/>
            </w:pPr>
          </w:p>
        </w:tc>
      </w:tr>
      <w:tr>
        <w:trPr>
          <w:cantSplit/>
          <w:trHeight w:val="853"/>
        </w:trPr>
        <w:tc>
          <w:tcPr>
            <w:tcW w:w="709" w:type="dxa"/>
          </w:tcPr>
          <w:p>
            <w:pPr>
              <w:pStyle w:val="yTable"/>
            </w:pPr>
          </w:p>
        </w:tc>
        <w:tc>
          <w:tcPr>
            <w:tcW w:w="3827" w:type="dxa"/>
          </w:tcPr>
          <w:p>
            <w:pPr>
              <w:pStyle w:val="Table"/>
              <w:tabs>
                <w:tab w:val="left" w:pos="0"/>
              </w:tabs>
            </w:pPr>
            <w:r>
              <w:t xml:space="preserve">Clearing of Crown land along a fence line to provide access to construct or maintain a fence — </w:t>
            </w:r>
          </w:p>
          <w:p>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pPr>
              <w:pStyle w:val="yTable"/>
            </w:pPr>
            <w:r>
              <w:t>The owner of the land on which the clearing is to take place.</w:t>
            </w:r>
          </w:p>
        </w:tc>
      </w:tr>
      <w:tr>
        <w:trPr>
          <w:cantSplit/>
          <w:trHeight w:val="853"/>
        </w:trPr>
        <w:tc>
          <w:tcPr>
            <w:tcW w:w="709" w:type="dxa"/>
          </w:tcPr>
          <w:p>
            <w:pPr>
              <w:pStyle w:val="yTable"/>
            </w:pPr>
          </w:p>
        </w:tc>
        <w:tc>
          <w:tcPr>
            <w:tcW w:w="3827" w:type="dxa"/>
          </w:tcPr>
          <w:p>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pPr>
              <w:pStyle w:val="yTable"/>
            </w:pPr>
          </w:p>
        </w:tc>
      </w:tr>
      <w:tr>
        <w:trPr>
          <w:cantSplit/>
        </w:trPr>
        <w:tc>
          <w:tcPr>
            <w:tcW w:w="709" w:type="dxa"/>
            <w:tcBorders>
              <w:top w:val="dotted" w:sz="4" w:space="0" w:color="auto"/>
            </w:tcBorders>
          </w:tcPr>
          <w:p>
            <w:pPr>
              <w:pStyle w:val="Table"/>
              <w:keepNext/>
            </w:pPr>
            <w:r>
              <w:t>12</w:t>
            </w:r>
          </w:p>
        </w:tc>
        <w:tc>
          <w:tcPr>
            <w:tcW w:w="3827" w:type="dxa"/>
            <w:tcBorders>
              <w:top w:val="dotted" w:sz="4" w:space="0" w:color="auto"/>
            </w:tcBorders>
          </w:tcPr>
          <w:p>
            <w:pPr>
              <w:pStyle w:val="Table"/>
              <w:rPr>
                <w:b/>
              </w:rPr>
            </w:pPr>
            <w:r>
              <w:rPr>
                <w:b/>
              </w:rPr>
              <w:t>Clearing for vehicular tracks</w:t>
            </w:r>
          </w:p>
        </w:tc>
        <w:tc>
          <w:tcPr>
            <w:tcW w:w="2268" w:type="dxa"/>
            <w:tcBorders>
              <w:top w:val="dotted" w:sz="4" w:space="0" w:color="auto"/>
            </w:tcBorders>
          </w:tcPr>
          <w:p>
            <w:pPr>
              <w:pStyle w:val="Table"/>
            </w:pPr>
          </w:p>
        </w:tc>
      </w:tr>
      <w:tr>
        <w:trPr>
          <w:cantSplit/>
          <w:trHeight w:val="736"/>
        </w:trPr>
        <w:tc>
          <w:tcPr>
            <w:tcW w:w="709" w:type="dxa"/>
          </w:tcPr>
          <w:p>
            <w:pPr>
              <w:pStyle w:val="Table"/>
            </w:pPr>
          </w:p>
        </w:tc>
        <w:tc>
          <w:tcPr>
            <w:tcW w:w="3827" w:type="dxa"/>
          </w:tcPr>
          <w:p>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the vegetation is not in a road reserve;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13</w:t>
            </w:r>
          </w:p>
        </w:tc>
        <w:tc>
          <w:tcPr>
            <w:tcW w:w="3827" w:type="dxa"/>
            <w:tcBorders>
              <w:top w:val="dotted" w:sz="4" w:space="0" w:color="auto"/>
            </w:tcBorders>
          </w:tcPr>
          <w:p>
            <w:pPr>
              <w:pStyle w:val="Table"/>
              <w:rPr>
                <w:b/>
              </w:rPr>
            </w:pPr>
            <w:r>
              <w:rPr>
                <w:b/>
              </w:rPr>
              <w:t>Clearing for walking tracks</w:t>
            </w:r>
          </w:p>
        </w:tc>
        <w:tc>
          <w:tcPr>
            <w:tcW w:w="2268" w:type="dxa"/>
            <w:tcBorders>
              <w:top w:val="dotted" w:sz="4" w:space="0" w:color="auto"/>
            </w:tcBorders>
          </w:tcPr>
          <w:p>
            <w:pPr>
              <w:pStyle w:val="Table"/>
            </w:pPr>
          </w:p>
        </w:tc>
      </w:tr>
      <w:tr>
        <w:trPr>
          <w:cantSplit/>
          <w:trHeight w:val="1103"/>
        </w:trPr>
        <w:tc>
          <w:tcPr>
            <w:tcW w:w="709" w:type="dxa"/>
          </w:tcPr>
          <w:p>
            <w:pPr>
              <w:pStyle w:val="Table"/>
            </w:pPr>
          </w:p>
        </w:tc>
        <w:tc>
          <w:tcPr>
            <w:tcW w:w="3827" w:type="dxa"/>
          </w:tcPr>
          <w:p>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 and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 track is used by pedestrians or there is a reasonable expectation that it will be used by pedestrians.</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14</w:t>
            </w:r>
          </w:p>
        </w:tc>
        <w:tc>
          <w:tcPr>
            <w:tcW w:w="3827" w:type="dxa"/>
            <w:tcBorders>
              <w:top w:val="dotted" w:sz="4" w:space="0" w:color="auto"/>
            </w:tcBorders>
          </w:tcPr>
          <w:p>
            <w:pPr>
              <w:pStyle w:val="Table"/>
              <w:rPr>
                <w:b/>
              </w:rPr>
            </w:pPr>
            <w:r>
              <w:rPr>
                <w:b/>
              </w:rPr>
              <w:t>Clearing to maintain existing cleared areas for pasture, cultivation or forestry</w:t>
            </w:r>
          </w:p>
        </w:tc>
        <w:tc>
          <w:tcPr>
            <w:tcW w:w="2268" w:type="dxa"/>
            <w:tcBorders>
              <w:top w:val="dotted" w:sz="4" w:space="0" w:color="auto"/>
            </w:tcBorders>
          </w:tcPr>
          <w:p>
            <w:pPr>
              <w:pStyle w:val="Table"/>
            </w:pPr>
          </w:p>
        </w:tc>
      </w:tr>
      <w:tr>
        <w:trPr>
          <w:cantSplit/>
          <w:trHeight w:val="757"/>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if — </w:t>
            </w:r>
          </w:p>
        </w:tc>
        <w:tc>
          <w:tcPr>
            <w:tcW w:w="2268" w:type="dxa"/>
          </w:tcPr>
          <w:p>
            <w:pPr>
              <w:pStyle w:val="Table"/>
            </w:pPr>
            <w:r>
              <w:t xml:space="preserve">The owner or occupier of the land on which the clearing is to take </w:t>
            </w:r>
          </w:p>
        </w:tc>
      </w:tr>
      <w:tr>
        <w:trPr>
          <w:cantSplit/>
          <w:trHeight w:val="902"/>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pPr>
              <w:pStyle w:val="Table"/>
              <w:spacing w:before="0"/>
            </w:pPr>
            <w:r>
              <w:t>place.</w:t>
            </w:r>
          </w:p>
        </w:tc>
      </w:tr>
      <w:tr>
        <w:trPr>
          <w:cantSplit/>
          <w:trHeight w:val="902"/>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pPr>
            <w:r>
              <w:t>15</w:t>
            </w:r>
          </w:p>
        </w:tc>
        <w:tc>
          <w:tcPr>
            <w:tcW w:w="3827" w:type="dxa"/>
            <w:tcBorders>
              <w:top w:val="dotted" w:sz="4" w:space="0" w:color="auto"/>
            </w:tcBorders>
          </w:tcPr>
          <w:p>
            <w:pPr>
              <w:pStyle w:val="Table"/>
            </w:pPr>
            <w:r>
              <w:rPr>
                <w:b/>
              </w:rPr>
              <w:t>Clearing to maintain existing cleared areas around infrastructure etc.</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for one of the following purposes — </w:t>
            </w:r>
          </w:p>
          <w:p>
            <w:pPr>
              <w:pStyle w:val="Table"/>
              <w:tabs>
                <w:tab w:val="left" w:pos="459"/>
              </w:tabs>
              <w:ind w:left="459" w:hanging="459"/>
              <w:rPr>
                <w:b/>
              </w:rPr>
            </w:pPr>
            <w:r>
              <w:t>(a)</w:t>
            </w:r>
            <w:r>
              <w:tab/>
              <w:t>around a building or structure for the use of the building or structure;</w:t>
            </w:r>
          </w:p>
        </w:tc>
        <w:tc>
          <w:tcPr>
            <w:tcW w:w="2268" w:type="dxa"/>
          </w:tcPr>
          <w:p>
            <w:pPr>
              <w:pStyle w:val="Table"/>
            </w:pPr>
            <w:r>
              <w:t>The owner or occupier of the land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rPr>
                <w:b/>
              </w:rPr>
            </w:pPr>
            <w:r>
              <w:t>(b)</w:t>
            </w:r>
            <w:r>
              <w:tab/>
              <w:t>for a fire risk reduction area for a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to the extent of the prior clearing.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pPr>
            <w:r>
              <w:t>Clearing of land that was previously lawfully cleared for one of the following purposes if the clearing does not exceed the extent specified for the purpose —</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(a)</w:t>
            </w:r>
            <w:r>
              <w:tab/>
              <w:t>around a building or structure for the use of the building or structure — 20 m from the building or structure;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for a fire risk reduction area for a building — 20 m from the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 — 5 m wide.</w:t>
            </w:r>
          </w:p>
        </w:tc>
        <w:tc>
          <w:tcPr>
            <w:tcW w:w="2268" w:type="dxa"/>
          </w:tcPr>
          <w:p>
            <w:pPr>
              <w:pStyle w:val="Table"/>
            </w:pPr>
          </w:p>
        </w:tc>
      </w:tr>
      <w:tr>
        <w:trPr>
          <w:cantSplit/>
        </w:trPr>
        <w:tc>
          <w:tcPr>
            <w:tcW w:w="709" w:type="dxa"/>
            <w:tcBorders>
              <w:top w:val="dotted" w:sz="4" w:space="0" w:color="auto"/>
            </w:tcBorders>
          </w:tcPr>
          <w:p>
            <w:pPr>
              <w:pStyle w:val="Table"/>
              <w:keepNext/>
            </w:pPr>
            <w:r>
              <w:t>16</w:t>
            </w:r>
          </w:p>
        </w:tc>
        <w:tc>
          <w:tcPr>
            <w:tcW w:w="3827" w:type="dxa"/>
            <w:tcBorders>
              <w:top w:val="dotted" w:sz="4" w:space="0" w:color="auto"/>
            </w:tcBorders>
          </w:tcPr>
          <w:p>
            <w:pPr>
              <w:pStyle w:val="Table"/>
              <w:rPr>
                <w:b/>
              </w:rPr>
            </w:pPr>
            <w:r>
              <w:rPr>
                <w:b/>
              </w:rPr>
              <w:t xml:space="preserve">Clearing under the </w:t>
            </w:r>
            <w:r>
              <w:rPr>
                <w:b/>
                <w:i/>
              </w:rPr>
              <w:t>Rights in Water and Irrigation Act 1914</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pPr>
            <w:r>
              <w:t>The person to whom the permit is granted or other approval is given.</w:t>
            </w:r>
          </w:p>
        </w:tc>
      </w:tr>
      <w:tr>
        <w:trPr>
          <w:cantSplit/>
        </w:trPr>
        <w:tc>
          <w:tcPr>
            <w:tcW w:w="709" w:type="dxa"/>
            <w:tcBorders>
              <w:top w:val="dotted" w:sz="4" w:space="0" w:color="auto"/>
            </w:tcBorders>
          </w:tcPr>
          <w:p>
            <w:pPr>
              <w:pStyle w:val="Table"/>
              <w:keepNext/>
            </w:pPr>
            <w:r>
              <w:t>17</w:t>
            </w:r>
          </w:p>
        </w:tc>
        <w:tc>
          <w:tcPr>
            <w:tcW w:w="3827" w:type="dxa"/>
            <w:tcBorders>
              <w:top w:val="dotted" w:sz="4" w:space="0" w:color="auto"/>
            </w:tcBorders>
          </w:tcPr>
          <w:p>
            <w:pPr>
              <w:pStyle w:val="Table"/>
              <w:rPr>
                <w:b/>
              </w:rPr>
            </w:pPr>
            <w:r>
              <w:rPr>
                <w:b/>
              </w:rPr>
              <w:t xml:space="preserve">Clearing under the </w:t>
            </w:r>
            <w:r>
              <w:rPr>
                <w:b/>
                <w:i/>
              </w:rPr>
              <w:t>Country Areas Water Supply Act 1947</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pPr>
              <w:pStyle w:val="Table"/>
            </w:pPr>
            <w:r>
              <w:t>The person to whom the licence is granted.</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pPr>
              <w:pStyle w:val="Table"/>
            </w:pPr>
          </w:p>
        </w:tc>
      </w:tr>
      <w:tr>
        <w:trPr>
          <w:cantSplit/>
          <w:trHeight w:val="115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18</w:t>
            </w:r>
          </w:p>
        </w:tc>
        <w:tc>
          <w:tcPr>
            <w:tcW w:w="3827" w:type="dxa"/>
            <w:tcBorders>
              <w:top w:val="dotted" w:sz="4" w:space="0" w:color="auto"/>
            </w:tcBorders>
          </w:tcPr>
          <w:p>
            <w:pPr>
              <w:pStyle w:val="Table"/>
              <w:rPr>
                <w:b/>
              </w:rPr>
            </w:pPr>
            <w:r>
              <w:rPr>
                <w:b/>
              </w:rPr>
              <w:t xml:space="preserve">Clearing under the </w:t>
            </w:r>
            <w:r>
              <w:rPr>
                <w:b/>
                <w:i/>
              </w:rPr>
              <w:t>Swan River Trust Act 1988</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 </w:t>
            </w:r>
          </w:p>
          <w:p>
            <w:pPr>
              <w:pStyle w:val="Table"/>
              <w:tabs>
                <w:tab w:val="left" w:pos="459"/>
              </w:tabs>
              <w:ind w:left="459" w:hanging="459"/>
            </w:pPr>
            <w:r>
              <w:t>(a)</w:t>
            </w:r>
            <w:r>
              <w:tab/>
              <w:t xml:space="preserve">in accordance with an approval under Part 5 of the </w:t>
            </w:r>
            <w:r>
              <w:rPr>
                <w:i/>
              </w:rPr>
              <w:t>Swan River Trust Act 1988</w:t>
            </w:r>
            <w:r>
              <w:t>; or</w:t>
            </w:r>
          </w:p>
          <w:p>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pPr>
            <w:r>
              <w:t>In the case of paragraph (a), the person to whom the approval is granted, in the case of paragraph (b), a person.</w:t>
            </w:r>
          </w:p>
        </w:tc>
      </w:tr>
      <w:tr>
        <w:trPr>
          <w:cantSplit/>
        </w:trPr>
        <w:tc>
          <w:tcPr>
            <w:tcW w:w="709" w:type="dxa"/>
            <w:tcBorders>
              <w:top w:val="dotted" w:sz="4" w:space="0" w:color="auto"/>
            </w:tcBorders>
          </w:tcPr>
          <w:p>
            <w:pPr>
              <w:pStyle w:val="Table"/>
              <w:keepNext/>
            </w:pPr>
            <w:r>
              <w:t>19</w:t>
            </w:r>
          </w:p>
        </w:tc>
        <w:tc>
          <w:tcPr>
            <w:tcW w:w="3827" w:type="dxa"/>
            <w:tcBorders>
              <w:top w:val="dotted" w:sz="4" w:space="0" w:color="auto"/>
            </w:tcBorders>
          </w:tcPr>
          <w:p>
            <w:pPr>
              <w:pStyle w:val="Table"/>
              <w:keepNext/>
              <w:rPr>
                <w:b/>
              </w:rPr>
            </w:pPr>
            <w:r>
              <w:rPr>
                <w:b/>
              </w:rPr>
              <w:t>Clearing isolated trees</w:t>
            </w:r>
          </w:p>
        </w:tc>
        <w:tc>
          <w:tcPr>
            <w:tcW w:w="2268" w:type="dxa"/>
            <w:tcBorders>
              <w:top w:val="dotted" w:sz="4" w:space="0" w:color="auto"/>
            </w:tcBorders>
          </w:tcPr>
          <w:p>
            <w:pPr>
              <w:pStyle w:val="Table"/>
              <w:keepNext/>
              <w:rPr>
                <w:b/>
              </w:rPr>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pPr>
            <w:r>
              <w:t>The owner of the property on which the tree is located.</w:t>
            </w:r>
          </w:p>
        </w:tc>
      </w:tr>
      <w:tr>
        <w:trPr>
          <w:cantSplit/>
        </w:trPr>
        <w:tc>
          <w:tcPr>
            <w:tcW w:w="709" w:type="dxa"/>
            <w:tcBorders>
              <w:top w:val="dotted" w:sz="4" w:space="0" w:color="auto"/>
            </w:tcBorders>
          </w:tcPr>
          <w:p>
            <w:pPr>
              <w:pStyle w:val="Table"/>
              <w:keepNext/>
            </w:pPr>
            <w:r>
              <w:t>20</w:t>
            </w:r>
          </w:p>
        </w:tc>
        <w:tc>
          <w:tcPr>
            <w:tcW w:w="3827" w:type="dxa"/>
            <w:tcBorders>
              <w:top w:val="dotted" w:sz="4" w:space="0" w:color="auto"/>
            </w:tcBorders>
          </w:tcPr>
          <w:p>
            <w:pPr>
              <w:pStyle w:val="Table"/>
              <w:rPr>
                <w:b/>
              </w:rPr>
            </w:pPr>
            <w:r>
              <w:rPr>
                <w:b/>
              </w:rPr>
              <w:t>Clearing: low impact or other mineral or petroleum activities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or is the result of carrying out, a low impact or other mineral or petroleum activity described in Schedule </w:t>
            </w:r>
            <w:bookmarkStart w:id="30" w:name="_Hlt56671051"/>
            <w:r>
              <w:t>1</w:t>
            </w:r>
            <w:bookmarkEnd w:id="30"/>
            <w:r>
              <w:t xml:space="preserve"> if the activity is carried out — </w:t>
            </w:r>
          </w:p>
          <w:p>
            <w:pPr>
              <w:pStyle w:val="Table"/>
              <w:tabs>
                <w:tab w:val="left" w:pos="459"/>
              </w:tabs>
              <w:ind w:left="459" w:hanging="459"/>
            </w:pPr>
            <w:r>
              <w:t>(a)</w:t>
            </w:r>
            <w:r>
              <w:tab/>
              <w:t>in accordance with Schedule 1; and</w:t>
            </w:r>
          </w:p>
          <w:p>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1" w:name="_Hlt58925240"/>
            <w:r>
              <w:t>1</w:t>
            </w:r>
            <w:bookmarkEnd w:id="31"/>
            <w:r>
              <w:t>.</w:t>
            </w:r>
          </w:p>
        </w:tc>
        <w:tc>
          <w:tcPr>
            <w:tcW w:w="2268" w:type="dxa"/>
            <w:tcBorders>
              <w:bottom w:val="dotted" w:sz="4" w:space="0" w:color="auto"/>
            </w:tcBorders>
          </w:tcPr>
          <w:p>
            <w:pPr>
              <w:pStyle w:val="Table"/>
            </w:pPr>
            <w:r>
              <w:t>The person granted the authority to carry out the activity.</w:t>
            </w:r>
          </w:p>
        </w:tc>
      </w:tr>
      <w:tr>
        <w:trPr>
          <w:cantSplit/>
        </w:trPr>
        <w:tc>
          <w:tcPr>
            <w:tcW w:w="709" w:type="dxa"/>
            <w:tcBorders>
              <w:top w:val="dotted" w:sz="4" w:space="0" w:color="auto"/>
            </w:tcBorders>
          </w:tcPr>
          <w:p>
            <w:pPr>
              <w:pStyle w:val="Table"/>
              <w:keepNext/>
            </w:pPr>
            <w:r>
              <w:t>21</w:t>
            </w:r>
          </w:p>
        </w:tc>
        <w:tc>
          <w:tcPr>
            <w:tcW w:w="3827" w:type="dxa"/>
            <w:tcBorders>
              <w:top w:val="dotted" w:sz="4" w:space="0" w:color="auto"/>
            </w:tcBorders>
          </w:tcPr>
          <w:p>
            <w:pPr>
              <w:pStyle w:val="Table"/>
              <w:rPr>
                <w:b/>
              </w:rPr>
            </w:pPr>
            <w:r>
              <w:rPr>
                <w:b/>
              </w:rPr>
              <w:t>Clearing for a temporary bypass road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w:t>
            </w:r>
          </w:p>
        </w:tc>
      </w:tr>
      <w:tr>
        <w:trPr>
          <w:cantSplit/>
        </w:trPr>
        <w:tc>
          <w:tcPr>
            <w:tcW w:w="709" w:type="dxa"/>
            <w:tcBorders>
              <w:bottom w:val="dotted" w:sz="4" w:space="0" w:color="auto"/>
            </w:tcBorders>
          </w:tcPr>
          <w:p>
            <w:pPr>
              <w:pStyle w:val="Table"/>
            </w:pPr>
            <w:r>
              <w:t>21A</w:t>
            </w:r>
          </w:p>
        </w:tc>
        <w:tc>
          <w:tcPr>
            <w:tcW w:w="3827" w:type="dxa"/>
            <w:tcBorders>
              <w:bottom w:val="dotted" w:sz="4" w:space="0" w:color="auto"/>
            </w:tcBorders>
          </w:tcPr>
          <w:p>
            <w:pPr>
              <w:pStyle w:val="Table"/>
            </w:pPr>
            <w:r>
              <w:rPr>
                <w:b/>
              </w:rPr>
              <w:t>Clearing for a crossover</w:t>
            </w:r>
          </w:p>
        </w:tc>
        <w:tc>
          <w:tcPr>
            <w:tcW w:w="2268" w:type="dxa"/>
            <w:tcBorders>
              <w:bottom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pPr>
            <w:r>
              <w:t>The person with the authority to construct the crossover.</w:t>
            </w:r>
          </w:p>
        </w:tc>
      </w:tr>
      <w:tr>
        <w:trPr>
          <w:cantSplit/>
        </w:trPr>
        <w:tc>
          <w:tcPr>
            <w:tcW w:w="709" w:type="dxa"/>
            <w:tcBorders>
              <w:top w:val="dotted" w:sz="4" w:space="0" w:color="auto"/>
            </w:tcBorders>
          </w:tcPr>
          <w:p>
            <w:pPr>
              <w:pStyle w:val="Table"/>
              <w:keepNext/>
            </w:pPr>
            <w:r>
              <w:t>22</w:t>
            </w:r>
          </w:p>
        </w:tc>
        <w:tc>
          <w:tcPr>
            <w:tcW w:w="3827" w:type="dxa"/>
            <w:tcBorders>
              <w:top w:val="dotted" w:sz="4" w:space="0" w:color="auto"/>
            </w:tcBorders>
          </w:tcPr>
          <w:p>
            <w:pPr>
              <w:pStyle w:val="Table"/>
              <w:pageBreakBefore/>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pPr>
          </w:p>
        </w:tc>
      </w:tr>
      <w:tr>
        <w:trPr>
          <w:cantSplit/>
          <w:trHeight w:val="2098"/>
        </w:trPr>
        <w:tc>
          <w:tcPr>
            <w:tcW w:w="709" w:type="dxa"/>
            <w:tcBorders>
              <w:bottom w:val="dotted" w:sz="4" w:space="0" w:color="auto"/>
            </w:tcBorders>
          </w:tcPr>
          <w:p>
            <w:pPr>
              <w:pStyle w:val="Table"/>
            </w:pPr>
            <w:bookmarkStart w:id="32" w:name="_Hlt59011576"/>
            <w:bookmarkEnd w:id="32"/>
          </w:p>
        </w:tc>
        <w:tc>
          <w:tcPr>
            <w:tcW w:w="3827" w:type="dxa"/>
            <w:tcBorders>
              <w:bottom w:val="dotted" w:sz="4" w:space="0" w:color="auto"/>
            </w:tcBorders>
          </w:tcPr>
          <w:p>
            <w:pPr>
              <w:pStyle w:val="Table"/>
            </w:pPr>
            <w:r>
              <w:t xml:space="preserve">Clearing in relation to a stretch of road (whether public or private) or railway if the clearing is carried out — </w:t>
            </w:r>
          </w:p>
          <w:p>
            <w:pPr>
              <w:pStyle w:val="Table"/>
              <w:tabs>
                <w:tab w:val="left" w:pos="459"/>
              </w:tabs>
              <w:ind w:left="459" w:hanging="459"/>
            </w:pPr>
            <w:r>
              <w:t>(a)</w:t>
            </w:r>
            <w:r>
              <w:tab/>
              <w:t>in an area or for a purpose specified in Schedule</w:t>
            </w:r>
            <w:bookmarkStart w:id="33" w:name="_Hlt56673639"/>
            <w:bookmarkStart w:id="34" w:name="_Hlt56673572"/>
            <w:bookmarkEnd w:id="33"/>
            <w:r>
              <w:t> </w:t>
            </w:r>
            <w:bookmarkEnd w:id="34"/>
            <w:r>
              <w:t>2; and</w:t>
            </w:r>
          </w:p>
          <w:p>
            <w:pPr>
              <w:pStyle w:val="Table"/>
              <w:tabs>
                <w:tab w:val="left" w:pos="459"/>
              </w:tabs>
              <w:ind w:left="459" w:hanging="459"/>
            </w:pPr>
            <w:r>
              <w:t>(b)</w:t>
            </w:r>
            <w:r>
              <w:tab/>
              <w:t>to the extent specified for that area or purpose in Schedule 2; and</w:t>
            </w:r>
          </w:p>
          <w:p>
            <w:pPr>
              <w:pStyle w:val="Table"/>
              <w:tabs>
                <w:tab w:val="left" w:pos="459"/>
              </w:tabs>
              <w:ind w:left="459" w:hanging="459"/>
            </w:pPr>
            <w:r>
              <w:t>(c)</w:t>
            </w:r>
            <w:r>
              <w:tab/>
              <w:t>in accordance with Schedule 2.</w:t>
            </w:r>
          </w:p>
          <w:p>
            <w:pPr>
              <w:pStyle w:val="Table"/>
              <w:tabs>
                <w:tab w:val="left" w:pos="459"/>
              </w:tabs>
              <w:ind w:left="459" w:hanging="459"/>
              <w:rPr>
                <w:i/>
              </w:rPr>
            </w:pPr>
            <w:r>
              <w:rPr>
                <w:i/>
                <w:iCs/>
              </w:rPr>
              <w:t>[(d)</w:t>
            </w:r>
            <w:r>
              <w:rPr>
                <w:i/>
                <w:iCs/>
              </w:rPr>
              <w:tab/>
              <w:t>deleted]</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rPr>
          <w:cantSplit/>
        </w:trPr>
        <w:tc>
          <w:tcPr>
            <w:tcW w:w="709" w:type="dxa"/>
            <w:tcBorders>
              <w:top w:val="dotted" w:sz="4" w:space="0" w:color="auto"/>
            </w:tcBorders>
          </w:tcPr>
          <w:p>
            <w:pPr>
              <w:pStyle w:val="Table"/>
              <w:keepNext/>
            </w:pPr>
            <w:r>
              <w:t>23</w:t>
            </w:r>
          </w:p>
        </w:tc>
        <w:tc>
          <w:tcPr>
            <w:tcW w:w="3827" w:type="dxa"/>
            <w:tcBorders>
              <w:top w:val="dotted" w:sz="4" w:space="0" w:color="auto"/>
            </w:tcBorders>
          </w:tcPr>
          <w:p>
            <w:pPr>
              <w:pStyle w:val="Table"/>
              <w:rPr>
                <w:b/>
                <w:kern w:val="22"/>
              </w:rPr>
            </w:pPr>
            <w:r>
              <w:rPr>
                <w:b/>
                <w:kern w:val="22"/>
              </w:rPr>
              <w:t>Clearing resulting from infrastructure maintenance activities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that is the result of carrying out an infrastructure maintenance activity described in Schedule</w:t>
            </w:r>
            <w:bookmarkStart w:id="35" w:name="_Hlt56589405"/>
            <w:r>
              <w:t> </w:t>
            </w:r>
            <w:bookmarkStart w:id="36" w:name="_Hlt56671057"/>
            <w:r>
              <w:t>3</w:t>
            </w:r>
            <w:bookmarkEnd w:id="35"/>
            <w:bookmarkEnd w:id="36"/>
            <w:r>
              <w:t xml:space="preserve"> if the activity is carried out in accordance with Schedule 3 and within — </w:t>
            </w:r>
          </w:p>
          <w:p>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pPr>
            <w:r>
              <w:t>The utility or local government responsible for the infrastructure.</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2007.</w:t>
            </w:r>
          </w:p>
        </w:tc>
        <w:tc>
          <w:tcPr>
            <w:tcW w:w="2268" w:type="dxa"/>
            <w:tcBorders>
              <w:bottom w:val="dotted" w:sz="4" w:space="0" w:color="auto"/>
            </w:tcBorders>
          </w:tcPr>
          <w:p>
            <w:pPr>
              <w:pStyle w:val="Table"/>
            </w:pPr>
            <w:r>
              <w:t>A person covered by the authority to carry out the exploration.</w:t>
            </w:r>
          </w:p>
        </w:tc>
      </w:tr>
      <w:tr>
        <w:trPr>
          <w:cantSplit/>
        </w:trPr>
        <w:tc>
          <w:tcPr>
            <w:tcW w:w="709" w:type="dxa"/>
            <w:tcBorders>
              <w:top w:val="dotted" w:sz="4" w:space="0" w:color="auto"/>
            </w:tcBorders>
          </w:tcPr>
          <w:p>
            <w:pPr>
              <w:pStyle w:val="Table"/>
              <w:keepNext/>
            </w:pPr>
            <w:r>
              <w:t>25</w:t>
            </w:r>
          </w:p>
        </w:tc>
        <w:tc>
          <w:tcPr>
            <w:tcW w:w="3827" w:type="dxa"/>
            <w:tcBorders>
              <w:top w:val="dotted" w:sz="4" w:space="0" w:color="auto"/>
            </w:tcBorders>
          </w:tcPr>
          <w:p>
            <w:pPr>
              <w:pStyle w:val="Table"/>
              <w:pageBreakBefore/>
              <w:rPr>
                <w:b/>
              </w:rPr>
            </w:pPr>
            <w:r>
              <w:rPr>
                <w:b/>
              </w:rPr>
              <w:t xml:space="preserve">Clearing under the </w:t>
            </w:r>
            <w:r>
              <w:rPr>
                <w:b/>
                <w:i/>
              </w:rPr>
              <w:t>Mining Act 1978</w:t>
            </w:r>
          </w:p>
        </w:tc>
        <w:tc>
          <w:tcPr>
            <w:tcW w:w="2268" w:type="dxa"/>
            <w:tcBorders>
              <w:top w:val="dotted" w:sz="4" w:space="0" w:color="auto"/>
            </w:tcBorders>
          </w:tcPr>
          <w:p>
            <w:pPr>
              <w:pStyle w:val="Table"/>
              <w:pageBreakBefor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April 2007.</w:t>
            </w:r>
          </w:p>
        </w:tc>
        <w:tc>
          <w:tcPr>
            <w:tcW w:w="2268" w:type="dxa"/>
            <w:tcBorders>
              <w:bottom w:val="dotted" w:sz="4" w:space="0" w:color="auto"/>
            </w:tcBorders>
          </w:tcPr>
          <w:p>
            <w:pPr>
              <w:pStyle w:val="Table"/>
            </w:pPr>
            <w:r>
              <w:t>The person granted the authority to carry out the prospecting or exploration.</w:t>
            </w:r>
          </w:p>
        </w:tc>
      </w:tr>
      <w:tr>
        <w:trPr>
          <w:cantSplit/>
        </w:trPr>
        <w:tc>
          <w:tcPr>
            <w:tcW w:w="709" w:type="dxa"/>
            <w:tcBorders>
              <w:top w:val="dotted" w:sz="4" w:space="0" w:color="auto"/>
            </w:tcBorders>
          </w:tcPr>
          <w:p>
            <w:pPr>
              <w:pStyle w:val="Table"/>
              <w:keepNext/>
            </w:pPr>
            <w:r>
              <w:t>26</w:t>
            </w:r>
          </w:p>
        </w:tc>
        <w:tc>
          <w:tcPr>
            <w:tcW w:w="3827" w:type="dxa"/>
            <w:tcBorders>
              <w:top w:val="dotted" w:sz="4" w:space="0" w:color="auto"/>
            </w:tcBorders>
          </w:tcPr>
          <w:p>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that is the result of carrying out an activity — </w:t>
            </w:r>
          </w:p>
        </w:tc>
        <w:tc>
          <w:tcPr>
            <w:tcW w:w="2268" w:type="dxa"/>
          </w:tcPr>
          <w:p>
            <w:pPr>
              <w:pStyle w:val="Table"/>
              <w:rPr>
                <w:spacing w:val="-4"/>
              </w:rPr>
            </w:pPr>
            <w:r>
              <w:rPr>
                <w:spacing w:val="-4"/>
              </w:rPr>
              <w:t>The person who gave the notice of intention.</w:t>
            </w:r>
          </w:p>
        </w:tc>
      </w:tr>
      <w:tr>
        <w:trPr>
          <w:cantSplit/>
        </w:trPr>
        <w:tc>
          <w:tcPr>
            <w:tcW w:w="709" w:type="dxa"/>
          </w:tcPr>
          <w:p>
            <w:pPr>
              <w:pStyle w:val="Table"/>
            </w:pPr>
          </w:p>
        </w:tc>
        <w:tc>
          <w:tcPr>
            <w:tcW w:w="3827" w:type="dxa"/>
          </w:tcPr>
          <w:p>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single" w:sz="4" w:space="0" w:color="auto"/>
            </w:tcBorders>
          </w:tcPr>
          <w:p>
            <w:pPr>
              <w:pStyle w:val="Table"/>
            </w:pPr>
          </w:p>
        </w:tc>
        <w:tc>
          <w:tcPr>
            <w:tcW w:w="3827" w:type="dxa"/>
            <w:tcBorders>
              <w:top w:val="dotted" w:sz="4" w:space="0" w:color="auto"/>
              <w:bottom w:val="single" w:sz="4" w:space="0" w:color="auto"/>
            </w:tcBorders>
          </w:tcPr>
          <w:p>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pPr>
              <w:pStyle w:val="Table"/>
            </w:pPr>
          </w:p>
        </w:tc>
      </w:tr>
    </w:tbl>
    <w:p>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2755-7; 23 Dec 2005 p. 6268; 6 Jan 2006 p. 31; 31 Mar 2006 p. 1165; 7 Jul 2006 p. 2500.]</w:t>
      </w:r>
    </w:p>
    <w:p>
      <w:pPr>
        <w:pStyle w:val="Heading5"/>
      </w:pPr>
      <w:bookmarkStart w:id="37" w:name="_Toc76184661"/>
      <w:bookmarkStart w:id="38" w:name="_Toc123034484"/>
      <w:bookmarkStart w:id="39" w:name="_Toc139970915"/>
      <w:r>
        <w:rPr>
          <w:rStyle w:val="CharSectno"/>
        </w:rPr>
        <w:t>6</w:t>
      </w:r>
      <w:r>
        <w:t>.</w:t>
      </w:r>
      <w:r>
        <w:tab/>
        <w:t>Environmentally sensitive areas</w:t>
      </w:r>
      <w:bookmarkEnd w:id="37"/>
      <w:bookmarkEnd w:id="38"/>
      <w:bookmarkEnd w:id="39"/>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40" w:name="_Hlt59011568"/>
      <w:r>
        <w:t>5</w:t>
      </w:r>
      <w:bookmarkEnd w:id="40"/>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41" w:name="_Toc76184662"/>
      <w:bookmarkStart w:id="42" w:name="_Toc123034485"/>
      <w:bookmarkStart w:id="43" w:name="_Toc139970916"/>
      <w:r>
        <w:rPr>
          <w:rStyle w:val="CharSectno"/>
        </w:rPr>
        <w:t>7</w:t>
      </w:r>
      <w:r>
        <w:t>.</w:t>
      </w:r>
      <w:r>
        <w:tab/>
        <w:t>Fees</w:t>
      </w:r>
      <w:bookmarkEnd w:id="41"/>
      <w:bookmarkEnd w:id="42"/>
      <w:bookmarkEnd w:id="43"/>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jc w:val="center"/>
              <w:rPr>
                <w:b/>
              </w:rPr>
            </w:pPr>
            <w:r>
              <w:rPr>
                <w:b/>
              </w:rPr>
              <w:t>Item</w:t>
            </w:r>
          </w:p>
        </w:tc>
        <w:tc>
          <w:tcPr>
            <w:tcW w:w="4394" w:type="dxa"/>
            <w:tcBorders>
              <w:top w:val="single" w:sz="4" w:space="0" w:color="auto"/>
              <w:bottom w:val="single" w:sz="4" w:space="0" w:color="auto"/>
            </w:tcBorders>
          </w:tcPr>
          <w:p>
            <w:pPr>
              <w:pStyle w:val="yTable"/>
              <w:jc w:val="center"/>
              <w:rPr>
                <w:b/>
              </w:rPr>
            </w:pPr>
            <w:r>
              <w:rPr>
                <w:b/>
              </w:rPr>
              <w:t>Type of application</w:t>
            </w:r>
          </w:p>
        </w:tc>
        <w:tc>
          <w:tcPr>
            <w:tcW w:w="992" w:type="dxa"/>
            <w:tcBorders>
              <w:top w:val="single" w:sz="4" w:space="0" w:color="auto"/>
              <w:bottom w:val="single" w:sz="4" w:space="0" w:color="auto"/>
            </w:tcBorders>
          </w:tcPr>
          <w:p>
            <w:pPr>
              <w:pStyle w:val="yTable"/>
              <w:jc w:val="center"/>
              <w:rPr>
                <w:b/>
              </w:rPr>
            </w:pPr>
            <w:r>
              <w:rPr>
                <w:b/>
              </w:rPr>
              <w:t>Fee</w:t>
            </w:r>
          </w:p>
        </w:tc>
      </w:tr>
      <w:tr>
        <w:tc>
          <w:tcPr>
            <w:tcW w:w="851" w:type="dxa"/>
          </w:tcPr>
          <w:p>
            <w:pPr>
              <w:pStyle w:val="Table"/>
              <w:jc w:val="center"/>
            </w:pPr>
            <w:r>
              <w:t>1.</w:t>
            </w:r>
          </w:p>
        </w:tc>
        <w:tc>
          <w:tcPr>
            <w:tcW w:w="4394" w:type="dxa"/>
          </w:tcPr>
          <w:p>
            <w:pPr>
              <w:pStyle w:val="Table"/>
            </w:pPr>
            <w:r>
              <w:t>An application for an area permit for an area of less than 1 ha</w:t>
            </w:r>
          </w:p>
        </w:tc>
        <w:tc>
          <w:tcPr>
            <w:tcW w:w="992" w:type="dxa"/>
          </w:tcPr>
          <w:p>
            <w:pPr>
              <w:pStyle w:val="Table"/>
              <w:tabs>
                <w:tab w:val="left" w:pos="1452"/>
              </w:tabs>
            </w:pPr>
            <w:r>
              <w:br/>
              <w:t>$50.00</w:t>
            </w:r>
          </w:p>
        </w:tc>
      </w:tr>
      <w:tr>
        <w:tc>
          <w:tcPr>
            <w:tcW w:w="851" w:type="dxa"/>
          </w:tcPr>
          <w:p>
            <w:pPr>
              <w:pStyle w:val="Table"/>
              <w:jc w:val="center"/>
            </w:pPr>
            <w:r>
              <w:t>2.</w:t>
            </w:r>
          </w:p>
        </w:tc>
        <w:tc>
          <w:tcPr>
            <w:tcW w:w="4394" w:type="dxa"/>
          </w:tcPr>
          <w:p>
            <w:pPr>
              <w:pStyle w:val="Table"/>
            </w:pPr>
            <w:r>
              <w:t>An application for an area permit for an area of between 1 and 10 ha</w:t>
            </w:r>
          </w:p>
        </w:tc>
        <w:tc>
          <w:tcPr>
            <w:tcW w:w="992" w:type="dxa"/>
          </w:tcPr>
          <w:p>
            <w:pPr>
              <w:pStyle w:val="Table"/>
            </w:pPr>
            <w:r>
              <w:br/>
              <w:t>$100.00</w:t>
            </w:r>
          </w:p>
        </w:tc>
      </w:tr>
      <w:tr>
        <w:tc>
          <w:tcPr>
            <w:tcW w:w="851" w:type="dxa"/>
          </w:tcPr>
          <w:p>
            <w:pPr>
              <w:pStyle w:val="Table"/>
              <w:jc w:val="center"/>
            </w:pPr>
            <w:r>
              <w:t>3.</w:t>
            </w:r>
          </w:p>
        </w:tc>
        <w:tc>
          <w:tcPr>
            <w:tcW w:w="4394" w:type="dxa"/>
          </w:tcPr>
          <w:p>
            <w:pPr>
              <w:pStyle w:val="Table"/>
            </w:pPr>
            <w:r>
              <w:t>An application for an area permit for an area of more than 10 ha</w:t>
            </w:r>
          </w:p>
        </w:tc>
        <w:tc>
          <w:tcPr>
            <w:tcW w:w="992" w:type="dxa"/>
          </w:tcPr>
          <w:p>
            <w:pPr>
              <w:pStyle w:val="Table"/>
            </w:pPr>
            <w:r>
              <w:br/>
              <w:t>$200.00</w:t>
            </w:r>
          </w:p>
        </w:tc>
      </w:tr>
      <w:tr>
        <w:tc>
          <w:tcPr>
            <w:tcW w:w="851" w:type="dxa"/>
            <w:tcBorders>
              <w:bottom w:val="single" w:sz="4" w:space="0" w:color="auto"/>
            </w:tcBorders>
          </w:tcPr>
          <w:p>
            <w:pPr>
              <w:pStyle w:val="Table"/>
              <w:jc w:val="center"/>
            </w:pPr>
            <w:r>
              <w:t>4.</w:t>
            </w:r>
          </w:p>
        </w:tc>
        <w:tc>
          <w:tcPr>
            <w:tcW w:w="4394" w:type="dxa"/>
            <w:tcBorders>
              <w:bottom w:val="single" w:sz="4" w:space="0" w:color="auto"/>
            </w:tcBorders>
          </w:tcPr>
          <w:p>
            <w:pPr>
              <w:pStyle w:val="Table"/>
            </w:pPr>
            <w:r>
              <w:t>An application for a purpose permit</w:t>
            </w:r>
          </w:p>
        </w:tc>
        <w:tc>
          <w:tcPr>
            <w:tcW w:w="992" w:type="dxa"/>
            <w:tcBorders>
              <w:bottom w:val="single" w:sz="4" w:space="0" w:color="auto"/>
            </w:tcBorders>
          </w:tcPr>
          <w:p>
            <w:pPr>
              <w:pStyle w:val="Table"/>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jc w:val="center"/>
              <w:rPr>
                <w:b/>
              </w:rPr>
            </w:pPr>
            <w:r>
              <w:rPr>
                <w:b/>
              </w:rPr>
              <w:t>Item</w:t>
            </w:r>
          </w:p>
        </w:tc>
        <w:tc>
          <w:tcPr>
            <w:tcW w:w="4394" w:type="dxa"/>
            <w:tcBorders>
              <w:top w:val="single" w:sz="4" w:space="0" w:color="auto"/>
              <w:bottom w:val="single" w:sz="4" w:space="0" w:color="auto"/>
            </w:tcBorders>
          </w:tcPr>
          <w:p>
            <w:pPr>
              <w:pStyle w:val="Table"/>
              <w:jc w:val="center"/>
              <w:rPr>
                <w:b/>
              </w:rPr>
            </w:pPr>
            <w:r>
              <w:rPr>
                <w:b/>
              </w:rPr>
              <w:t>Type of application</w:t>
            </w:r>
          </w:p>
        </w:tc>
        <w:tc>
          <w:tcPr>
            <w:tcW w:w="992" w:type="dxa"/>
            <w:tcBorders>
              <w:top w:val="single" w:sz="4" w:space="0" w:color="auto"/>
              <w:bottom w:val="single" w:sz="4" w:space="0" w:color="auto"/>
            </w:tcBorders>
          </w:tcPr>
          <w:p>
            <w:pPr>
              <w:pStyle w:val="Table"/>
              <w:jc w:val="center"/>
              <w:rPr>
                <w:b/>
              </w:rPr>
            </w:pPr>
            <w:r>
              <w:rPr>
                <w:b/>
              </w:rPr>
              <w:t>Fee</w:t>
            </w:r>
          </w:p>
        </w:tc>
      </w:tr>
      <w:tr>
        <w:trPr>
          <w:cantSplit/>
        </w:trPr>
        <w:tc>
          <w:tcPr>
            <w:tcW w:w="851" w:type="dxa"/>
          </w:tcPr>
          <w:p>
            <w:pPr>
              <w:pStyle w:val="Table"/>
              <w:jc w:val="center"/>
            </w:pPr>
            <w:r>
              <w:t>1.</w:t>
            </w:r>
          </w:p>
        </w:tc>
        <w:tc>
          <w:tcPr>
            <w:tcW w:w="4394" w:type="dxa"/>
          </w:tcPr>
          <w:p>
            <w:pPr>
              <w:pStyle w:val="Table"/>
            </w:pPr>
            <w:r>
              <w:t>An application to amend an area permit other than to increase the area covered by the permit</w:t>
            </w:r>
          </w:p>
        </w:tc>
        <w:tc>
          <w:tcPr>
            <w:tcW w:w="992" w:type="dxa"/>
          </w:tcPr>
          <w:p>
            <w:pPr>
              <w:pStyle w:val="Table"/>
            </w:pPr>
            <w:r>
              <w:br/>
              <w:t>$50.00</w:t>
            </w:r>
          </w:p>
        </w:tc>
      </w:tr>
      <w:tr>
        <w:trPr>
          <w:cantSplit/>
        </w:trPr>
        <w:tc>
          <w:tcPr>
            <w:tcW w:w="851" w:type="dxa"/>
          </w:tcPr>
          <w:p>
            <w:pPr>
              <w:pStyle w:val="Table"/>
              <w:jc w:val="center"/>
            </w:pPr>
            <w:r>
              <w:t>2.</w:t>
            </w:r>
          </w:p>
        </w:tc>
        <w:tc>
          <w:tcPr>
            <w:tcW w:w="4394" w:type="dxa"/>
          </w:tcPr>
          <w:p>
            <w:pPr>
              <w:pStyle w:val="Table"/>
            </w:pPr>
            <w:r>
              <w:t>An application to amend an area permit to increase the area covered by the permit by less than 1 ha</w:t>
            </w:r>
          </w:p>
        </w:tc>
        <w:tc>
          <w:tcPr>
            <w:tcW w:w="992" w:type="dxa"/>
          </w:tcPr>
          <w:p>
            <w:pPr>
              <w:pStyle w:val="Table"/>
            </w:pPr>
            <w:r>
              <w:br/>
            </w:r>
            <w:r>
              <w:br/>
              <w:t>$50.00</w:t>
            </w:r>
          </w:p>
        </w:tc>
      </w:tr>
      <w:tr>
        <w:trPr>
          <w:cantSplit/>
        </w:trPr>
        <w:tc>
          <w:tcPr>
            <w:tcW w:w="851" w:type="dxa"/>
          </w:tcPr>
          <w:p>
            <w:pPr>
              <w:pStyle w:val="Table"/>
              <w:jc w:val="center"/>
            </w:pPr>
            <w:r>
              <w:t>3.</w:t>
            </w:r>
          </w:p>
        </w:tc>
        <w:tc>
          <w:tcPr>
            <w:tcW w:w="4394" w:type="dxa"/>
          </w:tcPr>
          <w:p>
            <w:pPr>
              <w:pStyle w:val="Table"/>
            </w:pPr>
            <w:r>
              <w:t>An application to amend an area permit to increase the area covered by the permit by between 1 ha and 10 ha</w:t>
            </w:r>
          </w:p>
        </w:tc>
        <w:tc>
          <w:tcPr>
            <w:tcW w:w="992" w:type="dxa"/>
          </w:tcPr>
          <w:p>
            <w:pPr>
              <w:pStyle w:val="Table"/>
            </w:pPr>
            <w:r>
              <w:br/>
            </w:r>
            <w:r>
              <w:br/>
              <w:t>$100.00</w:t>
            </w:r>
          </w:p>
        </w:tc>
      </w:tr>
      <w:tr>
        <w:trPr>
          <w:cantSplit/>
        </w:trPr>
        <w:tc>
          <w:tcPr>
            <w:tcW w:w="851" w:type="dxa"/>
          </w:tcPr>
          <w:p>
            <w:pPr>
              <w:pStyle w:val="Table"/>
              <w:jc w:val="center"/>
            </w:pPr>
            <w:r>
              <w:t>4.</w:t>
            </w:r>
          </w:p>
        </w:tc>
        <w:tc>
          <w:tcPr>
            <w:tcW w:w="4394" w:type="dxa"/>
          </w:tcPr>
          <w:p>
            <w:pPr>
              <w:pStyle w:val="Table"/>
            </w:pPr>
            <w:r>
              <w:t>An application to amend an area permit to increase the area covered by the permit by more than 10 ha</w:t>
            </w:r>
          </w:p>
        </w:tc>
        <w:tc>
          <w:tcPr>
            <w:tcW w:w="992" w:type="dxa"/>
          </w:tcPr>
          <w:p>
            <w:pPr>
              <w:pStyle w:val="Table"/>
            </w:pPr>
            <w:r>
              <w:br/>
            </w:r>
            <w:r>
              <w:br/>
              <w:t>$200.00</w:t>
            </w:r>
          </w:p>
        </w:tc>
      </w:tr>
      <w:tr>
        <w:trPr>
          <w:cantSplit/>
        </w:trPr>
        <w:tc>
          <w:tcPr>
            <w:tcW w:w="851" w:type="dxa"/>
          </w:tcPr>
          <w:p>
            <w:pPr>
              <w:pStyle w:val="Table"/>
              <w:jc w:val="center"/>
            </w:pPr>
            <w:r>
              <w:t>5.</w:t>
            </w:r>
          </w:p>
        </w:tc>
        <w:tc>
          <w:tcPr>
            <w:tcW w:w="4394" w:type="dxa"/>
          </w:tcPr>
          <w:p>
            <w:pPr>
              <w:pStyle w:val="Table"/>
            </w:pPr>
            <w:r>
              <w:t>An application to amend a purpose permit</w:t>
            </w:r>
          </w:p>
        </w:tc>
        <w:tc>
          <w:tcPr>
            <w:tcW w:w="992" w:type="dxa"/>
          </w:tcPr>
          <w:p>
            <w:pPr>
              <w:pStyle w:val="Table"/>
            </w:pPr>
            <w:r>
              <w:t>$200.00</w:t>
            </w:r>
          </w:p>
        </w:tc>
      </w:tr>
      <w:tr>
        <w:trPr>
          <w:cantSplit/>
        </w:trPr>
        <w:tc>
          <w:tcPr>
            <w:tcW w:w="851" w:type="dxa"/>
            <w:tcBorders>
              <w:bottom w:val="single" w:sz="4" w:space="0" w:color="auto"/>
            </w:tcBorders>
          </w:tcPr>
          <w:p>
            <w:pPr>
              <w:pStyle w:val="Table"/>
              <w:jc w:val="center"/>
            </w:pPr>
            <w:r>
              <w:t>6.</w:t>
            </w:r>
          </w:p>
        </w:tc>
        <w:tc>
          <w:tcPr>
            <w:tcW w:w="4394" w:type="dxa"/>
            <w:tcBorders>
              <w:bottom w:val="single" w:sz="4" w:space="0" w:color="auto"/>
            </w:tcBorders>
          </w:tcPr>
          <w:p>
            <w:pPr>
              <w:pStyle w:val="Table"/>
            </w:pPr>
            <w:r>
              <w:t>An application to surrender a clearing permit</w:t>
            </w:r>
          </w:p>
        </w:tc>
        <w:tc>
          <w:tcPr>
            <w:tcW w:w="992" w:type="dxa"/>
            <w:tcBorders>
              <w:bottom w:val="single" w:sz="4" w:space="0" w:color="auto"/>
            </w:tcBorders>
          </w:tcPr>
          <w:p>
            <w:pPr>
              <w:pStyle w:val="Table"/>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44" w:name="_Toc76184663"/>
      <w:bookmarkStart w:id="45" w:name="_Toc123034486"/>
      <w:bookmarkStart w:id="46" w:name="_Toc139970917"/>
      <w:r>
        <w:rPr>
          <w:rStyle w:val="CharSectno"/>
        </w:rPr>
        <w:t>8</w:t>
      </w:r>
      <w:r>
        <w:t>.</w:t>
      </w:r>
      <w:r>
        <w:tab/>
        <w:t>Records to be kept by the CEO — section 51Q</w:t>
      </w:r>
      <w:bookmarkEnd w:id="44"/>
      <w:bookmarkEnd w:id="45"/>
      <w:bookmarkEnd w:id="46"/>
    </w:p>
    <w:p>
      <w:pPr>
        <w:pStyle w:val="Subsection"/>
      </w:pPr>
      <w:r>
        <w:tab/>
        <w:t>(1)</w:t>
      </w:r>
      <w:r>
        <w:tab/>
        <w:t xml:space="preserve">A record of the following particulars is be kept by the CEO for the purposes of section 51Q(1) — </w:t>
      </w:r>
    </w:p>
    <w:p>
      <w:pPr>
        <w:pStyle w:val="Indenta"/>
      </w:pPr>
      <w:r>
        <w:tab/>
      </w:r>
      <w:bookmarkStart w:id="47" w:name="_Hlt57090965"/>
      <w:bookmarkEnd w:id="47"/>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48" w:name="_Hlt57090959"/>
      <w:bookmarkEnd w:id="48"/>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49" w:name="_Hlt57090962"/>
      <w:bookmarkEnd w:id="49"/>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50" w:name="_Toc76184664"/>
      <w:r>
        <w:tab/>
        <w:t>[Regulation 8 amended in Gazette 24 Jun 2005 p. 2757.]</w:t>
      </w:r>
    </w:p>
    <w:p>
      <w:pPr>
        <w:pStyle w:val="Heading5"/>
      </w:pPr>
      <w:bookmarkStart w:id="51" w:name="_Toc123034487"/>
      <w:bookmarkStart w:id="52" w:name="_Toc139970918"/>
      <w:r>
        <w:rPr>
          <w:rStyle w:val="CharSectno"/>
        </w:rPr>
        <w:t>9</w:t>
      </w:r>
      <w:r>
        <w:t>.</w:t>
      </w:r>
      <w:r>
        <w:tab/>
        <w:t>Expiry of certain provisions</w:t>
      </w:r>
      <w:bookmarkEnd w:id="50"/>
      <w:bookmarkEnd w:id="51"/>
      <w:bookmarkEnd w:id="52"/>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3" w:name="_Toc76184665"/>
    </w:p>
    <w:p>
      <w:pPr>
        <w:pStyle w:val="yScheduleHeading"/>
      </w:pPr>
      <w:bookmarkStart w:id="54" w:name="_Toc123034488"/>
      <w:bookmarkStart w:id="55" w:name="_Toc123034649"/>
      <w:bookmarkStart w:id="56" w:name="_Toc123101690"/>
      <w:bookmarkStart w:id="57" w:name="_Toc124239356"/>
      <w:bookmarkStart w:id="58" w:name="_Toc124239909"/>
      <w:bookmarkStart w:id="59" w:name="_Toc131827188"/>
      <w:bookmarkStart w:id="60" w:name="_Toc139966456"/>
      <w:bookmarkStart w:id="61" w:name="_Toc139970919"/>
      <w:r>
        <w:rPr>
          <w:rStyle w:val="CharSchNo"/>
        </w:rPr>
        <w:t xml:space="preserve">Schedule </w:t>
      </w:r>
      <w:bookmarkStart w:id="62" w:name="_Hlt56671053"/>
      <w:bookmarkEnd w:id="62"/>
      <w:r>
        <w:rPr>
          <w:rStyle w:val="CharSchNo"/>
        </w:rPr>
        <w:t>1</w:t>
      </w:r>
      <w:r>
        <w:t> — </w:t>
      </w:r>
      <w:r>
        <w:rPr>
          <w:rStyle w:val="CharSchText"/>
        </w:rPr>
        <w:t>Low impact or other mineral or petroleum activities</w:t>
      </w:r>
      <w:bookmarkEnd w:id="53"/>
      <w:bookmarkEnd w:id="54"/>
      <w:bookmarkEnd w:id="55"/>
      <w:bookmarkEnd w:id="56"/>
      <w:bookmarkEnd w:id="57"/>
      <w:bookmarkEnd w:id="58"/>
      <w:bookmarkEnd w:id="59"/>
      <w:bookmarkEnd w:id="60"/>
      <w:bookmarkEnd w:id="61"/>
    </w:p>
    <w:p>
      <w:pPr>
        <w:pStyle w:val="yShoulderClause"/>
      </w:pPr>
      <w:r>
        <w:t>[r. 5(1) item 20</w:t>
      </w:r>
      <w:bookmarkStart w:id="63" w:name="_Hlt58988932"/>
      <w:bookmarkEnd w:id="63"/>
      <w:r>
        <w:t>]</w:t>
      </w:r>
    </w:p>
    <w:p>
      <w:pPr>
        <w:pStyle w:val="yFootnoteheading"/>
      </w:pPr>
      <w:r>
        <w:tab/>
        <w:t>[Heading amended in Gazette 24 Jun 2005 p. 2757; 23 Dec 2005 p. 6268.]</w:t>
      </w:r>
    </w:p>
    <w:p>
      <w:pPr>
        <w:pStyle w:val="yHeading5"/>
        <w:outlineLvl w:val="9"/>
      </w:pPr>
      <w:bookmarkStart w:id="64" w:name="_Toc76184666"/>
      <w:bookmarkStart w:id="65" w:name="_Toc123034489"/>
      <w:bookmarkStart w:id="66" w:name="_Toc139970920"/>
      <w:r>
        <w:rPr>
          <w:rStyle w:val="CharSClsNo"/>
        </w:rPr>
        <w:t>1</w:t>
      </w:r>
      <w:r>
        <w:t>.</w:t>
      </w:r>
      <w:r>
        <w:tab/>
        <w:t>Terms used in this Schedule</w:t>
      </w:r>
      <w:bookmarkEnd w:id="64"/>
      <w:bookmarkEnd w:id="65"/>
      <w:bookmarkEnd w:id="66"/>
    </w:p>
    <w:p>
      <w:pPr>
        <w:pStyle w:val="ySubsection"/>
      </w:pPr>
      <w:r>
        <w:tab/>
      </w:r>
      <w:r>
        <w:tab/>
        <w:t xml:space="preserve">In this Schedule — </w:t>
      </w:r>
    </w:p>
    <w:p>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pPr>
      <w:r>
        <w:tab/>
        <w:t>[Clause 1 amended in Gazette 23 Dec 2005 p. 6268-9.]</w:t>
      </w:r>
    </w:p>
    <w:p>
      <w:pPr>
        <w:pStyle w:val="yHeading5"/>
        <w:outlineLvl w:val="9"/>
      </w:pPr>
      <w:bookmarkStart w:id="67" w:name="_Toc76184667"/>
      <w:bookmarkStart w:id="68" w:name="_Toc123034490"/>
      <w:bookmarkStart w:id="69" w:name="_Toc139970921"/>
      <w:r>
        <w:rPr>
          <w:rStyle w:val="CharSClsNo"/>
        </w:rPr>
        <w:t>2</w:t>
      </w:r>
      <w:r>
        <w:t>.</w:t>
      </w:r>
      <w:r>
        <w:tab/>
        <w:t>Low impact mineral and petroleum activities</w:t>
      </w:r>
      <w:bookmarkEnd w:id="67"/>
      <w:bookmarkEnd w:id="68"/>
      <w:bookmarkEnd w:id="69"/>
    </w:p>
    <w:p>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Indenta"/>
      </w:pPr>
      <w:r>
        <w:tab/>
        <w:t>(c)</w:t>
      </w:r>
      <w:r>
        <w:tab/>
        <w:t xml:space="preserve">auger or compressed air drilling if — </w:t>
      </w:r>
    </w:p>
    <w:p>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pPr>
        <w:pStyle w:val="yIndenti0"/>
      </w:pPr>
      <w:r>
        <w:tab/>
        <w:t>(ii)</w:t>
      </w:r>
      <w:r>
        <w:tab/>
        <w:t>in respect of compressed air drilling — any drilling fluids used or groundwater released is retained in a sump;</w:t>
      </w:r>
    </w:p>
    <w:p>
      <w:pPr>
        <w:pStyle w:val="yIndenta"/>
      </w:pPr>
      <w:r>
        <w:tab/>
        <w:t>(d)</w:t>
      </w:r>
      <w:r>
        <w:tab/>
        <w:t xml:space="preserve">auger or compressed air drilling within a 1 ha area if — </w:t>
      </w:r>
    </w:p>
    <w:p>
      <w:pPr>
        <w:pStyle w:val="yIndenti0"/>
      </w:pPr>
      <w:r>
        <w:tab/>
        <w:t>(i)</w:t>
      </w:r>
      <w:r>
        <w:tab/>
        <w:t>the drilling is necessary to carry out intensive exploration of the area;</w:t>
      </w:r>
    </w:p>
    <w:p>
      <w:pPr>
        <w:pStyle w:val="yIndenti0"/>
      </w:pPr>
      <w:r>
        <w:tab/>
        <w:t>(ii)</w:t>
      </w:r>
      <w:r>
        <w:tab/>
        <w:t>any areas previously cleared under this paragraph have been rehabilitated; and</w:t>
      </w:r>
    </w:p>
    <w:p>
      <w:pPr>
        <w:pStyle w:val="yIndenti0"/>
      </w:pPr>
      <w:r>
        <w:tab/>
        <w:t>(iii)</w:t>
      </w:r>
      <w:r>
        <w:tab/>
        <w:t>in respect of compressed air drilling — any drilling fluids used or groundwater released is retained in a sump;</w:t>
      </w:r>
    </w:p>
    <w:p>
      <w:pPr>
        <w:pStyle w:val="yIndenta"/>
      </w:pPr>
      <w:r>
        <w:tab/>
        <w:t>(e)</w:t>
      </w:r>
      <w:r>
        <w:tab/>
        <w:t>raised</w:t>
      </w:r>
      <w:r>
        <w:noBreakHyphen/>
        <w:t>blade clearing for temporary tracks (of no more than 4 m in width) for the purposes of drilling described in paragraph (c);</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Indenta"/>
      </w:pPr>
      <w:r>
        <w:tab/>
        <w:t>(h)</w:t>
      </w:r>
      <w:r>
        <w:tab/>
        <w:t xml:space="preserve">excavation (including costeaning) for the purposes of exploration sampling if — </w:t>
      </w:r>
    </w:p>
    <w:p>
      <w:pPr>
        <w:pStyle w:val="yIndenti0"/>
      </w:pPr>
      <w:r>
        <w:tab/>
        <w:t>(i)</w:t>
      </w:r>
      <w:r>
        <w:tab/>
        <w:t>it is at a rate of less than 20 m</w:t>
      </w:r>
      <w:r>
        <w:rPr>
          <w:vertAlign w:val="superscript"/>
        </w:rPr>
        <w:t>3</w:t>
      </w:r>
      <w:r>
        <w:t xml:space="preserve"> per ha; and</w:t>
      </w:r>
    </w:p>
    <w:p>
      <w:pPr>
        <w:pStyle w:val="yIndenti0"/>
      </w:pPr>
      <w:r>
        <w:tab/>
        <w:t>(ii)</w:t>
      </w:r>
      <w:r>
        <w:tab/>
        <w:t>each excavation is at least 100 m from any other excavation, at their closest point;</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70"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2757-8; 23 Dec 2005 p. 6269-70.]</w:t>
      </w:r>
    </w:p>
    <w:p>
      <w:pPr>
        <w:pStyle w:val="yHeading5"/>
        <w:outlineLvl w:val="9"/>
      </w:pPr>
      <w:bookmarkStart w:id="71" w:name="_Toc123034491"/>
      <w:bookmarkStart w:id="72" w:name="_Toc139970922"/>
      <w:r>
        <w:rPr>
          <w:rStyle w:val="CharSClsNo"/>
        </w:rPr>
        <w:t>3</w:t>
      </w:r>
      <w:r>
        <w:t>.</w:t>
      </w:r>
      <w:r>
        <w:tab/>
        <w:t>How the activity is to be carried out</w:t>
      </w:r>
      <w:bookmarkEnd w:id="70"/>
      <w:bookmarkEnd w:id="71"/>
      <w:bookmarkEnd w:id="72"/>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73" w:name="_Toc76184669"/>
      <w:bookmarkStart w:id="74" w:name="_Toc123034492"/>
      <w:bookmarkStart w:id="75" w:name="_Toc139970923"/>
      <w:r>
        <w:rPr>
          <w:rStyle w:val="CharSClsNo"/>
        </w:rPr>
        <w:t>4</w:t>
      </w:r>
      <w:r>
        <w:t>.</w:t>
      </w:r>
      <w:r>
        <w:tab/>
        <w:t>Non-permitted areas</w:t>
      </w:r>
      <w:bookmarkEnd w:id="73"/>
      <w:bookmarkEnd w:id="74"/>
      <w:bookmarkEnd w:id="75"/>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76" w:name="_Hlt57008127"/>
      <w:bookmarkEnd w:id="76"/>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77" w:name="_Toc76184670"/>
      <w:bookmarkStart w:id="78" w:name="_Toc123034493"/>
      <w:bookmarkStart w:id="79" w:name="_Toc123034654"/>
      <w:bookmarkStart w:id="80" w:name="_Toc123101695"/>
      <w:bookmarkStart w:id="81" w:name="_Toc124239361"/>
      <w:bookmarkStart w:id="82" w:name="_Toc124239914"/>
      <w:bookmarkStart w:id="83" w:name="_Toc131827193"/>
      <w:bookmarkStart w:id="84" w:name="_Toc139966461"/>
      <w:bookmarkStart w:id="85" w:name="_Toc139970924"/>
      <w:r>
        <w:rPr>
          <w:rStyle w:val="CharSchNo"/>
        </w:rPr>
        <w:t>Schedule 2</w:t>
      </w:r>
      <w:r>
        <w:t> — </w:t>
      </w:r>
      <w:r>
        <w:rPr>
          <w:rStyle w:val="CharSchText"/>
        </w:rPr>
        <w:t>Clearing for maintenance in existing transport corridors</w:t>
      </w:r>
      <w:bookmarkEnd w:id="77"/>
      <w:bookmarkEnd w:id="78"/>
      <w:bookmarkEnd w:id="79"/>
      <w:bookmarkEnd w:id="80"/>
      <w:bookmarkEnd w:id="81"/>
      <w:bookmarkEnd w:id="82"/>
      <w:bookmarkEnd w:id="83"/>
      <w:bookmarkEnd w:id="84"/>
      <w:bookmarkEnd w:id="85"/>
    </w:p>
    <w:p>
      <w:pPr>
        <w:pStyle w:val="yShoulderClause"/>
      </w:pPr>
      <w:r>
        <w:t>[r. 5(1) item 22</w:t>
      </w:r>
      <w:bookmarkStart w:id="86" w:name="_Hlt58988939"/>
      <w:bookmarkEnd w:id="86"/>
      <w:r>
        <w:t>]</w:t>
      </w:r>
    </w:p>
    <w:p>
      <w:pPr>
        <w:pStyle w:val="yFootnoteheading"/>
      </w:pPr>
      <w:r>
        <w:tab/>
        <w:t>[Heading amended in Gazette 7 Jul 2006 p. 2500.]</w:t>
      </w:r>
    </w:p>
    <w:p>
      <w:pPr>
        <w:pStyle w:val="yHeading5"/>
        <w:outlineLvl w:val="9"/>
      </w:pPr>
      <w:bookmarkStart w:id="87" w:name="_Toc76184671"/>
      <w:bookmarkStart w:id="88" w:name="_Toc123034494"/>
      <w:bookmarkStart w:id="89" w:name="_Toc139970925"/>
      <w:r>
        <w:rPr>
          <w:rStyle w:val="CharSClsNo"/>
        </w:rPr>
        <w:t>1</w:t>
      </w:r>
      <w:r>
        <w:t>.</w:t>
      </w:r>
      <w:r>
        <w:tab/>
        <w:t>Terms used in this Schedule</w:t>
      </w:r>
      <w:bookmarkEnd w:id="87"/>
      <w:bookmarkEnd w:id="88"/>
      <w:bookmarkEnd w:id="89"/>
    </w:p>
    <w:p>
      <w:pPr>
        <w:pStyle w:val="ySubsection"/>
      </w:pPr>
      <w:r>
        <w:tab/>
      </w:r>
      <w:r>
        <w:tab/>
        <w:t xml:space="preserve">In this Schedule — </w:t>
      </w:r>
    </w:p>
    <w:p>
      <w:pPr>
        <w:pStyle w:val="yDefstart"/>
      </w:pPr>
      <w:r>
        <w:tab/>
      </w:r>
      <w:r>
        <w:rPr>
          <w:b/>
        </w:rPr>
        <w:t>“</w:t>
      </w:r>
      <w:r>
        <w:rPr>
          <w:rStyle w:val="CharDefText"/>
        </w:rPr>
        <w:t>crossover area</w:t>
      </w:r>
      <w:r>
        <w:rPr>
          <w:b/>
        </w:rPr>
        <w:t>”</w:t>
      </w:r>
      <w:r>
        <w:t xml:space="preserve"> means the area occupied by a crossover from a road to a property adjacent to the road and any associated sight line areas;</w:t>
      </w:r>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pPr>
      <w:r>
        <w:tab/>
      </w:r>
      <w:r>
        <w:rPr>
          <w:b/>
        </w:rPr>
        <w:t>“</w:t>
      </w:r>
      <w:r>
        <w:rPr>
          <w:rStyle w:val="CharDefText"/>
        </w:rPr>
        <w:t>previously cleared</w:t>
      </w:r>
      <w:r>
        <w:rPr>
          <w:b/>
        </w:rPr>
        <w:t>”</w:t>
      </w:r>
      <w:r>
        <w:t xml:space="preserve"> has a meaning that is affected by clause 2(2);</w:t>
      </w:r>
    </w:p>
    <w:p>
      <w:pPr>
        <w:pStyle w:val="yDefstart"/>
      </w:pPr>
      <w:r>
        <w:rPr>
          <w:b/>
        </w:rPr>
        <w:tab/>
        <w:t>“</w:t>
      </w:r>
      <w:r>
        <w:rPr>
          <w:rStyle w:val="CharDefText"/>
        </w:rPr>
        <w:t>public roadside facility</w:t>
      </w:r>
      <w:r>
        <w:rPr>
          <w:b/>
        </w:rPr>
        <w:t>”</w:t>
      </w:r>
      <w:r>
        <w:t xml:space="preserve"> includes a camping area, rest area, information bay, road train assembly area or parking area or a footpath or cycle track in the road reserve;</w:t>
      </w:r>
    </w:p>
    <w:p>
      <w:pPr>
        <w:pStyle w:val="yDefstart"/>
      </w:pPr>
      <w:r>
        <w:rPr>
          <w:b/>
        </w:rPr>
        <w:tab/>
        <w:t>“</w:t>
      </w:r>
      <w:r>
        <w:rPr>
          <w:rStyle w:val="CharDefText"/>
        </w:rPr>
        <w:t>transport corridor infrastructure</w:t>
      </w:r>
      <w:r>
        <w:rPr>
          <w:b/>
        </w:rPr>
        <w:t>”</w:t>
      </w:r>
      <w:r>
        <w:t>, in relation to a stretch of road or railway, includes barriers, signs, guideposts, drains, levies, embankments, gutters, bridges, overpasses and other similar structures or works.</w:t>
      </w:r>
    </w:p>
    <w:p>
      <w:pPr>
        <w:pStyle w:val="yFootnotesection"/>
      </w:pPr>
      <w:r>
        <w:tab/>
        <w:t>[Clause 1 amended in Gazette 7 Jul 2006 p. 2500</w:t>
      </w:r>
      <w:r>
        <w:noBreakHyphen/>
        <w:t>1.]</w:t>
      </w:r>
    </w:p>
    <w:p>
      <w:pPr>
        <w:pStyle w:val="yHeading5"/>
        <w:outlineLvl w:val="9"/>
      </w:pPr>
      <w:bookmarkStart w:id="90" w:name="_Toc76184672"/>
      <w:bookmarkStart w:id="91" w:name="_Toc123034495"/>
      <w:bookmarkStart w:id="92" w:name="_Toc139970926"/>
      <w:r>
        <w:rPr>
          <w:rStyle w:val="CharSClsNo"/>
        </w:rPr>
        <w:t>2</w:t>
      </w:r>
      <w:r>
        <w:t>.</w:t>
      </w:r>
      <w:r>
        <w:tab/>
        <w:t>Extent of clearing for an area or purpose in relation to a road or railway</w:t>
      </w:r>
      <w:bookmarkEnd w:id="90"/>
      <w:bookmarkEnd w:id="91"/>
      <w:bookmarkEnd w:id="92"/>
    </w:p>
    <w:p>
      <w:pPr>
        <w:pStyle w:val="ySubsection"/>
      </w:pPr>
      <w:r>
        <w:tab/>
        <w:t>(1)</w:t>
      </w:r>
      <w:r>
        <w:tab/>
        <w:t>For a stretch of road or railway,</w:t>
      </w:r>
      <w:bookmarkStart w:id="93" w:name="_Hlt56675086"/>
      <w:bookmarkEnd w:id="93"/>
      <w:r>
        <w:t xml:space="preserve"> the area or purpose and the extent of clearing referred to in item </w:t>
      </w:r>
      <w:bookmarkStart w:id="94" w:name="_Hlt56673635"/>
      <w:bookmarkEnd w:id="94"/>
      <w:r>
        <w:t>22 are, subject to subclause (2), specified in the Table to this subclause.</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jc w:val="center"/>
              <w:rPr>
                <w:b/>
              </w:rPr>
            </w:pPr>
            <w:r>
              <w:rPr>
                <w:b/>
              </w:rPr>
              <w:t>area or purpose</w:t>
            </w:r>
          </w:p>
        </w:tc>
        <w:tc>
          <w:tcPr>
            <w:tcW w:w="3545" w:type="dxa"/>
            <w:tcBorders>
              <w:top w:val="single" w:sz="4" w:space="0" w:color="auto"/>
              <w:bottom w:val="single" w:sz="4" w:space="0" w:color="auto"/>
            </w:tcBorders>
          </w:tcPr>
          <w:p>
            <w:pPr>
              <w:pStyle w:val="yTable"/>
              <w:jc w:val="center"/>
              <w:rPr>
                <w:b/>
              </w:rPr>
            </w:pPr>
            <w:r>
              <w:rPr>
                <w:b/>
              </w:rPr>
              <w:t>extent of clearing</w:t>
            </w:r>
          </w:p>
        </w:tc>
      </w:tr>
      <w:tr>
        <w:trPr>
          <w:cantSplit/>
          <w:tblHeader/>
        </w:trPr>
        <w:tc>
          <w:tcPr>
            <w:tcW w:w="2692" w:type="dxa"/>
            <w:tcBorders>
              <w:top w:val="single" w:sz="4" w:space="0" w:color="auto"/>
            </w:tcBorders>
          </w:tcPr>
          <w:p>
            <w:pPr>
              <w:pStyle w:val="yTable"/>
              <w:rPr>
                <w:b/>
              </w:rPr>
            </w:pPr>
            <w:r>
              <w:t>crossover area</w:t>
            </w:r>
          </w:p>
        </w:tc>
        <w:tc>
          <w:tcPr>
            <w:tcW w:w="3545" w:type="dxa"/>
            <w:tcBorders>
              <w:top w:val="single" w:sz="4" w:space="0" w:color="auto"/>
            </w:tcBorders>
          </w:tcPr>
          <w:p>
            <w:pPr>
              <w:pStyle w:val="yTable"/>
              <w:rPr>
                <w:b/>
              </w:rPr>
            </w:pPr>
            <w:r>
              <w:t>clearing to the extent previously cleared for the area.</w:t>
            </w:r>
          </w:p>
        </w:tc>
      </w:tr>
      <w:tr>
        <w:trPr>
          <w:cantSplit/>
        </w:trPr>
        <w:tc>
          <w:tcPr>
            <w:tcW w:w="2692" w:type="dxa"/>
          </w:tcPr>
          <w:p>
            <w:pPr>
              <w:pStyle w:val="yTable"/>
            </w:pPr>
            <w:r>
              <w:t>lateral clearance area</w:t>
            </w:r>
          </w:p>
        </w:tc>
        <w:tc>
          <w:tcPr>
            <w:tcW w:w="3545" w:type="dxa"/>
          </w:tcPr>
          <w:p>
            <w:pPr>
              <w:pStyle w:val="yTable"/>
            </w:pPr>
            <w:r>
              <w:t>complete clearing to the width and height previously cleared for that stretch of road or railway.</w:t>
            </w:r>
          </w:p>
        </w:tc>
      </w:tr>
      <w:tr>
        <w:trPr>
          <w:cantSplit/>
        </w:trPr>
        <w:tc>
          <w:tcPr>
            <w:tcW w:w="2692" w:type="dxa"/>
          </w:tcPr>
          <w:p>
            <w:pPr>
              <w:pStyle w:val="yTable"/>
            </w:pPr>
            <w:r>
              <w:t>maintenance and protection of transport corridor infrastructure</w:t>
            </w:r>
          </w:p>
        </w:tc>
        <w:tc>
          <w:tcPr>
            <w:tcW w:w="3545" w:type="dxa"/>
          </w:tcPr>
          <w:p>
            <w:pPr>
              <w:pStyle w:val="yTable"/>
            </w:pPr>
            <w:r>
              <w:t xml:space="preserve">clearing to the extent necessary to — </w:t>
            </w:r>
          </w:p>
          <w:p>
            <w:pPr>
              <w:pStyle w:val="yTable"/>
              <w:ind w:left="340" w:hanging="340"/>
            </w:pPr>
            <w:bookmarkStart w:id="95" w:name="_Hlt56676024"/>
            <w:r>
              <w:t>(a)</w:t>
            </w:r>
            <w:r>
              <w:tab/>
              <w:t xml:space="preserve">maintain the </w:t>
            </w:r>
            <w:bookmarkStart w:id="96" w:name="_Hlt56676002"/>
            <w:bookmarkEnd w:id="95"/>
            <w:bookmarkEnd w:id="96"/>
            <w:r>
              <w:t>efficacy and safety of the infrastructure;</w:t>
            </w:r>
          </w:p>
          <w:p>
            <w:pPr>
              <w:pStyle w:val="yTable"/>
              <w:ind w:left="340" w:hanging="340"/>
            </w:pPr>
            <w:r>
              <w:t>(b)</w:t>
            </w:r>
            <w:r>
              <w:tab/>
              <w:t>protect the infrastructure (for example, from fire); and</w:t>
            </w:r>
          </w:p>
          <w:p>
            <w:pPr>
              <w:pStyle w:val="yTable"/>
              <w:ind w:left="340" w:hanging="340"/>
            </w:pPr>
            <w:r>
              <w:t>(c)</w:t>
            </w:r>
            <w:r>
              <w:tab/>
              <w:t>provide access to the infrastructure to maintain it.</w:t>
            </w:r>
          </w:p>
        </w:tc>
      </w:tr>
      <w:tr>
        <w:trPr>
          <w:cantSplit/>
        </w:trPr>
        <w:tc>
          <w:tcPr>
            <w:tcW w:w="2692" w:type="dxa"/>
          </w:tcPr>
          <w:p>
            <w:pPr>
              <w:pStyle w:val="yTable"/>
            </w:pPr>
            <w:r>
              <w:t>an area that is a public roadside facility</w:t>
            </w:r>
          </w:p>
        </w:tc>
        <w:tc>
          <w:tcPr>
            <w:tcW w:w="3545" w:type="dxa"/>
          </w:tcPr>
          <w:p>
            <w:pPr>
              <w:pStyle w:val="yTable"/>
            </w:pPr>
            <w:r>
              <w:t>clearing to the extent necessary to maintain (but not extend) the intended use of the area.</w:t>
            </w:r>
          </w:p>
        </w:tc>
      </w:tr>
      <w:tr>
        <w:trPr>
          <w:cantSplit/>
        </w:trPr>
        <w:tc>
          <w:tcPr>
            <w:tcW w:w="2692" w:type="dxa"/>
            <w:tcBorders>
              <w:bottom w:val="single" w:sz="4" w:space="0" w:color="auto"/>
            </w:tcBorders>
          </w:tcPr>
          <w:p>
            <w:pPr>
              <w:pStyle w:val="yTable"/>
            </w:pPr>
            <w:r>
              <w:t>sight line area</w:t>
            </w:r>
          </w:p>
        </w:tc>
        <w:tc>
          <w:tcPr>
            <w:tcW w:w="3545" w:type="dxa"/>
            <w:tcBorders>
              <w:bottom w:val="single" w:sz="4" w:space="0" w:color="auto"/>
            </w:tcBorders>
          </w:tcPr>
          <w:p>
            <w:pPr>
              <w:pStyle w:val="yTable"/>
            </w:pPr>
            <w:r>
              <w:t>clearing to the extent previously cleared for that area.</w:t>
            </w:r>
          </w:p>
        </w:tc>
      </w:tr>
    </w:tbl>
    <w:p>
      <w:pPr>
        <w:pStyle w:val="ySubsection"/>
      </w:pPr>
      <w:bookmarkStart w:id="97" w:name="_Hlt56489851"/>
      <w:bookmarkStart w:id="98" w:name="_Toc76184673"/>
      <w:bookmarkStart w:id="99" w:name="_Toc123034496"/>
      <w:bookmarkEnd w:id="97"/>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rPr>
          <w:rStyle w:val="CharSClsNo"/>
        </w:rPr>
      </w:pPr>
      <w:r>
        <w:tab/>
        <w:t>[Clause 2 amended in Gazette 7 Jul 2006 p. 2501.]</w:t>
      </w:r>
    </w:p>
    <w:p>
      <w:pPr>
        <w:pStyle w:val="yHeading5"/>
        <w:outlineLvl w:val="9"/>
      </w:pPr>
      <w:bookmarkStart w:id="100" w:name="_Toc139970927"/>
      <w:r>
        <w:rPr>
          <w:rStyle w:val="CharSClsNo"/>
        </w:rPr>
        <w:t>3</w:t>
      </w:r>
      <w:r>
        <w:t>.</w:t>
      </w:r>
      <w:r>
        <w:tab/>
        <w:t>How the clearing is to be carried out</w:t>
      </w:r>
      <w:bookmarkEnd w:id="98"/>
      <w:bookmarkEnd w:id="99"/>
      <w:bookmarkEnd w:id="100"/>
    </w:p>
    <w:p>
      <w:pPr>
        <w:pStyle w:val="ySubsection"/>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 7 Jul 2006 p. 2501.]</w:t>
      </w:r>
    </w:p>
    <w:p>
      <w:pPr>
        <w:pStyle w:val="yScheduleHeading"/>
      </w:pPr>
      <w:bookmarkStart w:id="101" w:name="_Toc76184674"/>
      <w:bookmarkStart w:id="102" w:name="_Toc123034497"/>
      <w:bookmarkStart w:id="103" w:name="_Toc123034658"/>
      <w:bookmarkStart w:id="104" w:name="_Toc123101699"/>
      <w:bookmarkStart w:id="105" w:name="_Toc124239365"/>
      <w:bookmarkStart w:id="106" w:name="_Toc124239918"/>
      <w:bookmarkStart w:id="107" w:name="_Toc131827197"/>
      <w:bookmarkStart w:id="108" w:name="_Toc139966465"/>
      <w:bookmarkStart w:id="109" w:name="_Toc139970928"/>
      <w:r>
        <w:rPr>
          <w:rStyle w:val="CharSchNo"/>
        </w:rPr>
        <w:t xml:space="preserve">Schedule </w:t>
      </w:r>
      <w:bookmarkStart w:id="110" w:name="_Hlt56671059"/>
      <w:bookmarkEnd w:id="110"/>
      <w:r>
        <w:rPr>
          <w:rStyle w:val="CharSchNo"/>
        </w:rPr>
        <w:t>3</w:t>
      </w:r>
      <w:r>
        <w:t> — </w:t>
      </w:r>
      <w:r>
        <w:rPr>
          <w:rStyle w:val="CharSchText"/>
        </w:rPr>
        <w:t>Infrastructure maintenance activities</w:t>
      </w:r>
      <w:bookmarkEnd w:id="101"/>
      <w:bookmarkEnd w:id="102"/>
      <w:bookmarkEnd w:id="103"/>
      <w:bookmarkEnd w:id="104"/>
      <w:bookmarkEnd w:id="105"/>
      <w:bookmarkEnd w:id="106"/>
      <w:bookmarkEnd w:id="107"/>
      <w:bookmarkEnd w:id="108"/>
      <w:bookmarkEnd w:id="109"/>
    </w:p>
    <w:p>
      <w:pPr>
        <w:pStyle w:val="yShoulderClause"/>
      </w:pPr>
      <w:r>
        <w:t>[r.</w:t>
      </w:r>
      <w:bookmarkStart w:id="111" w:name="_Hlt56594239"/>
      <w:r>
        <w:t> </w:t>
      </w:r>
      <w:bookmarkStart w:id="112" w:name="_Hlt56677587"/>
      <w:r>
        <w:t>5</w:t>
      </w:r>
      <w:bookmarkEnd w:id="111"/>
      <w:bookmarkEnd w:id="112"/>
      <w:r>
        <w:t>(1) item 2</w:t>
      </w:r>
      <w:bookmarkStart w:id="113" w:name="_Hlt58988946"/>
      <w:bookmarkEnd w:id="113"/>
      <w:r>
        <w:t>3]</w:t>
      </w:r>
    </w:p>
    <w:p>
      <w:pPr>
        <w:pStyle w:val="yHeading5"/>
        <w:outlineLvl w:val="9"/>
      </w:pPr>
      <w:bookmarkStart w:id="114" w:name="_Toc76184675"/>
      <w:bookmarkStart w:id="115" w:name="_Toc123034498"/>
      <w:bookmarkStart w:id="116" w:name="_Toc139970929"/>
      <w:r>
        <w:rPr>
          <w:rStyle w:val="CharSClsNo"/>
        </w:rPr>
        <w:t>1</w:t>
      </w:r>
      <w:r>
        <w:t>.</w:t>
      </w:r>
      <w:r>
        <w:tab/>
        <w:t>Infrastructure maintenance activities</w:t>
      </w:r>
      <w:bookmarkEnd w:id="114"/>
      <w:bookmarkEnd w:id="115"/>
      <w:bookmarkEnd w:id="116"/>
    </w:p>
    <w:p>
      <w:pPr>
        <w:pStyle w:val="ySubsection"/>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outlineLvl w:val="9"/>
      </w:pPr>
      <w:bookmarkStart w:id="117" w:name="_Toc76184676"/>
      <w:bookmarkStart w:id="118" w:name="_Toc123034499"/>
      <w:bookmarkStart w:id="119" w:name="_Toc139970930"/>
      <w:r>
        <w:rPr>
          <w:rStyle w:val="CharSClsNo"/>
        </w:rPr>
        <w:t>2</w:t>
      </w:r>
      <w:r>
        <w:t>.</w:t>
      </w:r>
      <w:r>
        <w:tab/>
        <w:t>How the activity is to be carried out</w:t>
      </w:r>
      <w:bookmarkEnd w:id="117"/>
      <w:bookmarkEnd w:id="118"/>
      <w:bookmarkEnd w:id="119"/>
    </w:p>
    <w:p>
      <w:pPr>
        <w:pStyle w:val="ySubsection"/>
      </w:pPr>
      <w:r>
        <w:tab/>
      </w:r>
      <w:r>
        <w:tab/>
        <w:t>An activity referred to in clause</w:t>
      </w:r>
      <w:bookmarkStart w:id="120" w:name="_Hlt56594530"/>
      <w:r>
        <w:t> 1</w:t>
      </w:r>
      <w:bookmarkEnd w:id="120"/>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21" w:name="_Toc77064246"/>
      <w:bookmarkStart w:id="122" w:name="_Toc94000336"/>
      <w:bookmarkStart w:id="123" w:name="_Toc94065700"/>
      <w:bookmarkStart w:id="124" w:name="_Toc107387643"/>
      <w:bookmarkStart w:id="125" w:name="_Toc123034500"/>
      <w:bookmarkStart w:id="126" w:name="_Toc123034661"/>
      <w:bookmarkStart w:id="127" w:name="_Toc123101702"/>
      <w:bookmarkStart w:id="128" w:name="_Toc124239368"/>
      <w:bookmarkStart w:id="129" w:name="_Toc124239921"/>
      <w:bookmarkStart w:id="130" w:name="_Toc131827200"/>
      <w:bookmarkStart w:id="131" w:name="_Toc139966468"/>
      <w:bookmarkStart w:id="132" w:name="_Toc139970931"/>
      <w:r>
        <w:t>Notes</w:t>
      </w:r>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and includes the amendments made by the other written laws referred to in the following table.</w:t>
      </w:r>
    </w:p>
    <w:p>
      <w:pPr>
        <w:pStyle w:val="nHeading3"/>
      </w:pPr>
      <w:bookmarkStart w:id="133" w:name="_Toc70311430"/>
      <w:bookmarkStart w:id="134" w:name="_Toc123034501"/>
      <w:bookmarkStart w:id="135" w:name="_Toc139970932"/>
      <w:r>
        <w:t>Compilation table</w:t>
      </w:r>
      <w:bookmarkEnd w:id="133"/>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Environmental Protection (Clearing of Native Vegetation) Regulations 2004</w:t>
            </w:r>
          </w:p>
        </w:tc>
        <w:tc>
          <w:tcPr>
            <w:tcW w:w="1276" w:type="dxa"/>
            <w:tcBorders>
              <w:top w:val="single" w:sz="8" w:space="0" w:color="auto"/>
            </w:tcBorders>
          </w:tcPr>
          <w:p>
            <w:pPr>
              <w:pStyle w:val="nTable"/>
              <w:rPr>
                <w:sz w:val="19"/>
              </w:rPr>
            </w:pPr>
            <w:r>
              <w:rPr>
                <w:sz w:val="19"/>
              </w:rPr>
              <w:t>30 Jun 2004 p. 2587-623</w:t>
            </w:r>
          </w:p>
        </w:tc>
        <w:tc>
          <w:tcPr>
            <w:tcW w:w="2693" w:type="dxa"/>
            <w:tcBorders>
              <w:top w:val="single" w:sz="8" w:space="0" w:color="auto"/>
            </w:tcBorders>
          </w:tcPr>
          <w:p>
            <w:pPr>
              <w:pStyle w:val="nTable"/>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rPr>
                <w:i/>
              </w:rPr>
            </w:pPr>
            <w:r>
              <w:rPr>
                <w:i/>
              </w:rPr>
              <w:t>Environmental Protection (Clearing of Native Vegetation) Amendment Regulations 2005</w:t>
            </w:r>
          </w:p>
        </w:tc>
        <w:tc>
          <w:tcPr>
            <w:tcW w:w="1276" w:type="dxa"/>
          </w:tcPr>
          <w:p>
            <w:pPr>
              <w:pStyle w:val="nTable"/>
            </w:pPr>
            <w:r>
              <w:rPr>
                <w:sz w:val="19"/>
              </w:rPr>
              <w:t>21 Jan </w:t>
            </w:r>
            <w:r>
              <w:t>2005 p. 259</w:t>
            </w:r>
          </w:p>
        </w:tc>
        <w:tc>
          <w:tcPr>
            <w:tcW w:w="2693" w:type="dxa"/>
          </w:tcPr>
          <w:p>
            <w:pPr>
              <w:pStyle w:val="nTable"/>
              <w:rPr>
                <w:sz w:val="19"/>
              </w:rPr>
            </w:pPr>
            <w:r>
              <w:rPr>
                <w:sz w:val="19"/>
              </w:rPr>
              <w:t>21 Jan 2005</w:t>
            </w:r>
          </w:p>
        </w:tc>
      </w:tr>
      <w:tr>
        <w:tc>
          <w:tcPr>
            <w:tcW w:w="3118" w:type="dxa"/>
          </w:tcPr>
          <w:p>
            <w:pPr>
              <w:pStyle w:val="nTable"/>
              <w:rPr>
                <w:i/>
              </w:rPr>
            </w:pPr>
            <w:r>
              <w:rPr>
                <w:i/>
              </w:rPr>
              <w:t>Environmental Protection (Clearing of Native Vegetation) Amendment Regulations (No. 2) 2005</w:t>
            </w:r>
          </w:p>
        </w:tc>
        <w:tc>
          <w:tcPr>
            <w:tcW w:w="1276" w:type="dxa"/>
          </w:tcPr>
          <w:p>
            <w:pPr>
              <w:pStyle w:val="nTable"/>
              <w:rPr>
                <w:sz w:val="19"/>
              </w:rPr>
            </w:pPr>
            <w:r>
              <w:rPr>
                <w:sz w:val="19"/>
              </w:rPr>
              <w:t>24 Jun 2005 p. 2755-8</w:t>
            </w:r>
          </w:p>
        </w:tc>
        <w:tc>
          <w:tcPr>
            <w:tcW w:w="2693" w:type="dxa"/>
          </w:tcPr>
          <w:p>
            <w:pPr>
              <w:pStyle w:val="nTable"/>
              <w:rPr>
                <w:sz w:val="19"/>
              </w:rPr>
            </w:pPr>
            <w:r>
              <w:rPr>
                <w:sz w:val="19"/>
              </w:rPr>
              <w:t>24 Jun 2005</w:t>
            </w:r>
          </w:p>
        </w:tc>
      </w:tr>
      <w:tr>
        <w:tc>
          <w:tcPr>
            <w:tcW w:w="3118" w:type="dxa"/>
          </w:tcPr>
          <w:p>
            <w:pPr>
              <w:pStyle w:val="nTable"/>
              <w:rPr>
                <w:i/>
              </w:rPr>
            </w:pPr>
            <w:r>
              <w:rPr>
                <w:i/>
              </w:rPr>
              <w:t>Environmental Protection (Clearing of Native Vegetation) Amendment Regulations (No. 3) 2005</w:t>
            </w:r>
          </w:p>
        </w:tc>
        <w:tc>
          <w:tcPr>
            <w:tcW w:w="1276" w:type="dxa"/>
          </w:tcPr>
          <w:p>
            <w:pPr>
              <w:pStyle w:val="nTable"/>
              <w:rPr>
                <w:sz w:val="19"/>
              </w:rPr>
            </w:pPr>
            <w:r>
              <w:rPr>
                <w:sz w:val="19"/>
              </w:rPr>
              <w:t>23 Dec 2005 p. 6268-70</w:t>
            </w:r>
          </w:p>
        </w:tc>
        <w:tc>
          <w:tcPr>
            <w:tcW w:w="2693" w:type="dxa"/>
          </w:tcPr>
          <w:p>
            <w:pPr>
              <w:pStyle w:val="nTable"/>
              <w:rPr>
                <w:sz w:val="19"/>
              </w:rPr>
            </w:pPr>
            <w:r>
              <w:rPr>
                <w:sz w:val="19"/>
              </w:rPr>
              <w:t>23 Dec 2005</w:t>
            </w:r>
          </w:p>
        </w:tc>
      </w:tr>
      <w:tr>
        <w:tc>
          <w:tcPr>
            <w:tcW w:w="3118" w:type="dxa"/>
          </w:tcPr>
          <w:p>
            <w:pPr>
              <w:pStyle w:val="nTable"/>
              <w:rPr>
                <w:i/>
              </w:rPr>
            </w:pPr>
            <w:r>
              <w:rPr>
                <w:i/>
              </w:rPr>
              <w:t>Environmental Protection (Clearing of Native Vegetation) Regulations 2006</w:t>
            </w:r>
          </w:p>
        </w:tc>
        <w:tc>
          <w:tcPr>
            <w:tcW w:w="1276" w:type="dxa"/>
          </w:tcPr>
          <w:p>
            <w:pPr>
              <w:pStyle w:val="nTable"/>
              <w:rPr>
                <w:sz w:val="19"/>
              </w:rPr>
            </w:pPr>
            <w:r>
              <w:rPr>
                <w:sz w:val="19"/>
              </w:rPr>
              <w:t>6 Jan 2006 p. 29-31</w:t>
            </w:r>
          </w:p>
        </w:tc>
        <w:tc>
          <w:tcPr>
            <w:tcW w:w="2693" w:type="dxa"/>
          </w:tcPr>
          <w:p>
            <w:pPr>
              <w:pStyle w:val="nTable"/>
              <w:rPr>
                <w:sz w:val="19"/>
              </w:rPr>
            </w:pPr>
            <w:r>
              <w:rPr>
                <w:sz w:val="19"/>
              </w:rPr>
              <w:t>6 Jan 2006</w:t>
            </w:r>
          </w:p>
        </w:tc>
      </w:tr>
      <w:tr>
        <w:tc>
          <w:tcPr>
            <w:tcW w:w="3118" w:type="dxa"/>
          </w:tcPr>
          <w:p>
            <w:pPr>
              <w:pStyle w:val="nTable"/>
              <w:rPr>
                <w:i/>
              </w:rPr>
            </w:pPr>
            <w:r>
              <w:rPr>
                <w:i/>
              </w:rPr>
              <w:t>Environmental Protection (Clearing of Native Vegetation) Amendment Regulations (No. 2) 2006</w:t>
            </w:r>
          </w:p>
        </w:tc>
        <w:tc>
          <w:tcPr>
            <w:tcW w:w="1276" w:type="dxa"/>
          </w:tcPr>
          <w:p>
            <w:pPr>
              <w:pStyle w:val="nTable"/>
              <w:rPr>
                <w:sz w:val="19"/>
              </w:rPr>
            </w:pPr>
            <w:r>
              <w:rPr>
                <w:sz w:val="19"/>
              </w:rPr>
              <w:t>31 Mar 2006 p. 1164</w:t>
            </w:r>
            <w:r>
              <w:rPr>
                <w:sz w:val="19"/>
              </w:rPr>
              <w:noBreakHyphen/>
              <w:t>5</w:t>
            </w:r>
          </w:p>
        </w:tc>
        <w:tc>
          <w:tcPr>
            <w:tcW w:w="2693" w:type="dxa"/>
          </w:tcPr>
          <w:p>
            <w:pPr>
              <w:pStyle w:val="nTable"/>
              <w:rPr>
                <w:sz w:val="19"/>
              </w:rPr>
            </w:pPr>
            <w:r>
              <w:rPr>
                <w:sz w:val="19"/>
              </w:rPr>
              <w:t>31 Mar 2006</w:t>
            </w:r>
          </w:p>
        </w:tc>
      </w:tr>
      <w:tr>
        <w:tc>
          <w:tcPr>
            <w:tcW w:w="3118" w:type="dxa"/>
          </w:tcPr>
          <w:p>
            <w:pPr>
              <w:pStyle w:val="nTable"/>
              <w:rPr>
                <w:sz w:val="19"/>
              </w:rPr>
            </w:pPr>
            <w:r>
              <w:rPr>
                <w:i/>
                <w:sz w:val="19"/>
              </w:rPr>
              <w:t>Electricity Corporations (Consequential Amendments) Regulations 2006</w:t>
            </w:r>
            <w:r>
              <w:rPr>
                <w:iCs/>
                <w:sz w:val="19"/>
              </w:rPr>
              <w:t xml:space="preserve"> r. 79</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Borders>
              <w:bottom w:val="single" w:sz="4" w:space="0" w:color="auto"/>
            </w:tcBorders>
          </w:tcPr>
          <w:p>
            <w:pPr>
              <w:pStyle w:val="nTable"/>
              <w:rPr>
                <w:i/>
                <w:sz w:val="19"/>
              </w:rPr>
            </w:pPr>
            <w:r>
              <w:rPr>
                <w:i/>
              </w:rPr>
              <w:t>Environmental Protection (Clearing of Native Vegetation) Amendment Regulations (No. 4) 2006</w:t>
            </w:r>
          </w:p>
        </w:tc>
        <w:tc>
          <w:tcPr>
            <w:tcW w:w="1276" w:type="dxa"/>
            <w:tcBorders>
              <w:bottom w:val="single" w:sz="4" w:space="0" w:color="auto"/>
            </w:tcBorders>
          </w:tcPr>
          <w:p>
            <w:pPr>
              <w:pStyle w:val="nTable"/>
              <w:rPr>
                <w:sz w:val="19"/>
              </w:rPr>
            </w:pPr>
            <w:r>
              <w:rPr>
                <w:sz w:val="19"/>
              </w:rPr>
              <w:t>7 Jul 2006 p. 2499</w:t>
            </w:r>
            <w:r>
              <w:rPr>
                <w:sz w:val="19"/>
              </w:rPr>
              <w:noBreakHyphen/>
              <w:t>501</w:t>
            </w:r>
          </w:p>
        </w:tc>
        <w:tc>
          <w:tcPr>
            <w:tcW w:w="2693" w:type="dxa"/>
            <w:tcBorders>
              <w:bottom w:val="single" w:sz="4" w:space="0" w:color="auto"/>
            </w:tcBorders>
          </w:tcPr>
          <w:p>
            <w:pPr>
              <w:pStyle w:val="nTable"/>
              <w:rPr>
                <w:sz w:val="19"/>
              </w:rPr>
            </w:pPr>
            <w:r>
              <w:rPr>
                <w:sz w:val="19"/>
              </w:rPr>
              <w:t>7 Jul 2006</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b/>
            </w:rPr>
            <w:fldChar w:fldCharType="begin"/>
          </w:r>
          <w:r>
            <w:rPr>
              <w:b/>
            </w:rPr>
            <w:instrText xml:space="preserve"> STYLEREF CharSchText </w:instrText>
          </w:r>
          <w:r>
            <w:rPr>
              <w:b/>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pPr>
          <w:r>
            <w:rPr>
              <w:b/>
            </w:rPr>
            <w:fldChar w:fldCharType="begin"/>
          </w:r>
          <w:r>
            <w:rPr>
              <w:b/>
            </w:rPr>
            <w:instrText xml:space="preserve"> STYLEREF CharSchText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217"/>
    <w:docVar w:name="WAFER_20151207170217" w:val="RemoveTrackChanges"/>
    <w:docVar w:name="WAFER_20151207170217_GUID" w:val="cd441351-f8a8-4659-aa0c-e7a1dd6115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8148</Words>
  <Characters>39685</Characters>
  <Application>Microsoft Office Word</Application>
  <DocSecurity>0</DocSecurity>
  <Lines>1526</Lines>
  <Paragraphs>683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Manager/>
  <Company/>
  <LinksUpToDate>false</LinksUpToDate>
  <CharactersWithSpaces>47150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2004 - 00-g0-03</dc:title>
  <dc:subject/>
  <dc:creator/>
  <cp:keywords/>
  <dc:description/>
  <cp:lastModifiedBy>svcMRProcess</cp:lastModifiedBy>
  <cp:revision>4</cp:revision>
  <cp:lastPrinted>2006-07-06T08:14:00Z</cp:lastPrinted>
  <dcterms:created xsi:type="dcterms:W3CDTF">2015-12-08T22:24:00Z</dcterms:created>
  <dcterms:modified xsi:type="dcterms:W3CDTF">2015-12-08T22:24:00Z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20060707</vt:lpwstr>
  </property>
  <property fmtid="{D5CDD505-2E9C-101B-9397-08002B2CF9AE}" pid="4" name="DocumentType">
    <vt:lpwstr>Reg</vt:lpwstr>
  </property>
  <property fmtid="{D5CDD505-2E9C-101B-9397-08002B2CF9AE}" pid="5" name="OwlsUID">
    <vt:i4>34203</vt:i4>
  </property>
  <property fmtid="{D5CDD505-2E9C-101B-9397-08002B2CF9AE}" pid="6" name="AsAtDate">
    <vt:lpwstr>07 Jul 2006</vt:lpwstr>
  </property>
  <property fmtid="{D5CDD505-2E9C-101B-9397-08002B2CF9AE}" pid="7" name="Suffix">
    <vt:lpwstr>00-g0-03</vt:lpwstr>
  </property>
</Properties>
</file>