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rPr>
        <w:tab/>
        <w:t>Citation</w:t>
      </w:r>
      <w:r>
        <w:rPr>
          <w:noProof/>
        </w:rPr>
        <w:tab/>
      </w:r>
      <w:r>
        <w:rPr>
          <w:noProof/>
        </w:rPr>
        <w:fldChar w:fldCharType="begin"/>
      </w:r>
      <w:r>
        <w:rPr>
          <w:noProof/>
        </w:rPr>
        <w:instrText xml:space="preserve"> PAGEREF _Toc442080311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1A — Domestic solid fuel burning appliances</w:t>
      </w:r>
    </w:p>
    <w:p>
      <w:pPr>
        <w:pStyle w:val="TOC4"/>
        <w:tabs>
          <w:tab w:val="left" w:pos="1483"/>
        </w:tabs>
        <w:rPr>
          <w:noProof/>
        </w:rPr>
      </w:pPr>
      <w:r>
        <w:rPr>
          <w:noProof/>
        </w:rPr>
        <w:t>1A.</w:t>
      </w:r>
      <w:r>
        <w:rPr>
          <w:noProof/>
        </w:rPr>
        <w:tab/>
        <w:t>Interpretation</w:t>
      </w:r>
      <w:r>
        <w:rPr>
          <w:noProof/>
        </w:rPr>
        <w:tab/>
      </w:r>
      <w:r>
        <w:rPr>
          <w:noProof/>
        </w:rPr>
        <w:fldChar w:fldCharType="begin"/>
      </w:r>
      <w:r>
        <w:rPr>
          <w:noProof/>
        </w:rPr>
        <w:instrText xml:space="preserve"> PAGEREF _Toc442080312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1B.</w:t>
      </w:r>
      <w:r>
        <w:rPr>
          <w:noProof/>
        </w:rPr>
        <w:tab/>
        <w:t>Sale of non-complying appliance an offence</w:t>
      </w:r>
      <w:r>
        <w:rPr>
          <w:noProof/>
        </w:rPr>
        <w:tab/>
      </w:r>
      <w:r>
        <w:rPr>
          <w:noProof/>
        </w:rPr>
        <w:fldChar w:fldCharType="begin"/>
      </w:r>
      <w:r>
        <w:rPr>
          <w:noProof/>
        </w:rPr>
        <w:instrText xml:space="preserve"> PAGEREF _Toc442080313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1C.</w:t>
      </w:r>
      <w:r>
        <w:rPr>
          <w:noProof/>
        </w:rPr>
        <w:tab/>
        <w:t>False markings</w:t>
      </w:r>
      <w:r>
        <w:rPr>
          <w:noProof/>
        </w:rPr>
        <w:tab/>
      </w:r>
      <w:r>
        <w:rPr>
          <w:noProof/>
        </w:rPr>
        <w:fldChar w:fldCharType="begin"/>
      </w:r>
      <w:r>
        <w:rPr>
          <w:noProof/>
        </w:rPr>
        <w:instrText xml:space="preserve"> PAGEREF _Toc442080314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1D.</w:t>
      </w:r>
      <w:r>
        <w:rPr>
          <w:noProof/>
        </w:rPr>
        <w:tab/>
        <w:t>Inspection and testing of appliances</w:t>
      </w:r>
      <w:r>
        <w:rPr>
          <w:noProof/>
        </w:rPr>
        <w:tab/>
      </w:r>
      <w:r>
        <w:rPr>
          <w:noProof/>
        </w:rPr>
        <w:fldChar w:fldCharType="begin"/>
      </w:r>
      <w:r>
        <w:rPr>
          <w:noProof/>
        </w:rPr>
        <w:instrText xml:space="preserve"> PAGEREF _Toc442080315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1E.</w:t>
      </w:r>
      <w:r>
        <w:rPr>
          <w:noProof/>
        </w:rPr>
        <w:tab/>
        <w:t>Testing by registered laboratory or authorized person</w:t>
      </w:r>
      <w:r>
        <w:rPr>
          <w:noProof/>
        </w:rPr>
        <w:tab/>
      </w:r>
      <w:r>
        <w:rPr>
          <w:noProof/>
        </w:rPr>
        <w:fldChar w:fldCharType="begin"/>
      </w:r>
      <w:r>
        <w:rPr>
          <w:noProof/>
        </w:rPr>
        <w:instrText xml:space="preserve"> PAGEREF _Toc442080316 \h </w:instrText>
      </w:r>
      <w:r>
        <w:rPr>
          <w:noProof/>
        </w:rPr>
      </w:r>
      <w:r>
        <w:rPr>
          <w:noProof/>
        </w:rPr>
        <w:fldChar w:fldCharType="separate"/>
      </w:r>
      <w:r>
        <w:rPr>
          <w:noProof/>
        </w:rPr>
        <w:t>5</w:t>
      </w:r>
      <w:r>
        <w:rPr>
          <w:noProof/>
        </w:rPr>
        <w:fldChar w:fldCharType="end"/>
      </w:r>
    </w:p>
    <w:p>
      <w:pPr>
        <w:pStyle w:val="TOC2"/>
        <w:tabs>
          <w:tab w:val="right" w:leader="dot" w:pos="7086"/>
        </w:tabs>
        <w:rPr>
          <w:noProof/>
        </w:rPr>
      </w:pPr>
      <w:r>
        <w:rPr>
          <w:noProof/>
        </w:rPr>
        <w:t>Part 2 — Green firewood</w:t>
      </w:r>
    </w:p>
    <w:p>
      <w:pPr>
        <w:pStyle w:val="TOC4"/>
        <w:tabs>
          <w:tab w:val="left" w:pos="1483"/>
        </w:tabs>
        <w:rPr>
          <w:noProof/>
        </w:rPr>
      </w:pPr>
      <w:r>
        <w:rPr>
          <w:noProof/>
        </w:rPr>
        <w:t>2.</w:t>
      </w:r>
      <w:r>
        <w:rPr>
          <w:noProof/>
        </w:rPr>
        <w:tab/>
        <w:t>Application of this Part</w:t>
      </w:r>
      <w:r>
        <w:rPr>
          <w:noProof/>
        </w:rPr>
        <w:tab/>
      </w:r>
      <w:r>
        <w:rPr>
          <w:noProof/>
        </w:rPr>
        <w:fldChar w:fldCharType="begin"/>
      </w:r>
      <w:r>
        <w:rPr>
          <w:noProof/>
        </w:rPr>
        <w:instrText xml:space="preserve"> PAGEREF _Toc442080317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3.</w:t>
      </w:r>
      <w:r>
        <w:rPr>
          <w:noProof/>
        </w:rPr>
        <w:tab/>
        <w:t>Restrictions on sale of green firewood</w:t>
      </w:r>
      <w:r>
        <w:rPr>
          <w:noProof/>
        </w:rPr>
        <w:tab/>
      </w:r>
      <w:r>
        <w:rPr>
          <w:noProof/>
        </w:rPr>
        <w:fldChar w:fldCharType="begin"/>
      </w:r>
      <w:r>
        <w:rPr>
          <w:noProof/>
        </w:rPr>
        <w:instrText xml:space="preserve"> PAGEREF _Toc442080318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4.</w:t>
      </w:r>
      <w:r>
        <w:rPr>
          <w:noProof/>
        </w:rPr>
        <w:tab/>
        <w:t>Restrictions on stockpiling of green firewood</w:t>
      </w:r>
      <w:r>
        <w:rPr>
          <w:noProof/>
        </w:rPr>
        <w:tab/>
      </w:r>
      <w:r>
        <w:rPr>
          <w:noProof/>
        </w:rPr>
        <w:fldChar w:fldCharType="begin"/>
      </w:r>
      <w:r>
        <w:rPr>
          <w:noProof/>
        </w:rPr>
        <w:instrText xml:space="preserve"> PAGEREF _Toc442080319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5.</w:t>
      </w:r>
      <w:r>
        <w:rPr>
          <w:noProof/>
        </w:rPr>
        <w:tab/>
        <w:t>Permits</w:t>
      </w:r>
      <w:r>
        <w:rPr>
          <w:noProof/>
        </w:rPr>
        <w:tab/>
      </w:r>
      <w:r>
        <w:rPr>
          <w:noProof/>
        </w:rPr>
        <w:fldChar w:fldCharType="begin"/>
      </w:r>
      <w:r>
        <w:rPr>
          <w:noProof/>
        </w:rPr>
        <w:instrText xml:space="preserve"> PAGEREF _Toc442080320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6.</w:t>
      </w:r>
      <w:r>
        <w:rPr>
          <w:noProof/>
        </w:rPr>
        <w:tab/>
        <w:t>Duration and revocation of permits</w:t>
      </w:r>
      <w:r>
        <w:rPr>
          <w:noProof/>
        </w:rPr>
        <w:tab/>
      </w:r>
      <w:r>
        <w:rPr>
          <w:noProof/>
        </w:rPr>
        <w:fldChar w:fldCharType="begin"/>
      </w:r>
      <w:r>
        <w:rPr>
          <w:noProof/>
        </w:rPr>
        <w:instrText xml:space="preserve"> PAGEREF _Toc442080321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7.</w:t>
      </w:r>
      <w:r>
        <w:rPr>
          <w:noProof/>
        </w:rPr>
        <w:tab/>
        <w:t>Measurement of internal moisture content</w:t>
      </w:r>
      <w:r>
        <w:rPr>
          <w:noProof/>
        </w:rPr>
        <w:tab/>
      </w:r>
      <w:r>
        <w:rPr>
          <w:noProof/>
        </w:rPr>
        <w:fldChar w:fldCharType="begin"/>
      </w:r>
      <w:r>
        <w:rPr>
          <w:noProof/>
        </w:rPr>
        <w:instrText xml:space="preserve"> PAGEREF _Toc442080322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3 — General</w:t>
      </w:r>
    </w:p>
    <w:p>
      <w:pPr>
        <w:pStyle w:val="TOC4"/>
        <w:tabs>
          <w:tab w:val="left" w:pos="1483"/>
        </w:tabs>
        <w:rPr>
          <w:noProof/>
        </w:rPr>
      </w:pPr>
      <w:r>
        <w:rPr>
          <w:noProof/>
        </w:rPr>
        <w:t>8.</w:t>
      </w:r>
      <w:r>
        <w:rPr>
          <w:noProof/>
        </w:rPr>
        <w:tab/>
        <w:t>Sale of painted or treated firewood an offence</w:t>
      </w:r>
      <w:r>
        <w:rPr>
          <w:noProof/>
        </w:rPr>
        <w:tab/>
      </w:r>
      <w:r>
        <w:rPr>
          <w:noProof/>
        </w:rPr>
        <w:fldChar w:fldCharType="begin"/>
      </w:r>
      <w:r>
        <w:rPr>
          <w:noProof/>
        </w:rPr>
        <w:instrText xml:space="preserve"> PAGEREF _Toc442080323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9.</w:t>
      </w:r>
      <w:r>
        <w:rPr>
          <w:noProof/>
        </w:rPr>
        <w:tab/>
        <w:t>Offences and penalties</w:t>
      </w:r>
      <w:r>
        <w:rPr>
          <w:noProof/>
        </w:rPr>
        <w:tab/>
      </w:r>
      <w:r>
        <w:rPr>
          <w:noProof/>
        </w:rPr>
        <w:fldChar w:fldCharType="begin"/>
      </w:r>
      <w:r>
        <w:rPr>
          <w:noProof/>
        </w:rPr>
        <w:instrText xml:space="preserve"> PAGEREF _Toc442080324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Environmental Protection Act 1986</w:t>
      </w:r>
    </w:p>
    <w:p>
      <w:pPr>
        <w:pStyle w:val="NameofActReg"/>
      </w:pPr>
      <w:r>
        <w:t>Environmental Protection (Domestic Solid Fuel Burning Appliances and Firewood Supply) Regulations 1998</w:t>
      </w:r>
    </w:p>
    <w:p>
      <w:pPr>
        <w:pStyle w:val="MadeBy"/>
      </w:pPr>
      <w:r>
        <w:t>Made by the deputy of the Governor in Executive Council on the recommendation of the Environmental Protection Authority.</w:t>
      </w:r>
    </w:p>
    <w:p>
      <w:pPr>
        <w:pStyle w:val="Heading2"/>
      </w:pPr>
      <w:r>
        <w:rPr>
          <w:rStyle w:val="CharPartNo"/>
        </w:rPr>
        <w:t>Part 1</w:t>
      </w:r>
      <w:r>
        <w:rPr>
          <w:rStyle w:val="CharDivNo"/>
        </w:rPr>
        <w:t xml:space="preserve"> </w:t>
      </w:r>
      <w:r>
        <w:t>—</w:t>
      </w:r>
      <w:r>
        <w:rPr>
          <w:rStyle w:val="CharDivText"/>
        </w:rPr>
        <w:t xml:space="preserve"> </w:t>
      </w:r>
      <w:r>
        <w:rPr>
          <w:rStyle w:val="CharPartText"/>
        </w:rPr>
        <w:t>Preliminary</w:t>
      </w:r>
    </w:p>
    <w:p>
      <w:pPr>
        <w:pStyle w:val="Heading5"/>
      </w:pPr>
      <w:bookmarkStart w:id="1" w:name="_Toc425146794"/>
      <w:bookmarkStart w:id="2" w:name="_Toc425146843"/>
      <w:bookmarkStart w:id="3" w:name="_Toc425572509"/>
      <w:bookmarkStart w:id="4" w:name="_Toc442080311"/>
      <w:r>
        <w:rPr>
          <w:rStyle w:val="CharSectno"/>
        </w:rPr>
        <w:t>1</w:t>
      </w:r>
      <w:r>
        <w:t>.</w:t>
      </w:r>
      <w:r>
        <w:tab/>
        <w:t>Citation</w:t>
      </w:r>
      <w:bookmarkEnd w:id="1"/>
      <w:bookmarkEnd w:id="2"/>
      <w:bookmarkEnd w:id="3"/>
      <w:bookmarkEnd w:id="4"/>
    </w:p>
    <w:p>
      <w:pPr>
        <w:pStyle w:val="Subsection"/>
        <w:keepNext/>
      </w:pPr>
      <w:r>
        <w:tab/>
      </w:r>
      <w:r>
        <w:tab/>
        <w:t xml:space="preserve">These regulations may be cited as the </w:t>
      </w:r>
      <w:r>
        <w:rPr>
          <w:i/>
        </w:rPr>
        <w:t>Environmental Protection (Domestic Solid Fuel Burning Appliances and Firewood Supply) Regulations 1998</w:t>
      </w:r>
      <w:r>
        <w:t>.</w:t>
      </w:r>
    </w:p>
    <w:p>
      <w:pPr>
        <w:pStyle w:val="Footnotesection"/>
      </w:pPr>
      <w:r>
        <w:tab/>
        <w:t>[Regulation 1 amended in Gazette 24 November 1998 p.6312.]</w:t>
      </w:r>
    </w:p>
    <w:p>
      <w:pPr>
        <w:pStyle w:val="Heading2"/>
      </w:pPr>
      <w:r>
        <w:t>Part 1A — Domestic solid fuel burning appliances</w:t>
      </w:r>
    </w:p>
    <w:p>
      <w:pPr>
        <w:pStyle w:val="Footnoteheading"/>
      </w:pPr>
      <w:r>
        <w:t>[Heading inserted in Gazette 24 November 1998 p.6312.]</w:t>
      </w:r>
    </w:p>
    <w:p>
      <w:pPr>
        <w:pStyle w:val="Heading5"/>
      </w:pPr>
      <w:bookmarkStart w:id="5" w:name="_Toc425146795"/>
      <w:bookmarkStart w:id="6" w:name="_Toc425146844"/>
      <w:bookmarkStart w:id="7" w:name="_Toc425572510"/>
      <w:bookmarkStart w:id="8" w:name="_Toc442080312"/>
      <w:r>
        <w:t>1A.</w:t>
      </w:r>
      <w:r>
        <w:tab/>
        <w:t>Interpretation</w:t>
      </w:r>
      <w:bookmarkEnd w:id="5"/>
      <w:bookmarkEnd w:id="6"/>
      <w:bookmarkEnd w:id="7"/>
      <w:bookmarkEnd w:id="8"/>
    </w:p>
    <w:p>
      <w:pPr>
        <w:pStyle w:val="Subsection"/>
      </w:pPr>
      <w:r>
        <w:tab/>
      </w:r>
      <w:r>
        <w:tab/>
        <w:t>In this Part —</w:t>
      </w:r>
    </w:p>
    <w:p>
      <w:pPr>
        <w:pStyle w:val="Defstart"/>
      </w:pPr>
      <w:r>
        <w:tab/>
      </w:r>
      <w:r>
        <w:rPr>
          <w:b/>
        </w:rPr>
        <w:t>“</w:t>
      </w:r>
      <w:r>
        <w:rPr>
          <w:rStyle w:val="CharDefText"/>
        </w:rPr>
        <w:t>AS4013</w:t>
      </w:r>
      <w:r>
        <w:rPr>
          <w:b/>
        </w:rPr>
        <w:t>”</w:t>
      </w:r>
      <w:r>
        <w:t xml:space="preserve"> means the document entitled “Domestic solid fuel burning appliances — Method for determination of flue gas emission” published as AS4013—1992 by the Standards Association of Australia;</w:t>
      </w:r>
    </w:p>
    <w:p>
      <w:pPr>
        <w:pStyle w:val="Defstart"/>
      </w:pPr>
      <w:r>
        <w:tab/>
      </w:r>
      <w:r>
        <w:rPr>
          <w:b/>
        </w:rPr>
        <w:t>“</w:t>
      </w:r>
      <w:r>
        <w:rPr>
          <w:rStyle w:val="CharDefText"/>
        </w:rPr>
        <w:t>emission standard</w:t>
      </w:r>
      <w:r>
        <w:rPr>
          <w:b/>
        </w:rPr>
        <w:t>”</w:t>
      </w:r>
      <w:r>
        <w:t xml:space="preserve"> means the emission standard set out in section 7 of AS4013;</w:t>
      </w:r>
    </w:p>
    <w:p>
      <w:pPr>
        <w:pStyle w:val="Defstart"/>
      </w:pPr>
      <w:r>
        <w:tab/>
      </w:r>
      <w:r>
        <w:rPr>
          <w:b/>
        </w:rPr>
        <w:t>“</w:t>
      </w:r>
      <w:r>
        <w:rPr>
          <w:rStyle w:val="CharDefText"/>
        </w:rPr>
        <w:t>heating appliance</w:t>
      </w:r>
      <w:r>
        <w:rPr>
          <w:b/>
        </w:rPr>
        <w:t>”</w:t>
      </w:r>
      <w:r>
        <w:t xml:space="preserve"> means a domestic solid fuel burning appliance to which AS4013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Footnotesection"/>
      </w:pPr>
      <w:r>
        <w:tab/>
        <w:t>[Regulation 1A inserted in Gazette 24 November 1998 p.6312.]</w:t>
      </w:r>
    </w:p>
    <w:p>
      <w:pPr>
        <w:pStyle w:val="Heading5"/>
      </w:pPr>
      <w:bookmarkStart w:id="9" w:name="_Toc425146796"/>
      <w:bookmarkStart w:id="10" w:name="_Toc425146845"/>
      <w:bookmarkStart w:id="11" w:name="_Toc425572511"/>
      <w:bookmarkStart w:id="12" w:name="_Toc442080313"/>
      <w:r>
        <w:t>1B.</w:t>
      </w:r>
      <w:r>
        <w:tab/>
        <w:t>Sale of non-complying appliance an offence</w:t>
      </w:r>
      <w:bookmarkEnd w:id="9"/>
      <w:bookmarkEnd w:id="10"/>
      <w:bookmarkEnd w:id="11"/>
      <w:bookmarkEnd w:id="12"/>
    </w:p>
    <w:p>
      <w:pPr>
        <w:pStyle w:val="Subsection"/>
      </w:pPr>
      <w:r>
        <w:tab/>
        <w:t>(1)</w:t>
      </w:r>
      <w:r>
        <w:tab/>
        <w:t>A person must not sell a heating appliance unless the appliance —</w:t>
      </w:r>
    </w:p>
    <w:p>
      <w:pPr>
        <w:pStyle w:val="Indenta"/>
      </w:pPr>
      <w:r>
        <w:tab/>
        <w:t>(a)</w:t>
      </w:r>
      <w:r>
        <w:tab/>
        <w:t>complies with the emission standard; and</w:t>
      </w:r>
    </w:p>
    <w:p>
      <w:pPr>
        <w:pStyle w:val="Indenta"/>
      </w:pPr>
      <w:r>
        <w:tab/>
        <w:t>(b)</w:t>
      </w:r>
      <w:r>
        <w:tab/>
        <w:t>is marked —</w:t>
      </w:r>
    </w:p>
    <w:p>
      <w:pPr>
        <w:pStyle w:val="Indenti"/>
      </w:pPr>
      <w:r>
        <w:tab/>
        <w:t>(i)</w:t>
      </w:r>
      <w:r>
        <w:tab/>
        <w:t>in accordance with section 10 of AS4013; and</w:t>
      </w:r>
    </w:p>
    <w:p>
      <w:pPr>
        <w:pStyle w:val="Indenti"/>
      </w:pPr>
      <w:r>
        <w:tab/>
        <w:t>(ii)</w:t>
      </w:r>
      <w:r>
        <w:tab/>
        <w:t>with the name and address of the person or body that tested that model of appliance for the purposes of AS41013, and the year in which it was tested.</w:t>
      </w:r>
    </w:p>
    <w:p>
      <w:pPr>
        <w:pStyle w:val="Subsection"/>
      </w:pPr>
      <w:r>
        <w:tab/>
        <w:t>(2)</w:t>
      </w:r>
      <w:r>
        <w:tab/>
        <w:t>Subregulation (1) does not apply in relation to a heating appliance that has been installed in, and is sold together with, a building.</w:t>
      </w:r>
    </w:p>
    <w:p>
      <w:pPr>
        <w:pStyle w:val="Subsection"/>
      </w:pPr>
      <w:r>
        <w:tab/>
        <w:t>(3)</w:t>
      </w:r>
      <w:r>
        <w:tab/>
        <w:t>For the purposes of this Part an appliance is taken to comply with the emission standard if an appliance of the same make and model, when tested in accordance with AS4013, complied with that standard.</w:t>
      </w:r>
    </w:p>
    <w:p>
      <w:pPr>
        <w:pStyle w:val="Subsection"/>
      </w:pPr>
      <w:r>
        <w:tab/>
        <w:t>(4)</w:t>
      </w:r>
      <w:r>
        <w:tab/>
        <w:t>For the purposes of this Part an appliance (“</w:t>
      </w:r>
      <w:r>
        <w:rPr>
          <w:b/>
        </w:rPr>
        <w:t>new appliance</w:t>
      </w:r>
      <w:r>
        <w:t>”) is taken to comply with the emission standard if —</w:t>
      </w:r>
    </w:p>
    <w:p>
      <w:pPr>
        <w:pStyle w:val="Indenta"/>
      </w:pPr>
      <w:r>
        <w:tab/>
        <w:t>(a)</w:t>
      </w:r>
      <w:r>
        <w:tab/>
        <w:t>an appliance of a similar make and model (“</w:t>
      </w:r>
      <w:r>
        <w:rPr>
          <w:b/>
        </w:rPr>
        <w:t>old appliance</w:t>
      </w:r>
      <w:r>
        <w:t>”), when tested in accordance with AS4013, complied with that standard; and</w:t>
      </w:r>
    </w:p>
    <w:p>
      <w:pPr>
        <w:pStyle w:val="Indenta"/>
      </w:pPr>
      <w:r>
        <w:tab/>
        <w:t>(b)</w:t>
      </w:r>
      <w:r>
        <w:tab/>
        <w:t>the differences between the old appliance and the new appliance are such that under section 9 of AS4013 testing of the new appliance is not required.</w:t>
      </w:r>
    </w:p>
    <w:p>
      <w:pPr>
        <w:pStyle w:val="Footnotesection"/>
      </w:pPr>
      <w:r>
        <w:tab/>
        <w:t>[Regulation 1B inserted in Gazette 24 November 1998 pp.6312</w:t>
      </w:r>
      <w:r>
        <w:noBreakHyphen/>
        <w:t>13.]</w:t>
      </w:r>
    </w:p>
    <w:p>
      <w:pPr>
        <w:pStyle w:val="Heading5"/>
      </w:pPr>
      <w:bookmarkStart w:id="13" w:name="_Toc425146797"/>
      <w:bookmarkStart w:id="14" w:name="_Toc425146846"/>
      <w:bookmarkStart w:id="15" w:name="_Toc425572512"/>
      <w:bookmarkStart w:id="16" w:name="_Toc442080314"/>
      <w:r>
        <w:t>1C.</w:t>
      </w:r>
      <w:r>
        <w:tab/>
        <w:t>False markings</w:t>
      </w:r>
      <w:bookmarkEnd w:id="13"/>
      <w:bookmarkEnd w:id="14"/>
      <w:bookmarkEnd w:id="15"/>
      <w:bookmarkEnd w:id="16"/>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in a manner that states or implies that the appliance complies with the emission standard if the person knows, or ought reasonably to have known, that the appliance does not comply with that standard.</w:t>
      </w:r>
    </w:p>
    <w:p>
      <w:pPr>
        <w:pStyle w:val="Footnotesection"/>
      </w:pPr>
      <w:r>
        <w:tab/>
        <w:t>[Regulation 1C inserted in Gazette 24 November 1998 p.6313.]</w:t>
      </w:r>
    </w:p>
    <w:p>
      <w:pPr>
        <w:pStyle w:val="Heading5"/>
      </w:pPr>
      <w:bookmarkStart w:id="17" w:name="_Toc425146798"/>
      <w:bookmarkStart w:id="18" w:name="_Toc425146847"/>
      <w:bookmarkStart w:id="19" w:name="_Toc425572513"/>
      <w:bookmarkStart w:id="20" w:name="_Toc442080315"/>
      <w:r>
        <w:t>1D.</w:t>
      </w:r>
      <w:r>
        <w:tab/>
        <w:t>Inspection and testing of appliances</w:t>
      </w:r>
      <w:bookmarkEnd w:id="17"/>
      <w:bookmarkEnd w:id="18"/>
      <w:bookmarkEnd w:id="19"/>
      <w:bookmarkEnd w:id="20"/>
    </w:p>
    <w:p>
      <w:pPr>
        <w:pStyle w:val="Subsection"/>
      </w:pPr>
      <w:r>
        <w:tab/>
        <w:t>(1)</w:t>
      </w:r>
      <w:r>
        <w:tab/>
        <w:t>An inspector may inspect any heating appliance being offered for sale to check for compliance with regulation 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have the appliance, or another appliance of the same make and model, tested in accordance with AS4013;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 1D inserted in Gazette 24 November 1998 p.6313.]</w:t>
      </w:r>
    </w:p>
    <w:p>
      <w:pPr>
        <w:pStyle w:val="Heading5"/>
      </w:pPr>
      <w:bookmarkStart w:id="21" w:name="_Toc425146799"/>
      <w:bookmarkStart w:id="22" w:name="_Toc425146848"/>
      <w:bookmarkStart w:id="23" w:name="_Toc425572514"/>
      <w:bookmarkStart w:id="24" w:name="_Toc442080316"/>
      <w:r>
        <w:t>1E.</w:t>
      </w:r>
      <w:r>
        <w:tab/>
        <w:t>Testing by registered laboratory or authorized person</w:t>
      </w:r>
      <w:bookmarkEnd w:id="21"/>
      <w:bookmarkEnd w:id="22"/>
      <w:bookmarkEnd w:id="23"/>
      <w:bookmarkEnd w:id="24"/>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by a person authorized in writing by the Chief Executive Officer to carry out such tests.</w:t>
      </w:r>
    </w:p>
    <w:p>
      <w:pPr>
        <w:pStyle w:val="Footnotesection"/>
      </w:pPr>
      <w:r>
        <w:tab/>
        <w:t>[Regulation 1E inserted in Gazette 24 November 1998 pp.6313</w:t>
      </w:r>
      <w:r>
        <w:noBreakHyphen/>
        <w:t>14.]</w:t>
      </w:r>
    </w:p>
    <w:p>
      <w:pPr>
        <w:pStyle w:val="Heading2"/>
      </w:pPr>
      <w:r>
        <w:rPr>
          <w:rStyle w:val="CharPartNo"/>
        </w:rPr>
        <w:t>Part 2</w:t>
      </w:r>
      <w:r>
        <w:t xml:space="preserve"> — </w:t>
      </w:r>
      <w:r>
        <w:rPr>
          <w:rStyle w:val="CharPartText"/>
        </w:rPr>
        <w:t>Green firewood</w:t>
      </w:r>
    </w:p>
    <w:p>
      <w:pPr>
        <w:pStyle w:val="Heading5"/>
      </w:pPr>
      <w:bookmarkStart w:id="25" w:name="_Toc442080317"/>
      <w:r>
        <w:rPr>
          <w:rStyle w:val="CharSectno"/>
        </w:rPr>
        <w:t>2</w:t>
      </w:r>
      <w:r>
        <w:t>.</w:t>
      </w:r>
      <w:r>
        <w:tab/>
        <w:t>Application of this Part</w:t>
      </w:r>
      <w:bookmarkEnd w:id="25"/>
    </w:p>
    <w:p>
      <w:pPr>
        <w:pStyle w:val="Subsection"/>
        <w:keepNext/>
      </w:pPr>
      <w:r>
        <w:tab/>
      </w:r>
      <w:r>
        <w:tab/>
        <w:t xml:space="preserve">This Part applies in the area bounded by the low water mark of the Indian Ocean and the local government districts of Wanneroo, Swan, Mundaring, Kalamunda, Armadale, Serpentine-Jarrahdale and Mandurah (including those districts). </w:t>
      </w:r>
    </w:p>
    <w:p>
      <w:pPr>
        <w:pStyle w:val="Heading5"/>
      </w:pPr>
      <w:bookmarkStart w:id="26" w:name="_Toc442080318"/>
      <w:bookmarkStart w:id="27" w:name="_Toc425146800"/>
      <w:bookmarkStart w:id="28" w:name="_Toc425146849"/>
      <w:bookmarkStart w:id="29" w:name="_Toc425572515"/>
      <w:r>
        <w:rPr>
          <w:rStyle w:val="CharSectno"/>
        </w:rPr>
        <w:t>3</w:t>
      </w:r>
      <w:r>
        <w:t>.</w:t>
      </w:r>
      <w:r>
        <w:tab/>
        <w:t>Restrictions on sale of green firewood</w:t>
      </w:r>
      <w:bookmarkEnd w:id="26"/>
      <w:r>
        <w:t xml:space="preserve"> </w:t>
      </w:r>
      <w:bookmarkEnd w:id="27"/>
      <w:bookmarkEnd w:id="28"/>
      <w:bookmarkEnd w:id="29"/>
    </w:p>
    <w:p>
      <w:pPr>
        <w:pStyle w:val="Subsection"/>
        <w:keepNext/>
      </w:pPr>
      <w:r>
        <w:tab/>
      </w:r>
      <w:r>
        <w:tab/>
        <w:t xml:space="preserve">A person must not sell as domestic firewood any wood with an internal moisture content of more than 20%, except — </w:t>
      </w:r>
    </w:p>
    <w:p>
      <w:pPr>
        <w:pStyle w:val="Indenta"/>
      </w:pPr>
      <w:r>
        <w:tab/>
        <w:t>(a)</w:t>
      </w:r>
      <w:r>
        <w:tab/>
        <w:t>in accordance with a permit authorizing the person to do so; or</w:t>
      </w:r>
    </w:p>
    <w:p>
      <w:pPr>
        <w:pStyle w:val="Indenta"/>
      </w:pPr>
      <w:r>
        <w:tab/>
        <w:t>(b)</w:t>
      </w:r>
      <w:r>
        <w:tab/>
        <w:t>to a firewood wholesaler or retailer.</w:t>
      </w:r>
    </w:p>
    <w:p>
      <w:pPr>
        <w:pStyle w:val="Heading5"/>
      </w:pPr>
      <w:bookmarkStart w:id="30" w:name="_Toc442080319"/>
      <w:bookmarkStart w:id="31" w:name="_Toc425146801"/>
      <w:bookmarkStart w:id="32" w:name="_Toc425146850"/>
      <w:bookmarkStart w:id="33" w:name="_Toc425572516"/>
      <w:r>
        <w:rPr>
          <w:rStyle w:val="CharSectno"/>
        </w:rPr>
        <w:t>4</w:t>
      </w:r>
      <w:r>
        <w:t>.</w:t>
      </w:r>
      <w:r>
        <w:tab/>
        <w:t>Restrictions on stockpiling of green firewood</w:t>
      </w:r>
      <w:bookmarkEnd w:id="30"/>
      <w:r>
        <w:t xml:space="preserve"> </w:t>
      </w:r>
      <w:bookmarkEnd w:id="31"/>
      <w:bookmarkEnd w:id="32"/>
      <w:bookmarkEnd w:id="33"/>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34" w:name="_Toc425146804"/>
      <w:bookmarkStart w:id="35" w:name="_Toc425146853"/>
      <w:bookmarkStart w:id="36" w:name="_Toc425572519"/>
      <w:bookmarkStart w:id="37" w:name="_Toc442080320"/>
      <w:r>
        <w:rPr>
          <w:rStyle w:val="CharSectno"/>
        </w:rPr>
        <w:t>5</w:t>
      </w:r>
      <w:r>
        <w:t>.</w:t>
      </w:r>
      <w:r>
        <w:tab/>
        <w:t>Permits</w:t>
      </w:r>
      <w:bookmarkEnd w:id="34"/>
      <w:bookmarkEnd w:id="35"/>
      <w:bookmarkEnd w:id="36"/>
      <w:bookmarkEnd w:id="37"/>
    </w:p>
    <w:p>
      <w:pPr>
        <w:pStyle w:val="Subsection"/>
        <w:keepNext/>
      </w:pPr>
      <w:r>
        <w:tab/>
        <w:t>(1)</w:t>
      </w:r>
      <w:r>
        <w:tab/>
        <w:t>An application for a permit under regulation 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38" w:name="_Toc425146805"/>
      <w:bookmarkStart w:id="39" w:name="_Toc425146854"/>
      <w:bookmarkStart w:id="40" w:name="_Toc425572520"/>
      <w:bookmarkStart w:id="41" w:name="_Toc442080321"/>
      <w:r>
        <w:rPr>
          <w:rStyle w:val="CharSectno"/>
        </w:rPr>
        <w:t>6</w:t>
      </w:r>
      <w:r>
        <w:t>.</w:t>
      </w:r>
      <w:r>
        <w:tab/>
        <w:t>Duration and revocation of permits</w:t>
      </w:r>
      <w:bookmarkEnd w:id="38"/>
      <w:bookmarkEnd w:id="39"/>
      <w:bookmarkEnd w:id="40"/>
      <w:bookmarkEnd w:id="41"/>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42" w:name="_Toc425146807"/>
      <w:bookmarkStart w:id="43" w:name="_Toc425146856"/>
      <w:bookmarkStart w:id="44" w:name="_Toc425572521"/>
      <w:bookmarkStart w:id="45" w:name="_Toc442080322"/>
      <w:r>
        <w:rPr>
          <w:rStyle w:val="CharSectno"/>
        </w:rPr>
        <w:t>7</w:t>
      </w:r>
      <w:r>
        <w:t>.</w:t>
      </w:r>
      <w:r>
        <w:tab/>
        <w:t>Measurement of internal moisture content</w:t>
      </w:r>
      <w:bookmarkEnd w:id="42"/>
      <w:bookmarkEnd w:id="43"/>
      <w:bookmarkEnd w:id="44"/>
      <w:bookmarkEnd w:id="45"/>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46" w:name="_Toc425146803"/>
      <w:bookmarkStart w:id="47" w:name="_Toc425146852"/>
      <w:bookmarkStart w:id="48" w:name="_Toc425572518"/>
      <w:r>
        <w:rPr>
          <w:rStyle w:val="CharPartNo"/>
        </w:rPr>
        <w:t>Part 3</w:t>
      </w:r>
      <w:r>
        <w:t xml:space="preserve"> — </w:t>
      </w:r>
      <w:r>
        <w:rPr>
          <w:rStyle w:val="CharPartText"/>
        </w:rPr>
        <w:t>General</w:t>
      </w:r>
    </w:p>
    <w:p>
      <w:pPr>
        <w:pStyle w:val="Heading5"/>
      </w:pPr>
      <w:bookmarkStart w:id="49" w:name="_Toc442080323"/>
      <w:r>
        <w:rPr>
          <w:rStyle w:val="CharSectno"/>
        </w:rPr>
        <w:t>8</w:t>
      </w:r>
      <w:r>
        <w:t>.</w:t>
      </w:r>
      <w:r>
        <w:tab/>
        <w:t>Sale of painted or treated firewood an offence</w:t>
      </w:r>
      <w:bookmarkEnd w:id="46"/>
      <w:bookmarkEnd w:id="47"/>
      <w:bookmarkEnd w:id="48"/>
      <w:bookmarkEnd w:id="49"/>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copper-chrome-arsenate, or any substance containing that chemical.</w:t>
      </w:r>
    </w:p>
    <w:p>
      <w:pPr>
        <w:pStyle w:val="Heading5"/>
      </w:pPr>
      <w:bookmarkStart w:id="50" w:name="_Toc442080324"/>
      <w:r>
        <w:rPr>
          <w:rStyle w:val="CharSectno"/>
        </w:rPr>
        <w:t>9</w:t>
      </w:r>
      <w:r>
        <w:t>.</w:t>
      </w:r>
      <w:r>
        <w:tab/>
        <w:t>Offences and penalties</w:t>
      </w:r>
      <w:bookmarkEnd w:id="50"/>
    </w:p>
    <w:p>
      <w:pPr>
        <w:pStyle w:val="Subsection"/>
      </w:pPr>
      <w:r>
        <w:tab/>
      </w:r>
      <w:r>
        <w:tab/>
        <w:t>A person who contravenes any of these regulations commits an offence.</w:t>
      </w:r>
    </w:p>
    <w:p>
      <w:pPr>
        <w:pStyle w:val="Penstart"/>
      </w:pPr>
      <w:r>
        <w:tab/>
        <w:t>Penalty: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(Domestic Solid Fuel Burning Appliances and Firewood Supply) Regulations 1998 </w:t>
      </w:r>
      <w:r>
        <w:rPr>
          <w:snapToGrid w:val="0"/>
        </w:rPr>
        <w:t>and includes the amendments referred to in the following Table.</w:t>
      </w:r>
    </w:p>
    <w:p>
      <w:pPr>
        <w:pStyle w:val="MiscellaneousHeading"/>
        <w:spacing w:after="120"/>
        <w:jc w:val="center"/>
        <w:rPr>
          <w:b/>
          <w:snapToGrid w:val="0"/>
        </w:rPr>
      </w:pPr>
      <w:r>
        <w:rPr>
          <w:b/>
          <w:snapToGrid w:val="0"/>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tcBorders>
          </w:tcPr>
          <w:p>
            <w:pPr>
              <w:pStyle w:val="nTable"/>
            </w:pPr>
            <w:r>
              <w:t>Regulation</w:t>
            </w:r>
          </w:p>
        </w:tc>
        <w:tc>
          <w:tcPr>
            <w:tcW w:w="1587" w:type="dxa"/>
            <w:tcBorders>
              <w:top w:val="single" w:sz="4" w:space="0" w:color="auto"/>
            </w:tcBorders>
          </w:tcPr>
          <w:p>
            <w:pPr>
              <w:pStyle w:val="nTable"/>
            </w:pPr>
            <w:r>
              <w:t>Gazettal</w:t>
            </w:r>
          </w:p>
        </w:tc>
        <w:tc>
          <w:tcPr>
            <w:tcW w:w="1718" w:type="dxa"/>
            <w:tcBorders>
              <w:top w:val="single" w:sz="4" w:space="0" w:color="auto"/>
            </w:tcBorders>
          </w:tcPr>
          <w:p>
            <w:pPr>
              <w:pStyle w:val="nTable"/>
            </w:pPr>
            <w:r>
              <w:t>Commencement</w:t>
            </w:r>
          </w:p>
        </w:tc>
        <w:tc>
          <w:tcPr>
            <w:tcW w:w="1474" w:type="dxa"/>
            <w:tcBorders>
              <w:top w:val="single" w:sz="4" w:space="0" w:color="auto"/>
            </w:tcBorders>
          </w:tcPr>
          <w:p>
            <w:pPr>
              <w:pStyle w:val="nTable"/>
            </w:pPr>
            <w:r>
              <w:t>Miscellaneous</w:t>
            </w:r>
          </w:p>
        </w:tc>
      </w:tr>
      <w:tr>
        <w:tc>
          <w:tcPr>
            <w:tcW w:w="2041" w:type="dxa"/>
            <w:tcBorders>
              <w:top w:val="single" w:sz="4" w:space="0" w:color="auto"/>
              <w:bottom w:val="single" w:sz="4" w:space="0" w:color="auto"/>
            </w:tcBorders>
          </w:tcPr>
          <w:p>
            <w:pPr>
              <w:pStyle w:val="nTable"/>
            </w:pPr>
            <w:r>
              <w:rPr>
                <w:i/>
              </w:rPr>
              <w:t>Environmental Protection (Firewood Supply) Regulations 1998</w:t>
            </w:r>
          </w:p>
        </w:tc>
        <w:tc>
          <w:tcPr>
            <w:tcW w:w="1587" w:type="dxa"/>
            <w:tcBorders>
              <w:top w:val="single" w:sz="4" w:space="0" w:color="auto"/>
              <w:bottom w:val="single" w:sz="4" w:space="0" w:color="auto"/>
            </w:tcBorders>
          </w:tcPr>
          <w:p>
            <w:pPr>
              <w:pStyle w:val="nTable"/>
            </w:pPr>
            <w:r>
              <w:t>24 November 1998 pp.6309-11</w:t>
            </w:r>
          </w:p>
        </w:tc>
        <w:tc>
          <w:tcPr>
            <w:tcW w:w="1718" w:type="dxa"/>
            <w:tcBorders>
              <w:top w:val="single" w:sz="4" w:space="0" w:color="auto"/>
              <w:bottom w:val="single" w:sz="4" w:space="0" w:color="auto"/>
            </w:tcBorders>
          </w:tcPr>
          <w:p>
            <w:pPr>
              <w:pStyle w:val="nTable"/>
            </w:pPr>
            <w:r>
              <w:t>24 November 1998</w:t>
            </w:r>
          </w:p>
        </w:tc>
        <w:tc>
          <w:tcPr>
            <w:tcW w:w="1474" w:type="dxa"/>
            <w:tcBorders>
              <w:top w:val="single" w:sz="4" w:space="0" w:color="auto"/>
              <w:bottom w:val="single" w:sz="4" w:space="0" w:color="auto"/>
            </w:tcBorders>
          </w:tcPr>
          <w:p>
            <w:pPr>
              <w:pStyle w:val="nTable"/>
            </w:pPr>
            <w:r>
              <w:t>Citation subsequently amended (see footnote to regulation 1)</w:t>
            </w:r>
          </w:p>
        </w:tc>
      </w:tr>
      <w:tr>
        <w:tc>
          <w:tcPr>
            <w:tcW w:w="2041" w:type="dxa"/>
            <w:tcBorders>
              <w:top w:val="single" w:sz="4" w:space="0" w:color="auto"/>
              <w:bottom w:val="single" w:sz="4" w:space="0" w:color="auto"/>
            </w:tcBorders>
          </w:tcPr>
          <w:p>
            <w:pPr>
              <w:pStyle w:val="nTable"/>
              <w:rPr>
                <w:i/>
              </w:rPr>
            </w:pPr>
            <w:r>
              <w:rPr>
                <w:i/>
              </w:rPr>
              <w:t>Environmental Protection (Firewood Supply) Amendment Regulations 1998</w:t>
            </w:r>
          </w:p>
        </w:tc>
        <w:tc>
          <w:tcPr>
            <w:tcW w:w="1587" w:type="dxa"/>
            <w:tcBorders>
              <w:top w:val="single" w:sz="4" w:space="0" w:color="auto"/>
              <w:bottom w:val="single" w:sz="4" w:space="0" w:color="auto"/>
            </w:tcBorders>
          </w:tcPr>
          <w:p>
            <w:pPr>
              <w:pStyle w:val="nTable"/>
            </w:pPr>
            <w:r>
              <w:t>24 November 1998 pp.6311-14</w:t>
            </w:r>
          </w:p>
        </w:tc>
        <w:tc>
          <w:tcPr>
            <w:tcW w:w="1718" w:type="dxa"/>
            <w:tcBorders>
              <w:top w:val="single" w:sz="4" w:space="0" w:color="auto"/>
              <w:bottom w:val="single" w:sz="4" w:space="0" w:color="auto"/>
            </w:tcBorders>
          </w:tcPr>
          <w:p>
            <w:pPr>
              <w:pStyle w:val="nTable"/>
            </w:pPr>
            <w:r>
              <w:t>24 January 1999 (see regulation 2)</w:t>
            </w:r>
          </w:p>
        </w:tc>
        <w:tc>
          <w:tcPr>
            <w:tcW w:w="1474" w:type="dxa"/>
            <w:tcBorders>
              <w:top w:val="single" w:sz="4" w:space="0" w:color="auto"/>
              <w:bottom w:val="single" w:sz="4" w:space="0" w:color="auto"/>
            </w:tcBorders>
          </w:tcPr>
          <w:p>
            <w:pPr>
              <w:pStyle w:val="nTable"/>
            </w:pPr>
          </w:p>
        </w:tc>
      </w:tr>
    </w:tbl>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type w:val="continuous"/>
      <w:pgSz w:w="11906" w:h="16838" w:code="9"/>
      <w:pgMar w:top="1191" w:right="2410" w:bottom="1134" w:left="2410" w:header="1134"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Jan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(Domestic Solid Fuel Burning Appliances and Firewood Supply)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Environmental Protection (Domestic Solid Fuel Burning Appliances and Firewood Supply) Regulations 1998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Environmental Protection (Domestic Solid Fuel Burning Appliances and Firewood Supply)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(Domestic Solid Fuel Burning Appliances and Firewood Supply)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(Domestic Solid Fuel Burning Appliances and Firewood Supply)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E44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BE08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6D68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1C68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2C81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849F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9E31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74E8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858E85E"/>
    <w:lvl w:ilvl="0">
      <w:start w:val="1"/>
      <w:numFmt w:val="decimal"/>
      <w:pStyle w:val="ListNumber"/>
      <w:lvlText w:val="%1."/>
      <w:lvlJc w:val="left"/>
      <w:pPr>
        <w:tabs>
          <w:tab w:val="num" w:pos="360"/>
        </w:tabs>
        <w:ind w:left="360" w:hanging="360"/>
      </w:pPr>
    </w:lvl>
  </w:abstractNum>
  <w:abstractNum w:abstractNumId="9">
    <w:nsid w:val="FFFFFF89"/>
    <w:multiLevelType w:val="singleLevel"/>
    <w:tmpl w:val="D3F021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02F81CD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03D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848"/>
    <w:docVar w:name="WAFER_20151207171848" w:val="RemoveTrackChanges"/>
    <w:docVar w:name="WAFER_20151207171848_GUID" w:val="767f5262-95dd-4b77-84e6-84ad2df6d0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DraftersNotes">
    <w:name w:val="DraftersNotes"/>
    <w:pPr>
      <w:ind w:left="567" w:right="567"/>
    </w:pPr>
    <w:rPr>
      <w:b/>
      <w:i/>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noProof/>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2"/>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DraftersNotes">
    <w:name w:val="DraftersNotes"/>
    <w:pPr>
      <w:ind w:left="567" w:right="567"/>
    </w:pPr>
    <w:rPr>
      <w:b/>
      <w:i/>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noProof/>
      <w:sz w:val="24"/>
      <w:lang w:eastAsia="en-US"/>
    </w:rPr>
  </w:style>
  <w:style w:type="paragraph" w:customStyle="1" w:styleId="Mainnumbers">
    <w:name w:val="Mainnumbers"/>
    <w:basedOn w:val="Normal"/>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pPr>
    <w:rPr>
      <w:sz w:val="24"/>
      <w:lang w:eastAsia="en-US"/>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rPr>
      <w:sz w:val="20"/>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Table">
    <w:name w:val="Table"/>
    <w:aliases w:val="t"/>
    <w:basedOn w:val="Normal"/>
    <w:pPr>
      <w:spacing w:before="60" w:line="240" w:lineRule="atLeast"/>
    </w:pPr>
  </w:style>
  <w:style w:type="paragraph" w:customStyle="1" w:styleId="nTable">
    <w:name w:val="nTable"/>
    <w:basedOn w:val="Table"/>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rPr>
      <w:sz w:val="20"/>
    </w:rPr>
  </w:style>
  <w:style w:type="paragraph" w:customStyle="1" w:styleId="zHeading2">
    <w:name w:val="zHeading 2"/>
    <w:basedOn w:val="Heading2"/>
    <w:pPr>
      <w:pageBreakBefore w:val="0"/>
      <w:shd w:val="clear" w:color="808080" w:fill="auto"/>
      <w:ind w:left="567" w:right="284"/>
      <w:outlineLvl w:val="9"/>
    </w:pPr>
  </w:style>
  <w:style w:type="paragraph" w:customStyle="1" w:styleId="nzHeading2">
    <w:name w:val="nzHeading 2"/>
    <w:basedOn w:val="zHeading2"/>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rPr>
      <w:sz w:val="20"/>
    </w:rPr>
  </w:style>
  <w:style w:type="paragraph" w:customStyle="1" w:styleId="zTable">
    <w:name w:val="zTable"/>
    <w:basedOn w:val="Normal"/>
    <w:pPr>
      <w:shd w:val="clear" w:color="808080" w:fill="auto"/>
    </w:pPr>
  </w:style>
  <w:style w:type="paragraph" w:customStyle="1" w:styleId="nzTable">
    <w:name w:val="nzTable"/>
    <w:basedOn w:val="zTable"/>
  </w:style>
  <w:style w:type="character" w:styleId="PageNumber">
    <w:name w:val="page number"/>
    <w:basedOn w:val="DefaultParagraphFont"/>
    <w:semiHidden/>
    <w:rPr>
      <w:sz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reamble">
    <w:name w:val="Preamble"/>
    <w:pPr>
      <w:tabs>
        <w:tab w:val="right" w:pos="605"/>
        <w:tab w:val="left" w:pos="893"/>
      </w:tabs>
      <w:spacing w:before="160" w:line="260" w:lineRule="atLeast"/>
    </w:pPr>
    <w:rPr>
      <w:sz w:val="24"/>
      <w:lang w:eastAsia="en-US"/>
    </w:rPr>
  </w:style>
  <w:style w:type="paragraph" w:customStyle="1" w:styleId="PrincipalActReg">
    <w:name w:val="PrincipalAct_Reg"/>
    <w:pPr>
      <w:spacing w:after="480"/>
      <w:jc w:val="center"/>
    </w:pPr>
    <w:rPr>
      <w:noProof/>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240" w:after="120" w:line="240" w:lineRule="auto"/>
      <w:ind w:left="648" w:right="288"/>
      <w:outlineLvl w:val="9"/>
    </w:pPr>
    <w:rPr>
      <w:snapToGrid/>
    </w:rPr>
  </w:style>
  <w:style w:type="paragraph" w:styleId="TOC3">
    <w:name w:val="toc 3"/>
    <w:basedOn w:val="Normal"/>
    <w:next w:val="Normal"/>
    <w:autoRedefine/>
    <w:semiHidden/>
    <w:pPr>
      <w:spacing w:before="60" w:after="20"/>
      <w:ind w:left="862" w:right="567"/>
      <w:jc w:val="center"/>
    </w:pPr>
    <w:rPr>
      <w:b/>
    </w:rPr>
  </w:style>
  <w:style w:type="paragraph" w:styleId="TOC4">
    <w:name w:val="toc 4"/>
    <w:basedOn w:val="Heading4"/>
    <w:next w:val="Normal"/>
    <w:autoRedefine/>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autoRedefine/>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rPr>
      <w:sz w:val="22"/>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Ednoteitem">
    <w:name w:val="yEdnote(item)"/>
    <w:basedOn w:val="Ednoteitem"/>
    <w:rPr>
      <w:sz w:val="22"/>
    </w:rPr>
  </w:style>
  <w:style w:type="paragraph" w:customStyle="1" w:styleId="yEdnotepara">
    <w:name w:val="yEdnote(para)"/>
    <w:basedOn w:val="Ednotepara"/>
    <w:rPr>
      <w:sz w:val="22"/>
    </w:rPr>
  </w:style>
  <w:style w:type="paragraph" w:customStyle="1" w:styleId="yEdnotesection">
    <w:name w:val="yEdnote(section)"/>
    <w:basedOn w:val="Ednotesection"/>
    <w:pPr>
      <w:outlineLvl w:val="9"/>
    </w:pPr>
    <w:rPr>
      <w:sz w:val="22"/>
    </w:rPr>
  </w:style>
  <w:style w:type="paragraph" w:customStyle="1" w:styleId="yEdnotesubitem">
    <w:name w:val="yEdnote(subitem)"/>
    <w:basedOn w:val="Ednotesubitem"/>
  </w:style>
  <w:style w:type="paragraph" w:customStyle="1" w:styleId="yEdnotesubpara">
    <w:name w:val="yEdnote(subpara)"/>
    <w:basedOn w:val="Ednotesubpara"/>
    <w:rPr>
      <w:sz w:val="22"/>
    </w:rPr>
  </w:style>
  <w:style w:type="paragraph" w:customStyle="1" w:styleId="yFootnoteheading">
    <w:name w:val="yFootnote(heading)"/>
    <w:basedOn w:val="Footnoteheading"/>
    <w:rPr>
      <w:sz w:val="22"/>
    </w:rPr>
  </w:style>
  <w:style w:type="paragraph" w:customStyle="1" w:styleId="yFootnotesection">
    <w:name w:val="yFootnote(section)"/>
    <w:basedOn w:val="Footnotesection"/>
    <w:rPr>
      <w:sz w:val="22"/>
    </w:rPr>
  </w:style>
  <w:style w:type="paragraph" w:customStyle="1" w:styleId="yHeading1">
    <w:name w:val="yHeading 1"/>
    <w:basedOn w:val="Heading1"/>
    <w:rPr>
      <w:sz w:val="32"/>
    </w:rPr>
  </w:style>
  <w:style w:type="paragraph" w:customStyle="1" w:styleId="yHeading2">
    <w:name w:val="yHeading 2"/>
    <w:basedOn w:val="Heading2"/>
    <w:pPr>
      <w:pageBreakBefore w:val="0"/>
      <w:spacing w:before="240"/>
    </w:pPr>
    <w:rPr>
      <w:sz w:val="28"/>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yPenitem">
    <w:name w:val="yPenitem"/>
    <w:basedOn w:val="Penitem"/>
    <w:rPr>
      <w:sz w:val="22"/>
    </w:rPr>
  </w:style>
  <w:style w:type="paragraph" w:customStyle="1" w:styleId="yPenpara">
    <w:name w:val="yPenpara"/>
    <w:basedOn w:val="Penpara"/>
    <w:rPr>
      <w:sz w:val="22"/>
    </w:rPr>
  </w:style>
  <w:style w:type="paragraph" w:customStyle="1" w:styleId="yPenstart">
    <w:name w:val="yPenstart"/>
    <w:basedOn w:val="Penstart"/>
    <w:rPr>
      <w:sz w:val="22"/>
    </w:rPr>
  </w:style>
  <w:style w:type="paragraph" w:customStyle="1" w:styleId="yPensubpara">
    <w:name w:val="yPensubpara"/>
    <w:basedOn w:val="Pensubpara"/>
    <w:rPr>
      <w:sz w:val="22"/>
    </w:rPr>
  </w:style>
  <w:style w:type="paragraph" w:customStyle="1" w:styleId="yScheduleHeading">
    <w:name w:val="yScheduleHeading"/>
    <w:basedOn w:val="yHeading2"/>
    <w:pPr>
      <w:pageBreakBefore/>
    </w:pPr>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ubsection">
    <w:name w:val="ySubsection"/>
    <w:basedOn w:val="Subsection"/>
    <w:rPr>
      <w:sz w:val="22"/>
    </w:rPr>
  </w:style>
  <w:style w:type="paragraph" w:customStyle="1" w:styleId="yTable">
    <w:name w:val="yTable"/>
    <w:basedOn w:val="Table"/>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rPr>
      <w:sz w:val="22"/>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customStyle="1" w:styleId="zySubsection">
    <w:name w:val="zySubsection"/>
    <w:basedOn w:val="zSubsection"/>
    <w:rPr>
      <w:sz w:val="22"/>
    </w:rPr>
  </w:style>
  <w:style w:type="paragraph" w:styleId="Header">
    <w:name w:val="header"/>
    <w:basedOn w:val="Normal"/>
    <w:semiHidden/>
    <w:pPr>
      <w:tabs>
        <w:tab w:val="center" w:pos="4153"/>
        <w:tab w:val="right" w:pos="8306"/>
      </w:tabs>
    </w:p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1477</Words>
  <Characters>7641</Characters>
  <Application>Microsoft Office Word</Application>
  <DocSecurity>0</DocSecurity>
  <Lines>246</Lines>
  <Paragraphs>162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1A — Domestic solid fuel burning appliances</vt:lpstr>
      <vt:lpstr>    Part 2 — Green firewood</vt:lpstr>
      <vt:lpstr>    Part 3 — General</vt:lpstr>
      <vt:lpstr>    Notes</vt:lpstr>
    </vt:vector>
  </TitlesOfParts>
  <Manager/>
  <Company/>
  <LinksUpToDate>false</LinksUpToDate>
  <CharactersWithSpaces>8956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1998 - 00-a0-04</dc:title>
  <dc:subject/>
  <dc:creator/>
  <cp:keywords/>
  <dc:description/>
  <cp:lastModifiedBy>svcMRProcess</cp:lastModifiedBy>
  <cp:revision>4</cp:revision>
  <cp:lastPrinted>1999-01-25T03:44:00Z</cp:lastPrinted>
  <dcterms:created xsi:type="dcterms:W3CDTF">2015-12-08T22:37:00Z</dcterms:created>
  <dcterms:modified xsi:type="dcterms:W3CDTF">2015-12-08T22:37:00Z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CommencementDate">
    <vt:lpwstr>19990124</vt:lpwstr>
  </property>
  <property fmtid="{D5CDD505-2E9C-101B-9397-08002B2CF9AE}" pid="4" name="Formerly">
    <vt:lpwstr>Environmental Protection (Firewood Supply) Regulations 1998</vt:lpwstr>
  </property>
  <property fmtid="{D5CDD505-2E9C-101B-9397-08002B2CF9AE}" pid="5" name="AsAtDate">
    <vt:lpwstr>24 Jan 1999</vt:lpwstr>
  </property>
  <property fmtid="{D5CDD505-2E9C-101B-9397-08002B2CF9AE}" pid="6" name="Suffix">
    <vt:lpwstr>00-a0-04</vt:lpwstr>
  </property>
  <property fmtid="{D5CDD505-2E9C-101B-9397-08002B2CF9AE}" pid="7" name="DocumentType">
    <vt:lpwstr>Reg</vt:lpwstr>
  </property>
</Properties>
</file>