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Code) Regulations 1998</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Fair Trading (Retirement Villages Interim Code) Regulations 2001 </w:t>
      </w:r>
      <w:r>
        <w:rPr>
          <w:color w:val="000000"/>
          <w:sz w:val="22"/>
          <w:szCs w:val="22"/>
        </w:rPr>
        <w:t xml:space="preserve">r. 6 as at 1 Oct 2001 (see </w:t>
      </w:r>
      <w:r>
        <w:rPr>
          <w:i/>
          <w:color w:val="000000"/>
          <w:sz w:val="22"/>
          <w:szCs w:val="22"/>
        </w:rPr>
        <w:t>Gazette</w:t>
      </w:r>
      <w:r>
        <w:rPr>
          <w:color w:val="000000"/>
          <w:sz w:val="22"/>
          <w:szCs w:val="22"/>
        </w:rPr>
        <w:t xml:space="preserve"> 25 Sep 2001 p. 5246).</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_Toc426019564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_Toc426019565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_Toc426019566 \h </w:instrText>
      </w:r>
      <w:r>
        <w:fldChar w:fldCharType="separate"/>
      </w:r>
      <w:r>
        <w:t>1</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_Toc426019567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Fair Trading (Retirement Villages Code) Regulations 1993</w:t>
      </w:r>
      <w:r>
        <w:t xml:space="preserve"> repealed</w:t>
      </w:r>
      <w:r>
        <w:tab/>
      </w:r>
      <w:r>
        <w:fldChar w:fldCharType="begin"/>
      </w:r>
      <w:r>
        <w:instrText xml:space="preserve"> PAGEREF _Toc426019568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Fair Practice for Retirement Villages 1998</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_Toc426019571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_Toc426019572 \h </w:instrText>
      </w:r>
      <w:r>
        <w:fldChar w:fldCharType="separate"/>
      </w:r>
      <w:r>
        <w:t>8</w:t>
      </w:r>
      <w:r>
        <w:fldChar w:fldCharType="end"/>
      </w:r>
    </w:p>
    <w:p>
      <w:pPr>
        <w:pStyle w:val="TOC8"/>
        <w:rPr>
          <w:rFonts w:asciiTheme="minorHAnsi" w:eastAsiaTheme="minorEastAsia" w:hAnsiTheme="minorHAnsi" w:cstheme="minorBidi"/>
          <w:szCs w:val="22"/>
        </w:rPr>
      </w:pPr>
      <w:r>
        <w:t>1.3</w:t>
      </w:r>
      <w:r>
        <w:tab/>
        <w:t>General principals</w:t>
      </w:r>
      <w:r>
        <w:tab/>
      </w:r>
      <w:r>
        <w:fldChar w:fldCharType="begin"/>
      </w:r>
      <w:r>
        <w:instrText xml:space="preserve"> PAGEREF _Toc426019573 \h </w:instrText>
      </w:r>
      <w:r>
        <w:fldChar w:fldCharType="separate"/>
      </w:r>
      <w:r>
        <w:t>8</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_Toc426019574 \h </w:instrText>
      </w:r>
      <w:r>
        <w:fldChar w:fldCharType="separate"/>
      </w:r>
      <w:r>
        <w:t>9</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_Toc426019575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_Toc426019577 \h </w:instrText>
      </w:r>
      <w:r>
        <w:fldChar w:fldCharType="separate"/>
      </w:r>
      <w:r>
        <w:t>11</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_Toc426019578 \h </w:instrText>
      </w:r>
      <w:r>
        <w:fldChar w:fldCharType="separate"/>
      </w:r>
      <w:r>
        <w:t>11</w:t>
      </w:r>
      <w:r>
        <w:fldChar w:fldCharType="end"/>
      </w:r>
    </w:p>
    <w:p>
      <w:pPr>
        <w:pStyle w:val="TOC8"/>
        <w:rPr>
          <w:rFonts w:asciiTheme="minorHAnsi" w:eastAsiaTheme="minorEastAsia" w:hAnsiTheme="minorHAnsi" w:cstheme="minorBidi"/>
          <w:szCs w:val="22"/>
        </w:rPr>
      </w:pPr>
      <w:r>
        <w:t>2.3</w:t>
      </w:r>
      <w:r>
        <w:tab/>
        <w:t>Proposed facilities and services</w:t>
      </w:r>
      <w:r>
        <w:tab/>
      </w:r>
      <w:r>
        <w:fldChar w:fldCharType="begin"/>
      </w:r>
      <w:r>
        <w:instrText xml:space="preserve"> PAGEREF _Toc426019579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Approvals for facilities that provide a high level of residential care</w:t>
      </w:r>
      <w:r>
        <w:tab/>
      </w:r>
      <w:r>
        <w:fldChar w:fldCharType="begin"/>
      </w:r>
      <w:r>
        <w:instrText xml:space="preserve"> PAGEREF _Toc426019580 \h </w:instrText>
      </w:r>
      <w:r>
        <w:fldChar w:fldCharType="separate"/>
      </w:r>
      <w:r>
        <w:t>11</w:t>
      </w:r>
      <w:r>
        <w:fldChar w:fldCharType="end"/>
      </w:r>
    </w:p>
    <w:p>
      <w:pPr>
        <w:pStyle w:val="TOC8"/>
        <w:rPr>
          <w:rFonts w:asciiTheme="minorHAnsi" w:eastAsiaTheme="minorEastAsia" w:hAnsiTheme="minorHAnsi" w:cstheme="minorBidi"/>
          <w:szCs w:val="22"/>
        </w:rPr>
      </w:pPr>
      <w:r>
        <w:t>2.5</w:t>
      </w:r>
      <w:r>
        <w:tab/>
        <w:t>Entry to Commonwealth funded residential care services</w:t>
      </w:r>
      <w:r>
        <w:tab/>
      </w:r>
      <w:r>
        <w:fldChar w:fldCharType="begin"/>
      </w:r>
      <w:r>
        <w:instrText xml:space="preserve"> PAGEREF _Toc426019581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What you should know before you enter into a contract</w:t>
      </w:r>
    </w:p>
    <w:p>
      <w:pPr>
        <w:pStyle w:val="TOC8"/>
        <w:rPr>
          <w:rFonts w:asciiTheme="minorHAnsi" w:eastAsiaTheme="minorEastAsia" w:hAnsiTheme="minorHAnsi" w:cstheme="minorBidi"/>
          <w:szCs w:val="22"/>
        </w:rPr>
      </w:pPr>
      <w:r>
        <w:t>3.1</w:t>
      </w:r>
      <w:r>
        <w:tab/>
        <w:t>Before you enter into a residence contract</w:t>
      </w:r>
      <w:r>
        <w:tab/>
      </w:r>
      <w:r>
        <w:fldChar w:fldCharType="begin"/>
      </w:r>
      <w:r>
        <w:instrText xml:space="preserve"> PAGEREF _Toc426019583 \h </w:instrText>
      </w:r>
      <w:r>
        <w:fldChar w:fldCharType="separate"/>
      </w:r>
      <w:r>
        <w:t>13</w:t>
      </w:r>
      <w:r>
        <w:fldChar w:fldCharType="end"/>
      </w:r>
    </w:p>
    <w:p>
      <w:pPr>
        <w:pStyle w:val="TOC8"/>
        <w:rPr>
          <w:rFonts w:asciiTheme="minorHAnsi" w:eastAsiaTheme="minorEastAsia" w:hAnsiTheme="minorHAnsi" w:cstheme="minorBidi"/>
          <w:szCs w:val="22"/>
        </w:rPr>
      </w:pPr>
      <w:r>
        <w:t>3.2</w:t>
      </w:r>
      <w:r>
        <w:tab/>
        <w:t>Before you enter into a service contract</w:t>
      </w:r>
      <w:r>
        <w:tab/>
      </w:r>
      <w:r>
        <w:fldChar w:fldCharType="begin"/>
      </w:r>
      <w:r>
        <w:instrText xml:space="preserve"> PAGEREF _Toc426019584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The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_Toc426019586 \h </w:instrText>
      </w:r>
      <w:r>
        <w:fldChar w:fldCharType="separate"/>
      </w:r>
      <w:r>
        <w:t>16</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_Toc426019587 \h </w:instrText>
      </w:r>
      <w:r>
        <w:fldChar w:fldCharType="separate"/>
      </w:r>
      <w:r>
        <w:t>17</w:t>
      </w:r>
      <w:r>
        <w:fldChar w:fldCharType="end"/>
      </w:r>
    </w:p>
    <w:p>
      <w:pPr>
        <w:pStyle w:val="TOC8"/>
        <w:rPr>
          <w:rFonts w:asciiTheme="minorHAnsi" w:eastAsiaTheme="minorEastAsia" w:hAnsiTheme="minorHAnsi" w:cstheme="minorBidi"/>
          <w:szCs w:val="22"/>
        </w:rPr>
      </w:pPr>
      <w:r>
        <w:t>4.3</w:t>
      </w:r>
      <w:r>
        <w:tab/>
        <w:t>Accommodation unit</w:t>
      </w:r>
      <w:r>
        <w:tab/>
      </w:r>
      <w:r>
        <w:fldChar w:fldCharType="begin"/>
      </w:r>
      <w:r>
        <w:instrText xml:space="preserve"> PAGEREF _Toc426019588 \h </w:instrText>
      </w:r>
      <w:r>
        <w:fldChar w:fldCharType="separate"/>
      </w:r>
      <w:r>
        <w:t>17</w:t>
      </w:r>
      <w:r>
        <w:fldChar w:fldCharType="end"/>
      </w:r>
    </w:p>
    <w:p>
      <w:pPr>
        <w:pStyle w:val="TOC8"/>
        <w:rPr>
          <w:rFonts w:asciiTheme="minorHAnsi" w:eastAsiaTheme="minorEastAsia" w:hAnsiTheme="minorHAnsi" w:cstheme="minorBidi"/>
          <w:szCs w:val="22"/>
        </w:rPr>
      </w:pPr>
      <w:r>
        <w:t>4.4</w:t>
      </w:r>
      <w:r>
        <w:tab/>
        <w:t>Services and facilities</w:t>
      </w:r>
      <w:r>
        <w:tab/>
      </w:r>
      <w:r>
        <w:fldChar w:fldCharType="begin"/>
      </w:r>
      <w:r>
        <w:instrText xml:space="preserve"> PAGEREF _Toc426019589 \h </w:instrText>
      </w:r>
      <w:r>
        <w:fldChar w:fldCharType="separate"/>
      </w:r>
      <w:r>
        <w:t>18</w:t>
      </w:r>
      <w:r>
        <w:fldChar w:fldCharType="end"/>
      </w:r>
    </w:p>
    <w:p>
      <w:pPr>
        <w:pStyle w:val="TOC8"/>
        <w:rPr>
          <w:rFonts w:asciiTheme="minorHAnsi" w:eastAsiaTheme="minorEastAsia" w:hAnsiTheme="minorHAnsi" w:cstheme="minorBidi"/>
          <w:szCs w:val="22"/>
        </w:rPr>
      </w:pPr>
      <w:r>
        <w:t>4.5</w:t>
      </w:r>
      <w:r>
        <w:tab/>
        <w:t>Accommodation charges, entry contributions and refund provisions</w:t>
      </w:r>
      <w:r>
        <w:tab/>
      </w:r>
      <w:r>
        <w:fldChar w:fldCharType="begin"/>
      </w:r>
      <w:r>
        <w:instrText xml:space="preserve"> PAGEREF _Toc426019590 \h </w:instrText>
      </w:r>
      <w:r>
        <w:fldChar w:fldCharType="separate"/>
      </w:r>
      <w:r>
        <w:t>18</w:t>
      </w:r>
      <w:r>
        <w:fldChar w:fldCharType="end"/>
      </w:r>
    </w:p>
    <w:p>
      <w:pPr>
        <w:pStyle w:val="TOC8"/>
        <w:rPr>
          <w:rFonts w:asciiTheme="minorHAnsi" w:eastAsiaTheme="minorEastAsia" w:hAnsiTheme="minorHAnsi" w:cstheme="minorBidi"/>
          <w:szCs w:val="22"/>
        </w:rPr>
      </w:pPr>
      <w:r>
        <w:t>4.6</w:t>
      </w:r>
      <w:r>
        <w:tab/>
        <w:t>Regular maintenance and service charges</w:t>
      </w:r>
      <w:r>
        <w:tab/>
      </w:r>
      <w:r>
        <w:fldChar w:fldCharType="begin"/>
      </w:r>
      <w:r>
        <w:instrText xml:space="preserve"> PAGEREF _Toc426019591 \h </w:instrText>
      </w:r>
      <w:r>
        <w:fldChar w:fldCharType="separate"/>
      </w:r>
      <w:r>
        <w:t>19</w:t>
      </w:r>
      <w:r>
        <w:fldChar w:fldCharType="end"/>
      </w:r>
    </w:p>
    <w:p>
      <w:pPr>
        <w:pStyle w:val="TOC8"/>
        <w:rPr>
          <w:rFonts w:asciiTheme="minorHAnsi" w:eastAsiaTheme="minorEastAsia" w:hAnsiTheme="minorHAnsi" w:cstheme="minorBidi"/>
          <w:szCs w:val="22"/>
        </w:rPr>
      </w:pPr>
      <w:r>
        <w:t>4.7</w:t>
      </w:r>
      <w:r>
        <w:tab/>
        <w:t>Relocation</w:t>
      </w:r>
      <w:r>
        <w:tab/>
      </w:r>
      <w:r>
        <w:fldChar w:fldCharType="begin"/>
      </w:r>
      <w:r>
        <w:instrText xml:space="preserve"> PAGEREF _Toc426019592 \h </w:instrText>
      </w:r>
      <w:r>
        <w:fldChar w:fldCharType="separate"/>
      </w:r>
      <w:r>
        <w:t>19</w:t>
      </w:r>
      <w:r>
        <w:fldChar w:fldCharType="end"/>
      </w:r>
    </w:p>
    <w:p>
      <w:pPr>
        <w:pStyle w:val="TOC8"/>
        <w:rPr>
          <w:rFonts w:asciiTheme="minorHAnsi" w:eastAsiaTheme="minorEastAsia" w:hAnsiTheme="minorHAnsi" w:cstheme="minorBidi"/>
          <w:szCs w:val="22"/>
        </w:rPr>
      </w:pPr>
      <w:r>
        <w:t>4.8</w:t>
      </w:r>
      <w:r>
        <w:tab/>
        <w:t>Termination of residence contract and fees payable on termination</w:t>
      </w:r>
      <w:r>
        <w:tab/>
      </w:r>
      <w:r>
        <w:fldChar w:fldCharType="begin"/>
      </w:r>
      <w:r>
        <w:instrText xml:space="preserve"> PAGEREF _Toc426019593 \h </w:instrText>
      </w:r>
      <w:r>
        <w:fldChar w:fldCharType="separate"/>
      </w:r>
      <w:r>
        <w:t>20</w:t>
      </w:r>
      <w:r>
        <w:fldChar w:fldCharType="end"/>
      </w:r>
    </w:p>
    <w:p>
      <w:pPr>
        <w:pStyle w:val="TOC8"/>
        <w:rPr>
          <w:rFonts w:asciiTheme="minorHAnsi" w:eastAsiaTheme="minorEastAsia" w:hAnsiTheme="minorHAnsi" w:cstheme="minorBidi"/>
          <w:szCs w:val="22"/>
        </w:rPr>
      </w:pPr>
      <w:r>
        <w:t>4.9</w:t>
      </w:r>
      <w:r>
        <w:tab/>
        <w:t xml:space="preserve">Residence contract to refer to this Code and the </w:t>
      </w:r>
      <w:r>
        <w:rPr>
          <w:i/>
        </w:rPr>
        <w:t>Retirement Villages Act 1992</w:t>
      </w:r>
      <w:r>
        <w:tab/>
      </w:r>
      <w:r>
        <w:fldChar w:fldCharType="begin"/>
      </w:r>
      <w:r>
        <w:instrText xml:space="preserve"> PAGEREF _Toc426019594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Village management</w:t>
      </w:r>
    </w:p>
    <w:p>
      <w:pPr>
        <w:pStyle w:val="TOC8"/>
        <w:rPr>
          <w:rFonts w:asciiTheme="minorHAnsi" w:eastAsiaTheme="minorEastAsia" w:hAnsiTheme="minorHAnsi" w:cstheme="minorBidi"/>
          <w:szCs w:val="22"/>
        </w:rPr>
      </w:pPr>
      <w:r>
        <w:t>5.1</w:t>
      </w:r>
      <w:r>
        <w:tab/>
        <w:t>Administering body to create procedures for resident input</w:t>
      </w:r>
      <w:r>
        <w:tab/>
      </w:r>
      <w:r>
        <w:fldChar w:fldCharType="begin"/>
      </w:r>
      <w:r>
        <w:instrText xml:space="preserve"> PAGEREF _Toc426019596 \h </w:instrText>
      </w:r>
      <w:r>
        <w:fldChar w:fldCharType="separate"/>
      </w:r>
      <w:r>
        <w:t>22</w:t>
      </w:r>
      <w:r>
        <w:fldChar w:fldCharType="end"/>
      </w:r>
    </w:p>
    <w:p>
      <w:pPr>
        <w:pStyle w:val="TOC8"/>
        <w:rPr>
          <w:rFonts w:asciiTheme="minorHAnsi" w:eastAsiaTheme="minorEastAsia" w:hAnsiTheme="minorHAnsi" w:cstheme="minorBidi"/>
          <w:szCs w:val="22"/>
        </w:rPr>
      </w:pPr>
      <w:r>
        <w:t>5.2</w:t>
      </w:r>
      <w:r>
        <w:tab/>
        <w:t>Input into management</w:t>
      </w:r>
      <w:r>
        <w:tab/>
      </w:r>
      <w:r>
        <w:fldChar w:fldCharType="begin"/>
      </w:r>
      <w:r>
        <w:instrText xml:space="preserve"> PAGEREF _Toc426019597 \h </w:instrText>
      </w:r>
      <w:r>
        <w:fldChar w:fldCharType="separate"/>
      </w:r>
      <w:r>
        <w:t>22</w:t>
      </w:r>
      <w:r>
        <w:fldChar w:fldCharType="end"/>
      </w:r>
    </w:p>
    <w:p>
      <w:pPr>
        <w:pStyle w:val="TOC8"/>
        <w:rPr>
          <w:rFonts w:asciiTheme="minorHAnsi" w:eastAsiaTheme="minorEastAsia" w:hAnsiTheme="minorHAnsi" w:cstheme="minorBidi"/>
          <w:szCs w:val="22"/>
        </w:rPr>
      </w:pPr>
      <w:r>
        <w:t>5.3</w:t>
      </w:r>
      <w:r>
        <w:tab/>
        <w:t>Input into financial arrangements</w:t>
      </w:r>
      <w:r>
        <w:tab/>
      </w:r>
      <w:r>
        <w:fldChar w:fldCharType="begin"/>
      </w:r>
      <w:r>
        <w:instrText xml:space="preserve"> PAGEREF _Toc426019598 \h </w:instrText>
      </w:r>
      <w:r>
        <w:fldChar w:fldCharType="separate"/>
      </w:r>
      <w:r>
        <w:t>22</w:t>
      </w:r>
      <w:r>
        <w:fldChar w:fldCharType="end"/>
      </w:r>
    </w:p>
    <w:p>
      <w:pPr>
        <w:pStyle w:val="TOC8"/>
        <w:rPr>
          <w:rFonts w:asciiTheme="minorHAnsi" w:eastAsiaTheme="minorEastAsia" w:hAnsiTheme="minorHAnsi" w:cstheme="minorBidi"/>
          <w:szCs w:val="22"/>
        </w:rPr>
      </w:pPr>
      <w:r>
        <w:t>5.4</w:t>
      </w:r>
      <w:r>
        <w:tab/>
        <w:t>Residence rules</w:t>
      </w:r>
      <w:r>
        <w:tab/>
      </w:r>
      <w:r>
        <w:fldChar w:fldCharType="begin"/>
      </w:r>
      <w:r>
        <w:instrText xml:space="preserve"> PAGEREF _Toc426019599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Dispute resolution</w:t>
      </w:r>
    </w:p>
    <w:p>
      <w:pPr>
        <w:pStyle w:val="TOC8"/>
        <w:rPr>
          <w:rFonts w:asciiTheme="minorHAnsi" w:eastAsiaTheme="minorEastAsia" w:hAnsiTheme="minorHAnsi" w:cstheme="minorBidi"/>
          <w:szCs w:val="22"/>
        </w:rPr>
      </w:pPr>
      <w:r>
        <w:t>6.1</w:t>
      </w:r>
      <w:r>
        <w:tab/>
        <w:t>Village Disputes Resolution Committee</w:t>
      </w:r>
      <w:r>
        <w:tab/>
      </w:r>
      <w:r>
        <w:fldChar w:fldCharType="begin"/>
      </w:r>
      <w:r>
        <w:instrText xml:space="preserve"> PAGEREF _Toc426019601 \h </w:instrText>
      </w:r>
      <w:r>
        <w:fldChar w:fldCharType="separate"/>
      </w:r>
      <w:r>
        <w:t>25</w:t>
      </w:r>
      <w:r>
        <w:fldChar w:fldCharType="end"/>
      </w:r>
    </w:p>
    <w:p>
      <w:pPr>
        <w:pStyle w:val="TOC8"/>
        <w:rPr>
          <w:rFonts w:asciiTheme="minorHAnsi" w:eastAsiaTheme="minorEastAsia" w:hAnsiTheme="minorHAnsi" w:cstheme="minorBidi"/>
          <w:szCs w:val="22"/>
        </w:rPr>
      </w:pPr>
      <w:r>
        <w:t>6.2</w:t>
      </w:r>
      <w:r>
        <w:tab/>
        <w:t>Dispute procedures</w:t>
      </w:r>
      <w:r>
        <w:tab/>
      </w:r>
      <w:r>
        <w:fldChar w:fldCharType="begin"/>
      </w:r>
      <w:r>
        <w:instrText xml:space="preserve"> PAGEREF _Toc426019602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Termination of residence contracts</w:t>
      </w:r>
    </w:p>
    <w:p>
      <w:pPr>
        <w:pStyle w:val="TOC2"/>
        <w:tabs>
          <w:tab w:val="right" w:leader="dot" w:pos="7077"/>
        </w:tabs>
        <w:rPr>
          <w:rFonts w:asciiTheme="minorHAnsi" w:eastAsiaTheme="minorEastAsia" w:hAnsiTheme="minorHAnsi" w:cstheme="minorBidi"/>
          <w:b w:val="0"/>
          <w:sz w:val="22"/>
          <w:szCs w:val="22"/>
        </w:rPr>
      </w:pPr>
      <w:r>
        <w:t>Appendix 1 — Copy of information statement for prospective resident</w:t>
      </w:r>
    </w:p>
    <w:p>
      <w:pPr>
        <w:pStyle w:val="TOC2"/>
        <w:tabs>
          <w:tab w:val="right" w:leader="dot" w:pos="7077"/>
        </w:tabs>
        <w:rPr>
          <w:rFonts w:asciiTheme="minorHAnsi" w:eastAsiaTheme="minorEastAsia" w:hAnsiTheme="minorHAnsi" w:cstheme="minorBidi"/>
          <w:b w:val="0"/>
          <w:sz w:val="22"/>
          <w:szCs w:val="22"/>
        </w:rPr>
      </w:pPr>
      <w:r>
        <w:t>Appendix 2 — Checklist for prospective resident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_Toc426019607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pPr>
      <w:r>
        <w:t>Fair Trading (Retirement Villages Code) Regulations 1998</w:t>
      </w:r>
    </w:p>
    <w:p>
      <w:pPr>
        <w:pStyle w:val="MadeBy"/>
      </w:pPr>
      <w:r>
        <w:t>Made by the Governor in Executive Council.</w:t>
      </w:r>
    </w:p>
    <w:p>
      <w:pPr>
        <w:pStyle w:val="Heading5"/>
      </w:pPr>
      <w:bookmarkStart w:id="3" w:name="_Toc378248169"/>
      <w:bookmarkStart w:id="4" w:name="_Toc426019564"/>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Code) Regulations 1998.</w:t>
      </w:r>
    </w:p>
    <w:p>
      <w:pPr>
        <w:pStyle w:val="Heading5"/>
      </w:pPr>
      <w:bookmarkStart w:id="5" w:name="_Toc378248170"/>
      <w:bookmarkStart w:id="6" w:name="_Toc426019565"/>
      <w:r>
        <w:rPr>
          <w:rStyle w:val="CharSectno"/>
        </w:rPr>
        <w:t>2</w:t>
      </w:r>
      <w:r>
        <w:t>.</w:t>
      </w:r>
      <w:r>
        <w:tab/>
        <w:t>Commencement</w:t>
      </w:r>
      <w:bookmarkEnd w:id="5"/>
      <w:bookmarkEnd w:id="6"/>
    </w:p>
    <w:p>
      <w:pPr>
        <w:pStyle w:val="Subsection"/>
      </w:pPr>
      <w:r>
        <w:rPr>
          <w:spacing w:val="-2"/>
        </w:rPr>
        <w:tab/>
      </w:r>
      <w:r>
        <w:rPr>
          <w:spacing w:val="-2"/>
        </w:rPr>
        <w:tab/>
        <w:t xml:space="preserve">These regulations come into operation on </w:t>
      </w:r>
      <w:r>
        <w:t>1 October 1998.</w:t>
      </w:r>
    </w:p>
    <w:p>
      <w:pPr>
        <w:pStyle w:val="Heading5"/>
      </w:pPr>
      <w:bookmarkStart w:id="7" w:name="_Toc378248171"/>
      <w:bookmarkStart w:id="8" w:name="_Toc426019566"/>
      <w:r>
        <w:rPr>
          <w:rStyle w:val="CharSectno"/>
        </w:rPr>
        <w:t>3</w:t>
      </w:r>
      <w:r>
        <w:t>.</w:t>
      </w:r>
      <w:r>
        <w:tab/>
        <w:t>Code of Practice prescribed</w:t>
      </w:r>
      <w:bookmarkEnd w:id="7"/>
      <w:bookmarkEnd w:id="8"/>
    </w:p>
    <w:p>
      <w:pPr>
        <w:pStyle w:val="Subsection"/>
      </w:pPr>
      <w:r>
        <w:tab/>
      </w:r>
      <w:r>
        <w:tab/>
        <w:t xml:space="preserve">The Code of Practice set out in Schedule 1 and cited as the </w:t>
      </w:r>
      <w:r>
        <w:rPr>
          <w:i/>
        </w:rPr>
        <w:t>Code of Fair Practice for Retirement Villages 1998</w:t>
      </w:r>
      <w:r>
        <w:t xml:space="preserve"> is prescribed under section 43(1)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9" w:name="_Toc378248172"/>
      <w:bookmarkStart w:id="10" w:name="_Toc426019567"/>
      <w:r>
        <w:rPr>
          <w:rStyle w:val="CharSectno"/>
        </w:rPr>
        <w:t>4</w:t>
      </w:r>
      <w:r>
        <w:t>.</w:t>
      </w:r>
      <w:r>
        <w:tab/>
        <w:t>Interpretation</w:t>
      </w:r>
      <w:bookmarkEnd w:id="9"/>
      <w:bookmarkEnd w:id="10"/>
    </w:p>
    <w:p>
      <w:pPr>
        <w:pStyle w:val="Subsection"/>
      </w:pPr>
      <w:r>
        <w:tab/>
        <w:t>(1)</w:t>
      </w:r>
      <w:r>
        <w:tab/>
        <w:t xml:space="preserve">Except where the contrary intention appears, words and expressions used in the Code set out in the Schedule have the same meaning as are given to them in the </w:t>
      </w:r>
      <w:r>
        <w:rPr>
          <w:i/>
        </w:rPr>
        <w:t>Retirement Villages Act 1992</w:t>
      </w:r>
      <w:r>
        <w:t>.</w:t>
      </w:r>
    </w:p>
    <w:p>
      <w:pPr>
        <w:pStyle w:val="Subsection"/>
      </w:pPr>
      <w:r>
        <w:tab/>
        <w:t>(2)</w:t>
      </w:r>
      <w:r>
        <w:tab/>
        <w:t>Boxed and shaded paragraphs in the Code set out in the Schedule are not part of the Code and are included only to assist readers of the Code.</w:t>
      </w:r>
    </w:p>
    <w:p>
      <w:pPr>
        <w:pStyle w:val="Heading5"/>
      </w:pPr>
      <w:bookmarkStart w:id="11" w:name="_Toc378248173"/>
      <w:bookmarkStart w:id="12" w:name="_Toc426019568"/>
      <w:r>
        <w:rPr>
          <w:rStyle w:val="CharSectno"/>
        </w:rPr>
        <w:t>5</w:t>
      </w:r>
      <w:r>
        <w:t>.</w:t>
      </w:r>
      <w:r>
        <w:tab/>
      </w:r>
      <w:r>
        <w:rPr>
          <w:i/>
        </w:rPr>
        <w:t>Fair Trading (Retirement Villages Code) Regulations 1993</w:t>
      </w:r>
      <w:r>
        <w:t xml:space="preserve"> repealed</w:t>
      </w:r>
      <w:bookmarkEnd w:id="11"/>
      <w:bookmarkEnd w:id="12"/>
    </w:p>
    <w:p>
      <w:pPr>
        <w:pStyle w:val="Subsection"/>
      </w:pPr>
      <w:r>
        <w:tab/>
      </w:r>
      <w:r>
        <w:tab/>
        <w:t xml:space="preserve">The </w:t>
      </w:r>
      <w:r>
        <w:rPr>
          <w:i/>
        </w:rPr>
        <w:t>Fair Trading (Retirement Villages Code) Regulations 1993</w:t>
      </w:r>
      <w:r>
        <w:t xml:space="preserve"> are repealed.</w:t>
      </w:r>
    </w:p>
    <w:p>
      <w:pPr>
        <w:sectPr>
          <w:headerReference w:type="even" r:id="rId21"/>
          <w:headerReference w:type="default" r:id="rId22"/>
          <w:footerReference w:type="default" r:id="rId23"/>
          <w:headerReference w:type="first" r:id="rId24"/>
          <w:pgSz w:w="11907" w:h="16840" w:code="9"/>
          <w:pgMar w:top="1191" w:right="2404" w:bottom="1134" w:left="2404" w:header="1134" w:footer="3380" w:gutter="0"/>
          <w:pgNumType w:start="1"/>
          <w:cols w:space="720"/>
          <w:noEndnote/>
          <w:titlePg/>
          <w:docGrid w:linePitch="326"/>
        </w:sectPr>
      </w:pPr>
    </w:p>
    <w:p>
      <w:pPr>
        <w:pStyle w:val="yScheduleHeading"/>
      </w:pPr>
      <w:bookmarkStart w:id="13" w:name="_Toc378248174"/>
      <w:bookmarkStart w:id="14" w:name="_Toc426019494"/>
      <w:bookmarkStart w:id="15" w:name="_Toc426019569"/>
      <w:r>
        <w:rPr>
          <w:rStyle w:val="CharSchNo"/>
        </w:rPr>
        <w:t>Schedule 1</w:t>
      </w:r>
      <w:r>
        <w:t> — </w:t>
      </w:r>
      <w:r>
        <w:rPr>
          <w:rStyle w:val="CharSchText"/>
        </w:rPr>
        <w:t>Code of Fair Practice for Retirement Villages 1998</w:t>
      </w:r>
      <w:bookmarkEnd w:id="13"/>
      <w:bookmarkEnd w:id="14"/>
      <w:bookmarkEnd w:id="15"/>
    </w:p>
    <w:p>
      <w:pPr>
        <w:pStyle w:val="yShoulderClause"/>
      </w:pPr>
      <w:r>
        <w:t>[r. 3]</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sz w:val="28"/>
        </w:rPr>
      </w:pPr>
      <w:r>
        <w:rPr>
          <w:b/>
          <w:sz w:val="28"/>
        </w:rPr>
        <w:t>Foreword</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The Code has been prescribed under the </w:t>
      </w:r>
      <w:r>
        <w:rPr>
          <w:i/>
        </w:rPr>
        <w:t>Fair Trading Act 1987</w:t>
      </w:r>
      <w:r>
        <w:t xml:space="preserve"> and has been prepared after extensive consultation with relevant industry and consumer groups and the Office of Seniors Interests.  The Code will be reviewed periodically in consultation with interested parties and changed where required.</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residents’ rights and provide clear guidelines for the industry.  The Code sets out the practices that apply to the promotion, sale and operation of retirement villages.  The Code must be complied with and is enforceable under sections 45</w:t>
      </w:r>
      <w:r>
        <w:noBreakHyphen/>
        <w:t xml:space="preserve">47 of the </w:t>
      </w:r>
      <w:r>
        <w:rPr>
          <w:i/>
        </w:rPr>
        <w:t>Fair Trading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rPr>
          <w:b/>
        </w:rPr>
        <w:t>Part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rPr>
          <w:b/>
        </w:rPr>
        <w:t>Part 2</w:t>
      </w:r>
      <w:r>
        <w:t xml:space="preserve"> sets out the disclosure requirements for information about advertising and promotional material.</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rPr>
          <w:b/>
        </w:rPr>
        <w:t>Part 3</w:t>
      </w:r>
      <w:r>
        <w:t xml:space="preserve"> sets out the requirements for disclosures before entering into residence and other related contracts.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rPr>
          <w:b/>
        </w:rPr>
        <w:t>Part 4</w:t>
      </w:r>
      <w:r>
        <w:t xml:space="preserve"> specifies the information required to be included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rPr>
          <w:b/>
        </w:rPr>
        <w:t>Part 5</w:t>
      </w:r>
      <w:r>
        <w:t xml:space="preserve"> specifies the rights and obligations of administering bodies and residents in relation to village management.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rPr>
          <w:b/>
        </w:rPr>
        <w:t>Parts 6 and 7</w:t>
      </w:r>
      <w:r>
        <w:t xml:space="preserve"> recognize that disputes may occur in a retirement village and outline the structures that may be utilized to resolve them.</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5" w:color="auto" w:fill="FFFFFF"/>
      </w:pPr>
      <w:r>
        <w:rPr>
          <w:b/>
        </w:rPr>
        <w:t>Appendix 1</w:t>
      </w:r>
      <w:r>
        <w:t xml:space="preserve"> is a copy of the information statement for prospective residents required to be provided under the </w:t>
      </w:r>
      <w:r>
        <w:rPr>
          <w:i/>
        </w:rPr>
        <w:t>Retirement Village Regulations 1992.</w:t>
      </w:r>
      <w:r>
        <w:t xml:space="preserve">  The statement sets out certain questions which must be answered by the owner of the retirement village.  It is important that a prospective resident read the questions and answers to those questions provided by the owner.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rPr>
          <w:b/>
        </w:rPr>
        <w:t>Appendix 2</w:t>
      </w:r>
      <w:r>
        <w:t xml:space="preserve"> provides a list of questions which a prospective resident should carefully read and consider before deciding to enter any retirement village.</w:t>
      </w:r>
    </w:p>
    <w:p>
      <w:pPr>
        <w:pStyle w:val="yHeading2"/>
        <w:pageBreakBefore/>
        <w:outlineLvl w:val="9"/>
        <w:rPr>
          <w:sz w:val="24"/>
        </w:rPr>
      </w:pPr>
      <w:bookmarkStart w:id="16" w:name="_Toc378248175"/>
      <w:bookmarkStart w:id="17" w:name="_Toc426019495"/>
      <w:bookmarkStart w:id="18" w:name="_Toc426019570"/>
      <w:r>
        <w:rPr>
          <w:rStyle w:val="CharSDivNo"/>
        </w:rPr>
        <w:t>Part 1</w:t>
      </w:r>
      <w:r>
        <w:rPr>
          <w:rStyle w:val="CharDivNo"/>
          <w:sz w:val="24"/>
        </w:rPr>
        <w:t> </w:t>
      </w:r>
      <w:r>
        <w:rPr>
          <w:sz w:val="24"/>
        </w:rPr>
        <w:t>—</w:t>
      </w:r>
      <w:r>
        <w:rPr>
          <w:rStyle w:val="CharDivText"/>
          <w:sz w:val="24"/>
        </w:rPr>
        <w:t> </w:t>
      </w:r>
      <w:r>
        <w:rPr>
          <w:rStyle w:val="CharSDivText"/>
        </w:rPr>
        <w:t>Preliminary</w:t>
      </w:r>
      <w:bookmarkEnd w:id="16"/>
      <w:bookmarkEnd w:id="17"/>
      <w:bookmarkEnd w:id="18"/>
    </w:p>
    <w:p>
      <w:pPr>
        <w:pStyle w:val="yHeading5"/>
        <w:outlineLvl w:val="9"/>
        <w:rPr>
          <w:sz w:val="24"/>
        </w:rPr>
      </w:pPr>
      <w:bookmarkStart w:id="19" w:name="_Toc378248176"/>
      <w:bookmarkStart w:id="20" w:name="_Toc426019571"/>
      <w:r>
        <w:rPr>
          <w:rStyle w:val="CharSClsNo"/>
        </w:rPr>
        <w:t>1.1</w:t>
      </w:r>
      <w:r>
        <w:rPr>
          <w:sz w:val="24"/>
        </w:rPr>
        <w:tab/>
        <w:t>Citation</w:t>
      </w:r>
      <w:bookmarkEnd w:id="19"/>
      <w:bookmarkEnd w:id="20"/>
    </w:p>
    <w:p>
      <w:pPr>
        <w:pStyle w:val="ySubsection"/>
        <w:rPr>
          <w:sz w:val="24"/>
        </w:rPr>
      </w:pPr>
      <w:r>
        <w:rPr>
          <w:sz w:val="24"/>
        </w:rPr>
        <w:tab/>
      </w:r>
      <w:r>
        <w:rPr>
          <w:sz w:val="24"/>
        </w:rPr>
        <w:tab/>
        <w:t xml:space="preserve">This Code may be cited as the </w:t>
      </w:r>
      <w:r>
        <w:rPr>
          <w:i/>
          <w:sz w:val="24"/>
        </w:rPr>
        <w:t>Code of Fair Practice for Retirement Villages 1998</w:t>
      </w:r>
      <w:r>
        <w:rPr>
          <w:sz w:val="24"/>
        </w:rPr>
        <w: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rStyle w:val="CharPartNo"/>
          <w:b/>
        </w:rPr>
        <w:t>Definitions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“referee”</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“resident”</w:t>
      </w:r>
      <w:r>
        <w:t>, in relation to a retirement village, means a person who has been admitted to occupation of residential premises in accordance with a retirement village scheme and includes a spouse of such a person who — </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(a)</w:t>
      </w:r>
      <w:r>
        <w:tab/>
        <w:t>is residing with that person; or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“retired person”</w:t>
      </w:r>
      <w:r>
        <w:t xml:space="preserve"> means a person who has attained the age of 55 years or retired from full</w:t>
      </w:r>
      <w:r>
        <w:noBreakHyphen/>
        <w:t>time employment or a person who is or was the spouse of such a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“retirement village scheme”</w:t>
      </w:r>
      <w:r>
        <w:t xml:space="preserve"> or </w:t>
      </w:r>
      <w:r>
        <w:rPr>
          <w:b/>
        </w:rPr>
        <w:t>“scheme”</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ind w:left="993" w:hanging="426"/>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737"/>
          <w:tab w:val="left" w:pos="1021"/>
        </w:tabs>
        <w:ind w:left="1021" w:hanging="454"/>
      </w:pPr>
      <w:r>
        <w:rPr>
          <w:b/>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spacing w:before="8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 w:val="left" w:pos="1701"/>
        </w:tabs>
        <w:ind w:left="993" w:hanging="426"/>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“spouse”</w:t>
      </w:r>
      <w:r>
        <w:t xml:space="preserve"> includes a person living with another person of the opposite sex as a husband or wife of that person on a bona fide domestic basis, although not legally married to that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“Tribunal”</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ind w:left="1021" w:hanging="454"/>
      </w:pPr>
      <w:r>
        <w:rPr>
          <w:b/>
        </w:rPr>
        <w:t>“working day”</w:t>
      </w:r>
      <w:r>
        <w:t xml:space="preserve"> means a day other than a Saturday, a Sunday or a public holiday.</w:t>
      </w:r>
    </w:p>
    <w:p>
      <w:pPr>
        <w:pStyle w:val="yHeading5"/>
        <w:outlineLvl w:val="9"/>
        <w:rPr>
          <w:sz w:val="24"/>
        </w:rPr>
      </w:pPr>
      <w:bookmarkStart w:id="21" w:name="_Toc378248177"/>
      <w:bookmarkStart w:id="22" w:name="_Toc426019572"/>
      <w:r>
        <w:rPr>
          <w:rStyle w:val="CharSClsNo"/>
        </w:rPr>
        <w:t>1.2</w:t>
      </w:r>
      <w:r>
        <w:rPr>
          <w:sz w:val="24"/>
        </w:rPr>
        <w:tab/>
        <w:t>Application</w:t>
      </w:r>
      <w:bookmarkEnd w:id="21"/>
      <w:bookmarkEnd w:id="22"/>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Part 2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outlineLvl w:val="9"/>
        <w:rPr>
          <w:sz w:val="24"/>
        </w:rPr>
      </w:pPr>
      <w:bookmarkStart w:id="23" w:name="_Toc378248178"/>
      <w:bookmarkStart w:id="24" w:name="_Toc426019573"/>
      <w:r>
        <w:rPr>
          <w:rStyle w:val="CharSClsNo"/>
        </w:rPr>
        <w:t>1.3</w:t>
      </w:r>
      <w:r>
        <w:rPr>
          <w:sz w:val="24"/>
        </w:rPr>
        <w:tab/>
        <w:t>General principals</w:t>
      </w:r>
      <w:bookmarkEnd w:id="23"/>
      <w:bookmarkEnd w:id="24"/>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recognized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recognized,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outlineLvl w:val="9"/>
        <w:rPr>
          <w:sz w:val="24"/>
        </w:rPr>
      </w:pPr>
      <w:bookmarkStart w:id="25" w:name="_Toc378248179"/>
      <w:bookmarkStart w:id="26" w:name="_Toc426019574"/>
      <w:r>
        <w:rPr>
          <w:rStyle w:val="CharSClsNo"/>
        </w:rPr>
        <w:t>1.4</w:t>
      </w:r>
      <w:r>
        <w:rPr>
          <w:sz w:val="24"/>
        </w:rPr>
        <w:tab/>
        <w:t>Objectives of the Code</w:t>
      </w:r>
      <w:bookmarkEnd w:id="25"/>
      <w:bookmarkEnd w:id="26"/>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outlineLvl w:val="9"/>
        <w:rPr>
          <w:sz w:val="24"/>
        </w:rPr>
      </w:pPr>
      <w:bookmarkStart w:id="27" w:name="_Toc378248180"/>
      <w:bookmarkStart w:id="28" w:name="_Toc426019575"/>
      <w:r>
        <w:rPr>
          <w:rStyle w:val="CharSClsNo"/>
        </w:rPr>
        <w:t>1.5</w:t>
      </w:r>
      <w:r>
        <w:rPr>
          <w:sz w:val="24"/>
        </w:rPr>
        <w:tab/>
        <w:t>Resident’s basic rights</w:t>
      </w:r>
      <w:bookmarkEnd w:id="27"/>
      <w:bookmarkEnd w:id="28"/>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rStyle w:val="CharPartNo"/>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2"/>
        <w:pageBreakBefore/>
        <w:outlineLvl w:val="9"/>
        <w:rPr>
          <w:rStyle w:val="CharPartNo"/>
        </w:rPr>
      </w:pPr>
      <w:bookmarkStart w:id="29" w:name="_Toc378248181"/>
      <w:bookmarkStart w:id="30" w:name="_Toc426019501"/>
      <w:bookmarkStart w:id="31" w:name="_Toc426019576"/>
      <w:r>
        <w:rPr>
          <w:rStyle w:val="CharSDivNo"/>
        </w:rPr>
        <w:t>Part 2</w:t>
      </w:r>
      <w:r>
        <w:rPr>
          <w:rStyle w:val="CharPartNo"/>
        </w:rPr>
        <w:t> — </w:t>
      </w:r>
      <w:r>
        <w:rPr>
          <w:rStyle w:val="CharSDivText"/>
        </w:rPr>
        <w:t>Advertising and promotion of retirement villages</w:t>
      </w:r>
      <w:bookmarkEnd w:id="29"/>
      <w:bookmarkEnd w:id="30"/>
      <w:bookmarkEnd w:id="31"/>
    </w:p>
    <w:p>
      <w:pPr>
        <w:pStyle w:val="yHeading5"/>
        <w:outlineLvl w:val="9"/>
        <w:rPr>
          <w:sz w:val="24"/>
        </w:rPr>
      </w:pPr>
      <w:bookmarkStart w:id="32" w:name="_Toc378248182"/>
      <w:bookmarkStart w:id="33" w:name="_Toc426019577"/>
      <w:r>
        <w:rPr>
          <w:rStyle w:val="CharSClsNo"/>
        </w:rPr>
        <w:t>2.1</w:t>
      </w:r>
      <w:r>
        <w:rPr>
          <w:sz w:val="24"/>
        </w:rPr>
        <w:tab/>
        <w:t>General</w:t>
      </w:r>
      <w:bookmarkEnd w:id="32"/>
      <w:bookmarkEnd w:id="33"/>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outlineLvl w:val="9"/>
        <w:rPr>
          <w:sz w:val="24"/>
        </w:rPr>
      </w:pPr>
      <w:bookmarkStart w:id="34" w:name="_Toc378248183"/>
      <w:bookmarkStart w:id="35" w:name="_Toc426019578"/>
      <w:r>
        <w:rPr>
          <w:rStyle w:val="CharSClsNo"/>
        </w:rPr>
        <w:t>2.2</w:t>
      </w:r>
      <w:r>
        <w:rPr>
          <w:sz w:val="24"/>
        </w:rPr>
        <w:tab/>
        <w:t>Retirement village developments</w:t>
      </w:r>
      <w:bookmarkEnd w:id="34"/>
      <w:bookmarkEnd w:id="35"/>
    </w:p>
    <w:p>
      <w:pPr>
        <w:pStyle w:val="ySubsection"/>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rPr>
          <w:sz w:val="24"/>
        </w:rPr>
      </w:pPr>
      <w:r>
        <w:rPr>
          <w:sz w:val="24"/>
        </w:rPr>
        <w:tab/>
        <w:t>(2)</w:t>
      </w:r>
      <w:r>
        <w:rPr>
          <w:sz w:val="24"/>
        </w:rPr>
        <w:tab/>
        <w:t>Subclause (1) does not preclude the carrying out of a market survey prior to any sales promotion.</w:t>
      </w:r>
    </w:p>
    <w:p>
      <w:pPr>
        <w:pStyle w:val="ySubsection"/>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rPr>
          <w:sz w:val="24"/>
        </w:rPr>
      </w:pPr>
      <w:bookmarkStart w:id="36" w:name="_Toc378248184"/>
      <w:bookmarkStart w:id="37" w:name="_Toc426019579"/>
      <w:r>
        <w:rPr>
          <w:rStyle w:val="CharSClsNo"/>
        </w:rPr>
        <w:t>2.3</w:t>
      </w:r>
      <w:r>
        <w:rPr>
          <w:sz w:val="24"/>
        </w:rPr>
        <w:tab/>
        <w:t>Proposed facilities and services</w:t>
      </w:r>
      <w:bookmarkEnd w:id="36"/>
      <w:bookmarkEnd w:id="37"/>
    </w:p>
    <w:p>
      <w:pPr>
        <w:pStyle w:val="ySubsection"/>
        <w:rPr>
          <w:sz w:val="24"/>
        </w:rPr>
      </w:pPr>
      <w:r>
        <w:rPr>
          <w:sz w:val="24"/>
        </w:rPr>
        <w:tab/>
      </w:r>
      <w:r>
        <w:rPr>
          <w:sz w:val="24"/>
        </w:rPr>
        <w:tab/>
        <w:t>Proposed facilities and services which are referred to in promotional or sales material must state the date of implementation and any conditions upon which the proposed facilities and services depend.</w:t>
      </w:r>
    </w:p>
    <w:p>
      <w:pPr>
        <w:pStyle w:val="yHeading5"/>
        <w:outlineLvl w:val="9"/>
        <w:rPr>
          <w:sz w:val="24"/>
        </w:rPr>
      </w:pPr>
      <w:bookmarkStart w:id="38" w:name="_Toc378248185"/>
      <w:bookmarkStart w:id="39" w:name="_Toc426019580"/>
      <w:r>
        <w:rPr>
          <w:rStyle w:val="CharSClsNo"/>
        </w:rPr>
        <w:t>2.4</w:t>
      </w:r>
      <w:r>
        <w:rPr>
          <w:sz w:val="24"/>
        </w:rPr>
        <w:tab/>
        <w:t>Approvals for facilities that provide a high level of residential care</w:t>
      </w:r>
      <w:bookmarkEnd w:id="38"/>
      <w:bookmarkEnd w:id="39"/>
    </w:p>
    <w:p>
      <w:pPr>
        <w:pStyle w:val="ySubsection"/>
        <w:rPr>
          <w:sz w:val="24"/>
        </w:rPr>
      </w:pPr>
      <w:r>
        <w:rPr>
          <w:sz w:val="24"/>
        </w:rPr>
        <w:tab/>
      </w:r>
      <w:r>
        <w:rPr>
          <w:sz w:val="24"/>
        </w:rPr>
        <w:tab/>
        <w:t xml:space="preserve">Any relevant licences or approvals from the Health Department of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outlineLvl w:val="9"/>
        <w:rPr>
          <w:sz w:val="24"/>
        </w:rPr>
      </w:pPr>
      <w:bookmarkStart w:id="40" w:name="_Toc378248186"/>
      <w:bookmarkStart w:id="41" w:name="_Toc426019581"/>
      <w:r>
        <w:rPr>
          <w:rStyle w:val="CharSClsNo"/>
        </w:rPr>
        <w:t>2.5</w:t>
      </w:r>
      <w:r>
        <w:rPr>
          <w:sz w:val="24"/>
        </w:rPr>
        <w:tab/>
        <w:t>Entry to Commonwealth funded residential care services</w:t>
      </w:r>
      <w:bookmarkEnd w:id="40"/>
      <w:bookmarkEnd w:id="41"/>
    </w:p>
    <w:p>
      <w:pPr>
        <w:pStyle w:val="ySubsection"/>
        <w:keepNext/>
        <w:keepLines/>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w:t>
      </w:r>
    </w:p>
    <w:p>
      <w:pPr>
        <w:pStyle w:val="zMiscellaneousBody"/>
        <w:pBdr>
          <w:top w:val="single" w:sz="4" w:space="1" w:color="auto"/>
          <w:left w:val="single" w:sz="4" w:space="4" w:color="auto"/>
          <w:bottom w:val="single" w:sz="4" w:space="1" w:color="auto"/>
          <w:right w:val="single" w:sz="4" w:space="4" w:color="auto"/>
        </w:pBdr>
        <w:rPr>
          <w:sz w:val="32"/>
        </w:rPr>
      </w:pPr>
      <w:r>
        <w:rPr>
          <w:sz w:val="32"/>
        </w:rPr>
        <w:t>You should be aware that current Commonwealth policy guidelines on admission to Commonwealth funded residential care services require places to be allocated on a “needs” basis.  It is not possible for an organization providing services for older people to guarantee admission to Commonwealth funded residential care services.</w:t>
      </w:r>
    </w:p>
    <w:p>
      <w:pPr>
        <w:pStyle w:val="yHeading2"/>
        <w:pageBreakBefore/>
        <w:outlineLvl w:val="9"/>
        <w:rPr>
          <w:rStyle w:val="CharPartNo"/>
        </w:rPr>
      </w:pPr>
      <w:bookmarkStart w:id="42" w:name="_Toc378248187"/>
      <w:bookmarkStart w:id="43" w:name="_Toc426019507"/>
      <w:bookmarkStart w:id="44" w:name="_Toc426019582"/>
      <w:r>
        <w:rPr>
          <w:rStyle w:val="CharSDivNo"/>
        </w:rPr>
        <w:t>Part 3</w:t>
      </w:r>
      <w:r>
        <w:rPr>
          <w:rStyle w:val="CharPartNo"/>
        </w:rPr>
        <w:t> — </w:t>
      </w:r>
      <w:r>
        <w:rPr>
          <w:rStyle w:val="CharSDivText"/>
        </w:rPr>
        <w:t>What you should know before you enter into a contract</w:t>
      </w:r>
      <w:bookmarkEnd w:id="42"/>
      <w:bookmarkEnd w:id="43"/>
      <w:bookmarkEnd w:id="44"/>
    </w:p>
    <w:p>
      <w:pPr>
        <w:pStyle w:val="yHeading5"/>
        <w:outlineLvl w:val="9"/>
        <w:rPr>
          <w:sz w:val="24"/>
        </w:rPr>
      </w:pPr>
      <w:bookmarkStart w:id="45" w:name="_Toc378248188"/>
      <w:bookmarkStart w:id="46" w:name="_Toc426019583"/>
      <w:r>
        <w:rPr>
          <w:rStyle w:val="CharSClsNo"/>
        </w:rPr>
        <w:t>3.1</w:t>
      </w:r>
      <w:r>
        <w:rPr>
          <w:sz w:val="24"/>
        </w:rPr>
        <w:tab/>
        <w:t>Before you enter into a residence contract</w:t>
      </w:r>
      <w:bookmarkEnd w:id="45"/>
      <w:bookmarkEnd w:id="46"/>
    </w:p>
    <w:p>
      <w:pPr>
        <w:pStyle w:val="ySubsection"/>
        <w:rPr>
          <w:sz w:val="24"/>
        </w:rPr>
      </w:pPr>
      <w:r>
        <w:rPr>
          <w:sz w:val="24"/>
        </w:rPr>
        <w:tab/>
      </w:r>
      <w:r>
        <w:rPr>
          <w:sz w:val="24"/>
        </w:rPr>
        <w:tab/>
        <w:t>The owner of a retirement village must make the following information available, in writing, to a prospective resident of the retirement village at least 5 working days before the prospective resident enters into a residence contract:</w:t>
      </w:r>
    </w:p>
    <w:p>
      <w:pPr>
        <w:pStyle w:val="yIndenta"/>
        <w:rPr>
          <w:sz w:val="24"/>
        </w:rPr>
      </w:pPr>
      <w:r>
        <w:rPr>
          <w:sz w:val="24"/>
        </w:rPr>
        <w:tab/>
        <w:t>(a)</w:t>
      </w:r>
      <w:r>
        <w:rPr>
          <w:sz w:val="24"/>
        </w:rPr>
        <w:tab/>
        <w:t>upon request, a copy of the following financial documents for the village (or villages where more than one village is controlled by the same organization and separate financial statements are not maintained) prepared in accordance with Statements of Accounting Concepts and Accounting Standards published by the Australian Accounting Research Foundation:</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rPr>
          <w:rStyle w:val="CharPartNo"/>
        </w:rPr>
        <w:t xml:space="preserve">Note that under section 13(2)(c) of the </w:t>
      </w:r>
      <w:r>
        <w:rPr>
          <w:rStyle w:val="CharPartNo"/>
          <w:i/>
        </w:rPr>
        <w:t>Retirement Villages Act 1992</w:t>
      </w:r>
      <w:r>
        <w:rPr>
          <w:rStyle w:val="CharPartNo"/>
        </w:rPr>
        <w:t xml:space="preserve"> the owner of a retirement village is obliged to provide a prospective resident with a copy of the residence rules of that retirement village.  </w:t>
      </w:r>
      <w:r>
        <w:t xml:space="preserve">A full statement of the rights conferred under sections 13 and 14 of that Act is set out in Form 2 of Schedule 1 of the </w:t>
      </w:r>
      <w:r>
        <w:rPr>
          <w:i/>
        </w:rPr>
        <w:t>Retirement Villages Regulations 1992</w:t>
      </w:r>
      <w:r>
        <w:t>.</w:t>
      </w:r>
    </w:p>
    <w:p>
      <w:pPr>
        <w:pStyle w:val="zMiscellaneousHeading"/>
        <w:keepLines/>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rStyle w:val="CharPartNo"/>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5" w:color="auto" w:fill="FFFFFF"/>
      </w:pPr>
      <w:r>
        <w:rPr>
          <w:rStyle w:val="CharPartNo"/>
        </w:rPr>
        <w:t xml:space="preserve">Note that under section 13(2)(a) of the </w:t>
      </w:r>
      <w:r>
        <w:rPr>
          <w:rStyle w:val="CharPartNo"/>
          <w:i/>
        </w:rPr>
        <w:t>Retirement Villages Act 1992</w:t>
      </w:r>
      <w:r>
        <w:rPr>
          <w:rStyle w:val="CharPartNo"/>
        </w:rPr>
        <w:t>, an owner is required to provide to a prospective resident</w:t>
      </w:r>
      <w:r>
        <w:t xml:space="preserve">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costs payable to enter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all recurrent charges or fees payable and the method of determining any variation;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any additional or optional services provided and their respective cost;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details of costs associated with moving to and living in alternative accommodation within the village; and</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a clear explanation of the refund entitlement.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rStyle w:val="CharPartNo"/>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A prospective resident should carefully read and consider the list of questions provided in Appendix 2 to this Code before deciding to enter any retirement village.</w:t>
      </w:r>
    </w:p>
    <w:p>
      <w:pPr>
        <w:pStyle w:val="yHeading5"/>
        <w:outlineLvl w:val="9"/>
        <w:rPr>
          <w:sz w:val="24"/>
        </w:rPr>
      </w:pPr>
      <w:bookmarkStart w:id="47" w:name="_Toc378248189"/>
      <w:bookmarkStart w:id="48" w:name="_Toc426019584"/>
      <w:r>
        <w:rPr>
          <w:rStyle w:val="CharSClsNo"/>
        </w:rPr>
        <w:t>3.2</w:t>
      </w:r>
      <w:r>
        <w:rPr>
          <w:sz w:val="24"/>
        </w:rPr>
        <w:tab/>
        <w:t>Before you enter into a service contract</w:t>
      </w:r>
      <w:bookmarkEnd w:id="47"/>
      <w:bookmarkEnd w:id="48"/>
    </w:p>
    <w:p>
      <w:pPr>
        <w:pStyle w:val="ySubsection"/>
        <w:keepNext/>
        <w:keepLines/>
        <w:rPr>
          <w:sz w:val="24"/>
        </w:rPr>
      </w:pPr>
      <w:r>
        <w:rPr>
          <w:sz w:val="24"/>
        </w:rPr>
        <w:tab/>
      </w:r>
      <w:r>
        <w:rPr>
          <w:sz w:val="24"/>
        </w:rPr>
        <w:tab/>
        <w:t>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2"/>
        <w:pageBreakBefore/>
        <w:outlineLvl w:val="9"/>
        <w:rPr>
          <w:rStyle w:val="CharPartNo"/>
        </w:rPr>
      </w:pPr>
      <w:bookmarkStart w:id="49" w:name="_Toc378248190"/>
      <w:bookmarkStart w:id="50" w:name="_Toc426019510"/>
      <w:bookmarkStart w:id="51" w:name="_Toc426019585"/>
      <w:r>
        <w:rPr>
          <w:rStyle w:val="CharSDivNo"/>
        </w:rPr>
        <w:t>Part 4</w:t>
      </w:r>
      <w:r>
        <w:rPr>
          <w:rStyle w:val="CharPartNo"/>
        </w:rPr>
        <w:t> — </w:t>
      </w:r>
      <w:r>
        <w:rPr>
          <w:rStyle w:val="CharSDivText"/>
        </w:rPr>
        <w:t>The Contract</w:t>
      </w:r>
      <w:bookmarkEnd w:id="49"/>
      <w:bookmarkEnd w:id="50"/>
      <w:bookmarkEnd w:id="51"/>
    </w:p>
    <w:p>
      <w:pPr>
        <w:pStyle w:val="yHeading5"/>
        <w:outlineLvl w:val="9"/>
        <w:rPr>
          <w:sz w:val="24"/>
        </w:rPr>
      </w:pPr>
      <w:bookmarkStart w:id="52" w:name="_Toc378248191"/>
      <w:bookmarkStart w:id="53" w:name="_Toc426019586"/>
      <w:r>
        <w:rPr>
          <w:rStyle w:val="CharSClsNo"/>
        </w:rPr>
        <w:t>4.1</w:t>
      </w:r>
      <w:r>
        <w:rPr>
          <w:sz w:val="24"/>
        </w:rPr>
        <w:tab/>
        <w:t>Legibility and presentation requirements</w:t>
      </w:r>
      <w:bookmarkEnd w:id="52"/>
      <w:bookmarkEnd w:id="53"/>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rPr>
          <w:sz w:val="24"/>
        </w:rPr>
      </w:pPr>
      <w:r>
        <w:rPr>
          <w:sz w:val="24"/>
        </w:rPr>
        <w:tab/>
        <w:t>(2)</w:t>
      </w:r>
      <w:r>
        <w:rPr>
          <w:sz w:val="24"/>
        </w:rPr>
        <w:tab/>
        <w:t>The following statement must appear in 16 point type and be included in the contract:</w:t>
      </w:r>
    </w:p>
    <w:p>
      <w:pPr>
        <w:pStyle w:val="zMiscellaneousBody"/>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rStyle w:val="CharPartNo"/>
          <w:b/>
        </w:rPr>
        <w:t>Cooling</w:t>
      </w:r>
      <w:r>
        <w:rPr>
          <w:rStyle w:val="CharPartNo"/>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During the cooling</w:t>
      </w:r>
      <w:r>
        <w:noBreakHyphen/>
        <w:t>off period, a person may withdraw from a residence contract by giving notice in writing to all other parties to the contract (unless the person has entered into residence in the retirement village during the cooling</w:t>
      </w:r>
      <w:r>
        <w:noBreakHyphen/>
        <w:t xml:space="preserve">off period).  On withdrawing from a residence contract a person is entitled, subject to the provisions of sections 14(2) and 75 of the </w:t>
      </w:r>
      <w:r>
        <w:rPr>
          <w:i/>
        </w:rPr>
        <w:t>Retirement Villages Act 1992</w:t>
      </w:r>
      <w: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w:t>
      </w:r>
      <w:r>
        <w:noBreakHyphen/>
        <w:t xml:space="preserve">21 of the </w:t>
      </w:r>
      <w:r>
        <w:rPr>
          <w:i/>
        </w:rPr>
        <w:t>Aged Care Act 1997</w:t>
      </w:r>
      <w:r>
        <w:t>, those regulations apply in relation to the payment of refunds.</w:t>
      </w:r>
    </w:p>
    <w:p>
      <w:pPr>
        <w:pStyle w:val="yHeading5"/>
        <w:outlineLvl w:val="9"/>
        <w:rPr>
          <w:sz w:val="24"/>
        </w:rPr>
      </w:pPr>
      <w:bookmarkStart w:id="54" w:name="_Toc378248192"/>
      <w:bookmarkStart w:id="55" w:name="_Toc426019587"/>
      <w:r>
        <w:rPr>
          <w:rStyle w:val="CharSClsNo"/>
        </w:rPr>
        <w:t>4.2</w:t>
      </w:r>
      <w:r>
        <w:rPr>
          <w:sz w:val="24"/>
        </w:rPr>
        <w:tab/>
        <w:t>Title and tenure</w:t>
      </w:r>
      <w:bookmarkEnd w:id="54"/>
      <w:bookmarkEnd w:id="55"/>
    </w:p>
    <w:p>
      <w:pPr>
        <w:pStyle w:val="ySubsection"/>
        <w:rPr>
          <w:sz w:val="24"/>
        </w:rPr>
      </w:pPr>
      <w:r>
        <w:rPr>
          <w:sz w:val="24"/>
        </w:rPr>
        <w:tab/>
      </w:r>
      <w:r>
        <w:rPr>
          <w:sz w:val="24"/>
        </w:rPr>
        <w:tab/>
        <w:t>The residence contract must fully disclose —</w:t>
      </w:r>
    </w:p>
    <w:p>
      <w:pPr>
        <w:pStyle w:val="yIndenta"/>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outlineLvl w:val="9"/>
        <w:rPr>
          <w:sz w:val="24"/>
        </w:rPr>
      </w:pPr>
      <w:bookmarkStart w:id="56" w:name="_Toc378248193"/>
      <w:bookmarkStart w:id="57" w:name="_Toc426019588"/>
      <w:r>
        <w:rPr>
          <w:rStyle w:val="CharSClsNo"/>
        </w:rPr>
        <w:t>4.3</w:t>
      </w:r>
      <w:r>
        <w:rPr>
          <w:sz w:val="24"/>
        </w:rPr>
        <w:tab/>
        <w:t>Accommodation unit</w:t>
      </w:r>
      <w:bookmarkEnd w:id="56"/>
      <w:bookmarkEnd w:id="57"/>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keepNext/>
        <w:keepLines/>
        <w:rPr>
          <w:sz w:val="24"/>
        </w:rPr>
      </w:pPr>
      <w:r>
        <w:rPr>
          <w:sz w:val="24"/>
        </w:rPr>
        <w:tab/>
        <w:t>(3)</w:t>
      </w:r>
      <w:r>
        <w:rPr>
          <w:sz w:val="24"/>
        </w:rPr>
        <w:tab/>
        <w:t>The residence contract documents for an existing retirement village must identify —</w:t>
      </w:r>
    </w:p>
    <w:p>
      <w:pPr>
        <w:pStyle w:val="yIndenta"/>
        <w:keepNext/>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outlineLvl w:val="9"/>
        <w:rPr>
          <w:sz w:val="24"/>
        </w:rPr>
      </w:pPr>
      <w:bookmarkStart w:id="58" w:name="_Toc378248194"/>
      <w:bookmarkStart w:id="59" w:name="_Toc426019589"/>
      <w:r>
        <w:rPr>
          <w:rStyle w:val="CharSClsNo"/>
        </w:rPr>
        <w:t>4.4</w:t>
      </w:r>
      <w:r>
        <w:rPr>
          <w:sz w:val="24"/>
        </w:rPr>
        <w:tab/>
        <w:t>Services and facilities</w:t>
      </w:r>
      <w:bookmarkEnd w:id="58"/>
      <w:bookmarkEnd w:id="59"/>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outlineLvl w:val="9"/>
        <w:rPr>
          <w:sz w:val="24"/>
        </w:rPr>
      </w:pPr>
      <w:bookmarkStart w:id="60" w:name="_Toc378248195"/>
      <w:bookmarkStart w:id="61" w:name="_Toc426019590"/>
      <w:r>
        <w:rPr>
          <w:rStyle w:val="CharSClsNo"/>
        </w:rPr>
        <w:t>4.5</w:t>
      </w:r>
      <w:r>
        <w:rPr>
          <w:sz w:val="24"/>
        </w:rPr>
        <w:tab/>
        <w:t>Accommodation charges, entry contributions and refund provisions</w:t>
      </w:r>
      <w:bookmarkEnd w:id="60"/>
      <w:bookmarkEnd w:id="61"/>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If there is no provision for a full refund (less fair and reasonable administration and sales, and refurbishment costs) within the first 6 months, the following words must appear in the contract and be printed in not less than 16 point type and boxed:</w:t>
      </w:r>
    </w:p>
    <w:p>
      <w:pPr>
        <w:pStyle w:val="zMiscellaneousBody"/>
        <w:keepNext/>
        <w:keepLines/>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outlineLvl w:val="9"/>
        <w:rPr>
          <w:sz w:val="24"/>
        </w:rPr>
      </w:pPr>
      <w:bookmarkStart w:id="62" w:name="_Toc378248196"/>
      <w:bookmarkStart w:id="63" w:name="_Toc426019591"/>
      <w:r>
        <w:rPr>
          <w:rStyle w:val="CharSClsNo"/>
        </w:rPr>
        <w:t>4.6</w:t>
      </w:r>
      <w:r>
        <w:rPr>
          <w:sz w:val="24"/>
        </w:rPr>
        <w:tab/>
        <w:t>Regular maintenance and service charges</w:t>
      </w:r>
      <w:bookmarkEnd w:id="62"/>
      <w:bookmarkEnd w:id="63"/>
    </w:p>
    <w:p>
      <w:pPr>
        <w:pStyle w:val="ySubsection"/>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outlineLvl w:val="9"/>
        <w:rPr>
          <w:sz w:val="24"/>
        </w:rPr>
      </w:pPr>
      <w:bookmarkStart w:id="64" w:name="_Toc378248197"/>
      <w:bookmarkStart w:id="65" w:name="_Toc426019592"/>
      <w:r>
        <w:rPr>
          <w:rStyle w:val="CharSClsNo"/>
        </w:rPr>
        <w:t>4.7</w:t>
      </w:r>
      <w:r>
        <w:rPr>
          <w:sz w:val="24"/>
        </w:rPr>
        <w:tab/>
        <w:t>Relocation</w:t>
      </w:r>
      <w:bookmarkEnd w:id="64"/>
      <w:bookmarkEnd w:id="65"/>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care units to other accommodation units within the village:</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 and</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outlineLvl w:val="9"/>
        <w:rPr>
          <w:sz w:val="24"/>
        </w:rPr>
      </w:pPr>
      <w:bookmarkStart w:id="66" w:name="_Toc378248198"/>
      <w:bookmarkStart w:id="67" w:name="_Toc426019593"/>
      <w:r>
        <w:rPr>
          <w:rStyle w:val="CharSClsNo"/>
        </w:rPr>
        <w:t>4.8</w:t>
      </w:r>
      <w:r>
        <w:rPr>
          <w:sz w:val="24"/>
        </w:rPr>
        <w:tab/>
        <w:t>Termination of residence contract and fees payable on termination</w:t>
      </w:r>
      <w:bookmarkEnd w:id="66"/>
      <w:bookmarkEnd w:id="67"/>
    </w:p>
    <w:p>
      <w:pPr>
        <w:pStyle w:val="ySubsection"/>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Part 7 of this Code).</w:t>
      </w:r>
    </w:p>
    <w:p>
      <w:pPr>
        <w:pStyle w:val="yHeading5"/>
        <w:outlineLvl w:val="9"/>
        <w:rPr>
          <w:i/>
          <w:sz w:val="24"/>
        </w:rPr>
      </w:pPr>
      <w:bookmarkStart w:id="68" w:name="_Toc378248199"/>
      <w:bookmarkStart w:id="69" w:name="_Toc426019594"/>
      <w:r>
        <w:rPr>
          <w:rStyle w:val="CharSClsNo"/>
        </w:rPr>
        <w:t>4.9</w:t>
      </w:r>
      <w:r>
        <w:rPr>
          <w:sz w:val="24"/>
        </w:rPr>
        <w:tab/>
        <w:t xml:space="preserve">Residence contract to refer to this Code and the </w:t>
      </w:r>
      <w:r>
        <w:rPr>
          <w:i/>
          <w:sz w:val="24"/>
        </w:rPr>
        <w:t>Retirement Villages Act 1992</w:t>
      </w:r>
      <w:bookmarkEnd w:id="68"/>
      <w:bookmarkEnd w:id="69"/>
    </w:p>
    <w:p>
      <w:pPr>
        <w:pStyle w:val="ySubsection"/>
        <w:keepNext/>
        <w:keepLines/>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keepNext/>
        <w:keepLines/>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Part 5 of this Code);</w:t>
      </w:r>
    </w:p>
    <w:p>
      <w:pPr>
        <w:pStyle w:val="yIndenta"/>
        <w:rPr>
          <w:sz w:val="24"/>
        </w:rPr>
      </w:pPr>
      <w:r>
        <w:rPr>
          <w:sz w:val="24"/>
        </w:rPr>
        <w:tab/>
        <w:t>(b)</w:t>
      </w:r>
      <w:r>
        <w:rPr>
          <w:sz w:val="24"/>
        </w:rPr>
        <w:tab/>
        <w:t>have disputes heard by the retirement village’s Village Disputes Resolution Committee and to make complaints to the Ministry of Fair Trading for investigation and attempted resolution (see Part 6 of this Code); and</w:t>
      </w:r>
    </w:p>
    <w:p>
      <w:pPr>
        <w:pStyle w:val="yIndenta"/>
        <w:rPr>
          <w:sz w:val="24"/>
        </w:rPr>
      </w:pPr>
      <w:r>
        <w:rPr>
          <w:sz w:val="24"/>
        </w:rPr>
        <w:tab/>
        <w:t>(c)</w:t>
      </w:r>
      <w:r>
        <w:rPr>
          <w:sz w:val="24"/>
        </w:rPr>
        <w:tab/>
        <w:t>in some cases, have access to the Retirement Villages Disputes Tribunal should the dispute remain unresolved (see Part 7 of this Code).</w:t>
      </w:r>
    </w:p>
    <w:p>
      <w:pPr>
        <w:pStyle w:val="yHeading2"/>
        <w:pageBreakBefore/>
        <w:outlineLvl w:val="9"/>
        <w:rPr>
          <w:rStyle w:val="CharPartNo"/>
        </w:rPr>
      </w:pPr>
      <w:bookmarkStart w:id="70" w:name="_Toc378248200"/>
      <w:bookmarkStart w:id="71" w:name="_Toc426019520"/>
      <w:bookmarkStart w:id="72" w:name="_Toc426019595"/>
      <w:r>
        <w:rPr>
          <w:rStyle w:val="CharSDivNo"/>
        </w:rPr>
        <w:t>Part 5</w:t>
      </w:r>
      <w:r>
        <w:rPr>
          <w:rStyle w:val="CharPartNo"/>
        </w:rPr>
        <w:t> — </w:t>
      </w:r>
      <w:r>
        <w:rPr>
          <w:rStyle w:val="CharSDivText"/>
        </w:rPr>
        <w:t>Village management</w:t>
      </w:r>
      <w:bookmarkEnd w:id="70"/>
      <w:bookmarkEnd w:id="71"/>
      <w:bookmarkEnd w:id="72"/>
    </w:p>
    <w:p>
      <w:pPr>
        <w:pStyle w:val="yHeading5"/>
        <w:outlineLvl w:val="9"/>
        <w:rPr>
          <w:sz w:val="24"/>
        </w:rPr>
      </w:pPr>
      <w:bookmarkStart w:id="73" w:name="_Toc378248201"/>
      <w:bookmarkStart w:id="74" w:name="_Toc426019596"/>
      <w:r>
        <w:rPr>
          <w:rStyle w:val="CharSClsNo"/>
        </w:rPr>
        <w:t>5.1</w:t>
      </w:r>
      <w:r>
        <w:rPr>
          <w:sz w:val="24"/>
        </w:rPr>
        <w:tab/>
        <w:t>Administering body to create procedures for resident input</w:t>
      </w:r>
      <w:bookmarkEnd w:id="73"/>
      <w:bookmarkEnd w:id="74"/>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While the administering body must provide the appropriate procedures, every resident may choose the extent to which he or she wishes to participate in the affairs of the retirement village.</w:t>
      </w:r>
    </w:p>
    <w:p>
      <w:pPr>
        <w:pStyle w:val="yHeading5"/>
        <w:outlineLvl w:val="9"/>
        <w:rPr>
          <w:sz w:val="24"/>
        </w:rPr>
      </w:pPr>
      <w:bookmarkStart w:id="75" w:name="_Toc378248202"/>
      <w:bookmarkStart w:id="76" w:name="_Toc426019597"/>
      <w:r>
        <w:rPr>
          <w:rStyle w:val="CharSClsNo"/>
        </w:rPr>
        <w:t>5.2</w:t>
      </w:r>
      <w:r>
        <w:rPr>
          <w:sz w:val="24"/>
        </w:rPr>
        <w:tab/>
        <w:t>Input into management</w:t>
      </w:r>
      <w:bookmarkEnd w:id="75"/>
      <w:bookmarkEnd w:id="76"/>
    </w:p>
    <w:p>
      <w:pPr>
        <w:pStyle w:val="ySubsection"/>
        <w:rPr>
          <w:sz w:val="24"/>
        </w:rPr>
      </w:pPr>
      <w:r>
        <w:rPr>
          <w:sz w:val="24"/>
        </w:rPr>
        <w:tab/>
      </w:r>
      <w:r>
        <w:rPr>
          <w:sz w:val="24"/>
        </w:rPr>
        <w:tab/>
        <w:t>Procedures established by the administering body must allow for residents to —</w:t>
      </w:r>
    </w:p>
    <w:p>
      <w:pPr>
        <w:pStyle w:val="yIndenta"/>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rPr>
          <w:sz w:val="24"/>
        </w:rPr>
      </w:pPr>
      <w:r>
        <w:rPr>
          <w:sz w:val="24"/>
        </w:rPr>
        <w:tab/>
        <w:t>(b)</w:t>
      </w:r>
      <w:r>
        <w:rPr>
          <w:sz w:val="24"/>
        </w:rPr>
        <w:tab/>
        <w:t>have input into any plans for expansion of the village;</w:t>
      </w:r>
    </w:p>
    <w:p>
      <w:pPr>
        <w:pStyle w:val="yIndenta"/>
        <w:rPr>
          <w:sz w:val="24"/>
        </w:rPr>
      </w:pPr>
      <w:r>
        <w:rPr>
          <w:sz w:val="24"/>
        </w:rPr>
        <w:tab/>
        <w:t>(c)</w:t>
      </w:r>
      <w:r>
        <w:rPr>
          <w:sz w:val="24"/>
        </w:rPr>
        <w:tab/>
        <w:t>contribute to the formation of a Village Disputes Resolution Committee; and</w:t>
      </w:r>
    </w:p>
    <w:p>
      <w:pPr>
        <w:pStyle w:val="yIndenta"/>
        <w:rPr>
          <w:sz w:val="24"/>
        </w:rPr>
      </w:pPr>
      <w:r>
        <w:rPr>
          <w:sz w:val="24"/>
        </w:rPr>
        <w:tab/>
        <w:t>(d)</w:t>
      </w:r>
      <w:r>
        <w:rPr>
          <w:sz w:val="24"/>
        </w:rPr>
        <w:tab/>
        <w:t>contribute to the establishment, amendment or addition to the residence rules (see clause 5.4).</w:t>
      </w:r>
    </w:p>
    <w:p>
      <w:pPr>
        <w:pStyle w:val="yHeading5"/>
        <w:outlineLvl w:val="9"/>
        <w:rPr>
          <w:sz w:val="24"/>
        </w:rPr>
      </w:pPr>
      <w:bookmarkStart w:id="77" w:name="_Toc378248203"/>
      <w:bookmarkStart w:id="78" w:name="_Toc426019598"/>
      <w:r>
        <w:rPr>
          <w:rStyle w:val="CharSClsNo"/>
        </w:rPr>
        <w:t>5.3</w:t>
      </w:r>
      <w:r>
        <w:rPr>
          <w:sz w:val="24"/>
        </w:rPr>
        <w:tab/>
        <w:t>Input into financial arrangements</w:t>
      </w:r>
      <w:bookmarkEnd w:id="77"/>
      <w:bookmarkEnd w:id="78"/>
    </w:p>
    <w:p>
      <w:pPr>
        <w:pStyle w:val="ySubsection"/>
        <w:rPr>
          <w:sz w:val="24"/>
        </w:rPr>
      </w:pPr>
      <w:r>
        <w:rPr>
          <w:sz w:val="24"/>
        </w:rPr>
        <w:tab/>
        <w:t>(1)</w:t>
      </w:r>
      <w:r>
        <w:rPr>
          <w:sz w:val="24"/>
        </w:rPr>
        <w:tab/>
        <w:t>Procedures established by the administering body must allow for residents —</w:t>
      </w:r>
    </w:p>
    <w:p>
      <w:pPr>
        <w:pStyle w:val="yIndenta"/>
        <w:rPr>
          <w:sz w:val="24"/>
        </w:rPr>
      </w:pPr>
      <w:r>
        <w:rPr>
          <w:sz w:val="24"/>
        </w:rPr>
        <w:tab/>
        <w:t>(a)</w:t>
      </w:r>
      <w:r>
        <w:rPr>
          <w:sz w:val="24"/>
        </w:rPr>
        <w:tab/>
        <w:t>to be able to have input into the budget for each financial year;</w:t>
      </w:r>
    </w:p>
    <w:p>
      <w:pPr>
        <w:pStyle w:val="yIndenta"/>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rPr>
          <w:sz w:val="24"/>
        </w:rPr>
      </w:pPr>
      <w:r>
        <w:rPr>
          <w:sz w:val="24"/>
        </w:rPr>
        <w:tab/>
        <w:t>(c)</w:t>
      </w:r>
      <w:r>
        <w:rPr>
          <w:sz w:val="24"/>
        </w:rPr>
        <w:tab/>
        <w:t>to be able to convene an annual meeting of residents for each village within 5 months after the end of each financial year; and</w:t>
      </w:r>
    </w:p>
    <w:p>
      <w:pPr>
        <w:pStyle w:val="yIndenta"/>
        <w:rPr>
          <w:sz w:val="24"/>
        </w:rPr>
      </w:pPr>
      <w:r>
        <w:rPr>
          <w:sz w:val="24"/>
        </w:rPr>
        <w:tab/>
        <w:t>(d)</w:t>
      </w:r>
      <w:r>
        <w:rPr>
          <w:sz w:val="24"/>
        </w:rPr>
        <w:tab/>
        <w:t>to be provided at the annual meeting with a clear written presentation of the financial position of the village (or villages where more than one village is controlled by the same organization and separate financial statements are not maintained) including —</w:t>
      </w:r>
    </w:p>
    <w:p>
      <w:pPr>
        <w:pStyle w:val="yIndenti0"/>
        <w:rPr>
          <w:sz w:val="24"/>
        </w:rPr>
      </w:pPr>
      <w:r>
        <w:rPr>
          <w:sz w:val="24"/>
        </w:rPr>
        <w:tab/>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rPr>
          <w:sz w:val="24"/>
        </w:rPr>
      </w:pPr>
      <w:r>
        <w:rPr>
          <w:sz w:val="24"/>
        </w:rPr>
        <w:tab/>
        <w:t>(2)</w:t>
      </w:r>
      <w:r>
        <w:rPr>
          <w:sz w:val="24"/>
        </w:rPr>
        <w:tab/>
        <w:t>Where specific issues are to be discussed at the meeting of residents under subclause (1)(c), the administering body must, within a reasonable time prior to the meeting, make available to each resident an agenda setting out those issues.</w:t>
      </w:r>
    </w:p>
    <w:p>
      <w:pPr>
        <w:pStyle w:val="ySubsection"/>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outlineLvl w:val="9"/>
        <w:rPr>
          <w:sz w:val="24"/>
        </w:rPr>
      </w:pPr>
      <w:bookmarkStart w:id="79" w:name="_Toc378248204"/>
      <w:bookmarkStart w:id="80" w:name="_Toc426019599"/>
      <w:r>
        <w:rPr>
          <w:rStyle w:val="CharSClsNo"/>
        </w:rPr>
        <w:t>5.4</w:t>
      </w:r>
      <w:r>
        <w:rPr>
          <w:sz w:val="24"/>
        </w:rPr>
        <w:tab/>
        <w:t>Residence rules</w:t>
      </w:r>
      <w:bookmarkEnd w:id="79"/>
      <w:bookmarkEnd w:id="80"/>
    </w:p>
    <w:p>
      <w:pPr>
        <w:pStyle w:val="ySubsection"/>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keepNext/>
        <w:keepLines/>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The rules and procedures established under this Code and the </w:t>
      </w:r>
      <w:r>
        <w:rPr>
          <w:i/>
        </w:rPr>
        <w:t>Retirement Villages Act 1992</w:t>
      </w:r>
      <w:r>
        <w:t xml:space="preserve"> help maintain an acceptable quality of life for everyone in the village.</w:t>
      </w:r>
    </w:p>
    <w:p>
      <w:pPr>
        <w:pStyle w:val="yHeading2"/>
        <w:pageBreakBefore/>
        <w:outlineLvl w:val="9"/>
        <w:rPr>
          <w:rStyle w:val="CharPartNo"/>
        </w:rPr>
      </w:pPr>
      <w:bookmarkStart w:id="81" w:name="_Toc378248205"/>
      <w:bookmarkStart w:id="82" w:name="_Toc426019525"/>
      <w:bookmarkStart w:id="83" w:name="_Toc426019600"/>
      <w:r>
        <w:rPr>
          <w:rStyle w:val="CharSDivNo"/>
        </w:rPr>
        <w:t>Part 6</w:t>
      </w:r>
      <w:r>
        <w:rPr>
          <w:rStyle w:val="CharPartNo"/>
        </w:rPr>
        <w:t> — </w:t>
      </w:r>
      <w:r>
        <w:rPr>
          <w:rStyle w:val="CharSDivText"/>
        </w:rPr>
        <w:t>Dispute resolution</w:t>
      </w:r>
      <w:bookmarkEnd w:id="81"/>
      <w:bookmarkEnd w:id="82"/>
      <w:bookmarkEnd w:id="83"/>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It is recognized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If both these steps fail, the Ministry of Fair Trading can provide information and conciliation services to administering bodies and residents to assist in the resolution of disputes.</w:t>
      </w:r>
    </w:p>
    <w:p>
      <w:pPr>
        <w:pStyle w:val="yHeading5"/>
        <w:outlineLvl w:val="9"/>
        <w:rPr>
          <w:sz w:val="24"/>
        </w:rPr>
      </w:pPr>
      <w:bookmarkStart w:id="84" w:name="_Toc378248206"/>
      <w:bookmarkStart w:id="85" w:name="_Toc426019601"/>
      <w:r>
        <w:rPr>
          <w:rStyle w:val="CharSClsNo"/>
        </w:rPr>
        <w:t>6.1</w:t>
      </w:r>
      <w:r>
        <w:rPr>
          <w:sz w:val="24"/>
        </w:rPr>
        <w:tab/>
        <w:t>Village Disputes Resolution Committee</w:t>
      </w:r>
      <w:bookmarkEnd w:id="84"/>
      <w:bookmarkEnd w:id="85"/>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rPr>
          <w:sz w:val="24"/>
        </w:rPr>
      </w:pPr>
      <w:r>
        <w:rPr>
          <w:sz w:val="24"/>
        </w:rPr>
        <w:tab/>
        <w:t>(2)</w:t>
      </w:r>
      <w:r>
        <w:rPr>
          <w:sz w:val="24"/>
        </w:rPr>
        <w:tab/>
        <w:t>The Village Disputes Resolution Committee must consist of 3 persons, namely —</w:t>
      </w:r>
    </w:p>
    <w:p>
      <w:pPr>
        <w:pStyle w:val="yIndenta"/>
        <w:keepNext/>
        <w:rPr>
          <w:sz w:val="24"/>
        </w:rPr>
      </w:pPr>
      <w:r>
        <w:rPr>
          <w:sz w:val="24"/>
        </w:rPr>
        <w:tab/>
        <w:t>(a)</w:t>
      </w:r>
      <w:r>
        <w:rPr>
          <w:sz w:val="24"/>
        </w:rPr>
        <w:tab/>
        <w:t>a person appointed by the residents;</w:t>
      </w:r>
    </w:p>
    <w:p>
      <w:pPr>
        <w:pStyle w:val="yIndenta"/>
        <w:rPr>
          <w:sz w:val="24"/>
        </w:rPr>
      </w:pPr>
      <w:r>
        <w:rPr>
          <w:sz w:val="24"/>
        </w:rPr>
        <w:tab/>
        <w:t>(b)</w:t>
      </w:r>
      <w:r>
        <w:rPr>
          <w:sz w:val="24"/>
        </w:rPr>
        <w:tab/>
        <w:t>a person appointed by the administering body; and</w:t>
      </w:r>
    </w:p>
    <w:p>
      <w:pPr>
        <w:pStyle w:val="yIndenta"/>
        <w:rPr>
          <w:sz w:val="24"/>
        </w:rPr>
      </w:pPr>
      <w:r>
        <w:rPr>
          <w:sz w:val="24"/>
        </w:rPr>
        <w:tab/>
        <w:t>(c)</w:t>
      </w:r>
      <w:r>
        <w:rPr>
          <w:sz w:val="24"/>
        </w:rPr>
        <w:tab/>
        <w:t>an independent person appointed by the persons appointed under paragraphs (a) and (b),</w:t>
      </w:r>
    </w:p>
    <w:p>
      <w:pPr>
        <w:pStyle w:val="ySubsection"/>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Under paragraph (a) the residents may appoint a person from the list of persons willing to be so appointed kept by the Ministry of Fair Trading.</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Under paragraph (b) the administering body may appoint a person from the list of persons willing to be so appointed kept by the Retirement Villages Association or Aged Care Australia.</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Under paragraph (c) the residents’ and administering body’s appointees may appoint a person from a list of persons willing to be so appointed kept by the Office of Seniors Interests.</w:t>
      </w:r>
    </w:p>
    <w:p>
      <w:pPr>
        <w:pStyle w:val="ySubsection"/>
        <w:rPr>
          <w:sz w:val="24"/>
        </w:rPr>
      </w:pPr>
      <w:r>
        <w:rPr>
          <w:sz w:val="24"/>
        </w:rPr>
        <w:tab/>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Part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Ministry of Fair Trading;</w:t>
      </w:r>
    </w:p>
    <w:p>
      <w:pPr>
        <w:pStyle w:val="yIndenta"/>
        <w:rPr>
          <w:sz w:val="24"/>
        </w:rPr>
      </w:pPr>
      <w:r>
        <w:rPr>
          <w:sz w:val="24"/>
        </w:rPr>
        <w:tab/>
        <w:t>(b)</w:t>
      </w:r>
      <w:r>
        <w:rPr>
          <w:sz w:val="24"/>
        </w:rPr>
        <w:tab/>
        <w:t>in the case of the person to be appointed by the administering body, appoint a person from a list of persons willing to be so appointed kept by the Retirement Villages Association or Aged Care Australia; and</w:t>
      </w:r>
    </w:p>
    <w:p>
      <w:pPr>
        <w:pStyle w:val="yIndenta"/>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pPr>
      <w:r>
        <w:tab/>
      </w:r>
      <w:r>
        <w:tab/>
      </w:r>
      <w:r>
        <w:rPr>
          <w:sz w:val="24"/>
        </w:rPr>
        <w:t>and any person so appointed is to be considered as having been nominated in accordance with subclause (2).</w:t>
      </w:r>
    </w:p>
    <w:p>
      <w:pPr>
        <w:pStyle w:val="yHeading5"/>
        <w:outlineLvl w:val="9"/>
        <w:rPr>
          <w:sz w:val="24"/>
        </w:rPr>
      </w:pPr>
      <w:bookmarkStart w:id="86" w:name="_Toc378248207"/>
      <w:bookmarkStart w:id="87" w:name="_Toc426019602"/>
      <w:r>
        <w:rPr>
          <w:rStyle w:val="CharSClsNo"/>
        </w:rPr>
        <w:t>6.2</w:t>
      </w:r>
      <w:r>
        <w:rPr>
          <w:sz w:val="24"/>
        </w:rPr>
        <w:tab/>
        <w:t>Dispute procedures</w:t>
      </w:r>
      <w:bookmarkEnd w:id="86"/>
      <w:bookmarkEnd w:id="87"/>
    </w:p>
    <w:p>
      <w:pPr>
        <w:pStyle w:val="ySubsection"/>
        <w:rPr>
          <w:sz w:val="24"/>
        </w:rPr>
      </w:pPr>
      <w:r>
        <w:rPr>
          <w:sz w:val="24"/>
        </w:rPr>
        <w:tab/>
        <w:t>(1)</w:t>
      </w:r>
      <w:r>
        <w:rPr>
          <w:sz w:val="24"/>
        </w:rPr>
        <w:tab/>
        <w:t>The administering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rPr>
          <w:sz w:val="24"/>
        </w:rPr>
      </w:pPr>
      <w:r>
        <w:rPr>
          <w:sz w:val="24"/>
        </w:rPr>
        <w:tab/>
        <w:t>(2)</w:t>
      </w:r>
      <w:r>
        <w:rPr>
          <w:sz w:val="24"/>
        </w:rPr>
        <w:tab/>
        <w:t>Where the administering body and residents have not agreed on a charter, the standard charter prepared by the Ministry of Fair Trading is to be considered the charter.</w:t>
      </w:r>
    </w:p>
    <w:p>
      <w:pPr>
        <w:pStyle w:val="ySubsection"/>
        <w:rPr>
          <w:sz w:val="24"/>
        </w:rPr>
      </w:pPr>
      <w:r>
        <w:rPr>
          <w:sz w:val="24"/>
        </w:rPr>
        <w:tab/>
        <w:t>(3)</w:t>
      </w:r>
      <w:r>
        <w:rPr>
          <w:sz w:val="24"/>
        </w:rPr>
        <w:tab/>
        <w:t>Where a dispute arises within the charter, either a resident or the administering body may apply to the Committee to have the matter heard.</w:t>
      </w:r>
    </w:p>
    <w:p>
      <w:pPr>
        <w:pStyle w:val="ySubsection"/>
        <w:rPr>
          <w:sz w:val="24"/>
        </w:rPr>
      </w:pPr>
      <w:r>
        <w:rPr>
          <w:sz w:val="24"/>
        </w:rPr>
        <w:tab/>
        <w:t>(4)</w:t>
      </w:r>
      <w:r>
        <w:rPr>
          <w:sz w:val="24"/>
        </w:rPr>
        <w:tab/>
        <w:t>The Committee must meet as soon as possible after being notified of a dispute and hear the dispute in accordance with the charter.</w:t>
      </w:r>
    </w:p>
    <w:p>
      <w:pPr>
        <w:pStyle w:val="ySubsection"/>
        <w:rPr>
          <w:sz w:val="24"/>
        </w:rPr>
      </w:pPr>
      <w:r>
        <w:rPr>
          <w:sz w:val="24"/>
        </w:rPr>
        <w:tab/>
        <w:t>(5)</w:t>
      </w:r>
      <w:r>
        <w:rPr>
          <w:sz w:val="24"/>
        </w:rPr>
        <w:tab/>
        <w:t>After hearing a dispute, the Committee must advise the parties to the dispute of its decision, in writing, within 10 days of the hearing.</w:t>
      </w:r>
    </w:p>
    <w:p>
      <w:pPr>
        <w:pStyle w:val="ySubsection"/>
        <w:rPr>
          <w:sz w:val="24"/>
        </w:rPr>
      </w:pPr>
      <w:r>
        <w:rPr>
          <w:sz w:val="24"/>
        </w:rPr>
        <w:tab/>
        <w:t>(6)</w:t>
      </w:r>
      <w:r>
        <w:rPr>
          <w:sz w:val="24"/>
        </w:rPr>
        <w:tab/>
        <w:t>If a dispute is not resolved by the Committee, either party to the dispute may seek the assistance of the Ministry of Fair Trading  whose officers may attempt conciliation or take other appropriate action.</w:t>
      </w:r>
    </w:p>
    <w:p>
      <w:pPr>
        <w:pStyle w:val="ySubsection"/>
        <w:rPr>
          <w:sz w:val="24"/>
        </w:rPr>
      </w:pPr>
      <w:r>
        <w:rPr>
          <w:sz w:val="24"/>
        </w:rPr>
        <w:tab/>
        <w:t>(7)</w:t>
      </w:r>
      <w:r>
        <w:rPr>
          <w:sz w:val="24"/>
        </w:rPr>
        <w:tab/>
        <w:t>If the Committee determines that a dispute cannot be resolved by it, the Committee must advise the applicant to apply to the Ministry of Fair Trading or the Retirement Village Disputes Tribunal (see Part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2"/>
        <w:pageBreakBefore/>
        <w:outlineLvl w:val="9"/>
        <w:rPr>
          <w:rStyle w:val="CharPartNo"/>
        </w:rPr>
      </w:pPr>
      <w:bookmarkStart w:id="88" w:name="_Toc378248208"/>
      <w:bookmarkStart w:id="89" w:name="_Toc426019528"/>
      <w:bookmarkStart w:id="90" w:name="_Toc426019603"/>
      <w:r>
        <w:rPr>
          <w:rStyle w:val="CharSDivNo"/>
        </w:rPr>
        <w:t>Part 7</w:t>
      </w:r>
      <w:r>
        <w:rPr>
          <w:rStyle w:val="CharPartNo"/>
        </w:rPr>
        <w:t> — </w:t>
      </w:r>
      <w:r>
        <w:rPr>
          <w:rStyle w:val="CharSDivText"/>
        </w:rPr>
        <w:t>Termination of residence contracts</w:t>
      </w:r>
      <w:bookmarkEnd w:id="88"/>
      <w:bookmarkEnd w:id="89"/>
      <w:bookmarkEnd w:id="90"/>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b/>
        </w:rPr>
        <w:t>Retirement Village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The Retirement Village Disputes Tribunal consists of a referee sitting alone or a referee and two other members chosen from panels established by the Minister for Fair Trading.</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An administering body cannot terminate a residence contract on its own, that is, without the agreement of the resident.  However, a resident or the administering body may apply to the Retirement Village Disputes Tribunal to terminate a residence contract under circumstances as specified in the </w:t>
      </w:r>
      <w:r>
        <w:rPr>
          <w:i/>
        </w:rPr>
        <w:t>Retirement Villages Act 1992</w:t>
      </w:r>
      <w:r>
        <w: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As set out in the </w:t>
      </w:r>
      <w:r>
        <w:rPr>
          <w:i/>
        </w:rPr>
        <w:t>Retirement Villages Act 1992</w:t>
      </w:r>
      <w:r>
        <w:t>, an administering body may apply to the Tribunal to terminate a residence contract on any of the following grounds: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that the residents’ physical or mental health is such as to make the residential premises unsuitable for occupation by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that the resident has breached the residence contract or the residence rules and has failed to rectify that breach;</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that the administering body would, in the special circumstances of the case, suffer undue hardship if the contract were not terminated.</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As set out in the </w:t>
      </w:r>
      <w:r>
        <w:rPr>
          <w:i/>
        </w:rPr>
        <w:t>Retirement Villages Act 1992</w:t>
      </w:r>
      <w:r>
        <w:t>, where an administering body of a retirement village seeks an order from the Tribunal to terminate a residence contract it must —</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if the termination is being sought due to a breach of the residence contract or residence rules, specify the breach and give the resident an opportunity to rectify that breach within a reasonable and specified time;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give the resident 14 days written notice of its intention to apply to the Tribunal for an order terminating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ensure a notice of termination clearly states that the contract cannot be terminated without an order by the Tribunal; and</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advise the resident of his or her right to occupy the accommodation unit until a termination date is fixed by the Tribunal.</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rStyle w:val="CharPartNo"/>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within 7 days of the succeeding resident taking occupation;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993"/>
        </w:tabs>
        <w:spacing w:before="80"/>
        <w:ind w:left="993" w:hanging="426"/>
      </w:pPr>
      <w:r>
        <w:sym w:font="Symbol" w:char="F0B7"/>
      </w:r>
      <w:r>
        <w:tab/>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Where a residence contract has been terminated by the Tribunal, the Tribunal is to fix a date by which the resident must vacate the premises.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5" w:color="auto" w:fill="FFFFFF"/>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Where a residence contract has been terminated by the Tribunal, the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w:t>
      </w:r>
      <w:r>
        <w:noBreakHyphen/>
        <w:t>21 of that Act, the period within which the refund is to be paid is determined under the relevant Commonwealth regulations.</w:t>
      </w:r>
    </w:p>
    <w:p>
      <w:pPr>
        <w:pStyle w:val="yHeading2"/>
        <w:pageBreakBefore/>
        <w:outlineLvl w:val="9"/>
        <w:rPr>
          <w:rStyle w:val="CharPartNo"/>
        </w:rPr>
      </w:pPr>
      <w:bookmarkStart w:id="91" w:name="_Toc378248209"/>
      <w:bookmarkStart w:id="92" w:name="_Toc426019529"/>
      <w:bookmarkStart w:id="93" w:name="_Toc426019604"/>
      <w:r>
        <w:rPr>
          <w:rStyle w:val="CharPartNo"/>
        </w:rPr>
        <w:t>Appendix 1 — Copy of information statement for prospective resident</w:t>
      </w:r>
      <w:bookmarkEnd w:id="91"/>
      <w:bookmarkEnd w:id="92"/>
      <w:bookmarkEnd w:id="93"/>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THE OWNER MUST ANSWER EACH OF THE FOLLOWING QUESTIONS IN WRITING BELOW EACH QUESTION:</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Costs and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w:t>
      </w:r>
      <w:r>
        <w:tab/>
        <w:t>What costs will be payable to enter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w:t>
      </w:r>
      <w:r>
        <w:tab/>
        <w:t>What recurrent charges or fees will be payable and what method is used to determine those fees?  What are the components of the maintenance fee?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3.</w:t>
      </w:r>
      <w:r>
        <w:tab/>
        <w:t>By what percentage did the maintenance fee increase during the previous financial year?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4.</w:t>
      </w:r>
      <w:r>
        <w:tab/>
        <w:t>What are the arrangements and fees for any necessary insurance cover?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5.</w:t>
      </w:r>
      <w:r>
        <w:tab/>
        <w:t>What provision is there for a sinking fund for major maintenance and replacement?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6.</w:t>
      </w:r>
      <w:r>
        <w:tab/>
        <w:t>Can the prospective resident be liable for any additional or extraordinary charges?  If so, under what circumstances?</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Resident input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Resident funded capital improvements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9.</w:t>
      </w:r>
      <w:r>
        <w:tab/>
        <w:t>What services will be provided for the fees payable?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10.</w:t>
      </w:r>
      <w:r>
        <w:tab/>
        <w:t>What additional or optional services are provided and at what cost?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Existing service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Use of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12.</w:t>
      </w:r>
      <w:r>
        <w:tab/>
        <w:t>What restrictions will there be on the resident in the use of his/her accommodation unit and the village facilities in regard to:</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701"/>
        </w:tabs>
        <w:spacing w:before="80"/>
        <w:ind w:firstLine="567"/>
      </w:pPr>
      <w:r>
        <w:sym w:font="Symbol" w:char="F0B7"/>
      </w:r>
      <w:r>
        <w:tab/>
        <w:t>having someone else live with him/her?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701"/>
        </w:tabs>
        <w:spacing w:before="80"/>
        <w:ind w:firstLine="567"/>
      </w:pPr>
      <w:r>
        <w:sym w:font="Symbol" w:char="F0B7"/>
      </w:r>
      <w:r>
        <w:tab/>
        <w:t>having visitors, including short stay guests?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701"/>
        </w:tabs>
        <w:spacing w:before="80"/>
        <w:ind w:firstLine="567"/>
      </w:pPr>
      <w:r>
        <w:sym w:font="Symbol" w:char="F0B7"/>
      </w:r>
      <w:r>
        <w:tab/>
        <w:t>car parking?</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701"/>
        </w:tabs>
        <w:spacing w:before="80"/>
        <w:ind w:firstLine="567"/>
      </w:pPr>
      <w:r>
        <w:sym w:font="Symbol" w:char="F0B7"/>
      </w:r>
      <w:r>
        <w:tab/>
        <w:t>pets?</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Transport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13.</w:t>
      </w:r>
      <w:r>
        <w:tab/>
        <w:t>What type of public, private or village transport is available to residents?</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Village management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14.</w:t>
      </w:r>
      <w:r>
        <w:tab/>
        <w:t>What are the qualifications and experience of the retirement village’s senior management?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Medical certificate requirements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15.</w:t>
      </w:r>
      <w:r>
        <w:tab/>
        <w:t>Does the prospective resident have to supply a medical certificate or report to certify his/her ability to live independently?</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Emergency call procedures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17.</w:t>
      </w:r>
      <w:r>
        <w:tab/>
        <w:t>Is there an emergency call system?  If so, when is it monitored?  Who is responsible for responding to the calls?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18.</w:t>
      </w:r>
      <w:r>
        <w:tab/>
        <w:t>In the event of an emergency who will be called and how will they gain access to the unit?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19.</w:t>
      </w:r>
      <w:r>
        <w:tab/>
        <w:t>If hospitalization is required where will a person normally be taken?</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Hospitalization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20.</w:t>
      </w:r>
      <w:r>
        <w:tab/>
        <w:t>If hospitalization or nursing care is required, how long will the prospective resident’s accommodation unit be kept in the name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21.</w:t>
      </w:r>
      <w:r>
        <w:tab/>
        <w:t>In the event that hospitalization or nursing care is required, what ongoing costs would the prospective resident incur with his/her existing unit?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Moving</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22.</w:t>
      </w:r>
      <w:r>
        <w:tab/>
        <w:t>What costs are associated with moving to and living in alternative accommodation within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Villages under construction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Refund of deposit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Sale of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26.</w:t>
      </w:r>
      <w:r>
        <w:tab/>
        <w:t>What protection will the prospective resident have against a loss of rights (including accommodation rights) if the village is sold to another organization?</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Restrictions on sale of unit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27.</w:t>
      </w:r>
      <w:r>
        <w:tab/>
        <w:t>Are there any restrictions on the sale of an accommodation unit (e.g. sole agency)?  What happens if there is a dispute over the sale price?</w:t>
      </w:r>
    </w:p>
    <w:p>
      <w:pPr>
        <w:pStyle w:val="zMiscellaneousHeading"/>
        <w:keepLines/>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Termination of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4" w:color="auto" w:shadow="1"/>
          <w:bottom w:val="single" w:sz="4" w:space="1" w:color="auto" w:shadow="1"/>
          <w:right w:val="single" w:sz="4" w:space="4" w:color="auto" w:shadow="1"/>
        </w:pBdr>
        <w:shd w:val="pct5" w:color="auto" w:fill="FFFFFF"/>
        <w:rPr>
          <w:b/>
        </w:rPr>
      </w:pPr>
      <w:r>
        <w:rPr>
          <w:b/>
        </w:rPr>
        <w:t>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31.</w:t>
      </w:r>
      <w:r>
        <w:tab/>
        <w:t>To enable me to compare the financial packages offered by different retirement villages, what would be the final return due after, say, 1, 2, 5 and 10 years?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Signature of owner: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Date:</w:t>
      </w:r>
    </w:p>
    <w:p>
      <w:pPr>
        <w:pStyle w:val="yHeading2"/>
        <w:pageBreakBefore/>
        <w:outlineLvl w:val="9"/>
        <w:rPr>
          <w:rStyle w:val="CharPartNo"/>
        </w:rPr>
      </w:pPr>
      <w:bookmarkStart w:id="94" w:name="_Toc378248210"/>
      <w:bookmarkStart w:id="95" w:name="_Toc426019530"/>
      <w:bookmarkStart w:id="96" w:name="_Toc426019605"/>
      <w:r>
        <w:rPr>
          <w:rStyle w:val="CharPartNo"/>
        </w:rPr>
        <w:t>Appendix 2 — Checklist for prospective resident</w:t>
      </w:r>
      <w:bookmarkEnd w:id="94"/>
      <w:bookmarkEnd w:id="95"/>
      <w:bookmarkEnd w:id="96"/>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6.</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7.</w:t>
      </w:r>
      <w:r>
        <w:tab/>
        <w:t>Does the village provide personal care or nursing care, an emergency call system and other facilities specially designed for the elderly?  Do these meet my present and likely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9.</w:t>
      </w:r>
      <w:r>
        <w:tab/>
        <w:t>Can I afford to live in the village I have chosen and what are the financial consequences for me if I wish to move out?</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5" w:color="auto" w:fill="FFFFFF"/>
        <w:tabs>
          <w:tab w:val="left" w:pos="1134"/>
        </w:tabs>
        <w:ind w:left="1134" w:hanging="567"/>
      </w:pPr>
      <w:r>
        <w:t>12.</w:t>
      </w:r>
      <w:r>
        <w:tab/>
        <w:t xml:space="preserve">Before I sign the contract, have I received and considered all the information required to be given to me under the </w:t>
      </w:r>
      <w:r>
        <w:rPr>
          <w:i/>
        </w:rPr>
        <w:t>Code of Fair Practice for Retirement Villages 1998</w:t>
      </w:r>
      <w:r>
        <w:t xml:space="preserve"> and the </w:t>
      </w:r>
      <w:r>
        <w:rPr>
          <w:i/>
        </w:rPr>
        <w:t>Retirement Villages Act 1992</w:t>
      </w:r>
      <w:r>
        <w:t>?</w:t>
      </w:r>
    </w:p>
    <w:p>
      <w:pPr>
        <w:rPr>
          <w:sz w:val="20"/>
        </w:rPr>
        <w:sectPr>
          <w:headerReference w:type="even" r:id="rId25"/>
          <w:headerReference w:type="default" r:id="rId26"/>
          <w:pgSz w:w="11907" w:h="16840" w:code="9"/>
          <w:pgMar w:top="1191" w:right="2404" w:bottom="1134" w:left="2404" w:header="1134" w:footer="3380" w:gutter="0"/>
          <w:cols w:space="720"/>
          <w:docGrid w:linePitch="326"/>
        </w:sectPr>
      </w:pPr>
    </w:p>
    <w:p>
      <w:pPr>
        <w:pStyle w:val="nHeading2"/>
      </w:pPr>
      <w:bookmarkStart w:id="98" w:name="_Toc378248211"/>
      <w:bookmarkStart w:id="99" w:name="_Toc426019531"/>
      <w:bookmarkStart w:id="100" w:name="_Toc426019606"/>
      <w:r>
        <w:t>Notes</w:t>
      </w:r>
      <w:bookmarkEnd w:id="98"/>
      <w:bookmarkEnd w:id="99"/>
      <w:bookmarkEnd w:id="100"/>
    </w:p>
    <w:p>
      <w:pPr>
        <w:pStyle w:val="nSubsection"/>
      </w:pPr>
      <w:r>
        <w:rPr>
          <w:snapToGrid w:val="0"/>
          <w:vertAlign w:val="superscript"/>
        </w:rPr>
        <w:t>1.</w:t>
      </w:r>
      <w:r>
        <w:rPr>
          <w:snapToGrid w:val="0"/>
          <w:vertAlign w:val="superscript"/>
        </w:rPr>
        <w:tab/>
      </w:r>
      <w:r>
        <w:t xml:space="preserve">This is a compilation of the </w:t>
      </w:r>
      <w:r>
        <w:rPr>
          <w:i/>
        </w:rPr>
        <w:t xml:space="preserve">Fair Trading (Retirement Villages Code) Regulations 1998 </w:t>
      </w:r>
      <w:r>
        <w:t>and includes the amendments referred to in the following Table.</w:t>
      </w:r>
    </w:p>
    <w:p>
      <w:pPr>
        <w:pStyle w:val="nHeading3"/>
        <w:rPr>
          <w:snapToGrid w:val="0"/>
        </w:rPr>
      </w:pPr>
      <w:bookmarkStart w:id="101" w:name="_Toc378248212"/>
      <w:bookmarkStart w:id="102" w:name="_Toc426019607"/>
      <w:r>
        <w:rPr>
          <w:snapToGrid w:val="0"/>
        </w:rPr>
        <w:t>Compilation table</w:t>
      </w:r>
      <w:bookmarkEnd w:id="101"/>
      <w:bookmarkEnd w:id="10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(Retirement Villages Code) Regulations 1998</w:t>
            </w:r>
          </w:p>
        </w:tc>
        <w:tc>
          <w:tcPr>
            <w:tcW w:w="1276" w:type="dxa"/>
            <w:tcBorders>
              <w:top w:val="single" w:sz="8" w:space="0" w:color="auto"/>
            </w:tcBorders>
          </w:tcPr>
          <w:p>
            <w:pPr>
              <w:pStyle w:val="nTable"/>
              <w:spacing w:after="40"/>
            </w:pPr>
            <w:r>
              <w:t>30 Sep 1998 p. 5481</w:t>
            </w:r>
            <w:r>
              <w:noBreakHyphen/>
              <w:t>505</w:t>
            </w:r>
          </w:p>
        </w:tc>
        <w:tc>
          <w:tcPr>
            <w:tcW w:w="2693" w:type="dxa"/>
            <w:tcBorders>
              <w:top w:val="single" w:sz="8" w:space="0" w:color="auto"/>
            </w:tcBorders>
          </w:tcPr>
          <w:p>
            <w:pPr>
              <w:pStyle w:val="nTable"/>
              <w:spacing w:after="40"/>
            </w:pPr>
            <w:r>
              <w:t>1 Oct 1998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w:t>
            </w:r>
            <w:r>
              <w:rPr>
                <w:b/>
                <w:bCs/>
                <w:i/>
                <w:iCs/>
                <w:color w:val="FF0000"/>
              </w:rPr>
              <w:t>the Fair Trading (Retirement Villages Interim Code) Regulations 2001</w:t>
            </w:r>
            <w:r>
              <w:rPr>
                <w:b/>
                <w:bCs/>
                <w:color w:val="FF0000"/>
              </w:rPr>
              <w:t xml:space="preserve"> r. 6 as at 1 Oct 2001 (see </w:t>
            </w:r>
            <w:r>
              <w:rPr>
                <w:b/>
                <w:bCs/>
                <w:i/>
                <w:iCs/>
                <w:color w:val="FF0000"/>
              </w:rPr>
              <w:t>Gazette</w:t>
            </w:r>
            <w:r>
              <w:rPr>
                <w:b/>
                <w:bCs/>
                <w:color w:val="FF0000"/>
              </w:rPr>
              <w:t xml:space="preserve"> 25 Sep 2001 p. 5246)</w:t>
            </w:r>
          </w:p>
        </w:tc>
      </w:tr>
    </w:tbl>
    <w:p/>
    <w:p/>
    <w:p>
      <w:pPr>
        <w:sectPr>
          <w:headerReference w:type="even" r:id="rId27"/>
          <w:headerReference w:type="default" r:id="rId28"/>
          <w:headerReference w:type="first" r:id="rId29"/>
          <w:pgSz w:w="11907" w:h="16840" w:code="9"/>
          <w:pgMar w:top="1191" w:right="2404" w:bottom="1134" w:left="2404" w:header="1134" w:footer="3380" w:gutter="0"/>
          <w:cols w:space="720"/>
          <w:noEndnote/>
          <w:docGrid w:linePitch="326"/>
        </w:sectPr>
      </w:pPr>
    </w:p>
    <w:p>
      <w:pPr>
        <w:pStyle w:val="Subsection"/>
        <w:ind w:left="890" w:hanging="890"/>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1134" w:right="1701" w:bottom="1134" w:left="1701"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rPr>
      <w:tab/>
      <w:t>Extract from www.slp.wa.gov.au, see that website for further information</w:t>
    </w:r>
  </w:p>
  <w:p>
    <w:pPr>
      <w:rPr>
        <w:i/>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BAB9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B6CB5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7E44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5A38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DAC5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6F490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1C68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1787D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184F78"/>
    <w:lvl w:ilvl="0">
      <w:start w:val="1"/>
      <w:numFmt w:val="decimal"/>
      <w:pStyle w:val="ListNumber"/>
      <w:lvlText w:val="%1."/>
      <w:lvlJc w:val="left"/>
      <w:pPr>
        <w:tabs>
          <w:tab w:val="num" w:pos="360"/>
        </w:tabs>
        <w:ind w:left="360" w:hanging="360"/>
      </w:pPr>
    </w:lvl>
  </w:abstractNum>
  <w:abstractNum w:abstractNumId="9">
    <w:nsid w:val="FFFFFF89"/>
    <w:multiLevelType w:val="singleLevel"/>
    <w:tmpl w:val="79342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FAE9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833"/>
    <w:docVar w:name="WAFER_20140123132753" w:val="RemoveTocBookmarks,RemoveUnusedBookmarks,RemoveLanguageTags,UsedStyles,ResetPageSize,UpdateArrangement"/>
    <w:docVar w:name="WAFER_20140123132753_GUID" w:val="56a43113-1572-48d8-b0a2-1335205948b1"/>
    <w:docVar w:name="WAFER_20140123134300" w:val="RemoveTocBookmarks,RunningHeaders"/>
    <w:docVar w:name="WAFER_20140123134300_GUID" w:val="80479557-b678-475a-8ba7-9c617a5f1e72"/>
    <w:docVar w:name="WAFER_20150729180434" w:val="ResetPageSize,UpdateArrangement,UpdateNTable"/>
    <w:docVar w:name="WAFER_20150729180434_GUID" w:val="c473a01b-8295-4556-b698-a4ab6c3bc87a"/>
    <w:docVar w:name="WAFER_20151117104833" w:val="UpdateStyles,UsedStyles"/>
    <w:docVar w:name="WAFER_20151117104833_GUID" w:val="96f58daa-eefa-4615-b762-c8079542ab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7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8005</Words>
  <Characters>41630</Characters>
  <Application>Microsoft Office Word</Application>
  <DocSecurity>0</DocSecurity>
  <Lines>1095</Lines>
  <Paragraphs>511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Code of Fair Practice for Retirement Villages 1998</vt:lpstr>
      <vt:lpstr>    Notes</vt:lpstr>
    </vt:vector>
  </TitlesOfParts>
  <Manager/>
  <Company/>
  <LinksUpToDate>false</LinksUpToDate>
  <CharactersWithSpaces>49124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1998 - 00-b0-06</dc:title>
  <dc:subject/>
  <dc:creator/>
  <cp:keywords/>
  <dc:description/>
  <cp:lastModifiedBy>svcMRProcess</cp:lastModifiedBy>
  <cp:revision>4</cp:revision>
  <cp:lastPrinted>2006-04-19T00:52:00Z</cp:lastPrinted>
  <dcterms:created xsi:type="dcterms:W3CDTF">2015-11-17T02:52:00Z</dcterms:created>
  <dcterms:modified xsi:type="dcterms:W3CDTF">2015-11-17T02:52:00Z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September 1998 pp.5481-505</vt:lpwstr>
  </property>
  <property fmtid="{D5CDD505-2E9C-101B-9397-08002B2CF9AE}" pid="3" name="CommencementDate">
    <vt:lpwstr>20011001</vt:lpwstr>
  </property>
  <property fmtid="{D5CDD505-2E9C-101B-9397-08002B2CF9AE}" pid="4" name="DocumentType">
    <vt:lpwstr>Reg</vt:lpwstr>
  </property>
  <property fmtid="{D5CDD505-2E9C-101B-9397-08002B2CF9AE}" pid="5" name="AsAtDate">
    <vt:lpwstr>01 Oct 2001</vt:lpwstr>
  </property>
  <property fmtid="{D5CDD505-2E9C-101B-9397-08002B2CF9AE}" pid="6" name="Suffix">
    <vt:lpwstr>00-b0-06</vt:lpwstr>
  </property>
  <property fmtid="{D5CDD505-2E9C-101B-9397-08002B2CF9AE}" pid="7" name="Status">
    <vt:lpwstr>NIF</vt:lpwstr>
  </property>
</Properties>
</file>