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(Retirement Villages Code)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2003</w:t>
      </w:r>
      <w:r>
        <w:fldChar w:fldCharType="end"/>
      </w:r>
    </w:p>
    <w:p>
      <w:pPr>
        <w:pStyle w:val="Arrangement"/>
      </w:pPr>
      <w:r>
        <w:t>CONTENTS</w:t>
      </w:r>
      <w:bookmarkStart w:id="1" w:name="UpToHere"/>
      <w:bookmarkEnd w:id="1"/>
    </w:p>
    <w:p>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sz w:val="22"/>
        </w:rPr>
        <w:fldChar w:fldCharType="begin"/>
      </w:r>
      <w:r>
        <w:rPr>
          <w:noProof/>
          <w:sz w:val="22"/>
        </w:rPr>
        <w:instrText xml:space="preserve"> PAGEREF _Toc52697181 \h </w:instrText>
      </w:r>
      <w:r>
        <w:rPr>
          <w:noProof/>
          <w:sz w:val="22"/>
        </w:rPr>
      </w:r>
      <w:r>
        <w:rPr>
          <w:noProof/>
          <w:sz w:val="22"/>
        </w:rPr>
        <w:fldChar w:fldCharType="separate"/>
      </w:r>
      <w:r>
        <w:rPr>
          <w:noProof/>
          <w:sz w:val="22"/>
        </w:rPr>
        <w:t>1</w:t>
      </w:r>
      <w:r>
        <w:rPr>
          <w:noProof/>
          <w:sz w:val="22"/>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sz w:val="22"/>
        </w:rPr>
        <w:fldChar w:fldCharType="begin"/>
      </w:r>
      <w:r>
        <w:rPr>
          <w:noProof/>
          <w:sz w:val="22"/>
        </w:rPr>
        <w:instrText xml:space="preserve"> PAGEREF _Toc52697182 \h </w:instrText>
      </w:r>
      <w:r>
        <w:rPr>
          <w:noProof/>
          <w:sz w:val="22"/>
        </w:rPr>
      </w:r>
      <w:r>
        <w:rPr>
          <w:noProof/>
          <w:sz w:val="22"/>
        </w:rPr>
        <w:fldChar w:fldCharType="separate"/>
      </w:r>
      <w:r>
        <w:rPr>
          <w:noProof/>
          <w:sz w:val="22"/>
        </w:rPr>
        <w:t>1</w:t>
      </w:r>
      <w:r>
        <w:rPr>
          <w:noProof/>
          <w:sz w:val="22"/>
        </w:rPr>
        <w:fldChar w:fldCharType="end"/>
      </w:r>
    </w:p>
    <w:p>
      <w:pPr>
        <w:pStyle w:val="TOC4"/>
        <w:rPr>
          <w:noProof/>
        </w:rPr>
      </w:pPr>
      <w:r>
        <w:rPr>
          <w:noProof/>
        </w:rPr>
        <w:t>3.</w:t>
      </w:r>
      <w:r>
        <w:rPr>
          <w:noProof/>
        </w:rPr>
        <w:tab/>
        <w:t>Code of Practice prescribed and transitional</w:t>
      </w:r>
      <w:r>
        <w:rPr>
          <w:noProof/>
        </w:rPr>
        <w:tab/>
      </w:r>
      <w:r>
        <w:rPr>
          <w:noProof/>
          <w:sz w:val="22"/>
        </w:rPr>
        <w:fldChar w:fldCharType="begin"/>
      </w:r>
      <w:r>
        <w:rPr>
          <w:noProof/>
          <w:sz w:val="22"/>
        </w:rPr>
        <w:instrText xml:space="preserve"> PAGEREF _Toc52697183 \h </w:instrText>
      </w:r>
      <w:r>
        <w:rPr>
          <w:noProof/>
          <w:sz w:val="22"/>
        </w:rPr>
      </w:r>
      <w:r>
        <w:rPr>
          <w:noProof/>
          <w:sz w:val="22"/>
        </w:rPr>
        <w:fldChar w:fldCharType="separate"/>
      </w:r>
      <w:r>
        <w:rPr>
          <w:noProof/>
          <w:sz w:val="22"/>
        </w:rPr>
        <w:t>1</w:t>
      </w:r>
      <w:r>
        <w:rPr>
          <w:noProof/>
          <w:sz w:val="22"/>
        </w:rPr>
        <w:fldChar w:fldCharType="end"/>
      </w:r>
    </w:p>
    <w:p>
      <w:pPr>
        <w:pStyle w:val="TOC4"/>
        <w:rPr>
          <w:noProof/>
        </w:rPr>
      </w:pPr>
      <w:r>
        <w:rPr>
          <w:noProof/>
        </w:rPr>
        <w:t>4.</w:t>
      </w:r>
      <w:r>
        <w:rPr>
          <w:noProof/>
        </w:rPr>
        <w:tab/>
        <w:t>Interpretation</w:t>
      </w:r>
      <w:r>
        <w:rPr>
          <w:noProof/>
        </w:rPr>
        <w:tab/>
      </w:r>
      <w:r>
        <w:rPr>
          <w:noProof/>
          <w:sz w:val="22"/>
        </w:rPr>
        <w:fldChar w:fldCharType="begin"/>
      </w:r>
      <w:r>
        <w:rPr>
          <w:noProof/>
          <w:sz w:val="22"/>
        </w:rPr>
        <w:instrText xml:space="preserve"> PAGEREF _Toc52697184 \h </w:instrText>
      </w:r>
      <w:r>
        <w:rPr>
          <w:noProof/>
          <w:sz w:val="22"/>
        </w:rPr>
      </w:r>
      <w:r>
        <w:rPr>
          <w:noProof/>
          <w:sz w:val="22"/>
        </w:rPr>
        <w:fldChar w:fldCharType="separate"/>
      </w:r>
      <w:r>
        <w:rPr>
          <w:noProof/>
          <w:sz w:val="22"/>
        </w:rPr>
        <w:t>2</w:t>
      </w:r>
      <w:r>
        <w:rPr>
          <w:noProof/>
          <w:sz w:val="22"/>
        </w:rPr>
        <w:fldChar w:fldCharType="end"/>
      </w:r>
    </w:p>
    <w:p>
      <w:pPr>
        <w:pStyle w:val="TOC5"/>
        <w:rPr>
          <w:noProof/>
        </w:rPr>
      </w:pPr>
      <w:r>
        <w:rPr>
          <w:noProof/>
        </w:rPr>
        <w:t xml:space="preserve">Schedule 1 — </w:t>
      </w:r>
      <w:r>
        <w:rPr>
          <w:i/>
          <w:noProof/>
        </w:rPr>
        <w:t>Code of Fair Practice for Retirement Villages 2003</w:t>
      </w:r>
      <w:r>
        <w:rPr>
          <w:noProof/>
        </w:rPr>
        <w:tab/>
      </w:r>
      <w:r>
        <w:rPr>
          <w:b w:val="0"/>
          <w:noProof/>
          <w:sz w:val="22"/>
        </w:rPr>
        <w:fldChar w:fldCharType="begin"/>
      </w:r>
      <w:r>
        <w:rPr>
          <w:b w:val="0"/>
          <w:noProof/>
          <w:sz w:val="22"/>
        </w:rPr>
        <w:instrText xml:space="preserve"> PAGEREF _Toc52697185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7"/>
      </w:pPr>
      <w:r>
        <w:t>Division 1 — Preliminary</w:t>
      </w:r>
      <w:r>
        <w:tab/>
      </w:r>
      <w:r>
        <w:fldChar w:fldCharType="begin"/>
      </w:r>
      <w:r>
        <w:instrText xml:space="preserve"> PAGEREF _Toc52697186 \h </w:instrText>
      </w:r>
      <w:r>
        <w:fldChar w:fldCharType="separate"/>
      </w:r>
      <w:r>
        <w:t>6</w:t>
      </w:r>
      <w:r>
        <w:fldChar w:fldCharType="end"/>
      </w:r>
    </w:p>
    <w:p>
      <w:pPr>
        <w:pStyle w:val="TOC4"/>
        <w:rPr>
          <w:noProof/>
        </w:rPr>
      </w:pPr>
      <w:r>
        <w:rPr>
          <w:noProof/>
        </w:rPr>
        <w:t>1.1</w:t>
      </w:r>
      <w:r>
        <w:rPr>
          <w:noProof/>
        </w:rPr>
        <w:tab/>
        <w:t>Citation</w:t>
      </w:r>
      <w:r>
        <w:rPr>
          <w:noProof/>
        </w:rPr>
        <w:tab/>
      </w:r>
      <w:r>
        <w:rPr>
          <w:noProof/>
          <w:sz w:val="22"/>
        </w:rPr>
        <w:fldChar w:fldCharType="begin"/>
      </w:r>
      <w:r>
        <w:rPr>
          <w:noProof/>
          <w:sz w:val="22"/>
        </w:rPr>
        <w:instrText xml:space="preserve"> PAGEREF _Toc52697187 \h </w:instrText>
      </w:r>
      <w:r>
        <w:rPr>
          <w:noProof/>
          <w:sz w:val="22"/>
        </w:rPr>
      </w:r>
      <w:r>
        <w:rPr>
          <w:noProof/>
          <w:sz w:val="22"/>
        </w:rPr>
        <w:fldChar w:fldCharType="separate"/>
      </w:r>
      <w:r>
        <w:rPr>
          <w:noProof/>
          <w:sz w:val="22"/>
        </w:rPr>
        <w:t>6</w:t>
      </w:r>
      <w:r>
        <w:rPr>
          <w:noProof/>
          <w:sz w:val="22"/>
        </w:rPr>
        <w:fldChar w:fldCharType="end"/>
      </w:r>
    </w:p>
    <w:p>
      <w:pPr>
        <w:pStyle w:val="TOC4"/>
        <w:rPr>
          <w:noProof/>
        </w:rPr>
      </w:pPr>
      <w:r>
        <w:rPr>
          <w:noProof/>
        </w:rPr>
        <w:t>1.2</w:t>
      </w:r>
      <w:r>
        <w:rPr>
          <w:noProof/>
        </w:rPr>
        <w:tab/>
        <w:t>Application</w:t>
      </w:r>
      <w:r>
        <w:rPr>
          <w:noProof/>
        </w:rPr>
        <w:tab/>
      </w:r>
      <w:r>
        <w:rPr>
          <w:noProof/>
          <w:sz w:val="22"/>
        </w:rPr>
        <w:fldChar w:fldCharType="begin"/>
      </w:r>
      <w:r>
        <w:rPr>
          <w:noProof/>
          <w:sz w:val="22"/>
        </w:rPr>
        <w:instrText xml:space="preserve"> PAGEREF _Toc52697188 \h </w:instrText>
      </w:r>
      <w:r>
        <w:rPr>
          <w:noProof/>
          <w:sz w:val="22"/>
        </w:rPr>
      </w:r>
      <w:r>
        <w:rPr>
          <w:noProof/>
          <w:sz w:val="22"/>
        </w:rPr>
        <w:fldChar w:fldCharType="separate"/>
      </w:r>
      <w:r>
        <w:rPr>
          <w:noProof/>
          <w:sz w:val="22"/>
        </w:rPr>
        <w:t>9</w:t>
      </w:r>
      <w:r>
        <w:rPr>
          <w:noProof/>
          <w:sz w:val="22"/>
        </w:rPr>
        <w:fldChar w:fldCharType="end"/>
      </w:r>
    </w:p>
    <w:p>
      <w:pPr>
        <w:pStyle w:val="TOC4"/>
        <w:rPr>
          <w:noProof/>
        </w:rPr>
      </w:pPr>
      <w:r>
        <w:rPr>
          <w:noProof/>
        </w:rPr>
        <w:t>1.3</w:t>
      </w:r>
      <w:r>
        <w:rPr>
          <w:noProof/>
        </w:rPr>
        <w:tab/>
        <w:t>General principles</w:t>
      </w:r>
      <w:r>
        <w:rPr>
          <w:noProof/>
        </w:rPr>
        <w:tab/>
      </w:r>
      <w:r>
        <w:rPr>
          <w:noProof/>
          <w:sz w:val="22"/>
        </w:rPr>
        <w:fldChar w:fldCharType="begin"/>
      </w:r>
      <w:r>
        <w:rPr>
          <w:noProof/>
          <w:sz w:val="22"/>
        </w:rPr>
        <w:instrText xml:space="preserve"> PAGEREF _Toc52697189 \h </w:instrText>
      </w:r>
      <w:r>
        <w:rPr>
          <w:noProof/>
          <w:sz w:val="22"/>
        </w:rPr>
      </w:r>
      <w:r>
        <w:rPr>
          <w:noProof/>
          <w:sz w:val="22"/>
        </w:rPr>
        <w:fldChar w:fldCharType="separate"/>
      </w:r>
      <w:r>
        <w:rPr>
          <w:noProof/>
          <w:sz w:val="22"/>
        </w:rPr>
        <w:t>10</w:t>
      </w:r>
      <w:r>
        <w:rPr>
          <w:noProof/>
          <w:sz w:val="22"/>
        </w:rPr>
        <w:fldChar w:fldCharType="end"/>
      </w:r>
    </w:p>
    <w:p>
      <w:pPr>
        <w:pStyle w:val="TOC4"/>
        <w:rPr>
          <w:noProof/>
        </w:rPr>
      </w:pPr>
      <w:r>
        <w:rPr>
          <w:noProof/>
        </w:rPr>
        <w:t>1.4</w:t>
      </w:r>
      <w:r>
        <w:rPr>
          <w:noProof/>
        </w:rPr>
        <w:tab/>
        <w:t>Objectives of the Code</w:t>
      </w:r>
      <w:r>
        <w:rPr>
          <w:noProof/>
        </w:rPr>
        <w:tab/>
      </w:r>
      <w:r>
        <w:rPr>
          <w:noProof/>
          <w:sz w:val="22"/>
        </w:rPr>
        <w:fldChar w:fldCharType="begin"/>
      </w:r>
      <w:r>
        <w:rPr>
          <w:noProof/>
          <w:sz w:val="22"/>
        </w:rPr>
        <w:instrText xml:space="preserve"> PAGEREF _Toc52697190 \h </w:instrText>
      </w:r>
      <w:r>
        <w:rPr>
          <w:noProof/>
          <w:sz w:val="22"/>
        </w:rPr>
      </w:r>
      <w:r>
        <w:rPr>
          <w:noProof/>
          <w:sz w:val="22"/>
        </w:rPr>
        <w:fldChar w:fldCharType="separate"/>
      </w:r>
      <w:r>
        <w:rPr>
          <w:noProof/>
          <w:sz w:val="22"/>
        </w:rPr>
        <w:t>10</w:t>
      </w:r>
      <w:r>
        <w:rPr>
          <w:noProof/>
          <w:sz w:val="22"/>
        </w:rPr>
        <w:fldChar w:fldCharType="end"/>
      </w:r>
    </w:p>
    <w:p>
      <w:pPr>
        <w:pStyle w:val="TOC4"/>
        <w:rPr>
          <w:noProof/>
        </w:rPr>
      </w:pPr>
      <w:r>
        <w:rPr>
          <w:noProof/>
        </w:rPr>
        <w:t>1.5</w:t>
      </w:r>
      <w:r>
        <w:rPr>
          <w:noProof/>
        </w:rPr>
        <w:tab/>
        <w:t>Resident’s basic rights</w:t>
      </w:r>
      <w:r>
        <w:rPr>
          <w:noProof/>
        </w:rPr>
        <w:tab/>
      </w:r>
      <w:r>
        <w:rPr>
          <w:noProof/>
          <w:sz w:val="22"/>
        </w:rPr>
        <w:fldChar w:fldCharType="begin"/>
      </w:r>
      <w:r>
        <w:rPr>
          <w:noProof/>
          <w:sz w:val="22"/>
        </w:rPr>
        <w:instrText xml:space="preserve"> PAGEREF _Toc52697191 \h </w:instrText>
      </w:r>
      <w:r>
        <w:rPr>
          <w:noProof/>
          <w:sz w:val="22"/>
        </w:rPr>
      </w:r>
      <w:r>
        <w:rPr>
          <w:noProof/>
          <w:sz w:val="22"/>
        </w:rPr>
        <w:fldChar w:fldCharType="separate"/>
      </w:r>
      <w:r>
        <w:rPr>
          <w:noProof/>
          <w:sz w:val="22"/>
        </w:rPr>
        <w:t>11</w:t>
      </w:r>
      <w:r>
        <w:rPr>
          <w:noProof/>
          <w:sz w:val="22"/>
        </w:rPr>
        <w:fldChar w:fldCharType="end"/>
      </w:r>
    </w:p>
    <w:p>
      <w:pPr>
        <w:pStyle w:val="TOC7"/>
      </w:pPr>
      <w:r>
        <w:t>Division 2 — Advertising and promotion of retirement villages</w:t>
      </w:r>
      <w:r>
        <w:tab/>
      </w:r>
      <w:r>
        <w:fldChar w:fldCharType="begin"/>
      </w:r>
      <w:r>
        <w:instrText xml:space="preserve"> PAGEREF _Toc52697192 \h </w:instrText>
      </w:r>
      <w:r>
        <w:fldChar w:fldCharType="separate"/>
      </w:r>
      <w:r>
        <w:t>12</w:t>
      </w:r>
      <w:r>
        <w:fldChar w:fldCharType="end"/>
      </w:r>
    </w:p>
    <w:p>
      <w:pPr>
        <w:pStyle w:val="TOC4"/>
        <w:rPr>
          <w:noProof/>
        </w:rPr>
      </w:pPr>
      <w:r>
        <w:rPr>
          <w:noProof/>
        </w:rPr>
        <w:t>2.1</w:t>
      </w:r>
      <w:r>
        <w:rPr>
          <w:noProof/>
        </w:rPr>
        <w:tab/>
        <w:t>General</w:t>
      </w:r>
      <w:r>
        <w:rPr>
          <w:noProof/>
        </w:rPr>
        <w:tab/>
      </w:r>
      <w:r>
        <w:rPr>
          <w:noProof/>
          <w:sz w:val="22"/>
        </w:rPr>
        <w:fldChar w:fldCharType="begin"/>
      </w:r>
      <w:r>
        <w:rPr>
          <w:noProof/>
          <w:sz w:val="22"/>
        </w:rPr>
        <w:instrText xml:space="preserve"> PAGEREF _Toc52697193 \h </w:instrText>
      </w:r>
      <w:r>
        <w:rPr>
          <w:noProof/>
          <w:sz w:val="22"/>
        </w:rPr>
      </w:r>
      <w:r>
        <w:rPr>
          <w:noProof/>
          <w:sz w:val="22"/>
        </w:rPr>
        <w:fldChar w:fldCharType="separate"/>
      </w:r>
      <w:r>
        <w:rPr>
          <w:noProof/>
          <w:sz w:val="22"/>
        </w:rPr>
        <w:t>12</w:t>
      </w:r>
      <w:r>
        <w:rPr>
          <w:noProof/>
          <w:sz w:val="22"/>
        </w:rPr>
        <w:fldChar w:fldCharType="end"/>
      </w:r>
    </w:p>
    <w:p>
      <w:pPr>
        <w:pStyle w:val="TOC4"/>
        <w:rPr>
          <w:noProof/>
        </w:rPr>
      </w:pPr>
      <w:r>
        <w:rPr>
          <w:noProof/>
        </w:rPr>
        <w:t>2.2</w:t>
      </w:r>
      <w:r>
        <w:rPr>
          <w:noProof/>
        </w:rPr>
        <w:tab/>
        <w:t>Retirement village developments</w:t>
      </w:r>
      <w:r>
        <w:rPr>
          <w:noProof/>
        </w:rPr>
        <w:tab/>
      </w:r>
      <w:r>
        <w:rPr>
          <w:noProof/>
          <w:sz w:val="22"/>
        </w:rPr>
        <w:fldChar w:fldCharType="begin"/>
      </w:r>
      <w:r>
        <w:rPr>
          <w:noProof/>
          <w:sz w:val="22"/>
        </w:rPr>
        <w:instrText xml:space="preserve"> PAGEREF _Toc52697194 \h </w:instrText>
      </w:r>
      <w:r>
        <w:rPr>
          <w:noProof/>
          <w:sz w:val="22"/>
        </w:rPr>
      </w:r>
      <w:r>
        <w:rPr>
          <w:noProof/>
          <w:sz w:val="22"/>
        </w:rPr>
        <w:fldChar w:fldCharType="separate"/>
      </w:r>
      <w:r>
        <w:rPr>
          <w:noProof/>
          <w:sz w:val="22"/>
        </w:rPr>
        <w:t>12</w:t>
      </w:r>
      <w:r>
        <w:rPr>
          <w:noProof/>
          <w:sz w:val="22"/>
        </w:rPr>
        <w:fldChar w:fldCharType="end"/>
      </w:r>
    </w:p>
    <w:p>
      <w:pPr>
        <w:pStyle w:val="TOC4"/>
        <w:rPr>
          <w:noProof/>
        </w:rPr>
      </w:pPr>
      <w:r>
        <w:rPr>
          <w:noProof/>
        </w:rPr>
        <w:t>2.3</w:t>
      </w:r>
      <w:r>
        <w:rPr>
          <w:noProof/>
        </w:rPr>
        <w:tab/>
        <w:t>Proposed amenities and services</w:t>
      </w:r>
      <w:r>
        <w:rPr>
          <w:noProof/>
        </w:rPr>
        <w:tab/>
      </w:r>
      <w:r>
        <w:rPr>
          <w:noProof/>
          <w:sz w:val="22"/>
        </w:rPr>
        <w:fldChar w:fldCharType="begin"/>
      </w:r>
      <w:r>
        <w:rPr>
          <w:noProof/>
          <w:sz w:val="22"/>
        </w:rPr>
        <w:instrText xml:space="preserve"> PAGEREF _Toc52697195 \h </w:instrText>
      </w:r>
      <w:r>
        <w:rPr>
          <w:noProof/>
          <w:sz w:val="22"/>
        </w:rPr>
      </w:r>
      <w:r>
        <w:rPr>
          <w:noProof/>
          <w:sz w:val="22"/>
        </w:rPr>
        <w:fldChar w:fldCharType="separate"/>
      </w:r>
      <w:r>
        <w:rPr>
          <w:noProof/>
          <w:sz w:val="22"/>
        </w:rPr>
        <w:t>13</w:t>
      </w:r>
      <w:r>
        <w:rPr>
          <w:noProof/>
          <w:sz w:val="22"/>
        </w:rPr>
        <w:fldChar w:fldCharType="end"/>
      </w:r>
    </w:p>
    <w:p>
      <w:pPr>
        <w:pStyle w:val="TOC4"/>
        <w:rPr>
          <w:noProof/>
        </w:rPr>
      </w:pPr>
      <w:r>
        <w:rPr>
          <w:noProof/>
        </w:rPr>
        <w:t>2.4</w:t>
      </w:r>
      <w:r>
        <w:rPr>
          <w:noProof/>
        </w:rPr>
        <w:tab/>
        <w:t>Approvals for facilities that provide residential aged care services</w:t>
      </w:r>
      <w:r>
        <w:rPr>
          <w:noProof/>
        </w:rPr>
        <w:tab/>
      </w:r>
      <w:r>
        <w:rPr>
          <w:noProof/>
          <w:sz w:val="22"/>
        </w:rPr>
        <w:fldChar w:fldCharType="begin"/>
      </w:r>
      <w:r>
        <w:rPr>
          <w:noProof/>
          <w:sz w:val="22"/>
        </w:rPr>
        <w:instrText xml:space="preserve"> PAGEREF _Toc52697196 \h </w:instrText>
      </w:r>
      <w:r>
        <w:rPr>
          <w:noProof/>
          <w:sz w:val="22"/>
        </w:rPr>
      </w:r>
      <w:r>
        <w:rPr>
          <w:noProof/>
          <w:sz w:val="22"/>
        </w:rPr>
        <w:fldChar w:fldCharType="separate"/>
      </w:r>
      <w:r>
        <w:rPr>
          <w:noProof/>
          <w:sz w:val="22"/>
        </w:rPr>
        <w:t>13</w:t>
      </w:r>
      <w:r>
        <w:rPr>
          <w:noProof/>
          <w:sz w:val="22"/>
        </w:rPr>
        <w:fldChar w:fldCharType="end"/>
      </w:r>
    </w:p>
    <w:p>
      <w:pPr>
        <w:pStyle w:val="TOC4"/>
        <w:rPr>
          <w:noProof/>
        </w:rPr>
      </w:pPr>
      <w:r>
        <w:rPr>
          <w:noProof/>
        </w:rPr>
        <w:t>2.5</w:t>
      </w:r>
      <w:r>
        <w:rPr>
          <w:noProof/>
        </w:rPr>
        <w:tab/>
        <w:t>Access to residential aged care services</w:t>
      </w:r>
      <w:r>
        <w:rPr>
          <w:noProof/>
        </w:rPr>
        <w:tab/>
      </w:r>
      <w:r>
        <w:rPr>
          <w:noProof/>
          <w:sz w:val="22"/>
        </w:rPr>
        <w:fldChar w:fldCharType="begin"/>
      </w:r>
      <w:r>
        <w:rPr>
          <w:noProof/>
          <w:sz w:val="22"/>
        </w:rPr>
        <w:instrText xml:space="preserve"> PAGEREF _Toc52697197 \h </w:instrText>
      </w:r>
      <w:r>
        <w:rPr>
          <w:noProof/>
          <w:sz w:val="22"/>
        </w:rPr>
      </w:r>
      <w:r>
        <w:rPr>
          <w:noProof/>
          <w:sz w:val="22"/>
        </w:rPr>
        <w:fldChar w:fldCharType="separate"/>
      </w:r>
      <w:r>
        <w:rPr>
          <w:noProof/>
          <w:sz w:val="22"/>
        </w:rPr>
        <w:t>13</w:t>
      </w:r>
      <w:r>
        <w:rPr>
          <w:noProof/>
          <w:sz w:val="22"/>
        </w:rPr>
        <w:fldChar w:fldCharType="end"/>
      </w:r>
    </w:p>
    <w:p>
      <w:pPr>
        <w:pStyle w:val="TOC7"/>
      </w:pPr>
      <w:r>
        <w:t>Division 3 — Prospective resident’s right to information before entering into a residence contract or service contract</w:t>
      </w:r>
      <w:r>
        <w:tab/>
      </w:r>
      <w:r>
        <w:fldChar w:fldCharType="begin"/>
      </w:r>
      <w:r>
        <w:instrText xml:space="preserve"> PAGEREF _Toc52697198 \h </w:instrText>
      </w:r>
      <w:r>
        <w:fldChar w:fldCharType="separate"/>
      </w:r>
      <w:r>
        <w:t>14</w:t>
      </w:r>
      <w:r>
        <w:fldChar w:fldCharType="end"/>
      </w:r>
    </w:p>
    <w:p>
      <w:pPr>
        <w:pStyle w:val="TOC4"/>
        <w:rPr>
          <w:noProof/>
        </w:rPr>
      </w:pPr>
      <w:r>
        <w:rPr>
          <w:noProof/>
        </w:rPr>
        <w:t>3.1</w:t>
      </w:r>
      <w:r>
        <w:rPr>
          <w:noProof/>
        </w:rPr>
        <w:tab/>
        <w:t>Before entering into a residence contract</w:t>
      </w:r>
      <w:r>
        <w:rPr>
          <w:noProof/>
        </w:rPr>
        <w:tab/>
      </w:r>
      <w:r>
        <w:rPr>
          <w:noProof/>
          <w:sz w:val="22"/>
        </w:rPr>
        <w:fldChar w:fldCharType="begin"/>
      </w:r>
      <w:r>
        <w:rPr>
          <w:noProof/>
          <w:sz w:val="22"/>
        </w:rPr>
        <w:instrText xml:space="preserve"> PAGEREF _Toc52697199 \h </w:instrText>
      </w:r>
      <w:r>
        <w:rPr>
          <w:noProof/>
          <w:sz w:val="22"/>
        </w:rPr>
      </w:r>
      <w:r>
        <w:rPr>
          <w:noProof/>
          <w:sz w:val="22"/>
        </w:rPr>
        <w:fldChar w:fldCharType="separate"/>
      </w:r>
      <w:r>
        <w:rPr>
          <w:noProof/>
          <w:sz w:val="22"/>
        </w:rPr>
        <w:t>14</w:t>
      </w:r>
      <w:r>
        <w:rPr>
          <w:noProof/>
          <w:sz w:val="22"/>
        </w:rPr>
        <w:fldChar w:fldCharType="end"/>
      </w:r>
    </w:p>
    <w:p>
      <w:pPr>
        <w:pStyle w:val="TOC4"/>
        <w:rPr>
          <w:noProof/>
        </w:rPr>
      </w:pPr>
      <w:r>
        <w:rPr>
          <w:noProof/>
        </w:rPr>
        <w:t>3.2</w:t>
      </w:r>
      <w:r>
        <w:rPr>
          <w:noProof/>
        </w:rPr>
        <w:tab/>
        <w:t>Before entering into a service contract</w:t>
      </w:r>
      <w:r>
        <w:rPr>
          <w:noProof/>
        </w:rPr>
        <w:tab/>
      </w:r>
      <w:r>
        <w:rPr>
          <w:noProof/>
          <w:sz w:val="22"/>
        </w:rPr>
        <w:fldChar w:fldCharType="begin"/>
      </w:r>
      <w:r>
        <w:rPr>
          <w:noProof/>
          <w:sz w:val="22"/>
        </w:rPr>
        <w:instrText xml:space="preserve"> PAGEREF _Toc52697200 \h </w:instrText>
      </w:r>
      <w:r>
        <w:rPr>
          <w:noProof/>
          <w:sz w:val="22"/>
        </w:rPr>
      </w:r>
      <w:r>
        <w:rPr>
          <w:noProof/>
          <w:sz w:val="22"/>
        </w:rPr>
        <w:fldChar w:fldCharType="separate"/>
      </w:r>
      <w:r>
        <w:rPr>
          <w:noProof/>
          <w:sz w:val="22"/>
        </w:rPr>
        <w:t>16</w:t>
      </w:r>
      <w:r>
        <w:rPr>
          <w:noProof/>
          <w:sz w:val="22"/>
        </w:rPr>
        <w:fldChar w:fldCharType="end"/>
      </w:r>
    </w:p>
    <w:p>
      <w:pPr>
        <w:pStyle w:val="TOC7"/>
      </w:pPr>
      <w:r>
        <w:t>Division 4 — Residence contract and service contract</w:t>
      </w:r>
      <w:r>
        <w:tab/>
      </w:r>
      <w:r>
        <w:fldChar w:fldCharType="begin"/>
      </w:r>
      <w:r>
        <w:instrText xml:space="preserve"> PAGEREF _Toc52697201 \h </w:instrText>
      </w:r>
      <w:r>
        <w:fldChar w:fldCharType="separate"/>
      </w:r>
      <w:r>
        <w:t>16</w:t>
      </w:r>
      <w:r>
        <w:fldChar w:fldCharType="end"/>
      </w:r>
    </w:p>
    <w:p>
      <w:pPr>
        <w:pStyle w:val="TOC4"/>
        <w:rPr>
          <w:noProof/>
        </w:rPr>
      </w:pPr>
      <w:r>
        <w:rPr>
          <w:noProof/>
        </w:rPr>
        <w:t>4.1</w:t>
      </w:r>
      <w:r>
        <w:rPr>
          <w:noProof/>
        </w:rPr>
        <w:tab/>
        <w:t>Legibility and presentation requirements</w:t>
      </w:r>
      <w:r>
        <w:rPr>
          <w:noProof/>
        </w:rPr>
        <w:tab/>
      </w:r>
      <w:r>
        <w:rPr>
          <w:noProof/>
          <w:sz w:val="22"/>
        </w:rPr>
        <w:fldChar w:fldCharType="begin"/>
      </w:r>
      <w:r>
        <w:rPr>
          <w:noProof/>
          <w:sz w:val="22"/>
        </w:rPr>
        <w:instrText xml:space="preserve"> PAGEREF _Toc52697202 \h </w:instrText>
      </w:r>
      <w:r>
        <w:rPr>
          <w:noProof/>
          <w:sz w:val="22"/>
        </w:rPr>
      </w:r>
      <w:r>
        <w:rPr>
          <w:noProof/>
          <w:sz w:val="22"/>
        </w:rPr>
        <w:fldChar w:fldCharType="separate"/>
      </w:r>
      <w:r>
        <w:rPr>
          <w:noProof/>
          <w:sz w:val="22"/>
        </w:rPr>
        <w:t>16</w:t>
      </w:r>
      <w:r>
        <w:rPr>
          <w:noProof/>
          <w:sz w:val="22"/>
        </w:rPr>
        <w:fldChar w:fldCharType="end"/>
      </w:r>
    </w:p>
    <w:p>
      <w:pPr>
        <w:pStyle w:val="TOC4"/>
        <w:rPr>
          <w:noProof/>
        </w:rPr>
      </w:pPr>
      <w:r>
        <w:rPr>
          <w:noProof/>
        </w:rPr>
        <w:t>4.2</w:t>
      </w:r>
      <w:r>
        <w:rPr>
          <w:noProof/>
        </w:rPr>
        <w:tab/>
        <w:t>Title and tenure</w:t>
      </w:r>
      <w:r>
        <w:rPr>
          <w:noProof/>
        </w:rPr>
        <w:tab/>
      </w:r>
      <w:r>
        <w:rPr>
          <w:noProof/>
          <w:sz w:val="22"/>
        </w:rPr>
        <w:fldChar w:fldCharType="begin"/>
      </w:r>
      <w:r>
        <w:rPr>
          <w:noProof/>
          <w:sz w:val="22"/>
        </w:rPr>
        <w:instrText xml:space="preserve"> PAGEREF _Toc52697203 \h </w:instrText>
      </w:r>
      <w:r>
        <w:rPr>
          <w:noProof/>
          <w:sz w:val="22"/>
        </w:rPr>
      </w:r>
      <w:r>
        <w:rPr>
          <w:noProof/>
          <w:sz w:val="22"/>
        </w:rPr>
        <w:fldChar w:fldCharType="separate"/>
      </w:r>
      <w:r>
        <w:rPr>
          <w:noProof/>
          <w:sz w:val="22"/>
        </w:rPr>
        <w:t>18</w:t>
      </w:r>
      <w:r>
        <w:rPr>
          <w:noProof/>
          <w:sz w:val="22"/>
        </w:rPr>
        <w:fldChar w:fldCharType="end"/>
      </w:r>
    </w:p>
    <w:p>
      <w:pPr>
        <w:pStyle w:val="TOC4"/>
        <w:rPr>
          <w:noProof/>
        </w:rPr>
      </w:pPr>
      <w:r>
        <w:rPr>
          <w:noProof/>
        </w:rPr>
        <w:t>4.3</w:t>
      </w:r>
      <w:r>
        <w:rPr>
          <w:noProof/>
        </w:rPr>
        <w:tab/>
        <w:t>Residential premises</w:t>
      </w:r>
      <w:r>
        <w:rPr>
          <w:noProof/>
        </w:rPr>
        <w:tab/>
      </w:r>
      <w:r>
        <w:rPr>
          <w:noProof/>
          <w:sz w:val="22"/>
        </w:rPr>
        <w:fldChar w:fldCharType="begin"/>
      </w:r>
      <w:r>
        <w:rPr>
          <w:noProof/>
          <w:sz w:val="22"/>
        </w:rPr>
        <w:instrText xml:space="preserve"> PAGEREF _Toc52697204 \h </w:instrText>
      </w:r>
      <w:r>
        <w:rPr>
          <w:noProof/>
          <w:sz w:val="22"/>
        </w:rPr>
      </w:r>
      <w:r>
        <w:rPr>
          <w:noProof/>
          <w:sz w:val="22"/>
        </w:rPr>
        <w:fldChar w:fldCharType="separate"/>
      </w:r>
      <w:r>
        <w:rPr>
          <w:noProof/>
          <w:sz w:val="22"/>
        </w:rPr>
        <w:t>18</w:t>
      </w:r>
      <w:r>
        <w:rPr>
          <w:noProof/>
          <w:sz w:val="22"/>
        </w:rPr>
        <w:fldChar w:fldCharType="end"/>
      </w:r>
    </w:p>
    <w:p>
      <w:pPr>
        <w:pStyle w:val="TOC4"/>
        <w:rPr>
          <w:noProof/>
        </w:rPr>
      </w:pPr>
      <w:r>
        <w:rPr>
          <w:noProof/>
        </w:rPr>
        <w:t>4.4</w:t>
      </w:r>
      <w:r>
        <w:rPr>
          <w:noProof/>
        </w:rPr>
        <w:tab/>
        <w:t>Amenities</w:t>
      </w:r>
      <w:r>
        <w:rPr>
          <w:noProof/>
        </w:rPr>
        <w:tab/>
      </w:r>
      <w:r>
        <w:rPr>
          <w:noProof/>
          <w:sz w:val="22"/>
        </w:rPr>
        <w:fldChar w:fldCharType="begin"/>
      </w:r>
      <w:r>
        <w:rPr>
          <w:noProof/>
          <w:sz w:val="22"/>
        </w:rPr>
        <w:instrText xml:space="preserve"> PAGEREF _Toc52697205 \h </w:instrText>
      </w:r>
      <w:r>
        <w:rPr>
          <w:noProof/>
          <w:sz w:val="22"/>
        </w:rPr>
      </w:r>
      <w:r>
        <w:rPr>
          <w:noProof/>
          <w:sz w:val="22"/>
        </w:rPr>
        <w:fldChar w:fldCharType="separate"/>
      </w:r>
      <w:r>
        <w:rPr>
          <w:noProof/>
          <w:sz w:val="22"/>
        </w:rPr>
        <w:t>19</w:t>
      </w:r>
      <w:r>
        <w:rPr>
          <w:noProof/>
          <w:sz w:val="22"/>
        </w:rPr>
        <w:fldChar w:fldCharType="end"/>
      </w:r>
    </w:p>
    <w:p>
      <w:pPr>
        <w:pStyle w:val="TOC4"/>
        <w:rPr>
          <w:noProof/>
        </w:rPr>
      </w:pPr>
      <w:r>
        <w:rPr>
          <w:noProof/>
        </w:rPr>
        <w:t>4.5</w:t>
      </w:r>
      <w:r>
        <w:rPr>
          <w:noProof/>
        </w:rPr>
        <w:tab/>
        <w:t>Services</w:t>
      </w:r>
      <w:r>
        <w:rPr>
          <w:noProof/>
        </w:rPr>
        <w:tab/>
      </w:r>
      <w:r>
        <w:rPr>
          <w:noProof/>
          <w:sz w:val="22"/>
        </w:rPr>
        <w:fldChar w:fldCharType="begin"/>
      </w:r>
      <w:r>
        <w:rPr>
          <w:noProof/>
          <w:sz w:val="22"/>
        </w:rPr>
        <w:instrText xml:space="preserve"> PAGEREF _Toc52697206 \h </w:instrText>
      </w:r>
      <w:r>
        <w:rPr>
          <w:noProof/>
          <w:sz w:val="22"/>
        </w:rPr>
      </w:r>
      <w:r>
        <w:rPr>
          <w:noProof/>
          <w:sz w:val="22"/>
        </w:rPr>
        <w:fldChar w:fldCharType="separate"/>
      </w:r>
      <w:r>
        <w:rPr>
          <w:noProof/>
          <w:sz w:val="22"/>
        </w:rPr>
        <w:t>19</w:t>
      </w:r>
      <w:r>
        <w:rPr>
          <w:noProof/>
          <w:sz w:val="22"/>
        </w:rPr>
        <w:fldChar w:fldCharType="end"/>
      </w:r>
    </w:p>
    <w:p>
      <w:pPr>
        <w:pStyle w:val="TOC4"/>
        <w:rPr>
          <w:noProof/>
        </w:rPr>
      </w:pPr>
      <w:r>
        <w:rPr>
          <w:noProof/>
        </w:rPr>
        <w:t>4.6</w:t>
      </w:r>
      <w:r>
        <w:rPr>
          <w:noProof/>
        </w:rPr>
        <w:tab/>
        <w:t>Payment of premium and refund entitlement</w:t>
      </w:r>
      <w:r>
        <w:rPr>
          <w:noProof/>
        </w:rPr>
        <w:tab/>
      </w:r>
      <w:r>
        <w:rPr>
          <w:noProof/>
          <w:sz w:val="22"/>
        </w:rPr>
        <w:fldChar w:fldCharType="begin"/>
      </w:r>
      <w:r>
        <w:rPr>
          <w:noProof/>
          <w:sz w:val="22"/>
        </w:rPr>
        <w:instrText xml:space="preserve"> PAGEREF _Toc52697207 \h </w:instrText>
      </w:r>
      <w:r>
        <w:rPr>
          <w:noProof/>
          <w:sz w:val="22"/>
        </w:rPr>
      </w:r>
      <w:r>
        <w:rPr>
          <w:noProof/>
          <w:sz w:val="22"/>
        </w:rPr>
        <w:fldChar w:fldCharType="separate"/>
      </w:r>
      <w:r>
        <w:rPr>
          <w:noProof/>
          <w:sz w:val="22"/>
        </w:rPr>
        <w:t>20</w:t>
      </w:r>
      <w:r>
        <w:rPr>
          <w:noProof/>
          <w:sz w:val="22"/>
        </w:rPr>
        <w:fldChar w:fldCharType="end"/>
      </w:r>
    </w:p>
    <w:p>
      <w:pPr>
        <w:pStyle w:val="TOC4"/>
        <w:rPr>
          <w:noProof/>
        </w:rPr>
      </w:pPr>
      <w:r>
        <w:rPr>
          <w:noProof/>
        </w:rPr>
        <w:t>4.7</w:t>
      </w:r>
      <w:r>
        <w:rPr>
          <w:noProof/>
        </w:rPr>
        <w:tab/>
        <w:t>Charges for village operating costs</w:t>
      </w:r>
      <w:r>
        <w:rPr>
          <w:noProof/>
        </w:rPr>
        <w:tab/>
      </w:r>
      <w:r>
        <w:rPr>
          <w:noProof/>
          <w:sz w:val="22"/>
        </w:rPr>
        <w:fldChar w:fldCharType="begin"/>
      </w:r>
      <w:r>
        <w:rPr>
          <w:noProof/>
          <w:sz w:val="22"/>
        </w:rPr>
        <w:instrText xml:space="preserve"> PAGEREF _Toc52697208 \h </w:instrText>
      </w:r>
      <w:r>
        <w:rPr>
          <w:noProof/>
          <w:sz w:val="22"/>
        </w:rPr>
      </w:r>
      <w:r>
        <w:rPr>
          <w:noProof/>
          <w:sz w:val="22"/>
        </w:rPr>
        <w:fldChar w:fldCharType="separate"/>
      </w:r>
      <w:r>
        <w:rPr>
          <w:noProof/>
          <w:sz w:val="22"/>
        </w:rPr>
        <w:t>20</w:t>
      </w:r>
      <w:r>
        <w:rPr>
          <w:noProof/>
          <w:sz w:val="22"/>
        </w:rPr>
        <w:fldChar w:fldCharType="end"/>
      </w:r>
    </w:p>
    <w:p>
      <w:pPr>
        <w:pStyle w:val="TOC4"/>
        <w:rPr>
          <w:noProof/>
        </w:rPr>
      </w:pPr>
      <w:r>
        <w:rPr>
          <w:noProof/>
        </w:rPr>
        <w:t>4.8</w:t>
      </w:r>
      <w:r>
        <w:rPr>
          <w:noProof/>
        </w:rPr>
        <w:tab/>
        <w:t>Reserve funds</w:t>
      </w:r>
      <w:r>
        <w:rPr>
          <w:noProof/>
        </w:rPr>
        <w:tab/>
      </w:r>
      <w:r>
        <w:rPr>
          <w:noProof/>
          <w:sz w:val="22"/>
        </w:rPr>
        <w:fldChar w:fldCharType="begin"/>
      </w:r>
      <w:r>
        <w:rPr>
          <w:noProof/>
          <w:sz w:val="22"/>
        </w:rPr>
        <w:instrText xml:space="preserve"> PAGEREF _Toc52697209 \h </w:instrText>
      </w:r>
      <w:r>
        <w:rPr>
          <w:noProof/>
          <w:sz w:val="22"/>
        </w:rPr>
      </w:r>
      <w:r>
        <w:rPr>
          <w:noProof/>
          <w:sz w:val="22"/>
        </w:rPr>
        <w:fldChar w:fldCharType="separate"/>
      </w:r>
      <w:r>
        <w:rPr>
          <w:noProof/>
          <w:sz w:val="22"/>
        </w:rPr>
        <w:t>21</w:t>
      </w:r>
      <w:r>
        <w:rPr>
          <w:noProof/>
          <w:sz w:val="22"/>
        </w:rPr>
        <w:fldChar w:fldCharType="end"/>
      </w:r>
    </w:p>
    <w:p>
      <w:pPr>
        <w:pStyle w:val="TOC4"/>
        <w:rPr>
          <w:noProof/>
        </w:rPr>
      </w:pPr>
      <w:r>
        <w:rPr>
          <w:noProof/>
        </w:rPr>
        <w:t>4.9</w:t>
      </w:r>
      <w:r>
        <w:rPr>
          <w:noProof/>
        </w:rPr>
        <w:tab/>
        <w:t>Relocation</w:t>
      </w:r>
      <w:r>
        <w:rPr>
          <w:noProof/>
        </w:rPr>
        <w:tab/>
      </w:r>
      <w:r>
        <w:rPr>
          <w:noProof/>
          <w:sz w:val="22"/>
        </w:rPr>
        <w:fldChar w:fldCharType="begin"/>
      </w:r>
      <w:r>
        <w:rPr>
          <w:noProof/>
          <w:sz w:val="22"/>
        </w:rPr>
        <w:instrText xml:space="preserve"> PAGEREF _Toc52697210 \h </w:instrText>
      </w:r>
      <w:r>
        <w:rPr>
          <w:noProof/>
          <w:sz w:val="22"/>
        </w:rPr>
      </w:r>
      <w:r>
        <w:rPr>
          <w:noProof/>
          <w:sz w:val="22"/>
        </w:rPr>
        <w:fldChar w:fldCharType="separate"/>
      </w:r>
      <w:r>
        <w:rPr>
          <w:noProof/>
          <w:sz w:val="22"/>
        </w:rPr>
        <w:t>21</w:t>
      </w:r>
      <w:r>
        <w:rPr>
          <w:noProof/>
          <w:sz w:val="22"/>
        </w:rPr>
        <w:fldChar w:fldCharType="end"/>
      </w:r>
    </w:p>
    <w:p>
      <w:pPr>
        <w:pStyle w:val="TOC4"/>
        <w:rPr>
          <w:noProof/>
        </w:rPr>
      </w:pPr>
      <w:r>
        <w:rPr>
          <w:noProof/>
        </w:rPr>
        <w:t>4.10</w:t>
      </w:r>
      <w:r>
        <w:rPr>
          <w:noProof/>
        </w:rPr>
        <w:tab/>
        <w:t>Termination of residence contract and fees payable on termination</w:t>
      </w:r>
      <w:r>
        <w:rPr>
          <w:noProof/>
        </w:rPr>
        <w:tab/>
      </w:r>
      <w:r>
        <w:rPr>
          <w:noProof/>
          <w:sz w:val="22"/>
        </w:rPr>
        <w:fldChar w:fldCharType="begin"/>
      </w:r>
      <w:r>
        <w:rPr>
          <w:noProof/>
          <w:sz w:val="22"/>
        </w:rPr>
        <w:instrText xml:space="preserve"> PAGEREF _Toc52697211 \h </w:instrText>
      </w:r>
      <w:r>
        <w:rPr>
          <w:noProof/>
          <w:sz w:val="22"/>
        </w:rPr>
      </w:r>
      <w:r>
        <w:rPr>
          <w:noProof/>
          <w:sz w:val="22"/>
        </w:rPr>
        <w:fldChar w:fldCharType="separate"/>
      </w:r>
      <w:r>
        <w:rPr>
          <w:noProof/>
          <w:sz w:val="22"/>
        </w:rPr>
        <w:t>22</w:t>
      </w:r>
      <w:r>
        <w:rPr>
          <w:noProof/>
          <w:sz w:val="22"/>
        </w:rPr>
        <w:fldChar w:fldCharType="end"/>
      </w:r>
    </w:p>
    <w:p>
      <w:pPr>
        <w:pStyle w:val="TOC4"/>
        <w:rPr>
          <w:noProof/>
        </w:rPr>
      </w:pPr>
      <w:r>
        <w:rPr>
          <w:noProof/>
        </w:rPr>
        <w:t>4.11</w:t>
      </w:r>
      <w:r>
        <w:rPr>
          <w:noProof/>
        </w:rPr>
        <w:tab/>
        <w:t xml:space="preserve">Residence contract to refer to this Code and the </w:t>
      </w:r>
      <w:r>
        <w:rPr>
          <w:i/>
          <w:noProof/>
        </w:rPr>
        <w:t>Retirement Villages Act 1992</w:t>
      </w:r>
      <w:r>
        <w:rPr>
          <w:noProof/>
        </w:rPr>
        <w:tab/>
      </w:r>
      <w:r>
        <w:rPr>
          <w:noProof/>
          <w:sz w:val="22"/>
        </w:rPr>
        <w:fldChar w:fldCharType="begin"/>
      </w:r>
      <w:r>
        <w:rPr>
          <w:noProof/>
          <w:sz w:val="22"/>
        </w:rPr>
        <w:instrText xml:space="preserve"> PAGEREF _Toc52697212 \h </w:instrText>
      </w:r>
      <w:r>
        <w:rPr>
          <w:noProof/>
          <w:sz w:val="22"/>
        </w:rPr>
      </w:r>
      <w:r>
        <w:rPr>
          <w:noProof/>
          <w:sz w:val="22"/>
        </w:rPr>
        <w:fldChar w:fldCharType="separate"/>
      </w:r>
      <w:r>
        <w:rPr>
          <w:noProof/>
          <w:sz w:val="22"/>
        </w:rPr>
        <w:t>23</w:t>
      </w:r>
      <w:r>
        <w:rPr>
          <w:noProof/>
          <w:sz w:val="22"/>
        </w:rPr>
        <w:fldChar w:fldCharType="end"/>
      </w:r>
    </w:p>
    <w:p>
      <w:pPr>
        <w:pStyle w:val="TOC7"/>
      </w:pPr>
      <w:r>
        <w:t>Division 5 — Village management</w:t>
      </w:r>
      <w:r>
        <w:tab/>
      </w:r>
      <w:r>
        <w:fldChar w:fldCharType="begin"/>
      </w:r>
      <w:r>
        <w:instrText xml:space="preserve"> PAGEREF _Toc52697213 \h </w:instrText>
      </w:r>
      <w:r>
        <w:fldChar w:fldCharType="separate"/>
      </w:r>
      <w:r>
        <w:t>24</w:t>
      </w:r>
      <w:r>
        <w:fldChar w:fldCharType="end"/>
      </w:r>
    </w:p>
    <w:p>
      <w:pPr>
        <w:pStyle w:val="TOC4"/>
        <w:rPr>
          <w:noProof/>
        </w:rPr>
      </w:pPr>
      <w:r>
        <w:rPr>
          <w:noProof/>
        </w:rPr>
        <w:t>5.1</w:t>
      </w:r>
      <w:r>
        <w:rPr>
          <w:noProof/>
        </w:rPr>
        <w:tab/>
        <w:t>Interpretation</w:t>
      </w:r>
      <w:r>
        <w:rPr>
          <w:noProof/>
        </w:rPr>
        <w:tab/>
      </w:r>
      <w:r>
        <w:rPr>
          <w:noProof/>
          <w:sz w:val="22"/>
        </w:rPr>
        <w:fldChar w:fldCharType="begin"/>
      </w:r>
      <w:r>
        <w:rPr>
          <w:noProof/>
          <w:sz w:val="22"/>
        </w:rPr>
        <w:instrText xml:space="preserve"> PAGEREF _Toc52697214 \h </w:instrText>
      </w:r>
      <w:r>
        <w:rPr>
          <w:noProof/>
          <w:sz w:val="22"/>
        </w:rPr>
      </w:r>
      <w:r>
        <w:rPr>
          <w:noProof/>
          <w:sz w:val="22"/>
        </w:rPr>
        <w:fldChar w:fldCharType="separate"/>
      </w:r>
      <w:r>
        <w:rPr>
          <w:noProof/>
          <w:sz w:val="22"/>
        </w:rPr>
        <w:t>24</w:t>
      </w:r>
      <w:r>
        <w:rPr>
          <w:noProof/>
          <w:sz w:val="22"/>
        </w:rPr>
        <w:fldChar w:fldCharType="end"/>
      </w:r>
    </w:p>
    <w:p>
      <w:pPr>
        <w:pStyle w:val="TOC4"/>
        <w:rPr>
          <w:noProof/>
        </w:rPr>
      </w:pPr>
      <w:r>
        <w:rPr>
          <w:noProof/>
        </w:rPr>
        <w:t>5.2</w:t>
      </w:r>
      <w:r>
        <w:rPr>
          <w:noProof/>
        </w:rPr>
        <w:tab/>
        <w:t>Management procedures and resident consultation</w:t>
      </w:r>
      <w:r>
        <w:rPr>
          <w:noProof/>
        </w:rPr>
        <w:tab/>
      </w:r>
      <w:r>
        <w:rPr>
          <w:noProof/>
          <w:sz w:val="22"/>
        </w:rPr>
        <w:fldChar w:fldCharType="begin"/>
      </w:r>
      <w:r>
        <w:rPr>
          <w:noProof/>
          <w:sz w:val="22"/>
        </w:rPr>
        <w:instrText xml:space="preserve"> PAGEREF _Toc52697215 \h </w:instrText>
      </w:r>
      <w:r>
        <w:rPr>
          <w:noProof/>
          <w:sz w:val="22"/>
        </w:rPr>
      </w:r>
      <w:r>
        <w:rPr>
          <w:noProof/>
          <w:sz w:val="22"/>
        </w:rPr>
        <w:fldChar w:fldCharType="separate"/>
      </w:r>
      <w:r>
        <w:rPr>
          <w:noProof/>
          <w:sz w:val="22"/>
        </w:rPr>
        <w:t>24</w:t>
      </w:r>
      <w:r>
        <w:rPr>
          <w:noProof/>
          <w:sz w:val="22"/>
        </w:rPr>
        <w:fldChar w:fldCharType="end"/>
      </w:r>
    </w:p>
    <w:p>
      <w:pPr>
        <w:pStyle w:val="TOC4"/>
        <w:rPr>
          <w:noProof/>
        </w:rPr>
      </w:pPr>
      <w:r>
        <w:rPr>
          <w:noProof/>
        </w:rPr>
        <w:t>5.3</w:t>
      </w:r>
      <w:r>
        <w:rPr>
          <w:noProof/>
        </w:rPr>
        <w:tab/>
        <w:t>Village operating budget</w:t>
      </w:r>
      <w:r>
        <w:rPr>
          <w:noProof/>
        </w:rPr>
        <w:tab/>
      </w:r>
      <w:r>
        <w:rPr>
          <w:noProof/>
          <w:sz w:val="22"/>
        </w:rPr>
        <w:fldChar w:fldCharType="begin"/>
      </w:r>
      <w:r>
        <w:rPr>
          <w:noProof/>
          <w:sz w:val="22"/>
        </w:rPr>
        <w:instrText xml:space="preserve"> PAGEREF _Toc52697216 \h </w:instrText>
      </w:r>
      <w:r>
        <w:rPr>
          <w:noProof/>
          <w:sz w:val="22"/>
        </w:rPr>
      </w:r>
      <w:r>
        <w:rPr>
          <w:noProof/>
          <w:sz w:val="22"/>
        </w:rPr>
        <w:fldChar w:fldCharType="separate"/>
      </w:r>
      <w:r>
        <w:rPr>
          <w:noProof/>
          <w:sz w:val="22"/>
        </w:rPr>
        <w:t>26</w:t>
      </w:r>
      <w:r>
        <w:rPr>
          <w:noProof/>
          <w:sz w:val="22"/>
        </w:rPr>
        <w:fldChar w:fldCharType="end"/>
      </w:r>
    </w:p>
    <w:p>
      <w:pPr>
        <w:pStyle w:val="TOC4"/>
        <w:rPr>
          <w:noProof/>
        </w:rPr>
      </w:pPr>
      <w:r>
        <w:rPr>
          <w:noProof/>
        </w:rPr>
        <w:t>5.4</w:t>
      </w:r>
      <w:r>
        <w:rPr>
          <w:noProof/>
        </w:rPr>
        <w:tab/>
        <w:t>Quarterly operating income and expenditure statements</w:t>
      </w:r>
      <w:r>
        <w:rPr>
          <w:noProof/>
        </w:rPr>
        <w:tab/>
      </w:r>
      <w:r>
        <w:rPr>
          <w:noProof/>
          <w:sz w:val="22"/>
        </w:rPr>
        <w:fldChar w:fldCharType="begin"/>
      </w:r>
      <w:r>
        <w:rPr>
          <w:noProof/>
          <w:sz w:val="22"/>
        </w:rPr>
        <w:instrText xml:space="preserve"> PAGEREF _Toc52697217 \h </w:instrText>
      </w:r>
      <w:r>
        <w:rPr>
          <w:noProof/>
          <w:sz w:val="22"/>
        </w:rPr>
      </w:r>
      <w:r>
        <w:rPr>
          <w:noProof/>
          <w:sz w:val="22"/>
        </w:rPr>
        <w:fldChar w:fldCharType="separate"/>
      </w:r>
      <w:r>
        <w:rPr>
          <w:noProof/>
          <w:sz w:val="22"/>
        </w:rPr>
        <w:t>27</w:t>
      </w:r>
      <w:r>
        <w:rPr>
          <w:noProof/>
          <w:sz w:val="22"/>
        </w:rPr>
        <w:fldChar w:fldCharType="end"/>
      </w:r>
    </w:p>
    <w:p>
      <w:pPr>
        <w:pStyle w:val="TOC4"/>
        <w:rPr>
          <w:noProof/>
        </w:rPr>
      </w:pPr>
      <w:r>
        <w:rPr>
          <w:noProof/>
        </w:rPr>
        <w:t>5.5</w:t>
      </w:r>
      <w:r>
        <w:rPr>
          <w:noProof/>
        </w:rPr>
        <w:tab/>
        <w:t>Annual accounts</w:t>
      </w:r>
      <w:r>
        <w:rPr>
          <w:noProof/>
        </w:rPr>
        <w:tab/>
      </w:r>
      <w:r>
        <w:rPr>
          <w:noProof/>
          <w:sz w:val="22"/>
        </w:rPr>
        <w:fldChar w:fldCharType="begin"/>
      </w:r>
      <w:r>
        <w:rPr>
          <w:noProof/>
          <w:sz w:val="22"/>
        </w:rPr>
        <w:instrText xml:space="preserve"> PAGEREF _Toc52697218 \h </w:instrText>
      </w:r>
      <w:r>
        <w:rPr>
          <w:noProof/>
          <w:sz w:val="22"/>
        </w:rPr>
      </w:r>
      <w:r>
        <w:rPr>
          <w:noProof/>
          <w:sz w:val="22"/>
        </w:rPr>
        <w:fldChar w:fldCharType="separate"/>
      </w:r>
      <w:r>
        <w:rPr>
          <w:noProof/>
          <w:sz w:val="22"/>
        </w:rPr>
        <w:t>28</w:t>
      </w:r>
      <w:r>
        <w:rPr>
          <w:noProof/>
          <w:sz w:val="22"/>
        </w:rPr>
        <w:fldChar w:fldCharType="end"/>
      </w:r>
    </w:p>
    <w:p>
      <w:pPr>
        <w:pStyle w:val="TOC4"/>
        <w:rPr>
          <w:noProof/>
        </w:rPr>
      </w:pPr>
      <w:r>
        <w:rPr>
          <w:noProof/>
        </w:rPr>
        <w:t>5.6</w:t>
      </w:r>
      <w:r>
        <w:rPr>
          <w:noProof/>
        </w:rPr>
        <w:tab/>
        <w:t>Budget surplus</w:t>
      </w:r>
      <w:r>
        <w:rPr>
          <w:noProof/>
        </w:rPr>
        <w:tab/>
      </w:r>
      <w:r>
        <w:rPr>
          <w:noProof/>
          <w:sz w:val="22"/>
        </w:rPr>
        <w:fldChar w:fldCharType="begin"/>
      </w:r>
      <w:r>
        <w:rPr>
          <w:noProof/>
          <w:sz w:val="22"/>
        </w:rPr>
        <w:instrText xml:space="preserve"> PAGEREF _Toc52697219 \h </w:instrText>
      </w:r>
      <w:r>
        <w:rPr>
          <w:noProof/>
          <w:sz w:val="22"/>
        </w:rPr>
      </w:r>
      <w:r>
        <w:rPr>
          <w:noProof/>
          <w:sz w:val="22"/>
        </w:rPr>
        <w:fldChar w:fldCharType="separate"/>
      </w:r>
      <w:r>
        <w:rPr>
          <w:noProof/>
          <w:sz w:val="22"/>
        </w:rPr>
        <w:t>29</w:t>
      </w:r>
      <w:r>
        <w:rPr>
          <w:noProof/>
          <w:sz w:val="22"/>
        </w:rPr>
        <w:fldChar w:fldCharType="end"/>
      </w:r>
    </w:p>
    <w:p>
      <w:pPr>
        <w:pStyle w:val="TOC4"/>
        <w:rPr>
          <w:noProof/>
        </w:rPr>
      </w:pPr>
      <w:r>
        <w:rPr>
          <w:noProof/>
        </w:rPr>
        <w:t>5.7</w:t>
      </w:r>
      <w:r>
        <w:rPr>
          <w:noProof/>
        </w:rPr>
        <w:tab/>
        <w:t>Marketing of residential premises</w:t>
      </w:r>
      <w:r>
        <w:rPr>
          <w:noProof/>
        </w:rPr>
        <w:tab/>
      </w:r>
      <w:r>
        <w:rPr>
          <w:noProof/>
          <w:sz w:val="22"/>
        </w:rPr>
        <w:fldChar w:fldCharType="begin"/>
      </w:r>
      <w:r>
        <w:rPr>
          <w:noProof/>
          <w:sz w:val="22"/>
        </w:rPr>
        <w:instrText xml:space="preserve"> PAGEREF _Toc52697220 \h </w:instrText>
      </w:r>
      <w:r>
        <w:rPr>
          <w:noProof/>
          <w:sz w:val="22"/>
        </w:rPr>
      </w:r>
      <w:r>
        <w:rPr>
          <w:noProof/>
          <w:sz w:val="22"/>
        </w:rPr>
        <w:fldChar w:fldCharType="separate"/>
      </w:r>
      <w:r>
        <w:rPr>
          <w:noProof/>
          <w:sz w:val="22"/>
        </w:rPr>
        <w:t>29</w:t>
      </w:r>
      <w:r>
        <w:rPr>
          <w:noProof/>
          <w:sz w:val="22"/>
        </w:rPr>
        <w:fldChar w:fldCharType="end"/>
      </w:r>
    </w:p>
    <w:p>
      <w:pPr>
        <w:pStyle w:val="TOC4"/>
        <w:rPr>
          <w:noProof/>
        </w:rPr>
      </w:pPr>
      <w:r>
        <w:rPr>
          <w:noProof/>
        </w:rPr>
        <w:t>5.8</w:t>
      </w:r>
      <w:r>
        <w:rPr>
          <w:noProof/>
        </w:rPr>
        <w:tab/>
        <w:t>Repair and refurbishment of residential premises</w:t>
      </w:r>
      <w:r>
        <w:rPr>
          <w:noProof/>
        </w:rPr>
        <w:tab/>
      </w:r>
      <w:r>
        <w:rPr>
          <w:noProof/>
          <w:sz w:val="22"/>
        </w:rPr>
        <w:fldChar w:fldCharType="begin"/>
      </w:r>
      <w:r>
        <w:rPr>
          <w:noProof/>
          <w:sz w:val="22"/>
        </w:rPr>
        <w:instrText xml:space="preserve"> PAGEREF _Toc52697221 \h </w:instrText>
      </w:r>
      <w:r>
        <w:rPr>
          <w:noProof/>
          <w:sz w:val="22"/>
        </w:rPr>
      </w:r>
      <w:r>
        <w:rPr>
          <w:noProof/>
          <w:sz w:val="22"/>
        </w:rPr>
        <w:fldChar w:fldCharType="separate"/>
      </w:r>
      <w:r>
        <w:rPr>
          <w:noProof/>
          <w:sz w:val="22"/>
        </w:rPr>
        <w:t>29</w:t>
      </w:r>
      <w:r>
        <w:rPr>
          <w:noProof/>
          <w:sz w:val="22"/>
        </w:rPr>
        <w:fldChar w:fldCharType="end"/>
      </w:r>
    </w:p>
    <w:p>
      <w:pPr>
        <w:pStyle w:val="TOC4"/>
        <w:rPr>
          <w:noProof/>
        </w:rPr>
      </w:pPr>
      <w:r>
        <w:rPr>
          <w:noProof/>
        </w:rPr>
        <w:t>5.9</w:t>
      </w:r>
      <w:r>
        <w:rPr>
          <w:noProof/>
        </w:rPr>
        <w:tab/>
        <w:t>Residence rules</w:t>
      </w:r>
      <w:r>
        <w:rPr>
          <w:noProof/>
        </w:rPr>
        <w:tab/>
      </w:r>
      <w:r>
        <w:rPr>
          <w:noProof/>
          <w:sz w:val="22"/>
        </w:rPr>
        <w:fldChar w:fldCharType="begin"/>
      </w:r>
      <w:r>
        <w:rPr>
          <w:noProof/>
          <w:sz w:val="22"/>
        </w:rPr>
        <w:instrText xml:space="preserve"> PAGEREF _Toc52697222 \h </w:instrText>
      </w:r>
      <w:r>
        <w:rPr>
          <w:noProof/>
          <w:sz w:val="22"/>
        </w:rPr>
      </w:r>
      <w:r>
        <w:rPr>
          <w:noProof/>
          <w:sz w:val="22"/>
        </w:rPr>
        <w:fldChar w:fldCharType="separate"/>
      </w:r>
      <w:r>
        <w:rPr>
          <w:noProof/>
          <w:sz w:val="22"/>
        </w:rPr>
        <w:t>30</w:t>
      </w:r>
      <w:r>
        <w:rPr>
          <w:noProof/>
          <w:sz w:val="22"/>
        </w:rPr>
        <w:fldChar w:fldCharType="end"/>
      </w:r>
    </w:p>
    <w:p>
      <w:pPr>
        <w:pStyle w:val="TOC4"/>
        <w:rPr>
          <w:noProof/>
        </w:rPr>
      </w:pPr>
      <w:r>
        <w:rPr>
          <w:noProof/>
        </w:rPr>
        <w:t>5.10</w:t>
      </w:r>
      <w:r>
        <w:rPr>
          <w:noProof/>
        </w:rPr>
        <w:tab/>
        <w:t>Residents’ committee</w:t>
      </w:r>
      <w:r>
        <w:rPr>
          <w:noProof/>
        </w:rPr>
        <w:tab/>
      </w:r>
      <w:r>
        <w:rPr>
          <w:noProof/>
          <w:sz w:val="22"/>
        </w:rPr>
        <w:fldChar w:fldCharType="begin"/>
      </w:r>
      <w:r>
        <w:rPr>
          <w:noProof/>
          <w:sz w:val="22"/>
        </w:rPr>
        <w:instrText xml:space="preserve"> PAGEREF _Toc52697223 \h </w:instrText>
      </w:r>
      <w:r>
        <w:rPr>
          <w:noProof/>
          <w:sz w:val="22"/>
        </w:rPr>
      </w:r>
      <w:r>
        <w:rPr>
          <w:noProof/>
          <w:sz w:val="22"/>
        </w:rPr>
        <w:fldChar w:fldCharType="separate"/>
      </w:r>
      <w:r>
        <w:rPr>
          <w:noProof/>
          <w:sz w:val="22"/>
        </w:rPr>
        <w:t>31</w:t>
      </w:r>
      <w:r>
        <w:rPr>
          <w:noProof/>
          <w:sz w:val="22"/>
        </w:rPr>
        <w:fldChar w:fldCharType="end"/>
      </w:r>
    </w:p>
    <w:p>
      <w:pPr>
        <w:pStyle w:val="TOC4"/>
        <w:rPr>
          <w:noProof/>
        </w:rPr>
      </w:pPr>
      <w:r>
        <w:rPr>
          <w:noProof/>
        </w:rPr>
        <w:t>5.11</w:t>
      </w:r>
      <w:r>
        <w:rPr>
          <w:noProof/>
        </w:rPr>
        <w:tab/>
        <w:t>Residents’ meetings</w:t>
      </w:r>
      <w:r>
        <w:rPr>
          <w:noProof/>
        </w:rPr>
        <w:tab/>
      </w:r>
      <w:r>
        <w:rPr>
          <w:noProof/>
          <w:sz w:val="22"/>
        </w:rPr>
        <w:fldChar w:fldCharType="begin"/>
      </w:r>
      <w:r>
        <w:rPr>
          <w:noProof/>
          <w:sz w:val="22"/>
        </w:rPr>
        <w:instrText xml:space="preserve"> PAGEREF _Toc52697224 \h </w:instrText>
      </w:r>
      <w:r>
        <w:rPr>
          <w:noProof/>
          <w:sz w:val="22"/>
        </w:rPr>
      </w:r>
      <w:r>
        <w:rPr>
          <w:noProof/>
          <w:sz w:val="22"/>
        </w:rPr>
        <w:fldChar w:fldCharType="separate"/>
      </w:r>
      <w:r>
        <w:rPr>
          <w:noProof/>
          <w:sz w:val="22"/>
        </w:rPr>
        <w:t>32</w:t>
      </w:r>
      <w:r>
        <w:rPr>
          <w:noProof/>
          <w:sz w:val="22"/>
        </w:rPr>
        <w:fldChar w:fldCharType="end"/>
      </w:r>
    </w:p>
    <w:p>
      <w:pPr>
        <w:pStyle w:val="TOC4"/>
        <w:rPr>
          <w:noProof/>
        </w:rPr>
      </w:pPr>
      <w:r>
        <w:rPr>
          <w:noProof/>
        </w:rPr>
        <w:t>5.12</w:t>
      </w:r>
      <w:r>
        <w:rPr>
          <w:noProof/>
        </w:rPr>
        <w:tab/>
        <w:t>Proxy voting</w:t>
      </w:r>
      <w:r>
        <w:rPr>
          <w:noProof/>
        </w:rPr>
        <w:tab/>
      </w:r>
      <w:r>
        <w:rPr>
          <w:noProof/>
          <w:sz w:val="22"/>
        </w:rPr>
        <w:fldChar w:fldCharType="begin"/>
      </w:r>
      <w:r>
        <w:rPr>
          <w:noProof/>
          <w:sz w:val="22"/>
        </w:rPr>
        <w:instrText xml:space="preserve"> PAGEREF _Toc52697225 \h </w:instrText>
      </w:r>
      <w:r>
        <w:rPr>
          <w:noProof/>
          <w:sz w:val="22"/>
        </w:rPr>
      </w:r>
      <w:r>
        <w:rPr>
          <w:noProof/>
          <w:sz w:val="22"/>
        </w:rPr>
        <w:fldChar w:fldCharType="separate"/>
      </w:r>
      <w:r>
        <w:rPr>
          <w:noProof/>
          <w:sz w:val="22"/>
        </w:rPr>
        <w:t>34</w:t>
      </w:r>
      <w:r>
        <w:rPr>
          <w:noProof/>
          <w:sz w:val="22"/>
        </w:rPr>
        <w:fldChar w:fldCharType="end"/>
      </w:r>
    </w:p>
    <w:p>
      <w:pPr>
        <w:pStyle w:val="TOC7"/>
      </w:pPr>
      <w:r>
        <w:t>Division 6 — Dispute resolution</w:t>
      </w:r>
      <w:r>
        <w:tab/>
      </w:r>
      <w:r>
        <w:fldChar w:fldCharType="begin"/>
      </w:r>
      <w:r>
        <w:instrText xml:space="preserve"> PAGEREF _Toc52697226 \h </w:instrText>
      </w:r>
      <w:r>
        <w:fldChar w:fldCharType="separate"/>
      </w:r>
      <w:r>
        <w:t>35</w:t>
      </w:r>
      <w:r>
        <w:fldChar w:fldCharType="end"/>
      </w:r>
    </w:p>
    <w:p>
      <w:pPr>
        <w:pStyle w:val="TOC4"/>
        <w:rPr>
          <w:noProof/>
        </w:rPr>
      </w:pPr>
      <w:r>
        <w:rPr>
          <w:noProof/>
        </w:rPr>
        <w:t>6.1</w:t>
      </w:r>
      <w:r>
        <w:rPr>
          <w:noProof/>
        </w:rPr>
        <w:tab/>
        <w:t>Interpretation</w:t>
      </w:r>
      <w:r>
        <w:rPr>
          <w:noProof/>
        </w:rPr>
        <w:tab/>
      </w:r>
      <w:r>
        <w:rPr>
          <w:noProof/>
          <w:sz w:val="22"/>
        </w:rPr>
        <w:fldChar w:fldCharType="begin"/>
      </w:r>
      <w:r>
        <w:rPr>
          <w:noProof/>
          <w:sz w:val="22"/>
        </w:rPr>
        <w:instrText xml:space="preserve"> PAGEREF _Toc52697227 \h </w:instrText>
      </w:r>
      <w:r>
        <w:rPr>
          <w:noProof/>
          <w:sz w:val="22"/>
        </w:rPr>
      </w:r>
      <w:r>
        <w:rPr>
          <w:noProof/>
          <w:sz w:val="22"/>
        </w:rPr>
        <w:fldChar w:fldCharType="separate"/>
      </w:r>
      <w:r>
        <w:rPr>
          <w:noProof/>
          <w:sz w:val="22"/>
        </w:rPr>
        <w:t>35</w:t>
      </w:r>
      <w:r>
        <w:rPr>
          <w:noProof/>
          <w:sz w:val="22"/>
        </w:rPr>
        <w:fldChar w:fldCharType="end"/>
      </w:r>
    </w:p>
    <w:p>
      <w:pPr>
        <w:pStyle w:val="TOC4"/>
        <w:rPr>
          <w:noProof/>
        </w:rPr>
      </w:pPr>
      <w:r>
        <w:rPr>
          <w:noProof/>
        </w:rPr>
        <w:t>6.2</w:t>
      </w:r>
      <w:r>
        <w:rPr>
          <w:noProof/>
        </w:rPr>
        <w:tab/>
        <w:t>Village dispute process</w:t>
      </w:r>
      <w:r>
        <w:rPr>
          <w:noProof/>
        </w:rPr>
        <w:tab/>
      </w:r>
      <w:r>
        <w:rPr>
          <w:noProof/>
          <w:sz w:val="22"/>
        </w:rPr>
        <w:fldChar w:fldCharType="begin"/>
      </w:r>
      <w:r>
        <w:rPr>
          <w:noProof/>
          <w:sz w:val="22"/>
        </w:rPr>
        <w:instrText xml:space="preserve"> PAGEREF _Toc52697228 \h </w:instrText>
      </w:r>
      <w:r>
        <w:rPr>
          <w:noProof/>
          <w:sz w:val="22"/>
        </w:rPr>
      </w:r>
      <w:r>
        <w:rPr>
          <w:noProof/>
          <w:sz w:val="22"/>
        </w:rPr>
        <w:fldChar w:fldCharType="separate"/>
      </w:r>
      <w:r>
        <w:rPr>
          <w:noProof/>
          <w:sz w:val="22"/>
        </w:rPr>
        <w:t>35</w:t>
      </w:r>
      <w:r>
        <w:rPr>
          <w:noProof/>
          <w:sz w:val="22"/>
        </w:rPr>
        <w:fldChar w:fldCharType="end"/>
      </w:r>
    </w:p>
    <w:p>
      <w:pPr>
        <w:pStyle w:val="TOC4"/>
        <w:rPr>
          <w:noProof/>
        </w:rPr>
      </w:pPr>
      <w:r>
        <w:rPr>
          <w:noProof/>
        </w:rPr>
        <w:t>6.3</w:t>
      </w:r>
      <w:r>
        <w:rPr>
          <w:noProof/>
        </w:rPr>
        <w:tab/>
        <w:t>Mediation of dispute</w:t>
      </w:r>
      <w:r>
        <w:rPr>
          <w:noProof/>
        </w:rPr>
        <w:tab/>
      </w:r>
      <w:r>
        <w:rPr>
          <w:noProof/>
          <w:sz w:val="22"/>
        </w:rPr>
        <w:fldChar w:fldCharType="begin"/>
      </w:r>
      <w:r>
        <w:rPr>
          <w:noProof/>
          <w:sz w:val="22"/>
        </w:rPr>
        <w:instrText xml:space="preserve"> PAGEREF _Toc52697229 \h </w:instrText>
      </w:r>
      <w:r>
        <w:rPr>
          <w:noProof/>
          <w:sz w:val="22"/>
        </w:rPr>
      </w:r>
      <w:r>
        <w:rPr>
          <w:noProof/>
          <w:sz w:val="22"/>
        </w:rPr>
        <w:fldChar w:fldCharType="separate"/>
      </w:r>
      <w:r>
        <w:rPr>
          <w:noProof/>
          <w:sz w:val="22"/>
        </w:rPr>
        <w:t>37</w:t>
      </w:r>
      <w:r>
        <w:rPr>
          <w:noProof/>
          <w:sz w:val="22"/>
        </w:rPr>
        <w:fldChar w:fldCharType="end"/>
      </w:r>
    </w:p>
    <w:p>
      <w:pPr>
        <w:pStyle w:val="TOC7"/>
      </w:pPr>
      <w:r>
        <w:t>Division 7 — Termination of residence contracts</w:t>
      </w:r>
      <w:r>
        <w:tab/>
      </w:r>
      <w:r>
        <w:fldChar w:fldCharType="begin"/>
      </w:r>
      <w:r>
        <w:instrText xml:space="preserve"> PAGEREF _Toc52697230 \h </w:instrText>
      </w:r>
      <w:r>
        <w:fldChar w:fldCharType="separate"/>
      </w:r>
      <w:r>
        <w:t>40</w:t>
      </w:r>
      <w:r>
        <w:fldChar w:fldCharType="end"/>
      </w:r>
    </w:p>
    <w:p>
      <w:pPr>
        <w:pStyle w:val="TOC4"/>
        <w:rPr>
          <w:noProof/>
        </w:rPr>
      </w:pPr>
      <w:r>
        <w:rPr>
          <w:noProof/>
        </w:rPr>
        <w:t>7.1</w:t>
      </w:r>
      <w:r>
        <w:rPr>
          <w:noProof/>
        </w:rPr>
        <w:tab/>
        <w:t>Notice of intention to terminate</w:t>
      </w:r>
      <w:r>
        <w:rPr>
          <w:noProof/>
        </w:rPr>
        <w:tab/>
      </w:r>
      <w:r>
        <w:rPr>
          <w:noProof/>
          <w:sz w:val="22"/>
        </w:rPr>
        <w:fldChar w:fldCharType="begin"/>
      </w:r>
      <w:r>
        <w:rPr>
          <w:noProof/>
          <w:sz w:val="22"/>
        </w:rPr>
        <w:instrText xml:space="preserve"> PAGEREF _Toc52697231 \h </w:instrText>
      </w:r>
      <w:r>
        <w:rPr>
          <w:noProof/>
          <w:sz w:val="22"/>
        </w:rPr>
      </w:r>
      <w:r>
        <w:rPr>
          <w:noProof/>
          <w:sz w:val="22"/>
        </w:rPr>
        <w:fldChar w:fldCharType="separate"/>
      </w:r>
      <w:r>
        <w:rPr>
          <w:noProof/>
          <w:sz w:val="22"/>
        </w:rPr>
        <w:t>40</w:t>
      </w:r>
      <w:r>
        <w:rPr>
          <w:noProof/>
          <w:sz w:val="22"/>
        </w:rPr>
        <w:fldChar w:fldCharType="end"/>
      </w:r>
    </w:p>
    <w:p>
      <w:pPr>
        <w:pStyle w:val="TOC7"/>
      </w:pPr>
      <w:r>
        <w:t>Division 8 — Miscellaneous</w:t>
      </w:r>
      <w:r>
        <w:tab/>
      </w:r>
      <w:r>
        <w:fldChar w:fldCharType="begin"/>
      </w:r>
      <w:r>
        <w:instrText xml:space="preserve"> PAGEREF _Toc52697232 \h </w:instrText>
      </w:r>
      <w:r>
        <w:fldChar w:fldCharType="separate"/>
      </w:r>
      <w:r>
        <w:t>44</w:t>
      </w:r>
      <w:r>
        <w:fldChar w:fldCharType="end"/>
      </w:r>
    </w:p>
    <w:p>
      <w:pPr>
        <w:pStyle w:val="TOC4"/>
        <w:rPr>
          <w:noProof/>
        </w:rPr>
      </w:pPr>
      <w:r>
        <w:rPr>
          <w:noProof/>
        </w:rPr>
        <w:t>8.1</w:t>
      </w:r>
      <w:r>
        <w:rPr>
          <w:noProof/>
        </w:rPr>
        <w:tab/>
        <w:t>Service of documents</w:t>
      </w:r>
      <w:r>
        <w:rPr>
          <w:noProof/>
        </w:rPr>
        <w:tab/>
      </w:r>
      <w:r>
        <w:rPr>
          <w:noProof/>
          <w:sz w:val="22"/>
        </w:rPr>
        <w:fldChar w:fldCharType="begin"/>
      </w:r>
      <w:r>
        <w:rPr>
          <w:noProof/>
          <w:sz w:val="22"/>
        </w:rPr>
        <w:instrText xml:space="preserve"> PAGEREF _Toc52697233 \h </w:instrText>
      </w:r>
      <w:r>
        <w:rPr>
          <w:noProof/>
          <w:sz w:val="22"/>
        </w:rPr>
      </w:r>
      <w:r>
        <w:rPr>
          <w:noProof/>
          <w:sz w:val="22"/>
        </w:rPr>
        <w:fldChar w:fldCharType="separate"/>
      </w:r>
      <w:r>
        <w:rPr>
          <w:noProof/>
          <w:sz w:val="22"/>
        </w:rPr>
        <w:t>44</w:t>
      </w:r>
      <w:r>
        <w:rPr>
          <w:noProof/>
          <w:sz w:val="22"/>
        </w:rPr>
        <w:fldChar w:fldCharType="end"/>
      </w:r>
    </w:p>
    <w:p>
      <w:pPr>
        <w:pStyle w:val="TOC7"/>
      </w:pPr>
      <w:r>
        <w:t>Appendix 1 — Checklist for prospective resident</w:t>
      </w:r>
      <w:r>
        <w:tab/>
      </w:r>
      <w:r>
        <w:fldChar w:fldCharType="begin"/>
      </w:r>
      <w:r>
        <w:instrText xml:space="preserve"> PAGEREF _Toc52697234 \h </w:instrText>
      </w:r>
      <w:r>
        <w:fldChar w:fldCharType="separate"/>
      </w:r>
      <w:r>
        <w:t>46</w:t>
      </w:r>
      <w:r>
        <w:fldChar w:fldCharType="end"/>
      </w:r>
    </w:p>
    <w:p>
      <w:pPr>
        <w:pStyle w:val="TOC7"/>
      </w:pPr>
      <w:r>
        <w:t>Appendix 2 — Model proposed operating budget form</w:t>
      </w:r>
      <w:r>
        <w:tab/>
      </w:r>
      <w:r>
        <w:fldChar w:fldCharType="begin"/>
      </w:r>
      <w:r>
        <w:instrText xml:space="preserve"> PAGEREF _Toc52697235 \h </w:instrText>
      </w:r>
      <w:r>
        <w:fldChar w:fldCharType="separate"/>
      </w:r>
      <w:r>
        <w:t>48</w:t>
      </w:r>
      <w:r>
        <w:fldChar w:fldCharType="end"/>
      </w:r>
    </w:p>
    <w:p>
      <w:pPr>
        <w:pStyle w:val="TOC7"/>
      </w:pPr>
      <w:r>
        <w:t>Appendix 3 — Model quarterly income and expenditure statement</w:t>
      </w:r>
      <w:r>
        <w:tab/>
      </w:r>
      <w:r>
        <w:fldChar w:fldCharType="begin"/>
      </w:r>
      <w:r>
        <w:instrText xml:space="preserve"> PAGEREF _Toc52697236 \h </w:instrText>
      </w:r>
      <w:r>
        <w:fldChar w:fldCharType="separate"/>
      </w:r>
      <w:r>
        <w:t>51</w:t>
      </w:r>
      <w:r>
        <w:fldChar w:fldCharType="end"/>
      </w:r>
    </w:p>
    <w:p>
      <w:pPr>
        <w:pStyle w:val="TOC7"/>
      </w:pPr>
      <w:r>
        <w:t>Appendix 4 — Model reserve fund quarterly income and expenditure statement</w:t>
      </w:r>
      <w:r>
        <w:tab/>
      </w:r>
      <w:r>
        <w:fldChar w:fldCharType="begin"/>
      </w:r>
      <w:r>
        <w:instrText xml:space="preserve"> PAGEREF _Toc52697237 \h </w:instrText>
      </w:r>
      <w:r>
        <w:fldChar w:fldCharType="separate"/>
      </w:r>
      <w:r>
        <w:t>53</w:t>
      </w:r>
      <w:r>
        <w:fldChar w:fldCharType="end"/>
      </w:r>
    </w:p>
    <w:p>
      <w:pPr>
        <w:pStyle w:val="TOC7"/>
      </w:pPr>
      <w:r>
        <w:t>Appendix 5 — Form of appointment of proxy</w:t>
      </w:r>
      <w:r>
        <w:tab/>
      </w:r>
      <w:r>
        <w:fldChar w:fldCharType="begin"/>
      </w:r>
      <w:r>
        <w:instrText xml:space="preserve"> PAGEREF _Toc52697238 \h </w:instrText>
      </w:r>
      <w:r>
        <w:fldChar w:fldCharType="separate"/>
      </w:r>
      <w:r>
        <w:t>55</w:t>
      </w:r>
      <w: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sz w:val="22"/>
        </w:rPr>
        <w:fldChar w:fldCharType="begin"/>
      </w:r>
      <w:r>
        <w:rPr>
          <w:noProof/>
          <w:sz w:val="22"/>
        </w:rPr>
        <w:instrText xml:space="preserve"> PAGEREF _Toc52697239 \h </w:instrText>
      </w:r>
      <w:r>
        <w:rPr>
          <w:noProof/>
          <w:sz w:val="22"/>
        </w:rPr>
      </w:r>
      <w:r>
        <w:rPr>
          <w:noProof/>
          <w:sz w:val="22"/>
        </w:rPr>
        <w:fldChar w:fldCharType="separate"/>
      </w:r>
      <w:r>
        <w:rPr>
          <w:noProof/>
          <w:sz w:val="22"/>
        </w:rPr>
        <w:t>57</w:t>
      </w:r>
      <w:r>
        <w:rPr>
          <w:noProof/>
          <w:sz w:val="22"/>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(Retirement Villages Code)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34798992"/>
      <w:bookmarkStart w:id="9" w:name="_Toc49158002"/>
      <w:bookmarkStart w:id="10" w:name="_Toc49229984"/>
      <w:bookmarkStart w:id="11" w:name="_Toc52697181"/>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w:t>
      </w:r>
      <w:r>
        <w:rPr>
          <w:spacing w:val="-2"/>
        </w:rPr>
        <w:t>regulations</w:t>
      </w:r>
      <w:r>
        <w:t xml:space="preserve"> may be cited as the </w:t>
      </w:r>
      <w:r>
        <w:rPr>
          <w:i/>
        </w:rPr>
        <w:t>Fair Trading (Retirement Villages Code) Regulations 2003</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34798993"/>
      <w:bookmarkStart w:id="20" w:name="_Toc49158003"/>
      <w:bookmarkStart w:id="21" w:name="_Toc49229985"/>
      <w:bookmarkStart w:id="22" w:name="_Toc5269718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These regulations come into operation on 1 October 2003</w:t>
      </w:r>
      <w:r>
        <w:t>.</w:t>
      </w:r>
    </w:p>
    <w:p>
      <w:pPr>
        <w:pStyle w:val="Heading5"/>
      </w:pPr>
      <w:bookmarkStart w:id="23" w:name="_Toc52697183"/>
      <w:r>
        <w:rPr>
          <w:rStyle w:val="CharSectno"/>
        </w:rPr>
        <w:t>3</w:t>
      </w:r>
      <w:r>
        <w:t>.</w:t>
      </w:r>
      <w:r>
        <w:tab/>
        <w:t>Code of Practice prescribed and transitional</w:t>
      </w:r>
      <w:bookmarkEnd w:id="23"/>
    </w:p>
    <w:p>
      <w:pPr>
        <w:pStyle w:val="Subsection"/>
      </w:pPr>
      <w:r>
        <w:tab/>
        <w:t>(1)</w:t>
      </w:r>
      <w:r>
        <w:tab/>
        <w:t xml:space="preserve">The Code of Practice set out in Schedule 1 and cited as the </w:t>
      </w:r>
      <w:r>
        <w:rPr>
          <w:i/>
        </w:rPr>
        <w:t>Code of Fair Practice for Retirement Villages 2003</w:t>
      </w:r>
      <w:r>
        <w:t xml:space="preserve"> is prescribed under section 43(1) of the </w:t>
      </w:r>
      <w:r>
        <w:rPr>
          <w:i/>
        </w:rPr>
        <w:t>Fair Trading Act 1987</w:t>
      </w:r>
      <w:r>
        <w:t xml:space="preserve"> as a code of practice that applies in relation to retirement villages as defined in the </w:t>
      </w:r>
      <w:r>
        <w:rPr>
          <w:i/>
        </w:rPr>
        <w:t>Retirement Villages Act 1992</w:t>
      </w:r>
      <w:r>
        <w:t>.</w:t>
      </w:r>
    </w:p>
    <w:p>
      <w:pPr>
        <w:pStyle w:val="Subsection"/>
      </w:pPr>
      <w:r>
        <w:tab/>
        <w:t>(2)</w:t>
      </w:r>
      <w:r>
        <w:tab/>
        <w:t xml:space="preserve">Despite subregulation (1), between 1 October 2003 and 31 December 2003 (inclusive) compliance with the requirements of either — </w:t>
      </w:r>
    </w:p>
    <w:p>
      <w:pPr>
        <w:pStyle w:val="Indenta"/>
      </w:pPr>
      <w:r>
        <w:tab/>
        <w:t>(a)</w:t>
      </w:r>
      <w:r>
        <w:tab/>
        <w:t xml:space="preserve">Division 4 of the </w:t>
      </w:r>
      <w:r>
        <w:rPr>
          <w:i/>
        </w:rPr>
        <w:t>Code of Fair Practice for Retirement Villages 2003</w:t>
      </w:r>
      <w:r>
        <w:t xml:space="preserve"> prescribed by subregulation (1); or</w:t>
      </w:r>
    </w:p>
    <w:p>
      <w:pPr>
        <w:pStyle w:val="Indenta"/>
      </w:pPr>
      <w:r>
        <w:tab/>
        <w:t>(b)</w:t>
      </w:r>
      <w:r>
        <w:tab/>
        <w:t xml:space="preserve">Division 4 of the </w:t>
      </w:r>
      <w:r>
        <w:rPr>
          <w:i/>
        </w:rPr>
        <w:t>Interim Code of Fair Practice for Retirement Villages 2003</w:t>
      </w:r>
      <w:r>
        <w:t xml:space="preserve"> prescribed by the </w:t>
      </w:r>
      <w:r>
        <w:rPr>
          <w:i/>
        </w:rPr>
        <w:t>Fair Trading (Retirement Villages Interim Code) Regulations 2003</w:t>
      </w:r>
      <w:r>
        <w:t xml:space="preserve">, </w:t>
      </w:r>
    </w:p>
    <w:p>
      <w:pPr>
        <w:pStyle w:val="Subsection"/>
      </w:pPr>
      <w:r>
        <w:tab/>
      </w:r>
      <w:r>
        <w:tab/>
        <w:t xml:space="preserve">is prescribed as being sufficient compliance with Division 4 of the </w:t>
      </w:r>
      <w:r>
        <w:rPr>
          <w:i/>
        </w:rPr>
        <w:t>Code of Fair Practice for Retirement Villages 2003</w:t>
      </w:r>
      <w:r>
        <w:t>.</w:t>
      </w:r>
    </w:p>
    <w:p>
      <w:pPr>
        <w:pStyle w:val="Heading5"/>
      </w:pPr>
      <w:bookmarkStart w:id="24" w:name="_Toc52697184"/>
      <w:r>
        <w:rPr>
          <w:rStyle w:val="CharSectno"/>
        </w:rPr>
        <w:t>4</w:t>
      </w:r>
      <w:r>
        <w:t>.</w:t>
      </w:r>
      <w:r>
        <w:tab/>
        <w:t>Interpretation</w:t>
      </w:r>
      <w:bookmarkEnd w:id="24"/>
    </w:p>
    <w:p>
      <w:pPr>
        <w:pStyle w:val="Subsection"/>
      </w:pPr>
      <w:r>
        <w:tab/>
        <w:t>(1)</w:t>
      </w:r>
      <w:r>
        <w:tab/>
        <w:t xml:space="preserve">In the Code set out in Schedule 1 — </w:t>
      </w:r>
    </w:p>
    <w:p>
      <w:pPr>
        <w:pStyle w:val="Defstart"/>
      </w:pPr>
      <w:r>
        <w:rPr>
          <w:b/>
        </w:rPr>
        <w:tab/>
        <w:t>“</w:t>
      </w:r>
      <w:r>
        <w:rPr>
          <w:rStyle w:val="CharDefText"/>
        </w:rPr>
        <w:t>relevant Tribunal</w:t>
      </w:r>
      <w:r>
        <w:rPr>
          <w:b/>
        </w:rPr>
        <w:t>”</w:t>
      </w:r>
      <w:r>
        <w:t xml:space="preserve"> means the Retirement Villages Disputes Tribunal established under section 27 of the </w:t>
      </w:r>
      <w:r>
        <w:rPr>
          <w:i/>
        </w:rPr>
        <w:t>Retirement Villages Act 1992</w:t>
      </w:r>
      <w:r>
        <w:t>, or such other Tribunal that may assume the functions of that Tribunal, whichever is appropriate.</w:t>
      </w:r>
    </w:p>
    <w:p>
      <w:pPr>
        <w:pStyle w:val="Subsection"/>
      </w:pPr>
      <w:r>
        <w:tab/>
        <w:t>(2)</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(3)</w:t>
      </w:r>
      <w:r>
        <w:tab/>
        <w:t>Boxed and shaded paragraphs in the Code set out in Schedule 1 are not part of the Code and are included only to assist readers of the Code.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5" w:name="_Toc524425316"/>
      <w:bookmarkStart w:id="26" w:name="_Toc524429493"/>
      <w:bookmarkStart w:id="27" w:name="_Toc524484935"/>
      <w:bookmarkStart w:id="28" w:name="_Toc524485119"/>
      <w:bookmarkStart w:id="29" w:name="_Toc524843360"/>
      <w:bookmarkStart w:id="30" w:name="_Toc34798994"/>
      <w:bookmarkStart w:id="31" w:name="_Toc49158004"/>
      <w:bookmarkStart w:id="32" w:name="_Toc49229986"/>
    </w:p>
    <w:p>
      <w:pPr>
        <w:pStyle w:val="yScheduleHeading"/>
      </w:pPr>
      <w:bookmarkStart w:id="33" w:name="_Toc52697185"/>
      <w:r>
        <w:rPr>
          <w:rStyle w:val="CharSchNo"/>
        </w:rPr>
        <w:t>Schedule 1</w:t>
      </w:r>
      <w:r>
        <w:t xml:space="preserve"> — </w:t>
      </w:r>
      <w:r>
        <w:rPr>
          <w:rStyle w:val="CharSchText"/>
          <w:i/>
        </w:rPr>
        <w:t>Code of Fair Practice for Retirement Villages 2003</w:t>
      </w:r>
      <w:bookmarkEnd w:id="33"/>
    </w:p>
    <w:p>
      <w:pPr>
        <w:pStyle w:val="yShoulderClause"/>
        <w:spacing w:after="240"/>
        <w:ind w:firstLine="851"/>
        <w:rPr>
          <w:sz w:val="24"/>
        </w:rPr>
      </w:pPr>
      <w:r>
        <w:rPr>
          <w:sz w:val="24"/>
        </w:rP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2003.</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for Fair Trading and the relevant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numPr>
          <w:ilvl w:val="0"/>
          <w:numId w:val="2"/>
        </w:numPr>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1211"/>
      </w:pPr>
      <w:r>
        <w:t>request the administering body to give a deed of undertaking to comply with the Code and/or rectify the consequences of its failure to comply; or</w:t>
      </w:r>
    </w:p>
    <w:p>
      <w:pPr>
        <w:pStyle w:val="zMiscellaneousBody"/>
        <w:numPr>
          <w:ilvl w:val="0"/>
          <w:numId w:val="2"/>
        </w:numPr>
        <w:pBdr>
          <w:top w:val="single" w:sz="4" w:space="1" w:color="auto"/>
          <w:left w:val="single" w:sz="4" w:space="2" w:color="auto"/>
          <w:bottom w:val="single" w:sz="4" w:space="1" w:color="auto"/>
          <w:right w:val="single" w:sz="4" w:space="4" w:color="auto"/>
        </w:pBdr>
        <w:shd w:val="pct15" w:color="auto" w:fill="FFFFFF"/>
        <w:tabs>
          <w:tab w:val="num" w:pos="1211"/>
        </w:tabs>
        <w:spacing w:before="80"/>
        <w:ind w:left="1211"/>
      </w:pPr>
      <w:r>
        <w:t>if the administering body does not give the requested undertaking, apply to the relevant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relevant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relevant Tribunal commits an offence that is punishable by a fine of up to $10,000.</w:t>
      </w:r>
    </w:p>
    <w:p>
      <w:pPr>
        <w:pStyle w:val="yHeading3"/>
        <w:keepNext w:val="0"/>
        <w:pageBreakBefore/>
      </w:pPr>
      <w:bookmarkStart w:id="34" w:name="_Toc52697186"/>
      <w:r>
        <w:t>Division 1</w:t>
      </w:r>
      <w:r>
        <w:rPr>
          <w:b w:val="0"/>
        </w:rPr>
        <w:t> — </w:t>
      </w:r>
      <w:r>
        <w:rPr>
          <w:rStyle w:val="CharDivText"/>
        </w:rPr>
        <w:t>Preliminary</w:t>
      </w:r>
      <w:bookmarkEnd w:id="34"/>
    </w:p>
    <w:p>
      <w:pPr>
        <w:pStyle w:val="yHeading5"/>
        <w:keepLines w:val="0"/>
        <w:spacing w:before="120"/>
        <w:rPr>
          <w:sz w:val="24"/>
        </w:rPr>
      </w:pPr>
      <w:bookmarkStart w:id="35" w:name="_Toc52697187"/>
      <w:r>
        <w:rPr>
          <w:sz w:val="24"/>
        </w:rPr>
        <w:t>1.1</w:t>
      </w:r>
      <w:r>
        <w:rPr>
          <w:sz w:val="24"/>
        </w:rPr>
        <w:tab/>
        <w:t>Citation</w:t>
      </w:r>
      <w:bookmarkEnd w:id="35"/>
    </w:p>
    <w:p>
      <w:pPr>
        <w:pStyle w:val="ySubsection"/>
        <w:tabs>
          <w:tab w:val="clear" w:pos="879"/>
        </w:tabs>
        <w:spacing w:before="120"/>
        <w:rPr>
          <w:sz w:val="24"/>
        </w:rPr>
      </w:pPr>
      <w:r>
        <w:rPr>
          <w:sz w:val="24"/>
        </w:rPr>
        <w:tab/>
      </w:r>
      <w:r>
        <w:rPr>
          <w:sz w:val="24"/>
        </w:rPr>
        <w:tab/>
        <w:t xml:space="preserve">This Code may be cited as the </w:t>
      </w:r>
      <w:r>
        <w:rPr>
          <w:i/>
          <w:sz w:val="24"/>
        </w:rPr>
        <w:t>Code of Fair Practice for Retirement Villages 2003</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snapToGrid w:val="0"/>
        </w:rPr>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recurrent charge</w:t>
      </w:r>
      <w:r>
        <w:rPr>
          <w:b/>
        </w:rPr>
        <w:t>”</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residential tenancy agreement</w:t>
      </w:r>
      <w:r>
        <w:rPr>
          <w:b/>
        </w:rPr>
        <w: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843"/>
        </w:tabs>
        <w:spacing w:before="80"/>
        <w:ind w:left="1276" w:hanging="425"/>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tab/>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276" w:hanging="425"/>
      </w:pPr>
      <w:r>
        <w:rPr>
          <w:b/>
        </w:rPr>
        <w:t>“</w:t>
      </w:r>
      <w:r>
        <w:rPr>
          <w:rStyle w:val="CharDefText"/>
        </w:rPr>
        <w:t>working day</w:t>
      </w:r>
      <w:r>
        <w:rPr>
          <w:b/>
        </w:rPr>
        <w:t>”</w:t>
      </w:r>
      <w:r>
        <w:t xml:space="preserve"> means a day other than a Saturday, a Sunday or a public holiday.</w:t>
      </w:r>
    </w:p>
    <w:p>
      <w:pPr>
        <w:pStyle w:val="yHeading5"/>
        <w:rPr>
          <w:sz w:val="24"/>
        </w:rPr>
      </w:pPr>
      <w:bookmarkStart w:id="36" w:name="_Toc52697188"/>
      <w:r>
        <w:rPr>
          <w:sz w:val="24"/>
        </w:rPr>
        <w:t>1.2</w:t>
      </w:r>
      <w:r>
        <w:rPr>
          <w:sz w:val="24"/>
        </w:rPr>
        <w:tab/>
        <w:t>Application</w:t>
      </w:r>
      <w:bookmarkEnd w:id="36"/>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b/>
          <w:sz w:val="24"/>
        </w:rPr>
        <w:t>“</w:t>
      </w:r>
      <w:r>
        <w:rPr>
          <w:rStyle w:val="CharDefText"/>
          <w:sz w:val="24"/>
        </w:rPr>
        <w:t>approved provider</w:t>
      </w:r>
      <w:r>
        <w:rPr>
          <w:b/>
          <w:sz w:val="24"/>
        </w:rPr>
        <w:t>”</w:t>
      </w:r>
      <w:r>
        <w:rPr>
          <w:sz w:val="24"/>
        </w:rPr>
        <w:t xml:space="preserve"> within the meaning of the </w:t>
      </w:r>
      <w:r>
        <w:rPr>
          <w:i/>
          <w:sz w:val="24"/>
        </w:rPr>
        <w:t>Aged Care Act 1997</w:t>
      </w:r>
      <w:r>
        <w:rPr>
          <w:sz w:val="24"/>
        </w:rPr>
        <w:t xml:space="preserve"> of the Commonwealth (</w:t>
      </w:r>
      <w:r>
        <w:rPr>
          <w:b/>
          <w:sz w:val="24"/>
        </w:rPr>
        <w:t>“</w:t>
      </w:r>
      <w:r>
        <w:rPr>
          <w:rStyle w:val="CharDefText"/>
          <w:sz w:val="24"/>
        </w:rPr>
        <w:t>Cwlth</w:t>
      </w:r>
      <w:r>
        <w:rPr>
          <w:b/>
          <w:sz w:val="24"/>
        </w:rPr>
        <w:t>”</w:t>
      </w:r>
      <w:r>
        <w:rPr>
          <w:sz w:val="24"/>
        </w:rPr>
        <w:t>) in relation to the residential premises used or intended to be used as a place of residence by the resident or prospective resident;</w:t>
      </w:r>
    </w:p>
    <w:p>
      <w:pPr>
        <w:pStyle w:val="yIndenta"/>
        <w:rPr>
          <w:sz w:val="24"/>
        </w:rPr>
      </w:pPr>
      <w:r>
        <w:rPr>
          <w:sz w:val="24"/>
        </w:rPr>
        <w:tab/>
        <w:t>(b)</w:t>
      </w:r>
      <w:r>
        <w:rPr>
          <w:sz w:val="24"/>
        </w:rPr>
        <w:tab/>
        <w:t xml:space="preserve">the administering body provides, or is to provide, the resident or prospective resident with </w:t>
      </w:r>
      <w:r>
        <w:rPr>
          <w:b/>
          <w:sz w:val="24"/>
        </w:rPr>
        <w:t>“</w:t>
      </w:r>
      <w:r>
        <w:rPr>
          <w:rStyle w:val="CharDefText"/>
          <w:sz w:val="24"/>
        </w:rPr>
        <w:t>residential care</w:t>
      </w:r>
      <w:r>
        <w:rPr>
          <w:b/>
          <w:sz w:val="24"/>
        </w:rPr>
        <w:t>”</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b/>
          <w:sz w:val="24"/>
        </w:rPr>
        <w:t>“</w:t>
      </w:r>
      <w:r>
        <w:rPr>
          <w:rStyle w:val="CharDefText"/>
          <w:sz w:val="24"/>
        </w:rPr>
        <w:t>residential care subsidy</w:t>
      </w:r>
      <w:r>
        <w:rPr>
          <w:b/>
          <w:sz w:val="24"/>
        </w:rPr>
        <w:t>”</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rPr>
          <w:sz w:val="24"/>
        </w:rPr>
      </w:pPr>
      <w:r>
        <w:rPr>
          <w:sz w:val="24"/>
        </w:rPr>
        <w:tab/>
        <w:t>(4)</w:t>
      </w:r>
      <w:r>
        <w:rPr>
          <w:sz w:val="24"/>
        </w:rPr>
        <w:tab/>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37" w:name="_Toc52697189"/>
      <w:r>
        <w:rPr>
          <w:sz w:val="24"/>
        </w:rPr>
        <w:t>1.3</w:t>
      </w:r>
      <w:r>
        <w:rPr>
          <w:sz w:val="24"/>
        </w:rPr>
        <w:tab/>
        <w:t>General principles</w:t>
      </w:r>
      <w:bookmarkEnd w:id="37"/>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38" w:name="_Toc52697190"/>
      <w:r>
        <w:rPr>
          <w:sz w:val="24"/>
        </w:rPr>
        <w:t>1.4</w:t>
      </w:r>
      <w:r>
        <w:rPr>
          <w:sz w:val="24"/>
        </w:rPr>
        <w:tab/>
        <w:t>Objectives of the Code</w:t>
      </w:r>
      <w:bookmarkEnd w:id="38"/>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or grant of rights in,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39" w:name="_Toc52697191"/>
      <w:r>
        <w:rPr>
          <w:sz w:val="24"/>
        </w:rPr>
        <w:t>1.5</w:t>
      </w:r>
      <w:r>
        <w:rPr>
          <w:sz w:val="24"/>
        </w:rPr>
        <w:tab/>
        <w:t>Resident’s basic rights</w:t>
      </w:r>
      <w:bookmarkEnd w:id="39"/>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pPr>
      <w:bookmarkStart w:id="40" w:name="_Toc52697192"/>
      <w:r>
        <w:rPr>
          <w:rStyle w:val="CharDivNo"/>
        </w:rPr>
        <w:t>Division 2</w:t>
      </w:r>
      <w:r>
        <w:t xml:space="preserve"> — </w:t>
      </w:r>
      <w:r>
        <w:rPr>
          <w:rStyle w:val="CharDivText"/>
        </w:rPr>
        <w:t>Advertising and promotion of retirement villages</w:t>
      </w:r>
      <w:bookmarkEnd w:id="40"/>
    </w:p>
    <w:p>
      <w:pPr>
        <w:pStyle w:val="yHeading5"/>
        <w:rPr>
          <w:sz w:val="24"/>
        </w:rPr>
      </w:pPr>
      <w:bookmarkStart w:id="41" w:name="_Toc52697193"/>
      <w:r>
        <w:rPr>
          <w:sz w:val="24"/>
        </w:rPr>
        <w:t>2.1</w:t>
      </w:r>
      <w:r>
        <w:rPr>
          <w:sz w:val="24"/>
        </w:rPr>
        <w:tab/>
        <w:t>General</w:t>
      </w:r>
      <w:bookmarkEnd w:id="41"/>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rPr>
          <w:sz w:val="24"/>
        </w:rPr>
        <w:tab/>
        <w:t>(a)</w:t>
      </w:r>
      <w:r>
        <w:rPr>
          <w:sz w:val="24"/>
        </w:rPr>
        <w:tab/>
        <w:t>truthful, accurate and unambiguous; and</w:t>
      </w:r>
    </w:p>
    <w:p>
      <w:pPr>
        <w:pStyle w:val="yIndenta"/>
        <w:rPr>
          <w:sz w:val="24"/>
        </w:rPr>
      </w:pPr>
      <w:r>
        <w:rPr>
          <w:sz w:val="24"/>
        </w:rPr>
        <w:tab/>
        <w:t>(b)</w:t>
      </w:r>
      <w:r>
        <w:rPr>
          <w:sz w:val="24"/>
        </w:rPr>
        <w:tab/>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42" w:name="_Toc52697194"/>
      <w:r>
        <w:rPr>
          <w:sz w:val="24"/>
        </w:rPr>
        <w:t>2.2</w:t>
      </w:r>
      <w:r>
        <w:rPr>
          <w:sz w:val="24"/>
        </w:rPr>
        <w:tab/>
        <w:t>Retirement village developments</w:t>
      </w:r>
      <w:bookmarkEnd w:id="42"/>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43" w:name="_Toc52697195"/>
      <w:r>
        <w:rPr>
          <w:sz w:val="24"/>
        </w:rPr>
        <w:t>2.3</w:t>
      </w:r>
      <w:r>
        <w:rPr>
          <w:sz w:val="24"/>
        </w:rPr>
        <w:tab/>
        <w:t>Proposed amenities and services</w:t>
      </w:r>
      <w:bookmarkEnd w:id="43"/>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44" w:name="_Toc52697196"/>
      <w:r>
        <w:rPr>
          <w:sz w:val="24"/>
        </w:rPr>
        <w:t>2.4</w:t>
      </w:r>
      <w:r>
        <w:rPr>
          <w:sz w:val="24"/>
        </w:rPr>
        <w:tab/>
        <w:t>Approvals for facilities that provide residential aged care services</w:t>
      </w:r>
      <w:bookmarkEnd w:id="44"/>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(Cwlth)</w:t>
      </w:r>
      <w:r>
        <w:rPr>
          <w:sz w:val="24"/>
        </w:rPr>
        <w:t>, before such facilities are promoted as being available to, or associated with, a retirement village.</w:t>
      </w:r>
    </w:p>
    <w:p>
      <w:pPr>
        <w:pStyle w:val="yHeading5"/>
        <w:rPr>
          <w:sz w:val="24"/>
        </w:rPr>
      </w:pPr>
      <w:bookmarkStart w:id="45" w:name="_Toc52697197"/>
      <w:r>
        <w:rPr>
          <w:sz w:val="24"/>
        </w:rPr>
        <w:t>2.5</w:t>
      </w:r>
      <w:r>
        <w:rPr>
          <w:sz w:val="24"/>
        </w:rPr>
        <w:tab/>
        <w:t>Access to residential aged care services</w:t>
      </w:r>
      <w:bookmarkEnd w:id="4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(Cwlth)</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pPr>
      <w:bookmarkStart w:id="46" w:name="_Toc52697198"/>
      <w:r>
        <w:rPr>
          <w:rStyle w:val="CharDivNo"/>
        </w:rPr>
        <w:t>Division 3</w:t>
      </w:r>
      <w:r>
        <w:t xml:space="preserve"> — Prospective resident’s right to information before entering into a residence contract or service contract</w:t>
      </w:r>
      <w:bookmarkEnd w:id="46"/>
    </w:p>
    <w:p>
      <w:pPr>
        <w:pStyle w:val="yHeading5"/>
        <w:spacing w:before="160"/>
        <w:rPr>
          <w:sz w:val="24"/>
        </w:rPr>
      </w:pPr>
      <w:bookmarkStart w:id="47" w:name="_Toc52697199"/>
      <w:r>
        <w:rPr>
          <w:sz w:val="24"/>
        </w:rPr>
        <w:t>3.1</w:t>
      </w:r>
      <w:r>
        <w:rPr>
          <w:sz w:val="24"/>
        </w:rPr>
        <w:tab/>
        <w:t>Before entering into a residence contract</w:t>
      </w:r>
      <w:bookmarkEnd w:id="4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section 43 of the </w:t>
      </w:r>
      <w:r>
        <w:rPr>
          <w:i/>
          <w:sz w:val="24"/>
        </w:rPr>
        <w:t>Strata Titles Act 1985</w:t>
      </w:r>
      <w:r>
        <w:rPr>
          <w:sz w:val="24"/>
        </w:rP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13(2)(c) of the </w:t>
      </w:r>
      <w:r>
        <w:rPr>
          <w:i/>
        </w:rPr>
        <w:t>Retirement Villages Act 1992</w:t>
      </w:r>
      <w:r>
        <w:t xml:space="preserve">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w:t>
      </w:r>
      <w:r>
        <w:rPr>
          <w:rStyle w:val="CharPartNo"/>
        </w:rPr>
        <w:t xml:space="preserve"> The questions </w:t>
      </w:r>
      <w:r>
        <w:t>require the owner to disclose such things as —</w:t>
      </w:r>
    </w:p>
    <w:p>
      <w:pPr>
        <w:pStyle w:val="zMiscellaneousBody"/>
        <w:numPr>
          <w:ilvl w:val="0"/>
          <w:numId w:val="5"/>
        </w:numPr>
        <w:pBdr>
          <w:top w:val="single" w:sz="4" w:space="1" w:color="auto" w:shadow="1"/>
          <w:left w:val="single" w:sz="4" w:space="1" w:color="auto" w:shadow="1"/>
          <w:bottom w:val="single" w:sz="4" w:space="1" w:color="auto" w:shadow="1"/>
          <w:right w:val="single" w:sz="4" w:space="5" w:color="auto" w:shadow="1"/>
        </w:pBdr>
        <w:shd w:val="pct15" w:color="auto" w:fill="FFFFFF"/>
        <w:tabs>
          <w:tab w:val="clear" w:pos="360"/>
          <w:tab w:val="num" w:pos="1211"/>
        </w:tabs>
        <w:spacing w:before="120"/>
        <w:ind w:left="1208" w:hanging="357"/>
      </w:pPr>
      <w:r>
        <w:t>the premium (i.e. the ingoing contribution) and other costs payable by the resident to enter the retirement village;</w:t>
      </w:r>
    </w:p>
    <w:p>
      <w:pPr>
        <w:pStyle w:val="zMiscellaneousBody"/>
        <w:numPr>
          <w:ilvl w:val="0"/>
          <w:numId w:val="5"/>
        </w:numPr>
        <w:pBdr>
          <w:top w:val="single" w:sz="4" w:space="1" w:color="auto" w:shadow="1"/>
          <w:left w:val="single" w:sz="4" w:space="1" w:color="auto" w:shadow="1"/>
          <w:bottom w:val="single" w:sz="4" w:space="1" w:color="auto" w:shadow="1"/>
          <w:right w:val="single" w:sz="4" w:space="5" w:color="auto" w:shadow="1"/>
        </w:pBdr>
        <w:shd w:val="pct15" w:color="auto" w:fill="FFFFFF"/>
        <w:tabs>
          <w:tab w:val="clear" w:pos="360"/>
          <w:tab w:val="num" w:pos="1211"/>
        </w:tabs>
        <w:spacing w:before="120"/>
        <w:ind w:left="1208" w:hanging="357"/>
      </w:pPr>
      <w:r>
        <w:t>the village operating costs payable by the resident and the method or calculation used to determine and vary those costs;</w:t>
      </w:r>
    </w:p>
    <w:p>
      <w:pPr>
        <w:pStyle w:val="zMiscellaneousBody"/>
        <w:numPr>
          <w:ilvl w:val="0"/>
          <w:numId w:val="5"/>
        </w:numPr>
        <w:pBdr>
          <w:top w:val="single" w:sz="4" w:space="1" w:color="auto" w:shadow="1"/>
          <w:left w:val="single" w:sz="4" w:space="1" w:color="auto" w:shadow="1"/>
          <w:bottom w:val="single" w:sz="4" w:space="1" w:color="auto" w:shadow="1"/>
          <w:right w:val="single" w:sz="4" w:space="5" w:color="auto" w:shadow="1"/>
        </w:pBdr>
        <w:shd w:val="pct15" w:color="auto" w:fill="FFFFFF"/>
        <w:tabs>
          <w:tab w:val="clear" w:pos="360"/>
          <w:tab w:val="num" w:pos="1211"/>
        </w:tabs>
        <w:spacing w:before="120"/>
        <w:ind w:left="1208" w:hanging="357"/>
      </w:pPr>
      <w:r>
        <w:t>the amenities and services that are provided or made available to the resident and the charges or fees payable by the resident to access or use those amenities and services;</w:t>
      </w:r>
    </w:p>
    <w:p>
      <w:pPr>
        <w:pStyle w:val="zMiscellaneousBody"/>
        <w:numPr>
          <w:ilvl w:val="0"/>
          <w:numId w:val="5"/>
        </w:numPr>
        <w:pBdr>
          <w:top w:val="single" w:sz="4" w:space="1" w:color="auto" w:shadow="1"/>
          <w:left w:val="single" w:sz="4" w:space="1" w:color="auto" w:shadow="1"/>
          <w:bottom w:val="single" w:sz="4" w:space="1" w:color="auto" w:shadow="1"/>
          <w:right w:val="single" w:sz="4" w:space="5" w:color="auto" w:shadow="1"/>
        </w:pBdr>
        <w:shd w:val="pct15" w:color="auto" w:fill="FFFFFF"/>
        <w:tabs>
          <w:tab w:val="clear" w:pos="360"/>
          <w:tab w:val="num" w:pos="1211"/>
        </w:tabs>
        <w:spacing w:before="120"/>
        <w:ind w:left="1208" w:hanging="357"/>
      </w:pPr>
      <w:r>
        <w:t>details of costs associated with moving to and living in alternative accommodation within the retirement village; and</w:t>
      </w:r>
    </w:p>
    <w:p>
      <w:pPr>
        <w:pStyle w:val="zMiscellaneousBody"/>
        <w:numPr>
          <w:ilvl w:val="0"/>
          <w:numId w:val="5"/>
        </w:numPr>
        <w:pBdr>
          <w:top w:val="single" w:sz="4" w:space="1" w:color="auto" w:shadow="1"/>
          <w:left w:val="single" w:sz="4" w:space="1" w:color="auto" w:shadow="1"/>
          <w:bottom w:val="single" w:sz="4" w:space="1" w:color="auto" w:shadow="1"/>
          <w:right w:val="single" w:sz="4" w:space="5" w:color="auto" w:shadow="1"/>
        </w:pBdr>
        <w:shd w:val="pct15" w:color="auto" w:fill="FFFFFF"/>
        <w:tabs>
          <w:tab w:val="clear" w:pos="360"/>
          <w:tab w:val="num" w:pos="1211"/>
        </w:tabs>
        <w:spacing w:before="120"/>
        <w:ind w:left="1211"/>
      </w:pPr>
      <w: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rPr>
          <w:sz w:val="24"/>
        </w:rPr>
      </w:pPr>
      <w:bookmarkStart w:id="48" w:name="_Toc52697200"/>
      <w:r>
        <w:rPr>
          <w:sz w:val="24"/>
        </w:rPr>
        <w:t>3.2</w:t>
      </w:r>
      <w:r>
        <w:rPr>
          <w:sz w:val="24"/>
        </w:rPr>
        <w:tab/>
        <w:t>Before entering into a service contract</w:t>
      </w:r>
      <w:bookmarkEnd w:id="48"/>
    </w:p>
    <w:p>
      <w:pPr>
        <w:pStyle w:val="ySubsection"/>
        <w:spacing w:before="120"/>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49" w:name="_Toc52697201"/>
      <w:r>
        <w:rPr>
          <w:rStyle w:val="CharDivNo"/>
        </w:rPr>
        <w:t>Division 4</w:t>
      </w:r>
      <w:r>
        <w:t xml:space="preserve"> — Residence contract and service contract</w:t>
      </w:r>
      <w:bookmarkEnd w:id="49"/>
    </w:p>
    <w:p>
      <w:pPr>
        <w:pStyle w:val="yHeading5"/>
      </w:pPr>
      <w:bookmarkStart w:id="50" w:name="_Toc52697202"/>
      <w:r>
        <w:t>4.1</w:t>
      </w:r>
      <w:r>
        <w:tab/>
        <w:t>Legibility and presentation requirements</w:t>
      </w:r>
      <w:bookmarkEnd w:id="50"/>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section 14 of the </w:t>
      </w:r>
      <w:r>
        <w:rPr>
          <w:i/>
        </w:rPr>
        <w:t>Retirement Villages Act 1992</w:t>
      </w:r>
      <w:r>
        <w:t>,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sections 14(2) and 75 of the </w:t>
      </w:r>
      <w:r>
        <w:rPr>
          <w:i/>
          <w:spacing w:val="-4"/>
        </w:rPr>
        <w:t>Retirement Villages Act 1992</w:t>
      </w:r>
      <w:r>
        <w:rPr>
          <w:spacing w:val="-4"/>
        </w:rPr>
        <w:t>,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51" w:name="_Toc52697203"/>
      <w:r>
        <w:rPr>
          <w:sz w:val="24"/>
        </w:rPr>
        <w:t>4.2</w:t>
      </w:r>
      <w:r>
        <w:rPr>
          <w:sz w:val="24"/>
        </w:rPr>
        <w:tab/>
        <w:t>Title and tenure</w:t>
      </w:r>
      <w:bookmarkEnd w:id="51"/>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52" w:name="_Toc52697204"/>
      <w:r>
        <w:rPr>
          <w:sz w:val="24"/>
        </w:rPr>
        <w:t>4.3</w:t>
      </w:r>
      <w:r>
        <w:rPr>
          <w:sz w:val="24"/>
        </w:rPr>
        <w:tab/>
        <w:t>Residential premises</w:t>
      </w:r>
      <w:bookmarkEnd w:id="52"/>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w:t>
      </w:r>
    </w:p>
    <w:p>
      <w:pPr>
        <w:pStyle w:val="yIndenta"/>
        <w:spacing w:before="40"/>
        <w:rPr>
          <w:sz w:val="24"/>
        </w:rPr>
      </w:pPr>
      <w:r>
        <w:rPr>
          <w:sz w:val="24"/>
        </w:rPr>
        <w:tab/>
        <w:t>(b)</w:t>
      </w:r>
      <w:r>
        <w:rPr>
          <w:sz w:val="24"/>
        </w:rPr>
        <w:tab/>
        <w:t>plans that show the location, floor plan and significant dimensions of the residential premises;</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w:t>
      </w:r>
    </w:p>
    <w:p>
      <w:pPr>
        <w:pStyle w:val="yIndenta"/>
        <w:spacing w:before="40"/>
        <w:rPr>
          <w:sz w:val="24"/>
        </w:rPr>
      </w:pPr>
      <w:r>
        <w:rPr>
          <w:sz w:val="24"/>
        </w:rPr>
        <w:tab/>
        <w:t>(b)</w:t>
      </w:r>
      <w:r>
        <w:rPr>
          <w:sz w:val="24"/>
        </w:rPr>
        <w:tab/>
        <w:t>include a description of the fixtures, fittings and furnishings that are, or are to be, provided in the residential premises;</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53" w:name="_Toc52697205"/>
      <w:r>
        <w:rPr>
          <w:sz w:val="24"/>
        </w:rPr>
        <w:t>4.4</w:t>
      </w:r>
      <w:r>
        <w:rPr>
          <w:sz w:val="24"/>
        </w:rPr>
        <w:tab/>
        <w:t>Amenities</w:t>
      </w:r>
      <w:bookmarkEnd w:id="53"/>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54" w:name="_Toc52697206"/>
      <w:r>
        <w:rPr>
          <w:sz w:val="24"/>
        </w:rPr>
        <w:t>4.5</w:t>
      </w:r>
      <w:r>
        <w:rPr>
          <w:sz w:val="24"/>
        </w:rPr>
        <w:tab/>
        <w:t>Services</w:t>
      </w:r>
      <w:bookmarkEnd w:id="54"/>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b/>
          <w:sz w:val="24"/>
        </w:rPr>
        <w:t>“</w:t>
      </w:r>
      <w:r>
        <w:rPr>
          <w:rStyle w:val="CharDefText"/>
          <w:sz w:val="24"/>
        </w:rPr>
        <w:t>personal services</w:t>
      </w:r>
      <w:r>
        <w:rPr>
          <w:b/>
          <w:sz w:val="24"/>
        </w:rPr>
        <w:t>”</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rPr>
          <w:sz w:val="24"/>
        </w:rPr>
      </w:pPr>
      <w:bookmarkStart w:id="55" w:name="_Toc52697207"/>
      <w:r>
        <w:rPr>
          <w:sz w:val="24"/>
        </w:rPr>
        <w:t>4.6</w:t>
      </w:r>
      <w:r>
        <w:rPr>
          <w:sz w:val="24"/>
        </w:rPr>
        <w:tab/>
        <w:t>Payment of premium and refund entitlement</w:t>
      </w:r>
      <w:bookmarkEnd w:id="55"/>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 example of a cost referred to in paragraph (b)(iii) above is the cost of any repair or refurbishment of the residential premises.</w:t>
      </w:r>
    </w:p>
    <w:p>
      <w:pPr>
        <w:pStyle w:val="yHeading5"/>
        <w:rPr>
          <w:sz w:val="24"/>
        </w:rPr>
      </w:pPr>
      <w:bookmarkStart w:id="56" w:name="_Toc52697208"/>
      <w:r>
        <w:rPr>
          <w:sz w:val="24"/>
        </w:rPr>
        <w:t>4.7</w:t>
      </w:r>
      <w:r>
        <w:rPr>
          <w:sz w:val="24"/>
        </w:rPr>
        <w:tab/>
        <w:t>Charges for village operating costs</w:t>
      </w:r>
      <w:bookmarkEnd w:id="56"/>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 xml:space="preserve">another person has not been admitted to occupation of the premises under the retirement village scheme; </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rPr>
          <w:sz w:val="24"/>
        </w:rPr>
      </w:pPr>
      <w:bookmarkStart w:id="57" w:name="_Toc52697209"/>
      <w:r>
        <w:rPr>
          <w:sz w:val="24"/>
        </w:rPr>
        <w:t>4.8</w:t>
      </w:r>
      <w:r>
        <w:rPr>
          <w:sz w:val="24"/>
        </w:rPr>
        <w:tab/>
        <w:t>Reserve funds</w:t>
      </w:r>
      <w:bookmarkEnd w:id="57"/>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58" w:name="_Toc52697210"/>
      <w:r>
        <w:rPr>
          <w:sz w:val="24"/>
        </w:rPr>
        <w:t>4.9</w:t>
      </w:r>
      <w:r>
        <w:rPr>
          <w:sz w:val="24"/>
        </w:rPr>
        <w:tab/>
        <w:t>Relocation</w:t>
      </w:r>
      <w:bookmarkEnd w:id="58"/>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rPr>
          <w:sz w:val="24"/>
        </w:rPr>
      </w:pPr>
      <w:bookmarkStart w:id="59" w:name="_Toc52697211"/>
      <w:r>
        <w:rPr>
          <w:sz w:val="24"/>
        </w:rPr>
        <w:t>4.10</w:t>
      </w:r>
      <w:r>
        <w:rPr>
          <w:sz w:val="24"/>
        </w:rPr>
        <w:tab/>
        <w:t>Termination of residence contract and fees payable on termination</w:t>
      </w:r>
      <w:bookmarkEnd w:id="59"/>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rPr>
          <w:sz w:val="24"/>
        </w:rPr>
      </w:pPr>
      <w:r>
        <w:rPr>
          <w:sz w:val="24"/>
        </w:rPr>
        <w:tab/>
        <w:t>(2)</w:t>
      </w:r>
      <w:r>
        <w:rPr>
          <w:sz w:val="24"/>
        </w:rPr>
        <w:tab/>
        <w:t xml:space="preserve">The residence contract must include — </w:t>
      </w:r>
    </w:p>
    <w:p>
      <w:pPr>
        <w:pStyle w:val="yIndenta"/>
        <w:rPr>
          <w:sz w:val="24"/>
        </w:rPr>
      </w:pPr>
      <w:r>
        <w:rPr>
          <w:sz w:val="24"/>
        </w:rPr>
        <w:tab/>
        <w:t>(a)</w:t>
      </w:r>
      <w:r>
        <w:rPr>
          <w:sz w:val="24"/>
        </w:rPr>
        <w:tab/>
        <w:t>a statement that the administering body cannot terminate the contract without the agreement of the resident or an order of the relevant Tribunal; and</w:t>
      </w:r>
    </w:p>
    <w:p>
      <w:pPr>
        <w:pStyle w:val="yIndenta"/>
        <w:rPr>
          <w:sz w:val="24"/>
        </w:rPr>
      </w:pPr>
      <w:r>
        <w:rPr>
          <w:sz w:val="24"/>
        </w:rPr>
        <w:tab/>
        <w:t>(b)</w:t>
      </w:r>
      <w:r>
        <w:rPr>
          <w:sz w:val="24"/>
        </w:rPr>
        <w:tab/>
        <w:t>a summary of the powers of the relevant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relevant Tribunal to terminate a residence contract, is set out in the boxed and shaded information in Division 7 of this Code.</w:t>
      </w:r>
    </w:p>
    <w:p>
      <w:pPr>
        <w:pStyle w:val="yHeading5"/>
        <w:rPr>
          <w:i/>
          <w:sz w:val="24"/>
        </w:rPr>
      </w:pPr>
      <w:bookmarkStart w:id="60" w:name="_Toc52697212"/>
      <w:r>
        <w:rPr>
          <w:sz w:val="24"/>
        </w:rPr>
        <w:t>4.11</w:t>
      </w:r>
      <w:r>
        <w:rPr>
          <w:sz w:val="24"/>
        </w:rPr>
        <w:tab/>
        <w:t xml:space="preserve">Residence contract to refer to this Code and the </w:t>
      </w:r>
      <w:r>
        <w:rPr>
          <w:i/>
          <w:sz w:val="24"/>
        </w:rPr>
        <w:t>Retirement Villages Act 1992</w:t>
      </w:r>
      <w:bookmarkEnd w:id="6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w:t>
      </w:r>
    </w:p>
    <w:p>
      <w:pPr>
        <w:pStyle w:val="yIndenti0"/>
        <w:rPr>
          <w:sz w:val="24"/>
        </w:rPr>
      </w:pPr>
      <w:r>
        <w:rPr>
          <w:sz w:val="24"/>
        </w:rPr>
        <w:tab/>
        <w:t>(ii)</w:t>
      </w:r>
      <w:r>
        <w:rPr>
          <w:sz w:val="24"/>
        </w:rPr>
        <w:tab/>
        <w:t>by referring any matter in dispute to the Department of Consumer and Employment Protection for investigation and attempted resolution;</w:t>
      </w:r>
    </w:p>
    <w:p>
      <w:pPr>
        <w:pStyle w:val="yIndenti0"/>
        <w:rPr>
          <w:sz w:val="24"/>
        </w:rPr>
      </w:pPr>
      <w:r>
        <w:rPr>
          <w:sz w:val="24"/>
        </w:rPr>
        <w:tab/>
        <w:t>(iii)</w:t>
      </w:r>
      <w:r>
        <w:rPr>
          <w:sz w:val="24"/>
        </w:rPr>
        <w:tab/>
        <w:t>by requesting the Department of Consumer and Employment Protection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in some cases, by making an application to the relevant Tribunal for a legally binding determination of any matter that remains unresolved.</w:t>
      </w:r>
    </w:p>
    <w:p>
      <w:pPr>
        <w:pStyle w:val="yHeading3"/>
      </w:pPr>
      <w:bookmarkStart w:id="61" w:name="_Toc52697213"/>
      <w:r>
        <w:rPr>
          <w:rStyle w:val="CharDivNo"/>
        </w:rPr>
        <w:t>Division 5</w:t>
      </w:r>
      <w:r>
        <w:t xml:space="preserve"> — </w:t>
      </w:r>
      <w:r>
        <w:rPr>
          <w:rStyle w:val="CharDivText"/>
        </w:rPr>
        <w:t>Village management</w:t>
      </w:r>
      <w:bookmarkEnd w:id="61"/>
    </w:p>
    <w:p>
      <w:pPr>
        <w:pStyle w:val="yHeading5"/>
        <w:rPr>
          <w:sz w:val="24"/>
        </w:rPr>
      </w:pPr>
      <w:bookmarkStart w:id="62" w:name="_Toc52697214"/>
      <w:r>
        <w:rPr>
          <w:sz w:val="24"/>
        </w:rPr>
        <w:t>5.1</w:t>
      </w:r>
      <w:r>
        <w:rPr>
          <w:sz w:val="24"/>
        </w:rPr>
        <w:tab/>
        <w:t>Interpretation</w:t>
      </w:r>
      <w:bookmarkEnd w:id="62"/>
    </w:p>
    <w:p>
      <w:pPr>
        <w:pStyle w:val="ySubsection"/>
        <w:rPr>
          <w:sz w:val="24"/>
        </w:rPr>
      </w:pPr>
      <w:r>
        <w:rPr>
          <w:sz w:val="24"/>
        </w:rPr>
        <w:tab/>
        <w:t>(1)</w:t>
      </w:r>
      <w:r>
        <w:rPr>
          <w:sz w:val="24"/>
        </w:rPr>
        <w:tab/>
        <w:t xml:space="preserve">In this Division — </w:t>
      </w:r>
    </w:p>
    <w:p>
      <w:pPr>
        <w:pStyle w:val="yDefstart"/>
        <w:rPr>
          <w:sz w:val="24"/>
        </w:rPr>
      </w:pPr>
      <w:r>
        <w:rPr>
          <w:sz w:val="24"/>
        </w:rPr>
        <w:tab/>
      </w:r>
      <w:r>
        <w:rPr>
          <w:b/>
          <w:sz w:val="24"/>
        </w:rPr>
        <w:t>“</w:t>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b/>
        </w:rPr>
        <w:t>“</w:t>
      </w:r>
      <w:r>
        <w:rPr>
          <w:rStyle w:val="CharDefText"/>
          <w:sz w:val="24"/>
        </w:rPr>
        <w:t>registered company auditor</w:t>
      </w:r>
      <w:r>
        <w:rPr>
          <w:b/>
        </w:rPr>
        <w:t>”</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b/>
        </w:rPr>
        <w:t>“</w:t>
      </w:r>
      <w:r>
        <w:rPr>
          <w:rStyle w:val="CharDefText"/>
          <w:sz w:val="24"/>
        </w:rPr>
        <w:t>special resolution</w:t>
      </w:r>
      <w:r>
        <w:rPr>
          <w:b/>
        </w:rPr>
        <w:t>”</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rPr>
          <w:sz w:val="24"/>
        </w:rPr>
      </w:pPr>
      <w:bookmarkStart w:id="63" w:name="_Toc52697215"/>
      <w:r>
        <w:rPr>
          <w:sz w:val="24"/>
        </w:rPr>
        <w:t>5.2</w:t>
      </w:r>
      <w:r>
        <w:rPr>
          <w:sz w:val="24"/>
        </w:rPr>
        <w:tab/>
        <w:t>Management procedures and resident consultation</w:t>
      </w:r>
      <w:bookmarkEnd w:id="63"/>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w:t>
      </w:r>
    </w:p>
    <w:p>
      <w:pPr>
        <w:pStyle w:val="yIndenta"/>
        <w:rPr>
          <w:sz w:val="24"/>
        </w:rPr>
      </w:pPr>
      <w:r>
        <w:rPr>
          <w:sz w:val="24"/>
        </w:rPr>
        <w:tab/>
        <w:t>(b)</w:t>
      </w:r>
      <w:r>
        <w:rPr>
          <w:sz w:val="24"/>
        </w:rPr>
        <w:tab/>
        <w:t>the operating budget for each financial year of the retirement village (see clause 5.3);</w:t>
      </w:r>
    </w:p>
    <w:p>
      <w:pPr>
        <w:pStyle w:val="yIndenta"/>
        <w:rPr>
          <w:sz w:val="24"/>
        </w:rPr>
      </w:pPr>
      <w:r>
        <w:rPr>
          <w:sz w:val="24"/>
        </w:rPr>
        <w:tab/>
        <w:t>(c)</w:t>
      </w:r>
      <w:r>
        <w:rPr>
          <w:sz w:val="24"/>
        </w:rPr>
        <w:tab/>
        <w:t>any plans for the expansion of, or for substantial alterations to, the retirement village;</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rPr>
          <w:sz w:val="24"/>
        </w:rPr>
      </w:pPr>
      <w:bookmarkStart w:id="64" w:name="_Toc52697216"/>
      <w:r>
        <w:rPr>
          <w:sz w:val="24"/>
        </w:rPr>
        <w:t>5.3</w:t>
      </w:r>
      <w:r>
        <w:rPr>
          <w:sz w:val="24"/>
        </w:rPr>
        <w:tab/>
        <w:t>Village operating budget</w:t>
      </w:r>
      <w:bookmarkEnd w:id="64"/>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b/>
          <w:sz w:val="24"/>
        </w:rPr>
        <w:t>“</w:t>
      </w:r>
      <w:r>
        <w:rPr>
          <w:rStyle w:val="CharDefText"/>
          <w:sz w:val="24"/>
        </w:rPr>
        <w:t>budget documents</w:t>
      </w:r>
      <w:r>
        <w:rPr>
          <w:b/>
          <w:sz w:val="24"/>
        </w:rPr>
        <w:t>”</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 and</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w:t>
      </w:r>
    </w:p>
    <w:p>
      <w:pPr>
        <w:pStyle w:val="yIndenta"/>
        <w:rPr>
          <w:sz w:val="24"/>
        </w:rPr>
      </w:pPr>
      <w:r>
        <w:rPr>
          <w:sz w:val="24"/>
        </w:rPr>
        <w:tab/>
        <w:t>(b)</w:t>
      </w:r>
      <w:r>
        <w:rPr>
          <w:sz w:val="24"/>
        </w:rPr>
        <w:tab/>
        <w:t>any other forms of income which are used to meet village operating costs;</w:t>
      </w:r>
    </w:p>
    <w:p>
      <w:pPr>
        <w:pStyle w:val="yIndenta"/>
        <w:rPr>
          <w:sz w:val="24"/>
        </w:rPr>
      </w:pPr>
      <w:r>
        <w:rPr>
          <w:sz w:val="24"/>
        </w:rPr>
        <w:tab/>
        <w:t>(c)</w:t>
      </w:r>
      <w:r>
        <w:rPr>
          <w:sz w:val="24"/>
        </w:rPr>
        <w:tab/>
        <w:t>all proposed categories of expenditure (without grouping together unlike categories);</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rPr>
          <w:sz w:val="24"/>
        </w:rPr>
      </w:pPr>
      <w:bookmarkStart w:id="65" w:name="_Toc52697217"/>
      <w:r>
        <w:rPr>
          <w:sz w:val="24"/>
        </w:rPr>
        <w:t>5.4</w:t>
      </w:r>
      <w:r>
        <w:rPr>
          <w:sz w:val="24"/>
        </w:rPr>
        <w:tab/>
        <w:t>Quarterly operating income and expenditure statements</w:t>
      </w:r>
      <w:bookmarkEnd w:id="65"/>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b/>
          <w:sz w:val="24"/>
        </w:rPr>
        <w:t>“</w:t>
      </w:r>
      <w:r>
        <w:rPr>
          <w:rStyle w:val="CharDefText"/>
          <w:sz w:val="24"/>
        </w:rPr>
        <w:t>operating statements</w:t>
      </w:r>
      <w:r>
        <w:rPr>
          <w:b/>
          <w:sz w:val="24"/>
        </w:rPr>
        <w:t>”</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rPr>
          <w:sz w:val="24"/>
        </w:rPr>
      </w:pPr>
      <w:bookmarkStart w:id="66" w:name="_Toc52697218"/>
      <w:r>
        <w:rPr>
          <w:sz w:val="24"/>
        </w:rPr>
        <w:t>5.5</w:t>
      </w:r>
      <w:r>
        <w:rPr>
          <w:sz w:val="24"/>
        </w:rPr>
        <w:tab/>
        <w:t>Annual accounts</w:t>
      </w:r>
      <w:bookmarkEnd w:id="66"/>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rPr>
          <w:sz w:val="24"/>
        </w:rPr>
      </w:pPr>
      <w:bookmarkStart w:id="67" w:name="_Toc52697219"/>
      <w:r>
        <w:rPr>
          <w:sz w:val="24"/>
        </w:rPr>
        <w:t>5.6</w:t>
      </w:r>
      <w:r>
        <w:rPr>
          <w:sz w:val="24"/>
        </w:rPr>
        <w:tab/>
        <w:t>Budget surplus</w:t>
      </w:r>
      <w:bookmarkEnd w:id="67"/>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rPr>
          <w:sz w:val="24"/>
        </w:rPr>
      </w:pPr>
      <w:bookmarkStart w:id="68" w:name="_Toc52697220"/>
      <w:r>
        <w:rPr>
          <w:sz w:val="24"/>
        </w:rPr>
        <w:t>5.7</w:t>
      </w:r>
      <w:r>
        <w:rPr>
          <w:sz w:val="24"/>
        </w:rPr>
        <w:tab/>
        <w:t>Marketing of residential premises</w:t>
      </w:r>
      <w:bookmarkEnd w:id="68"/>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rPr>
          <w:sz w:val="24"/>
        </w:rPr>
      </w:pPr>
      <w:bookmarkStart w:id="69" w:name="_Toc52697221"/>
      <w:r>
        <w:rPr>
          <w:sz w:val="24"/>
        </w:rPr>
        <w:t>5.8</w:t>
      </w:r>
      <w:r>
        <w:rPr>
          <w:sz w:val="24"/>
        </w:rPr>
        <w:tab/>
        <w:t>Repair and refurbishment of residential premises</w:t>
      </w:r>
      <w:bookmarkEnd w:id="69"/>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b/>
          <w:sz w:val="24"/>
        </w:rPr>
        <w:t>“</w:t>
      </w:r>
      <w:r>
        <w:rPr>
          <w:rStyle w:val="CharDefText"/>
          <w:sz w:val="24"/>
        </w:rPr>
        <w:t>work</w:t>
      </w:r>
      <w:r>
        <w:rPr>
          <w:b/>
          <w:sz w:val="24"/>
        </w:rPr>
        <w:t>”</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relevant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rPr>
          <w:sz w:val="24"/>
        </w:rPr>
      </w:pPr>
      <w:bookmarkStart w:id="70" w:name="_Toc52697222"/>
      <w:r>
        <w:rPr>
          <w:sz w:val="24"/>
        </w:rPr>
        <w:t>5.9</w:t>
      </w:r>
      <w:r>
        <w:rPr>
          <w:sz w:val="24"/>
        </w:rPr>
        <w:tab/>
        <w:t>Residence rules</w:t>
      </w:r>
      <w:bookmarkEnd w:id="70"/>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rPr>
          <w:sz w:val="24"/>
        </w:rPr>
      </w:pPr>
      <w:bookmarkStart w:id="71" w:name="_Toc52697223"/>
      <w:r>
        <w:rPr>
          <w:sz w:val="24"/>
        </w:rPr>
        <w:t>5.10</w:t>
      </w:r>
      <w:r>
        <w:rPr>
          <w:sz w:val="24"/>
        </w:rPr>
        <w:tab/>
        <w:t>Residents’ committee</w:t>
      </w:r>
      <w:bookmarkEnd w:id="71"/>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rPr>
          <w:sz w:val="24"/>
        </w:rPr>
      </w:pPr>
      <w:bookmarkStart w:id="72" w:name="_Toc52697224"/>
      <w:r>
        <w:rPr>
          <w:sz w:val="24"/>
        </w:rPr>
        <w:t>5.11</w:t>
      </w:r>
      <w:r>
        <w:rPr>
          <w:sz w:val="24"/>
        </w:rPr>
        <w:tab/>
        <w:t>Residents’ meetings</w:t>
      </w:r>
      <w:bookmarkEnd w:id="72"/>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w:t>
      </w:r>
    </w:p>
    <w:p>
      <w:pPr>
        <w:pStyle w:val="yIndenta"/>
        <w:rPr>
          <w:sz w:val="24"/>
        </w:rPr>
      </w:pPr>
      <w:r>
        <w:rPr>
          <w:sz w:val="24"/>
        </w:rPr>
        <w:tab/>
        <w:t>(c)</w:t>
      </w:r>
      <w:r>
        <w:rPr>
          <w:sz w:val="24"/>
        </w:rPr>
        <w:tab/>
        <w:t>may call a meeting of the residents at any time if it is reasonable to do so;</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rPr>
          <w:sz w:val="24"/>
        </w:rPr>
      </w:pPr>
      <w:bookmarkStart w:id="73" w:name="_Toc52697225"/>
      <w:r>
        <w:rPr>
          <w:sz w:val="24"/>
        </w:rPr>
        <w:t>5.12</w:t>
      </w:r>
      <w:r>
        <w:rPr>
          <w:sz w:val="24"/>
        </w:rPr>
        <w:tab/>
        <w:t>Proxy voting</w:t>
      </w:r>
      <w:bookmarkEnd w:id="73"/>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b/>
          <w:sz w:val="24"/>
        </w:rPr>
        <w:t>“</w:t>
      </w:r>
      <w:r>
        <w:rPr>
          <w:rStyle w:val="CharDefText"/>
          <w:sz w:val="24"/>
        </w:rPr>
        <w:t>proxy notice</w:t>
      </w:r>
      <w:r>
        <w:rPr>
          <w:b/>
          <w:sz w:val="24"/>
        </w:rPr>
        <w:t>”</w:t>
      </w:r>
      <w:r>
        <w:rPr>
          <w:sz w:val="24"/>
        </w:rPr>
        <w:t xml:space="preserve">) appoint a person (the </w:t>
      </w:r>
      <w:r>
        <w:rPr>
          <w:b/>
          <w:sz w:val="24"/>
        </w:rPr>
        <w:t>“</w:t>
      </w:r>
      <w:r>
        <w:rPr>
          <w:rStyle w:val="CharDefText"/>
          <w:sz w:val="24"/>
        </w:rPr>
        <w:t>proxy</w:t>
      </w:r>
      <w:r>
        <w:rPr>
          <w:b/>
          <w:sz w:val="24"/>
        </w:rPr>
        <w:t>”</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74" w:name="_Toc52697226"/>
      <w:r>
        <w:rPr>
          <w:rStyle w:val="CharDivNo"/>
        </w:rPr>
        <w:t>Division 6</w:t>
      </w:r>
      <w:r>
        <w:rPr>
          <w:rStyle w:val="CharPartNo"/>
        </w:rPr>
        <w:t xml:space="preserve"> — </w:t>
      </w:r>
      <w:r>
        <w:rPr>
          <w:rStyle w:val="CharDivText"/>
        </w:rPr>
        <w:t xml:space="preserve">Dispute </w:t>
      </w:r>
      <w:r>
        <w:t>resolution</w:t>
      </w:r>
      <w:bookmarkEnd w:id="74"/>
    </w:p>
    <w:p>
      <w:pPr>
        <w:pStyle w:val="yHeading5"/>
        <w:rPr>
          <w:sz w:val="24"/>
        </w:rPr>
      </w:pPr>
      <w:bookmarkStart w:id="75" w:name="_Toc52697227"/>
      <w:r>
        <w:rPr>
          <w:sz w:val="24"/>
        </w:rPr>
        <w:t>6.1</w:t>
      </w:r>
      <w:r>
        <w:rPr>
          <w:sz w:val="24"/>
        </w:rPr>
        <w:tab/>
        <w:t>Interpretation</w:t>
      </w:r>
      <w:bookmarkEnd w:id="75"/>
    </w:p>
    <w:p>
      <w:pPr>
        <w:pStyle w:val="ySubsection"/>
        <w:rPr>
          <w:sz w:val="24"/>
        </w:rPr>
      </w:pPr>
      <w:r>
        <w:rPr>
          <w:sz w:val="24"/>
        </w:rPr>
        <w:tab/>
      </w:r>
      <w:r>
        <w:rPr>
          <w:sz w:val="24"/>
        </w:rPr>
        <w:tab/>
        <w:t xml:space="preserve">In this Division — </w:t>
      </w:r>
    </w:p>
    <w:p>
      <w:pPr>
        <w:pStyle w:val="yDefstart"/>
        <w:rPr>
          <w:sz w:val="24"/>
        </w:rPr>
      </w:pPr>
      <w:r>
        <w:rPr>
          <w:b/>
          <w:sz w:val="24"/>
        </w:rPr>
        <w:tab/>
        <w:t>“</w:t>
      </w:r>
      <w:r>
        <w:rPr>
          <w:rStyle w:val="CharDefText"/>
          <w:sz w:val="24"/>
        </w:rPr>
        <w:t>approved form</w:t>
      </w:r>
      <w:r>
        <w:rPr>
          <w:b/>
          <w:sz w:val="24"/>
        </w:rPr>
        <w:t>”</w:t>
      </w:r>
      <w:r>
        <w:rPr>
          <w:sz w:val="24"/>
        </w:rPr>
        <w:t xml:space="preserve"> means a form approved for that purpose by the Commissioner;</w:t>
      </w:r>
    </w:p>
    <w:p>
      <w:pPr>
        <w:pStyle w:val="yDefstart"/>
        <w:rPr>
          <w:sz w:val="24"/>
        </w:rPr>
      </w:pPr>
      <w:r>
        <w:rPr>
          <w:b/>
          <w:sz w:val="24"/>
        </w:rPr>
        <w:tab/>
        <w:t>“</w:t>
      </w:r>
      <w:r>
        <w:rPr>
          <w:rStyle w:val="CharDefText"/>
          <w:sz w:val="24"/>
        </w:rPr>
        <w:t>Commissioner</w:t>
      </w:r>
      <w:r>
        <w:rPr>
          <w:b/>
          <w:sz w:val="24"/>
        </w:rPr>
        <w:t>”</w:t>
      </w:r>
      <w:r>
        <w:rPr>
          <w:sz w:val="24"/>
        </w:rPr>
        <w:t xml:space="preserve"> means Commissioner as defined in section 4 of the </w:t>
      </w:r>
      <w:r>
        <w:rPr>
          <w:i/>
          <w:sz w:val="24"/>
        </w:rPr>
        <w:t>Consumer Affairs Act 1971</w:t>
      </w:r>
      <w:r>
        <w:rPr>
          <w:sz w:val="24"/>
        </w:rPr>
        <w:t>;</w:t>
      </w:r>
    </w:p>
    <w:p>
      <w:pPr>
        <w:pStyle w:val="yDefstart"/>
        <w:rPr>
          <w:sz w:val="24"/>
        </w:rPr>
      </w:pPr>
      <w:r>
        <w:rPr>
          <w:b/>
          <w:sz w:val="24"/>
        </w:rPr>
        <w:tab/>
        <w:t>“</w:t>
      </w:r>
      <w:r>
        <w:rPr>
          <w:rStyle w:val="CharDefText"/>
          <w:sz w:val="24"/>
        </w:rPr>
        <w:t>special resolution</w:t>
      </w:r>
      <w:r>
        <w:rPr>
          <w:b/>
          <w:sz w:val="24"/>
        </w:rPr>
        <w:t>”</w:t>
      </w:r>
      <w:r>
        <w:rPr>
          <w:sz w:val="24"/>
        </w:rPr>
        <w:t xml:space="preserve"> has the same meaning as it has in Division 5 of this Code.</w:t>
      </w:r>
    </w:p>
    <w:p>
      <w:pPr>
        <w:pStyle w:val="yHeading5"/>
        <w:spacing w:before="160"/>
        <w:rPr>
          <w:sz w:val="24"/>
        </w:rPr>
      </w:pPr>
      <w:bookmarkStart w:id="76" w:name="_Toc52697228"/>
      <w:r>
        <w:rPr>
          <w:sz w:val="24"/>
        </w:rPr>
        <w:t>6.2</w:t>
      </w:r>
      <w:r>
        <w:rPr>
          <w:sz w:val="24"/>
        </w:rPr>
        <w:tab/>
        <w:t>Village dispute process</w:t>
      </w:r>
      <w:bookmarkEnd w:id="76"/>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w:t>
      </w:r>
    </w:p>
    <w:p>
      <w:pPr>
        <w:pStyle w:val="yIndenta"/>
        <w:rPr>
          <w:sz w:val="24"/>
        </w:rPr>
      </w:pPr>
      <w:r>
        <w:rPr>
          <w:sz w:val="24"/>
        </w:rPr>
        <w:tab/>
        <w:t>(c)</w:t>
      </w:r>
      <w:r>
        <w:rPr>
          <w:sz w:val="24"/>
        </w:rPr>
        <w:tab/>
        <w:t xml:space="preserve">the party making the complaint (the </w:t>
      </w:r>
      <w:r>
        <w:rPr>
          <w:b/>
          <w:sz w:val="24"/>
        </w:rPr>
        <w:t>“</w:t>
      </w:r>
      <w:r>
        <w:rPr>
          <w:rStyle w:val="CharDefText"/>
          <w:sz w:val="24"/>
        </w:rPr>
        <w:t>first party</w:t>
      </w:r>
      <w:r>
        <w:rPr>
          <w:b/>
          <w:sz w:val="24"/>
        </w:rPr>
        <w:t>”</w:t>
      </w:r>
      <w:r>
        <w:rPr>
          <w:sz w:val="24"/>
        </w:rPr>
        <w:t xml:space="preserve">) must give written notice to the party against whom the complaint is made (the </w:t>
      </w:r>
      <w:r>
        <w:rPr>
          <w:b/>
          <w:sz w:val="24"/>
        </w:rPr>
        <w:t>“</w:t>
      </w:r>
      <w:r>
        <w:rPr>
          <w:rStyle w:val="CharDefText"/>
          <w:sz w:val="24"/>
        </w:rPr>
        <w:t>second party</w:t>
      </w:r>
      <w:r>
        <w:rPr>
          <w:b/>
          <w:sz w:val="24"/>
        </w:rPr>
        <w:t>”</w:t>
      </w:r>
      <w:r>
        <w:rPr>
          <w:sz w:val="24"/>
        </w:rPr>
        <w:t>), stating the matters complained of and calling on the second party to rectify or otherwise attempt to settle these matters;</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relevant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rPr>
          <w:sz w:val="24"/>
        </w:rPr>
      </w:pPr>
      <w:bookmarkStart w:id="77" w:name="_Toc52697229"/>
      <w:r>
        <w:rPr>
          <w:sz w:val="24"/>
        </w:rPr>
        <w:t>6.3</w:t>
      </w:r>
      <w:r>
        <w:rPr>
          <w:sz w:val="24"/>
        </w:rPr>
        <w:tab/>
        <w:t>Mediation of dispute</w:t>
      </w:r>
      <w:bookmarkEnd w:id="77"/>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a relevant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Department of Consumer and Employment Protection under section 8(1)(d) of the </w:t>
      </w:r>
      <w:r>
        <w:rPr>
          <w:i/>
          <w:sz w:val="24"/>
        </w:rPr>
        <w:t>Retirement Villages Act 1992</w:t>
      </w:r>
      <w:r>
        <w:rPr>
          <w:sz w:val="24"/>
        </w:rPr>
        <w:t>;</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b/>
          <w:sz w:val="24"/>
        </w:rPr>
        <w:t>“</w:t>
      </w:r>
      <w:r>
        <w:rPr>
          <w:rStyle w:val="CharDefText"/>
          <w:sz w:val="24"/>
        </w:rPr>
        <w:t>withdrawal notice</w:t>
      </w:r>
      <w:r>
        <w:rPr>
          <w:b/>
          <w:sz w:val="24"/>
        </w:rPr>
        <w:t>”</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Department of Consumer and Employment Protection (</w:t>
      </w:r>
      <w:r>
        <w:rPr>
          <w:b/>
        </w:rPr>
        <w:t>“</w:t>
      </w:r>
      <w:r>
        <w:rPr>
          <w:rStyle w:val="CharDefText"/>
        </w:rPr>
        <w:t>Consumer Protection</w:t>
      </w:r>
      <w:r>
        <w:rPr>
          <w:b/>
        </w:rPr>
        <w:t>”</w:t>
      </w:r>
      <w:r>
        <w:t>). Consumer Protection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relevant Tribunal for a hearing if the dispute is one in which the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relevant Tribunal’s powers can be found in the </w:t>
      </w:r>
      <w:r>
        <w:rPr>
          <w:i/>
        </w:rPr>
        <w:t>Retirement Villages Act 1992</w:t>
      </w:r>
      <w:r>
        <w:t>, and any associated Act referred to in that Act.</w:t>
      </w:r>
    </w:p>
    <w:p>
      <w:pPr>
        <w:pStyle w:val="yHeading3"/>
        <w:rPr>
          <w:rStyle w:val="CharDivText"/>
        </w:rPr>
      </w:pPr>
      <w:bookmarkStart w:id="78" w:name="_Toc52697230"/>
      <w:r>
        <w:t>Division 7</w:t>
      </w:r>
      <w:r>
        <w:rPr>
          <w:b w:val="0"/>
        </w:rPr>
        <w:t> — </w:t>
      </w:r>
      <w:r>
        <w:rPr>
          <w:rStyle w:val="CharDivText"/>
        </w:rPr>
        <w:t>Termination of residence contracts</w:t>
      </w:r>
      <w:bookmarkEnd w:id="78"/>
    </w:p>
    <w:p>
      <w:pPr>
        <w:pStyle w:val="yHeading5"/>
        <w:rPr>
          <w:sz w:val="24"/>
        </w:rPr>
      </w:pPr>
      <w:bookmarkStart w:id="79" w:name="_Toc52697231"/>
      <w:r>
        <w:rPr>
          <w:sz w:val="24"/>
        </w:rPr>
        <w:t>7.1</w:t>
      </w:r>
      <w:r>
        <w:rPr>
          <w:sz w:val="24"/>
        </w:rPr>
        <w:tab/>
        <w:t>Notice of intention to terminate</w:t>
      </w:r>
      <w:bookmarkEnd w:id="79"/>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relevant Tribunal for an order to terminate a residence contract under section 58 or 59 of the </w:t>
      </w:r>
      <w:r>
        <w:rPr>
          <w:i/>
          <w:sz w:val="24"/>
        </w:rPr>
        <w:t>Retirement Villages Act 1992</w:t>
      </w:r>
      <w:r>
        <w:rPr>
          <w:sz w:val="24"/>
        </w:rPr>
        <w:t xml:space="preserve"> (the </w:t>
      </w:r>
      <w:r>
        <w:rPr>
          <w:b/>
          <w:sz w:val="24"/>
        </w:rPr>
        <w:t>“</w:t>
      </w:r>
      <w:r>
        <w:rPr>
          <w:rStyle w:val="CharDefText"/>
          <w:sz w:val="24"/>
        </w:rPr>
        <w:t>Act</w:t>
      </w:r>
      <w:r>
        <w:rPr>
          <w:b/>
          <w:sz w:val="24"/>
        </w:rPr>
        <w:t>”</w:t>
      </w:r>
      <w:r>
        <w:rPr>
          <w:sz w:val="24"/>
        </w:rPr>
        <w:t>).</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t>(c)</w:t>
      </w:r>
      <w:r>
        <w:rPr>
          <w:sz w:val="24"/>
        </w:rPr>
        <w:tab/>
        <w:t>clearly state that the residence contract cannot be terminated without an order by the relevant Tribunal; and</w:t>
      </w:r>
    </w:p>
    <w:p>
      <w:pPr>
        <w:pStyle w:val="yIndenta"/>
        <w:rPr>
          <w:sz w:val="24"/>
        </w:rPr>
      </w:pPr>
      <w:r>
        <w:rPr>
          <w:sz w:val="24"/>
        </w:rPr>
        <w:tab/>
        <w:t>(d)</w:t>
      </w:r>
      <w:r>
        <w:rPr>
          <w:sz w:val="24"/>
        </w:rPr>
        <w:tab/>
        <w:t>advise the resident of his or her right to occupy the residential premises until the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relevant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relevant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relevant Tribunal to terminate a residence contract on the grounds that — </w:t>
      </w:r>
    </w:p>
    <w:p>
      <w:pPr>
        <w:pStyle w:val="zMiscellaneousBody"/>
        <w:numPr>
          <w:ilvl w:val="0"/>
          <w:numId w:val="3"/>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120"/>
        <w:ind w:left="1305"/>
      </w:pPr>
      <w:r>
        <w:t>the resident’s physical or mental health is such as to make the residential premises unsuitable for occupation by the resident (section 58 of the Act);</w:t>
      </w:r>
    </w:p>
    <w:p>
      <w:pPr>
        <w:pStyle w:val="zMiscellaneousBody"/>
        <w:numPr>
          <w:ilvl w:val="0"/>
          <w:numId w:val="3"/>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120"/>
        <w:ind w:left="1305"/>
      </w:pPr>
      <w:r>
        <w:t>the resident has breached the residence contract or the residence rules and has failed to rectify that breach (section 59 of the Act);</w:t>
      </w:r>
    </w:p>
    <w:p>
      <w:pPr>
        <w:pStyle w:val="zMiscellaneousBody"/>
        <w:numPr>
          <w:ilvl w:val="0"/>
          <w:numId w:val="3"/>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120"/>
        <w:ind w:left="1305"/>
      </w:pP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numPr>
          <w:ilvl w:val="0"/>
          <w:numId w:val="3"/>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120"/>
        <w:ind w:left="1305"/>
      </w:pP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relevant Tribunal for an order in respect of a dispute with the administering body as to whether the resident should be transferred to another kind of accommodation in the village. The Tribunal may make an order that — </w:t>
      </w:r>
    </w:p>
    <w:p>
      <w:pPr>
        <w:pStyle w:val="zMiscellaneousBody"/>
        <w:keepNext/>
        <w:keepLines/>
        <w:numPr>
          <w:ilvl w:val="0"/>
          <w:numId w:val="4"/>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80"/>
        <w:ind w:left="1305"/>
        <w:rPr>
          <w:spacing w:val="-4"/>
        </w:rPr>
      </w:pPr>
      <w:r>
        <w:rPr>
          <w:spacing w:val="-4"/>
        </w:rPr>
        <w:t>restrains the administering body from transferring the resident to another kind of accommodation in the village;</w:t>
      </w:r>
    </w:p>
    <w:p>
      <w:pPr>
        <w:pStyle w:val="zMiscellaneousBody"/>
        <w:keepNext/>
        <w:keepLines/>
        <w:numPr>
          <w:ilvl w:val="0"/>
          <w:numId w:val="4"/>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80"/>
        <w:ind w:left="1305"/>
      </w:pPr>
      <w:r>
        <w:t>requires the resident to transfer, or the administering body to transfer the resident, to another kind of accommodation in the village; or</w:t>
      </w:r>
    </w:p>
    <w:p>
      <w:pPr>
        <w:pStyle w:val="zMiscellaneousBody"/>
        <w:keepNext/>
        <w:keepLines/>
        <w:numPr>
          <w:ilvl w:val="0"/>
          <w:numId w:val="4"/>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305"/>
        </w:tabs>
        <w:spacing w:before="80"/>
        <w:ind w:left="1305"/>
        <w:rPr>
          <w:b/>
        </w:rPr>
      </w:pP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sections 58 and 59 of the </w:t>
      </w:r>
      <w:r>
        <w:rPr>
          <w:i/>
        </w:rPr>
        <w:t>Retirement Villages Act 1992</w:t>
      </w:r>
      <w:r>
        <w:t>, the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relevant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numPr>
          <w:ilvl w:val="0"/>
          <w:numId w:val="11"/>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360"/>
          <w:tab w:val="num" w:pos="1211"/>
        </w:tabs>
        <w:spacing w:before="80"/>
        <w:ind w:left="1208" w:hanging="357"/>
      </w:pPr>
      <w:r>
        <w:t>within 7 days of the succeeding resident taking occupation of the residential premises; or</w:t>
      </w:r>
    </w:p>
    <w:p>
      <w:pPr>
        <w:pStyle w:val="zMiscellaneousBody"/>
        <w:numPr>
          <w:ilvl w:val="0"/>
          <w:numId w:val="11"/>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360"/>
          <w:tab w:val="num" w:pos="1211"/>
        </w:tabs>
        <w:spacing w:before="80"/>
        <w:ind w:left="1208" w:hanging="357"/>
      </w:pP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relevant Tribunal has terminated a residence contract, the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relevant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pPr>
      <w:bookmarkStart w:id="80" w:name="_Toc52697232"/>
      <w:r>
        <w:t>Division 8</w:t>
      </w:r>
      <w:r>
        <w:rPr>
          <w:b w:val="0"/>
        </w:rPr>
        <w:t> — </w:t>
      </w:r>
      <w:r>
        <w:rPr>
          <w:rStyle w:val="CharDivText"/>
        </w:rPr>
        <w:t>Miscellaneous</w:t>
      </w:r>
      <w:bookmarkEnd w:id="80"/>
    </w:p>
    <w:p>
      <w:pPr>
        <w:pStyle w:val="yHeading5"/>
        <w:rPr>
          <w:sz w:val="24"/>
        </w:rPr>
      </w:pPr>
      <w:bookmarkStart w:id="81" w:name="_Toc52697233"/>
      <w:r>
        <w:rPr>
          <w:sz w:val="24"/>
        </w:rPr>
        <w:t>8.1</w:t>
      </w:r>
      <w:r>
        <w:rPr>
          <w:sz w:val="24"/>
        </w:rPr>
        <w:tab/>
        <w:t>Service of documents</w:t>
      </w:r>
      <w:bookmarkEnd w:id="81"/>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pageBreakBefore/>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t>“</w:t>
      </w:r>
      <w:r>
        <w:rPr>
          <w:rStyle w:val="CharDefText"/>
          <w:sz w:val="24"/>
        </w:rPr>
        <w:t>personal representative</w:t>
      </w:r>
      <w:r>
        <w:rPr>
          <w:b/>
          <w:sz w:val="24"/>
        </w:rPr>
        <w:t>”</w:t>
      </w:r>
      <w:r>
        <w:rPr>
          <w:sz w:val="24"/>
        </w:rPr>
        <w:t xml:space="preserve"> has the same meaning as it has in Division 5 of this Code.</w:t>
      </w:r>
    </w:p>
    <w:p>
      <w:pPr>
        <w:pStyle w:val="yHeading2"/>
        <w:pageBreakBefore/>
      </w:pPr>
      <w:bookmarkStart w:id="82" w:name="_Toc52697234"/>
      <w:r>
        <w:rPr>
          <w:rStyle w:val="CharPartText"/>
        </w:rPr>
        <w:t xml:space="preserve">Appendix 1 — </w:t>
      </w:r>
      <w:r>
        <w:t>Checklist for prospective resident</w:t>
      </w:r>
      <w:bookmarkEnd w:id="82"/>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2003</w:t>
      </w:r>
      <w:r>
        <w:t xml:space="preserve"> and the </w:t>
      </w:r>
      <w:r>
        <w:rPr>
          <w:i/>
        </w:rPr>
        <w:t>Retirement Villages Act 1992</w:t>
      </w:r>
      <w:r>
        <w:t>?</w:t>
      </w:r>
    </w:p>
    <w:p>
      <w:pPr>
        <w:pStyle w:val="yHeading2"/>
        <w:pageBreakBefore/>
        <w:rPr>
          <w:rStyle w:val="CharPartText"/>
        </w:rPr>
      </w:pPr>
      <w:bookmarkStart w:id="83" w:name="_Toc52697235"/>
      <w:r>
        <w:rPr>
          <w:rStyle w:val="CharPartText"/>
        </w:rPr>
        <w:t>Appendix 2 — Model proposed operating budget form</w:t>
      </w:r>
      <w:bookmarkEnd w:id="83"/>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18"/>
        <w:gridCol w:w="142"/>
        <w:gridCol w:w="1275"/>
        <w:gridCol w:w="142"/>
        <w:gridCol w:w="127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
            </w:pPr>
          </w:p>
        </w:tc>
        <w:tc>
          <w:tcPr>
            <w:tcW w:w="1418" w:type="dxa"/>
            <w:tcBorders>
              <w:top w:val="single" w:sz="12" w:space="0" w:color="auto"/>
              <w:left w:val="single" w:sz="4" w:space="0" w:color="auto"/>
              <w:bottom w:val="single" w:sz="12" w:space="0" w:color="auto"/>
              <w:right w:val="single" w:sz="4" w:space="0" w:color="auto"/>
            </w:tcBorders>
          </w:tcPr>
          <w:p>
            <w:pPr>
              <w:pStyle w:val="yTable"/>
              <w:jc w:val="center"/>
              <w:rPr>
                <w:b/>
              </w:rPr>
            </w:pPr>
            <w:r>
              <w:rPr>
                <w:b/>
              </w:rPr>
              <w:t>BUDGET</w:t>
            </w:r>
          </w:p>
          <w:p>
            <w:pPr>
              <w:pStyle w:val="yTable"/>
              <w:jc w:val="center"/>
              <w:rPr>
                <w:b/>
              </w:rPr>
            </w:pPr>
            <w:r>
              <w:rPr>
                <w:b/>
              </w:rPr>
              <w:br/>
              <w:t xml:space="preserve">................. </w:t>
            </w:r>
          </w:p>
          <w:p>
            <w:pPr>
              <w:pStyle w:val="yTable"/>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ACTUAL</w:t>
            </w:r>
          </w:p>
          <w:p>
            <w:pPr>
              <w:pStyle w:val="yTable"/>
              <w:jc w:val="center"/>
              <w:rPr>
                <w:b/>
              </w:rPr>
            </w:pPr>
            <w:r>
              <w:rPr>
                <w:b/>
              </w:rPr>
              <w:br/>
              <w:t>.................</w:t>
            </w:r>
          </w:p>
          <w:p>
            <w:pPr>
              <w:pStyle w:val="yTable"/>
              <w:jc w:val="center"/>
              <w:rPr>
                <w:b/>
              </w:rPr>
            </w:pPr>
            <w:r>
              <w:rPr>
                <w:b/>
                <w:i/>
                <w:sz w:val="20"/>
              </w:rPr>
              <w:t>(insert current year)</w:t>
            </w:r>
          </w:p>
        </w:tc>
        <w:tc>
          <w:tcPr>
            <w:tcW w:w="1418" w:type="dxa"/>
            <w:gridSpan w:val="2"/>
            <w:tcBorders>
              <w:top w:val="single" w:sz="12" w:space="0" w:color="auto"/>
              <w:left w:val="single" w:sz="4" w:space="0" w:color="auto"/>
              <w:bottom w:val="single" w:sz="12" w:space="0" w:color="auto"/>
              <w:right w:val="single" w:sz="4" w:space="0" w:color="auto"/>
            </w:tcBorders>
          </w:tcPr>
          <w:p>
            <w:pPr>
              <w:pStyle w:val="yTable"/>
              <w:jc w:val="center"/>
              <w:rPr>
                <w:b/>
              </w:rPr>
            </w:pPr>
            <w:r>
              <w:rPr>
                <w:b/>
              </w:rPr>
              <w:t>PROPOSED BUDGET</w:t>
            </w:r>
          </w:p>
          <w:p>
            <w:pPr>
              <w:pStyle w:val="yTable"/>
              <w:jc w:val="center"/>
              <w:rPr>
                <w:b/>
              </w:rPr>
            </w:pPr>
            <w:r>
              <w:rPr>
                <w:b/>
              </w:rPr>
              <w:t>..................</w:t>
            </w:r>
          </w:p>
          <w:p>
            <w:pPr>
              <w:pStyle w:val="yTable"/>
              <w:jc w:val="center"/>
              <w:rPr>
                <w:b/>
                <w:i/>
                <w:sz w:val="20"/>
              </w:rPr>
            </w:pPr>
            <w:r>
              <w:rPr>
                <w:b/>
                <w:i/>
                <w:sz w:val="20"/>
              </w:rPr>
              <w:t>(insert next year)</w:t>
            </w:r>
          </w:p>
        </w:tc>
      </w:tr>
      <w:tr>
        <w:trPr>
          <w:cantSplit/>
        </w:trPr>
        <w:tc>
          <w:tcPr>
            <w:tcW w:w="7088" w:type="dxa"/>
            <w:gridSpan w:val="6"/>
            <w:tcBorders>
              <w:top w:val="nil"/>
            </w:tcBorders>
          </w:tcPr>
          <w:p>
            <w:pPr>
              <w:pStyle w:val="yTable"/>
              <w:rPr>
                <w:b/>
              </w:rPr>
            </w:pPr>
            <w:r>
              <w:rPr>
                <w:b/>
              </w:rPr>
              <w:t>INCOME</w:t>
            </w:r>
          </w:p>
        </w:tc>
      </w:tr>
      <w:tr>
        <w:tc>
          <w:tcPr>
            <w:tcW w:w="2835" w:type="dxa"/>
          </w:tcPr>
          <w:p>
            <w:pPr>
              <w:pStyle w:val="yTable"/>
              <w:ind w:left="318" w:hanging="318"/>
            </w:pPr>
            <w:r>
              <w:t>Residents’ fees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pPr>
            <w:r>
              <w:t>Donations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Other (insert as appropriate)</w:t>
            </w:r>
          </w:p>
        </w:tc>
        <w:tc>
          <w:tcPr>
            <w:tcW w:w="1418" w:type="dxa"/>
            <w:tcBorders>
              <w:bottom w:val="nil"/>
            </w:tcBorders>
          </w:tcPr>
          <w:p>
            <w:pPr>
              <w:pStyle w:val="yTable"/>
            </w:pPr>
          </w:p>
        </w:tc>
        <w:tc>
          <w:tcPr>
            <w:tcW w:w="1417" w:type="dxa"/>
            <w:gridSpan w:val="2"/>
            <w:tcBorders>
              <w:bottom w:val="nil"/>
            </w:tcBorders>
          </w:tcPr>
          <w:p>
            <w:pPr>
              <w:pStyle w:val="yTable"/>
            </w:pPr>
          </w:p>
        </w:tc>
        <w:tc>
          <w:tcPr>
            <w:tcW w:w="1418" w:type="dxa"/>
            <w:gridSpan w:val="2"/>
            <w:tcBorders>
              <w:bottom w:val="nil"/>
            </w:tcBorders>
          </w:tcPr>
          <w:p>
            <w:pPr>
              <w:pStyle w:val="yTable"/>
            </w:pPr>
          </w:p>
        </w:tc>
      </w:tr>
      <w:tr>
        <w:tc>
          <w:tcPr>
            <w:tcW w:w="2835" w:type="dxa"/>
            <w:tcBorders>
              <w:right w:val="nil"/>
            </w:tcBorders>
          </w:tcPr>
          <w:p>
            <w:pPr>
              <w:pStyle w:val="yTable"/>
              <w:rPr>
                <w:b/>
              </w:rPr>
            </w:pPr>
            <w:r>
              <w:rPr>
                <w:b/>
              </w:rPr>
              <w:t>TOTAL INCOME</w:t>
            </w:r>
          </w:p>
        </w:tc>
        <w:tc>
          <w:tcPr>
            <w:tcW w:w="1418" w:type="dxa"/>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nil"/>
              <w:bottom w:val="single" w:sz="12" w:space="0" w:color="auto"/>
              <w:right w:val="single" w:sz="12" w:space="0" w:color="auto"/>
            </w:tcBorders>
          </w:tcPr>
          <w:p>
            <w:pPr>
              <w:pStyle w:val="yTable"/>
            </w:pPr>
          </w:p>
        </w:tc>
        <w:tc>
          <w:tcPr>
            <w:tcW w:w="1418" w:type="dxa"/>
            <w:gridSpan w:val="2"/>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rPr>
          <w:cantSplit/>
        </w:trPr>
        <w:tc>
          <w:tcPr>
            <w:tcW w:w="7088" w:type="dxa"/>
            <w:gridSpan w:val="6"/>
          </w:tcPr>
          <w:p>
            <w:pPr>
              <w:pStyle w:val="yTable"/>
              <w:rPr>
                <w:b/>
              </w:rPr>
            </w:pPr>
            <w:r>
              <w:rPr>
                <w:b/>
              </w:rPr>
              <w:t>EXPENDITURE</w:t>
            </w:r>
          </w:p>
        </w:tc>
      </w:tr>
      <w:tr>
        <w:trPr>
          <w:cantSplit/>
        </w:trPr>
        <w:tc>
          <w:tcPr>
            <w:tcW w:w="7088" w:type="dxa"/>
            <w:gridSpan w:val="6"/>
          </w:tcPr>
          <w:p>
            <w:pPr>
              <w:pStyle w:val="yTable"/>
              <w:rPr>
                <w:b/>
              </w:rPr>
            </w:pPr>
            <w:r>
              <w:rPr>
                <w:b/>
              </w:rPr>
              <w:t>Amenities:</w:t>
            </w:r>
          </w:p>
        </w:tc>
      </w:tr>
      <w:tr>
        <w:tc>
          <w:tcPr>
            <w:tcW w:w="2835" w:type="dxa"/>
          </w:tcPr>
          <w:p>
            <w:pPr>
              <w:pStyle w:val="yTable"/>
              <w:ind w:left="318" w:hanging="318"/>
            </w:pPr>
            <w:r>
              <w:tab/>
              <w:t>Council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Insurance</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Pest control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Rubbish removal</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Village security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Utilities:</w:t>
            </w:r>
          </w:p>
        </w:tc>
      </w:tr>
      <w:tr>
        <w:tc>
          <w:tcPr>
            <w:tcW w:w="2835" w:type="dxa"/>
          </w:tcPr>
          <w:p>
            <w:pPr>
              <w:pStyle w:val="yTable"/>
              <w:ind w:left="318" w:hanging="318"/>
            </w:pPr>
            <w:r>
              <w:tab/>
              <w:t>Water rates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Electricity</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c>
          <w:tcPr>
            <w:tcW w:w="2835" w:type="dxa"/>
          </w:tcPr>
          <w:p>
            <w:pPr>
              <w:pStyle w:val="yTable"/>
              <w:ind w:left="318" w:hanging="318"/>
            </w:pPr>
            <w:r>
              <w:tab/>
              <w:t>Gas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Repairs &amp; Maintenance:</w:t>
            </w:r>
          </w:p>
        </w:tc>
      </w:tr>
      <w:tr>
        <w:tc>
          <w:tcPr>
            <w:tcW w:w="2835" w:type="dxa"/>
          </w:tcPr>
          <w:p>
            <w:pPr>
              <w:pStyle w:val="yTable"/>
              <w:ind w:left="318" w:hanging="318"/>
            </w:pPr>
            <w:r>
              <w:tab/>
              <w:t>Staff costs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Materials</w:t>
            </w:r>
          </w:p>
        </w:tc>
        <w:tc>
          <w:tcPr>
            <w:tcW w:w="1418" w:type="dxa"/>
          </w:tcPr>
          <w:p>
            <w:pPr>
              <w:pStyle w:val="yTable"/>
              <w:keepNext/>
              <w:keepLines/>
            </w:pPr>
          </w:p>
        </w:tc>
        <w:tc>
          <w:tcPr>
            <w:tcW w:w="1417" w:type="dxa"/>
            <w:gridSpan w:val="2"/>
          </w:tcPr>
          <w:p>
            <w:pPr>
              <w:pStyle w:val="yTable"/>
              <w:keepNext/>
              <w:keepLines/>
            </w:pPr>
          </w:p>
        </w:tc>
        <w:tc>
          <w:tcPr>
            <w:tcW w:w="1418" w:type="dxa"/>
            <w:gridSpan w:val="2"/>
          </w:tcPr>
          <w:p>
            <w:pPr>
              <w:pStyle w:val="yTable"/>
              <w:keepNext/>
              <w:keepLines/>
            </w:pPr>
          </w:p>
        </w:tc>
      </w:tr>
      <w:tr>
        <w:tc>
          <w:tcPr>
            <w:tcW w:w="2835" w:type="dxa"/>
          </w:tcPr>
          <w:p>
            <w:pPr>
              <w:pStyle w:val="yTable"/>
              <w:ind w:left="318" w:hanging="318"/>
            </w:pPr>
            <w:r>
              <w:tab/>
              <w:t>Contractors</w:t>
            </w:r>
          </w:p>
        </w:tc>
        <w:tc>
          <w:tcPr>
            <w:tcW w:w="1418" w:type="dxa"/>
          </w:tcPr>
          <w:p>
            <w:pPr>
              <w:pStyle w:val="yTable"/>
            </w:pPr>
          </w:p>
        </w:tc>
        <w:tc>
          <w:tcPr>
            <w:tcW w:w="1417" w:type="dxa"/>
            <w:gridSpan w:val="2"/>
          </w:tcPr>
          <w:p>
            <w:pPr>
              <w:pStyle w:val="yTable"/>
            </w:pPr>
          </w:p>
        </w:tc>
        <w:tc>
          <w:tcPr>
            <w:tcW w:w="1418" w:type="dxa"/>
            <w:gridSpan w:val="2"/>
          </w:tcPr>
          <w:p>
            <w:pPr>
              <w:pStyle w:val="yTable"/>
            </w:pPr>
          </w:p>
        </w:tc>
      </w:tr>
      <w:tr>
        <w:trPr>
          <w:cantSplit/>
        </w:trPr>
        <w:tc>
          <w:tcPr>
            <w:tcW w:w="7088" w:type="dxa"/>
            <w:gridSpan w:val="6"/>
          </w:tcPr>
          <w:p>
            <w:pPr>
              <w:pStyle w:val="yTable"/>
              <w:rPr>
                <w:b/>
              </w:rPr>
            </w:pPr>
            <w:r>
              <w:rPr>
                <w:b/>
              </w:rPr>
              <w:t>Grounds Maintenance:</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rPr>
          <w:cantSplit/>
        </w:trPr>
        <w:tc>
          <w:tcPr>
            <w:tcW w:w="7088" w:type="dxa"/>
            <w:gridSpan w:val="6"/>
          </w:tcPr>
          <w:p>
            <w:pPr>
              <w:pStyle w:val="yTable"/>
              <w:rPr>
                <w:b/>
              </w:rPr>
            </w:pPr>
            <w:r>
              <w:rPr>
                <w:b/>
              </w:rPr>
              <w:t>Vehicles:</w:t>
            </w:r>
          </w:p>
        </w:tc>
      </w:tr>
      <w:tr>
        <w:tc>
          <w:tcPr>
            <w:tcW w:w="2835" w:type="dxa"/>
          </w:tcPr>
          <w:p>
            <w:pPr>
              <w:pStyle w:val="yTable"/>
              <w:ind w:left="318" w:hanging="318"/>
            </w:pPr>
            <w:r>
              <w:tab/>
              <w:t>Registration</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gridSpan w:val="2"/>
          </w:tcPr>
          <w:p>
            <w:pPr>
              <w:pStyle w:val="yTable"/>
            </w:pPr>
          </w:p>
        </w:tc>
        <w:tc>
          <w:tcPr>
            <w:tcW w:w="1417" w:type="dxa"/>
            <w:gridSpan w:val="2"/>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gridSpan w:val="2"/>
            <w:tcBorders>
              <w:bottom w:val="nil"/>
            </w:tcBorders>
          </w:tcPr>
          <w:p>
            <w:pPr>
              <w:pStyle w:val="yTable"/>
            </w:pPr>
          </w:p>
        </w:tc>
        <w:tc>
          <w:tcPr>
            <w:tcW w:w="1417" w:type="dxa"/>
            <w:gridSpan w:val="2"/>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6"/>
          </w:tcPr>
          <w:p>
            <w:pPr>
              <w:pStyle w:val="yTable"/>
            </w:pPr>
          </w:p>
        </w:tc>
      </w:tr>
      <w:tr>
        <w:tc>
          <w:tcPr>
            <w:tcW w:w="2835" w:type="dxa"/>
            <w:tcBorders>
              <w:right w:val="nil"/>
            </w:tcBorders>
          </w:tcPr>
          <w:p>
            <w:pPr>
              <w:pStyle w:val="yTable"/>
              <w:rPr>
                <w:b/>
              </w:rPr>
            </w:pPr>
            <w:r>
              <w:rPr>
                <w:b/>
              </w:rPr>
              <w:t>PROPOSED SURPLUS/DEFICIT</w:t>
            </w:r>
          </w:p>
        </w:tc>
        <w:tc>
          <w:tcPr>
            <w:tcW w:w="1560"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417" w:type="dxa"/>
            <w:gridSpan w:val="2"/>
            <w:tcBorders>
              <w:top w:val="single" w:sz="12" w:space="0" w:color="auto"/>
              <w:left w:val="single" w:sz="12" w:space="0" w:color="auto"/>
              <w:bottom w:val="single" w:sz="12" w:space="0" w:color="auto"/>
              <w:right w:val="single" w:sz="12" w:space="0" w:color="auto"/>
            </w:tcBorders>
          </w:tcPr>
          <w:p>
            <w:pPr>
              <w:pStyle w:val="yTable"/>
              <w:keepNext/>
              <w:keepLines/>
            </w:pPr>
          </w:p>
        </w:tc>
        <w:tc>
          <w:tcPr>
            <w:tcW w:w="1276" w:type="dxa"/>
            <w:tcBorders>
              <w:top w:val="single" w:sz="12" w:space="0" w:color="auto"/>
              <w:left w:val="single" w:sz="12" w:space="0" w:color="auto"/>
              <w:bottom w:val="single" w:sz="12" w:space="0" w:color="auto"/>
              <w:right w:val="single" w:sz="12" w:space="0" w:color="auto"/>
            </w:tcBorders>
          </w:tcPr>
          <w:p>
            <w:pPr>
              <w:pStyle w:val="yTable"/>
              <w:keepNext/>
              <w:keepLines/>
            </w:pPr>
          </w:p>
        </w:tc>
      </w:tr>
    </w:tbl>
    <w:p>
      <w:pPr>
        <w:pStyle w:val="yMiscellaneousBody"/>
        <w:pageBreakBefore/>
      </w:pPr>
      <w:r>
        <w:rPr>
          <w:b/>
        </w:rPr>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rPr>
          <w:rStyle w:val="CharPartText"/>
          <w:b w:val="0"/>
        </w:rPr>
      </w:pPr>
      <w:bookmarkStart w:id="84" w:name="_Toc52697236"/>
      <w:r>
        <w:t>Appendix 3 — Model quarterly income and expenditure statement</w:t>
      </w:r>
      <w:bookmarkEnd w:id="84"/>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
            </w:pPr>
          </w:p>
        </w:tc>
        <w:tc>
          <w:tcPr>
            <w:tcW w:w="1560" w:type="dxa"/>
            <w:tcBorders>
              <w:top w:val="single" w:sz="12" w:space="0" w:color="auto"/>
              <w:bottom w:val="single" w:sz="12" w:space="0" w:color="auto"/>
            </w:tcBorders>
          </w:tcPr>
          <w:p>
            <w:pPr>
              <w:pStyle w:val="yTable"/>
              <w:jc w:val="center"/>
              <w:rPr>
                <w:b/>
                <w:i/>
                <w:sz w:val="20"/>
              </w:rPr>
            </w:pPr>
            <w:r>
              <w:rPr>
                <w:b/>
              </w:rPr>
              <w:t>QUARTER</w:t>
            </w:r>
          </w:p>
        </w:tc>
        <w:tc>
          <w:tcPr>
            <w:tcW w:w="1417" w:type="dxa"/>
            <w:tcBorders>
              <w:top w:val="single" w:sz="12" w:space="0" w:color="auto"/>
              <w:bottom w:val="single" w:sz="12" w:space="0" w:color="auto"/>
            </w:tcBorders>
          </w:tcPr>
          <w:p>
            <w:pPr>
              <w:pStyle w:val="yTable"/>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
              <w:jc w:val="center"/>
              <w:rPr>
                <w:b/>
                <w:i/>
                <w:sz w:val="20"/>
              </w:rPr>
            </w:pPr>
            <w:r>
              <w:rPr>
                <w:b/>
              </w:rPr>
              <w:t>ANNUAL BUDGET</w:t>
            </w:r>
          </w:p>
        </w:tc>
      </w:tr>
      <w:tr>
        <w:trPr>
          <w:cantSplit/>
        </w:trPr>
        <w:tc>
          <w:tcPr>
            <w:tcW w:w="7088" w:type="dxa"/>
            <w:gridSpan w:val="4"/>
            <w:tcBorders>
              <w:top w:val="nil"/>
            </w:tcBorders>
          </w:tcPr>
          <w:p>
            <w:pPr>
              <w:pStyle w:val="yTable"/>
              <w:rPr>
                <w:b/>
              </w:rPr>
            </w:pPr>
            <w:r>
              <w:rPr>
                <w:b/>
              </w:rPr>
              <w:t>INCOME</w:t>
            </w:r>
          </w:p>
        </w:tc>
      </w:tr>
      <w:tr>
        <w:tc>
          <w:tcPr>
            <w:tcW w:w="2835" w:type="dxa"/>
          </w:tcPr>
          <w:p>
            <w:pPr>
              <w:pStyle w:val="yTable"/>
              <w:ind w:left="318" w:hanging="318"/>
            </w:pPr>
            <w:r>
              <w:t>Residents’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Donations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Other (insert as appropriate)</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
            </w:pPr>
          </w:p>
        </w:tc>
        <w:tc>
          <w:tcPr>
            <w:tcW w:w="1417" w:type="dxa"/>
            <w:tcBorders>
              <w:top w:val="single" w:sz="12" w:space="0" w:color="auto"/>
              <w:left w:val="single" w:sz="8" w:space="0" w:color="auto"/>
              <w:bottom w:val="single" w:sz="12" w:space="0" w:color="auto"/>
              <w:right w:val="single" w:sz="8" w:space="0" w:color="auto"/>
            </w:tcBorders>
          </w:tcPr>
          <w:p>
            <w:pPr>
              <w:pStyle w:val="yTable"/>
            </w:pPr>
          </w:p>
        </w:tc>
        <w:tc>
          <w:tcPr>
            <w:tcW w:w="1276" w:type="dxa"/>
            <w:tcBorders>
              <w:top w:val="single" w:sz="12" w:space="0" w:color="auto"/>
              <w:left w:val="single" w:sz="8" w:space="0" w:color="auto"/>
              <w:bottom w:val="single" w:sz="12" w:space="0" w:color="auto"/>
              <w:right w:val="single" w:sz="8" w:space="0" w:color="auto"/>
            </w:tcBorders>
          </w:tcPr>
          <w:p>
            <w:pPr>
              <w:pStyle w:val="yTable"/>
            </w:pPr>
          </w:p>
        </w:tc>
      </w:tr>
      <w:tr>
        <w:trPr>
          <w:cantSplit/>
        </w:trPr>
        <w:tc>
          <w:tcPr>
            <w:tcW w:w="7088" w:type="dxa"/>
            <w:gridSpan w:val="4"/>
          </w:tcPr>
          <w:p>
            <w:pPr>
              <w:pStyle w:val="yTable"/>
            </w:pPr>
          </w:p>
        </w:tc>
      </w:tr>
      <w:tr>
        <w:trPr>
          <w:cantSplit/>
        </w:trPr>
        <w:tc>
          <w:tcPr>
            <w:tcW w:w="7088" w:type="dxa"/>
            <w:gridSpan w:val="4"/>
          </w:tcPr>
          <w:p>
            <w:pPr>
              <w:pStyle w:val="yTable"/>
              <w:rPr>
                <w:b/>
              </w:rPr>
            </w:pPr>
            <w:r>
              <w:rPr>
                <w:b/>
              </w:rPr>
              <w:t>EXPENDITURE</w:t>
            </w:r>
          </w:p>
        </w:tc>
      </w:tr>
      <w:tr>
        <w:trPr>
          <w:cantSplit/>
        </w:trPr>
        <w:tc>
          <w:tcPr>
            <w:tcW w:w="7088" w:type="dxa"/>
            <w:gridSpan w:val="4"/>
          </w:tcPr>
          <w:p>
            <w:pPr>
              <w:pStyle w:val="yTable"/>
              <w:rPr>
                <w:b/>
              </w:rPr>
            </w:pPr>
            <w:r>
              <w:rPr>
                <w:b/>
              </w:rPr>
              <w:t>Amenities:</w:t>
            </w:r>
          </w:p>
        </w:tc>
      </w:tr>
      <w:tr>
        <w:tc>
          <w:tcPr>
            <w:tcW w:w="2835" w:type="dxa"/>
          </w:tcPr>
          <w:p>
            <w:pPr>
              <w:pStyle w:val="yTable"/>
              <w:ind w:left="318" w:hanging="318"/>
            </w:pPr>
            <w:r>
              <w:tab/>
              <w:t>Council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Pest control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Rubbish removal</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Village security</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Utilities:</w:t>
            </w:r>
          </w:p>
        </w:tc>
      </w:tr>
      <w:tr>
        <w:tc>
          <w:tcPr>
            <w:tcW w:w="2835" w:type="dxa"/>
          </w:tcPr>
          <w:p>
            <w:pPr>
              <w:pStyle w:val="yTable"/>
              <w:ind w:left="318" w:hanging="318"/>
            </w:pPr>
            <w:r>
              <w:tab/>
              <w:t>Water rates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Electricity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Gas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Repairs &amp; Maintenance:</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Grounds Maintenance:</w:t>
            </w:r>
          </w:p>
        </w:tc>
      </w:tr>
      <w:tr>
        <w:tc>
          <w:tcPr>
            <w:tcW w:w="2835" w:type="dxa"/>
          </w:tcPr>
          <w:p>
            <w:pPr>
              <w:pStyle w:val="yTable"/>
              <w:ind w:left="318" w:hanging="318"/>
            </w:pPr>
            <w:r>
              <w:tab/>
              <w:t>Staff costs</w:t>
            </w:r>
          </w:p>
        </w:tc>
        <w:tc>
          <w:tcPr>
            <w:tcW w:w="1560" w:type="dxa"/>
          </w:tcPr>
          <w:p>
            <w:pPr>
              <w:pStyle w:val="yTable"/>
              <w:keepNext/>
              <w:keepLines/>
            </w:pPr>
          </w:p>
        </w:tc>
        <w:tc>
          <w:tcPr>
            <w:tcW w:w="1417" w:type="dxa"/>
          </w:tcPr>
          <w:p>
            <w:pPr>
              <w:pStyle w:val="yTable"/>
              <w:keepNext/>
              <w:keepLines/>
            </w:pPr>
          </w:p>
        </w:tc>
        <w:tc>
          <w:tcPr>
            <w:tcW w:w="1276" w:type="dxa"/>
          </w:tcPr>
          <w:p>
            <w:pPr>
              <w:pStyle w:val="yTable"/>
              <w:keepNext/>
              <w:keepLines/>
            </w:pPr>
          </w:p>
        </w:tc>
      </w:tr>
      <w:tr>
        <w:tc>
          <w:tcPr>
            <w:tcW w:w="2835" w:type="dxa"/>
          </w:tcPr>
          <w:p>
            <w:pPr>
              <w:pStyle w:val="yTable"/>
              <w:ind w:left="318" w:hanging="318"/>
            </w:pPr>
            <w:r>
              <w:tab/>
              <w:t>Materials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Contractors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Management &amp; Administration:</w:t>
            </w:r>
          </w:p>
        </w:tc>
      </w:tr>
      <w:tr>
        <w:tc>
          <w:tcPr>
            <w:tcW w:w="2835" w:type="dxa"/>
          </w:tcPr>
          <w:p>
            <w:pPr>
              <w:pStyle w:val="yTable"/>
              <w:ind w:left="318" w:hanging="318"/>
            </w:pPr>
            <w:r>
              <w:tab/>
              <w:t>Staff costs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Management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Bank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Accounting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Audit fees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Advertising</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Printing &amp; stationery</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Telephone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Miscellaneous</w:t>
            </w:r>
          </w:p>
        </w:tc>
        <w:tc>
          <w:tcPr>
            <w:tcW w:w="1560" w:type="dxa"/>
          </w:tcPr>
          <w:p>
            <w:pPr>
              <w:pStyle w:val="yTable"/>
            </w:pPr>
          </w:p>
        </w:tc>
        <w:tc>
          <w:tcPr>
            <w:tcW w:w="1417" w:type="dxa"/>
          </w:tcPr>
          <w:p>
            <w:pPr>
              <w:pStyle w:val="yTable"/>
            </w:pPr>
          </w:p>
        </w:tc>
        <w:tc>
          <w:tcPr>
            <w:tcW w:w="1276" w:type="dxa"/>
          </w:tcPr>
          <w:p>
            <w:pPr>
              <w:pStyle w:val="yTable"/>
            </w:pPr>
          </w:p>
        </w:tc>
      </w:tr>
      <w:tr>
        <w:trPr>
          <w:cantSplit/>
        </w:trPr>
        <w:tc>
          <w:tcPr>
            <w:tcW w:w="7088" w:type="dxa"/>
            <w:gridSpan w:val="4"/>
          </w:tcPr>
          <w:p>
            <w:pPr>
              <w:pStyle w:val="yTable"/>
              <w:rPr>
                <w:b/>
              </w:rPr>
            </w:pPr>
            <w:r>
              <w:rPr>
                <w:b/>
              </w:rPr>
              <w:t>Vehicles:</w:t>
            </w:r>
          </w:p>
        </w:tc>
      </w:tr>
      <w:tr>
        <w:tc>
          <w:tcPr>
            <w:tcW w:w="2835" w:type="dxa"/>
          </w:tcPr>
          <w:p>
            <w:pPr>
              <w:pStyle w:val="yTable"/>
              <w:ind w:left="318" w:hanging="318"/>
            </w:pPr>
            <w:r>
              <w:tab/>
              <w:t>Registration</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Insurance</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Repairs</w:t>
            </w:r>
          </w:p>
        </w:tc>
        <w:tc>
          <w:tcPr>
            <w:tcW w:w="1560" w:type="dxa"/>
          </w:tcPr>
          <w:p>
            <w:pPr>
              <w:pStyle w:val="yTable"/>
            </w:pPr>
          </w:p>
        </w:tc>
        <w:tc>
          <w:tcPr>
            <w:tcW w:w="1417" w:type="dxa"/>
          </w:tcPr>
          <w:p>
            <w:pPr>
              <w:pStyle w:val="yTable"/>
            </w:pPr>
          </w:p>
        </w:tc>
        <w:tc>
          <w:tcPr>
            <w:tcW w:w="1276" w:type="dxa"/>
          </w:tcPr>
          <w:p>
            <w:pPr>
              <w:pStyle w:val="yTable"/>
            </w:pPr>
          </w:p>
        </w:tc>
      </w:tr>
      <w:tr>
        <w:tc>
          <w:tcPr>
            <w:tcW w:w="2835" w:type="dxa"/>
          </w:tcPr>
          <w:p>
            <w:pPr>
              <w:pStyle w:val="yTable"/>
              <w:ind w:left="318" w:hanging="318"/>
            </w:pPr>
            <w:r>
              <w:tab/>
              <w:t>Fuel</w:t>
            </w:r>
          </w:p>
        </w:tc>
        <w:tc>
          <w:tcPr>
            <w:tcW w:w="1560" w:type="dxa"/>
            <w:tcBorders>
              <w:bottom w:val="nil"/>
            </w:tcBorders>
          </w:tcPr>
          <w:p>
            <w:pPr>
              <w:pStyle w:val="yTable"/>
            </w:pPr>
          </w:p>
        </w:tc>
        <w:tc>
          <w:tcPr>
            <w:tcW w:w="1417" w:type="dxa"/>
            <w:tcBorders>
              <w:bottom w:val="nil"/>
            </w:tcBorders>
          </w:tcPr>
          <w:p>
            <w:pPr>
              <w:pStyle w:val="yTable"/>
            </w:pPr>
          </w:p>
        </w:tc>
        <w:tc>
          <w:tcPr>
            <w:tcW w:w="1276" w:type="dxa"/>
            <w:tcBorders>
              <w:bottom w:val="nil"/>
            </w:tcBorders>
          </w:tcPr>
          <w:p>
            <w:pPr>
              <w:pStyle w:val="yTable"/>
            </w:pPr>
          </w:p>
        </w:tc>
      </w:tr>
      <w:tr>
        <w:tc>
          <w:tcPr>
            <w:tcW w:w="2835" w:type="dxa"/>
            <w:tcBorders>
              <w:right w:val="nil"/>
            </w:tcBorders>
          </w:tcPr>
          <w:p>
            <w:pPr>
              <w:pStyle w:val="yTable"/>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r>
        <w:trPr>
          <w:cantSplit/>
        </w:trPr>
        <w:tc>
          <w:tcPr>
            <w:tcW w:w="7088" w:type="dxa"/>
            <w:gridSpan w:val="4"/>
          </w:tcPr>
          <w:p>
            <w:pPr>
              <w:pStyle w:val="yTable"/>
            </w:pPr>
          </w:p>
        </w:tc>
      </w:tr>
      <w:tr>
        <w:tc>
          <w:tcPr>
            <w:tcW w:w="2835" w:type="dxa"/>
            <w:tcBorders>
              <w:right w:val="nil"/>
            </w:tcBorders>
          </w:tcPr>
          <w:p>
            <w:pPr>
              <w:pStyle w:val="yTable"/>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
            </w:pPr>
          </w:p>
        </w:tc>
        <w:tc>
          <w:tcPr>
            <w:tcW w:w="1417" w:type="dxa"/>
            <w:tcBorders>
              <w:top w:val="single" w:sz="12" w:space="0" w:color="auto"/>
              <w:left w:val="single" w:sz="12" w:space="0" w:color="auto"/>
              <w:bottom w:val="single" w:sz="12" w:space="0" w:color="auto"/>
              <w:right w:val="single" w:sz="12" w:space="0" w:color="auto"/>
            </w:tcBorders>
          </w:tcPr>
          <w:p>
            <w:pPr>
              <w:pStyle w:val="yTable"/>
            </w:pPr>
          </w:p>
        </w:tc>
        <w:tc>
          <w:tcPr>
            <w:tcW w:w="1276" w:type="dxa"/>
            <w:tcBorders>
              <w:top w:val="single" w:sz="12" w:space="0" w:color="auto"/>
              <w:left w:val="single" w:sz="12" w:space="0" w:color="auto"/>
              <w:bottom w:val="single" w:sz="12" w:space="0" w:color="auto"/>
              <w:right w:val="single" w:sz="12" w:space="0" w:color="auto"/>
            </w:tcBorders>
          </w:tcPr>
          <w:p>
            <w:pPr>
              <w:pStyle w:val="yTable"/>
            </w:pPr>
          </w:p>
        </w:tc>
      </w:tr>
    </w:tbl>
    <w:p>
      <w:pPr>
        <w:pStyle w:val="yHeading2"/>
        <w:keepLines/>
        <w:rPr>
          <w:rStyle w:val="CharPartText"/>
        </w:rPr>
      </w:pPr>
      <w:bookmarkStart w:id="85" w:name="_Toc52697237"/>
      <w:r>
        <w:rPr>
          <w:rStyle w:val="CharPartText"/>
        </w:rPr>
        <w:t>Appendix 4 — Model reserve fund quarterly income and expenditure statement</w:t>
      </w:r>
      <w:bookmarkEnd w:id="85"/>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
            </w:pPr>
          </w:p>
        </w:tc>
        <w:tc>
          <w:tcPr>
            <w:tcW w:w="1559" w:type="dxa"/>
          </w:tcPr>
          <w:p>
            <w:pPr>
              <w:pStyle w:val="yTable"/>
              <w:rPr>
                <w:b/>
              </w:rPr>
            </w:pPr>
            <w:r>
              <w:rPr>
                <w:b/>
              </w:rPr>
              <w:t>BALANCE</w:t>
            </w:r>
          </w:p>
        </w:tc>
      </w:tr>
      <w:tr>
        <w:tc>
          <w:tcPr>
            <w:tcW w:w="5245" w:type="dxa"/>
          </w:tcPr>
          <w:p>
            <w:pPr>
              <w:pStyle w:val="yTable"/>
            </w:pPr>
          </w:p>
        </w:tc>
        <w:tc>
          <w:tcPr>
            <w:tcW w:w="1559" w:type="dxa"/>
            <w:tcBorders>
              <w:bottom w:val="nil"/>
            </w:tcBorders>
          </w:tcPr>
          <w:p>
            <w:pPr>
              <w:pStyle w:val="yTable"/>
            </w:pPr>
          </w:p>
        </w:tc>
      </w:tr>
      <w:tr>
        <w:tc>
          <w:tcPr>
            <w:tcW w:w="5245" w:type="dxa"/>
          </w:tcPr>
          <w:p>
            <w:pPr>
              <w:pStyle w:val="yTable"/>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pPr>
            <w:r>
              <w:rPr>
                <w:b/>
              </w:rPr>
              <w:t>INCOME</w:t>
            </w:r>
          </w:p>
        </w:tc>
      </w:tr>
      <w:tr>
        <w:tc>
          <w:tcPr>
            <w:tcW w:w="5245" w:type="dxa"/>
          </w:tcPr>
          <w:p>
            <w:pPr>
              <w:pStyle w:val="yTable"/>
              <w:ind w:left="318" w:hanging="318"/>
            </w:pPr>
            <w:r>
              <w:t>Residents’ contributions</w:t>
            </w:r>
          </w:p>
        </w:tc>
        <w:tc>
          <w:tcPr>
            <w:tcW w:w="1559" w:type="dxa"/>
          </w:tcPr>
          <w:p>
            <w:pPr>
              <w:pStyle w:val="yTable"/>
            </w:pPr>
          </w:p>
        </w:tc>
      </w:tr>
      <w:tr>
        <w:tc>
          <w:tcPr>
            <w:tcW w:w="5245" w:type="dxa"/>
          </w:tcPr>
          <w:p>
            <w:pPr>
              <w:pStyle w:val="yTable"/>
            </w:pPr>
            <w:r>
              <w:t>Interest</w:t>
            </w:r>
          </w:p>
        </w:tc>
        <w:tc>
          <w:tcPr>
            <w:tcW w:w="1559" w:type="dxa"/>
          </w:tcPr>
          <w:p>
            <w:pPr>
              <w:pStyle w:val="yTable"/>
            </w:pPr>
          </w:p>
        </w:tc>
      </w:tr>
      <w:tr>
        <w:tc>
          <w:tcPr>
            <w:tcW w:w="5245" w:type="dxa"/>
          </w:tcPr>
          <w:p>
            <w:pPr>
              <w:pStyle w:val="yTable"/>
              <w:ind w:left="318" w:hanging="318"/>
            </w:pPr>
            <w:r>
              <w:t xml:space="preserve">Other </w:t>
            </w:r>
            <w:r>
              <w:rPr>
                <w:i/>
              </w:rPr>
              <w:t>(insert as appropriate)</w:t>
            </w:r>
          </w:p>
        </w:tc>
        <w:tc>
          <w:tcPr>
            <w:tcW w:w="1559" w:type="dxa"/>
          </w:tcPr>
          <w:p>
            <w:pPr>
              <w:pStyle w:val="yTable"/>
            </w:pPr>
          </w:p>
        </w:tc>
      </w:tr>
      <w:tr>
        <w:tc>
          <w:tcPr>
            <w:tcW w:w="5245" w:type="dxa"/>
          </w:tcPr>
          <w:p>
            <w:pPr>
              <w:pStyle w:val="yTable"/>
            </w:pPr>
          </w:p>
        </w:tc>
        <w:tc>
          <w:tcPr>
            <w:tcW w:w="1559" w:type="dxa"/>
            <w:tcBorders>
              <w:bottom w:val="nil"/>
            </w:tcBorders>
          </w:tcPr>
          <w:p>
            <w:pPr>
              <w:pStyle w:val="yTable"/>
            </w:pPr>
          </w:p>
        </w:tc>
      </w:tr>
      <w:tr>
        <w:tc>
          <w:tcPr>
            <w:tcW w:w="5245" w:type="dxa"/>
            <w:tcBorders>
              <w:right w:val="nil"/>
            </w:tcBorders>
          </w:tcPr>
          <w:p>
            <w:pPr>
              <w:pStyle w:val="yTable"/>
              <w:rPr>
                <w:b/>
              </w:rPr>
            </w:pPr>
            <w:r>
              <w:rPr>
                <w:b/>
              </w:rPr>
              <w:t>TOTAL INCOME</w:t>
            </w:r>
          </w:p>
        </w:tc>
        <w:tc>
          <w:tcPr>
            <w:tcW w:w="1559" w:type="dxa"/>
            <w:tcBorders>
              <w:top w:val="single" w:sz="12" w:space="0" w:color="auto"/>
              <w:left w:val="single" w:sz="4" w:space="0" w:color="auto"/>
              <w:bottom w:val="single" w:sz="12" w:space="0" w:color="auto"/>
            </w:tcBorders>
          </w:tcPr>
          <w:p>
            <w:pPr>
              <w:pStyle w:val="yTable"/>
            </w:pPr>
          </w:p>
        </w:tc>
      </w:tr>
      <w:tr>
        <w:tc>
          <w:tcPr>
            <w:tcW w:w="5245" w:type="dxa"/>
          </w:tcPr>
          <w:p>
            <w:pPr>
              <w:pStyle w:val="yTable"/>
              <w:rPr>
                <w:b/>
              </w:rPr>
            </w:pPr>
            <w:r>
              <w:rPr>
                <w:b/>
              </w:rPr>
              <w:t>Sub Total</w:t>
            </w:r>
          </w:p>
        </w:tc>
        <w:tc>
          <w:tcPr>
            <w:tcW w:w="1559" w:type="dxa"/>
            <w:tcBorders>
              <w:top w:val="nil"/>
            </w:tcBorders>
          </w:tcPr>
          <w:p>
            <w:pPr>
              <w:pStyle w:val="yTable"/>
            </w:pPr>
          </w:p>
        </w:tc>
      </w:tr>
      <w:tr>
        <w:tc>
          <w:tcPr>
            <w:tcW w:w="5245" w:type="dxa"/>
          </w:tcPr>
          <w:p>
            <w:pPr>
              <w:pStyle w:val="yTable"/>
            </w:pPr>
          </w:p>
        </w:tc>
        <w:tc>
          <w:tcPr>
            <w:tcW w:w="1559" w:type="dxa"/>
          </w:tcPr>
          <w:p>
            <w:pPr>
              <w:pStyle w:val="yTable"/>
            </w:pPr>
          </w:p>
        </w:tc>
      </w:tr>
      <w:tr>
        <w:trPr>
          <w:cantSplit/>
        </w:trPr>
        <w:tc>
          <w:tcPr>
            <w:tcW w:w="6804" w:type="dxa"/>
            <w:gridSpan w:val="2"/>
          </w:tcPr>
          <w:p>
            <w:pPr>
              <w:pStyle w:val="yTable"/>
              <w:rPr>
                <w:b/>
              </w:rPr>
            </w:pPr>
            <w:r>
              <w:rPr>
                <w:b/>
              </w:rPr>
              <w:t>EXPENDITURE</w:t>
            </w:r>
          </w:p>
        </w:tc>
      </w:tr>
      <w:tr>
        <w:trPr>
          <w:cantSplit/>
        </w:trPr>
        <w:tc>
          <w:tcPr>
            <w:tcW w:w="6804" w:type="dxa"/>
            <w:gridSpan w:val="2"/>
          </w:tcPr>
          <w:p>
            <w:pPr>
              <w:pStyle w:val="yTable"/>
              <w:rPr>
                <w:b/>
              </w:rPr>
            </w:pPr>
            <w:r>
              <w:rPr>
                <w:b/>
              </w:rPr>
              <w:t>Units: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Amenities:</w:t>
            </w:r>
          </w:p>
        </w:tc>
      </w:tr>
      <w:tr>
        <w:tc>
          <w:tcPr>
            <w:tcW w:w="5245" w:type="dxa"/>
          </w:tcPr>
          <w:p>
            <w:pPr>
              <w:pStyle w:val="yTable"/>
              <w:ind w:left="318" w:hanging="318"/>
            </w:pPr>
            <w:r>
              <w:tab/>
              <w:t>Painting</w:t>
            </w:r>
          </w:p>
        </w:tc>
        <w:tc>
          <w:tcPr>
            <w:tcW w:w="1559" w:type="dxa"/>
          </w:tcPr>
          <w:p>
            <w:pPr>
              <w:pStyle w:val="yTable"/>
            </w:pPr>
          </w:p>
        </w:tc>
      </w:tr>
      <w:tr>
        <w:tc>
          <w:tcPr>
            <w:tcW w:w="5245" w:type="dxa"/>
          </w:tcPr>
          <w:p>
            <w:pPr>
              <w:pStyle w:val="yTable"/>
              <w:ind w:left="318" w:hanging="318"/>
            </w:pPr>
            <w:r>
              <w:tab/>
              <w:t>Plumbing</w:t>
            </w:r>
          </w:p>
        </w:tc>
        <w:tc>
          <w:tcPr>
            <w:tcW w:w="1559" w:type="dxa"/>
          </w:tcPr>
          <w:p>
            <w:pPr>
              <w:pStyle w:val="yTable"/>
            </w:pPr>
          </w:p>
        </w:tc>
      </w:tr>
      <w:tr>
        <w:tc>
          <w:tcPr>
            <w:tcW w:w="5245" w:type="dxa"/>
          </w:tcPr>
          <w:p>
            <w:pPr>
              <w:pStyle w:val="yTable"/>
              <w:ind w:left="318" w:hanging="318"/>
            </w:pPr>
            <w:r>
              <w:tab/>
              <w:t>Electrical</w:t>
            </w:r>
          </w:p>
        </w:tc>
        <w:tc>
          <w:tcPr>
            <w:tcW w:w="1559" w:type="dxa"/>
          </w:tcPr>
          <w:p>
            <w:pPr>
              <w:pStyle w:val="yTable"/>
            </w:pPr>
          </w:p>
        </w:tc>
      </w:tr>
      <w:tr>
        <w:tc>
          <w:tcPr>
            <w:tcW w:w="5245" w:type="dxa"/>
          </w:tcPr>
          <w:p>
            <w:pPr>
              <w:pStyle w:val="yTable"/>
              <w:ind w:left="318" w:hanging="318"/>
            </w:pPr>
            <w:r>
              <w:tab/>
              <w:t>Replacements</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rPr>
          <w:cantSplit/>
        </w:trPr>
        <w:tc>
          <w:tcPr>
            <w:tcW w:w="6804" w:type="dxa"/>
            <w:gridSpan w:val="2"/>
          </w:tcPr>
          <w:p>
            <w:pPr>
              <w:pStyle w:val="yTable"/>
              <w:rPr>
                <w:b/>
              </w:rPr>
            </w:pPr>
            <w:r>
              <w:rPr>
                <w:b/>
              </w:rPr>
              <w:t>Infrastructure:</w:t>
            </w:r>
          </w:p>
        </w:tc>
      </w:tr>
      <w:tr>
        <w:tc>
          <w:tcPr>
            <w:tcW w:w="5245" w:type="dxa"/>
          </w:tcPr>
          <w:p>
            <w:pPr>
              <w:pStyle w:val="yTable"/>
              <w:ind w:left="318" w:hanging="318"/>
            </w:pPr>
            <w:r>
              <w:tab/>
              <w:t>Power</w:t>
            </w:r>
          </w:p>
        </w:tc>
        <w:tc>
          <w:tcPr>
            <w:tcW w:w="1559" w:type="dxa"/>
          </w:tcPr>
          <w:p>
            <w:pPr>
              <w:pStyle w:val="yTable"/>
            </w:pPr>
          </w:p>
        </w:tc>
      </w:tr>
      <w:tr>
        <w:tc>
          <w:tcPr>
            <w:tcW w:w="5245" w:type="dxa"/>
          </w:tcPr>
          <w:p>
            <w:pPr>
              <w:pStyle w:val="yTable"/>
              <w:ind w:left="318" w:hanging="318"/>
            </w:pPr>
            <w:r>
              <w:tab/>
              <w:t>Sewer</w:t>
            </w:r>
          </w:p>
        </w:tc>
        <w:tc>
          <w:tcPr>
            <w:tcW w:w="1559" w:type="dxa"/>
          </w:tcPr>
          <w:p>
            <w:pPr>
              <w:pStyle w:val="yTable"/>
            </w:pPr>
          </w:p>
        </w:tc>
      </w:tr>
      <w:tr>
        <w:tc>
          <w:tcPr>
            <w:tcW w:w="5245" w:type="dxa"/>
          </w:tcPr>
          <w:p>
            <w:pPr>
              <w:pStyle w:val="yTable"/>
              <w:ind w:left="318" w:hanging="318"/>
            </w:pPr>
            <w:r>
              <w:tab/>
              <w:t>Roads</w:t>
            </w:r>
          </w:p>
        </w:tc>
        <w:tc>
          <w:tcPr>
            <w:tcW w:w="1559" w:type="dxa"/>
          </w:tcPr>
          <w:p>
            <w:pPr>
              <w:pStyle w:val="yTable"/>
            </w:pPr>
          </w:p>
        </w:tc>
      </w:tr>
      <w:tr>
        <w:tc>
          <w:tcPr>
            <w:tcW w:w="5245" w:type="dxa"/>
          </w:tcPr>
          <w:p>
            <w:pPr>
              <w:pStyle w:val="yTable"/>
              <w:ind w:left="318" w:hanging="318"/>
            </w:pPr>
            <w:r>
              <w:tab/>
              <w:t>Landscaping</w:t>
            </w:r>
          </w:p>
        </w:tc>
        <w:tc>
          <w:tcPr>
            <w:tcW w:w="1559" w:type="dxa"/>
          </w:tcPr>
          <w:p>
            <w:pPr>
              <w:pStyle w:val="yTable"/>
            </w:pPr>
          </w:p>
        </w:tc>
      </w:tr>
      <w:tr>
        <w:tc>
          <w:tcPr>
            <w:tcW w:w="5245" w:type="dxa"/>
          </w:tcPr>
          <w:p>
            <w:pPr>
              <w:pStyle w:val="yTable"/>
              <w:ind w:left="318" w:hanging="318"/>
            </w:pPr>
            <w:r>
              <w:tab/>
              <w:t>Other (specify)</w:t>
            </w:r>
          </w:p>
        </w:tc>
        <w:tc>
          <w:tcPr>
            <w:tcW w:w="1559" w:type="dxa"/>
          </w:tcPr>
          <w:p>
            <w:pPr>
              <w:pStyle w:val="yTable"/>
            </w:pPr>
          </w:p>
        </w:tc>
      </w:tr>
      <w:tr>
        <w:trPr>
          <w:cantSplit/>
        </w:trPr>
        <w:tc>
          <w:tcPr>
            <w:tcW w:w="6804" w:type="dxa"/>
            <w:gridSpan w:val="2"/>
          </w:tcPr>
          <w:p>
            <w:pPr>
              <w:pStyle w:val="yTable"/>
            </w:pPr>
          </w:p>
        </w:tc>
      </w:tr>
      <w:tr>
        <w:tc>
          <w:tcPr>
            <w:tcW w:w="5245" w:type="dxa"/>
          </w:tcPr>
          <w:p>
            <w:pPr>
              <w:pStyle w:val="yTable"/>
              <w:rPr>
                <w:b/>
              </w:rPr>
            </w:pPr>
            <w:r>
              <w:rPr>
                <w:b/>
              </w:rPr>
              <w:t>TOTAL EXPENDITURE</w:t>
            </w:r>
          </w:p>
        </w:tc>
        <w:tc>
          <w:tcPr>
            <w:tcW w:w="1559" w:type="dxa"/>
            <w:tcBorders>
              <w:top w:val="single" w:sz="12" w:space="0" w:color="auto"/>
              <w:bottom w:val="single" w:sz="12" w:space="0" w:color="auto"/>
            </w:tcBorders>
          </w:tcPr>
          <w:p>
            <w:pPr>
              <w:pStyle w:val="yTable"/>
            </w:pPr>
          </w:p>
        </w:tc>
      </w:tr>
      <w:tr>
        <w:trPr>
          <w:cantSplit/>
        </w:trPr>
        <w:tc>
          <w:tcPr>
            <w:tcW w:w="6804" w:type="dxa"/>
            <w:gridSpan w:val="2"/>
          </w:tcPr>
          <w:p>
            <w:pPr>
              <w:pStyle w:val="yTable"/>
            </w:pPr>
          </w:p>
        </w:tc>
      </w:tr>
      <w:tr>
        <w:tc>
          <w:tcPr>
            <w:tcW w:w="5245" w:type="dxa"/>
          </w:tcPr>
          <w:p>
            <w:pPr>
              <w:pStyle w:val="yTable"/>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
            </w:pPr>
          </w:p>
        </w:tc>
      </w:tr>
    </w:tbl>
    <w:p>
      <w:pPr>
        <w:pStyle w:val="yHeading2"/>
        <w:pageBreakBefore/>
      </w:pPr>
      <w:bookmarkStart w:id="86" w:name="_Toc52697238"/>
      <w:r>
        <w:t>Appendix 5 — Form of appointment of proxy</w:t>
      </w:r>
      <w:bookmarkEnd w:id="86"/>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6"/>
        </w:numPr>
        <w:spacing w:before="120"/>
        <w:ind w:left="357" w:hanging="357"/>
      </w:pPr>
      <w:r>
        <w:t>All matters raised at the meeting that require, or provide for, a vote of the residents, at my proxy’s discretion.</w:t>
      </w:r>
    </w:p>
    <w:p>
      <w:pPr>
        <w:pStyle w:val="yMiscellaneousBody"/>
        <w:numPr>
          <w:ilvl w:val="0"/>
          <w:numId w:val="7"/>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62" w:hanging="462"/>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62" w:hanging="462"/>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62" w:hanging="462"/>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62" w:hanging="462"/>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62" w:hanging="462"/>
      </w:pPr>
      <w:r>
        <w:t>5.</w:t>
      </w:r>
      <w:r>
        <w:tab/>
        <w:t>This appointment terminates after the meeting at which the proxy is authorised to vote.</w:t>
      </w:r>
    </w:p>
    <w:p>
      <w:pPr>
        <w:pStyle w:val="yMiscellaneousBody"/>
        <w:tabs>
          <w:tab w:val="left" w:pos="426"/>
        </w:tabs>
        <w:spacing w:before="120"/>
        <w:ind w:left="462" w:hanging="462"/>
      </w:pPr>
      <w:r>
        <w:t>6.</w:t>
      </w:r>
      <w:r>
        <w:tab/>
        <w:t xml:space="preserve">The person who made this appointment may, at any time prior to the exercise of a proxy vote, revoke the appointment by giving written notice to — </w:t>
      </w:r>
    </w:p>
    <w:p>
      <w:pPr>
        <w:pStyle w:val="yMiscellaneousBody"/>
        <w:numPr>
          <w:ilvl w:val="0"/>
          <w:numId w:val="9"/>
        </w:numPr>
        <w:tabs>
          <w:tab w:val="clear" w:pos="360"/>
          <w:tab w:val="num" w:pos="786"/>
        </w:tabs>
        <w:ind w:left="786"/>
      </w:pPr>
      <w:r>
        <w:t>the person appointed as the resident’s proxy; and</w:t>
      </w:r>
    </w:p>
    <w:p>
      <w:pPr>
        <w:pStyle w:val="yMiscellaneousBody"/>
        <w:numPr>
          <w:ilvl w:val="0"/>
          <w:numId w:val="10"/>
        </w:numPr>
        <w:tabs>
          <w:tab w:val="clear" w:pos="360"/>
          <w:tab w:val="num" w:pos="786"/>
        </w:tabs>
        <w:ind w:left="786"/>
      </w:pPr>
      <w:r>
        <w:t>the chairperson of the meeting at which the proxy was to vote.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2003</w:t>
      </w:r>
      <w:r>
        <w:rPr>
          <w:snapToGrid w:val="0"/>
        </w:rPr>
        <w:t xml:space="preserve">. </w:t>
      </w:r>
      <w:r>
        <w:rPr>
          <w:snapToGrid w:val="0"/>
          <w:color w:val="000000"/>
          <w:lang w:val="en-US"/>
        </w:rPr>
        <w:t>The following table contains information about those regulations.</w:t>
      </w:r>
    </w:p>
    <w:p>
      <w:pPr>
        <w:pStyle w:val="nHeading3"/>
        <w:rPr>
          <w:snapToGrid w:val="0"/>
        </w:rPr>
      </w:pPr>
      <w:bookmarkStart w:id="87" w:name="_Toc534778308"/>
      <w:bookmarkStart w:id="88" w:name="_Toc7405062"/>
      <w:bookmarkStart w:id="89" w:name="_Toc52697239"/>
      <w:r>
        <w:rPr>
          <w:snapToGrid w:val="0"/>
        </w:rPr>
        <w:t>Compilation table</w:t>
      </w:r>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6" w:space="0" w:color="auto"/>
              <w:bottom w:val="single" w:sz="6" w:space="0" w:color="auto"/>
            </w:tcBorders>
          </w:tcPr>
          <w:p>
            <w:pPr>
              <w:pStyle w:val="nTable"/>
              <w:rPr>
                <w:b/>
              </w:rPr>
            </w:pPr>
            <w:r>
              <w:rPr>
                <w:b/>
              </w:rPr>
              <w:t>Citation</w:t>
            </w:r>
          </w:p>
        </w:tc>
        <w:tc>
          <w:tcPr>
            <w:tcW w:w="1276" w:type="dxa"/>
            <w:tcBorders>
              <w:top w:val="single" w:sz="6" w:space="0" w:color="auto"/>
              <w:bottom w:val="single" w:sz="6" w:space="0" w:color="auto"/>
            </w:tcBorders>
          </w:tcPr>
          <w:p>
            <w:pPr>
              <w:pStyle w:val="nTable"/>
              <w:rPr>
                <w:b/>
              </w:rPr>
            </w:pPr>
            <w:r>
              <w:rPr>
                <w:b/>
              </w:rPr>
              <w:t>Gazettal</w:t>
            </w:r>
          </w:p>
        </w:tc>
        <w:tc>
          <w:tcPr>
            <w:tcW w:w="2693" w:type="dxa"/>
            <w:tcBorders>
              <w:top w:val="single" w:sz="6" w:space="0" w:color="auto"/>
              <w:bottom w:val="single" w:sz="6" w:space="0" w:color="auto"/>
            </w:tcBorders>
          </w:tcPr>
          <w:p>
            <w:pPr>
              <w:pStyle w:val="nTable"/>
              <w:rPr>
                <w:b/>
              </w:rPr>
            </w:pPr>
            <w:r>
              <w:rPr>
                <w:b/>
              </w:rPr>
              <w:t>Commencement</w:t>
            </w:r>
          </w:p>
        </w:tc>
      </w:tr>
      <w:tr>
        <w:tc>
          <w:tcPr>
            <w:tcW w:w="3119" w:type="dxa"/>
            <w:tcBorders>
              <w:bottom w:val="single" w:sz="4" w:space="0" w:color="auto"/>
            </w:tcBorders>
          </w:tcPr>
          <w:p>
            <w:pPr>
              <w:pStyle w:val="nTable"/>
              <w:spacing w:before="100"/>
            </w:pPr>
            <w:r>
              <w:rPr>
                <w:i/>
                <w:snapToGrid w:val="0"/>
              </w:rPr>
              <w:t>Fair Trading (Retirement Villages Code) Regulations 2003</w:t>
            </w:r>
          </w:p>
        </w:tc>
        <w:tc>
          <w:tcPr>
            <w:tcW w:w="1276" w:type="dxa"/>
            <w:tcBorders>
              <w:bottom w:val="single" w:sz="4" w:space="0" w:color="auto"/>
            </w:tcBorders>
          </w:tcPr>
          <w:p>
            <w:pPr>
              <w:pStyle w:val="nTable"/>
              <w:spacing w:before="100"/>
            </w:pPr>
            <w:r>
              <w:t>9 Sep 2003 p. 3971-4033</w:t>
            </w:r>
          </w:p>
        </w:tc>
        <w:tc>
          <w:tcPr>
            <w:tcW w:w="2693" w:type="dxa"/>
            <w:tcBorders>
              <w:bottom w:val="single" w:sz="4" w:space="0" w:color="auto"/>
            </w:tcBorders>
          </w:tcPr>
          <w:p>
            <w:pPr>
              <w:pStyle w:val="nTable"/>
              <w:spacing w:before="100"/>
            </w:pPr>
            <w:r>
              <w:t>1 Oct 2003 (see r. 2)</w:t>
            </w:r>
          </w:p>
        </w:tc>
      </w:tr>
      <w:bookmarkEnd w:id="25"/>
      <w:bookmarkEnd w:id="26"/>
      <w:bookmarkEnd w:id="27"/>
      <w:bookmarkEnd w:id="28"/>
      <w:bookmarkEnd w:id="29"/>
      <w:bookmarkEnd w:id="30"/>
      <w:bookmarkEnd w:id="31"/>
      <w:bookmarkEnd w:id="32"/>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Code)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Fair Trading (Retirement Villages Code)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Fair Trading (Retirement Villages Code)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5C9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A6C1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AC5C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2E415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7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104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6201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FC9B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DA5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C37AA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ind w:left="720" w:hanging="360"/>
      </w:pPr>
      <w:rPr>
        <w:rFonts w:ascii="Symbol" w:hAnsi="Symbol"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22FF52EB"/>
    <w:multiLevelType w:val="multilevel"/>
    <w:tmpl w:val="8B62D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5B51F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3C2808C0"/>
    <w:multiLevelType w:val="singleLevel"/>
    <w:tmpl w:val="1F1E01A0"/>
    <w:lvl w:ilvl="0">
      <w:start w:val="1"/>
      <w:numFmt w:val="bullet"/>
      <w:pStyle w:val="NotesPerm2"/>
      <w:lvlText w:val=""/>
      <w:lvlJc w:val="left"/>
      <w:pPr>
        <w:tabs>
          <w:tab w:val="num" w:pos="1446"/>
        </w:tabs>
        <w:ind w:left="1446" w:hanging="567"/>
      </w:pPr>
      <w:rPr>
        <w:rFonts w:ascii="Symbol" w:hAnsi="Symbol" w:hint="default"/>
      </w:rPr>
    </w:lvl>
  </w:abstractNum>
  <w:abstractNum w:abstractNumId="31">
    <w:nsid w:val="3F1D7FC5"/>
    <w:multiLevelType w:val="singleLevel"/>
    <w:tmpl w:val="0C09000F"/>
    <w:lvl w:ilvl="0">
      <w:start w:val="1"/>
      <w:numFmt w:val="decimal"/>
      <w:lvlText w:val="%1."/>
      <w:lvlJc w:val="left"/>
      <w:pPr>
        <w:tabs>
          <w:tab w:val="num" w:pos="360"/>
        </w:tabs>
        <w:ind w:left="360" w:hanging="360"/>
      </w:pPr>
    </w:lvl>
  </w:abstractNum>
  <w:abstractNum w:abstractNumId="3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3"/>
  </w:num>
  <w:num w:numId="3">
    <w:abstractNumId w:val="35"/>
  </w:num>
  <w:num w:numId="4">
    <w:abstractNumId w:val="11"/>
  </w:num>
  <w:num w:numId="5">
    <w:abstractNumId w:val="28"/>
  </w:num>
  <w:num w:numId="6">
    <w:abstractNumId w:val="20"/>
  </w:num>
  <w:num w:numId="7">
    <w:abstractNumId w:val="33"/>
  </w:num>
  <w:num w:numId="8">
    <w:abstractNumId w:val="31"/>
  </w:num>
  <w:num w:numId="9">
    <w:abstractNumId w:val="15"/>
  </w:num>
  <w:num w:numId="10">
    <w:abstractNumId w:val="22"/>
  </w:num>
  <w:num w:numId="11">
    <w:abstractNumId w:val="3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326"/>
    <w:docVar w:name="WAFER_20151204112326" w:val="RemoveTrackChanges"/>
    <w:docVar w:name="WAFER_20151204112326_GUID" w:val="a07597c7-1e02-423c-a979-89b14e9c9e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rPr>
  </w:style>
  <w:style w:type="paragraph" w:styleId="TOC7">
    <w:name w:val="toc 7"/>
    <w:basedOn w:val="TOC4"/>
    <w:next w:val="Normal"/>
    <w:autoRedefine/>
    <w:semiHidden/>
    <w:pPr>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rPr>
  </w:style>
  <w:style w:type="paragraph" w:styleId="TOC7">
    <w:name w:val="toc 7"/>
    <w:basedOn w:val="TOC4"/>
    <w:next w:val="Normal"/>
    <w:autoRedefine/>
    <w:semiHidden/>
    <w:pPr>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12609</Words>
  <Characters>66704</Characters>
  <Application>Microsoft Office Word</Application>
  <DocSecurity>0</DocSecurity>
  <Lines>2084</Lines>
  <Paragraphs>944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Schedule 1 — Code of Fair Practice for Retirement Villages 2003</vt:lpstr>
      <vt:lpstr>        Division 1 — Preliminary</vt:lpstr>
      <vt:lpstr>        Division 2 — Advertising and promotion of retirement villages</vt:lpstr>
      <vt:lpstr>        Division 3 — Prospective resident’s right to information before entering into a </vt:lpstr>
      <vt:lpstr>        Division 4 — Residence contract and service contract</vt:lpstr>
      <vt:lpstr>        Division 5 — Village management</vt:lpstr>
      <vt:lpstr>        Division 6 — Dispute resolution</vt:lpstr>
      <vt:lpstr>        Division 7 — Termination of residence contracts</vt:lpstr>
      <vt:lpstr>        Division 8 — Miscellaneous</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2003 - 00-a0-05</dc:title>
  <dc:subject/>
  <dc:creator/>
  <cp:keywords/>
  <dc:description/>
  <cp:lastModifiedBy>svcMRProcess</cp:lastModifiedBy>
  <cp:revision>4</cp:revision>
  <cp:lastPrinted>2003-08-21T03:50:00Z</cp:lastPrinted>
  <dcterms:created xsi:type="dcterms:W3CDTF">2018-09-11T14:36:00Z</dcterms:created>
  <dcterms:modified xsi:type="dcterms:W3CDTF">2018-09-11T14:36:00Z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2003 pp.3971-4033</vt:lpwstr>
  </property>
  <property fmtid="{D5CDD505-2E9C-101B-9397-08002B2CF9AE}" pid="3" name="CommencementDate">
    <vt:lpwstr>20031001</vt:lpwstr>
  </property>
  <property fmtid="{D5CDD505-2E9C-101B-9397-08002B2CF9AE}" pid="4" name="DocumentType">
    <vt:lpwstr>Reg</vt:lpwstr>
  </property>
  <property fmtid="{D5CDD505-2E9C-101B-9397-08002B2CF9AE}" pid="5" name="OwlsUID">
    <vt:i4>33929</vt:i4>
  </property>
  <property fmtid="{D5CDD505-2E9C-101B-9397-08002B2CF9AE}" pid="6" name="AsAtDate">
    <vt:lpwstr>01 Oct 2003</vt:lpwstr>
  </property>
  <property fmtid="{D5CDD505-2E9C-101B-9397-08002B2CF9AE}" pid="7" name="Suffix">
    <vt:lpwstr>00-a0-05</vt:lpwstr>
  </property>
</Properties>
</file>