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Code) Regulations 2003</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Fair Trading (Retirement Villages Code) Regulations 2006 </w:t>
      </w:r>
      <w:r>
        <w:rPr>
          <w:color w:val="000000"/>
          <w:sz w:val="22"/>
          <w:szCs w:val="22"/>
        </w:rPr>
        <w:t xml:space="preserve">r. 5 as at 1 Oct 2006 (see </w:t>
      </w:r>
      <w:r>
        <w:rPr>
          <w:i/>
          <w:color w:val="000000"/>
          <w:sz w:val="22"/>
          <w:szCs w:val="22"/>
        </w:rPr>
        <w:t>Gazette</w:t>
      </w:r>
      <w:r>
        <w:rPr>
          <w:color w:val="000000"/>
          <w:sz w:val="22"/>
          <w:szCs w:val="22"/>
        </w:rPr>
        <w:t xml:space="preserve"> 22 Sep 2006 p. 4156).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_Toc435098793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_Toc435098794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 and transitional</w:t>
      </w:r>
      <w:r>
        <w:tab/>
      </w:r>
      <w:r>
        <w:fldChar w:fldCharType="begin"/>
      </w:r>
      <w:r>
        <w:instrText xml:space="preserve"> PAGEREF _Toc435098795 \h </w:instrText>
      </w:r>
      <w:r>
        <w:fldChar w:fldCharType="separate"/>
      </w:r>
      <w:r>
        <w:t>1</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_Toc435098796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t>
      </w:r>
      <w:r>
        <w:rPr>
          <w:i/>
        </w:rPr>
        <w:t>Code of Fair Practice for Retirement Villages 2003</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_Toc435098799 \h </w:instrText>
      </w:r>
      <w:r>
        <w:fldChar w:fldCharType="separate"/>
      </w:r>
      <w:r>
        <w:t>6</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_Toc435098800 \h </w:instrText>
      </w:r>
      <w:r>
        <w:fldChar w:fldCharType="separate"/>
      </w:r>
      <w:r>
        <w:t>9</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_Toc435098801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_Toc435098802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_Toc435098803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_Toc435098805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_Toc435098806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_Toc435098807 \h </w:instrText>
      </w:r>
      <w:r>
        <w:fldChar w:fldCharType="separate"/>
      </w:r>
      <w:r>
        <w:t>13</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_Toc435098808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_Toc435098809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_Toc435098811 \h </w:instrText>
      </w:r>
      <w:r>
        <w:fldChar w:fldCharType="separate"/>
      </w:r>
      <w:r>
        <w:t>14</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_Toc435098812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_Toc435098814 \h </w:instrText>
      </w:r>
      <w:r>
        <w:fldChar w:fldCharType="separate"/>
      </w:r>
      <w:r>
        <w:t>16</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_Toc435098815 \h </w:instrText>
      </w:r>
      <w:r>
        <w:fldChar w:fldCharType="separate"/>
      </w:r>
      <w:r>
        <w:t>18</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_Toc435098816 \h </w:instrText>
      </w:r>
      <w:r>
        <w:fldChar w:fldCharType="separate"/>
      </w:r>
      <w:r>
        <w:t>18</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_Toc435098817 \h </w:instrText>
      </w:r>
      <w:r>
        <w:fldChar w:fldCharType="separate"/>
      </w:r>
      <w:r>
        <w:t>19</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_Toc435098818 \h </w:instrText>
      </w:r>
      <w:r>
        <w:fldChar w:fldCharType="separate"/>
      </w:r>
      <w:r>
        <w:t>19</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_Toc435098819 \h </w:instrText>
      </w:r>
      <w:r>
        <w:fldChar w:fldCharType="separate"/>
      </w:r>
      <w:r>
        <w:t>20</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_Toc435098820 \h </w:instrText>
      </w:r>
      <w:r>
        <w:fldChar w:fldCharType="separate"/>
      </w:r>
      <w:r>
        <w:t>20</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_Toc435098821 \h </w:instrText>
      </w:r>
      <w:r>
        <w:fldChar w:fldCharType="separate"/>
      </w:r>
      <w:r>
        <w:t>21</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_Toc435098822 \h </w:instrText>
      </w:r>
      <w:r>
        <w:fldChar w:fldCharType="separate"/>
      </w:r>
      <w:r>
        <w:t>21</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_Toc435098823 \h </w:instrText>
      </w:r>
      <w:r>
        <w:fldChar w:fldCharType="separate"/>
      </w:r>
      <w:r>
        <w:t>22</w:t>
      </w:r>
      <w:r>
        <w:fldChar w:fldCharType="end"/>
      </w:r>
    </w:p>
    <w:p>
      <w:pPr>
        <w:pStyle w:val="TOC8"/>
        <w:rPr>
          <w:rFonts w:asciiTheme="minorHAnsi" w:eastAsiaTheme="minorEastAsia" w:hAnsiTheme="minorHAnsi" w:cstheme="minorBidi"/>
          <w:szCs w:val="22"/>
        </w:rPr>
      </w:pPr>
      <w:r>
        <w:t>4.11</w:t>
      </w:r>
      <w:r>
        <w:tab/>
        <w:t xml:space="preserve">Residence contract to refer to this Code and the </w:t>
      </w:r>
      <w:r>
        <w:rPr>
          <w:i/>
        </w:rPr>
        <w:t>Retirement Villages Act 1992</w:t>
      </w:r>
      <w:r>
        <w:tab/>
      </w:r>
      <w:r>
        <w:fldChar w:fldCharType="begin"/>
      </w:r>
      <w:r>
        <w:instrText xml:space="preserve"> PAGEREF _Toc435098824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_Toc435098826 \h </w:instrText>
      </w:r>
      <w:r>
        <w:fldChar w:fldCharType="separate"/>
      </w:r>
      <w:r>
        <w:t>24</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_Toc435098827 \h </w:instrText>
      </w:r>
      <w:r>
        <w:fldChar w:fldCharType="separate"/>
      </w:r>
      <w:r>
        <w:t>24</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_Toc435098828 \h </w:instrText>
      </w:r>
      <w:r>
        <w:fldChar w:fldCharType="separate"/>
      </w:r>
      <w:r>
        <w:t>26</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_Toc435098829 \h </w:instrText>
      </w:r>
      <w:r>
        <w:fldChar w:fldCharType="separate"/>
      </w:r>
      <w:r>
        <w:t>27</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_Toc435098830 \h </w:instrText>
      </w:r>
      <w:r>
        <w:fldChar w:fldCharType="separate"/>
      </w:r>
      <w:r>
        <w:t>28</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_Toc435098831 \h </w:instrText>
      </w:r>
      <w:r>
        <w:fldChar w:fldCharType="separate"/>
      </w:r>
      <w:r>
        <w:t>29</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_Toc435098832 \h </w:instrText>
      </w:r>
      <w:r>
        <w:fldChar w:fldCharType="separate"/>
      </w:r>
      <w:r>
        <w:t>29</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_Toc435098833 \h </w:instrText>
      </w:r>
      <w:r>
        <w:fldChar w:fldCharType="separate"/>
      </w:r>
      <w:r>
        <w:t>29</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_Toc435098834 \h </w:instrText>
      </w:r>
      <w:r>
        <w:fldChar w:fldCharType="separate"/>
      </w:r>
      <w:r>
        <w:t>30</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_Toc435098835 \h </w:instrText>
      </w:r>
      <w:r>
        <w:fldChar w:fldCharType="separate"/>
      </w:r>
      <w:r>
        <w:t>31</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_Toc435098836 \h </w:instrText>
      </w:r>
      <w:r>
        <w:fldChar w:fldCharType="separate"/>
      </w:r>
      <w:r>
        <w:t>32</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_Toc435098837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_Toc435098839 \h </w:instrText>
      </w:r>
      <w:r>
        <w:fldChar w:fldCharType="separate"/>
      </w:r>
      <w:r>
        <w:t>35</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_Toc435098840 \h </w:instrText>
      </w:r>
      <w:r>
        <w:fldChar w:fldCharType="separate"/>
      </w:r>
      <w:r>
        <w:t>35</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_Toc435098841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_Toc435098843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_Toc435098845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Model proposed operating budget form</w:t>
      </w:r>
    </w:p>
    <w:p>
      <w:pPr>
        <w:pStyle w:val="TOC2"/>
        <w:tabs>
          <w:tab w:val="right" w:leader="dot" w:pos="7077"/>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5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_Toc435098852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pPr>
      <w:r>
        <w:t>Fair Trading (Retirement Villages Code) Regulations 2003</w:t>
      </w:r>
    </w:p>
    <w:p>
      <w:pPr>
        <w:pStyle w:val="Heading5"/>
      </w:pPr>
      <w:bookmarkStart w:id="3" w:name="_Toc378248144"/>
      <w:bookmarkStart w:id="4" w:name="_Toc435098793"/>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w:t>
      </w:r>
      <w:r>
        <w:rPr>
          <w:spacing w:val="-2"/>
        </w:rPr>
        <w:t>regulations</w:t>
      </w:r>
      <w:r>
        <w:t xml:space="preserve"> may be cited as the </w:t>
      </w:r>
      <w:r>
        <w:rPr>
          <w:i/>
        </w:rPr>
        <w:t>Fair Trading (Retirement Villages Code) Regulations 2003</w:t>
      </w:r>
      <w:r>
        <w:t>.</w:t>
      </w:r>
    </w:p>
    <w:p>
      <w:pPr>
        <w:pStyle w:val="Heading5"/>
        <w:rPr>
          <w:spacing w:val="-2"/>
        </w:rPr>
      </w:pPr>
      <w:bookmarkStart w:id="6" w:name="_Toc378248145"/>
      <w:bookmarkStart w:id="7" w:name="_Toc435098794"/>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These regulations come into operation on 1 October 2003</w:t>
      </w:r>
      <w:r>
        <w:t>.</w:t>
      </w:r>
    </w:p>
    <w:p>
      <w:pPr>
        <w:pStyle w:val="Heading5"/>
      </w:pPr>
      <w:bookmarkStart w:id="8" w:name="_Toc378248146"/>
      <w:bookmarkStart w:id="9" w:name="_Toc435098795"/>
      <w:r>
        <w:rPr>
          <w:rStyle w:val="CharSectno"/>
        </w:rPr>
        <w:t>3</w:t>
      </w:r>
      <w:r>
        <w:t>.</w:t>
      </w:r>
      <w:r>
        <w:tab/>
        <w:t>Code of Practice prescribed and transitional</w:t>
      </w:r>
      <w:bookmarkEnd w:id="8"/>
      <w:bookmarkEnd w:id="9"/>
    </w:p>
    <w:p>
      <w:pPr>
        <w:pStyle w:val="Subsection"/>
      </w:pPr>
      <w:r>
        <w:tab/>
        <w:t>(1)</w:t>
      </w:r>
      <w:r>
        <w:tab/>
        <w:t xml:space="preserve">The Code of Practice set out in Schedule 1 and cited as the </w:t>
      </w:r>
      <w:r>
        <w:rPr>
          <w:i/>
        </w:rPr>
        <w:t>Code of Fair Practice for Retirement Villages 2003</w:t>
      </w:r>
      <w:r>
        <w:t xml:space="preserve"> is prescribed under section 43(1) of the </w:t>
      </w:r>
      <w:r>
        <w:rPr>
          <w:i/>
        </w:rPr>
        <w:t>Fair Trading Act 1987</w:t>
      </w:r>
      <w:r>
        <w:t xml:space="preserve"> as a code of practice that applies in relation to retirement villages as defined in the </w:t>
      </w:r>
      <w:r>
        <w:rPr>
          <w:i/>
        </w:rPr>
        <w:t>Retirement Villages Act 1992</w:t>
      </w:r>
      <w:r>
        <w:t>.</w:t>
      </w:r>
    </w:p>
    <w:p>
      <w:pPr>
        <w:pStyle w:val="Subsection"/>
      </w:pPr>
      <w:r>
        <w:tab/>
        <w:t>(2)</w:t>
      </w:r>
      <w:r>
        <w:tab/>
        <w:t xml:space="preserve">Despite subregulation (1), between 1 October 2003 and 31 December 2003 (inclusive) compliance with the requirements of either — </w:t>
      </w:r>
    </w:p>
    <w:p>
      <w:pPr>
        <w:pStyle w:val="Indenta"/>
      </w:pPr>
      <w:r>
        <w:tab/>
        <w:t>(a)</w:t>
      </w:r>
      <w:r>
        <w:tab/>
        <w:t xml:space="preserve">Division 4 of the </w:t>
      </w:r>
      <w:r>
        <w:rPr>
          <w:i/>
        </w:rPr>
        <w:t>Code of Fair Practice for Retirement Villages 2003</w:t>
      </w:r>
      <w:r>
        <w:t xml:space="preserve"> prescribed by subregulation (1); or</w:t>
      </w:r>
    </w:p>
    <w:p>
      <w:pPr>
        <w:pStyle w:val="Indenta"/>
      </w:pPr>
      <w:r>
        <w:tab/>
        <w:t>(b)</w:t>
      </w:r>
      <w:r>
        <w:tab/>
        <w:t xml:space="preserve">Division 4 of the </w:t>
      </w:r>
      <w:r>
        <w:rPr>
          <w:i/>
        </w:rPr>
        <w:t>Interim Code of Fair Practice for Retirement Villages 2003</w:t>
      </w:r>
      <w:r>
        <w:t xml:space="preserve"> prescribed by the </w:t>
      </w:r>
      <w:r>
        <w:rPr>
          <w:i/>
        </w:rPr>
        <w:t>Fair Trading (Retirement Villages Interim Code) Regulations 2003</w:t>
      </w:r>
      <w:r>
        <w:t xml:space="preserve">, </w:t>
      </w:r>
    </w:p>
    <w:p>
      <w:pPr>
        <w:pStyle w:val="Subsection"/>
      </w:pPr>
      <w:r>
        <w:tab/>
      </w:r>
      <w:r>
        <w:tab/>
        <w:t xml:space="preserve">is prescribed as being sufficient compliance with Division 4 of the </w:t>
      </w:r>
      <w:r>
        <w:rPr>
          <w:i/>
        </w:rPr>
        <w:t>Code of Fair Practice for Retirement Villages 2003</w:t>
      </w:r>
      <w:r>
        <w:t>.</w:t>
      </w:r>
    </w:p>
    <w:p>
      <w:pPr>
        <w:pStyle w:val="Heading5"/>
      </w:pPr>
      <w:bookmarkStart w:id="10" w:name="_Toc378248147"/>
      <w:bookmarkStart w:id="11" w:name="_Toc435098796"/>
      <w:r>
        <w:rPr>
          <w:rStyle w:val="CharSectno"/>
        </w:rPr>
        <w:t>4</w:t>
      </w:r>
      <w:r>
        <w:t>.</w:t>
      </w:r>
      <w:r>
        <w:tab/>
        <w:t>Interpretation</w:t>
      </w:r>
      <w:bookmarkEnd w:id="10"/>
      <w:bookmarkEnd w:id="11"/>
    </w:p>
    <w:p>
      <w:pPr>
        <w:pStyle w:val="Subsection"/>
      </w:pPr>
      <w:r>
        <w:tab/>
        <w:t>(1)</w:t>
      </w:r>
      <w:r>
        <w:tab/>
        <w:t xml:space="preserve">In the Code set out in Schedule 1 — </w:t>
      </w:r>
    </w:p>
    <w:p>
      <w:pPr>
        <w:pStyle w:val="Defstart"/>
      </w:pPr>
      <w:r>
        <w:rPr>
          <w:b/>
        </w:rPr>
        <w:tab/>
        <w:t>“</w:t>
      </w:r>
      <w:r>
        <w:rPr>
          <w:rStyle w:val="CharDefText"/>
        </w:rPr>
        <w:t>relevant Tribunal</w:t>
      </w:r>
      <w:r>
        <w:rPr>
          <w:b/>
        </w:rPr>
        <w:t>”</w:t>
      </w:r>
      <w:r>
        <w:t xml:space="preserve"> means the Retirement Villages Disputes Tribunal established under section 27 of the </w:t>
      </w:r>
      <w:r>
        <w:rPr>
          <w:i/>
        </w:rPr>
        <w:t>Retirement Villages Act 1992</w:t>
      </w:r>
      <w:r>
        <w:t>, or such other Tribunal that may assume the functions of that Tribunal, whichever is appropriate.</w:t>
      </w:r>
    </w:p>
    <w:p>
      <w:pPr>
        <w:pStyle w:val="Subsection"/>
      </w:pPr>
      <w:r>
        <w:tab/>
        <w:t>(2)</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(3)</w:t>
      </w:r>
      <w:r>
        <w:tab/>
        <w:t>Boxed and shaded paragraphs in the Code set out in Schedule 1 are not part of the Code and are included only to assist readers of the Code.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 w:name="_Toc378248148"/>
      <w:bookmarkStart w:id="13" w:name="_Toc426019158"/>
      <w:bookmarkStart w:id="14" w:name="_Toc426019347"/>
      <w:bookmarkStart w:id="15" w:name="_Toc435098797"/>
      <w:r>
        <w:rPr>
          <w:rStyle w:val="CharSchNo"/>
        </w:rPr>
        <w:t>Schedule 1</w:t>
      </w:r>
      <w:r>
        <w:t xml:space="preserve"> — </w:t>
      </w:r>
      <w:r>
        <w:rPr>
          <w:rStyle w:val="CharSchText"/>
          <w:i/>
        </w:rPr>
        <w:t>Code of Fair Practice for Retirement Villages 2003</w:t>
      </w:r>
      <w:bookmarkEnd w:id="12"/>
      <w:bookmarkEnd w:id="13"/>
      <w:bookmarkEnd w:id="14"/>
      <w:bookmarkEnd w:id="15"/>
    </w:p>
    <w:p>
      <w:pPr>
        <w:pStyle w:val="yShoulderClause"/>
        <w:spacing w:after="240"/>
        <w:ind w:firstLine="851"/>
        <w:rPr>
          <w:sz w:val="24"/>
        </w:rPr>
      </w:pPr>
      <w:r>
        <w:rPr>
          <w:sz w:val="24"/>
        </w:rPr>
        <w:t>[r. 3]</w:t>
      </w:r>
    </w:p>
    <w:p>
      <w:pPr>
        <w:pStyle w:val="zMiscellaneousBody"/>
        <w:pBdr>
          <w:top w:val="single" w:sz="4" w:space="1" w:color="auto"/>
          <w:left w:val="single" w:sz="4" w:space="0" w:color="auto"/>
          <w:bottom w:val="single" w:sz="4" w:space="1" w:color="auto"/>
          <w:right w:val="single" w:sz="4" w:space="4" w:color="auto"/>
        </w:pBdr>
        <w:shd w:val="pct15" w:color="auto" w:fill="FFFFFF"/>
        <w:ind w:left="851"/>
        <w:jc w:val="center"/>
        <w:rPr>
          <w:b/>
        </w:rPr>
      </w:pPr>
      <w:r>
        <w:rPr>
          <w:b/>
        </w:rPr>
        <w:t>Foreword</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This Code has been prescribed under the </w:t>
      </w:r>
      <w:r>
        <w:rPr>
          <w:i/>
        </w:rPr>
        <w:t>Fair Trading Act 1987</w:t>
      </w:r>
      <w:r>
        <w:t xml:space="preserve"> and has been prepared after extensive consultation with relevant industry and consumer/resident organisations and other interested organisations and individuals, including State and Commonwealth departments. The Code must be reviewed in consultation with interested parties no later than 3 years after the commencement date of 1 October 2003.</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rPr>
          <w:b/>
        </w:rPr>
        <w:t>Division 1</w:t>
      </w:r>
      <w: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zMiscellaneousBody"/>
        <w:keepLines/>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2</w:t>
      </w:r>
      <w:r>
        <w:t xml:space="preserve"> sets out the approvals that must be obtained before any sales promotion of a retirement village is undertaken, and specifies the information that must be disclosed in any advertising or promotional material.</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3</w:t>
      </w:r>
      <w:r>
        <w:t xml:space="preserve"> sets out the information that must be provided to a prospective resident of a retirement village before the person enters into a residence contract or any service contract with the administering body of the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4</w:t>
      </w:r>
      <w:r>
        <w:t xml:space="preserve"> specifies the information that must be included in the residence contract and any service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5</w:t>
      </w:r>
      <w: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rPr>
          <w:b/>
        </w:rPr>
      </w:pPr>
      <w:r>
        <w:rPr>
          <w:b/>
        </w:rPr>
        <w:t>Division 6</w:t>
      </w:r>
      <w:r>
        <w:t xml:space="preserve"> recognises that disputes may occur in a retirement village and outlines the processes that may be utilised to resolve them, including mediation.</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7</w:t>
      </w:r>
      <w:r>
        <w:t xml:space="preserve"> explains the rights and the obligations of the administering body and a resident of a retirement village, in relation to the termination of a residence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8</w:t>
      </w:r>
      <w:r>
        <w:t xml:space="preserve"> specifies the method of delivery of any written notice, correspondence or other document that must be given under this Code to a resident or the administering body of a retirement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Appendix 1</w:t>
      </w:r>
      <w:r>
        <w:t xml:space="preserve"> provides a list of questions that a prospective resident should carefully read and consider before deciding to enter any retirement village.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b/>
        </w:rPr>
      </w:pPr>
      <w:r>
        <w:rPr>
          <w:b/>
        </w:rPr>
        <w:t>Compliance with this Code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pPr>
      <w:r>
        <w:t xml:space="preserve">The Code must be complied with and is enforceable by the Commissioner for Fair Trading and the relevant Tribunal under the </w:t>
      </w:r>
      <w:r>
        <w:rPr>
          <w:i/>
        </w:rPr>
        <w:t>Fair Trading Act 1987</w:t>
      </w:r>
      <w:r>
        <w:t>.</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num" w:pos="927"/>
        </w:tabs>
        <w:spacing w:before="80"/>
        <w:ind w:left="851"/>
      </w:pPr>
      <w:r>
        <w:t xml:space="preserve">Where it appears to the Commissioner that an administering body has not complied with the Code, the Commissioner may — </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left" w:pos="1211"/>
        </w:tabs>
        <w:spacing w:before="80"/>
        <w:ind w:left="1211" w:hanging="360"/>
      </w:pPr>
      <w:r>
        <w:rPr>
          <w:rFonts w:ascii="Symbol" w:hAnsi="Symbol"/>
        </w:rPr>
        <w:t></w:t>
      </w:r>
      <w:r>
        <w:rPr>
          <w:rFonts w:ascii="Symbol" w:hAnsi="Symbol"/>
        </w:rPr>
        <w:tab/>
      </w:r>
      <w:r>
        <w:t>request the administering body to give a deed of undertaking to comply with the Code and/or rectify the consequences of its failure to comply; or</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1211"/>
        </w:tabs>
        <w:spacing w:before="80"/>
        <w:ind w:left="1211" w:hanging="360"/>
      </w:pPr>
      <w:r>
        <w:rPr>
          <w:rFonts w:ascii="Symbol" w:hAnsi="Symbol"/>
        </w:rPr>
        <w:t></w:t>
      </w:r>
      <w:r>
        <w:rPr>
          <w:rFonts w:ascii="Symbol" w:hAnsi="Symbol"/>
        </w:rPr>
        <w:tab/>
      </w:r>
      <w:r>
        <w:t>if the administering body does not give the requested undertaking, apply to the relevant Tribunal for an order that the administering body act in a manner required by the Code.</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If the administering body fails to observe an undertaking to the Commissioner, the Commissioner may apply to the relevant Tribunal for an order requiring the administering body to do so.</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An administering body that fails to comply with an order made by the relevant Tribunal commits an offence that is punishable by a fine of up to $10,000.</w:t>
      </w:r>
    </w:p>
    <w:p>
      <w:pPr>
        <w:pStyle w:val="yHeading3"/>
        <w:keepNext w:val="0"/>
        <w:pageBreakBefore/>
      </w:pPr>
      <w:bookmarkStart w:id="16" w:name="_Toc378248149"/>
      <w:bookmarkStart w:id="17" w:name="_Toc426019159"/>
      <w:bookmarkStart w:id="18" w:name="_Toc426019348"/>
      <w:bookmarkStart w:id="19" w:name="_Toc435098798"/>
      <w:r>
        <w:rPr>
          <w:rStyle w:val="CharSDivNo"/>
        </w:rPr>
        <w:t>Division 1</w:t>
      </w:r>
      <w:r>
        <w:rPr>
          <w:b w:val="0"/>
        </w:rPr>
        <w:t> — </w:t>
      </w:r>
      <w:r>
        <w:rPr>
          <w:rStyle w:val="CharSDivText"/>
        </w:rPr>
        <w:t>Preliminary</w:t>
      </w:r>
      <w:bookmarkEnd w:id="16"/>
      <w:bookmarkEnd w:id="17"/>
      <w:bookmarkEnd w:id="18"/>
      <w:bookmarkEnd w:id="19"/>
    </w:p>
    <w:p>
      <w:pPr>
        <w:pStyle w:val="yHeading5"/>
        <w:keepLines w:val="0"/>
        <w:spacing w:before="120"/>
        <w:rPr>
          <w:sz w:val="24"/>
        </w:rPr>
      </w:pPr>
      <w:bookmarkStart w:id="20" w:name="_Toc378248150"/>
      <w:bookmarkStart w:id="21" w:name="_Toc435098799"/>
      <w:r>
        <w:rPr>
          <w:rStyle w:val="CharSClsNo"/>
        </w:rPr>
        <w:t>1.1</w:t>
      </w:r>
      <w:r>
        <w:rPr>
          <w:sz w:val="24"/>
        </w:rPr>
        <w:tab/>
        <w:t>Citation</w:t>
      </w:r>
      <w:bookmarkEnd w:id="20"/>
      <w:bookmarkEnd w:id="21"/>
    </w:p>
    <w:p>
      <w:pPr>
        <w:pStyle w:val="ySubsection"/>
        <w:tabs>
          <w:tab w:val="clear" w:pos="879"/>
        </w:tabs>
        <w:spacing w:before="120"/>
        <w:rPr>
          <w:sz w:val="24"/>
        </w:rPr>
      </w:pPr>
      <w:r>
        <w:rPr>
          <w:sz w:val="24"/>
        </w:rPr>
        <w:tab/>
      </w:r>
      <w:r>
        <w:rPr>
          <w:sz w:val="24"/>
        </w:rPr>
        <w:tab/>
        <w:t xml:space="preserve">This Code may be cited as the </w:t>
      </w:r>
      <w:r>
        <w:rPr>
          <w:i/>
          <w:sz w:val="24"/>
        </w:rPr>
        <w:t>Code of Fair Practice for Retirement Villages 2003</w:t>
      </w:r>
      <w:r>
        <w:rPr>
          <w:sz w:val="24"/>
        </w:rP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ind w:left="1021" w:hanging="170"/>
        <w:rPr>
          <w:b/>
        </w:rPr>
      </w:pPr>
      <w:r>
        <w:rPr>
          <w:b/>
        </w:rPr>
        <w:t xml:space="preserve">Definitions in the </w:t>
      </w:r>
      <w:r>
        <w:rPr>
          <w:b/>
          <w:i/>
        </w:rPr>
        <w:t>Retirement Villages Act 1992</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snapToGrid w:val="0"/>
        </w:rPr>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recurrent charge</w:t>
      </w:r>
      <w:r>
        <w:rPr>
          <w:b/>
        </w:rPr>
        <w:t>”</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(a)</w:t>
      </w:r>
      <w:r>
        <w:tab/>
        <w:t>is residing with that person;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was residing with that person at the time of his or her death;</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residential tenancy agreement</w:t>
      </w:r>
      <w:r>
        <w:rPr>
          <w:b/>
        </w:rPr>
        <w:t>”</w:t>
      </w:r>
      <w:r>
        <w:t xml:space="preserve"> has the same meaning as in the </w:t>
      </w:r>
      <w:r>
        <w:rPr>
          <w:i/>
        </w:rPr>
        <w:t>Residential Tenancies Act 1987</w:t>
      </w:r>
      <w: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residential premises are occupied in pursuance of a residential tenancy agreement or any other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a right to occupation of residential premises is conferred by ownership of shares;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(c)</w:t>
      </w:r>
      <w:r>
        <w:tab/>
        <w:t>residential premises are purchased from the administering body subject to a right or option of repurchase;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(d)</w:t>
      </w:r>
      <w:r>
        <w:tab/>
        <w:t>residential premises are purchased subject to conditions restricting the subsequent disposal of the premises;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(a)</w:t>
      </w:r>
      <w:r>
        <w:tab/>
        <w:t>hostel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(b)</w:t>
      </w:r>
      <w:r>
        <w:tab/>
        <w:t>infirmary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(c)</w:t>
      </w:r>
      <w:r>
        <w:tab/>
        <w:t>medical or nursing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(d)</w:t>
      </w:r>
      <w:r>
        <w:tab/>
        <w:t>meals;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(e)</w:t>
      </w:r>
      <w:r>
        <w:tab/>
        <w:t>administrative and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(f)</w:t>
      </w:r>
      <w:r>
        <w:tab/>
        <w:t>maintenance and repair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(g)</w:t>
      </w:r>
      <w:r>
        <w:tab/>
        <w:t>recreation services;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(h)</w:t>
      </w:r>
      <w:r>
        <w:tab/>
        <w:t>any other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tab/>
        <w:t>and any collateral agreement or document relating to the provision of any such service;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working day</w:t>
      </w:r>
      <w:r>
        <w:rPr>
          <w:b/>
        </w:rPr>
        <w:t>”</w:t>
      </w:r>
      <w:r>
        <w:t xml:space="preserve"> means a day other than a Saturday, a Sunday or a public holiday.</w:t>
      </w:r>
    </w:p>
    <w:p>
      <w:pPr>
        <w:pStyle w:val="yHeading5"/>
        <w:rPr>
          <w:sz w:val="24"/>
        </w:rPr>
      </w:pPr>
      <w:bookmarkStart w:id="22" w:name="_Toc378248151"/>
      <w:bookmarkStart w:id="23" w:name="_Toc435098800"/>
      <w:r>
        <w:rPr>
          <w:rStyle w:val="CharSClsNo"/>
        </w:rPr>
        <w:t>1.2</w:t>
      </w:r>
      <w:r>
        <w:rPr>
          <w:sz w:val="24"/>
        </w:rPr>
        <w:tab/>
        <w:t>Application</w:t>
      </w:r>
      <w:bookmarkEnd w:id="22"/>
      <w:bookmarkEnd w:id="23"/>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b/>
          <w:sz w:val="24"/>
        </w:rPr>
        <w:t>“</w:t>
      </w:r>
      <w:r>
        <w:rPr>
          <w:rStyle w:val="CharDefText"/>
          <w:sz w:val="24"/>
        </w:rPr>
        <w:t>approved provider</w:t>
      </w:r>
      <w:r>
        <w:rPr>
          <w:b/>
          <w:sz w:val="24"/>
        </w:rPr>
        <w:t>”</w:t>
      </w:r>
      <w:r>
        <w:rPr>
          <w:sz w:val="24"/>
        </w:rPr>
        <w:t xml:space="preserve"> within the meaning of the </w:t>
      </w:r>
      <w:r>
        <w:rPr>
          <w:i/>
          <w:sz w:val="24"/>
        </w:rPr>
        <w:t>Aged Care Act 1997</w:t>
      </w:r>
      <w:r>
        <w:rPr>
          <w:sz w:val="24"/>
        </w:rPr>
        <w:t xml:space="preserve"> of the Commonwealth (</w:t>
      </w:r>
      <w:r>
        <w:rPr>
          <w:b/>
          <w:sz w:val="24"/>
        </w:rPr>
        <w:t>“</w:t>
      </w:r>
      <w:r>
        <w:rPr>
          <w:rStyle w:val="CharDefText"/>
          <w:sz w:val="24"/>
        </w:rPr>
        <w:t>Cwlth</w:t>
      </w:r>
      <w:r>
        <w:rPr>
          <w:b/>
          <w:sz w:val="24"/>
        </w:rPr>
        <w:t>”</w:t>
      </w:r>
      <w:r>
        <w:rPr>
          <w:sz w:val="24"/>
        </w:rPr>
        <w:t>) in relation to the residential premises used or intended to be used as a place of residence by the resident or prospective resident;</w:t>
      </w:r>
    </w:p>
    <w:p>
      <w:pPr>
        <w:pStyle w:val="yIndenta"/>
        <w:rPr>
          <w:sz w:val="24"/>
        </w:rPr>
      </w:pPr>
      <w:r>
        <w:rPr>
          <w:sz w:val="24"/>
        </w:rPr>
        <w:tab/>
        <w:t>(b)</w:t>
      </w:r>
      <w:r>
        <w:rPr>
          <w:sz w:val="24"/>
        </w:rPr>
        <w:tab/>
        <w:t xml:space="preserve">the administering body provides, or is to provide, the resident or prospective resident with </w:t>
      </w:r>
      <w:r>
        <w:rPr>
          <w:b/>
          <w:sz w:val="24"/>
        </w:rPr>
        <w:t>“</w:t>
      </w:r>
      <w:r>
        <w:rPr>
          <w:rStyle w:val="CharDefText"/>
          <w:sz w:val="24"/>
        </w:rPr>
        <w:t>residential care</w:t>
      </w:r>
      <w:r>
        <w:rPr>
          <w:b/>
          <w:sz w:val="24"/>
        </w:rPr>
        <w:t>”</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b/>
          <w:sz w:val="24"/>
        </w:rPr>
        <w:t>“</w:t>
      </w:r>
      <w:r>
        <w:rPr>
          <w:rStyle w:val="CharDefText"/>
          <w:sz w:val="24"/>
        </w:rPr>
        <w:t>residential care subsidy</w:t>
      </w:r>
      <w:r>
        <w:rPr>
          <w:b/>
          <w:sz w:val="24"/>
        </w:rPr>
        <w:t>”</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rPr>
          <w:sz w:val="24"/>
        </w:rPr>
      </w:pPr>
      <w:r>
        <w:rPr>
          <w:sz w:val="24"/>
        </w:rPr>
        <w:tab/>
        <w:t>(4)</w:t>
      </w:r>
      <w:r>
        <w:rPr>
          <w:sz w:val="24"/>
        </w:rPr>
        <w:tab/>
        <w:t>If a contract, agreement or arrangement made or entered into prior to the commencement of this Code is silent on a matter with which Division 2 of the Code deals, the provisions of Division 2 will apply to such matter.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t xml:space="preserve">This Code does not apply to residential care services provided by an administering body under the </w:t>
      </w:r>
      <w:r>
        <w:rPr>
          <w:i/>
        </w:rPr>
        <w:t>Aged Care Act 1997</w:t>
      </w:r>
      <w:r>
        <w:t xml:space="preserve"> (Cwlth). However, the </w:t>
      </w:r>
      <w:r>
        <w:rPr>
          <w:i/>
        </w:rPr>
        <w:t>Retirement Villages Act 1992</w:t>
      </w:r>
      <w:r>
        <w:t xml:space="preserve"> will continue to apply to those services until such time as the Act is amended to provide otherwise.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keepLines w:val="0"/>
        <w:rPr>
          <w:sz w:val="24"/>
        </w:rPr>
      </w:pPr>
      <w:bookmarkStart w:id="24" w:name="_Toc378248152"/>
      <w:bookmarkStart w:id="25" w:name="_Toc435098801"/>
      <w:r>
        <w:rPr>
          <w:rStyle w:val="CharSClsNo"/>
        </w:rPr>
        <w:t>1.3</w:t>
      </w:r>
      <w:r>
        <w:rPr>
          <w:sz w:val="24"/>
        </w:rPr>
        <w:tab/>
        <w:t>General principles</w:t>
      </w:r>
      <w:bookmarkEnd w:id="24"/>
      <w:bookmarkEnd w:id="25"/>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26" w:name="_Toc378248153"/>
      <w:bookmarkStart w:id="27" w:name="_Toc435098802"/>
      <w:r>
        <w:rPr>
          <w:rStyle w:val="CharSClsNo"/>
        </w:rPr>
        <w:t>1.4</w:t>
      </w:r>
      <w:r>
        <w:rPr>
          <w:sz w:val="24"/>
        </w:rPr>
        <w:tab/>
        <w:t>Objectives of the Code</w:t>
      </w:r>
      <w:bookmarkEnd w:id="26"/>
      <w:bookmarkEnd w:id="27"/>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or grant of rights in,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28" w:name="_Toc378248154"/>
      <w:bookmarkStart w:id="29" w:name="_Toc435098803"/>
      <w:r>
        <w:rPr>
          <w:rStyle w:val="CharSClsNo"/>
        </w:rPr>
        <w:t>1.5</w:t>
      </w:r>
      <w:r>
        <w:rPr>
          <w:sz w:val="24"/>
        </w:rPr>
        <w:tab/>
        <w:t>Resident’s basic rights</w:t>
      </w:r>
      <w:bookmarkEnd w:id="28"/>
      <w:bookmarkEnd w:id="29"/>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rPr>
          <w:b/>
        </w:rPr>
      </w:pPr>
      <w:r>
        <w:rPr>
          <w:b/>
        </w:rPr>
        <w:t>Other relevant legislation</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residential premises in a retirement village are strata titled, the provisions of the </w:t>
      </w:r>
      <w:r>
        <w:rPr>
          <w:i/>
        </w:rPr>
        <w:t>Strata Titles Act 1985</w:t>
      </w:r>
      <w:r>
        <w:t xml:space="preserve"> and any applicable by</w:t>
      </w:r>
      <w:r>
        <w:noBreakHyphen/>
        <w:t>laws also apply.</w:t>
      </w:r>
    </w:p>
    <w:p>
      <w:pPr>
        <w:pStyle w:val="zMiscellaneousBody"/>
        <w:pBdr>
          <w:top w:val="single" w:sz="4" w:space="1" w:color="auto" w:shadow="1"/>
          <w:left w:val="single" w:sz="4" w:space="0" w:color="auto" w:shadow="1"/>
          <w:bottom w:val="single" w:sz="4" w:space="1" w:color="auto" w:shadow="1"/>
          <w:right w:val="single" w:sz="4" w:space="4" w:color="auto" w:shadow="1"/>
        </w:pBdr>
        <w:shd w:val="pct15" w:color="auto" w:fill="FFFFFF"/>
        <w:ind w:left="851"/>
        <w:rPr>
          <w:rStyle w:val="CharPartNo"/>
        </w:rPr>
      </w:pPr>
      <w:r>
        <w:t>The</w:t>
      </w:r>
      <w:r>
        <w:rPr>
          <w:i/>
        </w:rPr>
        <w:t xml:space="preserve"> Aged Care Act 1997 </w:t>
      </w:r>
      <w:r>
        <w:t>(Cwlth) has application to residential care services provided under that Act by the administering body of a retirement village.</w:t>
      </w:r>
    </w:p>
    <w:p>
      <w:pPr>
        <w:pStyle w:val="yHeading3"/>
      </w:pPr>
      <w:bookmarkStart w:id="30" w:name="_Toc378248155"/>
      <w:bookmarkStart w:id="31" w:name="_Toc426019165"/>
      <w:bookmarkStart w:id="32" w:name="_Toc426019354"/>
      <w:bookmarkStart w:id="33" w:name="_Toc435098804"/>
      <w:r>
        <w:rPr>
          <w:rStyle w:val="CharSDivNo"/>
        </w:rPr>
        <w:t>Division 2</w:t>
      </w:r>
      <w:r>
        <w:t xml:space="preserve"> — </w:t>
      </w:r>
      <w:r>
        <w:rPr>
          <w:rStyle w:val="CharSDivText"/>
        </w:rPr>
        <w:t>Advertising and promotion of retirement villages</w:t>
      </w:r>
      <w:bookmarkEnd w:id="30"/>
      <w:bookmarkEnd w:id="31"/>
      <w:bookmarkEnd w:id="32"/>
      <w:bookmarkEnd w:id="33"/>
    </w:p>
    <w:p>
      <w:pPr>
        <w:pStyle w:val="yHeading5"/>
        <w:rPr>
          <w:sz w:val="24"/>
        </w:rPr>
      </w:pPr>
      <w:bookmarkStart w:id="34" w:name="_Toc378248156"/>
      <w:bookmarkStart w:id="35" w:name="_Toc435098805"/>
      <w:r>
        <w:rPr>
          <w:rStyle w:val="CharSClsNo"/>
        </w:rPr>
        <w:t>2.1</w:t>
      </w:r>
      <w:r>
        <w:rPr>
          <w:sz w:val="24"/>
        </w:rPr>
        <w:tab/>
        <w:t>General</w:t>
      </w:r>
      <w:bookmarkEnd w:id="34"/>
      <w:bookmarkEnd w:id="35"/>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rPr>
          <w:sz w:val="24"/>
        </w:rPr>
        <w:tab/>
        <w:t>(a)</w:t>
      </w:r>
      <w:r>
        <w:rPr>
          <w:sz w:val="24"/>
        </w:rPr>
        <w:tab/>
        <w:t>truthful, accurate and unambiguous; and</w:t>
      </w:r>
    </w:p>
    <w:p>
      <w:pPr>
        <w:pStyle w:val="yIndenta"/>
        <w:rPr>
          <w:sz w:val="24"/>
        </w:rPr>
      </w:pPr>
      <w:r>
        <w:rPr>
          <w:sz w:val="24"/>
        </w:rPr>
        <w:tab/>
        <w:t>(b)</w:t>
      </w:r>
      <w:r>
        <w:rPr>
          <w:sz w:val="24"/>
        </w:rPr>
        <w:tab/>
        <w:t xml:space="preserve">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36" w:name="_Toc378248157"/>
      <w:bookmarkStart w:id="37" w:name="_Toc435098806"/>
      <w:r>
        <w:rPr>
          <w:rStyle w:val="CharSClsNo"/>
        </w:rPr>
        <w:t>2.2</w:t>
      </w:r>
      <w:r>
        <w:rPr>
          <w:sz w:val="24"/>
        </w:rPr>
        <w:tab/>
        <w:t>Retirement village developments</w:t>
      </w:r>
      <w:bookmarkEnd w:id="36"/>
      <w:bookmarkEnd w:id="37"/>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38" w:name="_Toc378248158"/>
      <w:bookmarkStart w:id="39" w:name="_Toc435098807"/>
      <w:r>
        <w:rPr>
          <w:rStyle w:val="CharSClsNo"/>
        </w:rPr>
        <w:t>2.3</w:t>
      </w:r>
      <w:r>
        <w:rPr>
          <w:sz w:val="24"/>
        </w:rPr>
        <w:tab/>
        <w:t>Proposed amenities and services</w:t>
      </w:r>
      <w:bookmarkEnd w:id="38"/>
      <w:bookmarkEnd w:id="39"/>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40" w:name="_Toc378248159"/>
      <w:bookmarkStart w:id="41" w:name="_Toc435098808"/>
      <w:r>
        <w:rPr>
          <w:rStyle w:val="CharSClsNo"/>
        </w:rPr>
        <w:t>2.4</w:t>
      </w:r>
      <w:r>
        <w:rPr>
          <w:sz w:val="24"/>
        </w:rPr>
        <w:tab/>
        <w:t>Approvals for facilities that provide residential aged care services</w:t>
      </w:r>
      <w:bookmarkEnd w:id="40"/>
      <w:bookmarkEnd w:id="41"/>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(Cwlth)</w:t>
      </w:r>
      <w:r>
        <w:rPr>
          <w:sz w:val="24"/>
        </w:rPr>
        <w:t>, before such facilities are promoted as being available to, or associated with, a retirement village.</w:t>
      </w:r>
    </w:p>
    <w:p>
      <w:pPr>
        <w:pStyle w:val="yHeading5"/>
        <w:rPr>
          <w:sz w:val="24"/>
        </w:rPr>
      </w:pPr>
      <w:bookmarkStart w:id="42" w:name="_Toc378248160"/>
      <w:bookmarkStart w:id="43" w:name="_Toc435098809"/>
      <w:r>
        <w:rPr>
          <w:rStyle w:val="CharSClsNo"/>
        </w:rPr>
        <w:t>2.5</w:t>
      </w:r>
      <w:r>
        <w:rPr>
          <w:sz w:val="24"/>
        </w:rPr>
        <w:tab/>
        <w:t>Access to residential aged care services</w:t>
      </w:r>
      <w:bookmarkEnd w:id="42"/>
      <w:bookmarkEnd w:id="43"/>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(Cwlth)</w:t>
      </w:r>
      <w:r>
        <w:rPr>
          <w:sz w:val="24"/>
        </w:rPr>
        <w:t xml:space="preserve">, the following statement on the terms of access to such services printed in 16 point type and boxed must be included in the promotional or sales material — </w:t>
      </w:r>
    </w:p>
    <w:p>
      <w:pPr>
        <w:pStyle w:val="zMiscellaneousBody"/>
        <w:pBdr>
          <w:top w:val="single" w:sz="4" w:space="1" w:color="auto" w:shadow="1"/>
          <w:left w:val="single" w:sz="4" w:space="0" w:color="auto" w:shadow="1"/>
          <w:bottom w:val="single" w:sz="4" w:space="1" w:color="auto" w:shadow="1"/>
          <w:right w:val="single" w:sz="4" w:space="11" w:color="auto" w:shadow="1"/>
        </w:pBdr>
        <w:shd w:val="clear" w:color="auto" w:fill="FFFFFF"/>
        <w:spacing w:before="120"/>
        <w:ind w:left="851"/>
        <w:rPr>
          <w:spacing w:val="-6"/>
          <w:sz w:val="32"/>
        </w:rPr>
      </w:pPr>
      <w:r>
        <w:rPr>
          <w:spacing w:val="-6"/>
          <w:sz w:val="32"/>
        </w:rPr>
        <w:t xml:space="preserve">You should be aware that current Commonwealth policy guidelines on admission to Commonwealth </w:t>
      </w:r>
      <w:r>
        <w:rPr>
          <w:sz w:val="32"/>
        </w:rPr>
        <w:t>funded</w:t>
      </w:r>
      <w:r>
        <w:rPr>
          <w:spacing w:val="-6"/>
          <w:sz w:val="32"/>
        </w:rPr>
        <w:t xml:space="preserve"> residential aged care facilities require places to be allocated on a “needs” basis.  It is not possible for an organisation providing services for older people to guarantee admission to Commonwealth funded residential aged care facilities.</w:t>
      </w:r>
    </w:p>
    <w:p>
      <w:pPr>
        <w:pStyle w:val="yHeading3"/>
      </w:pPr>
      <w:bookmarkStart w:id="44" w:name="_Toc378248161"/>
      <w:bookmarkStart w:id="45" w:name="_Toc426019171"/>
      <w:bookmarkStart w:id="46" w:name="_Toc426019360"/>
      <w:bookmarkStart w:id="47" w:name="_Toc435098810"/>
      <w:r>
        <w:rPr>
          <w:rStyle w:val="CharSDivNo"/>
        </w:rPr>
        <w:t>Division 3</w:t>
      </w:r>
      <w:r>
        <w:t xml:space="preserve"> — </w:t>
      </w:r>
      <w:r>
        <w:rPr>
          <w:rStyle w:val="CharSDivText"/>
        </w:rPr>
        <w:t>Prospective resident’s right to information before entering into a residence contract or service contract</w:t>
      </w:r>
      <w:bookmarkEnd w:id="44"/>
      <w:bookmarkEnd w:id="45"/>
      <w:bookmarkEnd w:id="46"/>
      <w:bookmarkEnd w:id="47"/>
    </w:p>
    <w:p>
      <w:pPr>
        <w:pStyle w:val="yHeading5"/>
        <w:spacing w:before="160"/>
        <w:rPr>
          <w:sz w:val="24"/>
        </w:rPr>
      </w:pPr>
      <w:bookmarkStart w:id="48" w:name="_Toc378248162"/>
      <w:bookmarkStart w:id="49" w:name="_Toc435098811"/>
      <w:r>
        <w:rPr>
          <w:rStyle w:val="CharSClsNo"/>
        </w:rPr>
        <w:t>3.1</w:t>
      </w:r>
      <w:r>
        <w:rPr>
          <w:sz w:val="24"/>
        </w:rPr>
        <w:tab/>
        <w:t>Before entering into a residence contract</w:t>
      </w:r>
      <w:bookmarkEnd w:id="48"/>
      <w:bookmarkEnd w:id="49"/>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section 43 of the </w:t>
      </w:r>
      <w:r>
        <w:rPr>
          <w:i/>
          <w:sz w:val="24"/>
        </w:rPr>
        <w:t>Strata Titles Act 1985</w:t>
      </w:r>
      <w:r>
        <w:rPr>
          <w:sz w:val="24"/>
        </w:rP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section 13(2)(c) of the </w:t>
      </w:r>
      <w:r>
        <w:rPr>
          <w:i/>
        </w:rPr>
        <w:t>Retirement Villages Act 1992</w:t>
      </w:r>
      <w:r>
        <w:t xml:space="preserve"> the owner of a retirement village is obliged to provide a prospective resident with a copy of the residence rules of that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Information statement by owner</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w:t>
      </w:r>
      <w:r>
        <w:rPr>
          <w:rStyle w:val="CharPartNo"/>
        </w:rPr>
        <w:t xml:space="preserve"> The questions </w:t>
      </w:r>
      <w:r>
        <w:t>require the owner to disclose such things as —</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08" w:hanging="357"/>
      </w:pPr>
      <w:r>
        <w:rPr>
          <w:rFonts w:ascii="Symbol" w:hAnsi="Symbol"/>
        </w:rPr>
        <w:t></w:t>
      </w:r>
      <w:r>
        <w:rPr>
          <w:rFonts w:ascii="Symbol" w:hAnsi="Symbol"/>
        </w:rPr>
        <w:tab/>
      </w:r>
      <w:r>
        <w:t>the premium (i.e. the ingoing contribution) and other costs payable by the resident to enter the retirement village;</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08" w:hanging="357"/>
      </w:pPr>
      <w:r>
        <w:rPr>
          <w:rFonts w:ascii="Symbol" w:hAnsi="Symbol"/>
        </w:rPr>
        <w:t></w:t>
      </w:r>
      <w:r>
        <w:rPr>
          <w:rFonts w:ascii="Symbol" w:hAnsi="Symbol"/>
        </w:rPr>
        <w:tab/>
      </w:r>
      <w:r>
        <w:t>the village operating costs payable by the resident and the method or calculation used to determine and vary those costs;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08" w:hanging="357"/>
      </w:pPr>
      <w:r>
        <w:rPr>
          <w:rFonts w:ascii="Symbol" w:hAnsi="Symbol"/>
        </w:rPr>
        <w:t></w:t>
      </w:r>
      <w:r>
        <w:rPr>
          <w:rFonts w:ascii="Symbol" w:hAnsi="Symbol"/>
        </w:rPr>
        <w:tab/>
      </w:r>
      <w:r>
        <w:t>the amenities and services that are provided or made available to the resident and the charges or fees payable by the resident to access or use those amenities and services;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08" w:hanging="357"/>
      </w:pPr>
      <w:r>
        <w:rPr>
          <w:rFonts w:ascii="Symbol" w:hAnsi="Symbol"/>
        </w:rPr>
        <w:t></w:t>
      </w:r>
      <w:r>
        <w:rPr>
          <w:rFonts w:ascii="Symbol" w:hAnsi="Symbol"/>
        </w:rPr>
        <w:tab/>
      </w:r>
      <w:r>
        <w:t>details of costs associated with moving to and living in alternative accommodation within the retirement village; and</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211"/>
        </w:tabs>
        <w:spacing w:before="120"/>
        <w:ind w:left="1211" w:hanging="360"/>
      </w:pPr>
      <w:r>
        <w:rPr>
          <w:rFonts w:ascii="Symbol" w:hAnsi="Symbol"/>
        </w:rPr>
        <w:t></w:t>
      </w:r>
      <w:r>
        <w:rPr>
          <w:rFonts w:ascii="Symbol" w:hAnsi="Symbol"/>
        </w:rPr>
        <w:tab/>
      </w:r>
      <w:r>
        <w:t>a clear explanation of the right of the resident to a refund of the whole or a part of the premium on the termination of the residence contract.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Appendix 1 — Checklist for residents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A prospective resident should carefully read and consider the list of questions provided in Appendix 1 to this Code before deciding to enter any retirement village.</w:t>
      </w:r>
    </w:p>
    <w:p>
      <w:pPr>
        <w:pStyle w:val="yHeading5"/>
        <w:rPr>
          <w:sz w:val="24"/>
        </w:rPr>
      </w:pPr>
      <w:bookmarkStart w:id="50" w:name="_Toc378248163"/>
      <w:bookmarkStart w:id="51" w:name="_Toc435098812"/>
      <w:r>
        <w:rPr>
          <w:rStyle w:val="CharSClsNo"/>
        </w:rPr>
        <w:t>3.2</w:t>
      </w:r>
      <w:r>
        <w:rPr>
          <w:sz w:val="24"/>
        </w:rPr>
        <w:tab/>
        <w:t>Before entering into a service contract</w:t>
      </w:r>
      <w:bookmarkEnd w:id="50"/>
      <w:bookmarkEnd w:id="51"/>
    </w:p>
    <w:p>
      <w:pPr>
        <w:pStyle w:val="ySubsection"/>
        <w:spacing w:before="120"/>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52" w:name="_Toc378248164"/>
      <w:bookmarkStart w:id="53" w:name="_Toc426019174"/>
      <w:bookmarkStart w:id="54" w:name="_Toc426019363"/>
      <w:bookmarkStart w:id="55" w:name="_Toc435098813"/>
      <w:r>
        <w:rPr>
          <w:rStyle w:val="CharSDivNo"/>
        </w:rPr>
        <w:t>Division 4</w:t>
      </w:r>
      <w:r>
        <w:t xml:space="preserve"> — </w:t>
      </w:r>
      <w:r>
        <w:rPr>
          <w:rStyle w:val="CharSDivText"/>
        </w:rPr>
        <w:t>Residence contract and service contract</w:t>
      </w:r>
      <w:bookmarkEnd w:id="52"/>
      <w:bookmarkEnd w:id="53"/>
      <w:bookmarkEnd w:id="54"/>
      <w:bookmarkEnd w:id="55"/>
    </w:p>
    <w:p>
      <w:pPr>
        <w:pStyle w:val="yHeading5"/>
      </w:pPr>
      <w:bookmarkStart w:id="56" w:name="_Toc378248165"/>
      <w:bookmarkStart w:id="57" w:name="_Toc435098814"/>
      <w:r>
        <w:rPr>
          <w:rStyle w:val="CharSClsNo"/>
        </w:rPr>
        <w:t>4.1</w:t>
      </w:r>
      <w:r>
        <w:tab/>
        <w:t>Legibility and presentation requirements</w:t>
      </w:r>
      <w:bookmarkEnd w:id="56"/>
      <w:bookmarkEnd w:id="57"/>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zMiscellaneousBody"/>
        <w:keepNext/>
        <w:keepLines/>
        <w:pBdr>
          <w:top w:val="single" w:sz="4" w:space="1" w:color="auto"/>
          <w:left w:val="single" w:sz="4" w:space="0" w:color="auto"/>
          <w:bottom w:val="single" w:sz="4" w:space="1" w:color="auto"/>
          <w:right w:val="single" w:sz="4" w:space="4" w:color="auto"/>
        </w:pBdr>
        <w:spacing w:before="120"/>
        <w:ind w:left="851"/>
        <w:rPr>
          <w:sz w:val="32"/>
        </w:rPr>
      </w:pPr>
      <w:r>
        <w:rPr>
          <w:sz w:val="32"/>
        </w:rPr>
        <w:t>I acknowledge that I have been given a copy of, and have had the opportunity to take independent advice on, this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b/>
        </w:rPr>
      </w:pPr>
      <w:r>
        <w:rPr>
          <w:b/>
        </w:rPr>
        <w:t>Residence contract cooling 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Under section 14 of the </w:t>
      </w:r>
      <w:r>
        <w:rPr>
          <w:i/>
        </w:rPr>
        <w:t>Retirement Villages Act 1992</w:t>
      </w:r>
      <w:r>
        <w:t>, a residence contract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 xml:space="preserve">On withdrawing from a residence contract a person is entitled, subject to the provisions of sections 14(2) and 75 of the </w:t>
      </w:r>
      <w:r>
        <w:rPr>
          <w:i/>
          <w:spacing w:val="-4"/>
        </w:rPr>
        <w:t>Retirement Villages Act 1992</w:t>
      </w:r>
      <w:r>
        <w:rPr>
          <w:spacing w:val="-4"/>
        </w:rPr>
        <w:t>, to the full repayment of all moneys paid.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spacing w:val="-4"/>
        </w:rPr>
        <w:t xml:space="preserve">Where a facility provides a residential care service to a person under the </w:t>
      </w:r>
      <w:r>
        <w:rPr>
          <w:i/>
          <w:spacing w:val="-4"/>
        </w:rPr>
        <w:t>Aged Care Act 1997</w:t>
      </w:r>
      <w:r>
        <w:rPr>
          <w:spacing w:val="-4"/>
        </w:rPr>
        <w:t xml:space="preserve"> </w:t>
      </w:r>
      <w:r>
        <w:t>(Cwlth)</w:t>
      </w:r>
      <w:r>
        <w:rPr>
          <w:spacing w:val="-4"/>
        </w:rPr>
        <w:t>, Subdivision 57</w:t>
      </w:r>
      <w:r>
        <w:rPr>
          <w:spacing w:val="-4"/>
        </w:rPr>
        <w:noBreakHyphen/>
        <w:t>G of that Act will apply to the refund of any entry payment made by the person for the provision of the service.</w:t>
      </w:r>
    </w:p>
    <w:p>
      <w:pPr>
        <w:pStyle w:val="yHeading5"/>
        <w:rPr>
          <w:sz w:val="24"/>
        </w:rPr>
      </w:pPr>
      <w:bookmarkStart w:id="58" w:name="_Toc378248166"/>
      <w:bookmarkStart w:id="59" w:name="_Toc435098815"/>
      <w:r>
        <w:rPr>
          <w:rStyle w:val="CharSClsNo"/>
        </w:rPr>
        <w:t>4.2</w:t>
      </w:r>
      <w:r>
        <w:rPr>
          <w:sz w:val="24"/>
        </w:rPr>
        <w:tab/>
        <w:t>Title and tenure</w:t>
      </w:r>
      <w:bookmarkEnd w:id="58"/>
      <w:bookmarkEnd w:id="59"/>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60" w:name="_Toc378248167"/>
      <w:bookmarkStart w:id="61" w:name="_Toc435098816"/>
      <w:r>
        <w:rPr>
          <w:rStyle w:val="CharSClsNo"/>
        </w:rPr>
        <w:t>4.3</w:t>
      </w:r>
      <w:r>
        <w:rPr>
          <w:sz w:val="24"/>
        </w:rPr>
        <w:tab/>
        <w:t>Residential premises</w:t>
      </w:r>
      <w:bookmarkEnd w:id="60"/>
      <w:bookmarkEnd w:id="61"/>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w:t>
      </w:r>
    </w:p>
    <w:p>
      <w:pPr>
        <w:pStyle w:val="yIndenta"/>
        <w:spacing w:before="40"/>
        <w:rPr>
          <w:sz w:val="24"/>
        </w:rPr>
      </w:pPr>
      <w:r>
        <w:rPr>
          <w:sz w:val="24"/>
        </w:rPr>
        <w:tab/>
        <w:t>(b)</w:t>
      </w:r>
      <w:r>
        <w:rPr>
          <w:sz w:val="24"/>
        </w:rPr>
        <w:tab/>
        <w:t>plans that show the location, floor plan and significant dimensions of the residential premises;</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w:t>
      </w:r>
    </w:p>
    <w:p>
      <w:pPr>
        <w:pStyle w:val="yIndenta"/>
        <w:spacing w:before="40"/>
        <w:rPr>
          <w:sz w:val="24"/>
        </w:rPr>
      </w:pPr>
      <w:r>
        <w:rPr>
          <w:sz w:val="24"/>
        </w:rPr>
        <w:tab/>
        <w:t>(b)</w:t>
      </w:r>
      <w:r>
        <w:rPr>
          <w:sz w:val="24"/>
        </w:rPr>
        <w:tab/>
        <w:t>include a description of the fixtures, fittings and furnishings that are, or are to be, provided in the residential premises;</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62" w:name="_Toc378248168"/>
      <w:bookmarkStart w:id="63" w:name="_Toc435098817"/>
      <w:r>
        <w:rPr>
          <w:rStyle w:val="CharSClsNo"/>
        </w:rPr>
        <w:t>4.4</w:t>
      </w:r>
      <w:r>
        <w:rPr>
          <w:sz w:val="24"/>
        </w:rPr>
        <w:tab/>
        <w:t>Amenities</w:t>
      </w:r>
      <w:bookmarkEnd w:id="62"/>
      <w:bookmarkEnd w:id="63"/>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64" w:name="_Toc378248169"/>
      <w:bookmarkStart w:id="65" w:name="_Toc435098818"/>
      <w:r>
        <w:rPr>
          <w:rStyle w:val="CharSClsNo"/>
        </w:rPr>
        <w:t>4.5</w:t>
      </w:r>
      <w:r>
        <w:rPr>
          <w:sz w:val="24"/>
        </w:rPr>
        <w:tab/>
        <w:t>Services</w:t>
      </w:r>
      <w:bookmarkEnd w:id="64"/>
      <w:bookmarkEnd w:id="65"/>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b/>
          <w:sz w:val="24"/>
        </w:rPr>
        <w:t>“</w:t>
      </w:r>
      <w:r>
        <w:rPr>
          <w:rStyle w:val="CharDefText"/>
          <w:sz w:val="24"/>
        </w:rPr>
        <w:t>personal services</w:t>
      </w:r>
      <w:r>
        <w:rPr>
          <w:b/>
          <w:sz w:val="24"/>
        </w:rPr>
        <w:t>”</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Examples of “personal services” are the provision of meals, laundry services and the cleaning of the resident’s residential premises.</w:t>
      </w:r>
    </w:p>
    <w:p>
      <w:pPr>
        <w:pStyle w:val="yHeading5"/>
        <w:rPr>
          <w:sz w:val="24"/>
        </w:rPr>
      </w:pPr>
      <w:bookmarkStart w:id="66" w:name="_Toc378248170"/>
      <w:bookmarkStart w:id="67" w:name="_Toc435098819"/>
      <w:r>
        <w:rPr>
          <w:rStyle w:val="CharSClsNo"/>
        </w:rPr>
        <w:t>4.6</w:t>
      </w:r>
      <w:r>
        <w:rPr>
          <w:sz w:val="24"/>
        </w:rPr>
        <w:tab/>
        <w:t>Payment of premium and refund entitlement</w:t>
      </w:r>
      <w:bookmarkEnd w:id="66"/>
      <w:bookmarkEnd w:id="67"/>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 example of a cost referred to in paragraph (b)(iii) above is the cost of any repair or refurbishment of the residential premises.</w:t>
      </w:r>
    </w:p>
    <w:p>
      <w:pPr>
        <w:pStyle w:val="yHeading5"/>
        <w:rPr>
          <w:sz w:val="24"/>
        </w:rPr>
      </w:pPr>
      <w:bookmarkStart w:id="68" w:name="_Toc378248171"/>
      <w:bookmarkStart w:id="69" w:name="_Toc435098820"/>
      <w:r>
        <w:rPr>
          <w:rStyle w:val="CharSClsNo"/>
        </w:rPr>
        <w:t>4.7</w:t>
      </w:r>
      <w:r>
        <w:rPr>
          <w:sz w:val="24"/>
        </w:rPr>
        <w:tab/>
        <w:t>Charges for village operating costs</w:t>
      </w:r>
      <w:bookmarkEnd w:id="68"/>
      <w:bookmarkEnd w:id="69"/>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 xml:space="preserve">another person has not been admitted to occupation of the premises under the retirement village scheme; </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rPr>
          <w:sz w:val="24"/>
        </w:rPr>
      </w:pPr>
      <w:bookmarkStart w:id="70" w:name="_Toc378248172"/>
      <w:bookmarkStart w:id="71" w:name="_Toc435098821"/>
      <w:r>
        <w:rPr>
          <w:rStyle w:val="CharSClsNo"/>
        </w:rPr>
        <w:t>4.8</w:t>
      </w:r>
      <w:r>
        <w:rPr>
          <w:sz w:val="24"/>
        </w:rPr>
        <w:tab/>
        <w:t>Reserve funds</w:t>
      </w:r>
      <w:bookmarkEnd w:id="70"/>
      <w:bookmarkEnd w:id="71"/>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72" w:name="_Toc378248173"/>
      <w:bookmarkStart w:id="73" w:name="_Toc435098822"/>
      <w:r>
        <w:rPr>
          <w:rStyle w:val="CharSClsNo"/>
        </w:rPr>
        <w:t>4.9</w:t>
      </w:r>
      <w:r>
        <w:rPr>
          <w:sz w:val="24"/>
        </w:rPr>
        <w:tab/>
        <w:t>Relocation</w:t>
      </w:r>
      <w:bookmarkEnd w:id="72"/>
      <w:bookmarkEnd w:id="73"/>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rPr>
          <w:sz w:val="24"/>
        </w:rPr>
      </w:pPr>
      <w:bookmarkStart w:id="74" w:name="_Toc378248174"/>
      <w:bookmarkStart w:id="75" w:name="_Toc435098823"/>
      <w:r>
        <w:rPr>
          <w:rStyle w:val="CharSClsNo"/>
        </w:rPr>
        <w:t>4.10</w:t>
      </w:r>
      <w:r>
        <w:rPr>
          <w:sz w:val="24"/>
        </w:rPr>
        <w:tab/>
        <w:t>Termination of residence contract and fees payable on termination</w:t>
      </w:r>
      <w:bookmarkEnd w:id="74"/>
      <w:bookmarkEnd w:id="75"/>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conditions under which a residence contract can be terminated, and the cost of the termination, must also be specified in the answers to the questions set out in Form 1 of Schedule 1 to the </w:t>
      </w:r>
      <w:r>
        <w:rPr>
          <w:i/>
        </w:rPr>
        <w:t>Retirement Villages Regulations 1992</w:t>
      </w:r>
      <w:r>
        <w:t xml:space="preserve"> that must be given to a prospective resident.</w:t>
      </w:r>
    </w:p>
    <w:p>
      <w:pPr>
        <w:pStyle w:val="ySubsection"/>
        <w:rPr>
          <w:sz w:val="24"/>
        </w:rPr>
      </w:pPr>
      <w:r>
        <w:rPr>
          <w:sz w:val="24"/>
        </w:rPr>
        <w:tab/>
        <w:t>(2)</w:t>
      </w:r>
      <w:r>
        <w:rPr>
          <w:sz w:val="24"/>
        </w:rPr>
        <w:tab/>
        <w:t xml:space="preserve">The residence contract must include — </w:t>
      </w:r>
    </w:p>
    <w:p>
      <w:pPr>
        <w:pStyle w:val="yIndenta"/>
        <w:rPr>
          <w:sz w:val="24"/>
        </w:rPr>
      </w:pPr>
      <w:r>
        <w:rPr>
          <w:sz w:val="24"/>
        </w:rPr>
        <w:tab/>
        <w:t>(a)</w:t>
      </w:r>
      <w:r>
        <w:rPr>
          <w:sz w:val="24"/>
        </w:rPr>
        <w:tab/>
        <w:t>a statement that the administering body cannot terminate the contract without the agreement of the resident or an order of the relevant Tribunal; and</w:t>
      </w:r>
    </w:p>
    <w:p>
      <w:pPr>
        <w:pStyle w:val="yIndenta"/>
        <w:rPr>
          <w:sz w:val="24"/>
        </w:rPr>
      </w:pPr>
      <w:r>
        <w:rPr>
          <w:sz w:val="24"/>
        </w:rPr>
        <w:tab/>
        <w:t>(b)</w:t>
      </w:r>
      <w:r>
        <w:rPr>
          <w:sz w:val="24"/>
        </w:rPr>
        <w:tab/>
        <w:t>a summary of the powers of the relevant Tribunal to terminate a residence contract.</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legal rights and responsibilities of the administering body and the resident in relation to the termination of a residence contract are set out in Part 4 Division 5 of the </w:t>
      </w:r>
      <w:r>
        <w:rPr>
          <w:i/>
        </w:rPr>
        <w:t>Retirement Villages Act 1992</w:t>
      </w:r>
      <w:r>
        <w:t xml:space="preserve"> and clause 7.1 of this Code.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 summary of these rights and responsibilities and the powers of the relevant Tribunal to terminate a residence contract, is set out in the boxed and shaded information in Division 7 of this Code.</w:t>
      </w:r>
    </w:p>
    <w:p>
      <w:pPr>
        <w:pStyle w:val="yHeading5"/>
        <w:rPr>
          <w:i/>
          <w:sz w:val="24"/>
        </w:rPr>
      </w:pPr>
      <w:bookmarkStart w:id="76" w:name="_Toc378248175"/>
      <w:bookmarkStart w:id="77" w:name="_Toc435098824"/>
      <w:r>
        <w:rPr>
          <w:rStyle w:val="CharSClsNo"/>
        </w:rPr>
        <w:t>4.11</w:t>
      </w:r>
      <w:r>
        <w:rPr>
          <w:sz w:val="24"/>
        </w:rPr>
        <w:tab/>
        <w:t xml:space="preserve">Residence contract to refer to this Code and the </w:t>
      </w:r>
      <w:r>
        <w:rPr>
          <w:i/>
          <w:sz w:val="24"/>
        </w:rPr>
        <w:t>Retirement Villages Act 1992</w:t>
      </w:r>
      <w:bookmarkEnd w:id="76"/>
      <w:bookmarkEnd w:id="77"/>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w:t>
      </w:r>
    </w:p>
    <w:p>
      <w:pPr>
        <w:pStyle w:val="yIndenti0"/>
        <w:rPr>
          <w:sz w:val="24"/>
        </w:rPr>
      </w:pPr>
      <w:r>
        <w:rPr>
          <w:sz w:val="24"/>
        </w:rPr>
        <w:tab/>
        <w:t>(ii)</w:t>
      </w:r>
      <w:r>
        <w:rPr>
          <w:sz w:val="24"/>
        </w:rPr>
        <w:tab/>
        <w:t>by referring any matter in dispute to the Department of Consumer and Employment Protection for investigation and attempted resolution;</w:t>
      </w:r>
    </w:p>
    <w:p>
      <w:pPr>
        <w:pStyle w:val="yIndenti0"/>
        <w:rPr>
          <w:sz w:val="24"/>
        </w:rPr>
      </w:pPr>
      <w:r>
        <w:rPr>
          <w:sz w:val="24"/>
        </w:rPr>
        <w:tab/>
        <w:t>(iii)</w:t>
      </w:r>
      <w:r>
        <w:rPr>
          <w:sz w:val="24"/>
        </w:rPr>
        <w:tab/>
        <w:t>by requesting the Department of Consumer and Employment Protection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in some cases, by making an application to the relevant Tribunal for a legally binding determination of any matter that remains unresolved.</w:t>
      </w:r>
    </w:p>
    <w:p>
      <w:pPr>
        <w:pStyle w:val="yHeading3"/>
      </w:pPr>
      <w:bookmarkStart w:id="78" w:name="_Toc378248176"/>
      <w:bookmarkStart w:id="79" w:name="_Toc426019186"/>
      <w:bookmarkStart w:id="80" w:name="_Toc426019375"/>
      <w:bookmarkStart w:id="81" w:name="_Toc435098825"/>
      <w:r>
        <w:rPr>
          <w:rStyle w:val="CharSDivNo"/>
        </w:rPr>
        <w:t>Division 5</w:t>
      </w:r>
      <w:r>
        <w:t xml:space="preserve"> — </w:t>
      </w:r>
      <w:r>
        <w:rPr>
          <w:rStyle w:val="CharSDivText"/>
        </w:rPr>
        <w:t>Village management</w:t>
      </w:r>
      <w:bookmarkEnd w:id="78"/>
      <w:bookmarkEnd w:id="79"/>
      <w:bookmarkEnd w:id="80"/>
      <w:bookmarkEnd w:id="81"/>
    </w:p>
    <w:p>
      <w:pPr>
        <w:pStyle w:val="yHeading5"/>
        <w:rPr>
          <w:sz w:val="24"/>
        </w:rPr>
      </w:pPr>
      <w:bookmarkStart w:id="82" w:name="_Toc378248177"/>
      <w:bookmarkStart w:id="83" w:name="_Toc435098826"/>
      <w:r>
        <w:rPr>
          <w:rStyle w:val="CharSClsNo"/>
        </w:rPr>
        <w:t>5.1</w:t>
      </w:r>
      <w:r>
        <w:rPr>
          <w:sz w:val="24"/>
        </w:rPr>
        <w:tab/>
        <w:t>Interpretation</w:t>
      </w:r>
      <w:bookmarkEnd w:id="82"/>
      <w:bookmarkEnd w:id="83"/>
    </w:p>
    <w:p>
      <w:pPr>
        <w:pStyle w:val="ySubsection"/>
        <w:rPr>
          <w:sz w:val="24"/>
        </w:rPr>
      </w:pPr>
      <w:r>
        <w:rPr>
          <w:sz w:val="24"/>
        </w:rPr>
        <w:tab/>
        <w:t>(1)</w:t>
      </w:r>
      <w:r>
        <w:rPr>
          <w:sz w:val="24"/>
        </w:rPr>
        <w:tab/>
        <w:t xml:space="preserve">In this Division — </w:t>
      </w:r>
    </w:p>
    <w:p>
      <w:pPr>
        <w:pStyle w:val="yDefstart"/>
        <w:rPr>
          <w:sz w:val="24"/>
        </w:rPr>
      </w:pPr>
      <w:r>
        <w:rPr>
          <w:sz w:val="24"/>
        </w:rPr>
        <w:tab/>
      </w:r>
      <w:r>
        <w:rPr>
          <w:b/>
          <w:sz w:val="24"/>
        </w:rPr>
        <w:t>“</w:t>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b/>
        </w:rPr>
        <w:t>“</w:t>
      </w:r>
      <w:r>
        <w:rPr>
          <w:rStyle w:val="CharDefText"/>
          <w:sz w:val="24"/>
        </w:rPr>
        <w:t>registered company auditor</w:t>
      </w:r>
      <w:r>
        <w:rPr>
          <w:b/>
        </w:rPr>
        <w:t>”</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b/>
        </w:rPr>
        <w:t>“</w:t>
      </w:r>
      <w:r>
        <w:rPr>
          <w:rStyle w:val="CharDefText"/>
          <w:sz w:val="24"/>
        </w:rPr>
        <w:t>special resolution</w:t>
      </w:r>
      <w:r>
        <w:rPr>
          <w:b/>
        </w:rPr>
        <w:t>”</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The voting entitlement of the residents is specified at clause 5.11(9) of this Code.</w:t>
      </w:r>
    </w:p>
    <w:p>
      <w:pPr>
        <w:pStyle w:val="yHeading5"/>
        <w:spacing w:before="160"/>
        <w:rPr>
          <w:sz w:val="24"/>
        </w:rPr>
      </w:pPr>
      <w:bookmarkStart w:id="84" w:name="_Toc378248178"/>
      <w:bookmarkStart w:id="85" w:name="_Toc435098827"/>
      <w:r>
        <w:rPr>
          <w:rStyle w:val="CharSClsNo"/>
        </w:rPr>
        <w:t>5.2</w:t>
      </w:r>
      <w:r>
        <w:rPr>
          <w:sz w:val="24"/>
        </w:rPr>
        <w:tab/>
        <w:t>Management procedures and resident consultation</w:t>
      </w:r>
      <w:bookmarkEnd w:id="84"/>
      <w:bookmarkEnd w:id="85"/>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w:t>
      </w:r>
    </w:p>
    <w:p>
      <w:pPr>
        <w:pStyle w:val="yIndenta"/>
        <w:rPr>
          <w:sz w:val="24"/>
        </w:rPr>
      </w:pPr>
      <w:r>
        <w:rPr>
          <w:sz w:val="24"/>
        </w:rPr>
        <w:tab/>
        <w:t>(b)</w:t>
      </w:r>
      <w:r>
        <w:rPr>
          <w:sz w:val="24"/>
        </w:rPr>
        <w:tab/>
        <w:t>the operating budget for each financial year of the retirement village (see clause 5.3);</w:t>
      </w:r>
    </w:p>
    <w:p>
      <w:pPr>
        <w:pStyle w:val="yIndenta"/>
        <w:rPr>
          <w:sz w:val="24"/>
        </w:rPr>
      </w:pPr>
      <w:r>
        <w:rPr>
          <w:sz w:val="24"/>
        </w:rPr>
        <w:tab/>
        <w:t>(c)</w:t>
      </w:r>
      <w:r>
        <w:rPr>
          <w:sz w:val="24"/>
        </w:rPr>
        <w:tab/>
        <w:t>any plans for the expansion of, or for substantial alterations to, the retirement village;</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rPr>
          <w:sz w:val="24"/>
        </w:rPr>
      </w:pPr>
      <w:bookmarkStart w:id="86" w:name="_Toc378248179"/>
      <w:bookmarkStart w:id="87" w:name="_Toc435098828"/>
      <w:r>
        <w:rPr>
          <w:rStyle w:val="CharSClsNo"/>
        </w:rPr>
        <w:t>5.3</w:t>
      </w:r>
      <w:r>
        <w:rPr>
          <w:sz w:val="24"/>
        </w:rPr>
        <w:tab/>
        <w:t>Village operating budget</w:t>
      </w:r>
      <w:bookmarkEnd w:id="86"/>
      <w:bookmarkEnd w:id="87"/>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b/>
          <w:sz w:val="24"/>
        </w:rPr>
        <w:t>“</w:t>
      </w:r>
      <w:r>
        <w:rPr>
          <w:rStyle w:val="CharDefText"/>
          <w:sz w:val="24"/>
        </w:rPr>
        <w:t>budget documents</w:t>
      </w:r>
      <w:r>
        <w:rPr>
          <w:b/>
          <w:sz w:val="24"/>
        </w:rPr>
        <w:t>”</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 and</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w:t>
      </w:r>
    </w:p>
    <w:p>
      <w:pPr>
        <w:pStyle w:val="yIndenta"/>
        <w:rPr>
          <w:sz w:val="24"/>
        </w:rPr>
      </w:pPr>
      <w:r>
        <w:rPr>
          <w:sz w:val="24"/>
        </w:rPr>
        <w:tab/>
        <w:t>(b)</w:t>
      </w:r>
      <w:r>
        <w:rPr>
          <w:sz w:val="24"/>
        </w:rPr>
        <w:tab/>
        <w:t>any other forms of income which are used to meet village operating costs;</w:t>
      </w:r>
    </w:p>
    <w:p>
      <w:pPr>
        <w:pStyle w:val="yIndenta"/>
        <w:rPr>
          <w:sz w:val="24"/>
        </w:rPr>
      </w:pPr>
      <w:r>
        <w:rPr>
          <w:sz w:val="24"/>
        </w:rPr>
        <w:tab/>
        <w:t>(c)</w:t>
      </w:r>
      <w:r>
        <w:rPr>
          <w:sz w:val="24"/>
        </w:rPr>
        <w:tab/>
        <w:t>all proposed categories of expenditure (without grouping together unlike categories);</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rPr>
          <w:sz w:val="24"/>
        </w:rPr>
      </w:pPr>
      <w:bookmarkStart w:id="88" w:name="_Toc378248180"/>
      <w:bookmarkStart w:id="89" w:name="_Toc435098829"/>
      <w:r>
        <w:rPr>
          <w:rStyle w:val="CharSClsNo"/>
        </w:rPr>
        <w:t>5.4</w:t>
      </w:r>
      <w:r>
        <w:rPr>
          <w:sz w:val="24"/>
        </w:rPr>
        <w:tab/>
        <w:t>Quarterly operating income and expenditure statements</w:t>
      </w:r>
      <w:bookmarkEnd w:id="88"/>
      <w:bookmarkEnd w:id="89"/>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b/>
          <w:sz w:val="24"/>
        </w:rPr>
        <w:t>“</w:t>
      </w:r>
      <w:r>
        <w:rPr>
          <w:rStyle w:val="CharDefText"/>
          <w:sz w:val="24"/>
        </w:rPr>
        <w:t>operating statements</w:t>
      </w:r>
      <w:r>
        <w:rPr>
          <w:b/>
          <w:sz w:val="24"/>
        </w:rPr>
        <w:t>”</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rPr>
          <w:sz w:val="24"/>
        </w:rPr>
      </w:pPr>
      <w:bookmarkStart w:id="90" w:name="_Toc378248181"/>
      <w:bookmarkStart w:id="91" w:name="_Toc435098830"/>
      <w:r>
        <w:rPr>
          <w:rStyle w:val="CharSClsNo"/>
        </w:rPr>
        <w:t>5.5</w:t>
      </w:r>
      <w:r>
        <w:rPr>
          <w:sz w:val="24"/>
        </w:rPr>
        <w:tab/>
        <w:t>Annual accounts</w:t>
      </w:r>
      <w:bookmarkEnd w:id="90"/>
      <w:bookmarkEnd w:id="91"/>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rPr>
          <w:sz w:val="24"/>
        </w:rPr>
      </w:pPr>
      <w:bookmarkStart w:id="92" w:name="_Toc378248182"/>
      <w:bookmarkStart w:id="93" w:name="_Toc435098831"/>
      <w:r>
        <w:rPr>
          <w:rStyle w:val="CharSClsNo"/>
        </w:rPr>
        <w:t>5.6</w:t>
      </w:r>
      <w:r>
        <w:rPr>
          <w:sz w:val="24"/>
        </w:rPr>
        <w:tab/>
        <w:t>Budget surplus</w:t>
      </w:r>
      <w:bookmarkEnd w:id="92"/>
      <w:bookmarkEnd w:id="93"/>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rPr>
          <w:sz w:val="24"/>
        </w:rPr>
      </w:pPr>
      <w:bookmarkStart w:id="94" w:name="_Toc378248183"/>
      <w:bookmarkStart w:id="95" w:name="_Toc435098832"/>
      <w:r>
        <w:rPr>
          <w:rStyle w:val="CharSClsNo"/>
        </w:rPr>
        <w:t>5.7</w:t>
      </w:r>
      <w:r>
        <w:rPr>
          <w:sz w:val="24"/>
        </w:rPr>
        <w:tab/>
        <w:t>Marketing of residential premises</w:t>
      </w:r>
      <w:bookmarkEnd w:id="94"/>
      <w:bookmarkEnd w:id="95"/>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rPr>
          <w:sz w:val="24"/>
        </w:rPr>
      </w:pPr>
      <w:bookmarkStart w:id="96" w:name="_Toc378248184"/>
      <w:bookmarkStart w:id="97" w:name="_Toc435098833"/>
      <w:r>
        <w:rPr>
          <w:rStyle w:val="CharSClsNo"/>
        </w:rPr>
        <w:t>5.8</w:t>
      </w:r>
      <w:r>
        <w:rPr>
          <w:sz w:val="24"/>
        </w:rPr>
        <w:tab/>
        <w:t>Repair and refurbishment of residential premises</w:t>
      </w:r>
      <w:bookmarkEnd w:id="96"/>
      <w:bookmarkEnd w:id="97"/>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b/>
          <w:sz w:val="24"/>
        </w:rPr>
        <w:t>“</w:t>
      </w:r>
      <w:r>
        <w:rPr>
          <w:rStyle w:val="CharDefText"/>
          <w:sz w:val="24"/>
        </w:rPr>
        <w:t>work</w:t>
      </w:r>
      <w:r>
        <w:rPr>
          <w:b/>
          <w:sz w:val="24"/>
        </w:rPr>
        <w:t>”</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relevant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rPr>
          <w:sz w:val="24"/>
        </w:rPr>
      </w:pPr>
      <w:bookmarkStart w:id="98" w:name="_Toc378248185"/>
      <w:bookmarkStart w:id="99" w:name="_Toc435098834"/>
      <w:r>
        <w:rPr>
          <w:rStyle w:val="CharSClsNo"/>
        </w:rPr>
        <w:t>5.9</w:t>
      </w:r>
      <w:r>
        <w:rPr>
          <w:sz w:val="24"/>
        </w:rPr>
        <w:tab/>
        <w:t>Residence rules</w:t>
      </w:r>
      <w:bookmarkEnd w:id="98"/>
      <w:bookmarkEnd w:id="99"/>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rPr>
          <w:sz w:val="24"/>
        </w:rPr>
      </w:pPr>
      <w:bookmarkStart w:id="100" w:name="_Toc378248186"/>
      <w:bookmarkStart w:id="101" w:name="_Toc435098835"/>
      <w:r>
        <w:rPr>
          <w:rStyle w:val="CharSClsNo"/>
        </w:rPr>
        <w:t>5.10</w:t>
      </w:r>
      <w:r>
        <w:rPr>
          <w:sz w:val="24"/>
        </w:rPr>
        <w:tab/>
        <w:t>Residents’ committee</w:t>
      </w:r>
      <w:bookmarkEnd w:id="100"/>
      <w:bookmarkEnd w:id="101"/>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rPr>
          <w:sz w:val="24"/>
        </w:rPr>
      </w:pPr>
      <w:bookmarkStart w:id="102" w:name="_Toc378248187"/>
      <w:bookmarkStart w:id="103" w:name="_Toc435098836"/>
      <w:r>
        <w:rPr>
          <w:rStyle w:val="CharSClsNo"/>
        </w:rPr>
        <w:t>5.11</w:t>
      </w:r>
      <w:r>
        <w:rPr>
          <w:sz w:val="24"/>
        </w:rPr>
        <w:tab/>
        <w:t>Residents’ meetings</w:t>
      </w:r>
      <w:bookmarkEnd w:id="102"/>
      <w:bookmarkEnd w:id="103"/>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w:t>
      </w:r>
    </w:p>
    <w:p>
      <w:pPr>
        <w:pStyle w:val="yIndenta"/>
        <w:rPr>
          <w:sz w:val="24"/>
        </w:rPr>
      </w:pPr>
      <w:r>
        <w:rPr>
          <w:sz w:val="24"/>
        </w:rPr>
        <w:tab/>
        <w:t>(c)</w:t>
      </w:r>
      <w:r>
        <w:rPr>
          <w:sz w:val="24"/>
        </w:rPr>
        <w:tab/>
        <w:t>may call a meeting of the residents at any time if it is reasonable to do so;</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rPr>
          <w:sz w:val="24"/>
        </w:rPr>
      </w:pPr>
      <w:bookmarkStart w:id="104" w:name="_Toc378248188"/>
      <w:bookmarkStart w:id="105" w:name="_Toc435098837"/>
      <w:r>
        <w:rPr>
          <w:rStyle w:val="CharSClsNo"/>
        </w:rPr>
        <w:t>5.12</w:t>
      </w:r>
      <w:r>
        <w:rPr>
          <w:sz w:val="24"/>
        </w:rPr>
        <w:tab/>
        <w:t>Proxy voting</w:t>
      </w:r>
      <w:bookmarkEnd w:id="104"/>
      <w:bookmarkEnd w:id="105"/>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b/>
          <w:sz w:val="24"/>
        </w:rPr>
        <w:t>“</w:t>
      </w:r>
      <w:r>
        <w:rPr>
          <w:rStyle w:val="CharDefText"/>
          <w:sz w:val="24"/>
        </w:rPr>
        <w:t>proxy notice</w:t>
      </w:r>
      <w:r>
        <w:rPr>
          <w:b/>
          <w:sz w:val="24"/>
        </w:rPr>
        <w:t>”</w:t>
      </w:r>
      <w:r>
        <w:rPr>
          <w:sz w:val="24"/>
        </w:rPr>
        <w:t xml:space="preserve">) appoint a person (the </w:t>
      </w:r>
      <w:r>
        <w:rPr>
          <w:b/>
          <w:sz w:val="24"/>
        </w:rPr>
        <w:t>“</w:t>
      </w:r>
      <w:r>
        <w:rPr>
          <w:rStyle w:val="CharDefText"/>
          <w:sz w:val="24"/>
        </w:rPr>
        <w:t>proxy</w:t>
      </w:r>
      <w:r>
        <w:rPr>
          <w:b/>
          <w:sz w:val="24"/>
        </w:rPr>
        <w:t>”</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106" w:name="_Toc378248189"/>
      <w:bookmarkStart w:id="107" w:name="_Toc426019199"/>
      <w:bookmarkStart w:id="108" w:name="_Toc426019388"/>
      <w:bookmarkStart w:id="109" w:name="_Toc435098838"/>
      <w:r>
        <w:rPr>
          <w:rStyle w:val="CharSDivNo"/>
        </w:rPr>
        <w:t>Division 6</w:t>
      </w:r>
      <w:r>
        <w:rPr>
          <w:rStyle w:val="CharPartNo"/>
        </w:rPr>
        <w:t xml:space="preserve"> — </w:t>
      </w:r>
      <w:r>
        <w:rPr>
          <w:rStyle w:val="CharSDivText"/>
        </w:rPr>
        <w:t>Dispute resolution</w:t>
      </w:r>
      <w:bookmarkEnd w:id="106"/>
      <w:bookmarkEnd w:id="107"/>
      <w:bookmarkEnd w:id="108"/>
      <w:bookmarkEnd w:id="109"/>
    </w:p>
    <w:p>
      <w:pPr>
        <w:pStyle w:val="yHeading5"/>
        <w:rPr>
          <w:sz w:val="24"/>
        </w:rPr>
      </w:pPr>
      <w:bookmarkStart w:id="110" w:name="_Toc378248190"/>
      <w:bookmarkStart w:id="111" w:name="_Toc435098839"/>
      <w:r>
        <w:rPr>
          <w:rStyle w:val="CharSClsNo"/>
        </w:rPr>
        <w:t>6.1</w:t>
      </w:r>
      <w:r>
        <w:rPr>
          <w:sz w:val="24"/>
        </w:rPr>
        <w:tab/>
        <w:t>Interpretation</w:t>
      </w:r>
      <w:bookmarkEnd w:id="110"/>
      <w:bookmarkEnd w:id="111"/>
    </w:p>
    <w:p>
      <w:pPr>
        <w:pStyle w:val="ySubsection"/>
        <w:rPr>
          <w:sz w:val="24"/>
        </w:rPr>
      </w:pPr>
      <w:r>
        <w:rPr>
          <w:sz w:val="24"/>
        </w:rPr>
        <w:tab/>
      </w:r>
      <w:r>
        <w:rPr>
          <w:sz w:val="24"/>
        </w:rPr>
        <w:tab/>
        <w:t xml:space="preserve">In this Division — </w:t>
      </w:r>
    </w:p>
    <w:p>
      <w:pPr>
        <w:pStyle w:val="yDefstart"/>
        <w:rPr>
          <w:sz w:val="24"/>
        </w:rPr>
      </w:pPr>
      <w:r>
        <w:rPr>
          <w:b/>
          <w:sz w:val="24"/>
        </w:rPr>
        <w:tab/>
        <w:t>“</w:t>
      </w:r>
      <w:r>
        <w:rPr>
          <w:rStyle w:val="CharDefText"/>
          <w:sz w:val="24"/>
        </w:rPr>
        <w:t>approved form</w:t>
      </w:r>
      <w:r>
        <w:rPr>
          <w:b/>
          <w:sz w:val="24"/>
        </w:rPr>
        <w:t>”</w:t>
      </w:r>
      <w:r>
        <w:rPr>
          <w:sz w:val="24"/>
        </w:rPr>
        <w:t xml:space="preserve"> means a form approved for that purpose by the Commissioner;</w:t>
      </w:r>
    </w:p>
    <w:p>
      <w:pPr>
        <w:pStyle w:val="yDefstart"/>
        <w:rPr>
          <w:sz w:val="24"/>
        </w:rPr>
      </w:pPr>
      <w:r>
        <w:rPr>
          <w:b/>
          <w:sz w:val="24"/>
        </w:rPr>
        <w:tab/>
        <w:t>“</w:t>
      </w:r>
      <w:r>
        <w:rPr>
          <w:rStyle w:val="CharDefText"/>
          <w:sz w:val="24"/>
        </w:rPr>
        <w:t>Commissioner</w:t>
      </w:r>
      <w:r>
        <w:rPr>
          <w:b/>
          <w:sz w:val="24"/>
        </w:rPr>
        <w:t>”</w:t>
      </w:r>
      <w:r>
        <w:rPr>
          <w:sz w:val="24"/>
        </w:rPr>
        <w:t xml:space="preserve"> means Commissioner as defined in section 4 of the </w:t>
      </w:r>
      <w:r>
        <w:rPr>
          <w:i/>
          <w:sz w:val="24"/>
        </w:rPr>
        <w:t>Consumer Affairs Act 1971</w:t>
      </w:r>
      <w:r>
        <w:rPr>
          <w:sz w:val="24"/>
        </w:rPr>
        <w:t>;</w:t>
      </w:r>
    </w:p>
    <w:p>
      <w:pPr>
        <w:pStyle w:val="yDefstart"/>
        <w:rPr>
          <w:sz w:val="24"/>
        </w:rPr>
      </w:pPr>
      <w:r>
        <w:rPr>
          <w:b/>
          <w:sz w:val="24"/>
        </w:rPr>
        <w:tab/>
        <w:t>“</w:t>
      </w:r>
      <w:r>
        <w:rPr>
          <w:rStyle w:val="CharDefText"/>
          <w:sz w:val="24"/>
        </w:rPr>
        <w:t>special resolution</w:t>
      </w:r>
      <w:r>
        <w:rPr>
          <w:b/>
          <w:sz w:val="24"/>
        </w:rPr>
        <w:t>”</w:t>
      </w:r>
      <w:r>
        <w:rPr>
          <w:sz w:val="24"/>
        </w:rPr>
        <w:t xml:space="preserve"> has the same meaning as it has in Division 5 of this Code.</w:t>
      </w:r>
    </w:p>
    <w:p>
      <w:pPr>
        <w:pStyle w:val="yHeading5"/>
        <w:spacing w:before="160"/>
        <w:rPr>
          <w:sz w:val="24"/>
        </w:rPr>
      </w:pPr>
      <w:bookmarkStart w:id="112" w:name="_Toc378248191"/>
      <w:bookmarkStart w:id="113" w:name="_Toc435098840"/>
      <w:r>
        <w:rPr>
          <w:rStyle w:val="CharSClsNo"/>
        </w:rPr>
        <w:t>6.2</w:t>
      </w:r>
      <w:r>
        <w:rPr>
          <w:sz w:val="24"/>
        </w:rPr>
        <w:tab/>
        <w:t>Village dispute process</w:t>
      </w:r>
      <w:bookmarkEnd w:id="112"/>
      <w:bookmarkEnd w:id="113"/>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w:t>
      </w:r>
    </w:p>
    <w:p>
      <w:pPr>
        <w:pStyle w:val="yIndenta"/>
        <w:rPr>
          <w:sz w:val="24"/>
        </w:rPr>
      </w:pPr>
      <w:r>
        <w:rPr>
          <w:sz w:val="24"/>
        </w:rPr>
        <w:tab/>
        <w:t>(c)</w:t>
      </w:r>
      <w:r>
        <w:rPr>
          <w:sz w:val="24"/>
        </w:rPr>
        <w:tab/>
        <w:t xml:space="preserve">the party making the complaint (the </w:t>
      </w:r>
      <w:r>
        <w:rPr>
          <w:b/>
          <w:sz w:val="24"/>
        </w:rPr>
        <w:t>“</w:t>
      </w:r>
      <w:r>
        <w:rPr>
          <w:rStyle w:val="CharDefText"/>
          <w:sz w:val="24"/>
        </w:rPr>
        <w:t>first party</w:t>
      </w:r>
      <w:r>
        <w:rPr>
          <w:b/>
          <w:sz w:val="24"/>
        </w:rPr>
        <w:t>”</w:t>
      </w:r>
      <w:r>
        <w:rPr>
          <w:sz w:val="24"/>
        </w:rPr>
        <w:t xml:space="preserve">) must give written notice to the party against whom the complaint is made (the </w:t>
      </w:r>
      <w:r>
        <w:rPr>
          <w:b/>
          <w:sz w:val="24"/>
        </w:rPr>
        <w:t>“</w:t>
      </w:r>
      <w:r>
        <w:rPr>
          <w:rStyle w:val="CharDefText"/>
          <w:sz w:val="24"/>
        </w:rPr>
        <w:t>second party</w:t>
      </w:r>
      <w:r>
        <w:rPr>
          <w:b/>
          <w:sz w:val="24"/>
        </w:rPr>
        <w:t>”</w:t>
      </w:r>
      <w:r>
        <w:rPr>
          <w:sz w:val="24"/>
        </w:rPr>
        <w:t>), stating the matters complained of and calling on the second party to rectify or otherwise attempt to settle these matters;</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relevant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rPr>
          <w:sz w:val="24"/>
        </w:rPr>
      </w:pPr>
      <w:bookmarkStart w:id="114" w:name="_Toc378248192"/>
      <w:bookmarkStart w:id="115" w:name="_Toc435098841"/>
      <w:r>
        <w:rPr>
          <w:rStyle w:val="CharSClsNo"/>
        </w:rPr>
        <w:t>6.3</w:t>
      </w:r>
      <w:r>
        <w:rPr>
          <w:sz w:val="24"/>
        </w:rPr>
        <w:tab/>
        <w:t>Mediation of dispute</w:t>
      </w:r>
      <w:bookmarkEnd w:id="114"/>
      <w:bookmarkEnd w:id="115"/>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a relevant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Department of Consumer and Employment Protection under section 8(1)(d) of the </w:t>
      </w:r>
      <w:r>
        <w:rPr>
          <w:i/>
          <w:sz w:val="24"/>
        </w:rPr>
        <w:t>Retirement Villages Act 1992</w:t>
      </w:r>
      <w:r>
        <w:rPr>
          <w:sz w:val="24"/>
        </w:rPr>
        <w:t>;</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b/>
          <w:sz w:val="24"/>
        </w:rPr>
        <w:t>“</w:t>
      </w:r>
      <w:r>
        <w:rPr>
          <w:rStyle w:val="CharDefText"/>
          <w:sz w:val="24"/>
        </w:rPr>
        <w:t>withdrawal notice</w:t>
      </w:r>
      <w:r>
        <w:rPr>
          <w:b/>
          <w:sz w:val="24"/>
        </w:rPr>
        <w:t>”</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noBreakHyphen/>
        <w:t>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cannot be resolved within the retirement village, either party can seek the assistance of the Department of Consumer and Employment Protection (</w:t>
      </w:r>
      <w:r>
        <w:rPr>
          <w:b/>
        </w:rPr>
        <w:t>“</w:t>
      </w:r>
      <w:r>
        <w:rPr>
          <w:rStyle w:val="CharDefText"/>
        </w:rPr>
        <w:t>Consumer Protection</w:t>
      </w:r>
      <w:r>
        <w:rPr>
          <w:b/>
        </w:rPr>
        <w:t>”</w:t>
      </w:r>
      <w:r>
        <w:t>). Consumer Protection can provide information and conciliation services to either party to assist in the resolution of the dispute or refer the matter to an independent external mediator.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remains unresolved, either party may apply to the relevant Tribunal for a hearing if the dispute is one in which the Tribunal has jurisdiction.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 xml:space="preserve">The details of the relevant Tribunal’s powers can be found in the </w:t>
      </w:r>
      <w:r>
        <w:rPr>
          <w:i/>
        </w:rPr>
        <w:t>Retirement Villages Act 1992</w:t>
      </w:r>
      <w:r>
        <w:t>, and any associated Act referred to in that Act.</w:t>
      </w:r>
    </w:p>
    <w:p>
      <w:pPr>
        <w:pStyle w:val="yHeading3"/>
        <w:rPr>
          <w:rStyle w:val="CharDivText"/>
        </w:rPr>
      </w:pPr>
      <w:bookmarkStart w:id="116" w:name="_Toc378248193"/>
      <w:bookmarkStart w:id="117" w:name="_Toc426019203"/>
      <w:bookmarkStart w:id="118" w:name="_Toc426019392"/>
      <w:bookmarkStart w:id="119" w:name="_Toc435098842"/>
      <w:r>
        <w:rPr>
          <w:rStyle w:val="CharSDivNo"/>
        </w:rPr>
        <w:t>Division 7</w:t>
      </w:r>
      <w:r>
        <w:rPr>
          <w:b w:val="0"/>
        </w:rPr>
        <w:t> — </w:t>
      </w:r>
      <w:r>
        <w:rPr>
          <w:rStyle w:val="CharSDivText"/>
        </w:rPr>
        <w:t>Termination of residence contracts</w:t>
      </w:r>
      <w:bookmarkEnd w:id="116"/>
      <w:bookmarkEnd w:id="117"/>
      <w:bookmarkEnd w:id="118"/>
      <w:bookmarkEnd w:id="119"/>
    </w:p>
    <w:p>
      <w:pPr>
        <w:pStyle w:val="yHeading5"/>
        <w:rPr>
          <w:sz w:val="24"/>
        </w:rPr>
      </w:pPr>
      <w:bookmarkStart w:id="120" w:name="_Toc378248194"/>
      <w:bookmarkStart w:id="121" w:name="_Toc435098843"/>
      <w:r>
        <w:rPr>
          <w:rStyle w:val="CharSClsNo"/>
        </w:rPr>
        <w:t>7.1</w:t>
      </w:r>
      <w:r>
        <w:rPr>
          <w:sz w:val="24"/>
        </w:rPr>
        <w:tab/>
        <w:t>Notice of intention to terminate</w:t>
      </w:r>
      <w:bookmarkEnd w:id="120"/>
      <w:bookmarkEnd w:id="121"/>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relevant Tribunal for an order to terminate a residence contract under section 58 or 59 of the </w:t>
      </w:r>
      <w:r>
        <w:rPr>
          <w:i/>
          <w:sz w:val="24"/>
        </w:rPr>
        <w:t>Retirement Villages Act 1992</w:t>
      </w:r>
      <w:r>
        <w:rPr>
          <w:sz w:val="24"/>
        </w:rPr>
        <w:t xml:space="preserve"> (the </w:t>
      </w:r>
      <w:r>
        <w:rPr>
          <w:b/>
          <w:sz w:val="24"/>
        </w:rPr>
        <w:t>“</w:t>
      </w:r>
      <w:r>
        <w:rPr>
          <w:rStyle w:val="CharDefText"/>
          <w:sz w:val="24"/>
        </w:rPr>
        <w:t>Act</w:t>
      </w:r>
      <w:r>
        <w:rPr>
          <w:b/>
          <w:sz w:val="24"/>
        </w:rPr>
        <w:t>”</w:t>
      </w:r>
      <w:r>
        <w:rPr>
          <w:sz w:val="24"/>
        </w:rPr>
        <w:t>).</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t>(c)</w:t>
      </w:r>
      <w:r>
        <w:rPr>
          <w:sz w:val="24"/>
        </w:rPr>
        <w:tab/>
        <w:t>clearly state that the residence contract cannot be terminated without an order by the relevant Tribunal; and</w:t>
      </w:r>
    </w:p>
    <w:p>
      <w:pPr>
        <w:pStyle w:val="yIndenta"/>
        <w:rPr>
          <w:sz w:val="24"/>
        </w:rPr>
      </w:pPr>
      <w:r>
        <w:rPr>
          <w:sz w:val="24"/>
        </w:rPr>
        <w:tab/>
        <w:t>(d)</w:t>
      </w:r>
      <w:r>
        <w:rPr>
          <w:sz w:val="24"/>
        </w:rPr>
        <w:tab/>
        <w:t>advise the resident of his or her right to occupy the residential premises until the Tribunal fixes a termination date.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The administering body of a retirement village cannot terminate a residence contract on its own; that is, without the agreement of the resident. However, a resident or the administering body may apply to the relevant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The manner in which a resident may terminate a residence contract after the expiration of the cooling</w:t>
      </w:r>
      <w:r>
        <w:noBreakHyphen/>
        <w:t xml:space="preserve">off period is as set out in the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the relevant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As set out in Part 4 Division 5 of the </w:t>
      </w:r>
      <w:r>
        <w:rPr>
          <w:i/>
        </w:rPr>
        <w:t>Retirement Villages Act 1992</w:t>
      </w:r>
      <w:r>
        <w:t xml:space="preserve">, an administering body may apply to the relevant Tribunal to terminate a residence contract on the grounds that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120"/>
        <w:ind w:left="1305" w:hanging="454"/>
      </w:pPr>
      <w:r>
        <w:rPr>
          <w:rFonts w:ascii="Symbol" w:hAnsi="Symbol"/>
        </w:rPr>
        <w:t></w:t>
      </w:r>
      <w:r>
        <w:rPr>
          <w:rFonts w:ascii="Symbol" w:hAnsi="Symbol"/>
        </w:rPr>
        <w:tab/>
      </w:r>
      <w:r>
        <w:t>the resident’s physical or mental health is such as to make the residential premises unsuitable for occupation by the resident (section 58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120"/>
        <w:ind w:left="1305" w:hanging="454"/>
      </w:pPr>
      <w:r>
        <w:rPr>
          <w:rFonts w:ascii="Symbol" w:hAnsi="Symbol"/>
        </w:rPr>
        <w:t></w:t>
      </w:r>
      <w:r>
        <w:rPr>
          <w:rFonts w:ascii="Symbol" w:hAnsi="Symbol"/>
        </w:rPr>
        <w:tab/>
      </w:r>
      <w:r>
        <w:t>the resident has breached the residence contract or the residence rules and has failed to rectify that breach (section 59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120"/>
        <w:ind w:left="1305" w:hanging="454"/>
      </w:pPr>
      <w:r>
        <w:rPr>
          <w:rFonts w:ascii="Symbol" w:hAnsi="Symbol"/>
        </w:rPr>
        <w:t></w:t>
      </w:r>
      <w:r>
        <w:rPr>
          <w:rFonts w:ascii="Symbol" w:hAnsi="Symbol"/>
        </w:rPr>
        <w:tab/>
      </w:r>
      <w: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120"/>
        <w:ind w:left="1305" w:hanging="454"/>
      </w:pPr>
      <w:r>
        <w:rPr>
          <w:rFonts w:ascii="Symbol" w:hAnsi="Symbol"/>
        </w:rPr>
        <w:t></w:t>
      </w:r>
      <w:r>
        <w:rPr>
          <w:rFonts w:ascii="Symbol" w:hAnsi="Symbol"/>
        </w:rPr>
        <w:tab/>
      </w:r>
      <w:r>
        <w:t>the administering body would, in the special circumstances of the case, suffer undue hardship if the residence contract were not terminated (section 63 of the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Under section 57 of the Act, a resident may apply to the relevant Tribunal for an order in respect of a dispute with the administering body as to whether the resident should be transferred to another kind of accommodation in the village. The Tribunal may make an order that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80"/>
        <w:ind w:left="1305" w:hanging="454"/>
        <w:rPr>
          <w:spacing w:val="-4"/>
        </w:rPr>
      </w:pPr>
      <w:r>
        <w:rPr>
          <w:rFonts w:ascii="Symbol" w:hAnsi="Symbol"/>
          <w:spacing w:val="-4"/>
        </w:rPr>
        <w:t></w:t>
      </w:r>
      <w:r>
        <w:rPr>
          <w:rFonts w:ascii="Symbol" w:hAnsi="Symbol"/>
          <w:spacing w:val="-4"/>
        </w:rPr>
        <w:tab/>
      </w:r>
      <w:r>
        <w:rPr>
          <w:spacing w:val="-4"/>
        </w:rPr>
        <w:t>restrains the administering body from transferring the resident to another kind of accommodation in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80"/>
        <w:ind w:left="1305" w:hanging="454"/>
      </w:pPr>
      <w:r>
        <w:rPr>
          <w:rFonts w:ascii="Symbol" w:hAnsi="Symbol"/>
        </w:rPr>
        <w:t></w:t>
      </w:r>
      <w:r>
        <w:rPr>
          <w:rFonts w:ascii="Symbol" w:hAnsi="Symbol"/>
        </w:rPr>
        <w:tab/>
      </w:r>
      <w:r>
        <w:t>requires the resident to transfer, or the administering body to transfer the resident, to another kind of accommodation in the village;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305"/>
        </w:tabs>
        <w:spacing w:before="80"/>
        <w:ind w:left="1305" w:hanging="454"/>
        <w:rPr>
          <w:b/>
        </w:rPr>
      </w:pPr>
      <w:r>
        <w:rPr>
          <w:rFonts w:ascii="Symbol" w:hAnsi="Symbol"/>
        </w:rPr>
        <w:t></w:t>
      </w:r>
      <w:r>
        <w:rPr>
          <w:rFonts w:ascii="Symbol" w:hAnsi="Symbol"/>
        </w:rPr>
        <w:tab/>
      </w:r>
      <w:r>
        <w:t>terminates the residence contract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As required under sections 58 and 59 of the </w:t>
      </w:r>
      <w:r>
        <w:rPr>
          <w:i/>
        </w:rPr>
        <w:t>Retirement Villages Act 1992</w:t>
      </w:r>
      <w:r>
        <w:t>, the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Section 61 of the Act gives the relevant Tribunal the power to waive the requirement to give this notice if considered appropriate to do so having regard to any special circumstances of a particular case.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Where a residence contract has been terminated under the residence contract or the </w:t>
      </w:r>
      <w:r>
        <w:rPr>
          <w:i/>
        </w:rPr>
        <w:t>Retirement Villages Act 1992</w:t>
      </w:r>
      <w:r>
        <w:t xml:space="preserve"> on the happening of an event or circumstance which requires the repayment of the whole or a part of the premium paid by the resident to enter the village, the administering body must pay the resident any money due under the contract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211"/>
        </w:tabs>
        <w:spacing w:before="80"/>
        <w:ind w:left="1208" w:hanging="357"/>
      </w:pPr>
      <w:r>
        <w:rPr>
          <w:rFonts w:ascii="Symbol" w:hAnsi="Symbol"/>
        </w:rPr>
        <w:t></w:t>
      </w:r>
      <w:r>
        <w:rPr>
          <w:rFonts w:ascii="Symbol" w:hAnsi="Symbol"/>
        </w:rPr>
        <w:tab/>
      </w:r>
      <w:r>
        <w:t>within 7 days of the succeeding resident taking occupation of the residential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211"/>
        </w:tabs>
        <w:spacing w:before="80"/>
        <w:ind w:left="1208" w:hanging="357"/>
      </w:pPr>
      <w:r>
        <w:rPr>
          <w:rFonts w:ascii="Symbol" w:hAnsi="Symbol"/>
        </w:rPr>
        <w:t></w:t>
      </w:r>
      <w:r>
        <w:rPr>
          <w:rFonts w:ascii="Symbol" w:hAnsi="Symbol"/>
        </w:rPr>
        <w:tab/>
      </w:r>
      <w:r>
        <w:t>in any other case within 45 days of the day on which the resident ceases occupation of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Where the relevant Tribunal has terminated a residence contract, the Tribunal is to fix a date by which the resident must vacate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When ordering the termination of a residence contract, the relevant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Where a facility provides a residential care service to a person under the </w:t>
      </w:r>
      <w:r>
        <w:rPr>
          <w:i/>
        </w:rPr>
        <w:t>Aged Care Act 1997</w:t>
      </w:r>
      <w:r>
        <w:t xml:space="preserve"> (Cwlth), Subdivision 57</w:t>
      </w:r>
      <w:r>
        <w:noBreakHyphen/>
        <w:t>G of that Act will determine the period within which the refund of any entry payment made by the person for the provision of the service is to be paid.</w:t>
      </w:r>
    </w:p>
    <w:p>
      <w:pPr>
        <w:pStyle w:val="yHeading3"/>
      </w:pPr>
      <w:bookmarkStart w:id="122" w:name="_Toc378248195"/>
      <w:bookmarkStart w:id="123" w:name="_Toc426019205"/>
      <w:bookmarkStart w:id="124" w:name="_Toc426019394"/>
      <w:bookmarkStart w:id="125" w:name="_Toc435098844"/>
      <w:r>
        <w:rPr>
          <w:rStyle w:val="CharSDivNo"/>
        </w:rPr>
        <w:t>Division 8</w:t>
      </w:r>
      <w:r>
        <w:rPr>
          <w:b w:val="0"/>
        </w:rPr>
        <w:t> — </w:t>
      </w:r>
      <w:r>
        <w:rPr>
          <w:rStyle w:val="CharSDivText"/>
        </w:rPr>
        <w:t>Miscellaneous</w:t>
      </w:r>
      <w:bookmarkEnd w:id="122"/>
      <w:bookmarkEnd w:id="123"/>
      <w:bookmarkEnd w:id="124"/>
      <w:bookmarkEnd w:id="125"/>
    </w:p>
    <w:p>
      <w:pPr>
        <w:pStyle w:val="yHeading5"/>
        <w:rPr>
          <w:sz w:val="24"/>
        </w:rPr>
      </w:pPr>
      <w:bookmarkStart w:id="126" w:name="_Toc378248196"/>
      <w:bookmarkStart w:id="127" w:name="_Toc435098845"/>
      <w:r>
        <w:rPr>
          <w:rStyle w:val="CharSClsNo"/>
        </w:rPr>
        <w:t>8.1</w:t>
      </w:r>
      <w:r>
        <w:rPr>
          <w:sz w:val="24"/>
        </w:rPr>
        <w:tab/>
        <w:t>Service of documents</w:t>
      </w:r>
      <w:bookmarkEnd w:id="126"/>
      <w:bookmarkEnd w:id="127"/>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pageBreakBefore/>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t>“</w:t>
      </w:r>
      <w:r>
        <w:rPr>
          <w:rStyle w:val="CharDefText"/>
          <w:sz w:val="24"/>
        </w:rPr>
        <w:t>personal representative</w:t>
      </w:r>
      <w:r>
        <w:rPr>
          <w:b/>
          <w:sz w:val="24"/>
        </w:rPr>
        <w:t>”</w:t>
      </w:r>
      <w:r>
        <w:rPr>
          <w:sz w:val="24"/>
        </w:rPr>
        <w:t xml:space="preserve"> has the same meaning as it has in Division 5 of this Code.</w:t>
      </w:r>
    </w:p>
    <w:p>
      <w:pPr>
        <w:pStyle w:val="yHeading2"/>
        <w:pageBreakBefore/>
      </w:pPr>
      <w:bookmarkStart w:id="128" w:name="_Toc378248197"/>
      <w:bookmarkStart w:id="129" w:name="_Toc426019207"/>
      <w:bookmarkStart w:id="130" w:name="_Toc426019396"/>
      <w:bookmarkStart w:id="131" w:name="_Toc435098846"/>
      <w:r>
        <w:rPr>
          <w:rStyle w:val="CharPartText"/>
        </w:rPr>
        <w:t xml:space="preserve">Appendix 1 — </w:t>
      </w:r>
      <w:r>
        <w:t>Checklist for prospective resident</w:t>
      </w:r>
      <w:bookmarkEnd w:id="128"/>
      <w:bookmarkEnd w:id="129"/>
      <w:bookmarkEnd w:id="130"/>
      <w:bookmarkEnd w:id="131"/>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2.</w:t>
      </w:r>
      <w: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3.</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4.</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5.</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6.</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7.</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8.</w:t>
      </w:r>
      <w:r>
        <w:tab/>
        <w:t>Does the village provide personal care or nursing care, an emergency call system and other amenities that are likely to meet my present or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9.</w:t>
      </w:r>
      <w:r>
        <w:tab/>
        <w:t>Have I looked at a number of villages to compare the amenities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12.</w:t>
      </w:r>
      <w:r>
        <w:tab/>
        <w:t xml:space="preserve">Before I sign the contract, have I received and considered all the information required to be given to me under the </w:t>
      </w:r>
      <w:r>
        <w:rPr>
          <w:i/>
        </w:rPr>
        <w:t>Code of Fair Practice for Retirement Villages 2003</w:t>
      </w:r>
      <w:r>
        <w:t xml:space="preserve"> and the </w:t>
      </w:r>
      <w:r>
        <w:rPr>
          <w:i/>
        </w:rPr>
        <w:t>Retirement Villages Act 1992</w:t>
      </w:r>
      <w:r>
        <w:t>?</w:t>
      </w:r>
    </w:p>
    <w:p>
      <w:pPr>
        <w:pStyle w:val="yHeading2"/>
        <w:pageBreakBefore/>
        <w:rPr>
          <w:rStyle w:val="CharPartText"/>
        </w:rPr>
      </w:pPr>
      <w:bookmarkStart w:id="132" w:name="_Toc378248198"/>
      <w:bookmarkStart w:id="133" w:name="_Toc426019208"/>
      <w:bookmarkStart w:id="134" w:name="_Toc426019397"/>
      <w:bookmarkStart w:id="135" w:name="_Toc435098847"/>
      <w:r>
        <w:rPr>
          <w:rStyle w:val="CharPartText"/>
        </w:rPr>
        <w:t>Appendix 2 — Model proposed operating budget form</w:t>
      </w:r>
      <w:bookmarkEnd w:id="132"/>
      <w:bookmarkEnd w:id="133"/>
      <w:bookmarkEnd w:id="134"/>
      <w:bookmarkEnd w:id="135"/>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18"/>
        <w:gridCol w:w="142"/>
        <w:gridCol w:w="1275"/>
        <w:gridCol w:w="142"/>
        <w:gridCol w:w="127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
            </w:pPr>
          </w:p>
        </w:tc>
        <w:tc>
          <w:tcPr>
            <w:tcW w:w="1418" w:type="dxa"/>
            <w:tcBorders>
              <w:top w:val="single" w:sz="12" w:space="0" w:color="auto"/>
              <w:left w:val="single" w:sz="4" w:space="0" w:color="auto"/>
              <w:bottom w:val="single" w:sz="12" w:space="0" w:color="auto"/>
              <w:right w:val="single" w:sz="4" w:space="0" w:color="auto"/>
            </w:tcBorders>
          </w:tcPr>
          <w:p>
            <w:pPr>
              <w:pStyle w:val="yTable"/>
              <w:jc w:val="center"/>
              <w:rPr>
                <w:b/>
              </w:rPr>
            </w:pPr>
            <w:r>
              <w:rPr>
                <w:b/>
              </w:rPr>
              <w:t>BUDGET</w:t>
            </w:r>
          </w:p>
          <w:p>
            <w:pPr>
              <w:pStyle w:val="yTable"/>
              <w:jc w:val="center"/>
              <w:rPr>
                <w:b/>
              </w:rPr>
            </w:pPr>
            <w:r>
              <w:rPr>
                <w:b/>
              </w:rPr>
              <w:br/>
              <w:t xml:space="preserve">................. </w:t>
            </w:r>
          </w:p>
          <w:p>
            <w:pPr>
              <w:pStyle w:val="yTable"/>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
              <w:jc w:val="center"/>
              <w:rPr>
                <w:b/>
              </w:rPr>
            </w:pPr>
            <w:r>
              <w:rPr>
                <w:b/>
              </w:rPr>
              <w:t>ACTUAL</w:t>
            </w:r>
          </w:p>
          <w:p>
            <w:pPr>
              <w:pStyle w:val="yTable"/>
              <w:jc w:val="center"/>
              <w:rPr>
                <w:b/>
              </w:rPr>
            </w:pPr>
            <w:r>
              <w:rPr>
                <w:b/>
              </w:rPr>
              <w:br/>
              <w:t>.................</w:t>
            </w:r>
          </w:p>
          <w:p>
            <w:pPr>
              <w:pStyle w:val="yTable"/>
              <w:jc w:val="center"/>
              <w:rPr>
                <w:b/>
              </w:rPr>
            </w:pPr>
            <w:r>
              <w:rPr>
                <w:b/>
                <w:i/>
                <w:sz w:val="20"/>
              </w:rPr>
              <w:t>(insert current year)</w:t>
            </w:r>
          </w:p>
        </w:tc>
        <w:tc>
          <w:tcPr>
            <w:tcW w:w="1418" w:type="dxa"/>
            <w:gridSpan w:val="2"/>
            <w:tcBorders>
              <w:top w:val="single" w:sz="12" w:space="0" w:color="auto"/>
              <w:left w:val="single" w:sz="4" w:space="0" w:color="auto"/>
              <w:bottom w:val="single" w:sz="12" w:space="0" w:color="auto"/>
              <w:right w:val="single" w:sz="4" w:space="0" w:color="auto"/>
            </w:tcBorders>
          </w:tcPr>
          <w:p>
            <w:pPr>
              <w:pStyle w:val="yTable"/>
              <w:jc w:val="center"/>
              <w:rPr>
                <w:b/>
              </w:rPr>
            </w:pPr>
            <w:r>
              <w:rPr>
                <w:b/>
              </w:rPr>
              <w:t>PROPOSED BUDGET</w:t>
            </w:r>
          </w:p>
          <w:p>
            <w:pPr>
              <w:pStyle w:val="yTable"/>
              <w:jc w:val="center"/>
              <w:rPr>
                <w:b/>
              </w:rPr>
            </w:pPr>
            <w:r>
              <w:rPr>
                <w:b/>
              </w:rPr>
              <w:t>..................</w:t>
            </w:r>
          </w:p>
          <w:p>
            <w:pPr>
              <w:pStyle w:val="yTable"/>
              <w:jc w:val="center"/>
              <w:rPr>
                <w:b/>
                <w:i/>
                <w:sz w:val="20"/>
              </w:rPr>
            </w:pPr>
            <w:r>
              <w:rPr>
                <w:b/>
                <w:i/>
                <w:sz w:val="20"/>
              </w:rPr>
              <w:t>(insert next year)</w:t>
            </w:r>
          </w:p>
        </w:tc>
      </w:tr>
      <w:tr>
        <w:trPr>
          <w:cantSplit/>
        </w:trPr>
        <w:tc>
          <w:tcPr>
            <w:tcW w:w="7088" w:type="dxa"/>
            <w:gridSpan w:val="6"/>
            <w:tcBorders>
              <w:top w:val="nil"/>
            </w:tcBorders>
          </w:tcPr>
          <w:p>
            <w:pPr>
              <w:pStyle w:val="yTable"/>
              <w:rPr>
                <w:b/>
              </w:rPr>
            </w:pPr>
            <w:r>
              <w:rPr>
                <w:b/>
              </w:rPr>
              <w:t>INCOME</w:t>
            </w:r>
          </w:p>
        </w:tc>
      </w:tr>
      <w:tr>
        <w:tc>
          <w:tcPr>
            <w:tcW w:w="2835" w:type="dxa"/>
          </w:tcPr>
          <w:p>
            <w:pPr>
              <w:pStyle w:val="yTable"/>
              <w:ind w:left="318" w:hanging="318"/>
            </w:pPr>
            <w:r>
              <w:t>Residents’ fees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pPr>
            <w:r>
              <w:t>Donations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Other (insert as appropriate)</w:t>
            </w:r>
          </w:p>
        </w:tc>
        <w:tc>
          <w:tcPr>
            <w:tcW w:w="1418" w:type="dxa"/>
            <w:tcBorders>
              <w:bottom w:val="nil"/>
            </w:tcBorders>
          </w:tcPr>
          <w:p>
            <w:pPr>
              <w:pStyle w:val="yTable"/>
            </w:pPr>
          </w:p>
        </w:tc>
        <w:tc>
          <w:tcPr>
            <w:tcW w:w="1417" w:type="dxa"/>
            <w:gridSpan w:val="2"/>
            <w:tcBorders>
              <w:bottom w:val="nil"/>
            </w:tcBorders>
          </w:tcPr>
          <w:p>
            <w:pPr>
              <w:pStyle w:val="yTable"/>
            </w:pPr>
          </w:p>
        </w:tc>
        <w:tc>
          <w:tcPr>
            <w:tcW w:w="1418" w:type="dxa"/>
            <w:gridSpan w:val="2"/>
            <w:tcBorders>
              <w:bottom w:val="nil"/>
            </w:tcBorders>
          </w:tcPr>
          <w:p>
            <w:pPr>
              <w:pStyle w:val="yTable"/>
            </w:pPr>
          </w:p>
        </w:tc>
      </w:tr>
      <w:tr>
        <w:tc>
          <w:tcPr>
            <w:tcW w:w="2835" w:type="dxa"/>
            <w:tcBorders>
              <w:right w:val="nil"/>
            </w:tcBorders>
          </w:tcPr>
          <w:p>
            <w:pPr>
              <w:pStyle w:val="yTable"/>
              <w:rPr>
                <w:b/>
              </w:rPr>
            </w:pPr>
            <w:r>
              <w:rPr>
                <w:b/>
              </w:rPr>
              <w:t>TOTAL INCOME</w:t>
            </w:r>
          </w:p>
        </w:tc>
        <w:tc>
          <w:tcPr>
            <w:tcW w:w="1418" w:type="dxa"/>
            <w:tcBorders>
              <w:top w:val="single" w:sz="12" w:space="0" w:color="auto"/>
              <w:left w:val="single" w:sz="12" w:space="0" w:color="auto"/>
              <w:bottom w:val="single" w:sz="12" w:space="0" w:color="auto"/>
              <w:right w:val="single" w:sz="12" w:space="0" w:color="auto"/>
            </w:tcBorders>
          </w:tcPr>
          <w:p>
            <w:pPr>
              <w:pStyle w:val="yTable"/>
            </w:pPr>
          </w:p>
        </w:tc>
        <w:tc>
          <w:tcPr>
            <w:tcW w:w="1417" w:type="dxa"/>
            <w:gridSpan w:val="2"/>
            <w:tcBorders>
              <w:top w:val="single" w:sz="12" w:space="0" w:color="auto"/>
              <w:left w:val="nil"/>
              <w:bottom w:val="single" w:sz="12" w:space="0" w:color="auto"/>
              <w:right w:val="single" w:sz="12" w:space="0" w:color="auto"/>
            </w:tcBorders>
          </w:tcPr>
          <w:p>
            <w:pPr>
              <w:pStyle w:val="yTable"/>
            </w:pPr>
          </w:p>
        </w:tc>
        <w:tc>
          <w:tcPr>
            <w:tcW w:w="1418" w:type="dxa"/>
            <w:gridSpan w:val="2"/>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6"/>
          </w:tcPr>
          <w:p>
            <w:pPr>
              <w:pStyle w:val="yTable"/>
            </w:pPr>
          </w:p>
        </w:tc>
      </w:tr>
      <w:tr>
        <w:trPr>
          <w:cantSplit/>
        </w:trPr>
        <w:tc>
          <w:tcPr>
            <w:tcW w:w="7088" w:type="dxa"/>
            <w:gridSpan w:val="6"/>
          </w:tcPr>
          <w:p>
            <w:pPr>
              <w:pStyle w:val="yTable"/>
              <w:rPr>
                <w:b/>
              </w:rPr>
            </w:pPr>
            <w:r>
              <w:rPr>
                <w:b/>
              </w:rPr>
              <w:t>EXPENDITURE</w:t>
            </w:r>
          </w:p>
        </w:tc>
      </w:tr>
      <w:tr>
        <w:trPr>
          <w:cantSplit/>
        </w:trPr>
        <w:tc>
          <w:tcPr>
            <w:tcW w:w="7088" w:type="dxa"/>
            <w:gridSpan w:val="6"/>
          </w:tcPr>
          <w:p>
            <w:pPr>
              <w:pStyle w:val="yTable"/>
              <w:rPr>
                <w:b/>
              </w:rPr>
            </w:pPr>
            <w:r>
              <w:rPr>
                <w:b/>
              </w:rPr>
              <w:t>Amenities:</w:t>
            </w:r>
          </w:p>
        </w:tc>
      </w:tr>
      <w:tr>
        <w:tc>
          <w:tcPr>
            <w:tcW w:w="2835" w:type="dxa"/>
          </w:tcPr>
          <w:p>
            <w:pPr>
              <w:pStyle w:val="yTable"/>
              <w:ind w:left="318" w:hanging="318"/>
            </w:pPr>
            <w:r>
              <w:tab/>
              <w:t>Council rates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Insurance</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Pest control</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Rubbish removal</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Village security</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Utilities:</w:t>
            </w:r>
          </w:p>
        </w:tc>
      </w:tr>
      <w:tr>
        <w:tc>
          <w:tcPr>
            <w:tcW w:w="2835" w:type="dxa"/>
          </w:tcPr>
          <w:p>
            <w:pPr>
              <w:pStyle w:val="yTable"/>
              <w:ind w:left="318" w:hanging="318"/>
            </w:pPr>
            <w:r>
              <w:tab/>
              <w:t>Water rates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Electricity</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Gas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Repairs &amp; Maintenance:</w:t>
            </w:r>
          </w:p>
        </w:tc>
      </w:tr>
      <w:tr>
        <w:tc>
          <w:tcPr>
            <w:tcW w:w="2835" w:type="dxa"/>
          </w:tcPr>
          <w:p>
            <w:pPr>
              <w:pStyle w:val="yTable"/>
              <w:ind w:left="318" w:hanging="318"/>
            </w:pPr>
            <w:r>
              <w:tab/>
              <w:t>Staff costs</w:t>
            </w:r>
          </w:p>
        </w:tc>
        <w:tc>
          <w:tcPr>
            <w:tcW w:w="1418" w:type="dxa"/>
          </w:tcPr>
          <w:p>
            <w:pPr>
              <w:pStyle w:val="yTable"/>
              <w:keepNext/>
              <w:keepLines/>
            </w:pPr>
          </w:p>
        </w:tc>
        <w:tc>
          <w:tcPr>
            <w:tcW w:w="1417" w:type="dxa"/>
            <w:gridSpan w:val="2"/>
          </w:tcPr>
          <w:p>
            <w:pPr>
              <w:pStyle w:val="yTable"/>
              <w:keepNext/>
              <w:keepLines/>
            </w:pPr>
          </w:p>
        </w:tc>
        <w:tc>
          <w:tcPr>
            <w:tcW w:w="1418" w:type="dxa"/>
            <w:gridSpan w:val="2"/>
          </w:tcPr>
          <w:p>
            <w:pPr>
              <w:pStyle w:val="yTable"/>
              <w:keepNext/>
              <w:keepLines/>
            </w:pPr>
          </w:p>
        </w:tc>
      </w:tr>
      <w:tr>
        <w:tc>
          <w:tcPr>
            <w:tcW w:w="2835" w:type="dxa"/>
          </w:tcPr>
          <w:p>
            <w:pPr>
              <w:pStyle w:val="yTable"/>
              <w:ind w:left="318" w:hanging="318"/>
            </w:pPr>
            <w:r>
              <w:tab/>
              <w:t>Materials</w:t>
            </w:r>
          </w:p>
        </w:tc>
        <w:tc>
          <w:tcPr>
            <w:tcW w:w="1418" w:type="dxa"/>
          </w:tcPr>
          <w:p>
            <w:pPr>
              <w:pStyle w:val="yTable"/>
              <w:keepNext/>
              <w:keepLines/>
            </w:pPr>
          </w:p>
        </w:tc>
        <w:tc>
          <w:tcPr>
            <w:tcW w:w="1417" w:type="dxa"/>
            <w:gridSpan w:val="2"/>
          </w:tcPr>
          <w:p>
            <w:pPr>
              <w:pStyle w:val="yTable"/>
              <w:keepNext/>
              <w:keepLines/>
            </w:pPr>
          </w:p>
        </w:tc>
        <w:tc>
          <w:tcPr>
            <w:tcW w:w="1418" w:type="dxa"/>
            <w:gridSpan w:val="2"/>
          </w:tcPr>
          <w:p>
            <w:pPr>
              <w:pStyle w:val="yTable"/>
              <w:keepNext/>
              <w:keepLines/>
            </w:pPr>
          </w:p>
        </w:tc>
      </w:tr>
      <w:tr>
        <w:tc>
          <w:tcPr>
            <w:tcW w:w="2835" w:type="dxa"/>
          </w:tcPr>
          <w:p>
            <w:pPr>
              <w:pStyle w:val="yTable"/>
              <w:ind w:left="318" w:hanging="318"/>
            </w:pPr>
            <w:r>
              <w:tab/>
              <w:t>Contractors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Grounds Maintenance:</w:t>
            </w:r>
          </w:p>
        </w:tc>
      </w:tr>
      <w:tr>
        <w:tc>
          <w:tcPr>
            <w:tcW w:w="2835" w:type="dxa"/>
          </w:tcPr>
          <w:p>
            <w:pPr>
              <w:pStyle w:val="yTable"/>
              <w:ind w:left="318" w:hanging="318"/>
            </w:pPr>
            <w:r>
              <w:tab/>
              <w:t>Staff costs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Materials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rPr>
          <w:cantSplit/>
        </w:trPr>
        <w:tc>
          <w:tcPr>
            <w:tcW w:w="7088" w:type="dxa"/>
            <w:gridSpan w:val="6"/>
          </w:tcPr>
          <w:p>
            <w:pPr>
              <w:pStyle w:val="yTable"/>
              <w:rPr>
                <w:b/>
              </w:rPr>
            </w:pPr>
            <w:r>
              <w:rPr>
                <w:b/>
              </w:rPr>
              <w:t>Management &amp; Administration:</w:t>
            </w:r>
          </w:p>
        </w:tc>
      </w:tr>
      <w:tr>
        <w:tc>
          <w:tcPr>
            <w:tcW w:w="2835" w:type="dxa"/>
          </w:tcPr>
          <w:p>
            <w:pPr>
              <w:pStyle w:val="yTable"/>
              <w:ind w:left="318" w:hanging="318"/>
            </w:pPr>
            <w:r>
              <w:tab/>
              <w:t>Staff costs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Management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Bank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Accounting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Audit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Advertising</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Printing &amp; stationery</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Telephone</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Miscellaneous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rPr>
          <w:cantSplit/>
        </w:trPr>
        <w:tc>
          <w:tcPr>
            <w:tcW w:w="7088" w:type="dxa"/>
            <w:gridSpan w:val="6"/>
          </w:tcPr>
          <w:p>
            <w:pPr>
              <w:pStyle w:val="yTable"/>
              <w:rPr>
                <w:b/>
              </w:rPr>
            </w:pPr>
            <w:r>
              <w:rPr>
                <w:b/>
              </w:rPr>
              <w:t>Vehicles:</w:t>
            </w:r>
          </w:p>
        </w:tc>
      </w:tr>
      <w:tr>
        <w:tc>
          <w:tcPr>
            <w:tcW w:w="2835" w:type="dxa"/>
          </w:tcPr>
          <w:p>
            <w:pPr>
              <w:pStyle w:val="yTable"/>
              <w:ind w:left="318" w:hanging="318"/>
            </w:pPr>
            <w:r>
              <w:tab/>
              <w:t>Registration</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Repairs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Fuel</w:t>
            </w:r>
          </w:p>
        </w:tc>
        <w:tc>
          <w:tcPr>
            <w:tcW w:w="1560" w:type="dxa"/>
            <w:gridSpan w:val="2"/>
            <w:tcBorders>
              <w:bottom w:val="nil"/>
            </w:tcBorders>
          </w:tcPr>
          <w:p>
            <w:pPr>
              <w:pStyle w:val="yTable"/>
            </w:pPr>
          </w:p>
        </w:tc>
        <w:tc>
          <w:tcPr>
            <w:tcW w:w="1417" w:type="dxa"/>
            <w:gridSpan w:val="2"/>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EXPENDITURE</w:t>
            </w:r>
          </w:p>
        </w:tc>
        <w:tc>
          <w:tcPr>
            <w:tcW w:w="1560" w:type="dxa"/>
            <w:gridSpan w:val="2"/>
            <w:tcBorders>
              <w:top w:val="single" w:sz="12" w:space="0" w:color="auto"/>
              <w:left w:val="single" w:sz="12" w:space="0" w:color="auto"/>
              <w:bottom w:val="single" w:sz="12" w:space="0" w:color="auto"/>
              <w:right w:val="single" w:sz="12" w:space="0" w:color="auto"/>
            </w:tcBorders>
          </w:tcPr>
          <w:p>
            <w:pPr>
              <w:pStyle w:val="yTable"/>
            </w:pPr>
          </w:p>
        </w:tc>
        <w:tc>
          <w:tcPr>
            <w:tcW w:w="1417" w:type="dxa"/>
            <w:gridSpan w:val="2"/>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6"/>
          </w:tcPr>
          <w:p>
            <w:pPr>
              <w:pStyle w:val="yTable"/>
            </w:pPr>
          </w:p>
        </w:tc>
      </w:tr>
      <w:tr>
        <w:tc>
          <w:tcPr>
            <w:tcW w:w="2835" w:type="dxa"/>
            <w:tcBorders>
              <w:right w:val="nil"/>
            </w:tcBorders>
          </w:tcPr>
          <w:p>
            <w:pPr>
              <w:pStyle w:val="yTable"/>
              <w:rPr>
                <w:b/>
              </w:rPr>
            </w:pPr>
            <w:r>
              <w:rPr>
                <w:b/>
              </w:rPr>
              <w:t>PROPOSED SURPLUS/DEFICIT</w:t>
            </w:r>
          </w:p>
        </w:tc>
        <w:tc>
          <w:tcPr>
            <w:tcW w:w="1560" w:type="dxa"/>
            <w:gridSpan w:val="2"/>
            <w:tcBorders>
              <w:top w:val="single" w:sz="12" w:space="0" w:color="auto"/>
              <w:left w:val="single" w:sz="12" w:space="0" w:color="auto"/>
              <w:bottom w:val="single" w:sz="12" w:space="0" w:color="auto"/>
              <w:right w:val="single" w:sz="12" w:space="0" w:color="auto"/>
            </w:tcBorders>
          </w:tcPr>
          <w:p>
            <w:pPr>
              <w:pStyle w:val="yTable"/>
              <w:keepNext/>
              <w:keepLines/>
            </w:pPr>
          </w:p>
        </w:tc>
        <w:tc>
          <w:tcPr>
            <w:tcW w:w="1417" w:type="dxa"/>
            <w:gridSpan w:val="2"/>
            <w:tcBorders>
              <w:top w:val="single" w:sz="12" w:space="0" w:color="auto"/>
              <w:left w:val="single" w:sz="12" w:space="0" w:color="auto"/>
              <w:bottom w:val="single" w:sz="12" w:space="0" w:color="auto"/>
              <w:right w:val="single" w:sz="12" w:space="0" w:color="auto"/>
            </w:tcBorders>
          </w:tcPr>
          <w:p>
            <w:pPr>
              <w:pStyle w:val="yTable"/>
              <w:keepNext/>
              <w:keepLines/>
            </w:pPr>
          </w:p>
        </w:tc>
        <w:tc>
          <w:tcPr>
            <w:tcW w:w="1276" w:type="dxa"/>
            <w:tcBorders>
              <w:top w:val="single" w:sz="12" w:space="0" w:color="auto"/>
              <w:left w:val="single" w:sz="12" w:space="0" w:color="auto"/>
              <w:bottom w:val="single" w:sz="12" w:space="0" w:color="auto"/>
              <w:right w:val="single" w:sz="12" w:space="0" w:color="auto"/>
            </w:tcBorders>
          </w:tcPr>
          <w:p>
            <w:pPr>
              <w:pStyle w:val="yTable"/>
              <w:keepNext/>
              <w:keepLines/>
            </w:pPr>
          </w:p>
        </w:tc>
      </w:tr>
    </w:tbl>
    <w:p>
      <w:pPr>
        <w:pStyle w:val="yMiscellaneousBody"/>
        <w:pageBreakBefore/>
      </w:pPr>
      <w:r>
        <w:rPr>
          <w:b/>
        </w:rPr>
        <w:t>EXPENDITURE THAT IS AN APPORTIONMENT OF TOTAL EXPENDITURE RELATING TO THE VILLAGE AND ANOTHER VILLAGE OR BUSINESS:</w:t>
      </w:r>
      <w:r>
        <w:t xml:space="preserve"> (delete if not applicable)</w:t>
      </w:r>
    </w:p>
    <w:p>
      <w:pPr>
        <w:pStyle w:val="yMiscellaneousBody"/>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rPr>
          <w:rStyle w:val="CharPartText"/>
          <w:b w:val="0"/>
        </w:rPr>
      </w:pPr>
      <w:bookmarkStart w:id="136" w:name="_Toc378248199"/>
      <w:bookmarkStart w:id="137" w:name="_Toc426019209"/>
      <w:bookmarkStart w:id="138" w:name="_Toc426019398"/>
      <w:bookmarkStart w:id="139" w:name="_Toc435098848"/>
      <w:r>
        <w:t>Appendix 3 — Model quarterly income and expenditure statement</w:t>
      </w:r>
      <w:bookmarkEnd w:id="136"/>
      <w:bookmarkEnd w:id="137"/>
      <w:bookmarkEnd w:id="138"/>
      <w:bookmarkEnd w:id="139"/>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
            </w:pPr>
          </w:p>
        </w:tc>
        <w:tc>
          <w:tcPr>
            <w:tcW w:w="1560" w:type="dxa"/>
            <w:tcBorders>
              <w:top w:val="single" w:sz="12" w:space="0" w:color="auto"/>
              <w:bottom w:val="single" w:sz="12" w:space="0" w:color="auto"/>
            </w:tcBorders>
          </w:tcPr>
          <w:p>
            <w:pPr>
              <w:pStyle w:val="yTable"/>
              <w:jc w:val="center"/>
              <w:rPr>
                <w:b/>
                <w:i/>
                <w:sz w:val="20"/>
              </w:rPr>
            </w:pPr>
            <w:r>
              <w:rPr>
                <w:b/>
              </w:rPr>
              <w:t>QUARTER</w:t>
            </w:r>
          </w:p>
        </w:tc>
        <w:tc>
          <w:tcPr>
            <w:tcW w:w="1417" w:type="dxa"/>
            <w:tcBorders>
              <w:top w:val="single" w:sz="12" w:space="0" w:color="auto"/>
              <w:bottom w:val="single" w:sz="12" w:space="0" w:color="auto"/>
            </w:tcBorders>
          </w:tcPr>
          <w:p>
            <w:pPr>
              <w:pStyle w:val="yTable"/>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
              <w:jc w:val="center"/>
              <w:rPr>
                <w:b/>
                <w:i/>
                <w:sz w:val="20"/>
              </w:rPr>
            </w:pPr>
            <w:r>
              <w:rPr>
                <w:b/>
              </w:rPr>
              <w:t>ANNUAL BUDGET</w:t>
            </w:r>
          </w:p>
        </w:tc>
      </w:tr>
      <w:tr>
        <w:trPr>
          <w:cantSplit/>
        </w:trPr>
        <w:tc>
          <w:tcPr>
            <w:tcW w:w="7088" w:type="dxa"/>
            <w:gridSpan w:val="4"/>
            <w:tcBorders>
              <w:top w:val="nil"/>
            </w:tcBorders>
          </w:tcPr>
          <w:p>
            <w:pPr>
              <w:pStyle w:val="yTable"/>
              <w:rPr>
                <w:b/>
              </w:rPr>
            </w:pPr>
            <w:r>
              <w:rPr>
                <w:b/>
              </w:rPr>
              <w:t>INCOME</w:t>
            </w:r>
          </w:p>
        </w:tc>
      </w:tr>
      <w:tr>
        <w:tc>
          <w:tcPr>
            <w:tcW w:w="2835" w:type="dxa"/>
          </w:tcPr>
          <w:p>
            <w:pPr>
              <w:pStyle w:val="yTable"/>
              <w:ind w:left="318" w:hanging="318"/>
            </w:pPr>
            <w:r>
              <w:t>Residents’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Donations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Other (insert as appropriate)</w:t>
            </w:r>
          </w:p>
        </w:tc>
        <w:tc>
          <w:tcPr>
            <w:tcW w:w="1560" w:type="dxa"/>
            <w:tcBorders>
              <w:bottom w:val="nil"/>
            </w:tcBorders>
          </w:tcPr>
          <w:p>
            <w:pPr>
              <w:pStyle w:val="yTable"/>
            </w:pPr>
          </w:p>
        </w:tc>
        <w:tc>
          <w:tcPr>
            <w:tcW w:w="1417" w:type="dxa"/>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
            </w:pPr>
          </w:p>
        </w:tc>
        <w:tc>
          <w:tcPr>
            <w:tcW w:w="1417" w:type="dxa"/>
            <w:tcBorders>
              <w:top w:val="single" w:sz="12" w:space="0" w:color="auto"/>
              <w:left w:val="single" w:sz="8" w:space="0" w:color="auto"/>
              <w:bottom w:val="single" w:sz="12" w:space="0" w:color="auto"/>
              <w:right w:val="single" w:sz="8" w:space="0" w:color="auto"/>
            </w:tcBorders>
          </w:tcPr>
          <w:p>
            <w:pPr>
              <w:pStyle w:val="yTable"/>
            </w:pPr>
          </w:p>
        </w:tc>
        <w:tc>
          <w:tcPr>
            <w:tcW w:w="1276" w:type="dxa"/>
            <w:tcBorders>
              <w:top w:val="single" w:sz="12" w:space="0" w:color="auto"/>
              <w:left w:val="single" w:sz="8" w:space="0" w:color="auto"/>
              <w:bottom w:val="single" w:sz="12" w:space="0" w:color="auto"/>
              <w:right w:val="single" w:sz="8" w:space="0" w:color="auto"/>
            </w:tcBorders>
          </w:tcPr>
          <w:p>
            <w:pPr>
              <w:pStyle w:val="yTable"/>
            </w:pPr>
          </w:p>
        </w:tc>
      </w:tr>
      <w:tr>
        <w:trPr>
          <w:cantSplit/>
        </w:trPr>
        <w:tc>
          <w:tcPr>
            <w:tcW w:w="7088" w:type="dxa"/>
            <w:gridSpan w:val="4"/>
          </w:tcPr>
          <w:p>
            <w:pPr>
              <w:pStyle w:val="yTable"/>
            </w:pPr>
          </w:p>
        </w:tc>
      </w:tr>
      <w:tr>
        <w:trPr>
          <w:cantSplit/>
        </w:trPr>
        <w:tc>
          <w:tcPr>
            <w:tcW w:w="7088" w:type="dxa"/>
            <w:gridSpan w:val="4"/>
          </w:tcPr>
          <w:p>
            <w:pPr>
              <w:pStyle w:val="yTable"/>
              <w:rPr>
                <w:b/>
              </w:rPr>
            </w:pPr>
            <w:r>
              <w:rPr>
                <w:b/>
              </w:rPr>
              <w:t>EXPENDITURE</w:t>
            </w:r>
          </w:p>
        </w:tc>
      </w:tr>
      <w:tr>
        <w:trPr>
          <w:cantSplit/>
        </w:trPr>
        <w:tc>
          <w:tcPr>
            <w:tcW w:w="7088" w:type="dxa"/>
            <w:gridSpan w:val="4"/>
          </w:tcPr>
          <w:p>
            <w:pPr>
              <w:pStyle w:val="yTable"/>
              <w:rPr>
                <w:b/>
              </w:rPr>
            </w:pPr>
            <w:r>
              <w:rPr>
                <w:b/>
              </w:rPr>
              <w:t>Amenities:</w:t>
            </w:r>
          </w:p>
        </w:tc>
      </w:tr>
      <w:tr>
        <w:tc>
          <w:tcPr>
            <w:tcW w:w="2835" w:type="dxa"/>
          </w:tcPr>
          <w:p>
            <w:pPr>
              <w:pStyle w:val="yTable"/>
              <w:ind w:left="318" w:hanging="318"/>
            </w:pPr>
            <w:r>
              <w:tab/>
              <w:t>Council rates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Pest control</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Rubbish removal</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Village security</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Utilities:</w:t>
            </w:r>
          </w:p>
        </w:tc>
      </w:tr>
      <w:tr>
        <w:tc>
          <w:tcPr>
            <w:tcW w:w="2835" w:type="dxa"/>
          </w:tcPr>
          <w:p>
            <w:pPr>
              <w:pStyle w:val="yTable"/>
              <w:ind w:left="318" w:hanging="318"/>
            </w:pPr>
            <w:r>
              <w:tab/>
              <w:t>Water rates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Electricity</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Gas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Repairs &amp; Maintenance:</w:t>
            </w:r>
          </w:p>
        </w:tc>
      </w:tr>
      <w:tr>
        <w:tc>
          <w:tcPr>
            <w:tcW w:w="2835" w:type="dxa"/>
          </w:tcPr>
          <w:p>
            <w:pPr>
              <w:pStyle w:val="yTable"/>
              <w:ind w:left="318" w:hanging="318"/>
            </w:pPr>
            <w:r>
              <w:tab/>
              <w:t>Staff costs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Materials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Grounds Maintenance:</w:t>
            </w:r>
          </w:p>
        </w:tc>
      </w:tr>
      <w:tr>
        <w:tc>
          <w:tcPr>
            <w:tcW w:w="2835" w:type="dxa"/>
          </w:tcPr>
          <w:p>
            <w:pPr>
              <w:pStyle w:val="yTable"/>
              <w:ind w:left="318" w:hanging="318"/>
            </w:pPr>
            <w:r>
              <w:tab/>
              <w:t>Staff costs</w:t>
            </w:r>
          </w:p>
        </w:tc>
        <w:tc>
          <w:tcPr>
            <w:tcW w:w="1560" w:type="dxa"/>
          </w:tcPr>
          <w:p>
            <w:pPr>
              <w:pStyle w:val="yTable"/>
              <w:keepNext/>
              <w:keepLines/>
            </w:pPr>
          </w:p>
        </w:tc>
        <w:tc>
          <w:tcPr>
            <w:tcW w:w="1417" w:type="dxa"/>
          </w:tcPr>
          <w:p>
            <w:pPr>
              <w:pStyle w:val="yTable"/>
              <w:keepNext/>
              <w:keepLines/>
            </w:pPr>
          </w:p>
        </w:tc>
        <w:tc>
          <w:tcPr>
            <w:tcW w:w="1276" w:type="dxa"/>
          </w:tcPr>
          <w:p>
            <w:pPr>
              <w:pStyle w:val="yTable"/>
              <w:keepNext/>
              <w:keepLines/>
            </w:pPr>
          </w:p>
        </w:tc>
      </w:tr>
      <w:tr>
        <w:tc>
          <w:tcPr>
            <w:tcW w:w="2835" w:type="dxa"/>
          </w:tcPr>
          <w:p>
            <w:pPr>
              <w:pStyle w:val="yTable"/>
              <w:ind w:left="318" w:hanging="318"/>
            </w:pPr>
            <w:r>
              <w:tab/>
              <w:t>Materials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Management &amp; Administration:</w:t>
            </w:r>
          </w:p>
        </w:tc>
      </w:tr>
      <w:tr>
        <w:tc>
          <w:tcPr>
            <w:tcW w:w="2835" w:type="dxa"/>
          </w:tcPr>
          <w:p>
            <w:pPr>
              <w:pStyle w:val="yTable"/>
              <w:ind w:left="318" w:hanging="318"/>
            </w:pPr>
            <w:r>
              <w:tab/>
              <w:t>Staff costs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Management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Bank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Accounting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Audit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Advertising</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Printing &amp; stationery</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Telephone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Miscellaneous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Vehicles:</w:t>
            </w:r>
          </w:p>
        </w:tc>
      </w:tr>
      <w:tr>
        <w:tc>
          <w:tcPr>
            <w:tcW w:w="2835" w:type="dxa"/>
          </w:tcPr>
          <w:p>
            <w:pPr>
              <w:pStyle w:val="yTable"/>
              <w:ind w:left="318" w:hanging="318"/>
            </w:pPr>
            <w:r>
              <w:tab/>
              <w:t>Registration</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Repairs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Fuel</w:t>
            </w:r>
          </w:p>
        </w:tc>
        <w:tc>
          <w:tcPr>
            <w:tcW w:w="1560" w:type="dxa"/>
            <w:tcBorders>
              <w:bottom w:val="nil"/>
            </w:tcBorders>
          </w:tcPr>
          <w:p>
            <w:pPr>
              <w:pStyle w:val="yTable"/>
            </w:pPr>
          </w:p>
        </w:tc>
        <w:tc>
          <w:tcPr>
            <w:tcW w:w="1417" w:type="dxa"/>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
            </w:pPr>
          </w:p>
        </w:tc>
        <w:tc>
          <w:tcPr>
            <w:tcW w:w="1417" w:type="dxa"/>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4"/>
          </w:tcPr>
          <w:p>
            <w:pPr>
              <w:pStyle w:val="yTable"/>
            </w:pPr>
          </w:p>
        </w:tc>
      </w:tr>
      <w:tr>
        <w:tc>
          <w:tcPr>
            <w:tcW w:w="2835" w:type="dxa"/>
            <w:tcBorders>
              <w:right w:val="nil"/>
            </w:tcBorders>
          </w:tcPr>
          <w:p>
            <w:pPr>
              <w:pStyle w:val="yTable"/>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
            </w:pPr>
          </w:p>
        </w:tc>
        <w:tc>
          <w:tcPr>
            <w:tcW w:w="1417" w:type="dxa"/>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bl>
    <w:p>
      <w:pPr>
        <w:pStyle w:val="yHeading2"/>
        <w:keepLines/>
        <w:rPr>
          <w:rStyle w:val="CharPartText"/>
        </w:rPr>
      </w:pPr>
      <w:bookmarkStart w:id="140" w:name="_Toc378248200"/>
      <w:bookmarkStart w:id="141" w:name="_Toc426019210"/>
      <w:bookmarkStart w:id="142" w:name="_Toc426019399"/>
      <w:bookmarkStart w:id="143" w:name="_Toc435098849"/>
      <w:r>
        <w:rPr>
          <w:rStyle w:val="CharPartText"/>
        </w:rPr>
        <w:t>Appendix 4 — Model reserve fund quarterly income and expenditure statement</w:t>
      </w:r>
      <w:bookmarkEnd w:id="140"/>
      <w:bookmarkEnd w:id="141"/>
      <w:bookmarkEnd w:id="142"/>
      <w:bookmarkEnd w:id="143"/>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
            </w:pPr>
          </w:p>
        </w:tc>
        <w:tc>
          <w:tcPr>
            <w:tcW w:w="1559" w:type="dxa"/>
          </w:tcPr>
          <w:p>
            <w:pPr>
              <w:pStyle w:val="yTable"/>
              <w:rPr>
                <w:b/>
              </w:rPr>
            </w:pPr>
            <w:r>
              <w:rPr>
                <w:b/>
              </w:rPr>
              <w:t>BALANCE</w:t>
            </w:r>
          </w:p>
        </w:tc>
      </w:tr>
      <w:tr>
        <w:tc>
          <w:tcPr>
            <w:tcW w:w="5245" w:type="dxa"/>
          </w:tcPr>
          <w:p>
            <w:pPr>
              <w:pStyle w:val="yTable"/>
            </w:pPr>
          </w:p>
        </w:tc>
        <w:tc>
          <w:tcPr>
            <w:tcW w:w="1559" w:type="dxa"/>
            <w:tcBorders>
              <w:bottom w:val="nil"/>
            </w:tcBorders>
          </w:tcPr>
          <w:p>
            <w:pPr>
              <w:pStyle w:val="yTable"/>
            </w:pPr>
          </w:p>
        </w:tc>
      </w:tr>
      <w:tr>
        <w:tc>
          <w:tcPr>
            <w:tcW w:w="5245" w:type="dxa"/>
          </w:tcPr>
          <w:p>
            <w:pPr>
              <w:pStyle w:val="yTable"/>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pPr>
            <w:r>
              <w:rPr>
                <w:b/>
              </w:rPr>
              <w:t>INCOME</w:t>
            </w:r>
          </w:p>
        </w:tc>
      </w:tr>
      <w:tr>
        <w:tc>
          <w:tcPr>
            <w:tcW w:w="5245" w:type="dxa"/>
          </w:tcPr>
          <w:p>
            <w:pPr>
              <w:pStyle w:val="yTable"/>
              <w:ind w:left="318" w:hanging="318"/>
            </w:pPr>
            <w:r>
              <w:t>Residents’ contributions</w:t>
            </w:r>
          </w:p>
        </w:tc>
        <w:tc>
          <w:tcPr>
            <w:tcW w:w="1559" w:type="dxa"/>
          </w:tcPr>
          <w:p>
            <w:pPr>
              <w:pStyle w:val="yTable"/>
            </w:pPr>
          </w:p>
        </w:tc>
      </w:tr>
      <w:tr>
        <w:tc>
          <w:tcPr>
            <w:tcW w:w="5245" w:type="dxa"/>
          </w:tcPr>
          <w:p>
            <w:pPr>
              <w:pStyle w:val="yTable"/>
            </w:pPr>
            <w:r>
              <w:t>Interest</w:t>
            </w:r>
          </w:p>
        </w:tc>
        <w:tc>
          <w:tcPr>
            <w:tcW w:w="1559" w:type="dxa"/>
          </w:tcPr>
          <w:p>
            <w:pPr>
              <w:pStyle w:val="yTable"/>
            </w:pPr>
          </w:p>
        </w:tc>
      </w:tr>
      <w:tr>
        <w:tc>
          <w:tcPr>
            <w:tcW w:w="5245" w:type="dxa"/>
          </w:tcPr>
          <w:p>
            <w:pPr>
              <w:pStyle w:val="yTable"/>
              <w:ind w:left="318" w:hanging="318"/>
            </w:pPr>
            <w:r>
              <w:t xml:space="preserve">Other </w:t>
            </w:r>
            <w:r>
              <w:rPr>
                <w:i/>
              </w:rPr>
              <w:t>(insert as appropriate)</w:t>
            </w:r>
          </w:p>
        </w:tc>
        <w:tc>
          <w:tcPr>
            <w:tcW w:w="1559" w:type="dxa"/>
          </w:tcPr>
          <w:p>
            <w:pPr>
              <w:pStyle w:val="yTable"/>
            </w:pPr>
          </w:p>
        </w:tc>
      </w:tr>
      <w:tr>
        <w:tc>
          <w:tcPr>
            <w:tcW w:w="5245" w:type="dxa"/>
          </w:tcPr>
          <w:p>
            <w:pPr>
              <w:pStyle w:val="yTable"/>
            </w:pPr>
          </w:p>
        </w:tc>
        <w:tc>
          <w:tcPr>
            <w:tcW w:w="1559" w:type="dxa"/>
            <w:tcBorders>
              <w:bottom w:val="nil"/>
            </w:tcBorders>
          </w:tcPr>
          <w:p>
            <w:pPr>
              <w:pStyle w:val="yTable"/>
            </w:pPr>
          </w:p>
        </w:tc>
      </w:tr>
      <w:tr>
        <w:tc>
          <w:tcPr>
            <w:tcW w:w="5245" w:type="dxa"/>
            <w:tcBorders>
              <w:right w:val="nil"/>
            </w:tcBorders>
          </w:tcPr>
          <w:p>
            <w:pPr>
              <w:pStyle w:val="yTable"/>
              <w:rPr>
                <w:b/>
              </w:rPr>
            </w:pPr>
            <w:r>
              <w:rPr>
                <w:b/>
              </w:rPr>
              <w:t>TOTAL INCOME</w:t>
            </w:r>
          </w:p>
        </w:tc>
        <w:tc>
          <w:tcPr>
            <w:tcW w:w="1559" w:type="dxa"/>
            <w:tcBorders>
              <w:top w:val="single" w:sz="12" w:space="0" w:color="auto"/>
              <w:left w:val="single" w:sz="4" w:space="0" w:color="auto"/>
              <w:bottom w:val="single" w:sz="12" w:space="0" w:color="auto"/>
            </w:tcBorders>
          </w:tcPr>
          <w:p>
            <w:pPr>
              <w:pStyle w:val="yTable"/>
            </w:pPr>
          </w:p>
        </w:tc>
      </w:tr>
      <w:tr>
        <w:tc>
          <w:tcPr>
            <w:tcW w:w="5245" w:type="dxa"/>
          </w:tcPr>
          <w:p>
            <w:pPr>
              <w:pStyle w:val="yTable"/>
              <w:rPr>
                <w:b/>
              </w:rPr>
            </w:pPr>
            <w:r>
              <w:rPr>
                <w:b/>
              </w:rPr>
              <w:t>Sub Total</w:t>
            </w:r>
          </w:p>
        </w:tc>
        <w:tc>
          <w:tcPr>
            <w:tcW w:w="1559" w:type="dxa"/>
            <w:tcBorders>
              <w:top w:val="nil"/>
            </w:tcBorders>
          </w:tcPr>
          <w:p>
            <w:pPr>
              <w:pStyle w:val="yTable"/>
            </w:pPr>
          </w:p>
        </w:tc>
      </w:tr>
      <w:tr>
        <w:tc>
          <w:tcPr>
            <w:tcW w:w="5245" w:type="dxa"/>
          </w:tcPr>
          <w:p>
            <w:pPr>
              <w:pStyle w:val="yTable"/>
            </w:pPr>
          </w:p>
        </w:tc>
        <w:tc>
          <w:tcPr>
            <w:tcW w:w="1559" w:type="dxa"/>
          </w:tcPr>
          <w:p>
            <w:pPr>
              <w:pStyle w:val="yTable"/>
            </w:pPr>
          </w:p>
        </w:tc>
      </w:tr>
      <w:tr>
        <w:trPr>
          <w:cantSplit/>
        </w:trPr>
        <w:tc>
          <w:tcPr>
            <w:tcW w:w="6804" w:type="dxa"/>
            <w:gridSpan w:val="2"/>
          </w:tcPr>
          <w:p>
            <w:pPr>
              <w:pStyle w:val="yTable"/>
              <w:rPr>
                <w:b/>
              </w:rPr>
            </w:pPr>
            <w:r>
              <w:rPr>
                <w:b/>
              </w:rPr>
              <w:t>EXPENDITURE</w:t>
            </w:r>
          </w:p>
        </w:tc>
      </w:tr>
      <w:tr>
        <w:trPr>
          <w:cantSplit/>
        </w:trPr>
        <w:tc>
          <w:tcPr>
            <w:tcW w:w="6804" w:type="dxa"/>
            <w:gridSpan w:val="2"/>
          </w:tcPr>
          <w:p>
            <w:pPr>
              <w:pStyle w:val="yTable"/>
              <w:rPr>
                <w:b/>
              </w:rPr>
            </w:pPr>
            <w:r>
              <w:rPr>
                <w:b/>
              </w:rPr>
              <w:t>Units:</w:t>
            </w:r>
          </w:p>
        </w:tc>
      </w:tr>
      <w:tr>
        <w:tc>
          <w:tcPr>
            <w:tcW w:w="5245" w:type="dxa"/>
          </w:tcPr>
          <w:p>
            <w:pPr>
              <w:pStyle w:val="yTable"/>
              <w:ind w:left="318" w:hanging="318"/>
            </w:pPr>
            <w:r>
              <w:tab/>
              <w:t>Painting</w:t>
            </w:r>
          </w:p>
        </w:tc>
        <w:tc>
          <w:tcPr>
            <w:tcW w:w="1559" w:type="dxa"/>
          </w:tcPr>
          <w:p>
            <w:pPr>
              <w:pStyle w:val="yTable"/>
            </w:pPr>
          </w:p>
        </w:tc>
      </w:tr>
      <w:tr>
        <w:tc>
          <w:tcPr>
            <w:tcW w:w="5245" w:type="dxa"/>
          </w:tcPr>
          <w:p>
            <w:pPr>
              <w:pStyle w:val="yTable"/>
              <w:ind w:left="318" w:hanging="318"/>
            </w:pPr>
            <w:r>
              <w:tab/>
              <w:t>Plumbing</w:t>
            </w:r>
          </w:p>
        </w:tc>
        <w:tc>
          <w:tcPr>
            <w:tcW w:w="1559" w:type="dxa"/>
          </w:tcPr>
          <w:p>
            <w:pPr>
              <w:pStyle w:val="yTable"/>
            </w:pPr>
          </w:p>
        </w:tc>
      </w:tr>
      <w:tr>
        <w:tc>
          <w:tcPr>
            <w:tcW w:w="5245" w:type="dxa"/>
          </w:tcPr>
          <w:p>
            <w:pPr>
              <w:pStyle w:val="yTable"/>
              <w:ind w:left="318" w:hanging="318"/>
            </w:pPr>
            <w:r>
              <w:tab/>
              <w:t>Electrical</w:t>
            </w:r>
          </w:p>
        </w:tc>
        <w:tc>
          <w:tcPr>
            <w:tcW w:w="1559" w:type="dxa"/>
          </w:tcPr>
          <w:p>
            <w:pPr>
              <w:pStyle w:val="yTable"/>
            </w:pPr>
          </w:p>
        </w:tc>
      </w:tr>
      <w:tr>
        <w:tc>
          <w:tcPr>
            <w:tcW w:w="5245" w:type="dxa"/>
          </w:tcPr>
          <w:p>
            <w:pPr>
              <w:pStyle w:val="yTable"/>
              <w:ind w:left="318" w:hanging="318"/>
            </w:pPr>
            <w:r>
              <w:tab/>
              <w:t>Replacements</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rPr>
                <w:b/>
              </w:rPr>
            </w:pPr>
            <w:r>
              <w:rPr>
                <w:b/>
              </w:rPr>
              <w:t>Amenities:</w:t>
            </w:r>
          </w:p>
        </w:tc>
      </w:tr>
      <w:tr>
        <w:tc>
          <w:tcPr>
            <w:tcW w:w="5245" w:type="dxa"/>
          </w:tcPr>
          <w:p>
            <w:pPr>
              <w:pStyle w:val="yTable"/>
              <w:ind w:left="318" w:hanging="318"/>
            </w:pPr>
            <w:r>
              <w:tab/>
              <w:t>Painting</w:t>
            </w:r>
          </w:p>
        </w:tc>
        <w:tc>
          <w:tcPr>
            <w:tcW w:w="1559" w:type="dxa"/>
          </w:tcPr>
          <w:p>
            <w:pPr>
              <w:pStyle w:val="yTable"/>
            </w:pPr>
          </w:p>
        </w:tc>
      </w:tr>
      <w:tr>
        <w:tc>
          <w:tcPr>
            <w:tcW w:w="5245" w:type="dxa"/>
          </w:tcPr>
          <w:p>
            <w:pPr>
              <w:pStyle w:val="yTable"/>
              <w:ind w:left="318" w:hanging="318"/>
            </w:pPr>
            <w:r>
              <w:tab/>
              <w:t>Plumbing</w:t>
            </w:r>
          </w:p>
        </w:tc>
        <w:tc>
          <w:tcPr>
            <w:tcW w:w="1559" w:type="dxa"/>
          </w:tcPr>
          <w:p>
            <w:pPr>
              <w:pStyle w:val="yTable"/>
            </w:pPr>
          </w:p>
        </w:tc>
      </w:tr>
      <w:tr>
        <w:tc>
          <w:tcPr>
            <w:tcW w:w="5245" w:type="dxa"/>
          </w:tcPr>
          <w:p>
            <w:pPr>
              <w:pStyle w:val="yTable"/>
              <w:ind w:left="318" w:hanging="318"/>
            </w:pPr>
            <w:r>
              <w:tab/>
              <w:t>Electrical</w:t>
            </w:r>
          </w:p>
        </w:tc>
        <w:tc>
          <w:tcPr>
            <w:tcW w:w="1559" w:type="dxa"/>
          </w:tcPr>
          <w:p>
            <w:pPr>
              <w:pStyle w:val="yTable"/>
            </w:pPr>
          </w:p>
        </w:tc>
      </w:tr>
      <w:tr>
        <w:tc>
          <w:tcPr>
            <w:tcW w:w="5245" w:type="dxa"/>
          </w:tcPr>
          <w:p>
            <w:pPr>
              <w:pStyle w:val="yTable"/>
              <w:ind w:left="318" w:hanging="318"/>
            </w:pPr>
            <w:r>
              <w:tab/>
              <w:t>Replacements</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rPr>
                <w:b/>
              </w:rPr>
            </w:pPr>
            <w:r>
              <w:rPr>
                <w:b/>
              </w:rPr>
              <w:t>Infrastructure:</w:t>
            </w:r>
          </w:p>
        </w:tc>
      </w:tr>
      <w:tr>
        <w:tc>
          <w:tcPr>
            <w:tcW w:w="5245" w:type="dxa"/>
          </w:tcPr>
          <w:p>
            <w:pPr>
              <w:pStyle w:val="yTable"/>
              <w:ind w:left="318" w:hanging="318"/>
            </w:pPr>
            <w:r>
              <w:tab/>
              <w:t>Power</w:t>
            </w:r>
          </w:p>
        </w:tc>
        <w:tc>
          <w:tcPr>
            <w:tcW w:w="1559" w:type="dxa"/>
          </w:tcPr>
          <w:p>
            <w:pPr>
              <w:pStyle w:val="yTable"/>
            </w:pPr>
          </w:p>
        </w:tc>
      </w:tr>
      <w:tr>
        <w:tc>
          <w:tcPr>
            <w:tcW w:w="5245" w:type="dxa"/>
          </w:tcPr>
          <w:p>
            <w:pPr>
              <w:pStyle w:val="yTable"/>
              <w:ind w:left="318" w:hanging="318"/>
            </w:pPr>
            <w:r>
              <w:tab/>
              <w:t>Sewer</w:t>
            </w:r>
          </w:p>
        </w:tc>
        <w:tc>
          <w:tcPr>
            <w:tcW w:w="1559" w:type="dxa"/>
          </w:tcPr>
          <w:p>
            <w:pPr>
              <w:pStyle w:val="yTable"/>
            </w:pPr>
          </w:p>
        </w:tc>
      </w:tr>
      <w:tr>
        <w:tc>
          <w:tcPr>
            <w:tcW w:w="5245" w:type="dxa"/>
          </w:tcPr>
          <w:p>
            <w:pPr>
              <w:pStyle w:val="yTable"/>
              <w:ind w:left="318" w:hanging="318"/>
            </w:pPr>
            <w:r>
              <w:tab/>
              <w:t>Roads</w:t>
            </w:r>
          </w:p>
        </w:tc>
        <w:tc>
          <w:tcPr>
            <w:tcW w:w="1559" w:type="dxa"/>
          </w:tcPr>
          <w:p>
            <w:pPr>
              <w:pStyle w:val="yTable"/>
            </w:pPr>
          </w:p>
        </w:tc>
      </w:tr>
      <w:tr>
        <w:tc>
          <w:tcPr>
            <w:tcW w:w="5245" w:type="dxa"/>
          </w:tcPr>
          <w:p>
            <w:pPr>
              <w:pStyle w:val="yTable"/>
              <w:ind w:left="318" w:hanging="318"/>
            </w:pPr>
            <w:r>
              <w:tab/>
              <w:t>Landscaping</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c>
          <w:tcPr>
            <w:tcW w:w="5245" w:type="dxa"/>
          </w:tcPr>
          <w:p>
            <w:pPr>
              <w:pStyle w:val="yTable"/>
              <w:rPr>
                <w:b/>
              </w:rPr>
            </w:pPr>
            <w:r>
              <w:rPr>
                <w:b/>
              </w:rPr>
              <w:t>TOTAL EXPENDITURE</w:t>
            </w:r>
          </w:p>
        </w:tc>
        <w:tc>
          <w:tcPr>
            <w:tcW w:w="1559" w:type="dxa"/>
            <w:tcBorders>
              <w:top w:val="single" w:sz="12" w:space="0" w:color="auto"/>
              <w:bottom w:val="single" w:sz="12" w:space="0" w:color="auto"/>
            </w:tcBorders>
          </w:tcPr>
          <w:p>
            <w:pPr>
              <w:pStyle w:val="yTable"/>
            </w:pPr>
          </w:p>
        </w:tc>
      </w:tr>
      <w:tr>
        <w:trPr>
          <w:cantSplit/>
        </w:trPr>
        <w:tc>
          <w:tcPr>
            <w:tcW w:w="6804" w:type="dxa"/>
            <w:gridSpan w:val="2"/>
          </w:tcPr>
          <w:p>
            <w:pPr>
              <w:pStyle w:val="yTable"/>
            </w:pPr>
          </w:p>
        </w:tc>
      </w:tr>
      <w:tr>
        <w:tc>
          <w:tcPr>
            <w:tcW w:w="5245" w:type="dxa"/>
          </w:tcPr>
          <w:p>
            <w:pPr>
              <w:pStyle w:val="yTable"/>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
            </w:pPr>
          </w:p>
        </w:tc>
      </w:tr>
    </w:tbl>
    <w:p>
      <w:pPr>
        <w:pStyle w:val="yHeading2"/>
        <w:pageBreakBefore/>
      </w:pPr>
      <w:bookmarkStart w:id="144" w:name="_Toc378248201"/>
      <w:bookmarkStart w:id="145" w:name="_Toc426019211"/>
      <w:bookmarkStart w:id="146" w:name="_Toc426019400"/>
      <w:bookmarkStart w:id="147" w:name="_Toc435098850"/>
      <w:r>
        <w:t>Appendix 5 — Form of appointment of proxy</w:t>
      </w:r>
      <w:bookmarkEnd w:id="144"/>
      <w:bookmarkEnd w:id="145"/>
      <w:bookmarkEnd w:id="146"/>
      <w:bookmarkEnd w:id="147"/>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tabs>
          <w:tab w:val="left" w:pos="360"/>
        </w:tabs>
        <w:spacing w:before="120"/>
        <w:ind w:left="357" w:hanging="357"/>
      </w:pPr>
      <w:r>
        <w:rPr>
          <w:rFonts w:ascii="Symbol" w:hAnsi="Symbol"/>
        </w:rPr>
        <w:t></w:t>
      </w:r>
      <w:r>
        <w:rPr>
          <w:rFonts w:ascii="Symbol" w:hAnsi="Symbol"/>
        </w:rPr>
        <w:tab/>
      </w:r>
      <w:r>
        <w:t>All matters raised at the meeting that require, or provide for, a vote of the residents, at my proxy’s discretion.</w:t>
      </w:r>
    </w:p>
    <w:p>
      <w:pPr>
        <w:pStyle w:val="yMiscellaneousBody"/>
        <w:tabs>
          <w:tab w:val="left" w:pos="360"/>
        </w:tabs>
        <w:spacing w:before="120"/>
        <w:ind w:left="357" w:hanging="357"/>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786"/>
        </w:tabs>
        <w:ind w:left="786" w:hanging="360"/>
      </w:pPr>
      <w:r>
        <w:rPr>
          <w:rFonts w:ascii="Symbol" w:hAnsi="Symbol"/>
        </w:rPr>
        <w:t></w:t>
      </w:r>
      <w:r>
        <w:rPr>
          <w:rFonts w:ascii="Symbol" w:hAnsi="Symbol"/>
        </w:rPr>
        <w:tab/>
      </w:r>
      <w:r>
        <w:t>the person appointed as the resident’s proxy; and</w:t>
      </w:r>
    </w:p>
    <w:p>
      <w:pPr>
        <w:pStyle w:val="yMiscellaneousBody"/>
        <w:tabs>
          <w:tab w:val="left" w:pos="786"/>
        </w:tabs>
        <w:ind w:left="786" w:hanging="360"/>
      </w:pPr>
      <w:r>
        <w:rPr>
          <w:rFonts w:ascii="Symbol" w:hAnsi="Symbol"/>
        </w:rPr>
        <w:t></w:t>
      </w:r>
      <w:r>
        <w:rPr>
          <w:rFonts w:ascii="Symbol" w:hAnsi="Symbol"/>
        </w:rPr>
        <w:tab/>
      </w:r>
      <w:r>
        <w:t>the chairperson of the meeting at which the proxy was to vote.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9" w:name="_Toc378248202"/>
      <w:bookmarkStart w:id="150" w:name="_Toc426019212"/>
      <w:bookmarkStart w:id="151" w:name="_Toc426019401"/>
      <w:bookmarkStart w:id="152" w:name="_Toc435098851"/>
      <w:r>
        <w:t>Notes</w:t>
      </w:r>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snapToGrid w:val="0"/>
        </w:rPr>
        <w:t>Fair Trading (Retirement Villages Code) Regulations 2003</w:t>
      </w:r>
      <w:r>
        <w:rPr>
          <w:snapToGrid w:val="0"/>
        </w:rPr>
        <w:t xml:space="preserve">. </w:t>
      </w:r>
      <w:r>
        <w:rPr>
          <w:snapToGrid w:val="0"/>
          <w:color w:val="000000"/>
        </w:rPr>
        <w:t>The following table contains information about those regulations.</w:t>
      </w:r>
    </w:p>
    <w:p>
      <w:pPr>
        <w:pStyle w:val="nHeading3"/>
        <w:rPr>
          <w:snapToGrid w:val="0"/>
        </w:rPr>
      </w:pPr>
      <w:bookmarkStart w:id="153" w:name="_Toc378248203"/>
      <w:bookmarkStart w:id="154" w:name="_Toc435098852"/>
      <w:r>
        <w:rPr>
          <w:snapToGrid w:val="0"/>
        </w:rPr>
        <w:t>Compilation table</w:t>
      </w:r>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6" w:space="0" w:color="auto"/>
              <w:bottom w:val="single" w:sz="6" w:space="0" w:color="auto"/>
            </w:tcBorders>
          </w:tcPr>
          <w:p>
            <w:pPr>
              <w:pStyle w:val="nTable"/>
              <w:rPr>
                <w:b/>
              </w:rPr>
            </w:pPr>
            <w:r>
              <w:rPr>
                <w:b/>
              </w:rPr>
              <w:t>Citation</w:t>
            </w:r>
          </w:p>
        </w:tc>
        <w:tc>
          <w:tcPr>
            <w:tcW w:w="1276" w:type="dxa"/>
            <w:tcBorders>
              <w:top w:val="single" w:sz="6" w:space="0" w:color="auto"/>
              <w:bottom w:val="single" w:sz="6" w:space="0" w:color="auto"/>
            </w:tcBorders>
          </w:tcPr>
          <w:p>
            <w:pPr>
              <w:pStyle w:val="nTable"/>
              <w:rPr>
                <w:b/>
              </w:rPr>
            </w:pPr>
            <w:r>
              <w:rPr>
                <w:b/>
              </w:rPr>
              <w:t>Gazettal</w:t>
            </w:r>
          </w:p>
        </w:tc>
        <w:tc>
          <w:tcPr>
            <w:tcW w:w="2693" w:type="dxa"/>
            <w:tcBorders>
              <w:top w:val="single" w:sz="6" w:space="0" w:color="auto"/>
              <w:bottom w:val="single" w:sz="6" w:space="0" w:color="auto"/>
            </w:tcBorders>
          </w:tcPr>
          <w:p>
            <w:pPr>
              <w:pStyle w:val="nTable"/>
              <w:rPr>
                <w:b/>
              </w:rPr>
            </w:pPr>
            <w:r>
              <w:rPr>
                <w:b/>
              </w:rPr>
              <w:t>Commencement</w:t>
            </w:r>
          </w:p>
        </w:tc>
      </w:tr>
      <w:tr>
        <w:tc>
          <w:tcPr>
            <w:tcW w:w="3119" w:type="dxa"/>
          </w:tcPr>
          <w:p>
            <w:pPr>
              <w:pStyle w:val="nTable"/>
              <w:spacing w:before="100"/>
            </w:pPr>
            <w:r>
              <w:rPr>
                <w:i/>
                <w:snapToGrid w:val="0"/>
              </w:rPr>
              <w:t>Fair Trading (Retirement Villages Code) Regulations 2003</w:t>
            </w:r>
          </w:p>
        </w:tc>
        <w:tc>
          <w:tcPr>
            <w:tcW w:w="1276" w:type="dxa"/>
          </w:tcPr>
          <w:p>
            <w:pPr>
              <w:pStyle w:val="nTable"/>
              <w:spacing w:before="100"/>
            </w:pPr>
            <w:r>
              <w:t>9 Sep 2003 p. 3971-4033</w:t>
            </w:r>
          </w:p>
        </w:tc>
        <w:tc>
          <w:tcPr>
            <w:tcW w:w="2693" w:type="dxa"/>
          </w:tcPr>
          <w:p>
            <w:pPr>
              <w:pStyle w:val="nTable"/>
              <w:spacing w:before="100"/>
            </w:pPr>
            <w:r>
              <w:t>1 Oct 2003 (see r. 2)</w:t>
            </w:r>
          </w:p>
        </w:tc>
      </w:tr>
      <w:tr>
        <w:trPr>
          <w:cantSplit/>
        </w:trPr>
        <w:tc>
          <w:tcPr>
            <w:tcW w:w="7088" w:type="dxa"/>
            <w:gridSpan w:val="3"/>
            <w:tcBorders>
              <w:bottom w:val="single" w:sz="4" w:space="0" w:color="auto"/>
            </w:tcBorders>
          </w:tcPr>
          <w:p>
            <w:pPr>
              <w:pStyle w:val="nTable"/>
              <w:spacing w:before="100"/>
              <w:rPr>
                <w:b/>
                <w:bCs/>
                <w:color w:val="FF0000"/>
              </w:rPr>
            </w:pPr>
            <w:r>
              <w:rPr>
                <w:b/>
                <w:bCs/>
                <w:color w:val="FF0000"/>
              </w:rPr>
              <w:t xml:space="preserve">These regulations were repealed by the </w:t>
            </w:r>
            <w:r>
              <w:rPr>
                <w:b/>
                <w:bCs/>
                <w:i/>
                <w:iCs/>
                <w:color w:val="FF0000"/>
              </w:rPr>
              <w:t>Fair Trading (Retirement Villages Code) Regulations 2006</w:t>
            </w:r>
            <w:r>
              <w:rPr>
                <w:b/>
                <w:bCs/>
                <w:color w:val="FF0000"/>
              </w:rPr>
              <w:t xml:space="preserve"> r. 5 as at 1 Oct 2006 (see </w:t>
            </w:r>
            <w:r>
              <w:rPr>
                <w:b/>
                <w:bCs/>
                <w:i/>
                <w:iCs/>
                <w:color w:val="FF0000"/>
              </w:rPr>
              <w:t>Gazette</w:t>
            </w:r>
            <w:r>
              <w:rPr>
                <w:b/>
                <w:bCs/>
                <w:color w:val="FF0000"/>
              </w:rPr>
              <w:t xml:space="preserve"> 22 Sep 2006 p. 4156)</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56" w:name="_Toc426019403"/>
      <w:bookmarkStart w:id="157" w:name="_Toc435098853"/>
      <w:r>
        <w:rPr>
          <w:sz w:val="28"/>
        </w:rPr>
        <w:t>Defined terms</w:t>
      </w:r>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7(1)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6</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personal representative</w:t>
      </w:r>
      <w:r>
        <w:tab/>
        <w:t>Sch. 1 cl. 5(1), Sch. 1 cl. 8(4)</w:t>
      </w:r>
    </w:p>
    <w:p>
      <w:pPr>
        <w:pStyle w:val="DefinedTerms"/>
      </w:pPr>
      <w:r>
        <w:t>personal services</w:t>
      </w:r>
      <w:r>
        <w:tab/>
        <w:t>Sch. 1 cl. 4(3)</w:t>
      </w:r>
    </w:p>
    <w:p>
      <w:pPr>
        <w:pStyle w:val="DefinedTerms"/>
      </w:pPr>
      <w:r>
        <w:t>proxy</w:t>
      </w:r>
      <w:r>
        <w:tab/>
        <w:t>Sch. 1 cl. 5(2)</w:t>
      </w:r>
    </w:p>
    <w:p>
      <w:pPr>
        <w:pStyle w:val="DefinedTerms"/>
      </w:pPr>
      <w:r>
        <w:t>proxy notice</w:t>
      </w:r>
      <w:r>
        <w:tab/>
        <w:t>Sch. 1 cl. 5(2)</w:t>
      </w:r>
    </w:p>
    <w:p>
      <w:pPr>
        <w:pStyle w:val="DefinedTerms"/>
      </w:pPr>
      <w:r>
        <w:t>registered company auditor</w:t>
      </w:r>
      <w:r>
        <w:tab/>
        <w:t>Sch. 1 cl. 5(1)</w:t>
      </w:r>
    </w:p>
    <w:p>
      <w:pPr>
        <w:pStyle w:val="DefinedTerms"/>
      </w:pPr>
      <w:r>
        <w:t>relevant Tribunal</w:t>
      </w:r>
      <w:r>
        <w:tab/>
        <w:t>4(1)</w:t>
      </w:r>
    </w:p>
    <w:p>
      <w:pPr>
        <w:pStyle w:val="DefinedTerms"/>
      </w:pPr>
      <w:r>
        <w:t>residential care</w:t>
      </w:r>
      <w:r>
        <w:tab/>
        <w:t>Sch. 1 cl. 1(2)</w:t>
      </w:r>
    </w:p>
    <w:p>
      <w:pPr>
        <w:pStyle w:val="DefinedTerms"/>
      </w:pPr>
      <w:r>
        <w:t>residential care subsidy</w:t>
      </w:r>
      <w:r>
        <w:tab/>
        <w:t>Sch. 1 cl. 1(2)</w:t>
      </w:r>
    </w:p>
    <w:p>
      <w:pPr>
        <w:pStyle w:val="DefinedTerms"/>
      </w:pPr>
      <w:r>
        <w:t>second party</w:t>
      </w:r>
      <w:r>
        <w:tab/>
        <w:t>Sch. 1 cl. 6(1)</w:t>
      </w:r>
    </w:p>
    <w:p>
      <w:pPr>
        <w:pStyle w:val="DefinedTerms"/>
      </w:pPr>
      <w:r>
        <w:t>special resolution</w:t>
      </w:r>
      <w:r>
        <w:tab/>
        <w:t>Sch. 1 cl. 5(1), Sch. 1 cl. 6</w:t>
      </w:r>
    </w:p>
    <w:p>
      <w:pPr>
        <w:pStyle w:val="DefinedTerms"/>
      </w:pPr>
      <w:r>
        <w:t>withdrawal notice</w:t>
      </w:r>
      <w:r>
        <w:tab/>
        <w:t>Sch. 1 cl. 6(14)</w:t>
      </w:r>
    </w:p>
    <w:p>
      <w:pPr>
        <w:pStyle w:val="DefinedTerms"/>
      </w:pPr>
      <w:r>
        <w:t>work</w:t>
      </w:r>
      <w:r>
        <w:tab/>
        <w:t>Sch. 1 cl. 5(1)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148" w:name="Schedule"/>
    <w:bookmarkEnd w:id="1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5C9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A6C1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AC5C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2E415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7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104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6201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FC9B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DA5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C37AA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35B51F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1F1E01A0"/>
    <w:lvl w:ilvl="0">
      <w:start w:val="1"/>
      <w:numFmt w:val="bullet"/>
      <w:lvlText w:val=""/>
      <w:lvlJc w:val="left"/>
      <w:pPr>
        <w:tabs>
          <w:tab w:val="num" w:pos="1446"/>
        </w:tabs>
        <w:ind w:left="1446" w:hanging="567"/>
      </w:pPr>
      <w:rPr>
        <w:rFonts w:ascii="Symbol" w:hAnsi="Symbol" w:hint="default"/>
      </w:rPr>
    </w:lvl>
  </w:abstractNum>
  <w:abstractNum w:abstractNumId="23">
    <w:nsid w:val="3F1D7FC5"/>
    <w:multiLevelType w:val="singleLevel"/>
    <w:tmpl w:val="0C09000F"/>
    <w:lvl w:ilvl="0">
      <w:start w:val="1"/>
      <w:numFmt w:val="decimal"/>
      <w:lvlText w:val="%1."/>
      <w:lvlJc w:val="left"/>
      <w:pPr>
        <w:tabs>
          <w:tab w:val="num" w:pos="360"/>
        </w:tabs>
        <w:ind w:left="360" w:hanging="360"/>
      </w:pPr>
    </w:lvl>
  </w:abstractNum>
  <w:abstractNum w:abstractNumId="24">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1"/>
  </w:num>
  <w:num w:numId="3">
    <w:abstractNumId w:val="26"/>
  </w:num>
  <w:num w:numId="4">
    <w:abstractNumId w:val="10"/>
  </w:num>
  <w:num w:numId="5">
    <w:abstractNumId w:val="21"/>
  </w:num>
  <w:num w:numId="6">
    <w:abstractNumId w:val="16"/>
  </w:num>
  <w:num w:numId="7">
    <w:abstractNumId w:val="25"/>
  </w:num>
  <w:num w:numId="8">
    <w:abstractNumId w:val="23"/>
  </w:num>
  <w:num w:numId="9">
    <w:abstractNumId w:val="12"/>
  </w:num>
  <w:num w:numId="10">
    <w:abstractNumId w:val="19"/>
  </w:num>
  <w:num w:numId="11">
    <w:abstractNumId w:val="28"/>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902"/>
    <w:docVar w:name="WAFER_20140123132802" w:val="RemoveTocBookmarks,RemoveUnusedBookmarks,RemoveLanguageTags,UsedStyles,ResetPageSize,UpdateArrangement"/>
    <w:docVar w:name="WAFER_20140123132802_GUID" w:val="56221e93-27cf-47c7-b422-22d03aa92200"/>
    <w:docVar w:name="WAFER_20140123134309" w:val="RemoveTocBookmarks,RunningHeaders"/>
    <w:docVar w:name="WAFER_20140123134309_GUID" w:val="c9770e73-afd8-4628-b941-9df2b52bac4c"/>
    <w:docVar w:name="WAFER_20150729180421" w:val="ResetPageSize,UpdateArrangement,UpdateNTable"/>
    <w:docVar w:name="WAFER_20150729180421_GUID" w:val="d19022f2-7f90-467d-a270-f8be7a0ecc5c"/>
    <w:docVar w:name="WAFER_20150729181319" w:val="ResetPageSize,UpdateArrangement,UpdateNTable"/>
    <w:docVar w:name="WAFER_20150729181319_GUID" w:val="cf4807de-f749-4231-ac1f-706d744ef9b7"/>
    <w:docVar w:name="WAFER_20151112110902" w:val="UpdateStyles,UsedStyles"/>
    <w:docVar w:name="WAFER_20151112110902_GUID" w:val="ec518aba-d0e6-495a-abc0-a48675af30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12775</Words>
  <Characters>67458</Characters>
  <Application>Microsoft Office Word</Application>
  <DocSecurity>0</DocSecurity>
  <Lines>2108</Lines>
  <Paragraphs>978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79255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2003 - 00-b0-05</dc:title>
  <dc:subject/>
  <dc:creator/>
  <cp:keywords/>
  <dc:description/>
  <cp:lastModifiedBy>svcMRProcess</cp:lastModifiedBy>
  <cp:revision>4</cp:revision>
  <cp:lastPrinted>2003-08-21T03:50:00Z</cp:lastPrinted>
  <dcterms:created xsi:type="dcterms:W3CDTF">2018-09-11T14:48:00Z</dcterms:created>
  <dcterms:modified xsi:type="dcterms:W3CDTF">2018-09-11T14:48:00Z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2003 pp.3971-4033</vt:lpwstr>
  </property>
  <property fmtid="{D5CDD505-2E9C-101B-9397-08002B2CF9AE}" pid="3" name="CommencementDate">
    <vt:lpwstr>20061001</vt:lpwstr>
  </property>
  <property fmtid="{D5CDD505-2E9C-101B-9397-08002B2CF9AE}" pid="4" name="DocumentType">
    <vt:lpwstr>Reg</vt:lpwstr>
  </property>
  <property fmtid="{D5CDD505-2E9C-101B-9397-08002B2CF9AE}" pid="5" name="OwlsUID">
    <vt:i4>33929</vt:i4>
  </property>
  <property fmtid="{D5CDD505-2E9C-101B-9397-08002B2CF9AE}" pid="6" name="AsAtDate">
    <vt:lpwstr>01 Oct 2006</vt:lpwstr>
  </property>
  <property fmtid="{D5CDD505-2E9C-101B-9397-08002B2CF9AE}" pid="7" name="Suffix">
    <vt:lpwstr>00-b0-05</vt:lpwstr>
  </property>
  <property fmtid="{D5CDD505-2E9C-101B-9397-08002B2CF9AE}" pid="8" name="Status">
    <vt:lpwstr>NIF</vt:lpwstr>
  </property>
</Properties>
</file>