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_Toc483470998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_Toc483470999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_Toc483471000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_Toc483471001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_Toc483471002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_Toc483471003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How to make and defend a claim generally</w:t>
      </w:r>
    </w:p>
    <w:p>
      <w:pPr>
        <w:pStyle w:val="TOC8"/>
        <w:rPr>
          <w:rFonts w:asciiTheme="minorHAnsi" w:eastAsiaTheme="minorEastAsia" w:hAnsiTheme="minorHAnsi" w:cstheme="minorBidi"/>
          <w:szCs w:val="22"/>
        </w:rPr>
      </w:pPr>
      <w:r>
        <w:t>6.</w:t>
      </w:r>
      <w:r>
        <w:tab/>
        <w:t>When this Part applies</w:t>
      </w:r>
      <w:r>
        <w:tab/>
      </w:r>
      <w:r>
        <w:fldChar w:fldCharType="begin"/>
      </w:r>
      <w:r>
        <w:instrText xml:space="preserve"> PAGEREF _Toc483471005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_Toc483471006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7A</w:t>
      </w:r>
      <w:r>
        <w:t>.</w:t>
      </w:r>
      <w:r>
        <w:tab/>
        <w:t>Statement of claim</w:t>
      </w:r>
      <w:r>
        <w:tab/>
      </w:r>
      <w:r>
        <w:fldChar w:fldCharType="begin"/>
      </w:r>
      <w:r>
        <w:instrText xml:space="preserve"> PAGEREF _Toc483471007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counterclaim or third party claim</w:t>
      </w:r>
      <w:r>
        <w:tab/>
      </w:r>
      <w:r>
        <w:fldChar w:fldCharType="begin"/>
      </w:r>
      <w:r>
        <w:instrText xml:space="preserve"> PAGEREF _Toc483471008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_Toc483471009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9A</w:t>
      </w:r>
      <w:r>
        <w:t>.</w:t>
      </w:r>
      <w:r>
        <w:tab/>
        <w:t>Statement of defence</w:t>
      </w:r>
      <w:r>
        <w:tab/>
      </w:r>
      <w:r>
        <w:fldChar w:fldCharType="begin"/>
      </w:r>
      <w:r>
        <w:instrText xml:space="preserve"> PAGEREF _Toc483471010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_Toc483471011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_Toc483471012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_Toc483471013 \h </w:instrText>
      </w:r>
      <w:r>
        <w:fldChar w:fldCharType="separate"/>
      </w:r>
      <w:r>
        <w:t>7</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_Toc483471014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How to make a consumer/trader claim</w:t>
      </w:r>
    </w:p>
    <w:p>
      <w:pPr>
        <w:pStyle w:val="TOC8"/>
        <w:rPr>
          <w:rFonts w:asciiTheme="minorHAnsi" w:eastAsiaTheme="minorEastAsia" w:hAnsiTheme="minorHAnsi" w:cstheme="minorBidi"/>
          <w:szCs w:val="22"/>
        </w:rPr>
      </w:pPr>
      <w:r>
        <w:t>11.</w:t>
      </w:r>
      <w:r>
        <w:tab/>
        <w:t>How to make a consumer/trader claim</w:t>
      </w:r>
      <w:r>
        <w:tab/>
      </w:r>
      <w:r>
        <w:fldChar w:fldCharType="begin"/>
      </w:r>
      <w:r>
        <w:instrText xml:space="preserve"> PAGEREF _Toc483471016 \h </w:instrText>
      </w:r>
      <w:r>
        <w:fldChar w:fldCharType="separate"/>
      </w:r>
      <w:r>
        <w:t>8</w:t>
      </w:r>
      <w:r>
        <w:fldChar w:fldCharType="end"/>
      </w:r>
    </w:p>
    <w:p>
      <w:pPr>
        <w:pStyle w:val="TOC8"/>
        <w:rPr>
          <w:rFonts w:asciiTheme="minorHAnsi" w:eastAsiaTheme="minorEastAsia" w:hAnsiTheme="minorHAnsi" w:cstheme="minorBidi"/>
          <w:szCs w:val="22"/>
        </w:rPr>
      </w:pPr>
      <w:r>
        <w:t>12.</w:t>
      </w:r>
      <w:r>
        <w:tab/>
        <w:t>Service of the claim</w:t>
      </w:r>
      <w:r>
        <w:tab/>
      </w:r>
      <w:r>
        <w:fldChar w:fldCharType="begin"/>
      </w:r>
      <w:r>
        <w:instrText xml:space="preserve"> PAGEREF _Toc483471017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13A</w:t>
      </w:r>
      <w:r>
        <w:t>.</w:t>
      </w:r>
      <w:r>
        <w:tab/>
        <w:t>If someone has made a consumer/trader claim against you</w:t>
      </w:r>
      <w:r>
        <w:tab/>
      </w:r>
      <w:r>
        <w:fldChar w:fldCharType="begin"/>
      </w:r>
      <w:r>
        <w:instrText xml:space="preserve"> PAGEREF _Toc483471018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13</w:t>
      </w:r>
      <w:r>
        <w:t>.</w:t>
      </w:r>
      <w:r>
        <w:tab/>
        <w:t>Registrar to list case for listing conference</w:t>
      </w:r>
      <w:r>
        <w:tab/>
      </w:r>
      <w:r>
        <w:fldChar w:fldCharType="begin"/>
      </w:r>
      <w:r>
        <w:instrText xml:space="preserve"> PAGEREF _Toc483471019 \h </w:instrText>
      </w:r>
      <w:r>
        <w:fldChar w:fldCharType="separate"/>
      </w:r>
      <w:r>
        <w:t>8</w:t>
      </w:r>
      <w:r>
        <w:fldChar w:fldCharType="end"/>
      </w:r>
    </w:p>
    <w:p>
      <w:pPr>
        <w:pStyle w:val="TOC8"/>
        <w:rPr>
          <w:rFonts w:asciiTheme="minorHAnsi" w:eastAsiaTheme="minorEastAsia" w:hAnsiTheme="minorHAnsi" w:cstheme="minorBidi"/>
          <w:szCs w:val="22"/>
        </w:rPr>
      </w:pPr>
      <w:r>
        <w:t>14.</w:t>
      </w:r>
      <w:r>
        <w:tab/>
        <w:t>Listing conference</w:t>
      </w:r>
      <w:r>
        <w:tab/>
      </w:r>
      <w:r>
        <w:fldChar w:fldCharType="begin"/>
      </w:r>
      <w:r>
        <w:instrText xml:space="preserve"> PAGEREF _Toc483471020 \h </w:instrText>
      </w:r>
      <w:r>
        <w:fldChar w:fldCharType="separate"/>
      </w:r>
      <w:r>
        <w:t>8</w:t>
      </w:r>
      <w:r>
        <w:fldChar w:fldCharType="end"/>
      </w:r>
    </w:p>
    <w:p>
      <w:pPr>
        <w:pStyle w:val="TOC8"/>
        <w:rPr>
          <w:rFonts w:asciiTheme="minorHAnsi" w:eastAsiaTheme="minorEastAsia" w:hAnsiTheme="minorHAnsi" w:cstheme="minorBidi"/>
          <w:szCs w:val="22"/>
        </w:rPr>
      </w:pPr>
      <w:r>
        <w:t>15.</w:t>
      </w:r>
      <w:r>
        <w:tab/>
        <w:t>Attendance of parties at listing conferences</w:t>
      </w:r>
      <w:r>
        <w:tab/>
      </w:r>
      <w:r>
        <w:fldChar w:fldCharType="begin"/>
      </w:r>
      <w:r>
        <w:instrText xml:space="preserve"> PAGEREF _Toc483471021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_Toc483471023 \h </w:instrText>
      </w:r>
      <w:r>
        <w:fldChar w:fldCharType="separate"/>
      </w:r>
      <w:r>
        <w:t>10</w:t>
      </w:r>
      <w:r>
        <w:fldChar w:fldCharType="end"/>
      </w:r>
    </w:p>
    <w:p>
      <w:pPr>
        <w:pStyle w:val="TOC8"/>
        <w:rPr>
          <w:rFonts w:asciiTheme="minorHAnsi" w:eastAsiaTheme="minorEastAsia" w:hAnsiTheme="minorHAnsi" w:cstheme="minorBidi"/>
          <w:szCs w:val="22"/>
        </w:rPr>
      </w:pPr>
      <w:r>
        <w:t>17.</w:t>
      </w:r>
      <w:r>
        <w:tab/>
        <w:t>If the claim is for a specified amount</w:t>
      </w:r>
      <w:r>
        <w:tab/>
      </w:r>
      <w:r>
        <w:fldChar w:fldCharType="begin"/>
      </w:r>
      <w:r>
        <w:instrText xml:space="preserve"> PAGEREF _Toc483471024 \h </w:instrText>
      </w:r>
      <w:r>
        <w:fldChar w:fldCharType="separate"/>
      </w:r>
      <w:r>
        <w:t>10</w:t>
      </w:r>
      <w:r>
        <w:fldChar w:fldCharType="end"/>
      </w:r>
    </w:p>
    <w:p>
      <w:pPr>
        <w:pStyle w:val="TOC8"/>
        <w:rPr>
          <w:rFonts w:asciiTheme="minorHAnsi" w:eastAsiaTheme="minorEastAsia" w:hAnsiTheme="minorHAnsi" w:cstheme="minorBidi"/>
          <w:szCs w:val="22"/>
        </w:rPr>
      </w:pPr>
      <w:r>
        <w:t>18.</w:t>
      </w:r>
      <w:r>
        <w:tab/>
        <w:t>If the claim is for an unspecified amount</w:t>
      </w:r>
      <w:r>
        <w:tab/>
      </w:r>
      <w:r>
        <w:fldChar w:fldCharType="begin"/>
      </w:r>
      <w:r>
        <w:instrText xml:space="preserve"> PAGEREF _Toc483471025 \h </w:instrText>
      </w:r>
      <w:r>
        <w:fldChar w:fldCharType="separate"/>
      </w:r>
      <w:r>
        <w:t>10</w:t>
      </w:r>
      <w:r>
        <w:fldChar w:fldCharType="end"/>
      </w:r>
    </w:p>
    <w:p>
      <w:pPr>
        <w:pStyle w:val="TOC8"/>
        <w:rPr>
          <w:rFonts w:asciiTheme="minorHAnsi" w:eastAsiaTheme="minorEastAsia" w:hAnsiTheme="minorHAnsi" w:cstheme="minorBidi"/>
          <w:szCs w:val="22"/>
        </w:rPr>
      </w:pPr>
      <w:r>
        <w:t>19.</w:t>
      </w:r>
      <w:r>
        <w:tab/>
        <w:t>If the claim against you is to recover possession of personal property</w:t>
      </w:r>
      <w:r>
        <w:tab/>
      </w:r>
      <w:r>
        <w:fldChar w:fldCharType="begin"/>
      </w:r>
      <w:r>
        <w:instrText xml:space="preserve"> PAGEREF _Toc483471026 \h </w:instrText>
      </w:r>
      <w:r>
        <w:fldChar w:fldCharType="separate"/>
      </w:r>
      <w:r>
        <w:t>11</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_Toc483471027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_Toc483471028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_Toc483471029 \h </w:instrText>
      </w:r>
      <w:r>
        <w:fldChar w:fldCharType="separate"/>
      </w:r>
      <w:r>
        <w:t>12</w:t>
      </w:r>
      <w:r>
        <w:fldChar w:fldCharType="end"/>
      </w:r>
    </w:p>
    <w:p>
      <w:pPr>
        <w:pStyle w:val="TOC8"/>
        <w:rPr>
          <w:rFonts w:asciiTheme="minorHAnsi" w:eastAsiaTheme="minorEastAsia" w:hAnsiTheme="minorHAnsi" w:cstheme="minorBidi"/>
          <w:szCs w:val="22"/>
        </w:rPr>
      </w:pPr>
      <w:r>
        <w:rPr>
          <w:rFonts w:ascii="Times" w:hAnsi="Times"/>
        </w:rPr>
        <w:t>22</w:t>
      </w:r>
      <w:r>
        <w:t>.</w:t>
      </w:r>
      <w:r>
        <w:tab/>
        <w:t>Registrar to list application</w:t>
      </w:r>
      <w:r>
        <w:tab/>
      </w:r>
      <w:r>
        <w:fldChar w:fldCharType="begin"/>
      </w:r>
      <w:r>
        <w:instrText xml:space="preserve"> PAGEREF _Toc483471030 \h </w:instrText>
      </w:r>
      <w:r>
        <w:fldChar w:fldCharType="separate"/>
      </w:r>
      <w:r>
        <w:t>12</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_Toc483471031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a pre</w:t>
      </w:r>
      <w:r>
        <w:noBreakHyphen/>
        <w:t>trial conference</w:t>
      </w:r>
      <w:r>
        <w:tab/>
      </w:r>
      <w:r>
        <w:fldChar w:fldCharType="begin"/>
      </w:r>
      <w:r>
        <w:instrText xml:space="preserve"> PAGEREF _Toc483471033 \h </w:instrText>
      </w:r>
      <w:r>
        <w:fldChar w:fldCharType="separate"/>
      </w:r>
      <w:r>
        <w:t>14</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_Toc483471034 \h </w:instrText>
      </w:r>
      <w:r>
        <w:fldChar w:fldCharType="separate"/>
      </w:r>
      <w:r>
        <w:t>14</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_Toc483471035 \h </w:instrText>
      </w:r>
      <w:r>
        <w:fldChar w:fldCharType="separate"/>
      </w:r>
      <w:r>
        <w:t>15</w:t>
      </w:r>
      <w:r>
        <w:fldChar w:fldCharType="end"/>
      </w:r>
    </w:p>
    <w:p>
      <w:pPr>
        <w:pStyle w:val="TOC8"/>
        <w:rPr>
          <w:rFonts w:asciiTheme="minorHAnsi" w:eastAsiaTheme="minorEastAsia" w:hAnsiTheme="minorHAnsi" w:cstheme="minorBidi"/>
          <w:szCs w:val="22"/>
        </w:rPr>
      </w:pPr>
      <w:r>
        <w:t>25.</w:t>
      </w:r>
      <w:r>
        <w:tab/>
        <w:t>If there is a counterclaim that is not a minor case</w:t>
      </w:r>
      <w:r>
        <w:tab/>
      </w:r>
      <w:r>
        <w:fldChar w:fldCharType="begin"/>
      </w:r>
      <w:r>
        <w:instrText xml:space="preserve"> PAGEREF _Toc483471036 \h </w:instrText>
      </w:r>
      <w:r>
        <w:fldChar w:fldCharType="separate"/>
      </w:r>
      <w:r>
        <w:t>16</w:t>
      </w:r>
      <w:r>
        <w:fldChar w:fldCharType="end"/>
      </w:r>
    </w:p>
    <w:p>
      <w:pPr>
        <w:pStyle w:val="TOC8"/>
        <w:rPr>
          <w:rFonts w:asciiTheme="minorHAnsi" w:eastAsiaTheme="minorEastAsia" w:hAnsiTheme="minorHAnsi" w:cstheme="minorBidi"/>
          <w:szCs w:val="22"/>
        </w:rPr>
      </w:pPr>
      <w:r>
        <w:t>26.</w:t>
      </w:r>
      <w:r>
        <w:tab/>
        <w:t>Your attendance at a pre</w:t>
      </w:r>
      <w:r>
        <w:noBreakHyphen/>
        <w:t>trial conference or hearing</w:t>
      </w:r>
      <w:r>
        <w:tab/>
      </w:r>
      <w:r>
        <w:fldChar w:fldCharType="begin"/>
      </w:r>
      <w:r>
        <w:instrText xml:space="preserve"> PAGEREF _Toc483471037 \h </w:instrText>
      </w:r>
      <w:r>
        <w:fldChar w:fldCharType="separate"/>
      </w:r>
      <w:r>
        <w:t>16</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_Toc483471038 \h </w:instrText>
      </w:r>
      <w:r>
        <w:fldChar w:fldCharType="separate"/>
      </w:r>
      <w:r>
        <w:t>16</w:t>
      </w:r>
      <w:r>
        <w:fldChar w:fldCharType="end"/>
      </w:r>
    </w:p>
    <w:p>
      <w:pPr>
        <w:pStyle w:val="TOC8"/>
        <w:rPr>
          <w:rFonts w:asciiTheme="minorHAnsi" w:eastAsiaTheme="minorEastAsia" w:hAnsiTheme="minorHAnsi" w:cstheme="minorBidi"/>
          <w:szCs w:val="22"/>
        </w:rPr>
      </w:pPr>
      <w:r>
        <w:t>28.</w:t>
      </w:r>
      <w:r>
        <w:tab/>
        <w:t>Status of things said or done at a pre</w:t>
      </w:r>
      <w:r>
        <w:noBreakHyphen/>
        <w:t>trial conference</w:t>
      </w:r>
      <w:r>
        <w:tab/>
      </w:r>
      <w:r>
        <w:fldChar w:fldCharType="begin"/>
      </w:r>
      <w:r>
        <w:instrText xml:space="preserve"> PAGEREF _Toc483471039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_Toc483471041 \h </w:instrText>
      </w:r>
      <w:r>
        <w:fldChar w:fldCharType="separate"/>
      </w:r>
      <w:r>
        <w:t>18</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_Toc483471042 \h </w:instrText>
      </w:r>
      <w:r>
        <w:fldChar w:fldCharType="separate"/>
      </w:r>
      <w:r>
        <w:t>18</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_Toc483471043 \h </w:instrText>
      </w:r>
      <w:r>
        <w:fldChar w:fldCharType="separate"/>
      </w:r>
      <w:r>
        <w:t>18</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_Toc483471044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_Toc483471046 \h </w:instrText>
      </w:r>
      <w:r>
        <w:fldChar w:fldCharType="separate"/>
      </w:r>
      <w:r>
        <w:t>19</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_Toc483471047 \h </w:instrText>
      </w:r>
      <w:r>
        <w:fldChar w:fldCharType="separate"/>
      </w:r>
      <w:r>
        <w:t>19</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_Toc483471048 \h </w:instrText>
      </w:r>
      <w:r>
        <w:fldChar w:fldCharType="separate"/>
      </w:r>
      <w:r>
        <w:t>19</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_Toc483471049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_Toc483471051 \h </w:instrText>
      </w:r>
      <w:r>
        <w:fldChar w:fldCharType="separate"/>
      </w:r>
      <w:r>
        <w:t>21</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_Toc483471052 \h </w:instrText>
      </w:r>
      <w:r>
        <w:fldChar w:fldCharType="separate"/>
      </w:r>
      <w:r>
        <w:t>21</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_Toc483471053 \h </w:instrText>
      </w:r>
      <w:r>
        <w:fldChar w:fldCharType="separate"/>
      </w:r>
      <w:r>
        <w:t>21</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_Toc483471054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_Toc483471056 \h </w:instrText>
      </w:r>
      <w:r>
        <w:fldChar w:fldCharType="separate"/>
      </w:r>
      <w:r>
        <w:t>23</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_Toc483471057 \h </w:instrText>
      </w:r>
      <w:r>
        <w:fldChar w:fldCharType="separate"/>
      </w:r>
      <w:r>
        <w:t>23</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_Toc483471058 \h </w:instrText>
      </w:r>
      <w:r>
        <w:fldChar w:fldCharType="separate"/>
      </w:r>
      <w:r>
        <w:t>23</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_Toc483471059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Cases List</w:t>
      </w:r>
      <w:r>
        <w:tab/>
      </w:r>
      <w:r>
        <w:fldChar w:fldCharType="begin"/>
      </w:r>
      <w:r>
        <w:instrText xml:space="preserve"> PAGEREF _Toc483471061 \h </w:instrText>
      </w:r>
      <w:r>
        <w:fldChar w:fldCharType="separate"/>
      </w:r>
      <w:r>
        <w:t>24</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_Toc483471062 \h </w:instrText>
      </w:r>
      <w:r>
        <w:fldChar w:fldCharType="separate"/>
      </w:r>
      <w:r>
        <w:t>24</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_Toc483471063 \h </w:instrText>
      </w:r>
      <w:r>
        <w:fldChar w:fldCharType="separate"/>
      </w:r>
      <w:r>
        <w:t>24</w:t>
      </w:r>
      <w:r>
        <w:fldChar w:fldCharType="end"/>
      </w:r>
    </w:p>
    <w:p>
      <w:pPr>
        <w:pStyle w:val="TOC8"/>
        <w:rPr>
          <w:rFonts w:asciiTheme="minorHAnsi" w:eastAsiaTheme="minorEastAsia" w:hAnsiTheme="minorHAnsi" w:cstheme="minorBidi"/>
          <w:szCs w:val="22"/>
        </w:rPr>
      </w:pPr>
      <w:r>
        <w:t>45D.</w:t>
      </w:r>
      <w:r>
        <w:tab/>
        <w:t>Consequences of your case being on Inactive Cases List</w:t>
      </w:r>
      <w:r>
        <w:tab/>
      </w:r>
      <w:r>
        <w:fldChar w:fldCharType="begin"/>
      </w:r>
      <w:r>
        <w:instrText xml:space="preserve"> PAGEREF _Toc483471064 \h </w:instrText>
      </w:r>
      <w:r>
        <w:fldChar w:fldCharType="separate"/>
      </w:r>
      <w:r>
        <w:t>25</w:t>
      </w:r>
      <w:r>
        <w:fldChar w:fldCharType="end"/>
      </w:r>
    </w:p>
    <w:p>
      <w:pPr>
        <w:pStyle w:val="TOC8"/>
        <w:rPr>
          <w:rFonts w:asciiTheme="minorHAnsi" w:eastAsiaTheme="minorEastAsia" w:hAnsiTheme="minorHAnsi" w:cstheme="minorBidi"/>
          <w:szCs w:val="22"/>
        </w:rPr>
      </w:pPr>
      <w:r>
        <w:t>45E.</w:t>
      </w:r>
      <w:r>
        <w:tab/>
        <w:t>Removing your case from Inactive Cases List</w:t>
      </w:r>
      <w:r>
        <w:tab/>
      </w:r>
      <w:r>
        <w:fldChar w:fldCharType="begin"/>
      </w:r>
      <w:r>
        <w:instrText xml:space="preserve"> PAGEREF _Toc483471065 \h </w:instrText>
      </w:r>
      <w:r>
        <w:fldChar w:fldCharType="separate"/>
      </w:r>
      <w:r>
        <w:t>25</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_Toc483471066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10 — 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_Toc483471068 \h </w:instrText>
      </w:r>
      <w:r>
        <w:fldChar w:fldCharType="separate"/>
      </w:r>
      <w:r>
        <w:t>27</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_Toc483471069 \h </w:instrText>
      </w:r>
      <w:r>
        <w:fldChar w:fldCharType="separate"/>
      </w:r>
      <w:r>
        <w:t>27</w:t>
      </w:r>
      <w:r>
        <w:fldChar w:fldCharType="end"/>
      </w:r>
    </w:p>
    <w:p>
      <w:pPr>
        <w:pStyle w:val="TOC8"/>
        <w:rPr>
          <w:rFonts w:asciiTheme="minorHAnsi" w:eastAsiaTheme="minorEastAsia" w:hAnsiTheme="minorHAnsi" w:cstheme="minorBidi"/>
          <w:szCs w:val="22"/>
        </w:rPr>
      </w:pPr>
      <w:r>
        <w:t>47.</w:t>
      </w:r>
      <w:r>
        <w:tab/>
        <w:t>If a registrar refuses to accept your document for lodgment</w:t>
      </w:r>
      <w:r>
        <w:tab/>
      </w:r>
      <w:r>
        <w:fldChar w:fldCharType="begin"/>
      </w:r>
      <w:r>
        <w:instrText xml:space="preserve"> PAGEREF _Toc483471070 \h </w:instrText>
      </w:r>
      <w:r>
        <w:fldChar w:fldCharType="separate"/>
      </w:r>
      <w:r>
        <w:t>27</w:t>
      </w:r>
      <w:r>
        <w:fldChar w:fldCharType="end"/>
      </w:r>
    </w:p>
    <w:p>
      <w:pPr>
        <w:pStyle w:val="TOC8"/>
        <w:rPr>
          <w:rFonts w:asciiTheme="minorHAnsi" w:eastAsiaTheme="minorEastAsia" w:hAnsiTheme="minorHAnsi" w:cstheme="minorBidi"/>
          <w:szCs w:val="22"/>
        </w:rPr>
      </w:pPr>
      <w:r>
        <w:t>48.</w:t>
      </w:r>
      <w:r>
        <w:tab/>
        <w:t>You may lodge documents by hand delivery or pre</w:t>
      </w:r>
      <w:r>
        <w:noBreakHyphen/>
        <w:t>paid post</w:t>
      </w:r>
      <w:r>
        <w:tab/>
      </w:r>
      <w:r>
        <w:fldChar w:fldCharType="begin"/>
      </w:r>
      <w:r>
        <w:instrText xml:space="preserve"> PAGEREF _Toc483471071 \h </w:instrText>
      </w:r>
      <w:r>
        <w:fldChar w:fldCharType="separate"/>
      </w:r>
      <w:r>
        <w:t>27</w:t>
      </w:r>
      <w:r>
        <w:fldChar w:fldCharType="end"/>
      </w:r>
    </w:p>
    <w:p>
      <w:pPr>
        <w:pStyle w:val="TOC8"/>
        <w:rPr>
          <w:rFonts w:asciiTheme="minorHAnsi" w:eastAsiaTheme="minorEastAsia" w:hAnsiTheme="minorHAnsi" w:cstheme="minorBidi"/>
          <w:szCs w:val="22"/>
        </w:rPr>
      </w:pPr>
      <w:r>
        <w:t>49.</w:t>
      </w:r>
      <w:r>
        <w:tab/>
        <w:t>Lodging documents electronically or by fax</w:t>
      </w:r>
      <w:r>
        <w:tab/>
      </w:r>
      <w:r>
        <w:fldChar w:fldCharType="begin"/>
      </w:r>
      <w:r>
        <w:instrText xml:space="preserve"> PAGEREF _Toc483471072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11 — How to serve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_Toc483471075 \h </w:instrText>
      </w:r>
      <w:r>
        <w:fldChar w:fldCharType="separate"/>
      </w:r>
      <w:r>
        <w:t>28</w:t>
      </w:r>
      <w:r>
        <w:fldChar w:fldCharType="end"/>
      </w:r>
    </w:p>
    <w:p>
      <w:pPr>
        <w:pStyle w:val="TOC8"/>
        <w:rPr>
          <w:rFonts w:asciiTheme="minorHAnsi" w:eastAsiaTheme="minorEastAsia" w:hAnsiTheme="minorHAnsi" w:cstheme="minorBidi"/>
          <w:szCs w:val="22"/>
        </w:rPr>
      </w:pPr>
      <w:r>
        <w:t>51.</w:t>
      </w:r>
      <w:r>
        <w:tab/>
        <w:t>How to serve a document</w:t>
      </w:r>
      <w:r>
        <w:tab/>
      </w:r>
      <w:r>
        <w:fldChar w:fldCharType="begin"/>
      </w:r>
      <w:r>
        <w:instrText xml:space="preserve"> PAGEREF _Toc483471076 \h </w:instrText>
      </w:r>
      <w:r>
        <w:fldChar w:fldCharType="separate"/>
      </w:r>
      <w:r>
        <w:t>28</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_Toc483471077 \h </w:instrText>
      </w:r>
      <w:r>
        <w:fldChar w:fldCharType="separate"/>
      </w:r>
      <w:r>
        <w:t>29</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_Toc483471078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_Toc483471080 \h </w:instrText>
      </w:r>
      <w:r>
        <w:fldChar w:fldCharType="separate"/>
      </w:r>
      <w:r>
        <w:t>29</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_Toc483471081 \h </w:instrText>
      </w:r>
      <w:r>
        <w:fldChar w:fldCharType="separate"/>
      </w:r>
      <w:r>
        <w:t>30</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_Toc483471082 \h </w:instrText>
      </w:r>
      <w:r>
        <w:fldChar w:fldCharType="separate"/>
      </w:r>
      <w:r>
        <w:t>30</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_Toc483471083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_Toc483471085 \h </w:instrText>
      </w:r>
      <w:r>
        <w:fldChar w:fldCharType="separate"/>
      </w:r>
      <w:r>
        <w:t>31</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_Toc483471086 \h </w:instrText>
      </w:r>
      <w:r>
        <w:fldChar w:fldCharType="separate"/>
      </w:r>
      <w:r>
        <w:t>32</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_Toc483471087 \h </w:instrText>
      </w:r>
      <w:r>
        <w:fldChar w:fldCharType="separate"/>
      </w:r>
      <w:r>
        <w:t>32</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_Toc483471088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_Toc483471090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_Toc483471092 \h </w:instrText>
      </w:r>
      <w:r>
        <w:fldChar w:fldCharType="separate"/>
      </w:r>
      <w:r>
        <w:t>34</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_Toc483471093 \h </w:instrText>
      </w:r>
      <w:r>
        <w:fldChar w:fldCharType="separate"/>
      </w:r>
      <w:r>
        <w:t>34</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_Toc483471094 \h </w:instrText>
      </w:r>
      <w:r>
        <w:fldChar w:fldCharType="separate"/>
      </w:r>
      <w:r>
        <w:t>34</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_Toc483471095 \h </w:instrText>
      </w:r>
      <w:r>
        <w:fldChar w:fldCharType="separate"/>
      </w:r>
      <w:r>
        <w:t>35</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_Toc483471096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_Toc483471098 \h </w:instrText>
      </w:r>
      <w:r>
        <w:fldChar w:fldCharType="separate"/>
      </w:r>
      <w:r>
        <w:t>36</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_Toc483471099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_Toc483471101 \h </w:instrText>
      </w:r>
      <w:r>
        <w:fldChar w:fldCharType="separate"/>
      </w:r>
      <w:r>
        <w:t>37</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_Toc483471102 \h </w:instrText>
      </w:r>
      <w:r>
        <w:fldChar w:fldCharType="separate"/>
      </w:r>
      <w:r>
        <w:t>37</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_Toc483471103 \h </w:instrText>
      </w:r>
      <w:r>
        <w:fldChar w:fldCharType="separate"/>
      </w:r>
      <w:r>
        <w:t>37</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_Toc483471104 \h </w:instrText>
      </w:r>
      <w:r>
        <w:fldChar w:fldCharType="separate"/>
      </w:r>
      <w:r>
        <w:t>38</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_Toc483471105 \h </w:instrText>
      </w:r>
      <w:r>
        <w:fldChar w:fldCharType="separate"/>
      </w:r>
      <w:r>
        <w:t>39</w:t>
      </w:r>
      <w:r>
        <w:fldChar w:fldCharType="end"/>
      </w:r>
    </w:p>
    <w:p>
      <w:pPr>
        <w:pStyle w:val="TOC8"/>
        <w:rPr>
          <w:rFonts w:asciiTheme="minorHAnsi" w:eastAsiaTheme="minorEastAsia" w:hAnsiTheme="minorHAnsi" w:cstheme="minorBidi"/>
          <w:szCs w:val="22"/>
        </w:rPr>
      </w:pPr>
      <w:r>
        <w:t>74.</w:t>
      </w:r>
      <w:r>
        <w:tab/>
        <w:t>Affidavits your litigation guardian must lodge and serve if you are a child</w:t>
      </w:r>
      <w:r>
        <w:tab/>
      </w:r>
      <w:r>
        <w:fldChar w:fldCharType="begin"/>
      </w:r>
      <w:r>
        <w:instrText xml:space="preserve"> PAGEREF _Toc483471106 \h </w:instrText>
      </w:r>
      <w:r>
        <w:fldChar w:fldCharType="separate"/>
      </w:r>
      <w:r>
        <w:t>39</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_Toc483471107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_Toc483471109 \h </w:instrText>
      </w:r>
      <w:r>
        <w:fldChar w:fldCharType="separate"/>
      </w:r>
      <w:r>
        <w:t>41</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_Toc483471110 \h </w:instrText>
      </w:r>
      <w:r>
        <w:fldChar w:fldCharType="separate"/>
      </w:r>
      <w:r>
        <w:t>41</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_Toc483471111 \h </w:instrText>
      </w:r>
      <w:r>
        <w:fldChar w:fldCharType="separate"/>
      </w:r>
      <w:r>
        <w:t>41</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_Toc483471112 \h </w:instrText>
      </w:r>
      <w:r>
        <w:fldChar w:fldCharType="separate"/>
      </w:r>
      <w:r>
        <w:t>42</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_Toc483471113 \h </w:instrText>
      </w:r>
      <w:r>
        <w:fldChar w:fldCharType="separate"/>
      </w:r>
      <w:r>
        <w:t>42</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_Toc483471114 \h </w:instrText>
      </w:r>
      <w:r>
        <w:fldChar w:fldCharType="separate"/>
      </w:r>
      <w:r>
        <w:t>42</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_Toc483471115 \h </w:instrText>
      </w:r>
      <w:r>
        <w:fldChar w:fldCharType="separate"/>
      </w:r>
      <w:r>
        <w:t>42</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_Toc483471116 \h </w:instrText>
      </w:r>
      <w:r>
        <w:fldChar w:fldCharType="separate"/>
      </w:r>
      <w:r>
        <w:t>43</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_Toc483471117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_Toc483471119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May 2017</w:t>
            </w:r>
          </w:p>
        </w:tc>
      </w:tr>
    </w:tbl>
    <w:p>
      <w:pPr>
        <w:pStyle w:val="WA"/>
        <w:spacing w:before="12"/>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3" w:name="_Toc474400295"/>
      <w:bookmarkStart w:id="4" w:name="_Toc477254348"/>
      <w:bookmarkStart w:id="5" w:name="_Toc482862547"/>
      <w:bookmarkStart w:id="6" w:name="_Toc482863172"/>
      <w:bookmarkStart w:id="7" w:name="_Toc482874237"/>
      <w:bookmarkStart w:id="8" w:name="_Toc483470748"/>
      <w:bookmarkStart w:id="9" w:name="_Toc4834709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83470998"/>
      <w:r>
        <w:rPr>
          <w:rStyle w:val="CharSectno"/>
        </w:rPr>
        <w:t>1</w:t>
      </w:r>
      <w:r>
        <w:t>.</w:t>
      </w:r>
      <w:r>
        <w:tab/>
        <w:t>Citation</w:t>
      </w:r>
      <w:bookmarkEnd w:id="10"/>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11" w:name="_Toc483470999"/>
      <w:r>
        <w:rPr>
          <w:rStyle w:val="CharSectno"/>
        </w:rPr>
        <w:t>2</w:t>
      </w:r>
      <w:r>
        <w:rPr>
          <w:spacing w:val="-2"/>
        </w:rPr>
        <w:t>.</w:t>
      </w:r>
      <w:r>
        <w:rPr>
          <w:spacing w:val="-2"/>
        </w:rPr>
        <w:tab/>
        <w:t>Commencement</w:t>
      </w:r>
      <w:bookmarkEnd w:id="11"/>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12" w:name="_Toc483471000"/>
      <w:r>
        <w:rPr>
          <w:rStyle w:val="CharSectno"/>
        </w:rPr>
        <w:t>3</w:t>
      </w:r>
      <w:r>
        <w:t>.</w:t>
      </w:r>
      <w:r>
        <w:tab/>
        <w:t xml:space="preserve">These rules to be read with the </w:t>
      </w:r>
      <w:r>
        <w:rPr>
          <w:i/>
          <w:iCs/>
        </w:rPr>
        <w:t>Magistrates Court (General) Rules 2005</w:t>
      </w:r>
      <w:bookmarkEnd w:id="12"/>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13" w:name="_Toc483471001"/>
      <w:r>
        <w:rPr>
          <w:rStyle w:val="CharSectno"/>
        </w:rPr>
        <w:t>4</w:t>
      </w:r>
      <w:r>
        <w:t>.</w:t>
      </w:r>
      <w:r>
        <w:tab/>
        <w:t>Terms used</w:t>
      </w:r>
      <w:bookmarkEnd w:id="13"/>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 3 May 2016 p. 1362.]</w:t>
      </w:r>
    </w:p>
    <w:p>
      <w:pPr>
        <w:pStyle w:val="Heading5"/>
      </w:pPr>
      <w:bookmarkStart w:id="14" w:name="_Toc483471002"/>
      <w:r>
        <w:rPr>
          <w:rStyle w:val="CharSectno"/>
        </w:rPr>
        <w:t>5</w:t>
      </w:r>
      <w:r>
        <w:t>.</w:t>
      </w:r>
      <w:r>
        <w:tab/>
        <w:t>When these rules apply</w:t>
      </w:r>
      <w:bookmarkEnd w:id="14"/>
    </w:p>
    <w:p>
      <w:pPr>
        <w:pStyle w:val="Subsection"/>
      </w:pPr>
      <w:r>
        <w:tab/>
      </w:r>
      <w:r>
        <w:tab/>
        <w:t>Unless the Court in a particular case orders otherwise, these rules apply in every minor case.</w:t>
      </w:r>
    </w:p>
    <w:p>
      <w:pPr>
        <w:pStyle w:val="Heading5"/>
      </w:pPr>
      <w:bookmarkStart w:id="15" w:name="_Toc483471003"/>
      <w:r>
        <w:rPr>
          <w:rStyle w:val="CharSectno"/>
        </w:rPr>
        <w:t>6A</w:t>
      </w:r>
      <w:r>
        <w:t>.</w:t>
      </w:r>
      <w:r>
        <w:tab/>
        <w:t>Exercise of Court’s powers in Part 3 of the Act</w:t>
      </w:r>
      <w:bookmarkEnd w:id="15"/>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16" w:name="_Toc474400302"/>
      <w:bookmarkStart w:id="17" w:name="_Toc477254355"/>
      <w:bookmarkStart w:id="18" w:name="_Toc482862554"/>
      <w:bookmarkStart w:id="19" w:name="_Toc482863179"/>
      <w:bookmarkStart w:id="20" w:name="_Toc482874244"/>
      <w:bookmarkStart w:id="21" w:name="_Toc483470755"/>
      <w:bookmarkStart w:id="22" w:name="_Toc483471004"/>
      <w:r>
        <w:rPr>
          <w:rStyle w:val="CharPartNo"/>
        </w:rPr>
        <w:t>Part 2</w:t>
      </w:r>
      <w:r>
        <w:t> — </w:t>
      </w:r>
      <w:r>
        <w:rPr>
          <w:rStyle w:val="CharPartText"/>
        </w:rPr>
        <w:t>How to make and defend a claim generally</w:t>
      </w:r>
      <w:bookmarkEnd w:id="16"/>
      <w:bookmarkEnd w:id="17"/>
      <w:bookmarkEnd w:id="18"/>
      <w:bookmarkEnd w:id="19"/>
      <w:bookmarkEnd w:id="20"/>
      <w:bookmarkEnd w:id="21"/>
      <w:bookmarkEnd w:id="22"/>
    </w:p>
    <w:p>
      <w:pPr>
        <w:pStyle w:val="Heading5"/>
      </w:pPr>
      <w:bookmarkStart w:id="23" w:name="_Toc483471005"/>
      <w:r>
        <w:rPr>
          <w:rStyle w:val="CharSectno"/>
        </w:rPr>
        <w:t>6</w:t>
      </w:r>
      <w:r>
        <w:t>.</w:t>
      </w:r>
      <w:r>
        <w:tab/>
        <w:t>When this Part applies</w:t>
      </w:r>
      <w:bookmarkEnd w:id="23"/>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24" w:name="_Toc483471006"/>
      <w:r>
        <w:rPr>
          <w:rStyle w:val="CharSectno"/>
          <w:rFonts w:ascii="Times" w:hAnsi="Times"/>
        </w:rPr>
        <w:t>7</w:t>
      </w:r>
      <w:r>
        <w:t>.</w:t>
      </w:r>
      <w:r>
        <w:tab/>
        <w:t>How to make a claim that starts a case</w:t>
      </w:r>
      <w:bookmarkEnd w:id="24"/>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 amended in Gazette 30 Sep 2016 p. 4175.]</w:t>
      </w:r>
    </w:p>
    <w:p>
      <w:pPr>
        <w:pStyle w:val="Heading5"/>
      </w:pPr>
      <w:bookmarkStart w:id="25" w:name="_Toc483471007"/>
      <w:r>
        <w:rPr>
          <w:rStyle w:val="CharSectno"/>
          <w:rFonts w:ascii="Times" w:hAnsi="Times"/>
        </w:rPr>
        <w:t>7A</w:t>
      </w:r>
      <w:r>
        <w:t>.</w:t>
      </w:r>
      <w:r>
        <w:tab/>
        <w:t>Statement of claim</w:t>
      </w:r>
      <w:bookmarkEnd w:id="25"/>
    </w:p>
    <w:p>
      <w:pPr>
        <w:pStyle w:val="Subsection"/>
      </w:pPr>
      <w:r>
        <w:tab/>
        <w:t>(1)</w:t>
      </w:r>
      <w:r>
        <w:tab/>
        <w:t>Unless you lodged and served your statement of claim with your claim under rule 7, you must lodge and serve your statement of claim within 14 days after you have received a response that indicates an intention to defend the claim, or such other time as is ordered by the registrar.</w:t>
      </w:r>
    </w:p>
    <w:p>
      <w:pPr>
        <w:pStyle w:val="Subsection"/>
      </w:pPr>
      <w:r>
        <w:tab/>
        <w:t>(2)</w:t>
      </w:r>
      <w:r>
        <w:tab/>
        <w:t>A statement of claim must be in the approved form.</w:t>
      </w:r>
    </w:p>
    <w:p>
      <w:pPr>
        <w:pStyle w:val="Subsection"/>
      </w:pPr>
      <w:r>
        <w:tab/>
        <w:t>(3)</w:t>
      </w:r>
      <w:r>
        <w:tab/>
        <w:t xml:space="preserve">Your statement of claim must contain — </w:t>
      </w:r>
    </w:p>
    <w:p>
      <w:pPr>
        <w:pStyle w:val="Indenta"/>
      </w:pPr>
      <w:r>
        <w:tab/>
        <w:t>(a)</w:t>
      </w:r>
      <w:r>
        <w:tab/>
        <w:t>a summary of the facts relevant to your claim; and</w:t>
      </w:r>
    </w:p>
    <w:p>
      <w:pPr>
        <w:pStyle w:val="Indenta"/>
        <w:keepNext/>
      </w:pPr>
      <w:r>
        <w:tab/>
        <w:t>(b)</w:t>
      </w:r>
      <w:r>
        <w:tab/>
        <w:t>what remedy or relief you want.</w:t>
      </w:r>
    </w:p>
    <w:p>
      <w:pPr>
        <w:pStyle w:val="Footnotesection"/>
      </w:pPr>
      <w:r>
        <w:tab/>
        <w:t>[Rule 7A inserted in Gazette 30 Sep 2016 p. 4175.]</w:t>
      </w:r>
    </w:p>
    <w:p>
      <w:pPr>
        <w:pStyle w:val="Heading5"/>
      </w:pPr>
      <w:bookmarkStart w:id="26" w:name="_Toc483471008"/>
      <w:r>
        <w:rPr>
          <w:rStyle w:val="CharSectno"/>
          <w:rFonts w:ascii="Times" w:hAnsi="Times"/>
        </w:rPr>
        <w:t>8</w:t>
      </w:r>
      <w:r>
        <w:t>.</w:t>
      </w:r>
      <w:r>
        <w:tab/>
        <w:t>How to make a counterclaim or third party claim</w:t>
      </w:r>
      <w:bookmarkEnd w:id="26"/>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9A.</w:t>
      </w:r>
    </w:p>
    <w:p>
      <w:pPr>
        <w:pStyle w:val="Subsection"/>
      </w:pPr>
      <w:r>
        <w:tab/>
        <w:t>(3)</w:t>
      </w:r>
      <w:r>
        <w:tab/>
        <w:t>Your claim may, but need not, be lodged and served together with a statement of claim.</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 amended in Gazette 30 Sep 2016 p. 4175.]</w:t>
      </w:r>
    </w:p>
    <w:p>
      <w:pPr>
        <w:pStyle w:val="Heading5"/>
      </w:pPr>
      <w:bookmarkStart w:id="27" w:name="_Toc483471009"/>
      <w:r>
        <w:rPr>
          <w:rStyle w:val="CharSectno"/>
          <w:rFonts w:ascii="Times" w:hAnsi="Times"/>
        </w:rPr>
        <w:t>9</w:t>
      </w:r>
      <w:r>
        <w:t>.</w:t>
      </w:r>
      <w:r>
        <w:tab/>
        <w:t>How to respond to a claim</w:t>
      </w:r>
      <w:bookmarkEnd w:id="27"/>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If a statement of claim has been lodged together with a claim under rule 7(2) or 8(3), your response may, but need not, be lodged together with your statement of defence.</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in Gazette 3 Jun 2008 p. 2140; 30 Sep 2016 p. 4175.]</w:t>
      </w:r>
    </w:p>
    <w:p>
      <w:pPr>
        <w:pStyle w:val="Heading5"/>
      </w:pPr>
      <w:bookmarkStart w:id="28" w:name="_Toc483471010"/>
      <w:r>
        <w:rPr>
          <w:rStyle w:val="CharSectno"/>
          <w:rFonts w:ascii="Times" w:hAnsi="Times"/>
        </w:rPr>
        <w:t>9A</w:t>
      </w:r>
      <w:r>
        <w:t>.</w:t>
      </w:r>
      <w:r>
        <w:tab/>
        <w:t>Statement of defence</w:t>
      </w:r>
      <w:bookmarkEnd w:id="28"/>
    </w:p>
    <w:p>
      <w:pPr>
        <w:pStyle w:val="Subsection"/>
        <w:keepNext/>
        <w:keepLines/>
      </w:pPr>
      <w:r>
        <w:tab/>
        <w:t>(1)</w:t>
      </w:r>
      <w:r>
        <w:tab/>
        <w:t>Unless you lodged and served your statement of defence with your response under rule 9(2), you must lodge and serve your statement of defence within 14 days, or such other time as is ordered by the registrar, after you have been served with the relevant statement of claim.</w:t>
      </w:r>
    </w:p>
    <w:p>
      <w:pPr>
        <w:pStyle w:val="Subsection"/>
      </w:pPr>
      <w:r>
        <w:tab/>
        <w:t>(2)</w:t>
      </w:r>
      <w:r>
        <w:tab/>
        <w:t>A statement of defence must be in the approved form.</w:t>
      </w:r>
    </w:p>
    <w:p>
      <w:pPr>
        <w:pStyle w:val="Subsection"/>
      </w:pPr>
      <w:r>
        <w:tab/>
        <w:t>(3)</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9A inserted in Gazette 30 Sep 2016 p. 4176.]</w:t>
      </w:r>
    </w:p>
    <w:p>
      <w:pPr>
        <w:pStyle w:val="Heading5"/>
      </w:pPr>
      <w:bookmarkStart w:id="29" w:name="_Toc483471011"/>
      <w:r>
        <w:rPr>
          <w:rStyle w:val="CharSectno"/>
          <w:rFonts w:ascii="Times" w:hAnsi="Times"/>
        </w:rPr>
        <w:t>10A</w:t>
      </w:r>
      <w:r>
        <w:t>.</w:t>
      </w:r>
      <w:r>
        <w:tab/>
        <w:t>If you admit a claim</w:t>
      </w:r>
      <w:bookmarkEnd w:id="29"/>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30" w:name="_Toc483471012"/>
      <w:r>
        <w:rPr>
          <w:rStyle w:val="CharSectno"/>
          <w:rFonts w:ascii="Times" w:hAnsi="Times"/>
        </w:rPr>
        <w:t>10B</w:t>
      </w:r>
      <w:r>
        <w:t>.</w:t>
      </w:r>
      <w:r>
        <w:tab/>
        <w:t>If you admit part of a claim</w:t>
      </w:r>
      <w:bookmarkEnd w:id="30"/>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31" w:name="_Toc483471013"/>
      <w:r>
        <w:rPr>
          <w:rStyle w:val="CharSectno"/>
          <w:rFonts w:ascii="Times" w:hAnsi="Times"/>
        </w:rPr>
        <w:t>10C</w:t>
      </w:r>
      <w:r>
        <w:t>.</w:t>
      </w:r>
      <w:r>
        <w:tab/>
        <w:t>You may admit liability but dispute the amount claimed</w:t>
      </w:r>
      <w:bookmarkEnd w:id="31"/>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32" w:name="_Toc483471014"/>
      <w:r>
        <w:rPr>
          <w:rStyle w:val="CharSectno"/>
          <w:rFonts w:ascii="Times" w:hAnsi="Times"/>
        </w:rPr>
        <w:t>10</w:t>
      </w:r>
      <w:r>
        <w:t>.</w:t>
      </w:r>
      <w:r>
        <w:tab/>
        <w:t>How to accept an offer of settlement</w:t>
      </w:r>
      <w:bookmarkEnd w:id="32"/>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33" w:name="_Toc474400313"/>
      <w:bookmarkStart w:id="34" w:name="_Toc477254366"/>
      <w:bookmarkStart w:id="35" w:name="_Toc482862565"/>
      <w:bookmarkStart w:id="36" w:name="_Toc482863190"/>
      <w:bookmarkStart w:id="37" w:name="_Toc482874255"/>
      <w:bookmarkStart w:id="38" w:name="_Toc483470766"/>
      <w:bookmarkStart w:id="39" w:name="_Toc483471015"/>
      <w:r>
        <w:rPr>
          <w:rStyle w:val="CharPartNo"/>
        </w:rPr>
        <w:t>Part 3</w:t>
      </w:r>
      <w:r>
        <w:rPr>
          <w:rStyle w:val="CharDivNo"/>
        </w:rPr>
        <w:t> </w:t>
      </w:r>
      <w:r>
        <w:t>—</w:t>
      </w:r>
      <w:r>
        <w:rPr>
          <w:rStyle w:val="CharDivText"/>
        </w:rPr>
        <w:t> </w:t>
      </w:r>
      <w:r>
        <w:rPr>
          <w:rStyle w:val="CharPartText"/>
        </w:rPr>
        <w:t>How to make a consumer/trader claim</w:t>
      </w:r>
      <w:bookmarkEnd w:id="33"/>
      <w:bookmarkEnd w:id="34"/>
      <w:bookmarkEnd w:id="35"/>
      <w:bookmarkEnd w:id="36"/>
      <w:bookmarkEnd w:id="37"/>
      <w:bookmarkEnd w:id="38"/>
      <w:bookmarkEnd w:id="39"/>
    </w:p>
    <w:p>
      <w:pPr>
        <w:pStyle w:val="Heading5"/>
      </w:pPr>
      <w:bookmarkStart w:id="40" w:name="_Toc483471016"/>
      <w:r>
        <w:rPr>
          <w:rStyle w:val="CharSectno"/>
        </w:rPr>
        <w:t>11</w:t>
      </w:r>
      <w:r>
        <w:t>.</w:t>
      </w:r>
      <w:r>
        <w:tab/>
        <w:t>How to make a consumer/trader claim</w:t>
      </w:r>
      <w:bookmarkEnd w:id="40"/>
    </w:p>
    <w:p>
      <w:pPr>
        <w:pStyle w:val="Subsection"/>
      </w:pPr>
      <w:r>
        <w:tab/>
      </w:r>
      <w:r>
        <w:tab/>
        <w:t>If you want to make a consumer/trader claim you must lodge the approved form.</w:t>
      </w:r>
    </w:p>
    <w:p>
      <w:pPr>
        <w:pStyle w:val="Heading5"/>
      </w:pPr>
      <w:bookmarkStart w:id="41" w:name="_Toc483471017"/>
      <w:r>
        <w:rPr>
          <w:rStyle w:val="CharSectno"/>
        </w:rPr>
        <w:t>12</w:t>
      </w:r>
      <w:r>
        <w:t>.</w:t>
      </w:r>
      <w:r>
        <w:tab/>
        <w:t>Service of the claim</w:t>
      </w:r>
      <w:bookmarkEnd w:id="41"/>
    </w:p>
    <w:p>
      <w:pPr>
        <w:pStyle w:val="Subsection"/>
      </w:pPr>
      <w:r>
        <w:tab/>
      </w:r>
      <w:r>
        <w:tab/>
        <w:t>After you lodge a consumer/trader claim, the Court will give a copy of it to the party against which you are claiming and to every other party to your case.</w:t>
      </w:r>
    </w:p>
    <w:p>
      <w:pPr>
        <w:pStyle w:val="Heading5"/>
      </w:pPr>
      <w:bookmarkStart w:id="42" w:name="_Toc483471018"/>
      <w:r>
        <w:rPr>
          <w:rStyle w:val="CharSectno"/>
          <w:rFonts w:ascii="Times" w:hAnsi="Times"/>
        </w:rPr>
        <w:t>13A</w:t>
      </w:r>
      <w:r>
        <w:t>.</w:t>
      </w:r>
      <w:r>
        <w:tab/>
        <w:t>If someone has made a consumer/trader claim against you</w:t>
      </w:r>
      <w:bookmarkEnd w:id="42"/>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43" w:name="_Toc483471019"/>
      <w:r>
        <w:rPr>
          <w:rStyle w:val="CharSectno"/>
          <w:rFonts w:ascii="Times" w:hAnsi="Times"/>
        </w:rPr>
        <w:t>13</w:t>
      </w:r>
      <w:r>
        <w:t>.</w:t>
      </w:r>
      <w:r>
        <w:tab/>
        <w:t>Registrar to list case for listing conference</w:t>
      </w:r>
      <w:bookmarkEnd w:id="43"/>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44" w:name="_Toc483471020"/>
      <w:r>
        <w:rPr>
          <w:rStyle w:val="CharSectno"/>
        </w:rPr>
        <w:t>14</w:t>
      </w:r>
      <w:r>
        <w:t>.</w:t>
      </w:r>
      <w:r>
        <w:tab/>
        <w:t>Listing conference</w:t>
      </w:r>
      <w:bookmarkEnd w:id="44"/>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45" w:name="_Toc483471021"/>
      <w:r>
        <w:rPr>
          <w:rStyle w:val="CharSectno"/>
        </w:rPr>
        <w:t>15</w:t>
      </w:r>
      <w:r>
        <w:t>.</w:t>
      </w:r>
      <w:r>
        <w:tab/>
        <w:t>Attendance of parties at listing conferences</w:t>
      </w:r>
      <w:bookmarkEnd w:id="45"/>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46" w:name="_Toc474400320"/>
      <w:bookmarkStart w:id="47" w:name="_Toc477254373"/>
      <w:bookmarkStart w:id="48" w:name="_Toc482862572"/>
      <w:bookmarkStart w:id="49" w:name="_Toc482863197"/>
      <w:bookmarkStart w:id="50" w:name="_Toc482874262"/>
      <w:bookmarkStart w:id="51" w:name="_Toc483470773"/>
      <w:bookmarkStart w:id="52" w:name="_Toc483471022"/>
      <w:r>
        <w:rPr>
          <w:rStyle w:val="CharPartNo"/>
        </w:rPr>
        <w:t>Part 4</w:t>
      </w:r>
      <w:r>
        <w:rPr>
          <w:rStyle w:val="CharDivNo"/>
        </w:rPr>
        <w:t> </w:t>
      </w:r>
      <w:r>
        <w:t>—</w:t>
      </w:r>
      <w:r>
        <w:rPr>
          <w:rStyle w:val="CharDivText"/>
        </w:rPr>
        <w:t> </w:t>
      </w:r>
      <w:r>
        <w:rPr>
          <w:rStyle w:val="CharPartText"/>
        </w:rPr>
        <w:t>If you or another party does not defend a claim</w:t>
      </w:r>
      <w:bookmarkEnd w:id="46"/>
      <w:bookmarkEnd w:id="47"/>
      <w:bookmarkEnd w:id="48"/>
      <w:bookmarkEnd w:id="49"/>
      <w:bookmarkEnd w:id="50"/>
      <w:bookmarkEnd w:id="51"/>
      <w:bookmarkEnd w:id="52"/>
    </w:p>
    <w:p>
      <w:pPr>
        <w:pStyle w:val="Heading5"/>
      </w:pPr>
      <w:bookmarkStart w:id="53" w:name="_Toc483471023"/>
      <w:r>
        <w:rPr>
          <w:rStyle w:val="CharSectno"/>
        </w:rPr>
        <w:t>16</w:t>
      </w:r>
      <w:r>
        <w:t>.</w:t>
      </w:r>
      <w:r>
        <w:tab/>
        <w:t>When this Part applies</w:t>
      </w:r>
      <w:bookmarkEnd w:id="53"/>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9A.</w:t>
      </w:r>
    </w:p>
    <w:p>
      <w:pPr>
        <w:pStyle w:val="Footnotesection"/>
      </w:pPr>
      <w:r>
        <w:tab/>
        <w:t>[Rule 16 amended in Gazette 3 Jun 2008 p. 2142; 30 Sep 2016 p. 4176.]</w:t>
      </w:r>
    </w:p>
    <w:p>
      <w:pPr>
        <w:pStyle w:val="Heading5"/>
      </w:pPr>
      <w:bookmarkStart w:id="54" w:name="_Toc483471024"/>
      <w:r>
        <w:rPr>
          <w:rStyle w:val="CharSectno"/>
        </w:rPr>
        <w:t>17</w:t>
      </w:r>
      <w:r>
        <w:t>.</w:t>
      </w:r>
      <w:r>
        <w:tab/>
        <w:t>If the claim is for a specified amount</w:t>
      </w:r>
      <w:bookmarkEnd w:id="54"/>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 or</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in Gazette 3 Jun 2008 p. 2142; 24 May 2013 p. 2058.]</w:t>
      </w:r>
    </w:p>
    <w:p>
      <w:pPr>
        <w:pStyle w:val="Heading5"/>
      </w:pPr>
      <w:bookmarkStart w:id="55" w:name="_Toc483471025"/>
      <w:r>
        <w:rPr>
          <w:rStyle w:val="CharSectno"/>
        </w:rPr>
        <w:t>18</w:t>
      </w:r>
      <w:r>
        <w:t>.</w:t>
      </w:r>
      <w:r>
        <w:tab/>
        <w:t>If the claim is for an unspecified amount</w:t>
      </w:r>
      <w:bookmarkEnd w:id="55"/>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r>
        <w:tab/>
        <w:t>[Rule 18 amended in Gazette 3 Jun 2008 p. 2142.]</w:t>
      </w:r>
    </w:p>
    <w:p>
      <w:pPr>
        <w:pStyle w:val="Heading5"/>
      </w:pPr>
      <w:bookmarkStart w:id="56" w:name="_Toc483471026"/>
      <w:r>
        <w:rPr>
          <w:rStyle w:val="CharSectno"/>
        </w:rPr>
        <w:t>19</w:t>
      </w:r>
      <w:r>
        <w:t>.</w:t>
      </w:r>
      <w:r>
        <w:tab/>
        <w:t>If the claim against you is to recover possession of personal property</w:t>
      </w:r>
      <w:bookmarkEnd w:id="56"/>
    </w:p>
    <w:p>
      <w:pPr>
        <w:pStyle w:val="Subsection"/>
      </w:pPr>
      <w:r>
        <w:tab/>
      </w:r>
      <w:r>
        <w:tab/>
        <w:t>Unless rule 21 applies, or the claim is a consumer/trader claim, a registrar may give default judgment for a claim to recover possession of personal property.</w:t>
      </w:r>
    </w:p>
    <w:p>
      <w:pPr>
        <w:pStyle w:val="Heading5"/>
      </w:pPr>
      <w:bookmarkStart w:id="57" w:name="_Toc483471027"/>
      <w:r>
        <w:rPr>
          <w:rStyle w:val="CharSectno"/>
        </w:rPr>
        <w:t>20</w:t>
      </w:r>
      <w:r>
        <w:t>.</w:t>
      </w:r>
      <w:r>
        <w:tab/>
        <w:t>Registrar may give default judgment in absence of parties</w:t>
      </w:r>
      <w:bookmarkEnd w:id="57"/>
    </w:p>
    <w:p>
      <w:pPr>
        <w:pStyle w:val="Subsection"/>
      </w:pPr>
      <w:r>
        <w:tab/>
      </w:r>
      <w:r>
        <w:tab/>
        <w:t>A registrar may give default judgment under this Part in the absence of the parties.</w:t>
      </w:r>
    </w:p>
    <w:p>
      <w:pPr>
        <w:pStyle w:val="Heading5"/>
        <w:spacing w:before="180"/>
      </w:pPr>
      <w:bookmarkStart w:id="58" w:name="_Toc483471028"/>
      <w:r>
        <w:rPr>
          <w:rStyle w:val="CharSectno"/>
          <w:rFonts w:ascii="Times" w:hAnsi="Times"/>
        </w:rPr>
        <w:t>21</w:t>
      </w:r>
      <w:r>
        <w:t>.</w:t>
      </w:r>
      <w:r>
        <w:tab/>
        <w:t>Registrar not to give judgment in certain cases</w:t>
      </w:r>
      <w:bookmarkEnd w:id="58"/>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59" w:name="_Toc483471029"/>
      <w:r>
        <w:rPr>
          <w:rStyle w:val="CharSectno"/>
          <w:rFonts w:ascii="Times" w:hAnsi="Times"/>
        </w:rPr>
        <w:t>22A</w:t>
      </w:r>
      <w:r>
        <w:t>.</w:t>
      </w:r>
      <w:r>
        <w:tab/>
        <w:t>Default judgment one year or more after originating claim, referral to Magistrate</w:t>
      </w:r>
      <w:bookmarkEnd w:id="59"/>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pPr>
      <w:bookmarkStart w:id="60" w:name="_Toc483471030"/>
      <w:r>
        <w:rPr>
          <w:rStyle w:val="CharSectno"/>
          <w:rFonts w:ascii="Times" w:hAnsi="Times"/>
        </w:rPr>
        <w:t>22</w:t>
      </w:r>
      <w:r>
        <w:t>.</w:t>
      </w:r>
      <w:r>
        <w:tab/>
        <w:t>Registrar to list application</w:t>
      </w:r>
      <w:bookmarkEnd w:id="60"/>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61" w:name="_Toc483471031"/>
      <w:r>
        <w:rPr>
          <w:rStyle w:val="CharSectno"/>
        </w:rPr>
        <w:t>23A</w:t>
      </w:r>
      <w:r>
        <w:t>.</w:t>
      </w:r>
      <w:r>
        <w:tab/>
        <w:t>Registrar may order costs after giving judgment</w:t>
      </w:r>
      <w:bookmarkEnd w:id="61"/>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62" w:name="_Toc474400330"/>
      <w:bookmarkStart w:id="63" w:name="_Toc477254383"/>
      <w:bookmarkStart w:id="64" w:name="_Toc482862582"/>
      <w:bookmarkStart w:id="65" w:name="_Toc482863207"/>
      <w:bookmarkStart w:id="66" w:name="_Toc482874272"/>
      <w:bookmarkStart w:id="67" w:name="_Toc483470783"/>
      <w:bookmarkStart w:id="68" w:name="_Toc483471032"/>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62"/>
      <w:bookmarkEnd w:id="63"/>
      <w:bookmarkEnd w:id="64"/>
      <w:bookmarkEnd w:id="65"/>
      <w:bookmarkEnd w:id="66"/>
      <w:bookmarkEnd w:id="67"/>
      <w:bookmarkEnd w:id="68"/>
    </w:p>
    <w:p>
      <w:pPr>
        <w:pStyle w:val="Heading5"/>
      </w:pPr>
      <w:bookmarkStart w:id="69" w:name="_Toc483471033"/>
      <w:r>
        <w:rPr>
          <w:rStyle w:val="CharSectno"/>
          <w:rFonts w:ascii="Times" w:hAnsi="Times"/>
        </w:rPr>
        <w:t>23</w:t>
      </w:r>
      <w:r>
        <w:t>.</w:t>
      </w:r>
      <w:r>
        <w:tab/>
        <w:t>Listing a pre</w:t>
      </w:r>
      <w:r>
        <w:noBreakHyphen/>
        <w:t>trial conference</w:t>
      </w:r>
      <w:bookmarkEnd w:id="69"/>
    </w:p>
    <w:p>
      <w:pPr>
        <w:pStyle w:val="Subsection"/>
      </w:pPr>
      <w:r>
        <w:tab/>
        <w:t>(1)</w:t>
      </w:r>
      <w:r>
        <w:tab/>
        <w:t>A registrar must list a case for a pre</w:t>
      </w:r>
      <w:r>
        <w:noBreakHyphen/>
        <w:t>trial conference within 14 days after the defendant in your case lodges a statement of defence.</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 amended in Gazette 30 Sep 2016 p. 4176.]</w:t>
      </w:r>
    </w:p>
    <w:p>
      <w:pPr>
        <w:pStyle w:val="Heading5"/>
      </w:pPr>
      <w:bookmarkStart w:id="70" w:name="_Toc483471034"/>
      <w:r>
        <w:rPr>
          <w:rStyle w:val="CharSectno"/>
        </w:rPr>
        <w:t>24</w:t>
      </w:r>
      <w:r>
        <w:t>.</w:t>
      </w:r>
      <w:r>
        <w:tab/>
        <w:t>What happens at a pre</w:t>
      </w:r>
      <w:r>
        <w:noBreakHyphen/>
        <w:t>trial conference</w:t>
      </w:r>
      <w:bookmarkEnd w:id="70"/>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Ednotesubpara"/>
      </w:pPr>
      <w:r>
        <w:tab/>
        <w:t>[(i)</w:t>
      </w:r>
      <w:r>
        <w:tab/>
        <w:t>deleted]</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in Gazette 3 Jun 2008 p. 2143</w:t>
      </w:r>
      <w:r>
        <w:noBreakHyphen/>
        <w:t>4; 30 Sep 2016 p. 4176.]</w:t>
      </w:r>
    </w:p>
    <w:p>
      <w:pPr>
        <w:pStyle w:val="Ednotesection"/>
      </w:pPr>
      <w:r>
        <w:t>[</w:t>
      </w:r>
      <w:r>
        <w:rPr>
          <w:b/>
        </w:rPr>
        <w:t>25A, 25B.</w:t>
      </w:r>
      <w:r>
        <w:rPr>
          <w:b/>
        </w:rPr>
        <w:tab/>
      </w:r>
      <w:r>
        <w:t>Deleted in Gazette 30 Sep 2016 p. 4176.]</w:t>
      </w:r>
    </w:p>
    <w:p>
      <w:pPr>
        <w:pStyle w:val="Heading5"/>
      </w:pPr>
      <w:bookmarkStart w:id="71" w:name="_Toc483471035"/>
      <w:r>
        <w:rPr>
          <w:rStyle w:val="CharSectno"/>
        </w:rPr>
        <w:t>25C</w:t>
      </w:r>
      <w:r>
        <w:t>.</w:t>
      </w:r>
      <w:r>
        <w:tab/>
        <w:t>List of documents you might tender at trial</w:t>
      </w:r>
      <w:bookmarkEnd w:id="71"/>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72" w:name="_Toc483471036"/>
      <w:r>
        <w:rPr>
          <w:rStyle w:val="CharSectno"/>
        </w:rPr>
        <w:t>25</w:t>
      </w:r>
      <w:r>
        <w:t>.</w:t>
      </w:r>
      <w:r>
        <w:tab/>
        <w:t>If there is a counterclaim that is not a minor case</w:t>
      </w:r>
      <w:bookmarkEnd w:id="72"/>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73" w:name="_Toc483471037"/>
      <w:r>
        <w:rPr>
          <w:rStyle w:val="CharSectno"/>
        </w:rPr>
        <w:t>26</w:t>
      </w:r>
      <w:r>
        <w:t>.</w:t>
      </w:r>
      <w:r>
        <w:tab/>
        <w:t>Your attendance at a pre</w:t>
      </w:r>
      <w:r>
        <w:noBreakHyphen/>
        <w:t>trial conference or hearing</w:t>
      </w:r>
      <w:bookmarkEnd w:id="73"/>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74" w:name="_Toc483471038"/>
      <w:r>
        <w:rPr>
          <w:rStyle w:val="CharSectno"/>
        </w:rPr>
        <w:t>27</w:t>
      </w:r>
      <w:r>
        <w:t>.</w:t>
      </w:r>
      <w:r>
        <w:tab/>
        <w:t>Listing the case for trial</w:t>
      </w:r>
      <w:bookmarkEnd w:id="74"/>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75" w:name="_Toc483471039"/>
      <w:r>
        <w:rPr>
          <w:rStyle w:val="CharSectno"/>
        </w:rPr>
        <w:t>28</w:t>
      </w:r>
      <w:r>
        <w:t>.</w:t>
      </w:r>
      <w:r>
        <w:tab/>
        <w:t>Status of things said or done at a pre</w:t>
      </w:r>
      <w:r>
        <w:noBreakHyphen/>
        <w:t>trial conference</w:t>
      </w:r>
      <w:bookmarkEnd w:id="75"/>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76" w:name="_Toc474400338"/>
      <w:bookmarkStart w:id="77" w:name="_Toc477254391"/>
      <w:bookmarkStart w:id="78" w:name="_Toc482862590"/>
      <w:bookmarkStart w:id="79" w:name="_Toc482863215"/>
      <w:bookmarkStart w:id="80" w:name="_Toc482874280"/>
      <w:bookmarkStart w:id="81" w:name="_Toc483470791"/>
      <w:bookmarkStart w:id="82" w:name="_Toc483471040"/>
      <w:r>
        <w:rPr>
          <w:rStyle w:val="CharPartNo"/>
        </w:rPr>
        <w:t>Part 6</w:t>
      </w:r>
      <w:r>
        <w:rPr>
          <w:rStyle w:val="CharDivNo"/>
        </w:rPr>
        <w:t> </w:t>
      </w:r>
      <w:r>
        <w:t>—</w:t>
      </w:r>
      <w:r>
        <w:rPr>
          <w:rStyle w:val="CharDivText"/>
        </w:rPr>
        <w:t> </w:t>
      </w:r>
      <w:r>
        <w:rPr>
          <w:rStyle w:val="CharPartText"/>
        </w:rPr>
        <w:t>Mediation</w:t>
      </w:r>
      <w:bookmarkEnd w:id="76"/>
      <w:bookmarkEnd w:id="77"/>
      <w:bookmarkEnd w:id="78"/>
      <w:bookmarkEnd w:id="79"/>
      <w:bookmarkEnd w:id="80"/>
      <w:bookmarkEnd w:id="81"/>
      <w:bookmarkEnd w:id="82"/>
    </w:p>
    <w:p>
      <w:pPr>
        <w:pStyle w:val="Heading5"/>
      </w:pPr>
      <w:bookmarkStart w:id="83" w:name="_Toc483471041"/>
      <w:r>
        <w:rPr>
          <w:rStyle w:val="CharSectno"/>
        </w:rPr>
        <w:t>29</w:t>
      </w:r>
      <w:r>
        <w:t>.</w:t>
      </w:r>
      <w:r>
        <w:tab/>
        <w:t>Mediation conference</w:t>
      </w:r>
      <w:bookmarkEnd w:id="83"/>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84" w:name="_Toc483471042"/>
      <w:r>
        <w:rPr>
          <w:rStyle w:val="CharSectno"/>
        </w:rPr>
        <w:t>30</w:t>
      </w:r>
      <w:r>
        <w:t>.</w:t>
      </w:r>
      <w:r>
        <w:tab/>
        <w:t>Attendance of parties at mediation conferences</w:t>
      </w:r>
      <w:bookmarkEnd w:id="84"/>
    </w:p>
    <w:p>
      <w:pPr>
        <w:pStyle w:val="Subsection"/>
      </w:pPr>
      <w:r>
        <w:tab/>
      </w:r>
      <w:r>
        <w:tab/>
        <w:t>Unless the mediator otherwise approves, you must attend a mediation conference in person.</w:t>
      </w:r>
    </w:p>
    <w:p>
      <w:pPr>
        <w:pStyle w:val="Heading5"/>
      </w:pPr>
      <w:bookmarkStart w:id="85" w:name="_Toc483471043"/>
      <w:r>
        <w:rPr>
          <w:rStyle w:val="CharSectno"/>
        </w:rPr>
        <w:t>31</w:t>
      </w:r>
      <w:r>
        <w:t>.</w:t>
      </w:r>
      <w:r>
        <w:tab/>
        <w:t>Outcome of mediation</w:t>
      </w:r>
      <w:bookmarkEnd w:id="85"/>
    </w:p>
    <w:p>
      <w:pPr>
        <w:pStyle w:val="Subsection"/>
      </w:pPr>
      <w:r>
        <w:tab/>
      </w:r>
      <w:r>
        <w:tab/>
        <w:t>If you are the claimant you must, within 14 days after the mediation conference, lodge a notice of the outcome of the mediation in the approved form.</w:t>
      </w:r>
    </w:p>
    <w:p>
      <w:pPr>
        <w:pStyle w:val="Heading5"/>
      </w:pPr>
      <w:bookmarkStart w:id="86" w:name="_Toc483471044"/>
      <w:r>
        <w:rPr>
          <w:rStyle w:val="CharSectno"/>
        </w:rPr>
        <w:t>32</w:t>
      </w:r>
      <w:r>
        <w:t>.</w:t>
      </w:r>
      <w:r>
        <w:tab/>
        <w:t>Further pre</w:t>
      </w:r>
      <w:r>
        <w:noBreakHyphen/>
        <w:t>trial conference if case not settled</w:t>
      </w:r>
      <w:bookmarkEnd w:id="86"/>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87" w:name="_Toc474400343"/>
      <w:bookmarkStart w:id="88" w:name="_Toc477254396"/>
      <w:bookmarkStart w:id="89" w:name="_Toc482862595"/>
      <w:bookmarkStart w:id="90" w:name="_Toc482863220"/>
      <w:bookmarkStart w:id="91" w:name="_Toc482874285"/>
      <w:bookmarkStart w:id="92" w:name="_Toc483470796"/>
      <w:bookmarkStart w:id="93" w:name="_Toc483471045"/>
      <w:r>
        <w:rPr>
          <w:rStyle w:val="CharPartNo"/>
        </w:rPr>
        <w:t>Part 7</w:t>
      </w:r>
      <w:r>
        <w:rPr>
          <w:rStyle w:val="CharDivNo"/>
        </w:rPr>
        <w:t> </w:t>
      </w:r>
      <w:r>
        <w:t>—</w:t>
      </w:r>
      <w:r>
        <w:rPr>
          <w:rStyle w:val="CharDivText"/>
        </w:rPr>
        <w:t> </w:t>
      </w:r>
      <w:r>
        <w:rPr>
          <w:rStyle w:val="CharPartText"/>
        </w:rPr>
        <w:t>Consent orders and settlement</w:t>
      </w:r>
      <w:bookmarkEnd w:id="87"/>
      <w:bookmarkEnd w:id="88"/>
      <w:bookmarkEnd w:id="89"/>
      <w:bookmarkEnd w:id="90"/>
      <w:bookmarkEnd w:id="91"/>
      <w:bookmarkEnd w:id="92"/>
      <w:bookmarkEnd w:id="93"/>
    </w:p>
    <w:p>
      <w:pPr>
        <w:pStyle w:val="Heading5"/>
      </w:pPr>
      <w:bookmarkStart w:id="94" w:name="_Toc483471046"/>
      <w:r>
        <w:rPr>
          <w:rStyle w:val="CharSectno"/>
        </w:rPr>
        <w:t>33</w:t>
      </w:r>
      <w:r>
        <w:t>.</w:t>
      </w:r>
      <w:r>
        <w:tab/>
        <w:t>Memorandum of consent</w:t>
      </w:r>
      <w:bookmarkEnd w:id="94"/>
    </w:p>
    <w:p>
      <w:pPr>
        <w:pStyle w:val="Subsection"/>
      </w:pPr>
      <w:r>
        <w:tab/>
      </w:r>
      <w:r>
        <w:tab/>
        <w:t>If you want to settle a case or consent to any other order you may lodge a memorandum to that effect in the approved form, signed by you and every other party.</w:t>
      </w:r>
    </w:p>
    <w:p>
      <w:pPr>
        <w:pStyle w:val="Heading5"/>
      </w:pPr>
      <w:bookmarkStart w:id="95" w:name="_Toc483471047"/>
      <w:r>
        <w:rPr>
          <w:rStyle w:val="CharSectno"/>
        </w:rPr>
        <w:t>34</w:t>
      </w:r>
      <w:r>
        <w:t>.</w:t>
      </w:r>
      <w:r>
        <w:tab/>
        <w:t>Registrar may make consent orders or give judgment</w:t>
      </w:r>
      <w:bookmarkEnd w:id="95"/>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96" w:name="_Toc483471048"/>
      <w:r>
        <w:rPr>
          <w:rStyle w:val="CharSectno"/>
        </w:rPr>
        <w:t>35</w:t>
      </w:r>
      <w:r>
        <w:t>.</w:t>
      </w:r>
      <w:r>
        <w:tab/>
        <w:t>When the rules require your consent</w:t>
      </w:r>
      <w:bookmarkEnd w:id="96"/>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97" w:name="_Toc483471049"/>
      <w:r>
        <w:rPr>
          <w:rStyle w:val="CharSectno"/>
        </w:rPr>
        <w:t>36</w:t>
      </w:r>
      <w:r>
        <w:t>.</w:t>
      </w:r>
      <w:r>
        <w:tab/>
        <w:t>Settling claims involving a person under a legal disability</w:t>
      </w:r>
      <w:bookmarkEnd w:id="97"/>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in Gazette 3 Jun 2008 p. 2145.]</w:t>
      </w:r>
    </w:p>
    <w:p>
      <w:pPr>
        <w:pStyle w:val="Heading2"/>
      </w:pPr>
      <w:bookmarkStart w:id="98" w:name="_Toc474400348"/>
      <w:bookmarkStart w:id="99" w:name="_Toc477254401"/>
      <w:bookmarkStart w:id="100" w:name="_Toc482862600"/>
      <w:bookmarkStart w:id="101" w:name="_Toc482863225"/>
      <w:bookmarkStart w:id="102" w:name="_Toc482874290"/>
      <w:bookmarkStart w:id="103" w:name="_Toc483470801"/>
      <w:bookmarkStart w:id="104" w:name="_Toc483471050"/>
      <w:r>
        <w:rPr>
          <w:rStyle w:val="CharPartNo"/>
        </w:rPr>
        <w:t>Part 8</w:t>
      </w:r>
      <w:r>
        <w:t> — </w:t>
      </w:r>
      <w:r>
        <w:rPr>
          <w:rStyle w:val="CharPartText"/>
        </w:rPr>
        <w:t>Trial</w:t>
      </w:r>
      <w:bookmarkEnd w:id="98"/>
      <w:bookmarkEnd w:id="99"/>
      <w:bookmarkEnd w:id="100"/>
      <w:bookmarkEnd w:id="101"/>
      <w:bookmarkEnd w:id="102"/>
      <w:bookmarkEnd w:id="103"/>
      <w:bookmarkEnd w:id="104"/>
    </w:p>
    <w:p>
      <w:pPr>
        <w:pStyle w:val="Heading5"/>
        <w:spacing w:before="180"/>
      </w:pPr>
      <w:bookmarkStart w:id="105" w:name="_Toc483471051"/>
      <w:r>
        <w:rPr>
          <w:rStyle w:val="CharSectno"/>
        </w:rPr>
        <w:t>37</w:t>
      </w:r>
      <w:r>
        <w:t>.</w:t>
      </w:r>
      <w:r>
        <w:tab/>
        <w:t>How the trial of your case is to be conducted</w:t>
      </w:r>
      <w:bookmarkEnd w:id="105"/>
    </w:p>
    <w:p>
      <w:pPr>
        <w:pStyle w:val="Subsection"/>
      </w:pPr>
      <w:r>
        <w:tab/>
      </w:r>
      <w:r>
        <w:tab/>
        <w:t>The trial of your case must be conducted in accordance with orders given by the Court.</w:t>
      </w:r>
    </w:p>
    <w:p>
      <w:pPr>
        <w:pStyle w:val="Footnotesection"/>
      </w:pPr>
      <w:r>
        <w:tab/>
        <w:t>[Rule 37 amended in Gazette 3 Jun 2008 p. 2145.]</w:t>
      </w:r>
    </w:p>
    <w:p>
      <w:pPr>
        <w:pStyle w:val="Heading5"/>
        <w:spacing w:before="180"/>
      </w:pPr>
      <w:bookmarkStart w:id="106" w:name="_Toc483471052"/>
      <w:r>
        <w:rPr>
          <w:rStyle w:val="CharSectno"/>
        </w:rPr>
        <w:t>38</w:t>
      </w:r>
      <w:r>
        <w:t>.</w:t>
      </w:r>
      <w:r>
        <w:tab/>
        <w:t>Your attendance at trial</w:t>
      </w:r>
      <w:bookmarkEnd w:id="106"/>
    </w:p>
    <w:p>
      <w:pPr>
        <w:pStyle w:val="Subsection"/>
      </w:pPr>
      <w:r>
        <w:tab/>
      </w:r>
      <w:r>
        <w:tab/>
        <w:t>You must attend the trial of your case in person.</w:t>
      </w:r>
    </w:p>
    <w:p>
      <w:pPr>
        <w:pStyle w:val="Heading5"/>
        <w:spacing w:before="180"/>
      </w:pPr>
      <w:bookmarkStart w:id="107" w:name="_Toc483471053"/>
      <w:r>
        <w:rPr>
          <w:rStyle w:val="CharSectno"/>
        </w:rPr>
        <w:t>39</w:t>
      </w:r>
      <w:r>
        <w:t>.</w:t>
      </w:r>
      <w:r>
        <w:tab/>
        <w:t>How to call witnesses</w:t>
      </w:r>
      <w:bookmarkEnd w:id="107"/>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108" w:name="_Toc483471054"/>
      <w:r>
        <w:rPr>
          <w:rStyle w:val="CharSectno"/>
        </w:rPr>
        <w:t>40</w:t>
      </w:r>
      <w:r>
        <w:t>.</w:t>
      </w:r>
      <w:r>
        <w:tab/>
        <w:t>Return of things after trial</w:t>
      </w:r>
      <w:bookmarkEnd w:id="108"/>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109" w:name="_Toc474400353"/>
      <w:bookmarkStart w:id="110" w:name="_Toc477254406"/>
      <w:bookmarkStart w:id="111" w:name="_Toc482862605"/>
      <w:bookmarkStart w:id="112" w:name="_Toc482863230"/>
      <w:bookmarkStart w:id="113" w:name="_Toc482874295"/>
      <w:bookmarkStart w:id="114" w:name="_Toc483470806"/>
      <w:bookmarkStart w:id="115" w:name="_Toc483471055"/>
      <w:r>
        <w:rPr>
          <w:rStyle w:val="CharPartNo"/>
        </w:rPr>
        <w:t>Part 9</w:t>
      </w:r>
      <w:r>
        <w:t> — </w:t>
      </w:r>
      <w:r>
        <w:rPr>
          <w:rStyle w:val="CharPartText"/>
        </w:rPr>
        <w:t>Orders and judgments</w:t>
      </w:r>
      <w:bookmarkEnd w:id="109"/>
      <w:bookmarkEnd w:id="110"/>
      <w:bookmarkEnd w:id="111"/>
      <w:bookmarkEnd w:id="112"/>
      <w:bookmarkEnd w:id="113"/>
      <w:bookmarkEnd w:id="114"/>
      <w:bookmarkEnd w:id="115"/>
    </w:p>
    <w:p>
      <w:pPr>
        <w:pStyle w:val="Heading5"/>
      </w:pPr>
      <w:bookmarkStart w:id="116" w:name="_Toc483471056"/>
      <w:r>
        <w:rPr>
          <w:rStyle w:val="CharSectno"/>
        </w:rPr>
        <w:t>41</w:t>
      </w:r>
      <w:r>
        <w:t>.</w:t>
      </w:r>
      <w:r>
        <w:tab/>
        <w:t>Money paid to you if you are a person under a legal disability</w:t>
      </w:r>
      <w:bookmarkEnd w:id="116"/>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in Gazette 24 May 2013 p. 2059.]</w:t>
      </w:r>
    </w:p>
    <w:p>
      <w:pPr>
        <w:pStyle w:val="Heading5"/>
      </w:pPr>
      <w:bookmarkStart w:id="117" w:name="_Toc483471057"/>
      <w:r>
        <w:rPr>
          <w:rStyle w:val="CharSectno"/>
        </w:rPr>
        <w:t>42</w:t>
      </w:r>
      <w:r>
        <w:t>.</w:t>
      </w:r>
      <w:r>
        <w:tab/>
        <w:t>Setting aside default judgment</w:t>
      </w:r>
      <w:bookmarkEnd w:id="117"/>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118" w:name="_Toc483471058"/>
      <w:r>
        <w:rPr>
          <w:rStyle w:val="CharSectno"/>
        </w:rPr>
        <w:t>43</w:t>
      </w:r>
      <w:r>
        <w:t>.</w:t>
      </w:r>
      <w:r>
        <w:tab/>
        <w:t>Decisions of registrars</w:t>
      </w:r>
      <w:bookmarkEnd w:id="118"/>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119" w:name="_Toc483471059"/>
      <w:r>
        <w:rPr>
          <w:rStyle w:val="CharSectno"/>
        </w:rPr>
        <w:t>44</w:t>
      </w:r>
      <w:r>
        <w:t>.</w:t>
      </w:r>
      <w:r>
        <w:tab/>
        <w:t>Requests for certificate of judgment</w:t>
      </w:r>
      <w:bookmarkEnd w:id="119"/>
    </w:p>
    <w:p>
      <w:pPr>
        <w:pStyle w:val="Subsection"/>
      </w:pPr>
      <w:r>
        <w:tab/>
      </w:r>
      <w:r>
        <w:tab/>
        <w:t>If you want a certificate of a judgment, you must lodge a request for the judgment in an approved form.</w:t>
      </w:r>
    </w:p>
    <w:p>
      <w:pPr>
        <w:pStyle w:val="Heading2"/>
      </w:pPr>
      <w:bookmarkStart w:id="120" w:name="_Toc474400358"/>
      <w:bookmarkStart w:id="121" w:name="_Toc477254411"/>
      <w:bookmarkStart w:id="122" w:name="_Toc482862610"/>
      <w:bookmarkStart w:id="123" w:name="_Toc482863235"/>
      <w:bookmarkStart w:id="124" w:name="_Toc482874300"/>
      <w:bookmarkStart w:id="125" w:name="_Toc483470811"/>
      <w:bookmarkStart w:id="126" w:name="_Toc483471060"/>
      <w:r>
        <w:rPr>
          <w:rStyle w:val="CharPartNo"/>
        </w:rPr>
        <w:t>Part 10A</w:t>
      </w:r>
      <w:r>
        <w:rPr>
          <w:rStyle w:val="CharDivNo"/>
        </w:rPr>
        <w:t> </w:t>
      </w:r>
      <w:r>
        <w:t>—</w:t>
      </w:r>
      <w:r>
        <w:rPr>
          <w:rStyle w:val="CharDivText"/>
        </w:rPr>
        <w:t> </w:t>
      </w:r>
      <w:r>
        <w:rPr>
          <w:rStyle w:val="CharPartText"/>
        </w:rPr>
        <w:t>Inactive Cases</w:t>
      </w:r>
      <w:bookmarkEnd w:id="120"/>
      <w:bookmarkEnd w:id="121"/>
      <w:bookmarkEnd w:id="122"/>
      <w:bookmarkEnd w:id="123"/>
      <w:bookmarkEnd w:id="124"/>
      <w:bookmarkEnd w:id="125"/>
      <w:bookmarkEnd w:id="126"/>
    </w:p>
    <w:p>
      <w:pPr>
        <w:pStyle w:val="Footnoteheading"/>
      </w:pPr>
      <w:r>
        <w:tab/>
        <w:t>[Heading inserted in Gazette 31 Dec 2013 p. 6545.]</w:t>
      </w:r>
    </w:p>
    <w:p>
      <w:pPr>
        <w:pStyle w:val="Heading5"/>
      </w:pPr>
      <w:bookmarkStart w:id="127" w:name="_Toc483471061"/>
      <w:r>
        <w:rPr>
          <w:rStyle w:val="CharSectno"/>
        </w:rPr>
        <w:t>45A</w:t>
      </w:r>
      <w:r>
        <w:t>.</w:t>
      </w:r>
      <w:r>
        <w:tab/>
        <w:t>Term used: Inactive Cases List</w:t>
      </w:r>
      <w:bookmarkEnd w:id="127"/>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 in Gazette 31 Dec 2013 p. 6545.]</w:t>
      </w:r>
    </w:p>
    <w:p>
      <w:pPr>
        <w:pStyle w:val="Heading5"/>
      </w:pPr>
      <w:bookmarkStart w:id="128" w:name="_Toc483471062"/>
      <w:r>
        <w:rPr>
          <w:rStyle w:val="CharSectno"/>
        </w:rPr>
        <w:t>45B</w:t>
      </w:r>
      <w:r>
        <w:t>.</w:t>
      </w:r>
      <w:r>
        <w:tab/>
        <w:t>When your case becomes inactive</w:t>
      </w:r>
      <w:bookmarkEnd w:id="128"/>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spacing w:before="120"/>
      </w:pPr>
      <w:r>
        <w:tab/>
        <w:t>(4)</w:t>
      </w:r>
      <w:r>
        <w:tab/>
        <w:t>The Principal Registrar is to keep a list of inactive cases.</w:t>
      </w:r>
    </w:p>
    <w:p>
      <w:pPr>
        <w:pStyle w:val="Footnotesection"/>
      </w:pPr>
      <w:r>
        <w:tab/>
        <w:t>[Rule 45B inserted in Gazette 31 Dec 2013 p. 6545-6.]</w:t>
      </w:r>
    </w:p>
    <w:p>
      <w:pPr>
        <w:pStyle w:val="Heading5"/>
      </w:pPr>
      <w:bookmarkStart w:id="129" w:name="_Toc483471063"/>
      <w:r>
        <w:rPr>
          <w:rStyle w:val="CharSectno"/>
        </w:rPr>
        <w:t>45C</w:t>
      </w:r>
      <w:r>
        <w:t>.</w:t>
      </w:r>
      <w:r>
        <w:tab/>
        <w:t>Notification of inactive cases</w:t>
      </w:r>
      <w:bookmarkEnd w:id="129"/>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 in Gazette 31 Dec 2013 p. 6546.]</w:t>
      </w:r>
    </w:p>
    <w:p>
      <w:pPr>
        <w:pStyle w:val="Heading5"/>
      </w:pPr>
      <w:bookmarkStart w:id="130" w:name="_Toc483471064"/>
      <w:r>
        <w:rPr>
          <w:rStyle w:val="CharSectno"/>
        </w:rPr>
        <w:t>45D</w:t>
      </w:r>
      <w:r>
        <w:t>.</w:t>
      </w:r>
      <w:r>
        <w:tab/>
        <w:t>Consequences of your case being on Inactive Cases List</w:t>
      </w:r>
      <w:bookmarkEnd w:id="130"/>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in Gazette 31 Dec 2013 p. 6546.]</w:t>
      </w:r>
    </w:p>
    <w:p>
      <w:pPr>
        <w:pStyle w:val="Heading5"/>
      </w:pPr>
      <w:bookmarkStart w:id="131" w:name="_Toc483471065"/>
      <w:r>
        <w:rPr>
          <w:rStyle w:val="CharSectno"/>
        </w:rPr>
        <w:t>45E</w:t>
      </w:r>
      <w:r>
        <w:t>.</w:t>
      </w:r>
      <w:r>
        <w:tab/>
        <w:t>Removing your case from Inactive Cases List</w:t>
      </w:r>
      <w:bookmarkEnd w:id="131"/>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 in Gazette 31 Dec 2013 p. 6546.]</w:t>
      </w:r>
    </w:p>
    <w:p>
      <w:pPr>
        <w:pStyle w:val="Heading5"/>
      </w:pPr>
      <w:bookmarkStart w:id="132" w:name="_Toc483471066"/>
      <w:r>
        <w:rPr>
          <w:rStyle w:val="CharSectno"/>
        </w:rPr>
        <w:t>45F</w:t>
      </w:r>
      <w:r>
        <w:t>.</w:t>
      </w:r>
      <w:r>
        <w:tab/>
        <w:t>Dismissal of inactive cases</w:t>
      </w:r>
      <w:bookmarkEnd w:id="132"/>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pPr>
      <w:r>
        <w:tab/>
        <w:t>(3)</w:t>
      </w:r>
      <w:r>
        <w:tab/>
        <w:t>If your case is taken to be dismissed under subrule (1) or (2), the Principal Registrar is to take it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 in Gazette 31 Dec 2013 p. 6547; amended in Gazette 12 Dec 2014 p. 4718.]</w:t>
      </w:r>
    </w:p>
    <w:p>
      <w:pPr>
        <w:pStyle w:val="Heading2"/>
      </w:pPr>
      <w:bookmarkStart w:id="133" w:name="_Toc474400365"/>
      <w:bookmarkStart w:id="134" w:name="_Toc477254418"/>
      <w:bookmarkStart w:id="135" w:name="_Toc482862617"/>
      <w:bookmarkStart w:id="136" w:name="_Toc482863242"/>
      <w:bookmarkStart w:id="137" w:name="_Toc482874307"/>
      <w:bookmarkStart w:id="138" w:name="_Toc483470818"/>
      <w:bookmarkStart w:id="139" w:name="_Toc483471067"/>
      <w:r>
        <w:rPr>
          <w:rStyle w:val="CharPartNo"/>
        </w:rPr>
        <w:t>Part 10</w:t>
      </w:r>
      <w:r>
        <w:t> — </w:t>
      </w:r>
      <w:r>
        <w:rPr>
          <w:rStyle w:val="CharPartText"/>
        </w:rPr>
        <w:t>How to lodge documents</w:t>
      </w:r>
      <w:bookmarkEnd w:id="133"/>
      <w:bookmarkEnd w:id="134"/>
      <w:bookmarkEnd w:id="135"/>
      <w:bookmarkEnd w:id="136"/>
      <w:bookmarkEnd w:id="137"/>
      <w:bookmarkEnd w:id="138"/>
      <w:bookmarkEnd w:id="139"/>
    </w:p>
    <w:p>
      <w:pPr>
        <w:pStyle w:val="Heading5"/>
      </w:pPr>
      <w:bookmarkStart w:id="140" w:name="_Toc483471068"/>
      <w:r>
        <w:rPr>
          <w:rStyle w:val="CharSectno"/>
        </w:rPr>
        <w:t>45</w:t>
      </w:r>
      <w:r>
        <w:t>.</w:t>
      </w:r>
      <w:r>
        <w:tab/>
        <w:t>How to lodge a document</w:t>
      </w:r>
      <w:bookmarkEnd w:id="140"/>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141" w:name="_Toc483471069"/>
      <w:r>
        <w:rPr>
          <w:rStyle w:val="CharSectno"/>
        </w:rPr>
        <w:t>46</w:t>
      </w:r>
      <w:r>
        <w:t>.</w:t>
      </w:r>
      <w:r>
        <w:tab/>
        <w:t>Where you may lodge a claim that starts a case</w:t>
      </w:r>
      <w:bookmarkEnd w:id="141"/>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142" w:name="_Toc483471070"/>
      <w:r>
        <w:rPr>
          <w:rStyle w:val="CharSectno"/>
        </w:rPr>
        <w:t>47</w:t>
      </w:r>
      <w:r>
        <w:t>.</w:t>
      </w:r>
      <w:r>
        <w:tab/>
        <w:t>If a registrar refuses to accept your document for lodgment</w:t>
      </w:r>
      <w:bookmarkEnd w:id="142"/>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143" w:name="_Toc483471071"/>
      <w:r>
        <w:rPr>
          <w:rStyle w:val="CharSectno"/>
        </w:rPr>
        <w:t>48</w:t>
      </w:r>
      <w:r>
        <w:t>.</w:t>
      </w:r>
      <w:r>
        <w:tab/>
        <w:t>You may lodge documents by hand delivery or pre</w:t>
      </w:r>
      <w:r>
        <w:noBreakHyphen/>
        <w:t>paid post</w:t>
      </w:r>
      <w:bookmarkEnd w:id="143"/>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144" w:name="_Toc483471072"/>
      <w:r>
        <w:rPr>
          <w:rStyle w:val="CharSectno"/>
        </w:rPr>
        <w:t>49</w:t>
      </w:r>
      <w:r>
        <w:t>.</w:t>
      </w:r>
      <w:r>
        <w:tab/>
        <w:t>Lodging documents electronically or by fax</w:t>
      </w:r>
      <w:bookmarkEnd w:id="144"/>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145" w:name="_Toc474400371"/>
      <w:bookmarkStart w:id="146" w:name="_Toc477254424"/>
      <w:bookmarkStart w:id="147" w:name="_Toc482862623"/>
      <w:bookmarkStart w:id="148" w:name="_Toc482863248"/>
      <w:bookmarkStart w:id="149" w:name="_Toc482874313"/>
      <w:bookmarkStart w:id="150" w:name="_Toc483470824"/>
      <w:bookmarkStart w:id="151" w:name="_Toc483471073"/>
      <w:r>
        <w:rPr>
          <w:rStyle w:val="CharPartNo"/>
        </w:rPr>
        <w:t>Part 11</w:t>
      </w:r>
      <w:r>
        <w:t> — </w:t>
      </w:r>
      <w:r>
        <w:rPr>
          <w:rStyle w:val="CharPartText"/>
        </w:rPr>
        <w:t>How to serve documents</w:t>
      </w:r>
      <w:bookmarkEnd w:id="145"/>
      <w:bookmarkEnd w:id="146"/>
      <w:bookmarkEnd w:id="147"/>
      <w:bookmarkEnd w:id="148"/>
      <w:bookmarkEnd w:id="149"/>
      <w:bookmarkEnd w:id="150"/>
      <w:bookmarkEnd w:id="151"/>
    </w:p>
    <w:p>
      <w:pPr>
        <w:pStyle w:val="Heading3"/>
      </w:pPr>
      <w:bookmarkStart w:id="152" w:name="_Toc474400372"/>
      <w:bookmarkStart w:id="153" w:name="_Toc477254425"/>
      <w:bookmarkStart w:id="154" w:name="_Toc482862624"/>
      <w:bookmarkStart w:id="155" w:name="_Toc482863249"/>
      <w:bookmarkStart w:id="156" w:name="_Toc482874314"/>
      <w:bookmarkStart w:id="157" w:name="_Toc483470825"/>
      <w:bookmarkStart w:id="158" w:name="_Toc483471074"/>
      <w:r>
        <w:rPr>
          <w:rStyle w:val="CharDivNo"/>
        </w:rPr>
        <w:t>Division 1</w:t>
      </w:r>
      <w:r>
        <w:t> — </w:t>
      </w:r>
      <w:r>
        <w:rPr>
          <w:rStyle w:val="CharDivText"/>
        </w:rPr>
        <w:t>General</w:t>
      </w:r>
      <w:bookmarkEnd w:id="152"/>
      <w:bookmarkEnd w:id="153"/>
      <w:bookmarkEnd w:id="154"/>
      <w:bookmarkEnd w:id="155"/>
      <w:bookmarkEnd w:id="156"/>
      <w:bookmarkEnd w:id="157"/>
      <w:bookmarkEnd w:id="158"/>
    </w:p>
    <w:p>
      <w:pPr>
        <w:pStyle w:val="Heading5"/>
      </w:pPr>
      <w:bookmarkStart w:id="159" w:name="_Toc483471075"/>
      <w:r>
        <w:rPr>
          <w:rStyle w:val="CharSectno"/>
        </w:rPr>
        <w:t>50</w:t>
      </w:r>
      <w:r>
        <w:t>.</w:t>
      </w:r>
      <w:r>
        <w:tab/>
        <w:t>Meaning of serve</w:t>
      </w:r>
      <w:bookmarkEnd w:id="159"/>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160" w:name="_Toc483471076"/>
      <w:r>
        <w:rPr>
          <w:rStyle w:val="CharSectno"/>
        </w:rPr>
        <w:t>51</w:t>
      </w:r>
      <w:r>
        <w:t>.</w:t>
      </w:r>
      <w:r>
        <w:tab/>
        <w:t>How to serve a document</w:t>
      </w:r>
      <w:bookmarkEnd w:id="160"/>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161" w:name="_Toc483471077"/>
      <w:r>
        <w:rPr>
          <w:rStyle w:val="CharSectno"/>
        </w:rPr>
        <w:t>52</w:t>
      </w:r>
      <w:r>
        <w:t>.</w:t>
      </w:r>
      <w:r>
        <w:tab/>
        <w:t>An enforcement officer may serve documents for you</w:t>
      </w:r>
      <w:bookmarkEnd w:id="161"/>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in Gazette 24 Aug 2007 p. 4334; 3 May 2016 p. 1362.]</w:t>
      </w:r>
    </w:p>
    <w:p>
      <w:pPr>
        <w:pStyle w:val="Heading5"/>
      </w:pPr>
      <w:bookmarkStart w:id="162" w:name="_Toc483471078"/>
      <w:r>
        <w:rPr>
          <w:rStyle w:val="CharSectno"/>
        </w:rPr>
        <w:t>53</w:t>
      </w:r>
      <w:r>
        <w:t>.</w:t>
      </w:r>
      <w:r>
        <w:tab/>
        <w:t>You must lodge an affidavit after serving a document</w:t>
      </w:r>
      <w:bookmarkEnd w:id="162"/>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 3 May 2016 p. 1362.]</w:t>
      </w:r>
    </w:p>
    <w:p>
      <w:pPr>
        <w:pStyle w:val="Heading3"/>
      </w:pPr>
      <w:bookmarkStart w:id="163" w:name="_Toc474400377"/>
      <w:bookmarkStart w:id="164" w:name="_Toc477254430"/>
      <w:bookmarkStart w:id="165" w:name="_Toc482862629"/>
      <w:bookmarkStart w:id="166" w:name="_Toc482863254"/>
      <w:bookmarkStart w:id="167" w:name="_Toc482874319"/>
      <w:bookmarkStart w:id="168" w:name="_Toc483470830"/>
      <w:bookmarkStart w:id="169" w:name="_Toc483471079"/>
      <w:r>
        <w:rPr>
          <w:rStyle w:val="CharDivNo"/>
        </w:rPr>
        <w:t>Division 2</w:t>
      </w:r>
      <w:r>
        <w:t> — </w:t>
      </w:r>
      <w:r>
        <w:rPr>
          <w:rStyle w:val="CharDivText"/>
        </w:rPr>
        <w:t>Service at a residential or business address</w:t>
      </w:r>
      <w:bookmarkEnd w:id="163"/>
      <w:bookmarkEnd w:id="164"/>
      <w:bookmarkEnd w:id="165"/>
      <w:bookmarkEnd w:id="166"/>
      <w:bookmarkEnd w:id="167"/>
      <w:bookmarkEnd w:id="168"/>
      <w:bookmarkEnd w:id="169"/>
    </w:p>
    <w:p>
      <w:pPr>
        <w:pStyle w:val="Footnoteheading"/>
      </w:pPr>
      <w:r>
        <w:tab/>
        <w:t>[Heading inserted in Gazette 20 May 2011 p. 1840.]</w:t>
      </w:r>
    </w:p>
    <w:p>
      <w:pPr>
        <w:pStyle w:val="Heading5"/>
      </w:pPr>
      <w:bookmarkStart w:id="170" w:name="_Toc483471080"/>
      <w:r>
        <w:rPr>
          <w:rStyle w:val="CharSectno"/>
        </w:rPr>
        <w:t>54</w:t>
      </w:r>
      <w:r>
        <w:t>.</w:t>
      </w:r>
      <w:r>
        <w:tab/>
        <w:t>Your address must be on each document</w:t>
      </w:r>
      <w:bookmarkEnd w:id="170"/>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171" w:name="_Toc483471081"/>
      <w:r>
        <w:rPr>
          <w:rStyle w:val="CharSectno"/>
        </w:rPr>
        <w:t>55</w:t>
      </w:r>
      <w:r>
        <w:t>.</w:t>
      </w:r>
      <w:r>
        <w:tab/>
        <w:t>If you are not represented</w:t>
      </w:r>
      <w:bookmarkEnd w:id="171"/>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in Gazette 3 Jun 2008 p. 2146; 24 May 2013 p. 2059.]</w:t>
      </w:r>
    </w:p>
    <w:p>
      <w:pPr>
        <w:pStyle w:val="Heading5"/>
      </w:pPr>
      <w:bookmarkStart w:id="172" w:name="_Toc483471082"/>
      <w:r>
        <w:rPr>
          <w:rStyle w:val="CharSectno"/>
        </w:rPr>
        <w:t>56</w:t>
      </w:r>
      <w:r>
        <w:t>.</w:t>
      </w:r>
      <w:r>
        <w:tab/>
        <w:t>If you are represented</w:t>
      </w:r>
      <w:bookmarkEnd w:id="172"/>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in Gazette 3 Jun 2008 p. 2146.]</w:t>
      </w:r>
    </w:p>
    <w:p>
      <w:pPr>
        <w:pStyle w:val="Heading5"/>
      </w:pPr>
      <w:bookmarkStart w:id="173" w:name="_Toc483471083"/>
      <w:r>
        <w:rPr>
          <w:rStyle w:val="CharSectno"/>
        </w:rPr>
        <w:t>57</w:t>
      </w:r>
      <w:r>
        <w:t>.</w:t>
      </w:r>
      <w:r>
        <w:tab/>
        <w:t>If your address changes</w:t>
      </w:r>
      <w:bookmarkEnd w:id="173"/>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174" w:name="_Toc474400382"/>
      <w:bookmarkStart w:id="175" w:name="_Toc477254435"/>
      <w:bookmarkStart w:id="176" w:name="_Toc482862634"/>
      <w:bookmarkStart w:id="177" w:name="_Toc482863259"/>
      <w:bookmarkStart w:id="178" w:name="_Toc482874324"/>
      <w:bookmarkStart w:id="179" w:name="_Toc483470835"/>
      <w:bookmarkStart w:id="180" w:name="_Toc483471084"/>
      <w:r>
        <w:rPr>
          <w:rStyle w:val="CharDivNo"/>
        </w:rPr>
        <w:t>Division 3</w:t>
      </w:r>
      <w:r>
        <w:t> — </w:t>
      </w:r>
      <w:r>
        <w:rPr>
          <w:rStyle w:val="CharDivText"/>
        </w:rPr>
        <w:t>Personal service</w:t>
      </w:r>
      <w:bookmarkEnd w:id="174"/>
      <w:bookmarkEnd w:id="175"/>
      <w:bookmarkEnd w:id="176"/>
      <w:bookmarkEnd w:id="177"/>
      <w:bookmarkEnd w:id="178"/>
      <w:bookmarkEnd w:id="179"/>
      <w:bookmarkEnd w:id="180"/>
    </w:p>
    <w:p>
      <w:pPr>
        <w:pStyle w:val="Heading5"/>
      </w:pPr>
      <w:bookmarkStart w:id="181" w:name="_Toc483471085"/>
      <w:r>
        <w:rPr>
          <w:rStyle w:val="CharSectno"/>
        </w:rPr>
        <w:t>58</w:t>
      </w:r>
      <w:r>
        <w:t>.</w:t>
      </w:r>
      <w:r>
        <w:tab/>
        <w:t>Service on an individual personally</w:t>
      </w:r>
      <w:bookmarkEnd w:id="181"/>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in Gazette 2 Jul 2010 p. 3196; 31 Dec 2013 p. 6547.]</w:t>
      </w:r>
    </w:p>
    <w:p>
      <w:pPr>
        <w:pStyle w:val="Heading5"/>
      </w:pPr>
      <w:bookmarkStart w:id="182" w:name="_Toc483471086"/>
      <w:r>
        <w:rPr>
          <w:rStyle w:val="CharSectno"/>
        </w:rPr>
        <w:t>59</w:t>
      </w:r>
      <w:r>
        <w:t>.</w:t>
      </w:r>
      <w:r>
        <w:tab/>
        <w:t>Service on a partnership personally</w:t>
      </w:r>
      <w:bookmarkEnd w:id="182"/>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183" w:name="_Toc483471087"/>
      <w:r>
        <w:rPr>
          <w:rStyle w:val="CharSectno"/>
        </w:rPr>
        <w:t>60</w:t>
      </w:r>
      <w:r>
        <w:t>.</w:t>
      </w:r>
      <w:r>
        <w:tab/>
        <w:t>Service on a corporation personally</w:t>
      </w:r>
      <w:bookmarkEnd w:id="183"/>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184" w:name="_Toc483471088"/>
      <w:r>
        <w:rPr>
          <w:rStyle w:val="CharSectno"/>
        </w:rPr>
        <w:t>61</w:t>
      </w:r>
      <w:r>
        <w:t>.</w:t>
      </w:r>
      <w:r>
        <w:tab/>
        <w:t>Service on a public authority personally</w:t>
      </w:r>
      <w:bookmarkEnd w:id="184"/>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185" w:name="_Toc474400387"/>
      <w:bookmarkStart w:id="186" w:name="_Toc477254440"/>
      <w:bookmarkStart w:id="187" w:name="_Toc482862639"/>
      <w:bookmarkStart w:id="188" w:name="_Toc482863264"/>
      <w:bookmarkStart w:id="189" w:name="_Toc482874329"/>
      <w:bookmarkStart w:id="190" w:name="_Toc483470840"/>
      <w:bookmarkStart w:id="191" w:name="_Toc483471089"/>
      <w:r>
        <w:rPr>
          <w:rStyle w:val="CharDivNo"/>
        </w:rPr>
        <w:t>Division 4</w:t>
      </w:r>
      <w:r>
        <w:t> — </w:t>
      </w:r>
      <w:r>
        <w:rPr>
          <w:rStyle w:val="CharDivText"/>
        </w:rPr>
        <w:t>Miscellaneous</w:t>
      </w:r>
      <w:bookmarkEnd w:id="185"/>
      <w:bookmarkEnd w:id="186"/>
      <w:bookmarkEnd w:id="187"/>
      <w:bookmarkEnd w:id="188"/>
      <w:bookmarkEnd w:id="189"/>
      <w:bookmarkEnd w:id="190"/>
      <w:bookmarkEnd w:id="191"/>
    </w:p>
    <w:p>
      <w:pPr>
        <w:pStyle w:val="Footnoteheading"/>
      </w:pPr>
      <w:r>
        <w:tab/>
        <w:t>[Heading inserted in Gazette 3 Jun 2008 p. 2147.]</w:t>
      </w:r>
    </w:p>
    <w:p>
      <w:pPr>
        <w:pStyle w:val="Heading5"/>
      </w:pPr>
      <w:bookmarkStart w:id="192" w:name="_Toc483471090"/>
      <w:r>
        <w:rPr>
          <w:rStyle w:val="CharSectno"/>
        </w:rPr>
        <w:t>62A</w:t>
      </w:r>
      <w:r>
        <w:t>.</w:t>
      </w:r>
      <w:r>
        <w:tab/>
        <w:t>Applications for substituted service</w:t>
      </w:r>
      <w:bookmarkEnd w:id="192"/>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193" w:name="_Toc474400389"/>
      <w:bookmarkStart w:id="194" w:name="_Toc477254442"/>
      <w:bookmarkStart w:id="195" w:name="_Toc482862641"/>
      <w:bookmarkStart w:id="196" w:name="_Toc482863266"/>
      <w:bookmarkStart w:id="197" w:name="_Toc482874331"/>
      <w:bookmarkStart w:id="198" w:name="_Toc483470842"/>
      <w:bookmarkStart w:id="199" w:name="_Toc483471091"/>
      <w:r>
        <w:rPr>
          <w:rStyle w:val="CharPartNo"/>
        </w:rPr>
        <w:t>Part 12</w:t>
      </w:r>
      <w:r>
        <w:rPr>
          <w:rStyle w:val="CharDivNo"/>
        </w:rPr>
        <w:t> </w:t>
      </w:r>
      <w:r>
        <w:t>—</w:t>
      </w:r>
      <w:r>
        <w:rPr>
          <w:rStyle w:val="CharDivText"/>
        </w:rPr>
        <w:t> </w:t>
      </w:r>
      <w:r>
        <w:rPr>
          <w:rStyle w:val="CharPartText"/>
        </w:rPr>
        <w:t>How to make an application</w:t>
      </w:r>
      <w:bookmarkEnd w:id="193"/>
      <w:bookmarkEnd w:id="194"/>
      <w:bookmarkEnd w:id="195"/>
      <w:bookmarkEnd w:id="196"/>
      <w:bookmarkEnd w:id="197"/>
      <w:bookmarkEnd w:id="198"/>
      <w:bookmarkEnd w:id="199"/>
    </w:p>
    <w:p>
      <w:pPr>
        <w:pStyle w:val="Heading5"/>
      </w:pPr>
      <w:bookmarkStart w:id="200" w:name="_Toc483471092"/>
      <w:r>
        <w:rPr>
          <w:rStyle w:val="CharSectno"/>
        </w:rPr>
        <w:t>62</w:t>
      </w:r>
      <w:r>
        <w:t>.</w:t>
      </w:r>
      <w:r>
        <w:tab/>
        <w:t>How to make a written application</w:t>
      </w:r>
      <w:bookmarkEnd w:id="200"/>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201" w:name="_Toc483471093"/>
      <w:r>
        <w:rPr>
          <w:rStyle w:val="CharSectno"/>
        </w:rPr>
        <w:t>63</w:t>
      </w:r>
      <w:r>
        <w:t>.</w:t>
      </w:r>
      <w:r>
        <w:tab/>
        <w:t>Your supporting affidavit</w:t>
      </w:r>
      <w:bookmarkEnd w:id="201"/>
    </w:p>
    <w:p>
      <w:pPr>
        <w:pStyle w:val="Subsection"/>
      </w:pPr>
      <w:r>
        <w:tab/>
      </w:r>
      <w:r>
        <w:tab/>
        <w:t>Unless rule 18(3) applies, if you are making a written application it must be lodged together with a supporting affidavit.</w:t>
      </w:r>
    </w:p>
    <w:p>
      <w:pPr>
        <w:pStyle w:val="Heading5"/>
      </w:pPr>
      <w:bookmarkStart w:id="202" w:name="_Toc483471094"/>
      <w:r>
        <w:rPr>
          <w:rStyle w:val="CharSectno"/>
        </w:rPr>
        <w:t>64</w:t>
      </w:r>
      <w:r>
        <w:t>.</w:t>
      </w:r>
      <w:r>
        <w:tab/>
        <w:t>Application must be served</w:t>
      </w:r>
      <w:bookmarkEnd w:id="202"/>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 30 Sep 2016 p. 4176.]</w:t>
      </w:r>
    </w:p>
    <w:p>
      <w:pPr>
        <w:pStyle w:val="Heading5"/>
      </w:pPr>
      <w:bookmarkStart w:id="203" w:name="_Toc483471095"/>
      <w:r>
        <w:rPr>
          <w:rStyle w:val="CharSectno"/>
        </w:rPr>
        <w:t>65</w:t>
      </w:r>
      <w:r>
        <w:t>.</w:t>
      </w:r>
      <w:r>
        <w:tab/>
        <w:t>Response to an application</w:t>
      </w:r>
      <w:bookmarkEnd w:id="203"/>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204" w:name="_Toc483471096"/>
      <w:r>
        <w:rPr>
          <w:rStyle w:val="CharSectno"/>
        </w:rPr>
        <w:t>66</w:t>
      </w:r>
      <w:r>
        <w:t>.</w:t>
      </w:r>
      <w:r>
        <w:tab/>
        <w:t>How the Court will deal with your application</w:t>
      </w:r>
      <w:bookmarkEnd w:id="204"/>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in Gazette 3 Jun 2008 p. 2148.]</w:t>
      </w:r>
    </w:p>
    <w:p>
      <w:pPr>
        <w:pStyle w:val="Heading2"/>
      </w:pPr>
      <w:bookmarkStart w:id="205" w:name="_Toc474400395"/>
      <w:bookmarkStart w:id="206" w:name="_Toc477254448"/>
      <w:bookmarkStart w:id="207" w:name="_Toc482862647"/>
      <w:bookmarkStart w:id="208" w:name="_Toc482863272"/>
      <w:bookmarkStart w:id="209" w:name="_Toc482874337"/>
      <w:bookmarkStart w:id="210" w:name="_Toc483470848"/>
      <w:bookmarkStart w:id="211" w:name="_Toc483471097"/>
      <w:r>
        <w:rPr>
          <w:rStyle w:val="CharPartNo"/>
        </w:rPr>
        <w:t>Part 13</w:t>
      </w:r>
      <w:r>
        <w:rPr>
          <w:rStyle w:val="CharDivNo"/>
        </w:rPr>
        <w:t> </w:t>
      </w:r>
      <w:r>
        <w:t>—</w:t>
      </w:r>
      <w:r>
        <w:rPr>
          <w:rStyle w:val="CharDivText"/>
        </w:rPr>
        <w:t> </w:t>
      </w:r>
      <w:r>
        <w:rPr>
          <w:rStyle w:val="CharPartText"/>
        </w:rPr>
        <w:t>Affidavits</w:t>
      </w:r>
      <w:bookmarkEnd w:id="205"/>
      <w:bookmarkEnd w:id="206"/>
      <w:bookmarkEnd w:id="207"/>
      <w:bookmarkEnd w:id="208"/>
      <w:bookmarkEnd w:id="209"/>
      <w:bookmarkEnd w:id="210"/>
      <w:bookmarkEnd w:id="211"/>
    </w:p>
    <w:p>
      <w:pPr>
        <w:pStyle w:val="Heading5"/>
      </w:pPr>
      <w:bookmarkStart w:id="212" w:name="_Toc483471098"/>
      <w:r>
        <w:rPr>
          <w:rStyle w:val="CharSectno"/>
        </w:rPr>
        <w:t>67</w:t>
      </w:r>
      <w:r>
        <w:t>.</w:t>
      </w:r>
      <w:r>
        <w:tab/>
        <w:t>Form of an affidavit</w:t>
      </w:r>
      <w:bookmarkEnd w:id="212"/>
    </w:p>
    <w:p>
      <w:pPr>
        <w:pStyle w:val="Subsection"/>
      </w:pPr>
      <w:r>
        <w:tab/>
      </w:r>
      <w:r>
        <w:tab/>
        <w:t>An affidavit lodged by you must be in the approved form.</w:t>
      </w:r>
    </w:p>
    <w:p>
      <w:pPr>
        <w:pStyle w:val="Heading5"/>
      </w:pPr>
      <w:bookmarkStart w:id="213" w:name="_Toc483471099"/>
      <w:r>
        <w:rPr>
          <w:rStyle w:val="CharSectno"/>
        </w:rPr>
        <w:t>68</w:t>
      </w:r>
      <w:r>
        <w:t>.</w:t>
      </w:r>
      <w:r>
        <w:tab/>
        <w:t>Content of an affidavit</w:t>
      </w:r>
      <w:bookmarkEnd w:id="213"/>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in Gazette 3 Jun 2008 p. 2148.]</w:t>
      </w:r>
    </w:p>
    <w:p>
      <w:pPr>
        <w:pStyle w:val="Heading2"/>
      </w:pPr>
      <w:bookmarkStart w:id="214" w:name="_Toc474400398"/>
      <w:bookmarkStart w:id="215" w:name="_Toc477254451"/>
      <w:bookmarkStart w:id="216" w:name="_Toc482862650"/>
      <w:bookmarkStart w:id="217" w:name="_Toc482863275"/>
      <w:bookmarkStart w:id="218" w:name="_Toc482874340"/>
      <w:bookmarkStart w:id="219" w:name="_Toc483470851"/>
      <w:bookmarkStart w:id="220" w:name="_Toc483471100"/>
      <w:r>
        <w:rPr>
          <w:rStyle w:val="CharPartNo"/>
        </w:rPr>
        <w:t>Part 14</w:t>
      </w:r>
      <w:r>
        <w:t> — </w:t>
      </w:r>
      <w:r>
        <w:rPr>
          <w:rStyle w:val="CharPartText"/>
        </w:rPr>
        <w:t>If you need a litigation guardian</w:t>
      </w:r>
      <w:bookmarkEnd w:id="214"/>
      <w:bookmarkEnd w:id="215"/>
      <w:bookmarkEnd w:id="216"/>
      <w:bookmarkEnd w:id="217"/>
      <w:bookmarkEnd w:id="218"/>
      <w:bookmarkEnd w:id="219"/>
      <w:bookmarkEnd w:id="220"/>
    </w:p>
    <w:p>
      <w:pPr>
        <w:pStyle w:val="Heading5"/>
      </w:pPr>
      <w:bookmarkStart w:id="221" w:name="_Toc483471101"/>
      <w:r>
        <w:rPr>
          <w:rStyle w:val="CharSectno"/>
        </w:rPr>
        <w:t>69</w:t>
      </w:r>
      <w:r>
        <w:t>.</w:t>
      </w:r>
      <w:r>
        <w:tab/>
        <w:t>Terms used</w:t>
      </w:r>
      <w:bookmarkEnd w:id="221"/>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222" w:name="_Toc483471102"/>
      <w:r>
        <w:rPr>
          <w:rStyle w:val="CharSectno"/>
        </w:rPr>
        <w:t>70</w:t>
      </w:r>
      <w:r>
        <w:t>.</w:t>
      </w:r>
      <w:r>
        <w:tab/>
        <w:t>When this Part applies</w:t>
      </w:r>
      <w:bookmarkEnd w:id="222"/>
    </w:p>
    <w:p>
      <w:pPr>
        <w:pStyle w:val="Subsection"/>
      </w:pPr>
      <w:r>
        <w:tab/>
      </w:r>
      <w:r>
        <w:tab/>
        <w:t>This Part applies if you are a person under a legal disability and you are, or intend to be, a party to a case.</w:t>
      </w:r>
    </w:p>
    <w:p>
      <w:pPr>
        <w:pStyle w:val="Heading5"/>
      </w:pPr>
      <w:bookmarkStart w:id="223" w:name="_Toc483471103"/>
      <w:r>
        <w:rPr>
          <w:rStyle w:val="CharSectno"/>
        </w:rPr>
        <w:t>71</w:t>
      </w:r>
      <w:r>
        <w:t>.</w:t>
      </w:r>
      <w:r>
        <w:tab/>
        <w:t>If you are a represented person</w:t>
      </w:r>
      <w:bookmarkEnd w:id="223"/>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224" w:name="_Toc483471104"/>
      <w:r>
        <w:rPr>
          <w:rStyle w:val="CharSectno"/>
        </w:rPr>
        <w:t>72</w:t>
      </w:r>
      <w:r>
        <w:t>.</w:t>
      </w:r>
      <w:r>
        <w:tab/>
        <w:t>Affidavit your litigation guardian must lodge and serve if you are a represented person</w:t>
      </w:r>
      <w:bookmarkEnd w:id="224"/>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225" w:name="_Toc483471105"/>
      <w:r>
        <w:rPr>
          <w:rStyle w:val="CharSectno"/>
        </w:rPr>
        <w:t>73</w:t>
      </w:r>
      <w:r>
        <w:t>.</w:t>
      </w:r>
      <w:r>
        <w:tab/>
        <w:t>If you are a child</w:t>
      </w:r>
      <w:bookmarkEnd w:id="225"/>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226" w:name="_Toc483471106"/>
      <w:r>
        <w:rPr>
          <w:rStyle w:val="CharSectno"/>
        </w:rPr>
        <w:t>74</w:t>
      </w:r>
      <w:r>
        <w:t>.</w:t>
      </w:r>
      <w:r>
        <w:tab/>
        <w:t>Affidavits your litigation guardian must lodge and serve if you are a child</w:t>
      </w:r>
      <w:bookmarkEnd w:id="226"/>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227" w:name="_Toc483471107"/>
      <w:r>
        <w:rPr>
          <w:rStyle w:val="CharSectno"/>
        </w:rPr>
        <w:t>75</w:t>
      </w:r>
      <w:r>
        <w:t>.</w:t>
      </w:r>
      <w:r>
        <w:tab/>
        <w:t>Person may apply to be appointed your litigation guardian</w:t>
      </w:r>
      <w:bookmarkEnd w:id="227"/>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228" w:name="_Toc474400406"/>
      <w:bookmarkStart w:id="229" w:name="_Toc477254459"/>
      <w:bookmarkStart w:id="230" w:name="_Toc482862658"/>
      <w:bookmarkStart w:id="231" w:name="_Toc482863283"/>
      <w:bookmarkStart w:id="232" w:name="_Toc482874348"/>
      <w:bookmarkStart w:id="233" w:name="_Toc483470859"/>
      <w:bookmarkStart w:id="234" w:name="_Toc483471108"/>
      <w:r>
        <w:rPr>
          <w:rStyle w:val="CharPartNo"/>
        </w:rPr>
        <w:t>Part 15</w:t>
      </w:r>
      <w:r>
        <w:rPr>
          <w:rStyle w:val="CharDivNo"/>
        </w:rPr>
        <w:t> </w:t>
      </w:r>
      <w:r>
        <w:t>—</w:t>
      </w:r>
      <w:r>
        <w:rPr>
          <w:rStyle w:val="CharDivText"/>
        </w:rPr>
        <w:t> </w:t>
      </w:r>
      <w:r>
        <w:rPr>
          <w:rStyle w:val="CharPartText"/>
        </w:rPr>
        <w:t>Miscellaneous</w:t>
      </w:r>
      <w:bookmarkEnd w:id="228"/>
      <w:bookmarkEnd w:id="229"/>
      <w:bookmarkEnd w:id="230"/>
      <w:bookmarkEnd w:id="231"/>
      <w:bookmarkEnd w:id="232"/>
      <w:bookmarkEnd w:id="233"/>
      <w:bookmarkEnd w:id="234"/>
    </w:p>
    <w:p>
      <w:pPr>
        <w:pStyle w:val="Heading5"/>
      </w:pPr>
      <w:bookmarkStart w:id="235" w:name="_Toc483471109"/>
      <w:r>
        <w:rPr>
          <w:rStyle w:val="CharSectno"/>
        </w:rPr>
        <w:t>76A</w:t>
      </w:r>
      <w:r>
        <w:t>.</w:t>
      </w:r>
      <w:r>
        <w:tab/>
        <w:t xml:space="preserve">If you are making an application under the </w:t>
      </w:r>
      <w:r>
        <w:rPr>
          <w:i/>
          <w:iCs/>
        </w:rPr>
        <w:t>Residential Tenancies Act 1987</w:t>
      </w:r>
      <w:bookmarkEnd w:id="235"/>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236" w:name="_Toc483471110"/>
      <w:r>
        <w:rPr>
          <w:rStyle w:val="CharSectno"/>
        </w:rPr>
        <w:t>76B</w:t>
      </w:r>
      <w:r>
        <w:t>.</w:t>
      </w:r>
      <w:r>
        <w:tab/>
        <w:t>If you want to change venues</w:t>
      </w:r>
      <w:bookmarkEnd w:id="236"/>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237" w:name="_Toc483471111"/>
      <w:r>
        <w:rPr>
          <w:rStyle w:val="CharSectno"/>
        </w:rPr>
        <w:t>76C</w:t>
      </w:r>
      <w:r>
        <w:t>.</w:t>
      </w:r>
      <w:r>
        <w:tab/>
        <w:t>If you want to correct typographical and other errors</w:t>
      </w:r>
      <w:bookmarkEnd w:id="237"/>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238" w:name="_Toc483471112"/>
      <w:r>
        <w:rPr>
          <w:rStyle w:val="CharSectno"/>
        </w:rPr>
        <w:t>76</w:t>
      </w:r>
      <w:r>
        <w:t>.</w:t>
      </w:r>
      <w:r>
        <w:tab/>
        <w:t>You may discontinue claim</w:t>
      </w:r>
      <w:bookmarkEnd w:id="238"/>
    </w:p>
    <w:p>
      <w:pPr>
        <w:pStyle w:val="Subsection"/>
      </w:pPr>
      <w:r>
        <w:tab/>
      </w:r>
      <w:r>
        <w:tab/>
        <w:t>If you want to discontinue the whole or part of a claim that you have made, you must lodge and serve a notice of discontinuance in the approved form.</w:t>
      </w:r>
    </w:p>
    <w:p>
      <w:pPr>
        <w:pStyle w:val="Heading5"/>
      </w:pPr>
      <w:bookmarkStart w:id="239" w:name="_Toc483471113"/>
      <w:r>
        <w:rPr>
          <w:rStyle w:val="CharSectno"/>
        </w:rPr>
        <w:t>77</w:t>
      </w:r>
      <w:r>
        <w:t>.</w:t>
      </w:r>
      <w:r>
        <w:tab/>
        <w:t>Availability of forms</w:t>
      </w:r>
      <w:bookmarkEnd w:id="239"/>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240" w:name="_Toc483471114"/>
      <w:r>
        <w:rPr>
          <w:rStyle w:val="CharSectno"/>
        </w:rPr>
        <w:t>78</w:t>
      </w:r>
      <w:r>
        <w:t>.</w:t>
      </w:r>
      <w:r>
        <w:tab/>
        <w:t>Partnership name may be used</w:t>
      </w:r>
      <w:bookmarkEnd w:id="240"/>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241" w:name="_Toc483471115"/>
      <w:r>
        <w:rPr>
          <w:rStyle w:val="CharSectno"/>
        </w:rPr>
        <w:t>79</w:t>
      </w:r>
      <w:r>
        <w:t>.</w:t>
      </w:r>
      <w:r>
        <w:tab/>
        <w:t>When you are required to do things personally and you are not an individual</w:t>
      </w:r>
      <w:bookmarkEnd w:id="241"/>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242" w:name="_Toc483471116"/>
      <w:r>
        <w:rPr>
          <w:rStyle w:val="CharSectno"/>
        </w:rPr>
        <w:t>80</w:t>
      </w:r>
      <w:r>
        <w:t>.</w:t>
      </w:r>
      <w:r>
        <w:tab/>
        <w:t>Payments into Court</w:t>
      </w:r>
      <w:bookmarkEnd w:id="242"/>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243" w:name="_Toc483471117"/>
      <w:r>
        <w:rPr>
          <w:rStyle w:val="CharSectno"/>
        </w:rPr>
        <w:t>81</w:t>
      </w:r>
      <w:r>
        <w:t>.</w:t>
      </w:r>
      <w:r>
        <w:tab/>
        <w:t xml:space="preserve">Registrar’s powers under the </w:t>
      </w:r>
      <w:r>
        <w:rPr>
          <w:rStyle w:val="CharPartText"/>
          <w:i/>
          <w:iCs/>
        </w:rPr>
        <w:t>Civil Judgments Enforcement Act 2004</w:t>
      </w:r>
      <w:bookmarkEnd w:id="243"/>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44" w:name="_Toc474400416"/>
      <w:bookmarkStart w:id="245" w:name="_Toc477254469"/>
      <w:bookmarkStart w:id="246" w:name="_Toc482862668"/>
      <w:bookmarkStart w:id="247" w:name="_Toc482863293"/>
      <w:bookmarkStart w:id="248" w:name="_Toc482874358"/>
      <w:bookmarkStart w:id="249" w:name="_Toc483470869"/>
      <w:bookmarkStart w:id="250" w:name="_Toc483471118"/>
      <w:r>
        <w:t>Notes</w:t>
      </w:r>
      <w:bookmarkEnd w:id="244"/>
      <w:bookmarkEnd w:id="245"/>
      <w:bookmarkEnd w:id="246"/>
      <w:bookmarkEnd w:id="247"/>
      <w:bookmarkEnd w:id="248"/>
      <w:bookmarkEnd w:id="249"/>
      <w:bookmarkEnd w:id="250"/>
    </w:p>
    <w:p>
      <w:pPr>
        <w:pStyle w:val="nSubsection"/>
      </w:pPr>
      <w:r>
        <w:rPr>
          <w:vertAlign w:val="superscript"/>
        </w:rPr>
        <w:t>1</w:t>
      </w:r>
      <w:r>
        <w:tab/>
        <w:t xml:space="preserve">This reprint is a compilation as at 12 May 2017 of the </w:t>
      </w:r>
      <w:r>
        <w:rPr>
          <w:i/>
          <w:noProof/>
        </w:rPr>
        <w:t>Magistrates Court (Minor Cases Procedure) Rules 2005</w:t>
      </w:r>
      <w:r>
        <w:t xml:space="preserve"> and includes the amendments made by the other written laws referred to in the following table.  The table also contains information about any reprint.</w:t>
      </w:r>
    </w:p>
    <w:p>
      <w:pPr>
        <w:pStyle w:val="nHeading3"/>
      </w:pPr>
      <w:bookmarkStart w:id="251" w:name="_Toc483471119"/>
      <w:r>
        <w:t>Compilation table</w:t>
      </w:r>
      <w:bookmarkEnd w:id="2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rFonts w:ascii="Times" w:hAnsi="Times"/>
                <w:bCs/>
                <w:snapToGrid w:val="0"/>
                <w:spacing w:val="-2"/>
              </w:rPr>
              <w:t>r. 1 and 2: 3 May 2016 (see r. 2(a));</w:t>
            </w:r>
            <w:r>
              <w:rPr>
                <w:rFonts w:ascii="Times" w:hAnsi="Times"/>
                <w:bCs/>
                <w:snapToGrid w:val="0"/>
                <w:spacing w:val="-2"/>
              </w:rPr>
              <w:br/>
              <w:t>Rules other than r. 1 and 2: 4 May 2016 (see r. 2(b))</w:t>
            </w:r>
          </w:p>
        </w:tc>
      </w:tr>
      <w:tr>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30 Sep 2016 (see r. 2(a));</w:t>
            </w:r>
            <w:r>
              <w:rPr>
                <w:rFonts w:ascii="Times" w:hAnsi="Times"/>
                <w:bCs/>
                <w:snapToGrid w:val="0"/>
                <w:spacing w:val="-2"/>
              </w:rPr>
              <w:br/>
              <w:t>Rules other than r. 1 and 2: 1 Oct 2016 (see r. 2(b))</w:t>
            </w:r>
          </w:p>
        </w:tc>
      </w:tr>
      <w:tr>
        <w:tc>
          <w:tcPr>
            <w:tcW w:w="7087" w:type="dxa"/>
            <w:gridSpan w:val="3"/>
            <w:tcBorders>
              <w:bottom w:val="single" w:sz="8" w:space="0" w:color="auto"/>
            </w:tcBorders>
            <w:shd w:val="clear" w:color="auto" w:fill="auto"/>
          </w:tcPr>
          <w:p>
            <w:pPr>
              <w:pStyle w:val="nTable"/>
              <w:keepNext/>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Magistrates Court (Minor Cases Procedure) Rules 2005</w:t>
            </w:r>
            <w:r>
              <w:rPr>
                <w:rFonts w:ascii="Times" w:hAnsi="Times"/>
                <w:b/>
                <w:bCs/>
                <w:snapToGrid w:val="0"/>
                <w:spacing w:val="-2"/>
              </w:rPr>
              <w:t xml:space="preserve"> as at 12 May 2017</w:t>
            </w:r>
            <w:r>
              <w:rPr>
                <w:rFonts w:ascii="Times" w:hAnsi="Times"/>
                <w:bCs/>
                <w:snapToGrid w:val="0"/>
                <w:spacing w:val="-2"/>
              </w:rPr>
              <w:t xml:space="preserve"> (includes amendments listed above)</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53" w:name="_Toc474400418"/>
      <w:bookmarkStart w:id="254" w:name="_Toc477254471"/>
      <w:bookmarkStart w:id="255" w:name="_Toc482862670"/>
      <w:bookmarkStart w:id="256" w:name="_Toc482863295"/>
      <w:bookmarkStart w:id="257" w:name="_Toc482874360"/>
      <w:bookmarkStart w:id="258" w:name="_Toc483470871"/>
      <w:bookmarkStart w:id="259" w:name="_Toc483471120"/>
      <w:r>
        <w:rPr>
          <w:sz w:val="28"/>
        </w:rPr>
        <w:t>Defined terms</w:t>
      </w:r>
      <w:bookmarkEnd w:id="253"/>
      <w:bookmarkEnd w:id="254"/>
      <w:bookmarkEnd w:id="255"/>
      <w:bookmarkEnd w:id="256"/>
      <w:bookmarkEnd w:id="257"/>
      <w:bookmarkEnd w:id="258"/>
      <w:bookmarkEnd w:id="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4</w:t>
      </w:r>
    </w:p>
    <w:p>
      <w:pPr>
        <w:pStyle w:val="DefinedTerms"/>
      </w:pPr>
      <w:r>
        <w:t>administrative staff member</w:t>
      </w:r>
      <w:r>
        <w:tab/>
        <w:t>4</w:t>
      </w:r>
    </w:p>
    <w:p>
      <w:pPr>
        <w:pStyle w:val="DefinedTerms"/>
      </w:pPr>
      <w:r>
        <w:t>agent</w:t>
      </w:r>
      <w:r>
        <w:tab/>
        <w:t>4</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departmental officer</w:t>
      </w:r>
      <w:r>
        <w:tab/>
        <w:t>4</w:t>
      </w:r>
    </w:p>
    <w:p>
      <w:pPr>
        <w:pStyle w:val="DefinedTerms"/>
      </w:pPr>
      <w:r>
        <w:t>enforcement officer</w:t>
      </w:r>
      <w:r>
        <w:tab/>
        <w:t>4</w:t>
      </w:r>
    </w:p>
    <w:p>
      <w:pPr>
        <w:pStyle w:val="DefinedTerms"/>
      </w:pPr>
      <w:r>
        <w:t>Inactive Cases List</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third party</w:t>
      </w:r>
      <w:r>
        <w:tab/>
        <w:t>4</w:t>
      </w:r>
    </w:p>
    <w:p>
      <w:pPr>
        <w:pStyle w:val="DefinedTerms"/>
      </w:pPr>
      <w:r>
        <w:t>third party claim</w:t>
      </w:r>
      <w:r>
        <w:tab/>
        <w:t>4</w:t>
      </w:r>
    </w:p>
    <w:p>
      <w:pPr>
        <w:pStyle w:val="DefinedTerms"/>
      </w:pPr>
      <w:r>
        <w:t>working day</w:t>
      </w:r>
      <w:r>
        <w:tab/>
        <w:t>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0" w:name="DefinedTerms"/>
    <w:bookmarkEnd w:id="2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1" w:name="Coversheet"/>
    <w:bookmarkEnd w:id="2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lvlText w:val="%1."/>
      <w:lvlJc w:val="left"/>
      <w:pPr>
        <w:tabs>
          <w:tab w:val="num" w:pos="1492"/>
        </w:tabs>
        <w:ind w:left="1492" w:hanging="360"/>
      </w:pPr>
    </w:lvl>
  </w:abstractNum>
  <w:abstractNum w:abstractNumId="1">
    <w:nsid w:val="FFFFFF7D"/>
    <w:multiLevelType w:val="singleLevel"/>
    <w:tmpl w:val="EFF0913C"/>
    <w:lvl w:ilvl="0">
      <w:start w:val="1"/>
      <w:numFmt w:val="decimal"/>
      <w:lvlText w:val="%1."/>
      <w:lvlJc w:val="left"/>
      <w:pPr>
        <w:tabs>
          <w:tab w:val="num" w:pos="1209"/>
        </w:tabs>
        <w:ind w:left="1209" w:hanging="360"/>
      </w:pPr>
    </w:lvl>
  </w:abstractNum>
  <w:abstractNum w:abstractNumId="2">
    <w:nsid w:val="FFFFFF7E"/>
    <w:multiLevelType w:val="singleLevel"/>
    <w:tmpl w:val="E4C032EC"/>
    <w:lvl w:ilvl="0">
      <w:start w:val="1"/>
      <w:numFmt w:val="decimal"/>
      <w:lvlText w:val="%1."/>
      <w:lvlJc w:val="left"/>
      <w:pPr>
        <w:tabs>
          <w:tab w:val="num" w:pos="926"/>
        </w:tabs>
        <w:ind w:left="926" w:hanging="360"/>
      </w:pPr>
    </w:lvl>
  </w:abstractNum>
  <w:abstractNum w:abstractNumId="3">
    <w:nsid w:val="FFFFFF7F"/>
    <w:multiLevelType w:val="singleLevel"/>
    <w:tmpl w:val="92D437E6"/>
    <w:lvl w:ilvl="0">
      <w:start w:val="1"/>
      <w:numFmt w:val="decimal"/>
      <w:lvlText w:val="%1."/>
      <w:lvlJc w:val="left"/>
      <w:pPr>
        <w:tabs>
          <w:tab w:val="num" w:pos="643"/>
        </w:tabs>
        <w:ind w:left="643" w:hanging="360"/>
      </w:pPr>
    </w:lvl>
  </w:abstractNum>
  <w:abstractNum w:abstractNumId="4">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lvlText w:val="%1."/>
      <w:lvlJc w:val="left"/>
      <w:pPr>
        <w:tabs>
          <w:tab w:val="num" w:pos="360"/>
        </w:tabs>
        <w:ind w:left="360" w:hanging="360"/>
      </w:pPr>
    </w:lvl>
  </w:abstractNum>
  <w:abstractNum w:abstractNumId="9">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9103105"/>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980BB-BDF3-48B4-9ACB-4E94ED005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11641</Words>
  <Characters>52270</Characters>
  <Application>Microsoft Office Word</Application>
  <DocSecurity>0</DocSecurity>
  <Lines>1537</Lines>
  <Paragraphs>1014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2005 - 02-a0-00</dc:title>
  <dc:subject/>
  <dc:creator/>
  <cp:keywords/>
  <dc:description/>
  <cp:lastModifiedBy>svcMRProcess</cp:lastModifiedBy>
  <cp:revision>4</cp:revision>
  <cp:lastPrinted>2017-05-02T07:15:00Z</cp:lastPrinted>
  <dcterms:created xsi:type="dcterms:W3CDTF">2018-09-12T17:47:00Z</dcterms:created>
  <dcterms:modified xsi:type="dcterms:W3CDTF">2018-09-12T17:48:00Z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CommencementDate">
    <vt:lpwstr>20170512</vt:lpwstr>
  </property>
  <property fmtid="{D5CDD505-2E9C-101B-9397-08002B2CF9AE}" pid="6" name="ReprintedAsAt">
    <vt:filetime>2017-05-11T16:00:00Z</vt:filetime>
  </property>
  <property fmtid="{D5CDD505-2E9C-101B-9397-08002B2CF9AE}" pid="7" name="ReprintNo">
    <vt:lpwstr>2</vt:lpwstr>
  </property>
  <property fmtid="{D5CDD505-2E9C-101B-9397-08002B2CF9AE}" pid="8" name="AsAtDate">
    <vt:lpwstr>12 May 2017</vt:lpwstr>
  </property>
  <property fmtid="{D5CDD505-2E9C-101B-9397-08002B2CF9AE}" pid="9" name="Suffix">
    <vt:lpwstr>02-a0-00</vt:lpwstr>
  </property>
</Properties>
</file>