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_Toc483553699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_Toc483553700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_Toc483553701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_Toc483553703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_Toc483553705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_Toc483553706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_Toc483553707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_Toc483553708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_Toc483553709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_Toc483553710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_Toc483553712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_Toc483553713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_Toc483553716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_Toc483553718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_Toc483553719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_Toc483553720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_Toc483553721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_Toc483553723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_Toc483553724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_Toc483553725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_Toc483553728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_Toc483553730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_Toc483553732 \h </w:instrText>
      </w:r>
      <w:r>
        <w:fldChar w:fldCharType="separate"/>
      </w:r>
      <w:r>
        <w:t>28</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_Toc483553733 \h </w:instrText>
      </w:r>
      <w:r>
        <w:fldChar w:fldCharType="separate"/>
      </w:r>
      <w:r>
        <w:t>28</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_Toc483553734 \h </w:instrText>
      </w:r>
      <w:r>
        <w:fldChar w:fldCharType="separate"/>
      </w:r>
      <w:r>
        <w:t>35</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_Toc483553735 \h </w:instrText>
      </w:r>
      <w:r>
        <w:fldChar w:fldCharType="separate"/>
      </w:r>
      <w:r>
        <w:t>39</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_Toc483553736 \h </w:instrText>
      </w:r>
      <w:r>
        <w:fldChar w:fldCharType="separate"/>
      </w:r>
      <w:r>
        <w:t>40</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_Toc483553737 \h </w:instrText>
      </w:r>
      <w:r>
        <w:fldChar w:fldCharType="separate"/>
      </w:r>
      <w:r>
        <w:t>41</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_Toc483553738 \h </w:instrText>
      </w:r>
      <w:r>
        <w:fldChar w:fldCharType="separate"/>
      </w:r>
      <w:r>
        <w:t>42</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_Toc483553739 \h </w:instrText>
      </w:r>
      <w:r>
        <w:fldChar w:fldCharType="separate"/>
      </w:r>
      <w:r>
        <w:t>43</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_Toc483553740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_Toc483553742 \h </w:instrText>
      </w:r>
      <w:r>
        <w:fldChar w:fldCharType="separate"/>
      </w:r>
      <w:r>
        <w:t>45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_Toc483553743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_Toc483553745 \h </w:instrText>
      </w:r>
      <w:r>
        <w:fldChar w:fldCharType="separate"/>
      </w:r>
      <w:r>
        <w:t>46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_Toc483553746 \h </w:instrText>
      </w:r>
      <w:r>
        <w:fldChar w:fldCharType="separate"/>
      </w:r>
      <w:r>
        <w:t>46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_Toc483553747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_Toc483553749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_Toc483553753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_Toc483553754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67850666"/>
      <w:bookmarkStart w:id="4" w:name="_Toc483483059"/>
      <w:bookmarkStart w:id="5" w:name="_Toc48355369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8355369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83553700"/>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483553701"/>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467850670"/>
      <w:bookmarkStart w:id="10" w:name="_Toc483483063"/>
      <w:bookmarkStart w:id="11" w:name="_Toc483553702"/>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483553703"/>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467850672"/>
      <w:bookmarkStart w:id="14" w:name="_Toc483483065"/>
      <w:bookmarkStart w:id="15" w:name="_Toc483553704"/>
      <w:r>
        <w:rPr>
          <w:rStyle w:val="CharPartNo"/>
        </w:rPr>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483553705"/>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7" w:name="_Toc483553706"/>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483553707"/>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9" w:name="_Toc483553708"/>
      <w:r>
        <w:rPr>
          <w:rStyle w:val="CharSectno"/>
        </w:rPr>
        <w:t>8A</w:t>
      </w:r>
      <w:r>
        <w:t>.</w:t>
      </w:r>
      <w:r>
        <w:tab/>
        <w:t>Authorised purposes for disclosure of information to prescribed persons</w:t>
      </w:r>
      <w:bookmarkEnd w:id="19"/>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0" w:name="_Toc483553709"/>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483553710"/>
      <w:r>
        <w:rPr>
          <w:rStyle w:val="CharSectno"/>
        </w:rPr>
        <w:t>9A</w:t>
      </w:r>
      <w:r>
        <w:t>.</w:t>
      </w:r>
      <w:r>
        <w:tab/>
        <w:t>Use of information: s. 143A(1)(d)</w:t>
      </w:r>
      <w:bookmarkEnd w:id="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22" w:name="_Toc467850679"/>
      <w:bookmarkStart w:id="23" w:name="_Toc483483072"/>
      <w:bookmarkStart w:id="24" w:name="_Toc483553711"/>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483553712"/>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483553713"/>
      <w:r>
        <w:rPr>
          <w:rStyle w:val="CharSectno"/>
        </w:rPr>
        <w:t>10</w:t>
      </w:r>
      <w:r>
        <w:t>.</w:t>
      </w:r>
      <w:r>
        <w:tab/>
        <w:t>Effect of orders of courts, tribunals of other jurisdictions: s. 19</w:t>
      </w:r>
      <w:bookmarkEnd w:id="2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467850682"/>
      <w:bookmarkStart w:id="28" w:name="_Toc483483075"/>
      <w:bookmarkStart w:id="29" w:name="_Toc483553714"/>
      <w:r>
        <w:rPr>
          <w:rStyle w:val="CharPartNo"/>
        </w:rPr>
        <w:t>Part 5</w:t>
      </w:r>
      <w:r>
        <w:t> — </w:t>
      </w:r>
      <w:r>
        <w:rPr>
          <w:rStyle w:val="CharPartText"/>
        </w:rPr>
        <w:t>Wardens</w:t>
      </w:r>
      <w:bookmarkEnd w:id="27"/>
      <w:bookmarkEnd w:id="28"/>
      <w:bookmarkEnd w:id="29"/>
    </w:p>
    <w:p>
      <w:pPr>
        <w:pStyle w:val="Heading3"/>
      </w:pPr>
      <w:bookmarkStart w:id="30" w:name="_Toc467850683"/>
      <w:bookmarkStart w:id="31" w:name="_Toc483483076"/>
      <w:bookmarkStart w:id="32" w:name="_Toc483553715"/>
      <w:r>
        <w:rPr>
          <w:rStyle w:val="CharDivNo"/>
        </w:rPr>
        <w:t>Division 1</w:t>
      </w:r>
      <w:r>
        <w:t> — </w:t>
      </w:r>
      <w:r>
        <w:rPr>
          <w:rStyle w:val="CharDivText"/>
        </w:rPr>
        <w:t>General</w:t>
      </w:r>
      <w:bookmarkEnd w:id="30"/>
      <w:bookmarkEnd w:id="31"/>
      <w:bookmarkEnd w:id="32"/>
    </w:p>
    <w:p>
      <w:pPr>
        <w:pStyle w:val="Heading5"/>
      </w:pPr>
      <w:bookmarkStart w:id="33" w:name="_Toc483553716"/>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467850685"/>
      <w:bookmarkStart w:id="35" w:name="_Toc483483078"/>
      <w:bookmarkStart w:id="36" w:name="_Toc483553717"/>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483553718"/>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483553719"/>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39" w:name="_Toc483553720"/>
      <w:r>
        <w:rPr>
          <w:rStyle w:val="CharSectno"/>
        </w:rPr>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40" w:name="_Toc483553721"/>
      <w:r>
        <w:rPr>
          <w:rStyle w:val="CharSectno"/>
        </w:rPr>
        <w:t>15</w:t>
      </w:r>
      <w:r>
        <w:t>.</w:t>
      </w:r>
      <w:r>
        <w:tab/>
        <w:t>Wardens who can commence certain prosecutions</w:t>
      </w:r>
      <w:bookmarkEnd w:id="4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1" w:name="_Toc467850690"/>
      <w:bookmarkStart w:id="42" w:name="_Toc483483083"/>
      <w:bookmarkStart w:id="43" w:name="_Toc483553722"/>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483553723"/>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483553724"/>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46" w:name="_Toc483553725"/>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47" w:name="_Toc467850694"/>
      <w:bookmarkStart w:id="48" w:name="_Toc483483087"/>
      <w:bookmarkStart w:id="49" w:name="_Toc483553726"/>
      <w:r>
        <w:rPr>
          <w:rStyle w:val="CharPartNo"/>
        </w:rPr>
        <w:t>Part 6</w:t>
      </w:r>
      <w:r>
        <w:t> — </w:t>
      </w:r>
      <w:r>
        <w:rPr>
          <w:rStyle w:val="CharPartText"/>
        </w:rPr>
        <w:t>Enforcement of road laws</w:t>
      </w:r>
      <w:bookmarkEnd w:id="47"/>
      <w:bookmarkEnd w:id="48"/>
      <w:bookmarkEnd w:id="49"/>
    </w:p>
    <w:p>
      <w:pPr>
        <w:pStyle w:val="Heading3"/>
      </w:pPr>
      <w:bookmarkStart w:id="50" w:name="_Toc467850695"/>
      <w:bookmarkStart w:id="51" w:name="_Toc483483088"/>
      <w:bookmarkStart w:id="52" w:name="_Toc483553727"/>
      <w:r>
        <w:rPr>
          <w:rStyle w:val="CharDivNo"/>
        </w:rPr>
        <w:t>Division 1</w:t>
      </w:r>
      <w:r>
        <w:t> — </w:t>
      </w:r>
      <w:r>
        <w:rPr>
          <w:rStyle w:val="CharDivText"/>
        </w:rPr>
        <w:t>Entry warrants</w:t>
      </w:r>
      <w:bookmarkEnd w:id="50"/>
      <w:bookmarkEnd w:id="51"/>
      <w:bookmarkEnd w:id="52"/>
    </w:p>
    <w:p>
      <w:pPr>
        <w:pStyle w:val="Heading5"/>
      </w:pPr>
      <w:bookmarkStart w:id="53" w:name="_Toc483553728"/>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467850697"/>
      <w:bookmarkStart w:id="55" w:name="_Toc483483090"/>
      <w:bookmarkStart w:id="56" w:name="_Toc483553729"/>
      <w:r>
        <w:rPr>
          <w:rStyle w:val="CharDivNo"/>
        </w:rPr>
        <w:t>Division 2</w:t>
      </w:r>
      <w:r>
        <w:t> — </w:t>
      </w:r>
      <w:r>
        <w:rPr>
          <w:rStyle w:val="CharDivText"/>
        </w:rPr>
        <w:t>Embargo notices</w:t>
      </w:r>
      <w:bookmarkEnd w:id="54"/>
      <w:bookmarkEnd w:id="55"/>
      <w:bookmarkEnd w:id="56"/>
    </w:p>
    <w:p>
      <w:pPr>
        <w:pStyle w:val="Heading5"/>
      </w:pPr>
      <w:bookmarkStart w:id="57" w:name="_Toc483553730"/>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467850699"/>
      <w:bookmarkStart w:id="59" w:name="_Toc483483092"/>
      <w:bookmarkStart w:id="60" w:name="_Toc483553731"/>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483553732"/>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62" w:name="_Toc483553733"/>
      <w:r>
        <w:rPr>
          <w:rStyle w:val="CharSectno"/>
        </w:rPr>
        <w:t>22</w:t>
      </w:r>
      <w:r>
        <w:t>.</w:t>
      </w:r>
      <w:r>
        <w:tab/>
        <w:t xml:space="preserve">Infringement notice offences and penalties: </w:t>
      </w:r>
      <w:r>
        <w:rPr>
          <w:i/>
        </w:rPr>
        <w:t>Road Traffic (Vehicles) Act 2012</w:t>
      </w:r>
      <w:bookmarkEnd w:id="6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63" w:name="_Toc483553734"/>
      <w:r>
        <w:rPr>
          <w:rStyle w:val="CharSectno"/>
        </w:rPr>
        <w:t>23</w:t>
      </w:r>
      <w:r>
        <w:t>.</w:t>
      </w:r>
      <w:r>
        <w:tab/>
        <w:t xml:space="preserve">Infringement notice offences and penalties: </w:t>
      </w:r>
      <w:r>
        <w:rPr>
          <w:i/>
        </w:rPr>
        <w:t>Road Traffic Act 1974</w:t>
      </w:r>
      <w:bookmarkEnd w:id="6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Footnotesection"/>
      </w:pPr>
      <w:r>
        <w:tab/>
        <w:t>[Regulation 23 amended in Gazette 25 Nov 2016 p. 5281</w:t>
      </w:r>
      <w:r>
        <w:noBreakHyphen/>
        <w:t>2.]</w:t>
      </w:r>
    </w:p>
    <w:p>
      <w:pPr>
        <w:pStyle w:val="Heading5"/>
      </w:pPr>
      <w:bookmarkStart w:id="64" w:name="_Toc483553735"/>
      <w:r>
        <w:rPr>
          <w:rStyle w:val="CharSectno"/>
        </w:rPr>
        <w:t>24</w:t>
      </w:r>
      <w:r>
        <w:t>.</w:t>
      </w:r>
      <w:r>
        <w:tab/>
        <w:t>Infringement notice offences and penalties: road law regulations</w:t>
      </w:r>
      <w:bookmarkEnd w:id="6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65" w:name="_Toc483553736"/>
      <w:r>
        <w:rPr>
          <w:rStyle w:val="CharSectno"/>
        </w:rPr>
        <w:t>25</w:t>
      </w:r>
      <w:r>
        <w:t>.</w:t>
      </w:r>
      <w:r>
        <w:tab/>
        <w:t>Offences for which infringement notices may be served by transport wardens</w:t>
      </w:r>
      <w:bookmarkEnd w:id="6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66" w:name="_Toc483553737"/>
      <w:r>
        <w:rPr>
          <w:rStyle w:val="CharSectno"/>
        </w:rPr>
        <w:t>26</w:t>
      </w:r>
      <w:r>
        <w:t>.</w:t>
      </w:r>
      <w:r>
        <w:tab/>
        <w:t>Offences for which infringement notices may be served by transport inspection wardens, transport investigation wardens</w:t>
      </w:r>
      <w:bookmarkEnd w:id="6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w:t>
      </w:r>
    </w:p>
    <w:p>
      <w:pPr>
        <w:pStyle w:val="Heading5"/>
      </w:pPr>
      <w:bookmarkStart w:id="67" w:name="_Toc483553738"/>
      <w:r>
        <w:rPr>
          <w:rStyle w:val="CharSectno"/>
        </w:rPr>
        <w:t>27</w:t>
      </w:r>
      <w:r>
        <w:t>.</w:t>
      </w:r>
      <w:r>
        <w:tab/>
        <w:t>Forms of notices</w:t>
      </w:r>
      <w:bookmarkEnd w:id="6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8" w:name="_Toc483553739"/>
      <w:r>
        <w:rPr>
          <w:rStyle w:val="CharSectno"/>
        </w:rPr>
        <w:t>28</w:t>
      </w:r>
      <w:r>
        <w:t>.</w:t>
      </w:r>
      <w:r>
        <w:tab/>
        <w:t>Officers who may sign notices to withdraw notices</w:t>
      </w:r>
      <w:bookmarkEnd w:id="68"/>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69" w:name="_Toc483553740"/>
      <w:r>
        <w:rPr>
          <w:rStyle w:val="CharSectno"/>
        </w:rPr>
        <w:t>29</w:t>
      </w:r>
      <w:r>
        <w:t>.</w:t>
      </w:r>
      <w:r>
        <w:tab/>
        <w:t>Infringement notice not to be altered</w:t>
      </w:r>
      <w:bookmarkEnd w:id="6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0" w:name="_Toc467850709"/>
      <w:bookmarkStart w:id="71" w:name="_Toc483483102"/>
      <w:bookmarkStart w:id="72" w:name="_Toc483553741"/>
      <w:r>
        <w:rPr>
          <w:rStyle w:val="CharPartNo"/>
        </w:rPr>
        <w:t>Part 8</w:t>
      </w:r>
      <w:r>
        <w:rPr>
          <w:rStyle w:val="CharDivNo"/>
        </w:rPr>
        <w:t> </w:t>
      </w:r>
      <w:r>
        <w:t>—</w:t>
      </w:r>
      <w:r>
        <w:rPr>
          <w:rStyle w:val="CharDivText"/>
        </w:rPr>
        <w:t> </w:t>
      </w:r>
      <w:r>
        <w:rPr>
          <w:rStyle w:val="CharPartText"/>
        </w:rPr>
        <w:t>Prosecutions</w:t>
      </w:r>
      <w:bookmarkEnd w:id="70"/>
      <w:bookmarkEnd w:id="71"/>
      <w:bookmarkEnd w:id="72"/>
    </w:p>
    <w:p>
      <w:pPr>
        <w:pStyle w:val="Heading5"/>
      </w:pPr>
      <w:bookmarkStart w:id="73" w:name="_Toc483553742"/>
      <w:r>
        <w:rPr>
          <w:rStyle w:val="CharSectno"/>
        </w:rPr>
        <w:t>30</w:t>
      </w:r>
      <w:r>
        <w:t>.</w:t>
      </w:r>
      <w:r>
        <w:tab/>
        <w:t>Persons to approve prosecution for breach of mass, dimension or loading requirement</w:t>
      </w:r>
      <w:bookmarkEnd w:id="7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4" w:name="_Toc483553743"/>
      <w:r>
        <w:rPr>
          <w:rStyle w:val="CharSectno"/>
        </w:rPr>
        <w:t>31</w:t>
      </w:r>
      <w:r>
        <w:t>.</w:t>
      </w:r>
      <w:r>
        <w:tab/>
        <w:t>Ascertaining mass supported on part of vehicle</w:t>
      </w:r>
      <w:bookmarkEnd w:id="7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75" w:name="_Toc467850712"/>
      <w:bookmarkStart w:id="76" w:name="_Toc483483105"/>
      <w:bookmarkStart w:id="77" w:name="_Toc483553744"/>
      <w:r>
        <w:rPr>
          <w:rStyle w:val="CharPartNo"/>
        </w:rPr>
        <w:t>Part 9</w:t>
      </w:r>
      <w:r>
        <w:rPr>
          <w:rStyle w:val="CharDivNo"/>
        </w:rPr>
        <w:t> </w:t>
      </w:r>
      <w:r>
        <w:t>—</w:t>
      </w:r>
      <w:r>
        <w:rPr>
          <w:rStyle w:val="CharDivText"/>
        </w:rPr>
        <w:t> </w:t>
      </w:r>
      <w:r>
        <w:rPr>
          <w:rStyle w:val="CharPartText"/>
        </w:rPr>
        <w:t>Review of decisions under road laws</w:t>
      </w:r>
      <w:bookmarkEnd w:id="75"/>
      <w:bookmarkEnd w:id="76"/>
      <w:bookmarkEnd w:id="77"/>
    </w:p>
    <w:p>
      <w:pPr>
        <w:pStyle w:val="Heading5"/>
        <w:rPr>
          <w:i/>
        </w:rPr>
      </w:pPr>
      <w:bookmarkStart w:id="78" w:name="_Toc483553745"/>
      <w:r>
        <w:rPr>
          <w:rStyle w:val="CharSectno"/>
        </w:rPr>
        <w:t>32</w:t>
      </w:r>
      <w:r>
        <w:t>.</w:t>
      </w:r>
      <w:r>
        <w:tab/>
        <w:t xml:space="preserve">Review of decisions under </w:t>
      </w:r>
      <w:r>
        <w:rPr>
          <w:i/>
        </w:rPr>
        <w:t>Road Traffic (Authorisation to Drive) Act 2008</w:t>
      </w:r>
      <w:bookmarkEnd w:id="7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79" w:name="_Toc483553746"/>
      <w:r>
        <w:rPr>
          <w:rStyle w:val="CharSectno"/>
        </w:rPr>
        <w:t>33</w:t>
      </w:r>
      <w:r>
        <w:t>.</w:t>
      </w:r>
      <w:r>
        <w:tab/>
        <w:t xml:space="preserve">Review of decisions under </w:t>
      </w:r>
      <w:r>
        <w:rPr>
          <w:i/>
        </w:rPr>
        <w:t>Road Traffic (Vehicles) Act 2012</w:t>
      </w:r>
      <w:bookmarkEnd w:id="7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80" w:name="_Toc483553747"/>
      <w:r>
        <w:rPr>
          <w:rStyle w:val="CharSectno"/>
        </w:rPr>
        <w:t>34</w:t>
      </w:r>
      <w:r>
        <w:t>.</w:t>
      </w:r>
      <w:r>
        <w:tab/>
        <w:t>Right of CEO or Commissioner of Police to be heard</w:t>
      </w:r>
      <w:bookmarkEnd w:id="8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1" w:name="_Toc467850716"/>
      <w:bookmarkStart w:id="82" w:name="_Toc483483109"/>
      <w:bookmarkStart w:id="83" w:name="_Toc483553748"/>
      <w:r>
        <w:rPr>
          <w:rStyle w:val="CharPartNo"/>
        </w:rPr>
        <w:t>Part 10</w:t>
      </w:r>
      <w:r>
        <w:rPr>
          <w:rStyle w:val="CharDivNo"/>
        </w:rPr>
        <w:t> </w:t>
      </w:r>
      <w:r>
        <w:t>—</w:t>
      </w:r>
      <w:r>
        <w:rPr>
          <w:rStyle w:val="CharDivText"/>
        </w:rPr>
        <w:t> </w:t>
      </w:r>
      <w:r>
        <w:rPr>
          <w:rStyle w:val="CharPartText"/>
        </w:rPr>
        <w:t>Fees and charges</w:t>
      </w:r>
      <w:bookmarkEnd w:id="81"/>
      <w:bookmarkEnd w:id="82"/>
      <w:bookmarkEnd w:id="83"/>
    </w:p>
    <w:p>
      <w:pPr>
        <w:pStyle w:val="Heading5"/>
      </w:pPr>
      <w:bookmarkStart w:id="84" w:name="_Toc483553749"/>
      <w:r>
        <w:rPr>
          <w:rStyle w:val="CharSectno"/>
        </w:rPr>
        <w:t>35</w:t>
      </w:r>
      <w:r>
        <w:t>.</w:t>
      </w:r>
      <w:r>
        <w:tab/>
        <w:t>Disclosure of information to prescribed persons or for road safety purposes: s. 143(3)(a)</w:t>
      </w:r>
      <w:bookmarkEnd w:id="8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5" w:name="_Toc467850718"/>
      <w:bookmarkStart w:id="86" w:name="_Toc483483111"/>
      <w:bookmarkStart w:id="87" w:name="_Toc483553750"/>
      <w:r>
        <w:rPr>
          <w:rStyle w:val="CharSchNo"/>
        </w:rPr>
        <w:t>Schedule 1</w:t>
      </w:r>
      <w:r>
        <w:rPr>
          <w:rStyle w:val="CharSDivNo"/>
        </w:rPr>
        <w:t> </w:t>
      </w:r>
      <w:r>
        <w:t>—</w:t>
      </w:r>
      <w:r>
        <w:rPr>
          <w:rStyle w:val="CharSDivText"/>
        </w:rPr>
        <w:t> </w:t>
      </w:r>
      <w:r>
        <w:rPr>
          <w:rStyle w:val="CharSchText"/>
        </w:rPr>
        <w:t>Entry warrant</w:t>
      </w:r>
      <w:bookmarkEnd w:id="85"/>
      <w:bookmarkEnd w:id="86"/>
      <w:bookmarkEnd w:id="8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88" w:name="_Toc467850719"/>
      <w:bookmarkStart w:id="89" w:name="_Toc483483112"/>
      <w:bookmarkStart w:id="90" w:name="_Toc483553751"/>
      <w:r>
        <w:rPr>
          <w:rStyle w:val="CharSchNo"/>
        </w:rPr>
        <w:t>Schedule 2</w:t>
      </w:r>
      <w:r>
        <w:rPr>
          <w:rStyle w:val="CharSDivNo"/>
        </w:rPr>
        <w:t> </w:t>
      </w:r>
      <w:r>
        <w:t>—</w:t>
      </w:r>
      <w:r>
        <w:rPr>
          <w:rStyle w:val="CharSDivText"/>
        </w:rPr>
        <w:t> </w:t>
      </w:r>
      <w:r>
        <w:rPr>
          <w:rStyle w:val="CharSchText"/>
        </w:rPr>
        <w:t>Forms for infringement notice matters</w:t>
      </w:r>
      <w:bookmarkEnd w:id="88"/>
      <w:bookmarkEnd w:id="89"/>
      <w:bookmarkEnd w:id="90"/>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2" w:name="_Toc467850720"/>
      <w:bookmarkStart w:id="93" w:name="_Toc483483113"/>
      <w:bookmarkStart w:id="94" w:name="_Toc483553752"/>
      <w:r>
        <w:t>Notes</w:t>
      </w:r>
      <w:bookmarkEnd w:id="92"/>
      <w:bookmarkEnd w:id="93"/>
      <w:bookmarkEnd w:id="94"/>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95" w:name="_Toc483553753"/>
      <w:r>
        <w:rPr>
          <w:snapToGrid w:val="0"/>
        </w:rPr>
        <w:t>Compilation table</w:t>
      </w:r>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single" w:sz="4" w:space="0" w:color="auto"/>
              <w:right w:val="nil"/>
            </w:tcBorders>
          </w:tcPr>
          <w:p>
            <w:pPr>
              <w:pStyle w:val="nTable"/>
              <w:spacing w:after="40"/>
              <w:rPr>
                <w:i/>
              </w:rPr>
            </w:pPr>
            <w:r>
              <w:rPr>
                <w:i/>
              </w:rPr>
              <w:t>Road Traffic (Administration) Amendment Regulations (No. 2) 2016</w:t>
            </w:r>
          </w:p>
        </w:tc>
        <w:tc>
          <w:tcPr>
            <w:tcW w:w="1276" w:type="dxa"/>
            <w:tcBorders>
              <w:top w:val="nil"/>
              <w:left w:val="nil"/>
              <w:bottom w:val="single" w:sz="4" w:space="0" w:color="auto"/>
              <w:right w:val="nil"/>
            </w:tcBorders>
          </w:tcPr>
          <w:p>
            <w:pPr>
              <w:pStyle w:val="nTable"/>
              <w:spacing w:after="40"/>
            </w:pPr>
            <w:r>
              <w:t>25 Nov 2016 p. 5280</w:t>
            </w:r>
            <w:r>
              <w:noBreakHyphen/>
              <w:t>2</w:t>
            </w:r>
          </w:p>
        </w:tc>
        <w:tc>
          <w:tcPr>
            <w:tcW w:w="2693" w:type="dxa"/>
            <w:tcBorders>
              <w:top w:val="nil"/>
              <w:left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 w:name="_Toc483553754"/>
      <w:r>
        <w:t>Provisions that have not come into operation</w:t>
      </w:r>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Regulations Amendment (Penalties) Regulations 2017</w:t>
            </w:r>
            <w:r>
              <w:t xml:space="preserve"> Pt. 2</w:t>
            </w:r>
            <w:r>
              <w:rPr>
                <w:vertAlign w:val="superscript"/>
              </w:rPr>
              <w:t> 2</w:t>
            </w:r>
          </w:p>
        </w:tc>
        <w:tc>
          <w:tcPr>
            <w:tcW w:w="1276" w:type="dxa"/>
          </w:tcPr>
          <w:p>
            <w:pPr>
              <w:pStyle w:val="nTable"/>
              <w:spacing w:after="40"/>
            </w:pPr>
            <w:r>
              <w:t>26 May 2017 p. 2636</w:t>
            </w:r>
            <w:r>
              <w:noBreakHyphen/>
              <w:t>9</w:t>
            </w:r>
          </w:p>
        </w:tc>
        <w:tc>
          <w:tcPr>
            <w:tcW w:w="2693" w:type="dxa"/>
          </w:tcPr>
          <w:p>
            <w:pPr>
              <w:pStyle w:val="nTable"/>
              <w:spacing w:after="40"/>
            </w:pPr>
            <w:r>
              <w:t>28 Jul 2017 (see r. 2(b))</w:t>
            </w:r>
          </w:p>
        </w:tc>
      </w:tr>
    </w:tbl>
    <w:p>
      <w:pPr>
        <w:pStyle w:val="nSubsection"/>
      </w:pPr>
      <w:r>
        <w:rPr>
          <w:vertAlign w:val="superscript"/>
        </w:rPr>
        <w:t>2</w:t>
      </w:r>
      <w:r>
        <w:tab/>
        <w:t xml:space="preserve">On the date as at which this compilation was prepared, the </w:t>
      </w:r>
      <w:r>
        <w:rPr>
          <w:i/>
        </w:rPr>
        <w:t>Road Traffic Regulations Amendment (Penalties) Regulations 2017</w:t>
      </w:r>
      <w:r>
        <w:t xml:space="preserve"> Pt. 2 had not come into operation. It reads as follows:</w:t>
      </w:r>
    </w:p>
    <w:p>
      <w:pPr>
        <w:pStyle w:val="BlankOpen"/>
      </w:pPr>
    </w:p>
    <w:p>
      <w:pPr>
        <w:pStyle w:val="nzHeading2"/>
      </w:pPr>
      <w:bookmarkStart w:id="97" w:name="_Toc473022470"/>
      <w:bookmarkStart w:id="98" w:name="_Toc473022484"/>
      <w:bookmarkStart w:id="99" w:name="_Toc473022540"/>
      <w:bookmarkStart w:id="100" w:name="_Toc473022661"/>
      <w:bookmarkStart w:id="101" w:name="_Toc473023020"/>
      <w:bookmarkStart w:id="102" w:name="_Toc473023045"/>
      <w:bookmarkStart w:id="103" w:name="_Toc473023061"/>
      <w:bookmarkStart w:id="104" w:name="_Toc473023959"/>
      <w:bookmarkStart w:id="105" w:name="_Toc473024038"/>
      <w:bookmarkStart w:id="106" w:name="_Toc473024052"/>
      <w:r>
        <w:rPr>
          <w:rStyle w:val="CharPartNo"/>
        </w:rPr>
        <w:t>Part 2</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97"/>
      <w:bookmarkEnd w:id="98"/>
      <w:bookmarkEnd w:id="99"/>
      <w:bookmarkEnd w:id="100"/>
      <w:bookmarkEnd w:id="101"/>
      <w:bookmarkEnd w:id="102"/>
      <w:bookmarkEnd w:id="103"/>
      <w:bookmarkEnd w:id="104"/>
      <w:bookmarkEnd w:id="105"/>
      <w:bookmarkEnd w:id="106"/>
    </w:p>
    <w:p>
      <w:pPr>
        <w:pStyle w:val="nzHeading5"/>
        <w:rPr>
          <w:snapToGrid w:val="0"/>
        </w:rPr>
      </w:pPr>
      <w:bookmarkStart w:id="107" w:name="_Toc473023046"/>
      <w:bookmarkStart w:id="108" w:name="_Toc473024039"/>
      <w:bookmarkStart w:id="109" w:name="_Toc473024053"/>
      <w:r>
        <w:rPr>
          <w:rStyle w:val="CharSectno"/>
        </w:rPr>
        <w:t>3</w:t>
      </w:r>
      <w:r>
        <w:rPr>
          <w:snapToGrid w:val="0"/>
        </w:rPr>
        <w:t>.</w:t>
      </w:r>
      <w:r>
        <w:rPr>
          <w:snapToGrid w:val="0"/>
        </w:rPr>
        <w:tab/>
        <w:t>Regulations amended</w:t>
      </w:r>
      <w:bookmarkEnd w:id="107"/>
      <w:bookmarkEnd w:id="108"/>
      <w:bookmarkEnd w:id="109"/>
    </w:p>
    <w:p>
      <w:pPr>
        <w:pStyle w:val="nzSubsection"/>
      </w:pPr>
      <w:r>
        <w:tab/>
      </w:r>
      <w:r>
        <w:tab/>
        <w:t xml:space="preserve">This Part </w:t>
      </w:r>
      <w:r>
        <w:rPr>
          <w:spacing w:val="-2"/>
        </w:rPr>
        <w:t>amends</w:t>
      </w:r>
      <w:r>
        <w:t xml:space="preserve"> the </w:t>
      </w:r>
      <w:r>
        <w:rPr>
          <w:i/>
        </w:rPr>
        <w:t>Road Traffic (Administration) Regulations 2014</w:t>
      </w:r>
      <w:r>
        <w:t>.</w:t>
      </w:r>
    </w:p>
    <w:p>
      <w:pPr>
        <w:pStyle w:val="nzHeading5"/>
      </w:pPr>
      <w:bookmarkStart w:id="110" w:name="_Toc473023047"/>
      <w:bookmarkStart w:id="111" w:name="_Toc473024040"/>
      <w:bookmarkStart w:id="112" w:name="_Toc473024054"/>
      <w:r>
        <w:rPr>
          <w:rStyle w:val="CharSectno"/>
        </w:rPr>
        <w:t>4</w:t>
      </w:r>
      <w:r>
        <w:t>.</w:t>
      </w:r>
      <w:r>
        <w:tab/>
        <w:t>Regulation 21 amended</w:t>
      </w:r>
      <w:bookmarkEnd w:id="110"/>
      <w:bookmarkEnd w:id="111"/>
      <w:bookmarkEnd w:id="112"/>
    </w:p>
    <w:p>
      <w:pPr>
        <w:pStyle w:val="nzSubsection"/>
      </w:pPr>
      <w:r>
        <w:tab/>
        <w:t>(1)</w:t>
      </w:r>
      <w:r>
        <w:tab/>
        <w:t>In regulation 21 in the Table after the item for s. 33(2)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rPr>
        <w:tc>
          <w:tcPr>
            <w:tcW w:w="1956" w:type="dxa"/>
          </w:tcPr>
          <w:p>
            <w:pPr>
              <w:pStyle w:val="TableNAm"/>
              <w:rPr>
                <w:sz w:val="20"/>
              </w:rPr>
            </w:pPr>
            <w:r>
              <w:rPr>
                <w:sz w:val="20"/>
              </w:rPr>
              <w:t>s. 36(2)(a)</w:t>
            </w:r>
          </w:p>
        </w:tc>
        <w:tc>
          <w:tcPr>
            <w:tcW w:w="2410" w:type="dxa"/>
          </w:tcPr>
          <w:p>
            <w:pPr>
              <w:pStyle w:val="TableNAm"/>
              <w:rPr>
                <w:sz w:val="20"/>
              </w:rPr>
            </w:pPr>
            <w:r>
              <w:rPr>
                <w:sz w:val="20"/>
              </w:rPr>
              <w:t>Obtaining or applying for a driver’s licence while disqualified</w:t>
            </w:r>
          </w:p>
        </w:tc>
        <w:tc>
          <w:tcPr>
            <w:tcW w:w="1843" w:type="dxa"/>
          </w:tcPr>
          <w:p>
            <w:pPr>
              <w:pStyle w:val="TableNAm"/>
              <w:jc w:val="center"/>
              <w:rPr>
                <w:sz w:val="20"/>
              </w:rPr>
            </w:pPr>
            <w:r>
              <w:rPr>
                <w:sz w:val="20"/>
              </w:rPr>
              <w:t>15</w:t>
            </w:r>
          </w:p>
        </w:tc>
      </w:tr>
      <w:tr>
        <w:trPr>
          <w:cantSplit/>
        </w:trPr>
        <w:tc>
          <w:tcPr>
            <w:tcW w:w="1956" w:type="dxa"/>
          </w:tcPr>
          <w:p>
            <w:pPr>
              <w:pStyle w:val="TableNAm"/>
              <w:rPr>
                <w:sz w:val="20"/>
              </w:rPr>
            </w:pPr>
            <w:r>
              <w:rPr>
                <w:sz w:val="20"/>
              </w:rPr>
              <w:t>s. 36(2)(g)</w:t>
            </w:r>
          </w:p>
        </w:tc>
        <w:tc>
          <w:tcPr>
            <w:tcW w:w="2410" w:type="dxa"/>
          </w:tcPr>
          <w:p>
            <w:pPr>
              <w:pStyle w:val="TableNAm"/>
              <w:rPr>
                <w:sz w:val="20"/>
              </w:rPr>
            </w:pPr>
            <w:r>
              <w:rPr>
                <w:sz w:val="20"/>
              </w:rPr>
              <w:t>Lending or allowing another person to use a driver’s licence document, vehicle licence or number plate or label</w:t>
            </w:r>
          </w:p>
        </w:tc>
        <w:tc>
          <w:tcPr>
            <w:tcW w:w="1843" w:type="dxa"/>
          </w:tcPr>
          <w:p>
            <w:pPr>
              <w:pStyle w:val="TableNAm"/>
              <w:jc w:val="center"/>
              <w:rPr>
                <w:sz w:val="20"/>
              </w:rPr>
            </w:pPr>
            <w:r>
              <w:rPr>
                <w:sz w:val="20"/>
              </w:rPr>
              <w:t>15</w:t>
            </w:r>
          </w:p>
        </w:tc>
      </w:tr>
    </w:tbl>
    <w:p>
      <w:pPr>
        <w:pStyle w:val="BlankClose"/>
      </w:pPr>
    </w:p>
    <w:p>
      <w:pPr>
        <w:pStyle w:val="nzSubsection"/>
      </w:pPr>
      <w:r>
        <w:tab/>
        <w:t>(2)</w:t>
      </w:r>
      <w:r>
        <w:tab/>
        <w:t>In regulation 21 in the Table after the item for s. 47(2)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rPr>
        <w:tc>
          <w:tcPr>
            <w:tcW w:w="1956" w:type="dxa"/>
          </w:tcPr>
          <w:p>
            <w:pPr>
              <w:pStyle w:val="TableNAm"/>
              <w:rPr>
                <w:sz w:val="20"/>
              </w:rPr>
            </w:pPr>
            <w:r>
              <w:rPr>
                <w:sz w:val="20"/>
              </w:rPr>
              <w:t>s. 47(4)</w:t>
            </w:r>
          </w:p>
        </w:tc>
        <w:tc>
          <w:tcPr>
            <w:tcW w:w="2410" w:type="dxa"/>
          </w:tcPr>
          <w:p>
            <w:pPr>
              <w:pStyle w:val="TableNAm"/>
              <w:rPr>
                <w:sz w:val="20"/>
              </w:rPr>
            </w:pPr>
            <w:r>
              <w:rPr>
                <w:sz w:val="20"/>
              </w:rPr>
              <w:t>Failure to comply with direction under s. 47(3)</w:t>
            </w:r>
          </w:p>
        </w:tc>
        <w:tc>
          <w:tcPr>
            <w:tcW w:w="1843" w:type="dxa"/>
          </w:tcPr>
          <w:p>
            <w:pPr>
              <w:pStyle w:val="TableNAm"/>
              <w:jc w:val="center"/>
              <w:rPr>
                <w:sz w:val="20"/>
              </w:rPr>
            </w:pPr>
            <w:r>
              <w:rPr>
                <w:sz w:val="20"/>
              </w:rPr>
              <w:t>1</w:t>
            </w:r>
          </w:p>
        </w:tc>
      </w:tr>
      <w:tr>
        <w:trPr>
          <w:cantSplit/>
        </w:trPr>
        <w:tc>
          <w:tcPr>
            <w:tcW w:w="1956" w:type="dxa"/>
          </w:tcPr>
          <w:p>
            <w:pPr>
              <w:pStyle w:val="TableNAm"/>
              <w:rPr>
                <w:sz w:val="20"/>
              </w:rPr>
            </w:pPr>
            <w:r>
              <w:rPr>
                <w:sz w:val="20"/>
              </w:rPr>
              <w:t>s. 140(4)</w:t>
            </w:r>
          </w:p>
        </w:tc>
        <w:tc>
          <w:tcPr>
            <w:tcW w:w="2410" w:type="dxa"/>
          </w:tcPr>
          <w:p>
            <w:pPr>
              <w:pStyle w:val="TableNAm"/>
              <w:rPr>
                <w:sz w:val="20"/>
              </w:rPr>
            </w:pPr>
            <w:r>
              <w:rPr>
                <w:sz w:val="20"/>
              </w:rPr>
              <w:t>Failure to comply with a notice under s. 140(2)</w:t>
            </w:r>
          </w:p>
        </w:tc>
        <w:tc>
          <w:tcPr>
            <w:tcW w:w="1843" w:type="dxa"/>
          </w:tcPr>
          <w:p>
            <w:pPr>
              <w:pStyle w:val="TableNAm"/>
              <w:jc w:val="center"/>
              <w:rPr>
                <w:sz w:val="20"/>
              </w:rPr>
            </w:pPr>
            <w:r>
              <w:rPr>
                <w:sz w:val="20"/>
              </w:rPr>
              <w:t>2</w:t>
            </w:r>
          </w:p>
        </w:tc>
      </w:tr>
    </w:tbl>
    <w:p>
      <w:pPr>
        <w:pStyle w:val="BlankClose"/>
      </w:pPr>
    </w:p>
    <w:p>
      <w:pPr>
        <w:pStyle w:val="nzHeading5"/>
      </w:pPr>
      <w:bookmarkStart w:id="113" w:name="_Toc473023048"/>
      <w:bookmarkStart w:id="114" w:name="_Toc473024041"/>
      <w:bookmarkStart w:id="115" w:name="_Toc473024055"/>
      <w:r>
        <w:rPr>
          <w:rStyle w:val="CharSectno"/>
        </w:rPr>
        <w:t>5</w:t>
      </w:r>
      <w:r>
        <w:t>.</w:t>
      </w:r>
      <w:r>
        <w:tab/>
        <w:t>Regulation 21A inserted</w:t>
      </w:r>
      <w:bookmarkEnd w:id="113"/>
      <w:bookmarkEnd w:id="114"/>
      <w:bookmarkEnd w:id="115"/>
    </w:p>
    <w:p>
      <w:pPr>
        <w:pStyle w:val="nzSubsection"/>
      </w:pPr>
      <w:r>
        <w:tab/>
      </w:r>
      <w:r>
        <w:tab/>
        <w:t>After regulation 21 insert:</w:t>
      </w:r>
    </w:p>
    <w:p>
      <w:pPr>
        <w:pStyle w:val="BlankOpen"/>
      </w:pPr>
    </w:p>
    <w:p>
      <w:pPr>
        <w:pStyle w:val="nzHeading5"/>
      </w:pPr>
      <w:bookmarkStart w:id="116" w:name="_Toc473023049"/>
      <w:bookmarkStart w:id="117" w:name="_Toc473024042"/>
      <w:bookmarkStart w:id="118" w:name="_Toc473024056"/>
      <w:r>
        <w:t>21A.</w:t>
      </w:r>
      <w:r>
        <w:tab/>
        <w:t xml:space="preserve">Infringement notice offences and penalties: </w:t>
      </w:r>
      <w:r>
        <w:rPr>
          <w:i/>
        </w:rPr>
        <w:t>Road Traffic (Authorisation to Drive) Act 2008</w:t>
      </w:r>
      <w:bookmarkEnd w:id="116"/>
      <w:bookmarkEnd w:id="117"/>
      <w:bookmarkEnd w:id="118"/>
    </w:p>
    <w:p>
      <w:pPr>
        <w:pStyle w:val="nz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BlankClose"/>
      </w:pPr>
    </w:p>
    <w:p>
      <w:pPr>
        <w:pStyle w:val="nzHeading5"/>
      </w:pPr>
      <w:bookmarkStart w:id="119" w:name="_Toc473023050"/>
      <w:bookmarkStart w:id="120" w:name="_Toc473024043"/>
      <w:bookmarkStart w:id="121" w:name="_Toc473024057"/>
      <w:r>
        <w:rPr>
          <w:rStyle w:val="CharSectno"/>
        </w:rPr>
        <w:t>6</w:t>
      </w:r>
      <w:r>
        <w:t>.</w:t>
      </w:r>
      <w:r>
        <w:tab/>
        <w:t>Regulation 22 amended</w:t>
      </w:r>
      <w:bookmarkEnd w:id="119"/>
      <w:bookmarkEnd w:id="120"/>
      <w:bookmarkEnd w:id="121"/>
    </w:p>
    <w:p>
      <w:pPr>
        <w:pStyle w:val="nzSubsection"/>
      </w:pPr>
      <w:r>
        <w:tab/>
      </w:r>
      <w:r>
        <w:tab/>
        <w:t>In regulation 22(1) in the Table after the item for s. 4(2) insert:</w:t>
      </w:r>
    </w:p>
    <w:p>
      <w:pPr>
        <w:pStyle w:val="BlankOpen"/>
      </w:pP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rPr>
        <w:tc>
          <w:tcPr>
            <w:tcW w:w="1531" w:type="dxa"/>
          </w:tcPr>
          <w:p>
            <w:pPr>
              <w:pStyle w:val="TableNAm"/>
              <w:rPr>
                <w:sz w:val="20"/>
              </w:rPr>
            </w:pPr>
            <w:r>
              <w:rPr>
                <w:sz w:val="20"/>
              </w:rPr>
              <w:t>s. 8(2)</w:t>
            </w:r>
          </w:p>
        </w:tc>
        <w:tc>
          <w:tcPr>
            <w:tcW w:w="2552" w:type="dxa"/>
          </w:tcPr>
          <w:p>
            <w:pPr>
              <w:pStyle w:val="TableNAm"/>
              <w:rPr>
                <w:sz w:val="20"/>
              </w:rPr>
            </w:pPr>
            <w:r>
              <w:rPr>
                <w:sz w:val="20"/>
              </w:rPr>
              <w:t>Failure to deliver licence document and number plates as demanded by CEO</w:t>
            </w:r>
          </w:p>
        </w:tc>
        <w:tc>
          <w:tcPr>
            <w:tcW w:w="2051" w:type="dxa"/>
          </w:tcPr>
          <w:p>
            <w:pPr>
              <w:pStyle w:val="TableNAm"/>
              <w:jc w:val="center"/>
              <w:rPr>
                <w:sz w:val="20"/>
              </w:rPr>
            </w:pPr>
            <w:r>
              <w:rPr>
                <w:sz w:val="20"/>
              </w:rPr>
              <w:t>2</w:t>
            </w:r>
          </w:p>
        </w:tc>
      </w:tr>
      <w:tr>
        <w:trPr>
          <w:cantSplit/>
        </w:trPr>
        <w:tc>
          <w:tcPr>
            <w:tcW w:w="1531" w:type="dxa"/>
          </w:tcPr>
          <w:p>
            <w:pPr>
              <w:pStyle w:val="TableNAm"/>
              <w:rPr>
                <w:sz w:val="20"/>
              </w:rPr>
            </w:pPr>
            <w:r>
              <w:rPr>
                <w:sz w:val="20"/>
              </w:rPr>
              <w:t>s. 8(3)</w:t>
            </w:r>
          </w:p>
        </w:tc>
        <w:tc>
          <w:tcPr>
            <w:tcW w:w="2552" w:type="dxa"/>
          </w:tcPr>
          <w:p>
            <w:pPr>
              <w:pStyle w:val="TableNAm"/>
              <w:rPr>
                <w:sz w:val="20"/>
              </w:rPr>
            </w:pPr>
            <w:r>
              <w:rPr>
                <w:sz w:val="20"/>
              </w:rPr>
              <w:t>Using a licence document or number plates demanded by CEO</w:t>
            </w:r>
          </w:p>
        </w:tc>
        <w:tc>
          <w:tcPr>
            <w:tcW w:w="2051" w:type="dxa"/>
          </w:tcPr>
          <w:p>
            <w:pPr>
              <w:pStyle w:val="TableNAm"/>
              <w:jc w:val="center"/>
              <w:rPr>
                <w:sz w:val="20"/>
              </w:rPr>
            </w:pPr>
            <w:r>
              <w:rPr>
                <w:sz w:val="20"/>
              </w:rPr>
              <w:t>2</w:t>
            </w:r>
          </w:p>
        </w:tc>
      </w:tr>
    </w:tbl>
    <w:p>
      <w:pPr>
        <w:pStyle w:val="BlankClose"/>
      </w:pPr>
    </w:p>
    <w:p>
      <w:pPr>
        <w:pStyle w:val="nzHeading5"/>
      </w:pPr>
      <w:bookmarkStart w:id="122" w:name="_Toc473023051"/>
      <w:bookmarkStart w:id="123" w:name="_Toc473024044"/>
      <w:bookmarkStart w:id="124" w:name="_Toc473024058"/>
      <w:r>
        <w:rPr>
          <w:rStyle w:val="CharSectno"/>
        </w:rPr>
        <w:t>7</w:t>
      </w:r>
      <w:r>
        <w:t>.</w:t>
      </w:r>
      <w:r>
        <w:tab/>
        <w:t>Regulation 23 amended</w:t>
      </w:r>
      <w:bookmarkEnd w:id="122"/>
      <w:bookmarkEnd w:id="123"/>
      <w:bookmarkEnd w:id="124"/>
    </w:p>
    <w:p>
      <w:pPr>
        <w:pStyle w:val="nzSubsection"/>
      </w:pPr>
      <w:r>
        <w:tab/>
        <w:t>(1)</w:t>
      </w:r>
      <w:r>
        <w:tab/>
        <w:t>In regulation 23(2) in the Table after the item for s. 50A(1) insert:</w:t>
      </w:r>
    </w:p>
    <w:p>
      <w:pPr>
        <w:pStyle w:val="BlankOpen"/>
        <w:widowControl w:val="0"/>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rPr>
        <w:tc>
          <w:tcPr>
            <w:tcW w:w="1673" w:type="dxa"/>
          </w:tcPr>
          <w:p>
            <w:pPr>
              <w:pStyle w:val="TableNAm"/>
              <w:rPr>
                <w:sz w:val="20"/>
              </w:rPr>
            </w:pPr>
            <w:r>
              <w:rPr>
                <w:sz w:val="20"/>
              </w:rPr>
              <w:t>s. 50A(2)</w:t>
            </w:r>
          </w:p>
        </w:tc>
        <w:tc>
          <w:tcPr>
            <w:tcW w:w="2410" w:type="dxa"/>
          </w:tcPr>
          <w:p>
            <w:pPr>
              <w:pStyle w:val="TableNAm"/>
              <w:rPr>
                <w:sz w:val="20"/>
              </w:rPr>
            </w:pPr>
            <w:r>
              <w:rPr>
                <w:sz w:val="20"/>
              </w:rPr>
              <w:t>Holder of foreign country’s driver’s licence failing to comply with condition of licence</w:t>
            </w:r>
          </w:p>
        </w:tc>
        <w:tc>
          <w:tcPr>
            <w:tcW w:w="2079" w:type="dxa"/>
          </w:tcPr>
          <w:p>
            <w:pPr>
              <w:pStyle w:val="TableNAm"/>
              <w:jc w:val="center"/>
              <w:rPr>
                <w:sz w:val="20"/>
              </w:rPr>
            </w:pPr>
            <w:r>
              <w:rPr>
                <w:sz w:val="20"/>
              </w:rPr>
              <w:t>1</w:t>
            </w:r>
          </w:p>
        </w:tc>
      </w:tr>
      <w:tr>
        <w:trPr>
          <w:cantSplit/>
        </w:trPr>
        <w:tc>
          <w:tcPr>
            <w:tcW w:w="1673" w:type="dxa"/>
          </w:tcPr>
          <w:p>
            <w:pPr>
              <w:pStyle w:val="TableNAm"/>
              <w:rPr>
                <w:sz w:val="20"/>
              </w:rPr>
            </w:pPr>
            <w:r>
              <w:rPr>
                <w:sz w:val="20"/>
              </w:rPr>
              <w:t>s. 54(6)</w:t>
            </w:r>
          </w:p>
        </w:tc>
        <w:tc>
          <w:tcPr>
            <w:tcW w:w="2410" w:type="dxa"/>
          </w:tcPr>
          <w:p>
            <w:pPr>
              <w:pStyle w:val="TableNAm"/>
              <w:rPr>
                <w:sz w:val="20"/>
              </w:rPr>
            </w:pPr>
            <w:r>
              <w:rPr>
                <w:sz w:val="20"/>
              </w:rPr>
              <w:t>Driver involved in incident occasioning bodily harm failing to give name and address</w:t>
            </w:r>
          </w:p>
        </w:tc>
        <w:tc>
          <w:tcPr>
            <w:tcW w:w="2079" w:type="dxa"/>
          </w:tcPr>
          <w:p>
            <w:pPr>
              <w:pStyle w:val="TableNAm"/>
              <w:jc w:val="center"/>
              <w:rPr>
                <w:sz w:val="20"/>
              </w:rPr>
            </w:pPr>
            <w:r>
              <w:rPr>
                <w:sz w:val="20"/>
              </w:rPr>
              <w:t>10</w:t>
            </w:r>
          </w:p>
        </w:tc>
      </w:tr>
      <w:tr>
        <w:trPr>
          <w:cantSplit/>
        </w:trPr>
        <w:tc>
          <w:tcPr>
            <w:tcW w:w="1673" w:type="dxa"/>
          </w:tcPr>
          <w:p>
            <w:pPr>
              <w:pStyle w:val="TableNAm"/>
              <w:rPr>
                <w:sz w:val="20"/>
              </w:rPr>
            </w:pPr>
            <w:r>
              <w:rPr>
                <w:sz w:val="20"/>
              </w:rPr>
              <w:t>s. 55(1)</w:t>
            </w:r>
          </w:p>
        </w:tc>
        <w:tc>
          <w:tcPr>
            <w:tcW w:w="2410" w:type="dxa"/>
          </w:tcPr>
          <w:p>
            <w:pPr>
              <w:pStyle w:val="TableNAm"/>
              <w:rPr>
                <w:sz w:val="20"/>
              </w:rPr>
            </w:pPr>
            <w:r>
              <w:rPr>
                <w:sz w:val="20"/>
              </w:rPr>
              <w:t>Driver in incident occasioning property damage failing to stop after incident</w:t>
            </w:r>
          </w:p>
        </w:tc>
        <w:tc>
          <w:tcPr>
            <w:tcW w:w="2079" w:type="dxa"/>
          </w:tcPr>
          <w:p>
            <w:pPr>
              <w:pStyle w:val="TableNAm"/>
              <w:jc w:val="center"/>
              <w:rPr>
                <w:sz w:val="20"/>
              </w:rPr>
            </w:pPr>
            <w:r>
              <w:rPr>
                <w:sz w:val="20"/>
              </w:rPr>
              <w:t>10</w:t>
            </w:r>
          </w:p>
        </w:tc>
      </w:tr>
      <w:tr>
        <w:trPr>
          <w:cantSplit/>
        </w:trPr>
        <w:tc>
          <w:tcPr>
            <w:tcW w:w="1673" w:type="dxa"/>
          </w:tcPr>
          <w:p>
            <w:pPr>
              <w:pStyle w:val="TableNAm"/>
              <w:rPr>
                <w:sz w:val="20"/>
              </w:rPr>
            </w:pPr>
            <w:r>
              <w:rPr>
                <w:sz w:val="20"/>
              </w:rPr>
              <w:t>s. 55(4)</w:t>
            </w:r>
          </w:p>
        </w:tc>
        <w:tc>
          <w:tcPr>
            <w:tcW w:w="2410" w:type="dxa"/>
          </w:tcPr>
          <w:p>
            <w:pPr>
              <w:pStyle w:val="TableNAm"/>
              <w:rPr>
                <w:sz w:val="20"/>
              </w:rPr>
            </w:pPr>
            <w:r>
              <w:rPr>
                <w:sz w:val="20"/>
              </w:rPr>
              <w:t>Driver in incident occasioning property damage failing to give name and address</w:t>
            </w:r>
          </w:p>
        </w:tc>
        <w:tc>
          <w:tcPr>
            <w:tcW w:w="2079" w:type="dxa"/>
          </w:tcPr>
          <w:p>
            <w:pPr>
              <w:pStyle w:val="TableNAm"/>
              <w:jc w:val="center"/>
              <w:rPr>
                <w:sz w:val="20"/>
              </w:rPr>
            </w:pPr>
            <w:r>
              <w:rPr>
                <w:sz w:val="20"/>
              </w:rPr>
              <w:t>10</w:t>
            </w:r>
          </w:p>
        </w:tc>
      </w:tr>
    </w:tbl>
    <w:p>
      <w:pPr>
        <w:pStyle w:val="BlankClose"/>
      </w:pPr>
    </w:p>
    <w:p>
      <w:pPr>
        <w:pStyle w:val="nzSubsection"/>
      </w:pPr>
      <w:r>
        <w:tab/>
        <w:t>(2)</w:t>
      </w:r>
      <w:r>
        <w:tab/>
        <w:t>In regulation 23(2) in the Table after the item for s. 64AAA insert:</w:t>
      </w:r>
    </w:p>
    <w:p>
      <w:pPr>
        <w:pStyle w:val="BlankOpen"/>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rPr>
        <w:tc>
          <w:tcPr>
            <w:tcW w:w="1673" w:type="dxa"/>
          </w:tcPr>
          <w:p>
            <w:pPr>
              <w:pStyle w:val="TableNAm"/>
              <w:rPr>
                <w:sz w:val="20"/>
              </w:rPr>
            </w:pPr>
            <w:r>
              <w:rPr>
                <w:sz w:val="20"/>
              </w:rPr>
              <w:t>s. 81F(1)</w:t>
            </w:r>
          </w:p>
        </w:tc>
        <w:tc>
          <w:tcPr>
            <w:tcW w:w="2410" w:type="dxa"/>
          </w:tcPr>
          <w:p>
            <w:pPr>
              <w:pStyle w:val="TableNAm"/>
              <w:rPr>
                <w:sz w:val="20"/>
              </w:rPr>
            </w:pPr>
            <w:r>
              <w:rPr>
                <w:sz w:val="20"/>
              </w:rPr>
              <w:t>Obstructing the use of, or misusing, road closed for events</w:t>
            </w:r>
          </w:p>
        </w:tc>
        <w:tc>
          <w:tcPr>
            <w:tcW w:w="2079" w:type="dxa"/>
          </w:tcPr>
          <w:p>
            <w:pPr>
              <w:pStyle w:val="TableNAm"/>
              <w:jc w:val="center"/>
              <w:rPr>
                <w:sz w:val="20"/>
              </w:rPr>
            </w:pPr>
            <w:r>
              <w:rPr>
                <w:sz w:val="20"/>
              </w:rPr>
              <w:t>4</w:t>
            </w:r>
          </w:p>
        </w:tc>
      </w:tr>
    </w:tbl>
    <w:p>
      <w:pPr>
        <w:pStyle w:val="BlankClose"/>
      </w:pPr>
    </w:p>
    <w:p>
      <w:pPr>
        <w:pStyle w:val="nzHeading5"/>
      </w:pPr>
      <w:bookmarkStart w:id="125" w:name="_Toc473023052"/>
      <w:bookmarkStart w:id="126" w:name="_Toc473024045"/>
      <w:bookmarkStart w:id="127" w:name="_Toc473024059"/>
      <w:r>
        <w:rPr>
          <w:rStyle w:val="CharSectno"/>
        </w:rPr>
        <w:t>8</w:t>
      </w:r>
      <w:r>
        <w:t>.</w:t>
      </w:r>
      <w:r>
        <w:tab/>
        <w:t>Regulation 26 amended</w:t>
      </w:r>
      <w:bookmarkEnd w:id="125"/>
      <w:bookmarkEnd w:id="126"/>
      <w:bookmarkEnd w:id="127"/>
    </w:p>
    <w:p>
      <w:pPr>
        <w:pStyle w:val="nzSubsection"/>
      </w:pPr>
      <w:r>
        <w:tab/>
      </w:r>
      <w:r>
        <w:tab/>
        <w:t xml:space="preserve">In regulation 26 in the Table in the item for the </w:t>
      </w:r>
      <w:r>
        <w:rPr>
          <w:i/>
        </w:rPr>
        <w:t>Road Traffic (Administration) Act 2008</w:t>
      </w:r>
      <w:r>
        <w:t xml:space="preserve"> delete “s. 33(2) and 44” and insert:</w:t>
      </w:r>
    </w:p>
    <w:p>
      <w:pPr>
        <w:pStyle w:val="BlankOpen"/>
      </w:pPr>
    </w:p>
    <w:p>
      <w:pPr>
        <w:pStyle w:val="nzSubsection"/>
      </w:pPr>
      <w:r>
        <w:tab/>
      </w:r>
      <w:r>
        <w:tab/>
        <w:t>s. 33(2), 36(2), 44 and 47(4)</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9" w:name="_Toc483483116"/>
      <w:bookmarkStart w:id="130" w:name="_Toc483553755"/>
      <w:r>
        <w:rPr>
          <w:sz w:val="28"/>
        </w:rPr>
        <w:t>Defined terms</w:t>
      </w:r>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50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5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49CD2-7033-447C-B93A-64BBDAF41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13986</Words>
  <Characters>70495</Characters>
  <Application>Microsoft Office Word</Application>
  <DocSecurity>0</DocSecurity>
  <Lines>3356</Lines>
  <Paragraphs>1689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2014 - 00-l0-00</dc:title>
  <dc:subject/>
  <dc:creator/>
  <cp:keywords/>
  <dc:description/>
  <cp:lastModifiedBy>svcMRProcess</cp:lastModifiedBy>
  <cp:revision>4</cp:revision>
  <cp:lastPrinted>2014-11-27T00:08:00Z</cp:lastPrinted>
  <dcterms:created xsi:type="dcterms:W3CDTF">2018-09-19T10:53:00Z</dcterms:created>
  <dcterms:modified xsi:type="dcterms:W3CDTF">2018-09-19T10:53:00Z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26 May 2017</vt:lpwstr>
  </property>
  <property fmtid="{D5CDD505-2E9C-101B-9397-08002B2CF9AE}" pid="4" name="Suffix">
    <vt:lpwstr>00-l0-00</vt:lpwstr>
  </property>
  <property fmtid="{D5CDD505-2E9C-101B-9397-08002B2CF9AE}" pid="5" name="DocumentType">
    <vt:lpwstr>Reg</vt:lpwstr>
  </property>
  <property fmtid="{D5CDD505-2E9C-101B-9397-08002B2CF9AE}" pid="6" name="CommencementDate">
    <vt:lpwstr>20170526</vt:lpwstr>
  </property>
</Properties>
</file>