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_Toc486423395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_Toc486423396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_Toc486423397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_Toc486423398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_Toc486423399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_Toc486423400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_Toc486423401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_Toc486423402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_Toc486423403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_Toc486423404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_Toc486423405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_Toc486423406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_Toc486423407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_Toc486423408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_Toc486423409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_Toc486423410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_Toc486423411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_Toc486423412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w:t>
      </w:r>
    </w:p>
    <w:p>
      <w:pPr>
        <w:pStyle w:val="TOC2"/>
        <w:keepNext w:val="0"/>
        <w:tabs>
          <w:tab w:val="right" w:leader="dot" w:pos="7077"/>
        </w:tabs>
        <w:rPr>
          <w:rFonts w:asciiTheme="minorHAnsi" w:eastAsiaTheme="minorEastAsia" w:hAnsiTheme="minorHAnsi" w:cstheme="minorBidi"/>
          <w:b w:val="0"/>
          <w:sz w:val="22"/>
          <w:szCs w:val="22"/>
        </w:rPr>
      </w:pPr>
      <w:r>
        <w:t>Second Schedule</w:t>
      </w:r>
    </w:p>
    <w:p>
      <w:pPr>
        <w:pStyle w:val="TOC2"/>
        <w:keepNext w:val="0"/>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_Toc486423417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485982723"/>
      <w:bookmarkStart w:id="4" w:name="_Toc486423395"/>
      <w:r>
        <w:rPr>
          <w:rStyle w:val="CharSectno"/>
        </w:rPr>
        <w:t>1</w:t>
      </w:r>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485982724"/>
      <w:bookmarkStart w:id="6" w:name="_Toc486423396"/>
      <w:r>
        <w:rPr>
          <w:rStyle w:val="CharSectno"/>
        </w:rPr>
        <w:t>2</w:t>
      </w:r>
      <w:r>
        <w:rPr>
          <w:snapToGrid w:val="0"/>
        </w:rPr>
        <w:t>.</w:t>
      </w:r>
      <w:r>
        <w:rPr>
          <w:snapToGrid w:val="0"/>
        </w:rPr>
        <w:tab/>
        <w:t>Forms</w:t>
      </w:r>
      <w:bookmarkEnd w:id="5"/>
      <w:bookmarkEnd w:id="6"/>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7" w:name="_Toc485982725"/>
      <w:bookmarkStart w:id="8" w:name="_Toc486423397"/>
      <w:r>
        <w:rPr>
          <w:rStyle w:val="CharSectno"/>
        </w:rPr>
        <w:t>3</w:t>
      </w:r>
      <w:r>
        <w:rPr>
          <w:snapToGrid w:val="0"/>
        </w:rPr>
        <w:t>.</w:t>
      </w:r>
      <w:r>
        <w:rPr>
          <w:snapToGrid w:val="0"/>
        </w:rPr>
        <w:tab/>
        <w:t>Application by corporation</w:t>
      </w:r>
      <w:bookmarkEnd w:id="7"/>
      <w:bookmarkEnd w:id="8"/>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9" w:name="_Toc485982726"/>
      <w:bookmarkStart w:id="10" w:name="_Toc486423398"/>
      <w:r>
        <w:rPr>
          <w:rStyle w:val="CharSectno"/>
        </w:rPr>
        <w:t>4</w:t>
      </w:r>
      <w:r>
        <w:t>.</w:t>
      </w:r>
      <w:r>
        <w:tab/>
        <w:t>Fees</w:t>
      </w:r>
      <w:bookmarkEnd w:id="9"/>
      <w:bookmarkEnd w:id="10"/>
    </w:p>
    <w:p>
      <w:pPr>
        <w:pStyle w:val="Subsection"/>
      </w:pPr>
      <w:r>
        <w:tab/>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$801.70</w:t>
            </w:r>
          </w:p>
          <w:p>
            <w:pPr>
              <w:pStyle w:val="TableNAm"/>
              <w:tabs>
                <w:tab w:val="clear" w:pos="567"/>
                <w:tab w:val="left" w:pos="232"/>
              </w:tabs>
              <w:spacing w:before="0"/>
            </w:pPr>
            <w:r>
              <w:rPr>
                <w:sz w:val="18"/>
                <w:szCs w:val="18"/>
              </w:rPr>
              <w:t>●</w:t>
            </w:r>
            <w:r>
              <w:tab/>
              <w:t>$1 603.40</w:t>
            </w:r>
          </w:p>
          <w:p>
            <w:pPr>
              <w:pStyle w:val="TableNAm"/>
              <w:tabs>
                <w:tab w:val="clear" w:pos="567"/>
                <w:tab w:val="left" w:pos="232"/>
              </w:tabs>
              <w:spacing w:before="0"/>
            </w:pPr>
            <w:r>
              <w:rPr>
                <w:sz w:val="18"/>
                <w:szCs w:val="18"/>
              </w:rPr>
              <w:t>●</w:t>
            </w:r>
            <w:r>
              <w:tab/>
              <w:t>$2 405.10</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$327.15</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in Gazette 23 Jun 2015 p. 2171; amended in Gazette 3 Jun 2016 p. 1757; 23 Jun 2017 p. 3236; 27 Jun 2017 p. 3410.]</w:t>
      </w:r>
    </w:p>
    <w:p>
      <w:pPr>
        <w:pStyle w:val="Heading5"/>
        <w:rPr>
          <w:snapToGrid w:val="0"/>
        </w:rPr>
      </w:pPr>
      <w:bookmarkStart w:id="11" w:name="_Toc485982727"/>
      <w:bookmarkStart w:id="12" w:name="_Toc486423399"/>
      <w:r>
        <w:rPr>
          <w:rStyle w:val="CharSectno"/>
        </w:rPr>
        <w:t>5</w:t>
      </w:r>
      <w:r>
        <w:rPr>
          <w:snapToGrid w:val="0"/>
        </w:rPr>
        <w:t>.</w:t>
      </w:r>
      <w:r>
        <w:rPr>
          <w:snapToGrid w:val="0"/>
        </w:rPr>
        <w:tab/>
        <w:t>Transfer of licence</w:t>
      </w:r>
      <w:bookmarkEnd w:id="11"/>
      <w:bookmarkEnd w:id="1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 27 Jun 2017 p. 3411.]</w:t>
      </w:r>
    </w:p>
    <w:p>
      <w:pPr>
        <w:pStyle w:val="Heading5"/>
      </w:pPr>
      <w:bookmarkStart w:id="13" w:name="_Toc483319684"/>
      <w:bookmarkStart w:id="14" w:name="_Toc483319724"/>
      <w:bookmarkStart w:id="15" w:name="_Toc486423400"/>
      <w:bookmarkStart w:id="16" w:name="_Toc485982728"/>
      <w:r>
        <w:rPr>
          <w:rStyle w:val="CharSectno"/>
        </w:rPr>
        <w:t>6</w:t>
      </w:r>
      <w:r>
        <w:t>.</w:t>
      </w:r>
      <w:r>
        <w:tab/>
        <w:t>Prescribed period for issue of licence</w:t>
      </w:r>
      <w:bookmarkEnd w:id="13"/>
      <w:bookmarkEnd w:id="14"/>
      <w:bookmarkEnd w:id="15"/>
    </w:p>
    <w:p>
      <w:pPr>
        <w:pStyle w:val="Subsection"/>
      </w:pPr>
      <w:r>
        <w:tab/>
      </w:r>
      <w:r>
        <w:tab/>
        <w:t>For the purposes of section 10A(1) of the Act, the prescribed period for a licence that is issued is 3 years.</w:t>
      </w:r>
    </w:p>
    <w:p>
      <w:pPr>
        <w:pStyle w:val="Footnotesection"/>
      </w:pPr>
      <w:bookmarkStart w:id="17" w:name="_Toc483319685"/>
      <w:bookmarkStart w:id="18" w:name="_Toc483319725"/>
      <w:r>
        <w:tab/>
        <w:t>[Regulation 6 inserted in Gazette 27 Jun 2017 p. 3411.]</w:t>
      </w:r>
    </w:p>
    <w:p>
      <w:pPr>
        <w:pStyle w:val="Heading5"/>
      </w:pPr>
      <w:bookmarkStart w:id="19" w:name="_Toc486423401"/>
      <w:r>
        <w:rPr>
          <w:rStyle w:val="CharSectno"/>
        </w:rPr>
        <w:t>6A</w:t>
      </w:r>
      <w:r>
        <w:t>.</w:t>
      </w:r>
      <w:r>
        <w:tab/>
        <w:t>Prescribed period for renewal of licence</w:t>
      </w:r>
      <w:bookmarkEnd w:id="17"/>
      <w:bookmarkEnd w:id="18"/>
      <w:bookmarkEnd w:id="1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in Gazette 27 Jun 2017 p. 3411.]</w:t>
      </w:r>
    </w:p>
    <w:p>
      <w:pPr>
        <w:pStyle w:val="Heading5"/>
        <w:rPr>
          <w:snapToGrid w:val="0"/>
        </w:rPr>
      </w:pPr>
      <w:bookmarkStart w:id="20" w:name="_Toc485982729"/>
      <w:bookmarkStart w:id="21" w:name="_Toc486423402"/>
      <w:bookmarkEnd w:id="16"/>
      <w:r>
        <w:rPr>
          <w:rStyle w:val="CharSectno"/>
        </w:rPr>
        <w:t>7</w:t>
      </w:r>
      <w:r>
        <w:rPr>
          <w:snapToGrid w:val="0"/>
        </w:rPr>
        <w:t>.</w:t>
      </w:r>
      <w:r>
        <w:rPr>
          <w:snapToGrid w:val="0"/>
        </w:rPr>
        <w:tab/>
        <w:t>Duplicate licence</w:t>
      </w:r>
      <w:bookmarkEnd w:id="20"/>
      <w:bookmarkEnd w:id="21"/>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 27 Jun 2017 p. 3411.]</w:t>
      </w:r>
    </w:p>
    <w:p>
      <w:pPr>
        <w:pStyle w:val="Heading5"/>
        <w:rPr>
          <w:snapToGrid w:val="0"/>
        </w:rPr>
      </w:pPr>
      <w:bookmarkStart w:id="22" w:name="_Toc485982730"/>
      <w:bookmarkStart w:id="23" w:name="_Toc486423403"/>
      <w:r>
        <w:rPr>
          <w:rStyle w:val="CharSectno"/>
        </w:rPr>
        <w:t>8</w:t>
      </w:r>
      <w:r>
        <w:rPr>
          <w:snapToGrid w:val="0"/>
        </w:rPr>
        <w:t>.</w:t>
      </w:r>
      <w:r>
        <w:rPr>
          <w:snapToGrid w:val="0"/>
        </w:rPr>
        <w:tab/>
        <w:t>Fidelity bond</w:t>
      </w:r>
      <w:bookmarkEnd w:id="22"/>
      <w:bookmarkEnd w:id="23"/>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24" w:name="_Toc485982731"/>
      <w:bookmarkStart w:id="25" w:name="_Toc486423404"/>
      <w:r>
        <w:rPr>
          <w:rStyle w:val="CharSectno"/>
        </w:rPr>
        <w:t>9</w:t>
      </w:r>
      <w:r>
        <w:rPr>
          <w:snapToGrid w:val="0"/>
        </w:rPr>
        <w:t>.</w:t>
      </w:r>
      <w:r>
        <w:rPr>
          <w:snapToGrid w:val="0"/>
        </w:rPr>
        <w:tab/>
        <w:t>Surrender of licence</w:t>
      </w:r>
      <w:bookmarkEnd w:id="24"/>
      <w:bookmarkEnd w:id="25"/>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pPr>
      <w:bookmarkStart w:id="26" w:name="_Toc483319688"/>
      <w:bookmarkStart w:id="27" w:name="_Toc483319728"/>
      <w:bookmarkStart w:id="28" w:name="_Toc486423405"/>
      <w:bookmarkStart w:id="29" w:name="_Toc485982732"/>
      <w:r>
        <w:rPr>
          <w:rStyle w:val="CharSectno"/>
        </w:rPr>
        <w:t>9A</w:t>
      </w:r>
      <w:r>
        <w:t>.</w:t>
      </w:r>
      <w:r>
        <w:tab/>
        <w:t>Refund of prescribed fee if licence surrendered</w:t>
      </w:r>
      <w:bookmarkEnd w:id="26"/>
      <w:bookmarkEnd w:id="27"/>
      <w:bookmarkEnd w:id="28"/>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in Gazette 27 Jun 2017 p. 3412.]</w:t>
      </w:r>
    </w:p>
    <w:p>
      <w:pPr>
        <w:pStyle w:val="Heading5"/>
        <w:rPr>
          <w:snapToGrid w:val="0"/>
        </w:rPr>
      </w:pPr>
      <w:bookmarkStart w:id="30" w:name="_Toc486423406"/>
      <w:r>
        <w:rPr>
          <w:rStyle w:val="CharSectno"/>
        </w:rPr>
        <w:t>10</w:t>
      </w:r>
      <w:r>
        <w:rPr>
          <w:snapToGrid w:val="0"/>
        </w:rPr>
        <w:t>.</w:t>
      </w:r>
      <w:r>
        <w:rPr>
          <w:snapToGrid w:val="0"/>
        </w:rPr>
        <w:tab/>
        <w:t>Non</w:t>
      </w:r>
      <w:r>
        <w:rPr>
          <w:snapToGrid w:val="0"/>
        </w:rPr>
        <w:noBreakHyphen/>
        <w:t>disclosure by auditor and person appointed by Minister</w:t>
      </w:r>
      <w:bookmarkEnd w:id="29"/>
      <w:bookmarkEnd w:id="30"/>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1" w:name="_Toc485982733"/>
      <w:bookmarkStart w:id="32" w:name="_Toc486423407"/>
      <w:r>
        <w:rPr>
          <w:rStyle w:val="CharSectno"/>
        </w:rPr>
        <w:t>11</w:t>
      </w:r>
      <w:r>
        <w:rPr>
          <w:snapToGrid w:val="0"/>
        </w:rPr>
        <w:t>.</w:t>
      </w:r>
      <w:r>
        <w:rPr>
          <w:snapToGrid w:val="0"/>
        </w:rPr>
        <w:tab/>
        <w:t>Offence</w:t>
      </w:r>
      <w:bookmarkEnd w:id="31"/>
      <w:bookmarkEnd w:id="3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3" w:name="_Toc483319690"/>
      <w:bookmarkStart w:id="34" w:name="_Toc483319730"/>
      <w:bookmarkStart w:id="35" w:name="_Toc486423408"/>
      <w:bookmarkStart w:id="36" w:name="_Toc485982734"/>
      <w:r>
        <w:rPr>
          <w:rStyle w:val="CharSectno"/>
        </w:rPr>
        <w:t>12</w:t>
      </w:r>
      <w:r>
        <w:t>.</w:t>
      </w:r>
      <w:r>
        <w:tab/>
        <w:t>Notification of changes in information relating to licensee</w:t>
      </w:r>
      <w:bookmarkEnd w:id="33"/>
      <w:bookmarkEnd w:id="34"/>
      <w:bookmarkEnd w:id="35"/>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in Gazette 27 Jun 2017 p. 3412.]</w:t>
      </w:r>
    </w:p>
    <w:p>
      <w:pPr>
        <w:pStyle w:val="Heading5"/>
        <w:rPr>
          <w:snapToGrid w:val="0"/>
        </w:rPr>
      </w:pPr>
      <w:bookmarkStart w:id="37" w:name="_Toc485982735"/>
      <w:bookmarkStart w:id="38" w:name="_Toc486423409"/>
      <w:bookmarkEnd w:id="36"/>
      <w:r>
        <w:rPr>
          <w:rStyle w:val="CharSectno"/>
        </w:rPr>
        <w:t>13</w:t>
      </w:r>
      <w:r>
        <w:rPr>
          <w:snapToGrid w:val="0"/>
        </w:rPr>
        <w:t>.</w:t>
      </w:r>
      <w:r>
        <w:rPr>
          <w:snapToGrid w:val="0"/>
        </w:rPr>
        <w:tab/>
        <w:t>Charges by licensee</w:t>
      </w:r>
      <w:bookmarkEnd w:id="37"/>
      <w:bookmarkEnd w:id="3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9" w:name="_Toc485982736"/>
      <w:bookmarkStart w:id="40" w:name="_Toc486423410"/>
      <w:r>
        <w:rPr>
          <w:rStyle w:val="CharSectno"/>
        </w:rPr>
        <w:t>14</w:t>
      </w:r>
      <w:r>
        <w:rPr>
          <w:snapToGrid w:val="0"/>
        </w:rPr>
        <w:t>.</w:t>
      </w:r>
      <w:r>
        <w:rPr>
          <w:snapToGrid w:val="0"/>
        </w:rPr>
        <w:tab/>
        <w:t>Exemptions</w:t>
      </w:r>
      <w:bookmarkEnd w:id="39"/>
      <w:bookmarkEnd w:id="4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41" w:name="_Toc485982737"/>
      <w:bookmarkStart w:id="42" w:name="_Toc486423411"/>
      <w:r>
        <w:rPr>
          <w:rStyle w:val="CharSectno"/>
        </w:rPr>
        <w:t>15</w:t>
      </w:r>
      <w:r>
        <w:rPr>
          <w:snapToGrid w:val="0"/>
        </w:rPr>
        <w:t>.</w:t>
      </w:r>
      <w:r>
        <w:rPr>
          <w:snapToGrid w:val="0"/>
        </w:rPr>
        <w:tab/>
        <w:t>Penalties</w:t>
      </w:r>
      <w:bookmarkEnd w:id="41"/>
      <w:bookmarkEnd w:id="4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3" w:name="_Toc485982738"/>
      <w:bookmarkStart w:id="44" w:name="_Toc486423412"/>
      <w:r>
        <w:rPr>
          <w:rStyle w:val="CharSectno"/>
        </w:rPr>
        <w:t>16</w:t>
      </w:r>
      <w:r>
        <w:t>.</w:t>
      </w:r>
      <w:r>
        <w:tab/>
        <w:t>Infringement notices</w:t>
      </w:r>
      <w:bookmarkEnd w:id="43"/>
      <w:bookmarkEnd w:id="4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5" w:name="_Toc455039137"/>
      <w:bookmarkStart w:id="46" w:name="_Toc455039510"/>
      <w:bookmarkStart w:id="47" w:name="_Toc485982739"/>
      <w:bookmarkStart w:id="48" w:name="_Toc486423389"/>
      <w:bookmarkStart w:id="49" w:name="_Toc486423413"/>
      <w:r>
        <w:rPr>
          <w:rStyle w:val="CharSchNo"/>
        </w:rPr>
        <w:t>First Schedule</w:t>
      </w:r>
      <w:bookmarkEnd w:id="45"/>
      <w:bookmarkEnd w:id="46"/>
      <w:bookmarkEnd w:id="47"/>
      <w:bookmarkEnd w:id="48"/>
      <w:bookmarkEnd w:id="49"/>
    </w:p>
    <w:p>
      <w:pPr>
        <w:pStyle w:val="yEdnotesection"/>
      </w:pPr>
      <w:r>
        <w:t>[Forms 1 and 2 deleted in Gazette 27 Jun 2017 p. 3412.]</w:t>
      </w:r>
    </w:p>
    <w:p>
      <w:pPr>
        <w:pStyle w:val="yEd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Ednotesection"/>
      </w:pPr>
      <w:r>
        <w:t>[Forms 5 and 6 deleted in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51" w:name="_Toc455039138"/>
      <w:bookmarkStart w:id="52" w:name="_Toc455039511"/>
      <w:bookmarkStart w:id="53" w:name="_Toc485982740"/>
      <w:bookmarkStart w:id="54" w:name="_Toc486423390"/>
      <w:bookmarkStart w:id="55" w:name="_Toc486423414"/>
      <w:r>
        <w:rPr>
          <w:rStyle w:val="CharSchNo"/>
        </w:rPr>
        <w:t>Second Schedule</w:t>
      </w:r>
      <w:bookmarkEnd w:id="51"/>
      <w:bookmarkEnd w:id="52"/>
      <w:bookmarkEnd w:id="53"/>
      <w:bookmarkEnd w:id="54"/>
      <w:bookmarkEnd w:id="55"/>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56" w:name="_Toc455039139"/>
      <w:bookmarkStart w:id="57" w:name="_Toc455039512"/>
      <w:bookmarkStart w:id="58" w:name="_Toc485982741"/>
      <w:bookmarkStart w:id="59" w:name="_Toc486423391"/>
      <w:bookmarkStart w:id="60" w:name="_Toc486423415"/>
      <w:r>
        <w:rPr>
          <w:rStyle w:val="CharSchNo"/>
        </w:rPr>
        <w:t>Third Schedule</w:t>
      </w:r>
      <w:r>
        <w:t> — </w:t>
      </w:r>
      <w:r>
        <w:rPr>
          <w:rStyle w:val="CharSchText"/>
        </w:rPr>
        <w:t>Prescribed offences and modified penalties</w:t>
      </w:r>
      <w:bookmarkEnd w:id="56"/>
      <w:bookmarkEnd w:id="57"/>
      <w:bookmarkEnd w:id="58"/>
      <w:bookmarkEnd w:id="59"/>
      <w:bookmarkEnd w:id="60"/>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61" w:name="_Toc455039140"/>
      <w:bookmarkStart w:id="62" w:name="_Toc455039513"/>
      <w:bookmarkStart w:id="63" w:name="_Toc485982742"/>
      <w:bookmarkStart w:id="64" w:name="_Toc486423392"/>
      <w:bookmarkStart w:id="65" w:name="_Toc486423416"/>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485982743"/>
      <w:bookmarkStart w:id="67" w:name="_Toc486423417"/>
      <w:r>
        <w:rPr>
          <w:snapToGrid w:val="0"/>
        </w:rPr>
        <w:t>Compilation table</w:t>
      </w:r>
      <w:bookmarkEnd w:id="66"/>
      <w:bookmarkEnd w:id="6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16"/>
        <w:gridCol w:w="7"/>
      </w:tblGrid>
      <w:tr>
        <w:trPr>
          <w:cantSplit/>
          <w:tblHeader/>
        </w:trPr>
        <w:tc>
          <w:tcPr>
            <w:tcW w:w="3119"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23" w:type="dxa"/>
            <w:gridSpan w:val="2"/>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723" w:type="dxa"/>
            <w:gridSpan w:val="2"/>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723" w:type="dxa"/>
            <w:gridSpan w:val="2"/>
          </w:tcPr>
          <w:p>
            <w:pPr>
              <w:pStyle w:val="nTable"/>
              <w:spacing w:before="50" w:after="50"/>
            </w:pPr>
            <w:r>
              <w:t>12 Oct 1965</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723" w:type="dxa"/>
            <w:gridSpan w:val="2"/>
          </w:tcPr>
          <w:p>
            <w:pPr>
              <w:pStyle w:val="nTable"/>
              <w:spacing w:before="50" w:after="50"/>
            </w:pPr>
            <w:r>
              <w:t>6 Jan 1966</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723" w:type="dxa"/>
            <w:gridSpan w:val="2"/>
          </w:tcPr>
          <w:p>
            <w:pPr>
              <w:pStyle w:val="nTable"/>
              <w:spacing w:before="50" w:after="50"/>
            </w:pPr>
            <w:r>
              <w:t>1 Oct 1975</w:t>
            </w:r>
          </w:p>
        </w:tc>
      </w:tr>
      <w:tr>
        <w:trPr>
          <w:cantSplit/>
        </w:trPr>
        <w:tc>
          <w:tcPr>
            <w:tcW w:w="7118" w:type="dxa"/>
            <w:gridSpan w:val="4"/>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723" w:type="dxa"/>
            <w:gridSpan w:val="2"/>
          </w:tcPr>
          <w:p>
            <w:pPr>
              <w:pStyle w:val="nTable"/>
              <w:spacing w:before="50" w:after="50"/>
            </w:pPr>
            <w:r>
              <w:t>1 Nov 1983 (see r. 2)</w:t>
            </w:r>
          </w:p>
        </w:tc>
      </w:tr>
      <w:tr>
        <w:trPr>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723" w:type="dxa"/>
            <w:gridSpan w:val="2"/>
          </w:tcPr>
          <w:p>
            <w:pPr>
              <w:pStyle w:val="nTable"/>
              <w:spacing w:before="50" w:after="50"/>
            </w:pPr>
            <w:r>
              <w:t>1 Sep 1986 (see r. 2)</w:t>
            </w:r>
          </w:p>
        </w:tc>
      </w:tr>
      <w:tr>
        <w:trPr>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723" w:type="dxa"/>
            <w:gridSpan w:val="2"/>
          </w:tcPr>
          <w:p>
            <w:pPr>
              <w:pStyle w:val="nTable"/>
              <w:spacing w:before="50" w:after="50"/>
            </w:pPr>
            <w:r>
              <w:t>12 Aug 1988</w:t>
            </w:r>
          </w:p>
        </w:tc>
      </w:tr>
      <w:tr>
        <w:trPr>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723" w:type="dxa"/>
            <w:gridSpan w:val="2"/>
          </w:tcPr>
          <w:p>
            <w:pPr>
              <w:pStyle w:val="nTable"/>
              <w:spacing w:before="50" w:after="50"/>
            </w:pPr>
            <w:r>
              <w:t>1 Jul 1989 (see r. 2)</w:t>
            </w:r>
          </w:p>
        </w:tc>
      </w:tr>
      <w:tr>
        <w:trPr>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723" w:type="dxa"/>
            <w:gridSpan w:val="2"/>
          </w:tcPr>
          <w:p>
            <w:pPr>
              <w:pStyle w:val="nTable"/>
              <w:spacing w:before="50" w:after="50"/>
            </w:pPr>
            <w:r>
              <w:t>1 Aug 1990</w:t>
            </w:r>
          </w:p>
        </w:tc>
      </w:tr>
      <w:tr>
        <w:trPr>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723" w:type="dxa"/>
            <w:gridSpan w:val="2"/>
          </w:tcPr>
          <w:p>
            <w:pPr>
              <w:pStyle w:val="nTable"/>
              <w:spacing w:before="50" w:after="50"/>
            </w:pPr>
            <w:r>
              <w:t>13 Dec 1991</w:t>
            </w:r>
          </w:p>
        </w:tc>
      </w:tr>
      <w:tr>
        <w:trPr>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723" w:type="dxa"/>
            <w:gridSpan w:val="2"/>
          </w:tcPr>
          <w:p>
            <w:pPr>
              <w:pStyle w:val="nTable"/>
              <w:spacing w:before="50" w:after="50"/>
            </w:pPr>
            <w:r>
              <w:t>14 Aug 1992</w:t>
            </w:r>
          </w:p>
        </w:tc>
      </w:tr>
      <w:tr>
        <w:trPr>
          <w:cantSplit/>
        </w:trPr>
        <w:tc>
          <w:tcPr>
            <w:tcW w:w="7118" w:type="dxa"/>
            <w:gridSpan w:val="4"/>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723" w:type="dxa"/>
            <w:gridSpan w:val="2"/>
          </w:tcPr>
          <w:p>
            <w:pPr>
              <w:pStyle w:val="nTable"/>
              <w:spacing w:before="50" w:after="50"/>
            </w:pPr>
            <w:r>
              <w:t xml:space="preserve">1 Jan 2005 (see r. 2 and </w:t>
            </w:r>
            <w:r>
              <w:rPr>
                <w:i/>
              </w:rPr>
              <w:t>Gazette</w:t>
            </w:r>
            <w:r>
              <w:t xml:space="preserve"> 31 Dec 2004 p. 7130)</w:t>
            </w:r>
          </w:p>
        </w:tc>
      </w:tr>
      <w:tr>
        <w:trPr>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723" w:type="dxa"/>
            <w:gridSpan w:val="2"/>
          </w:tcPr>
          <w:p>
            <w:pPr>
              <w:pStyle w:val="nTable"/>
              <w:keepNext/>
              <w:spacing w:before="50" w:after="50"/>
              <w:rPr>
                <w:u w:val="words"/>
              </w:rPr>
            </w:pPr>
            <w:r>
              <w:t>1 Jul 2006 (see r. 2)</w:t>
            </w:r>
          </w:p>
        </w:tc>
      </w:tr>
      <w:tr>
        <w:trPr>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723" w:type="dxa"/>
            <w:gridSpan w:val="2"/>
          </w:tcPr>
          <w:p>
            <w:pPr>
              <w:pStyle w:val="nTable"/>
              <w:spacing w:before="50" w:after="50"/>
            </w:pPr>
            <w:r>
              <w:t>22 Sep 2006 (see r. 2(a))</w:t>
            </w:r>
          </w:p>
        </w:tc>
      </w:tr>
      <w:tr>
        <w:trPr>
          <w:cantSplit/>
        </w:trPr>
        <w:tc>
          <w:tcPr>
            <w:tcW w:w="7118" w:type="dxa"/>
            <w:gridSpan w:val="4"/>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723" w:type="dxa"/>
            <w:gridSpan w:val="2"/>
          </w:tcPr>
          <w:p>
            <w:pPr>
              <w:pStyle w:val="nTable"/>
              <w:spacing w:before="50" w:after="50"/>
            </w:pPr>
            <w:r>
              <w:t>12 Jan 2007</w:t>
            </w:r>
          </w:p>
        </w:tc>
      </w:tr>
      <w:tr>
        <w:trPr>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723" w:type="dxa"/>
            <w:gridSpan w:val="2"/>
          </w:tcPr>
          <w:p>
            <w:pPr>
              <w:pStyle w:val="nTable"/>
              <w:spacing w:before="50" w:after="50"/>
            </w:pPr>
            <w:r>
              <w:t>r. 1 and 2: 15 Jun 2007 (see r. 2(a));</w:t>
            </w:r>
            <w:r>
              <w:br/>
              <w:t>Regulations other than r. 1 and 2: 1 Jul 2007 (see r. 2(b)(i))</w:t>
            </w:r>
          </w:p>
        </w:tc>
      </w:tr>
      <w:tr>
        <w:trPr>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723" w:type="dxa"/>
            <w:gridSpan w:val="2"/>
          </w:tcPr>
          <w:p>
            <w:pPr>
              <w:pStyle w:val="nTable"/>
              <w:spacing w:before="50" w:after="50"/>
            </w:pPr>
            <w:r>
              <w:t>r. 1 and 2: 17 Jun 2008 (see r. 2(a));</w:t>
            </w:r>
            <w:r>
              <w:br/>
              <w:t>Regulations other than r. 1 and 2: 1 Jul 2008 (see r. 2(b))</w:t>
            </w:r>
          </w:p>
        </w:tc>
      </w:tr>
      <w:tr>
        <w:trPr>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723" w:type="dxa"/>
            <w:gridSpan w:val="2"/>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18" w:type="dxa"/>
            <w:gridSpan w:val="4"/>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723" w:type="dxa"/>
            <w:gridSpan w:val="2"/>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723" w:type="dxa"/>
            <w:gridSpan w:val="2"/>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723" w:type="dxa"/>
            <w:gridSpan w:val="2"/>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723" w:type="dxa"/>
            <w:gridSpan w:val="2"/>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723" w:type="dxa"/>
            <w:gridSpan w:val="2"/>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18" w:type="dxa"/>
            <w:gridSpan w:val="4"/>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723" w:type="dxa"/>
            <w:gridSpan w:val="2"/>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723" w:type="dxa"/>
            <w:gridSpan w:val="2"/>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723" w:type="dxa"/>
            <w:gridSpan w:val="2"/>
            <w:tcBorders>
              <w:top w:val="nil"/>
              <w:bottom w:val="nil"/>
            </w:tcBorders>
          </w:tcPr>
          <w:p>
            <w:pPr>
              <w:pStyle w:val="nTable"/>
              <w:spacing w:after="40"/>
            </w:pPr>
            <w:r>
              <w:t>1 Jul 2016 (see r. 2(b))</w:t>
            </w:r>
          </w:p>
        </w:tc>
      </w:tr>
      <w:tr>
        <w:trPr>
          <w:gridAfter w:val="1"/>
          <w:wAfter w:w="7" w:type="dxa"/>
        </w:trPr>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16" w:type="dxa"/>
          </w:tcPr>
          <w:p>
            <w:pPr>
              <w:pStyle w:val="nTable"/>
              <w:spacing w:after="40"/>
            </w:pPr>
            <w:r>
              <w:t>1 Jul 2017 (see r. 2(b))</w:t>
            </w:r>
          </w:p>
        </w:tc>
      </w:tr>
      <w:tr>
        <w:trPr>
          <w:gridAfter w:val="1"/>
          <w:wAfter w:w="7" w:type="dxa"/>
        </w:trPr>
        <w:tc>
          <w:tcPr>
            <w:tcW w:w="3119" w:type="dxa"/>
            <w:tcBorders>
              <w:bottom w:val="single" w:sz="4" w:space="0" w:color="auto"/>
            </w:tcBorders>
          </w:tcPr>
          <w:p>
            <w:pPr>
              <w:pStyle w:val="nTable"/>
              <w:spacing w:after="40"/>
              <w:rPr>
                <w:i/>
              </w:rPr>
            </w:pPr>
            <w:r>
              <w:rPr>
                <w:i/>
              </w:rPr>
              <w:t>Licensing Provisions Regulations Amendment Regulations 2017</w:t>
            </w:r>
            <w:r>
              <w:t xml:space="preserve"> Pt. 3</w:t>
            </w:r>
          </w:p>
        </w:tc>
        <w:tc>
          <w:tcPr>
            <w:tcW w:w="1276" w:type="dxa"/>
            <w:tcBorders>
              <w:bottom w:val="single" w:sz="4" w:space="0" w:color="auto"/>
            </w:tcBorders>
          </w:tcPr>
          <w:p>
            <w:pPr>
              <w:pStyle w:val="nTable"/>
              <w:spacing w:after="40"/>
            </w:pPr>
            <w:r>
              <w:t>27 Jun 2017 p. 3408</w:t>
            </w:r>
            <w:r>
              <w:noBreakHyphen/>
              <w:t>16</w:t>
            </w:r>
          </w:p>
        </w:tc>
        <w:tc>
          <w:tcPr>
            <w:tcW w:w="2716" w:type="dxa"/>
            <w:tcBorders>
              <w:bottom w:val="single" w:sz="4" w:space="0" w:color="auto"/>
            </w:tcBorders>
          </w:tcPr>
          <w:p>
            <w:pPr>
              <w:pStyle w:val="nTable"/>
              <w:spacing w:after="40"/>
            </w:pPr>
            <w:r>
              <w:t>1 Jul 2017 (see r. 2(b))</w:t>
            </w:r>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9" w:name="_Toc486423394"/>
      <w:bookmarkStart w:id="70" w:name="_Toc486423418"/>
      <w:r>
        <w:rPr>
          <w:sz w:val="28"/>
        </w:rPr>
        <w:t>Defined terms</w:t>
      </w:r>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4738</Words>
  <Characters>23127</Characters>
  <Application>Microsoft Office Word</Application>
  <DocSecurity>0</DocSecurity>
  <Lines>825</Lines>
  <Paragraphs>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1964 - 05-f0-03</dc:title>
  <dc:subject/>
  <dc:creator/>
  <cp:keywords/>
  <dc:description/>
  <cp:lastModifiedBy>svcMRProcess</cp:lastModifiedBy>
  <cp:revision>4</cp:revision>
  <cp:lastPrinted>2014-05-16T01:36:00Z</cp:lastPrinted>
  <dcterms:created xsi:type="dcterms:W3CDTF">2018-06-01T08:29:00Z</dcterms:created>
  <dcterms:modified xsi:type="dcterms:W3CDTF">2018-06-01T08:29:00Z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05-f0-03</vt:lpwstr>
  </property>
</Properties>
</file>