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_Toc486001888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_Toc486001889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_Toc486001890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Quality and reliability standards</w:t>
      </w:r>
    </w:p>
    <w:p>
      <w:pPr>
        <w:pStyle w:val="TOC4"/>
        <w:tabs>
          <w:tab w:val="right" w:leader="dot" w:pos="7077"/>
        </w:tabs>
        <w:rPr>
          <w:rFonts w:asciiTheme="minorHAnsi" w:eastAsiaTheme="minorEastAsia" w:hAnsiTheme="minorHAnsi" w:cstheme="minorBidi"/>
          <w:b w:val="0"/>
          <w:szCs w:val="22"/>
        </w:rPr>
      </w:pPr>
      <w:r>
        <w:t>Division 1 — Quality standards</w:t>
      </w:r>
    </w:p>
    <w:p>
      <w:pPr>
        <w:pStyle w:val="TOC8"/>
        <w:rPr>
          <w:rFonts w:asciiTheme="minorHAnsi" w:eastAsiaTheme="minorEastAsia" w:hAnsiTheme="minorHAnsi" w:cstheme="minorBidi"/>
          <w:szCs w:val="22"/>
        </w:rPr>
      </w:pPr>
      <w:r>
        <w:t>4.</w:t>
      </w:r>
      <w:r>
        <w:tab/>
        <w:t>Term used: compatibility levels</w:t>
      </w:r>
      <w:r>
        <w:tab/>
      </w:r>
      <w:r>
        <w:fldChar w:fldCharType="begin"/>
      </w:r>
      <w:r>
        <w:instrText xml:space="preserve"> PAGEREF _Toc486001893 \h </w:instrText>
      </w:r>
      <w:r>
        <w:fldChar w:fldCharType="separate"/>
      </w:r>
      <w:r>
        <w:t>4</w:t>
      </w:r>
      <w:r>
        <w:fldChar w:fldCharType="end"/>
      </w:r>
    </w:p>
    <w:p>
      <w:pPr>
        <w:pStyle w:val="TOC8"/>
        <w:rPr>
          <w:rFonts w:asciiTheme="minorHAnsi" w:eastAsiaTheme="minorEastAsia" w:hAnsiTheme="minorHAnsi" w:cstheme="minorBidi"/>
          <w:szCs w:val="22"/>
        </w:rPr>
      </w:pPr>
      <w:r>
        <w:t>5.</w:t>
      </w:r>
      <w:r>
        <w:tab/>
        <w:t>Obligation to observe standards</w:t>
      </w:r>
      <w:r>
        <w:tab/>
      </w:r>
      <w:r>
        <w:fldChar w:fldCharType="begin"/>
      </w:r>
      <w:r>
        <w:instrText xml:space="preserve"> PAGEREF _Toc486001894 \h </w:instrText>
      </w:r>
      <w:r>
        <w:fldChar w:fldCharType="separate"/>
      </w:r>
      <w:r>
        <w:t>4</w:t>
      </w:r>
      <w:r>
        <w:fldChar w:fldCharType="end"/>
      </w:r>
    </w:p>
    <w:p>
      <w:pPr>
        <w:pStyle w:val="TOC8"/>
        <w:rPr>
          <w:rFonts w:asciiTheme="minorHAnsi" w:eastAsiaTheme="minorEastAsia" w:hAnsiTheme="minorHAnsi" w:cstheme="minorBidi"/>
          <w:szCs w:val="22"/>
        </w:rPr>
      </w:pPr>
      <w:r>
        <w:t>6.</w:t>
      </w:r>
      <w:r>
        <w:tab/>
        <w:t>Voltage fluctuations</w:t>
      </w:r>
      <w:r>
        <w:tab/>
      </w:r>
      <w:r>
        <w:fldChar w:fldCharType="begin"/>
      </w:r>
      <w:r>
        <w:instrText xml:space="preserve"> PAGEREF _Toc486001895 \h </w:instrText>
      </w:r>
      <w:r>
        <w:fldChar w:fldCharType="separate"/>
      </w:r>
      <w:r>
        <w:t>4</w:t>
      </w:r>
      <w:r>
        <w:fldChar w:fldCharType="end"/>
      </w:r>
    </w:p>
    <w:p>
      <w:pPr>
        <w:pStyle w:val="TOC8"/>
        <w:rPr>
          <w:rFonts w:asciiTheme="minorHAnsi" w:eastAsiaTheme="minorEastAsia" w:hAnsiTheme="minorHAnsi" w:cstheme="minorBidi"/>
          <w:szCs w:val="22"/>
        </w:rPr>
      </w:pPr>
      <w:r>
        <w:t>7.</w:t>
      </w:r>
      <w:r>
        <w:tab/>
        <w:t>Harmonics</w:t>
      </w:r>
      <w:r>
        <w:tab/>
      </w:r>
      <w:r>
        <w:fldChar w:fldCharType="begin"/>
      </w:r>
      <w:r>
        <w:instrText xml:space="preserve"> PAGEREF _Toc486001896 \h </w:instrText>
      </w:r>
      <w:r>
        <w:fldChar w:fldCharType="separate"/>
      </w:r>
      <w:r>
        <w:t>5</w:t>
      </w:r>
      <w:r>
        <w:fldChar w:fldCharType="end"/>
      </w:r>
    </w:p>
    <w:p>
      <w:pPr>
        <w:pStyle w:val="TOC8"/>
        <w:rPr>
          <w:rFonts w:asciiTheme="minorHAnsi" w:eastAsiaTheme="minorEastAsia" w:hAnsiTheme="minorHAnsi" w:cstheme="minorBidi"/>
          <w:szCs w:val="22"/>
        </w:rPr>
      </w:pPr>
      <w:r>
        <w:t>8.</w:t>
      </w:r>
      <w:r>
        <w:tab/>
        <w:t>Duty to disconnect if damage may result</w:t>
      </w:r>
      <w:r>
        <w:tab/>
      </w:r>
      <w:r>
        <w:fldChar w:fldCharType="begin"/>
      </w:r>
      <w:r>
        <w:instrText xml:space="preserve"> PAGEREF _Toc486001897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Standards for the interruption of supply to individual customers</w:t>
      </w:r>
    </w:p>
    <w:p>
      <w:pPr>
        <w:pStyle w:val="TOC8"/>
        <w:rPr>
          <w:rFonts w:asciiTheme="minorHAnsi" w:eastAsiaTheme="minorEastAsia" w:hAnsiTheme="minorHAnsi" w:cstheme="minorBidi"/>
          <w:szCs w:val="22"/>
        </w:rPr>
      </w:pPr>
      <w:r>
        <w:t>9.</w:t>
      </w:r>
      <w:r>
        <w:tab/>
        <w:t>General standard of reliability</w:t>
      </w:r>
      <w:r>
        <w:tab/>
      </w:r>
      <w:r>
        <w:fldChar w:fldCharType="begin"/>
      </w:r>
      <w:r>
        <w:instrText xml:space="preserve"> PAGEREF _Toc486001899 \h </w:instrText>
      </w:r>
      <w:r>
        <w:fldChar w:fldCharType="separate"/>
      </w:r>
      <w:r>
        <w:t>6</w:t>
      </w:r>
      <w:r>
        <w:fldChar w:fldCharType="end"/>
      </w:r>
    </w:p>
    <w:p>
      <w:pPr>
        <w:pStyle w:val="TOC8"/>
        <w:rPr>
          <w:rFonts w:asciiTheme="minorHAnsi" w:eastAsiaTheme="minorEastAsia" w:hAnsiTheme="minorHAnsi" w:cstheme="minorBidi"/>
          <w:szCs w:val="22"/>
        </w:rPr>
      </w:pPr>
      <w:r>
        <w:t>10.</w:t>
      </w:r>
      <w:r>
        <w:tab/>
        <w:t>Duty to reduce effect of interruption</w:t>
      </w:r>
      <w:r>
        <w:tab/>
      </w:r>
      <w:r>
        <w:fldChar w:fldCharType="begin"/>
      </w:r>
      <w:r>
        <w:instrText xml:space="preserve"> PAGEREF _Toc486001900 \h </w:instrText>
      </w:r>
      <w:r>
        <w:fldChar w:fldCharType="separate"/>
      </w:r>
      <w:r>
        <w:t>6</w:t>
      </w:r>
      <w:r>
        <w:fldChar w:fldCharType="end"/>
      </w:r>
    </w:p>
    <w:p>
      <w:pPr>
        <w:pStyle w:val="TOC8"/>
        <w:rPr>
          <w:rFonts w:asciiTheme="minorHAnsi" w:eastAsiaTheme="minorEastAsia" w:hAnsiTheme="minorHAnsi" w:cstheme="minorBidi"/>
          <w:szCs w:val="22"/>
        </w:rPr>
      </w:pPr>
      <w:r>
        <w:t>11.</w:t>
      </w:r>
      <w:r>
        <w:tab/>
        <w:t>Planned interruptions</w:t>
      </w:r>
      <w:r>
        <w:tab/>
      </w:r>
      <w:r>
        <w:fldChar w:fldCharType="begin"/>
      </w:r>
      <w:r>
        <w:instrText xml:space="preserve"> PAGEREF _Toc486001901 \h </w:instrText>
      </w:r>
      <w:r>
        <w:fldChar w:fldCharType="separate"/>
      </w:r>
      <w:r>
        <w:t>7</w:t>
      </w:r>
      <w:r>
        <w:fldChar w:fldCharType="end"/>
      </w:r>
    </w:p>
    <w:p>
      <w:pPr>
        <w:pStyle w:val="TOC8"/>
        <w:rPr>
          <w:rFonts w:asciiTheme="minorHAnsi" w:eastAsiaTheme="minorEastAsia" w:hAnsiTheme="minorHAnsi" w:cstheme="minorBidi"/>
          <w:szCs w:val="22"/>
        </w:rPr>
      </w:pPr>
      <w:r>
        <w:t>11A.</w:t>
      </w:r>
      <w:r>
        <w:tab/>
        <w:t>Interruptions to restore supply from network</w:t>
      </w:r>
      <w:r>
        <w:tab/>
      </w:r>
      <w:r>
        <w:fldChar w:fldCharType="begin"/>
      </w:r>
      <w:r>
        <w:instrText xml:space="preserve"> PAGEREF _Toc486001902 \h </w:instrText>
      </w:r>
      <w:r>
        <w:fldChar w:fldCharType="separate"/>
      </w:r>
      <w:r>
        <w:t>9</w:t>
      </w:r>
      <w:r>
        <w:fldChar w:fldCharType="end"/>
      </w:r>
    </w:p>
    <w:p>
      <w:pPr>
        <w:pStyle w:val="TOC8"/>
        <w:rPr>
          <w:rFonts w:asciiTheme="minorHAnsi" w:eastAsiaTheme="minorEastAsia" w:hAnsiTheme="minorHAnsi" w:cstheme="minorBidi"/>
          <w:szCs w:val="22"/>
        </w:rPr>
      </w:pPr>
      <w:r>
        <w:t>12.</w:t>
      </w:r>
      <w:r>
        <w:tab/>
        <w:t>Significant interruptions to small use customers</w:t>
      </w:r>
      <w:r>
        <w:tab/>
      </w:r>
      <w:r>
        <w:fldChar w:fldCharType="begin"/>
      </w:r>
      <w:r>
        <w:instrText xml:space="preserve"> PAGEREF _Toc486001903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Standards for the duration of interruption of supply in particular areas</w:t>
      </w:r>
    </w:p>
    <w:p>
      <w:pPr>
        <w:pStyle w:val="TOC8"/>
        <w:rPr>
          <w:rFonts w:asciiTheme="minorHAnsi" w:eastAsiaTheme="minorEastAsia" w:hAnsiTheme="minorHAnsi" w:cstheme="minorBidi"/>
          <w:szCs w:val="22"/>
        </w:rPr>
      </w:pPr>
      <w:r>
        <w:t>13.</w:t>
      </w:r>
      <w:r>
        <w:tab/>
        <w:t>Standards prescribed for particular areas</w:t>
      </w:r>
      <w:r>
        <w:tab/>
      </w:r>
      <w:r>
        <w:fldChar w:fldCharType="begin"/>
      </w:r>
      <w:r>
        <w:instrText xml:space="preserve"> PAGEREF _Toc486001905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Variation of obligations under this Part</w:t>
      </w:r>
    </w:p>
    <w:p>
      <w:pPr>
        <w:pStyle w:val="TOC8"/>
        <w:rPr>
          <w:rFonts w:asciiTheme="minorHAnsi" w:eastAsiaTheme="minorEastAsia" w:hAnsiTheme="minorHAnsi" w:cstheme="minorBidi"/>
          <w:szCs w:val="22"/>
        </w:rPr>
      </w:pPr>
      <w:r>
        <w:t>14.</w:t>
      </w:r>
      <w:r>
        <w:tab/>
        <w:t>Alternative provision may be made by Minister on application</w:t>
      </w:r>
      <w:r>
        <w:tab/>
      </w:r>
      <w:r>
        <w:fldChar w:fldCharType="begin"/>
      </w:r>
      <w:r>
        <w:instrText xml:space="preserve"> PAGEREF _Toc486001907 \h </w:instrText>
      </w:r>
      <w:r>
        <w:fldChar w:fldCharType="separate"/>
      </w:r>
      <w:r>
        <w:t>11</w:t>
      </w:r>
      <w:r>
        <w:fldChar w:fldCharType="end"/>
      </w:r>
    </w:p>
    <w:p>
      <w:pPr>
        <w:pStyle w:val="TOC8"/>
        <w:rPr>
          <w:rFonts w:asciiTheme="minorHAnsi" w:eastAsiaTheme="minorEastAsia" w:hAnsiTheme="minorHAnsi" w:cstheme="minorBidi"/>
          <w:szCs w:val="22"/>
        </w:rPr>
      </w:pPr>
      <w:r>
        <w:t>15.</w:t>
      </w:r>
      <w:r>
        <w:tab/>
        <w:t>Provisions may be excluded or modified by agreement</w:t>
      </w:r>
      <w:r>
        <w:tab/>
      </w:r>
      <w:r>
        <w:fldChar w:fldCharType="begin"/>
      </w:r>
      <w:r>
        <w:instrText xml:space="preserve"> PAGEREF _Toc486001908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Payments for failure to meet certain standards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_Toc486001910 \h </w:instrText>
      </w:r>
      <w:r>
        <w:fldChar w:fldCharType="separate"/>
      </w:r>
      <w:r>
        <w:t>14</w:t>
      </w:r>
      <w:r>
        <w:fldChar w:fldCharType="end"/>
      </w:r>
    </w:p>
    <w:p>
      <w:pPr>
        <w:pStyle w:val="TOC8"/>
        <w:rPr>
          <w:rFonts w:asciiTheme="minorHAnsi" w:eastAsiaTheme="minorEastAsia" w:hAnsiTheme="minorHAnsi" w:cstheme="minorBidi"/>
          <w:szCs w:val="22"/>
        </w:rPr>
      </w:pPr>
      <w:r>
        <w:t>17.</w:t>
      </w:r>
      <w:r>
        <w:tab/>
        <w:t>Interruptions to which this Part does not apply</w:t>
      </w:r>
      <w:r>
        <w:tab/>
      </w:r>
      <w:r>
        <w:fldChar w:fldCharType="begin"/>
      </w:r>
      <w:r>
        <w:instrText xml:space="preserve"> PAGEREF _Toc486001911 \h </w:instrText>
      </w:r>
      <w:r>
        <w:fldChar w:fldCharType="separate"/>
      </w:r>
      <w:r>
        <w:t>15</w:t>
      </w:r>
      <w:r>
        <w:fldChar w:fldCharType="end"/>
      </w:r>
    </w:p>
    <w:p>
      <w:pPr>
        <w:pStyle w:val="TOC8"/>
        <w:rPr>
          <w:rFonts w:asciiTheme="minorHAnsi" w:eastAsiaTheme="minorEastAsia" w:hAnsiTheme="minorHAnsi" w:cstheme="minorBidi"/>
          <w:szCs w:val="22"/>
        </w:rPr>
      </w:pPr>
      <w:r>
        <w:t>18.</w:t>
      </w:r>
      <w:r>
        <w:tab/>
        <w:t>Payment for failure to give required notice of planned interruption</w:t>
      </w:r>
      <w:r>
        <w:tab/>
      </w:r>
      <w:r>
        <w:fldChar w:fldCharType="begin"/>
      </w:r>
      <w:r>
        <w:instrText xml:space="preserve"> PAGEREF _Toc486001912 \h </w:instrText>
      </w:r>
      <w:r>
        <w:fldChar w:fldCharType="separate"/>
      </w:r>
      <w:r>
        <w:t>15</w:t>
      </w:r>
      <w:r>
        <w:fldChar w:fldCharType="end"/>
      </w:r>
    </w:p>
    <w:p>
      <w:pPr>
        <w:pStyle w:val="TOC8"/>
        <w:rPr>
          <w:rFonts w:asciiTheme="minorHAnsi" w:eastAsiaTheme="minorEastAsia" w:hAnsiTheme="minorHAnsi" w:cstheme="minorBidi"/>
          <w:szCs w:val="22"/>
        </w:rPr>
      </w:pPr>
      <w:r>
        <w:t>19.</w:t>
      </w:r>
      <w:r>
        <w:tab/>
        <w:t>Payment for supply interruptions exceeding 12 hours</w:t>
      </w:r>
      <w:r>
        <w:tab/>
      </w:r>
      <w:r>
        <w:fldChar w:fldCharType="begin"/>
      </w:r>
      <w:r>
        <w:instrText xml:space="preserve"> PAGEREF _Toc486001913 \h </w:instrText>
      </w:r>
      <w:r>
        <w:fldChar w:fldCharType="separate"/>
      </w:r>
      <w:r>
        <w:t>16</w:t>
      </w:r>
      <w:r>
        <w:fldChar w:fldCharType="end"/>
      </w:r>
    </w:p>
    <w:p>
      <w:pPr>
        <w:pStyle w:val="TOC8"/>
        <w:rPr>
          <w:rFonts w:asciiTheme="minorHAnsi" w:eastAsiaTheme="minorEastAsia" w:hAnsiTheme="minorHAnsi" w:cstheme="minorBidi"/>
          <w:szCs w:val="22"/>
        </w:rPr>
      </w:pPr>
      <w:r>
        <w:t>20.</w:t>
      </w:r>
      <w:r>
        <w:tab/>
        <w:t>Only one application for each premises</w:t>
      </w:r>
      <w:r>
        <w:tab/>
      </w:r>
      <w:r>
        <w:fldChar w:fldCharType="begin"/>
      </w:r>
      <w:r>
        <w:instrText xml:space="preserve"> PAGEREF _Toc486001914 \h </w:instrText>
      </w:r>
      <w:r>
        <w:fldChar w:fldCharType="separate"/>
      </w:r>
      <w:r>
        <w:t>16</w:t>
      </w:r>
      <w:r>
        <w:fldChar w:fldCharType="end"/>
      </w:r>
    </w:p>
    <w:p>
      <w:pPr>
        <w:pStyle w:val="TOC8"/>
        <w:rPr>
          <w:rFonts w:asciiTheme="minorHAnsi" w:eastAsiaTheme="minorEastAsia" w:hAnsiTheme="minorHAnsi" w:cstheme="minorBidi"/>
          <w:szCs w:val="22"/>
        </w:rPr>
      </w:pPr>
      <w:r>
        <w:t>21.</w:t>
      </w:r>
      <w:r>
        <w:tab/>
        <w:t>Information to be provided</w:t>
      </w:r>
      <w:r>
        <w:tab/>
      </w:r>
      <w:r>
        <w:fldChar w:fldCharType="begin"/>
      </w:r>
      <w:r>
        <w:instrText xml:space="preserve"> PAGEREF _Toc486001915 \h </w:instrText>
      </w:r>
      <w:r>
        <w:fldChar w:fldCharType="separate"/>
      </w:r>
      <w:r>
        <w:t>17</w:t>
      </w:r>
      <w:r>
        <w:fldChar w:fldCharType="end"/>
      </w:r>
    </w:p>
    <w:p>
      <w:pPr>
        <w:pStyle w:val="TOC8"/>
        <w:rPr>
          <w:rFonts w:asciiTheme="minorHAnsi" w:eastAsiaTheme="minorEastAsia" w:hAnsiTheme="minorHAnsi" w:cstheme="minorBidi"/>
          <w:szCs w:val="22"/>
        </w:rPr>
      </w:pPr>
      <w:r>
        <w:t>22.</w:t>
      </w:r>
      <w:r>
        <w:tab/>
        <w:t>Alternative methods of payment</w:t>
      </w:r>
      <w:r>
        <w:tab/>
      </w:r>
      <w:r>
        <w:fldChar w:fldCharType="begin"/>
      </w:r>
      <w:r>
        <w:instrText xml:space="preserve"> PAGEREF _Toc486001916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Duties incidental to the prescribed standards</w:t>
      </w:r>
    </w:p>
    <w:p>
      <w:pPr>
        <w:pStyle w:val="TOC4"/>
        <w:tabs>
          <w:tab w:val="right" w:leader="dot" w:pos="7077"/>
        </w:tabs>
        <w:rPr>
          <w:rFonts w:asciiTheme="minorHAnsi" w:eastAsiaTheme="minorEastAsia" w:hAnsiTheme="minorHAnsi" w:cstheme="minorBidi"/>
          <w:b w:val="0"/>
          <w:szCs w:val="22"/>
        </w:rPr>
      </w:pPr>
      <w:r>
        <w:t>Division 1 — Monitoring, record keeping and investigation</w:t>
      </w:r>
    </w:p>
    <w:p>
      <w:pPr>
        <w:pStyle w:val="TOC8"/>
        <w:rPr>
          <w:rFonts w:asciiTheme="minorHAnsi" w:eastAsiaTheme="minorEastAsia" w:hAnsiTheme="minorHAnsi" w:cstheme="minorBidi"/>
          <w:szCs w:val="22"/>
        </w:rPr>
      </w:pPr>
      <w:r>
        <w:t>23.</w:t>
      </w:r>
      <w:r>
        <w:tab/>
        <w:t>Monitoring and record keeping</w:t>
      </w:r>
      <w:r>
        <w:tab/>
      </w:r>
      <w:r>
        <w:fldChar w:fldCharType="begin"/>
      </w:r>
      <w:r>
        <w:instrText xml:space="preserve"> PAGEREF _Toc486001919 \h </w:instrText>
      </w:r>
      <w:r>
        <w:fldChar w:fldCharType="separate"/>
      </w:r>
      <w:r>
        <w:t>18</w:t>
      </w:r>
      <w:r>
        <w:fldChar w:fldCharType="end"/>
      </w:r>
    </w:p>
    <w:p>
      <w:pPr>
        <w:pStyle w:val="TOC8"/>
        <w:rPr>
          <w:rFonts w:asciiTheme="minorHAnsi" w:eastAsiaTheme="minorEastAsia" w:hAnsiTheme="minorHAnsi" w:cstheme="minorBidi"/>
          <w:szCs w:val="22"/>
        </w:rPr>
      </w:pPr>
      <w:r>
        <w:t>24.</w:t>
      </w:r>
      <w:r>
        <w:tab/>
        <w:t>Quality investigations</w:t>
      </w:r>
      <w:r>
        <w:tab/>
      </w:r>
      <w:r>
        <w:fldChar w:fldCharType="begin"/>
      </w:r>
      <w:r>
        <w:instrText xml:space="preserve"> PAGEREF _Toc486001920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Complaints</w:t>
      </w:r>
    </w:p>
    <w:p>
      <w:pPr>
        <w:pStyle w:val="TOC8"/>
        <w:rPr>
          <w:rFonts w:asciiTheme="minorHAnsi" w:eastAsiaTheme="minorEastAsia" w:hAnsiTheme="minorHAnsi" w:cstheme="minorBidi"/>
          <w:szCs w:val="22"/>
        </w:rPr>
      </w:pPr>
      <w:r>
        <w:t>25.</w:t>
      </w:r>
      <w:r>
        <w:tab/>
        <w:t>Information to be given to small use customers</w:t>
      </w:r>
      <w:r>
        <w:tab/>
      </w:r>
      <w:r>
        <w:fldChar w:fldCharType="begin"/>
      </w:r>
      <w:r>
        <w:instrText xml:space="preserve"> PAGEREF _Toc486001922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Performance reporting</w:t>
      </w:r>
    </w:p>
    <w:p>
      <w:pPr>
        <w:pStyle w:val="TOC8"/>
        <w:rPr>
          <w:rFonts w:asciiTheme="minorHAnsi" w:eastAsiaTheme="minorEastAsia" w:hAnsiTheme="minorHAnsi" w:cstheme="minorBidi"/>
          <w:szCs w:val="22"/>
        </w:rPr>
      </w:pPr>
      <w:r>
        <w:t>25A.</w:t>
      </w:r>
      <w:r>
        <w:tab/>
        <w:t>Term used: reporting period</w:t>
      </w:r>
      <w:r>
        <w:tab/>
      </w:r>
      <w:r>
        <w:fldChar w:fldCharType="begin"/>
      </w:r>
      <w:r>
        <w:instrText xml:space="preserve"> PAGEREF _Toc486001924 \h </w:instrText>
      </w:r>
      <w:r>
        <w:fldChar w:fldCharType="separate"/>
      </w:r>
      <w:r>
        <w:t>20</w:t>
      </w:r>
      <w:r>
        <w:fldChar w:fldCharType="end"/>
      </w:r>
    </w:p>
    <w:p>
      <w:pPr>
        <w:pStyle w:val="TOC8"/>
        <w:rPr>
          <w:rFonts w:asciiTheme="minorHAnsi" w:eastAsiaTheme="minorEastAsia" w:hAnsiTheme="minorHAnsi" w:cstheme="minorBidi"/>
          <w:szCs w:val="22"/>
        </w:rPr>
      </w:pPr>
      <w:r>
        <w:t>26.</w:t>
      </w:r>
      <w:r>
        <w:tab/>
        <w:t>Audit and report on monitoring systems</w:t>
      </w:r>
      <w:r>
        <w:tab/>
      </w:r>
      <w:r>
        <w:fldChar w:fldCharType="begin"/>
      </w:r>
      <w:r>
        <w:instrText xml:space="preserve"> PAGEREF _Toc486001925 \h </w:instrText>
      </w:r>
      <w:r>
        <w:fldChar w:fldCharType="separate"/>
      </w:r>
      <w:r>
        <w:t>20</w:t>
      </w:r>
      <w:r>
        <w:fldChar w:fldCharType="end"/>
      </w:r>
    </w:p>
    <w:p>
      <w:pPr>
        <w:pStyle w:val="TOC8"/>
        <w:rPr>
          <w:rFonts w:asciiTheme="minorHAnsi" w:eastAsiaTheme="minorEastAsia" w:hAnsiTheme="minorHAnsi" w:cstheme="minorBidi"/>
          <w:szCs w:val="22"/>
        </w:rPr>
      </w:pPr>
      <w:r>
        <w:t>26A.</w:t>
      </w:r>
      <w:r>
        <w:tab/>
        <w:t>Authority may give notice regarding reporting period</w:t>
      </w:r>
      <w:r>
        <w:tab/>
      </w:r>
      <w:r>
        <w:fldChar w:fldCharType="begin"/>
      </w:r>
      <w:r>
        <w:instrText xml:space="preserve"> PAGEREF _Toc486001926 \h </w:instrText>
      </w:r>
      <w:r>
        <w:fldChar w:fldCharType="separate"/>
      </w:r>
      <w:r>
        <w:t>21</w:t>
      </w:r>
      <w:r>
        <w:fldChar w:fldCharType="end"/>
      </w:r>
    </w:p>
    <w:p>
      <w:pPr>
        <w:pStyle w:val="TOC8"/>
        <w:rPr>
          <w:rFonts w:asciiTheme="minorHAnsi" w:eastAsiaTheme="minorEastAsia" w:hAnsiTheme="minorHAnsi" w:cstheme="minorBidi"/>
          <w:szCs w:val="22"/>
        </w:rPr>
      </w:pPr>
      <w:r>
        <w:t>27.</w:t>
      </w:r>
      <w:r>
        <w:tab/>
        <w:t>Publication of information about performance</w:t>
      </w:r>
      <w:r>
        <w:tab/>
      </w:r>
      <w:r>
        <w:fldChar w:fldCharType="begin"/>
      </w:r>
      <w:r>
        <w:instrText xml:space="preserve"> PAGEREF _Toc486001927 \h </w:instrText>
      </w:r>
      <w:r>
        <w:fldChar w:fldCharType="separate"/>
      </w:r>
      <w:r>
        <w:t>21</w:t>
      </w:r>
      <w:r>
        <w:fldChar w:fldCharType="end"/>
      </w:r>
    </w:p>
    <w:p>
      <w:pPr>
        <w:pStyle w:val="TOC8"/>
        <w:rPr>
          <w:rFonts w:asciiTheme="minorHAnsi" w:eastAsiaTheme="minorEastAsia" w:hAnsiTheme="minorHAnsi" w:cstheme="minorBidi"/>
          <w:szCs w:val="22"/>
        </w:rPr>
      </w:pPr>
      <w:r>
        <w:t>28.</w:t>
      </w:r>
      <w:r>
        <w:tab/>
        <w:t>Reports not needed if there were no small use customers</w:t>
      </w:r>
      <w:r>
        <w:tab/>
      </w:r>
      <w:r>
        <w:fldChar w:fldCharType="begin"/>
      </w:r>
      <w:r>
        <w:instrText xml:space="preserve"> PAGEREF _Toc486001928 \h </w:instrText>
      </w:r>
      <w:r>
        <w:fldChar w:fldCharType="separate"/>
      </w:r>
      <w:r>
        <w:t>22</w:t>
      </w:r>
      <w:r>
        <w:fldChar w:fldCharType="end"/>
      </w:r>
    </w:p>
    <w:p>
      <w:pPr>
        <w:pStyle w:val="TOC8"/>
        <w:rPr>
          <w:rFonts w:asciiTheme="minorHAnsi" w:eastAsiaTheme="minorEastAsia" w:hAnsiTheme="minorHAnsi" w:cstheme="minorBidi"/>
          <w:szCs w:val="22"/>
        </w:rPr>
      </w:pPr>
      <w:r>
        <w:t>29.</w:t>
      </w:r>
      <w:r>
        <w:tab/>
        <w:t>Transitional provisions for Part 4 Division 3</w:t>
      </w:r>
      <w:r>
        <w:tab/>
      </w:r>
      <w:r>
        <w:fldChar w:fldCharType="begin"/>
      </w:r>
      <w:r>
        <w:instrText xml:space="preserve"> PAGEREF _Toc486001929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published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_Toc486001932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481412036"/>
      <w:bookmarkStart w:id="4" w:name="_Toc481418514"/>
      <w:bookmarkStart w:id="5" w:name="_Toc48600188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86001888"/>
      <w:r>
        <w:rPr>
          <w:rStyle w:val="CharSectno"/>
        </w:rPr>
        <w:t>1</w:t>
      </w:r>
      <w:r>
        <w:t>.</w:t>
      </w:r>
      <w:r>
        <w:tab/>
        <w:t>Citation</w:t>
      </w:r>
      <w:bookmarkEnd w:id="6"/>
    </w:p>
    <w:p>
      <w:pPr>
        <w:pStyle w:val="Subsection"/>
      </w:pPr>
      <w:r>
        <w:tab/>
      </w:r>
      <w:r>
        <w:tab/>
      </w:r>
      <w:r>
        <w:rPr>
          <w:spacing w:val="-2"/>
        </w:rPr>
        <w:t>This</w:t>
      </w:r>
      <w:r>
        <w:t xml:space="preserve"> Code is the </w:t>
      </w:r>
      <w:r>
        <w:rPr>
          <w:i/>
          <w:iCs/>
        </w:rPr>
        <w:t>Electricity Industry (Network Quality and Reliability of Supply) Code 2005</w:t>
      </w:r>
      <w:r>
        <w:rPr>
          <w:vertAlign w:val="superscript"/>
        </w:rPr>
        <w:t> 1</w:t>
      </w:r>
      <w:r>
        <w:t>.</w:t>
      </w:r>
    </w:p>
    <w:p>
      <w:pPr>
        <w:pStyle w:val="Heading5"/>
      </w:pPr>
      <w:bookmarkStart w:id="7" w:name="_Toc486001889"/>
      <w:r>
        <w:rPr>
          <w:rStyle w:val="CharSectno"/>
        </w:rPr>
        <w:t>2</w:t>
      </w:r>
      <w:r>
        <w:t>.</w:t>
      </w:r>
      <w:r>
        <w:tab/>
        <w:t>Commencement</w:t>
      </w:r>
      <w:bookmarkEnd w:id="7"/>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8" w:name="_Toc486001890"/>
      <w:r>
        <w:rPr>
          <w:rStyle w:val="CharSectno"/>
        </w:rPr>
        <w:t>3</w:t>
      </w:r>
      <w:r>
        <w:t>.</w:t>
      </w:r>
      <w:r>
        <w:tab/>
        <w:t>Terms used</w:t>
      </w:r>
      <w:bookmarkEnd w:id="8"/>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2</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 27 Nov 2009 p. 4781; 2 May 2017 p. 2287.]</w:t>
      </w:r>
    </w:p>
    <w:p>
      <w:pPr>
        <w:pStyle w:val="Heading2"/>
      </w:pPr>
      <w:bookmarkStart w:id="9" w:name="_Toc481412040"/>
      <w:bookmarkStart w:id="10" w:name="_Toc481418518"/>
      <w:bookmarkStart w:id="11" w:name="_Toc486001891"/>
      <w:r>
        <w:rPr>
          <w:rStyle w:val="CharPartNo"/>
        </w:rPr>
        <w:t>Part 2</w:t>
      </w:r>
      <w:r>
        <w:t> — </w:t>
      </w:r>
      <w:r>
        <w:rPr>
          <w:rStyle w:val="CharPartText"/>
        </w:rPr>
        <w:t>Quality and reliability standards</w:t>
      </w:r>
      <w:bookmarkEnd w:id="9"/>
      <w:bookmarkEnd w:id="10"/>
      <w:bookmarkEnd w:id="11"/>
    </w:p>
    <w:p>
      <w:pPr>
        <w:pStyle w:val="Heading3"/>
      </w:pPr>
      <w:bookmarkStart w:id="12" w:name="_Toc481412041"/>
      <w:bookmarkStart w:id="13" w:name="_Toc481418519"/>
      <w:bookmarkStart w:id="14" w:name="_Toc486001892"/>
      <w:r>
        <w:rPr>
          <w:rStyle w:val="CharDivNo"/>
        </w:rPr>
        <w:t>Division 1</w:t>
      </w:r>
      <w:r>
        <w:t> — </w:t>
      </w:r>
      <w:r>
        <w:rPr>
          <w:rStyle w:val="CharDivText"/>
        </w:rPr>
        <w:t>Quality standards</w:t>
      </w:r>
      <w:bookmarkEnd w:id="12"/>
      <w:bookmarkEnd w:id="13"/>
      <w:bookmarkEnd w:id="14"/>
    </w:p>
    <w:p>
      <w:pPr>
        <w:pStyle w:val="Heading5"/>
      </w:pPr>
      <w:bookmarkStart w:id="15" w:name="_Toc486001893"/>
      <w:r>
        <w:rPr>
          <w:rStyle w:val="CharSectno"/>
        </w:rPr>
        <w:t>4</w:t>
      </w:r>
      <w:r>
        <w:t>.</w:t>
      </w:r>
      <w:r>
        <w:tab/>
        <w:t>Term used: compatibility levels</w:t>
      </w:r>
      <w:bookmarkEnd w:id="15"/>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16" w:name="_Toc486001894"/>
      <w:r>
        <w:rPr>
          <w:rStyle w:val="CharSectno"/>
        </w:rPr>
        <w:t>5</w:t>
      </w:r>
      <w:r>
        <w:t>.</w:t>
      </w:r>
      <w:r>
        <w:tab/>
        <w:t>Obligation to observe standards</w:t>
      </w:r>
      <w:bookmarkEnd w:id="16"/>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17" w:name="_Toc486001895"/>
      <w:r>
        <w:rPr>
          <w:rStyle w:val="CharSectno"/>
        </w:rPr>
        <w:t>6</w:t>
      </w:r>
      <w:r>
        <w:t>.</w:t>
      </w:r>
      <w:r>
        <w:tab/>
        <w:t>Voltage fluctuations</w:t>
      </w:r>
      <w:bookmarkEnd w:id="17"/>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18" w:name="_Toc486001896"/>
      <w:r>
        <w:rPr>
          <w:rStyle w:val="CharSectno"/>
        </w:rPr>
        <w:t>7</w:t>
      </w:r>
      <w:r>
        <w:t>.</w:t>
      </w:r>
      <w:r>
        <w:tab/>
        <w:t>Harmonics</w:t>
      </w:r>
      <w:bookmarkEnd w:id="18"/>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19" w:name="_Toc486001897"/>
      <w:r>
        <w:rPr>
          <w:rStyle w:val="CharSectno"/>
        </w:rPr>
        <w:t>8</w:t>
      </w:r>
      <w:r>
        <w:t>.</w:t>
      </w:r>
      <w:r>
        <w:tab/>
        <w:t>Duty to disconnect if damage may result</w:t>
      </w:r>
      <w:bookmarkEnd w:id="19"/>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20" w:name="_Toc481412047"/>
      <w:bookmarkStart w:id="21" w:name="_Toc481418525"/>
      <w:bookmarkStart w:id="22" w:name="_Toc486001898"/>
      <w:r>
        <w:rPr>
          <w:rStyle w:val="CharDivNo"/>
        </w:rPr>
        <w:t>Division 2</w:t>
      </w:r>
      <w:r>
        <w:t> — </w:t>
      </w:r>
      <w:r>
        <w:rPr>
          <w:rStyle w:val="CharDivText"/>
        </w:rPr>
        <w:t>Standards for the interruption of supply to individual customers</w:t>
      </w:r>
      <w:bookmarkEnd w:id="20"/>
      <w:bookmarkEnd w:id="21"/>
      <w:bookmarkEnd w:id="22"/>
    </w:p>
    <w:p>
      <w:pPr>
        <w:pStyle w:val="Heading5"/>
      </w:pPr>
      <w:bookmarkStart w:id="23" w:name="_Toc486001899"/>
      <w:r>
        <w:rPr>
          <w:rStyle w:val="CharSectno"/>
        </w:rPr>
        <w:t>9</w:t>
      </w:r>
      <w:r>
        <w:t>.</w:t>
      </w:r>
      <w:r>
        <w:tab/>
        <w:t>General standard of reliability</w:t>
      </w:r>
      <w:bookmarkEnd w:id="23"/>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24" w:name="_Toc486001900"/>
      <w:r>
        <w:rPr>
          <w:rStyle w:val="CharSectno"/>
        </w:rPr>
        <w:t>10</w:t>
      </w:r>
      <w:r>
        <w:t>.</w:t>
      </w:r>
      <w:r>
        <w:tab/>
        <w:t>Duty to reduce effect of interruption</w:t>
      </w:r>
      <w:bookmarkEnd w:id="24"/>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25" w:name="_Toc486001901"/>
      <w:r>
        <w:rPr>
          <w:rStyle w:val="CharSectno"/>
        </w:rPr>
        <w:t>11</w:t>
      </w:r>
      <w:r>
        <w:t>.</w:t>
      </w:r>
      <w:r>
        <w:tab/>
        <w:t>Planned interruptions</w:t>
      </w:r>
      <w:bookmarkEnd w:id="25"/>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in Gazette 27 Nov 2009 p. 4781; 2 May 2017 p. 2287</w:t>
      </w:r>
      <w:r>
        <w:noBreakHyphen/>
        <w:t>8.]</w:t>
      </w:r>
    </w:p>
    <w:p>
      <w:pPr>
        <w:pStyle w:val="Heading5"/>
      </w:pPr>
      <w:bookmarkStart w:id="26" w:name="_Toc472515499"/>
      <w:bookmarkStart w:id="27" w:name="_Toc472517133"/>
      <w:bookmarkStart w:id="28" w:name="_Toc486001902"/>
      <w:r>
        <w:rPr>
          <w:rStyle w:val="CharSectno"/>
        </w:rPr>
        <w:t>11A</w:t>
      </w:r>
      <w:r>
        <w:t>.</w:t>
      </w:r>
      <w:r>
        <w:tab/>
        <w:t>Interruptions to restore supply from network</w:t>
      </w:r>
      <w:bookmarkEnd w:id="26"/>
      <w:bookmarkEnd w:id="27"/>
      <w:bookmarkEnd w:id="28"/>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in Gazette 2 May 2017 p. 2288.]</w:t>
      </w:r>
    </w:p>
    <w:p>
      <w:pPr>
        <w:pStyle w:val="Heading5"/>
      </w:pPr>
      <w:bookmarkStart w:id="29" w:name="_Toc486001903"/>
      <w:r>
        <w:rPr>
          <w:rStyle w:val="CharSectno"/>
        </w:rPr>
        <w:t>12</w:t>
      </w:r>
      <w:r>
        <w:t>.</w:t>
      </w:r>
      <w:r>
        <w:tab/>
        <w:t>Significant interruptions to small use customers</w:t>
      </w:r>
      <w:bookmarkEnd w:id="29"/>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30" w:name="_Toc481412053"/>
      <w:bookmarkStart w:id="31" w:name="_Toc481418531"/>
      <w:bookmarkStart w:id="32" w:name="_Toc486001904"/>
      <w:r>
        <w:rPr>
          <w:rStyle w:val="CharDivNo"/>
        </w:rPr>
        <w:t>Division 3</w:t>
      </w:r>
      <w:r>
        <w:t> — </w:t>
      </w:r>
      <w:r>
        <w:rPr>
          <w:rStyle w:val="CharDivText"/>
        </w:rPr>
        <w:t>Standards for the duration of interruption of supply in particular areas</w:t>
      </w:r>
      <w:bookmarkEnd w:id="30"/>
      <w:bookmarkEnd w:id="31"/>
      <w:bookmarkEnd w:id="32"/>
    </w:p>
    <w:p>
      <w:pPr>
        <w:pStyle w:val="Heading5"/>
      </w:pPr>
      <w:bookmarkStart w:id="33" w:name="_Toc486001905"/>
      <w:r>
        <w:rPr>
          <w:rStyle w:val="CharSectno"/>
        </w:rPr>
        <w:t>13</w:t>
      </w:r>
      <w:r>
        <w:t>.</w:t>
      </w:r>
      <w:r>
        <w:tab/>
        <w:t>Standards prescribed for particular areas</w:t>
      </w:r>
      <w:bookmarkEnd w:id="33"/>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34" w:name="_Toc481412055"/>
      <w:bookmarkStart w:id="35" w:name="_Toc481418533"/>
      <w:bookmarkStart w:id="36" w:name="_Toc486001906"/>
      <w:r>
        <w:rPr>
          <w:rStyle w:val="CharDivNo"/>
        </w:rPr>
        <w:t>Division 4</w:t>
      </w:r>
      <w:r>
        <w:t> — </w:t>
      </w:r>
      <w:r>
        <w:rPr>
          <w:rStyle w:val="CharDivText"/>
        </w:rPr>
        <w:t>Variation of obligations under this Part</w:t>
      </w:r>
      <w:bookmarkEnd w:id="34"/>
      <w:bookmarkEnd w:id="35"/>
      <w:bookmarkEnd w:id="36"/>
    </w:p>
    <w:p>
      <w:pPr>
        <w:pStyle w:val="Heading5"/>
      </w:pPr>
      <w:bookmarkStart w:id="37" w:name="_Toc486001907"/>
      <w:r>
        <w:rPr>
          <w:rStyle w:val="CharSectno"/>
        </w:rPr>
        <w:t>14</w:t>
      </w:r>
      <w:r>
        <w:t>.</w:t>
      </w:r>
      <w:r>
        <w:tab/>
        <w:t>Alternative provision may be made by Minister on application</w:t>
      </w:r>
      <w:bookmarkEnd w:id="37"/>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38" w:name="_Toc486001908"/>
      <w:r>
        <w:rPr>
          <w:rStyle w:val="CharSectno"/>
        </w:rPr>
        <w:t>15</w:t>
      </w:r>
      <w:r>
        <w:t>.</w:t>
      </w:r>
      <w:r>
        <w:tab/>
        <w:t>Provisions may be excluded or modified by agreement</w:t>
      </w:r>
      <w:bookmarkEnd w:id="38"/>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39" w:name="_Toc481412058"/>
      <w:bookmarkStart w:id="40" w:name="_Toc481418536"/>
      <w:bookmarkStart w:id="41" w:name="_Toc486001909"/>
      <w:r>
        <w:rPr>
          <w:rStyle w:val="CharPartNo"/>
        </w:rPr>
        <w:t>Part 3</w:t>
      </w:r>
      <w:r>
        <w:rPr>
          <w:rStyle w:val="CharDivNo"/>
        </w:rPr>
        <w:t> </w:t>
      </w:r>
      <w:r>
        <w:t>—</w:t>
      </w:r>
      <w:r>
        <w:rPr>
          <w:rStyle w:val="CharDivText"/>
        </w:rPr>
        <w:t> </w:t>
      </w:r>
      <w:r>
        <w:rPr>
          <w:rStyle w:val="CharPartText"/>
        </w:rPr>
        <w:t>Payments for failure to meet certain standards</w:t>
      </w:r>
      <w:bookmarkEnd w:id="39"/>
      <w:bookmarkEnd w:id="40"/>
      <w:bookmarkEnd w:id="41"/>
    </w:p>
    <w:p>
      <w:pPr>
        <w:pStyle w:val="Footnoteheading"/>
      </w:pPr>
      <w:r>
        <w:tab/>
        <w:t>[Heading amended in Gazette 27 Nov 2009 p. 4781.]</w:t>
      </w:r>
    </w:p>
    <w:p>
      <w:pPr>
        <w:pStyle w:val="Heading5"/>
      </w:pPr>
      <w:bookmarkStart w:id="42" w:name="_Toc486001910"/>
      <w:r>
        <w:rPr>
          <w:rStyle w:val="CharSectno"/>
        </w:rPr>
        <w:t>16</w:t>
      </w:r>
      <w:r>
        <w:t>.</w:t>
      </w:r>
      <w:r>
        <w:tab/>
        <w:t>Terms used</w:t>
      </w:r>
      <w:bookmarkEnd w:id="42"/>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in Gazette 31 Mar 2006 p. 1346; 27 Nov 2009 p. 4782.]</w:t>
      </w:r>
    </w:p>
    <w:p>
      <w:pPr>
        <w:pStyle w:val="Heading5"/>
      </w:pPr>
      <w:bookmarkStart w:id="43" w:name="_Toc486001911"/>
      <w:r>
        <w:rPr>
          <w:rStyle w:val="CharSectno"/>
        </w:rPr>
        <w:t>17</w:t>
      </w:r>
      <w:r>
        <w:t>.</w:t>
      </w:r>
      <w:r>
        <w:tab/>
        <w:t>Interruptions to which this Part does not apply</w:t>
      </w:r>
      <w:bookmarkEnd w:id="43"/>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in Gazette 27 Nov 2009 p. 4783.]</w:t>
      </w:r>
    </w:p>
    <w:p>
      <w:pPr>
        <w:pStyle w:val="Heading5"/>
      </w:pPr>
      <w:bookmarkStart w:id="44" w:name="_Toc486001912"/>
      <w:r>
        <w:rPr>
          <w:rStyle w:val="CharSectno"/>
        </w:rPr>
        <w:t>18</w:t>
      </w:r>
      <w:r>
        <w:t>.</w:t>
      </w:r>
      <w:r>
        <w:tab/>
        <w:t>Payment for failure to give required notice of planned interruption</w:t>
      </w:r>
      <w:bookmarkEnd w:id="44"/>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in Gazette 27 Nov 2009 p. 4783.]</w:t>
      </w:r>
    </w:p>
    <w:p>
      <w:pPr>
        <w:pStyle w:val="Heading5"/>
      </w:pPr>
      <w:bookmarkStart w:id="45" w:name="_Toc486001913"/>
      <w:r>
        <w:rPr>
          <w:rStyle w:val="CharSectno"/>
        </w:rPr>
        <w:t>19</w:t>
      </w:r>
      <w:r>
        <w:t>.</w:t>
      </w:r>
      <w:r>
        <w:tab/>
        <w:t>Payment for supply interruptions exceeding 12 hours</w:t>
      </w:r>
      <w:bookmarkEnd w:id="45"/>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in Gazette 27 Nov 2009 p. 4783; 2 May 2017 p. 2289.]</w:t>
      </w:r>
    </w:p>
    <w:p>
      <w:pPr>
        <w:pStyle w:val="Heading5"/>
      </w:pPr>
      <w:bookmarkStart w:id="46" w:name="_Toc486001914"/>
      <w:r>
        <w:rPr>
          <w:rStyle w:val="CharSectno"/>
        </w:rPr>
        <w:t>20</w:t>
      </w:r>
      <w:r>
        <w:t>.</w:t>
      </w:r>
      <w:r>
        <w:tab/>
        <w:t>Only one application for each premises</w:t>
      </w:r>
      <w:bookmarkEnd w:id="46"/>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 </w:t>
      </w:r>
    </w:p>
    <w:p>
      <w:pPr>
        <w:pStyle w:val="Indenta"/>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in Gazette 27 Nov 2009 p. 4782.]</w:t>
      </w:r>
    </w:p>
    <w:p>
      <w:pPr>
        <w:pStyle w:val="Heading5"/>
      </w:pPr>
      <w:bookmarkStart w:id="47" w:name="_Toc486001915"/>
      <w:r>
        <w:rPr>
          <w:rStyle w:val="CharSectno"/>
        </w:rPr>
        <w:t>21</w:t>
      </w:r>
      <w:r>
        <w:t>.</w:t>
      </w:r>
      <w:r>
        <w:tab/>
        <w:t>Information to be provided</w:t>
      </w:r>
      <w:bookmarkEnd w:id="47"/>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in Gazette 27 Nov 2009 p. 4782</w:t>
      </w:r>
      <w:r>
        <w:noBreakHyphen/>
        <w:t>3.]</w:t>
      </w:r>
    </w:p>
    <w:p>
      <w:pPr>
        <w:pStyle w:val="Heading5"/>
      </w:pPr>
      <w:bookmarkStart w:id="48" w:name="_Toc486001916"/>
      <w:r>
        <w:rPr>
          <w:rStyle w:val="CharSectno"/>
        </w:rPr>
        <w:t>22</w:t>
      </w:r>
      <w:r>
        <w:t>.</w:t>
      </w:r>
      <w:r>
        <w:tab/>
        <w:t>Alternative methods of payment</w:t>
      </w:r>
      <w:bookmarkEnd w:id="48"/>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in Gazette 27 Nov 2009 p. 4783.]</w:t>
      </w:r>
    </w:p>
    <w:p>
      <w:pPr>
        <w:pStyle w:val="Heading2"/>
      </w:pPr>
      <w:bookmarkStart w:id="49" w:name="_Toc481412066"/>
      <w:bookmarkStart w:id="50" w:name="_Toc481418544"/>
      <w:bookmarkStart w:id="51" w:name="_Toc486001917"/>
      <w:r>
        <w:rPr>
          <w:rStyle w:val="CharPartNo"/>
        </w:rPr>
        <w:t>Part 4</w:t>
      </w:r>
      <w:r>
        <w:t> — </w:t>
      </w:r>
      <w:r>
        <w:rPr>
          <w:rStyle w:val="CharPartText"/>
        </w:rPr>
        <w:t>Duties incidental to the prescribed standards</w:t>
      </w:r>
      <w:bookmarkEnd w:id="49"/>
      <w:bookmarkEnd w:id="50"/>
      <w:bookmarkEnd w:id="51"/>
    </w:p>
    <w:p>
      <w:pPr>
        <w:pStyle w:val="Heading3"/>
      </w:pPr>
      <w:bookmarkStart w:id="52" w:name="_Toc481412067"/>
      <w:bookmarkStart w:id="53" w:name="_Toc481418545"/>
      <w:bookmarkStart w:id="54" w:name="_Toc486001918"/>
      <w:r>
        <w:rPr>
          <w:rStyle w:val="CharDivNo"/>
        </w:rPr>
        <w:t>Division 1</w:t>
      </w:r>
      <w:r>
        <w:t> — </w:t>
      </w:r>
      <w:r>
        <w:rPr>
          <w:rStyle w:val="CharDivText"/>
        </w:rPr>
        <w:t>Monitoring, record keeping and investigation</w:t>
      </w:r>
      <w:bookmarkEnd w:id="52"/>
      <w:bookmarkEnd w:id="53"/>
      <w:bookmarkEnd w:id="54"/>
    </w:p>
    <w:p>
      <w:pPr>
        <w:pStyle w:val="Heading5"/>
      </w:pPr>
      <w:bookmarkStart w:id="55" w:name="_Toc486001919"/>
      <w:r>
        <w:rPr>
          <w:rStyle w:val="CharSectno"/>
        </w:rPr>
        <w:t>23</w:t>
      </w:r>
      <w:r>
        <w:t>.</w:t>
      </w:r>
      <w:r>
        <w:tab/>
        <w:t>Monitoring and record keeping</w:t>
      </w:r>
      <w:bookmarkEnd w:id="55"/>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in Gazette 2 May 2017 p. 2289.]</w:t>
      </w:r>
    </w:p>
    <w:p>
      <w:pPr>
        <w:pStyle w:val="Heading5"/>
      </w:pPr>
      <w:bookmarkStart w:id="56" w:name="_Toc486001920"/>
      <w:r>
        <w:rPr>
          <w:rStyle w:val="CharSectno"/>
        </w:rPr>
        <w:t>24</w:t>
      </w:r>
      <w:r>
        <w:t>.</w:t>
      </w:r>
      <w:r>
        <w:tab/>
        <w:t>Quality investigations</w:t>
      </w:r>
      <w:bookmarkEnd w:id="56"/>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57" w:name="_Toc481412070"/>
      <w:bookmarkStart w:id="58" w:name="_Toc481418548"/>
      <w:bookmarkStart w:id="59" w:name="_Toc486001921"/>
      <w:r>
        <w:rPr>
          <w:rStyle w:val="CharDivNo"/>
        </w:rPr>
        <w:t>Division 2</w:t>
      </w:r>
      <w:r>
        <w:t> — </w:t>
      </w:r>
      <w:r>
        <w:rPr>
          <w:rStyle w:val="CharDivText"/>
        </w:rPr>
        <w:t>Complaints</w:t>
      </w:r>
      <w:bookmarkEnd w:id="57"/>
      <w:bookmarkEnd w:id="58"/>
      <w:bookmarkEnd w:id="59"/>
    </w:p>
    <w:p>
      <w:pPr>
        <w:pStyle w:val="Heading5"/>
      </w:pPr>
      <w:bookmarkStart w:id="60" w:name="_Toc486001922"/>
      <w:r>
        <w:rPr>
          <w:rStyle w:val="CharSectno"/>
        </w:rPr>
        <w:t>25</w:t>
      </w:r>
      <w:r>
        <w:t>.</w:t>
      </w:r>
      <w:r>
        <w:tab/>
        <w:t>Information to be given to small use customers</w:t>
      </w:r>
      <w:bookmarkEnd w:id="60"/>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61" w:name="_Toc481412072"/>
      <w:bookmarkStart w:id="62" w:name="_Toc481418550"/>
      <w:bookmarkStart w:id="63" w:name="_Toc486001923"/>
      <w:r>
        <w:rPr>
          <w:rStyle w:val="CharDivNo"/>
        </w:rPr>
        <w:t>Division 3</w:t>
      </w:r>
      <w:r>
        <w:t> — </w:t>
      </w:r>
      <w:r>
        <w:rPr>
          <w:rStyle w:val="CharDivText"/>
        </w:rPr>
        <w:t>Performance reporting</w:t>
      </w:r>
      <w:bookmarkEnd w:id="61"/>
      <w:bookmarkEnd w:id="62"/>
      <w:bookmarkEnd w:id="63"/>
    </w:p>
    <w:p>
      <w:pPr>
        <w:pStyle w:val="Heading5"/>
      </w:pPr>
      <w:bookmarkStart w:id="64" w:name="_Toc486001924"/>
      <w:r>
        <w:rPr>
          <w:rStyle w:val="CharSectno"/>
        </w:rPr>
        <w:t>25A</w:t>
      </w:r>
      <w:r>
        <w:t>.</w:t>
      </w:r>
      <w:r>
        <w:tab/>
        <w:t>Term used: reporting period</w:t>
      </w:r>
      <w:bookmarkEnd w:id="64"/>
    </w:p>
    <w:p>
      <w:pPr>
        <w:pStyle w:val="Subsection"/>
        <w:keepNext/>
      </w:pPr>
      <w:r>
        <w:tab/>
        <w:t>(1)</w:t>
      </w:r>
      <w:r>
        <w:tab/>
        <w:t xml:space="preserve">In this Division — </w:t>
      </w:r>
    </w:p>
    <w:p>
      <w:pPr>
        <w:pStyle w:val="Defstar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in Gazette 2 May 2017 p. 2289.]</w:t>
      </w:r>
    </w:p>
    <w:p>
      <w:pPr>
        <w:pStyle w:val="Heading5"/>
      </w:pPr>
      <w:bookmarkStart w:id="65" w:name="_Toc486001925"/>
      <w:r>
        <w:rPr>
          <w:rStyle w:val="CharSectno"/>
        </w:rPr>
        <w:t>26</w:t>
      </w:r>
      <w:r>
        <w:t>.</w:t>
      </w:r>
      <w:r>
        <w:tab/>
        <w:t>Audit and report on monitoring systems</w:t>
      </w:r>
      <w:bookmarkEnd w:id="65"/>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in Gazette 2 May 2017 p. 2289</w:t>
      </w:r>
      <w:r>
        <w:noBreakHyphen/>
        <w:t>90.]</w:t>
      </w:r>
    </w:p>
    <w:p>
      <w:pPr>
        <w:pStyle w:val="Heading5"/>
      </w:pPr>
      <w:bookmarkStart w:id="66" w:name="_Toc486001926"/>
      <w:r>
        <w:rPr>
          <w:rStyle w:val="CharSectno"/>
        </w:rPr>
        <w:t>26A</w:t>
      </w:r>
      <w:r>
        <w:t>.</w:t>
      </w:r>
      <w:r>
        <w:tab/>
        <w:t>Authority may give notice regarding reporting period</w:t>
      </w:r>
      <w:bookmarkEnd w:id="66"/>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in Gazette 2 May 2017 p. 2290.]</w:t>
      </w:r>
    </w:p>
    <w:p>
      <w:pPr>
        <w:pStyle w:val="Heading5"/>
      </w:pPr>
      <w:bookmarkStart w:id="67" w:name="_Toc486001927"/>
      <w:r>
        <w:rPr>
          <w:rStyle w:val="CharSectno"/>
        </w:rPr>
        <w:t>27</w:t>
      </w:r>
      <w:r>
        <w:t>.</w:t>
      </w:r>
      <w:r>
        <w:tab/>
        <w:t>Publication of information about performance</w:t>
      </w:r>
      <w:bookmarkEnd w:id="67"/>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Footnotesection"/>
      </w:pPr>
      <w:r>
        <w:tab/>
        <w:t>[Section 27 amended in Gazette 2 May 2017 p. 2290.]</w:t>
      </w:r>
    </w:p>
    <w:p>
      <w:pPr>
        <w:pStyle w:val="Heading5"/>
      </w:pPr>
      <w:bookmarkStart w:id="68" w:name="_Toc486001928"/>
      <w:r>
        <w:rPr>
          <w:rStyle w:val="CharSectno"/>
        </w:rPr>
        <w:t>28</w:t>
      </w:r>
      <w:r>
        <w:t>.</w:t>
      </w:r>
      <w:r>
        <w:tab/>
        <w:t>Reports not needed if there were no small use customers</w:t>
      </w:r>
      <w:bookmarkEnd w:id="68"/>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in Gazette 19 Sep 2007 p. 4725</w:t>
      </w:r>
      <w:r>
        <w:noBreakHyphen/>
        <w:t>6; amended in Gazette 2 May 2017 p. 2290.]</w:t>
      </w:r>
    </w:p>
    <w:p>
      <w:pPr>
        <w:pStyle w:val="Heading5"/>
      </w:pPr>
      <w:bookmarkStart w:id="69" w:name="_Toc486001929"/>
      <w:r>
        <w:rPr>
          <w:rStyle w:val="CharSectno"/>
        </w:rPr>
        <w:t>29</w:t>
      </w:r>
      <w:r>
        <w:t>.</w:t>
      </w:r>
      <w:r>
        <w:tab/>
        <w:t>Transitional provisions for Part 4 Division 3</w:t>
      </w:r>
      <w:bookmarkEnd w:id="69"/>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in Gazette 2 May 2017 p. 2291.]</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0" w:name="_Toc481412076"/>
      <w:bookmarkStart w:id="71" w:name="_Toc481418554"/>
      <w:bookmarkStart w:id="72" w:name="_Toc486001930"/>
      <w:r>
        <w:rPr>
          <w:rStyle w:val="CharSchNo"/>
        </w:rPr>
        <w:t>Schedule 1</w:t>
      </w:r>
      <w:r>
        <w:rPr>
          <w:rStyle w:val="CharSDivNo"/>
        </w:rPr>
        <w:t> </w:t>
      </w:r>
      <w:r>
        <w:t>—</w:t>
      </w:r>
      <w:r>
        <w:rPr>
          <w:rStyle w:val="CharSDivText"/>
        </w:rPr>
        <w:t> </w:t>
      </w:r>
      <w:r>
        <w:rPr>
          <w:rStyle w:val="CharSchText"/>
        </w:rPr>
        <w:t>Information to be published</w:t>
      </w:r>
      <w:bookmarkEnd w:id="70"/>
      <w:bookmarkEnd w:id="71"/>
      <w:bookmarkEnd w:id="72"/>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Ednoteitem"/>
        <w:tabs>
          <w:tab w:val="left" w:pos="851"/>
        </w:tabs>
      </w:pPr>
      <w:r>
        <w:t>[3.</w:t>
      </w:r>
      <w:r>
        <w:tab/>
        <w:t>deleted]</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in Gazette 2 May 2017 p. 2291.]</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74" w:name="_Toc481412077"/>
      <w:bookmarkStart w:id="75" w:name="_Toc481418555"/>
      <w:bookmarkStart w:id="76" w:name="_Toc486001931"/>
      <w:r>
        <w:t>Notes</w:t>
      </w:r>
      <w:bookmarkEnd w:id="74"/>
      <w:bookmarkEnd w:id="75"/>
      <w:bookmarkEnd w:id="76"/>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xml:space="preserve"> and includes the amendments made by the other written laws referred to in the following table.  The table also contains information about any reprint.</w:t>
      </w:r>
    </w:p>
    <w:p>
      <w:pPr>
        <w:pStyle w:val="nHeading3"/>
      </w:pPr>
      <w:bookmarkStart w:id="77" w:name="_Toc486001932"/>
      <w:r>
        <w:t>Compilation table</w:t>
      </w:r>
      <w:bookmarkEnd w:id="7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bCs/>
              </w:rPr>
            </w:pPr>
            <w:r>
              <w:rPr>
                <w:b/>
                <w:bCs/>
              </w:rPr>
              <w:t>Citation</w:t>
            </w:r>
          </w:p>
        </w:tc>
        <w:tc>
          <w:tcPr>
            <w:tcW w:w="1276" w:type="dxa"/>
            <w:tcBorders>
              <w:top w:val="single" w:sz="8" w:space="0" w:color="auto"/>
              <w:bottom w:val="single" w:sz="8" w:space="0" w:color="auto"/>
            </w:tcBorders>
          </w:tcPr>
          <w:p>
            <w:pPr>
              <w:pStyle w:val="nTable"/>
              <w:spacing w:after="40"/>
              <w:rPr>
                <w:b/>
                <w:bCs/>
              </w:rPr>
            </w:pPr>
            <w:r>
              <w:rPr>
                <w:b/>
                <w:bCs/>
              </w:rPr>
              <w:t>Gazettal</w:t>
            </w:r>
          </w:p>
        </w:tc>
        <w:tc>
          <w:tcPr>
            <w:tcW w:w="2693" w:type="dxa"/>
            <w:tcBorders>
              <w:top w:val="single" w:sz="8" w:space="0" w:color="auto"/>
              <w:bottom w:val="single" w:sz="8" w:space="0" w:color="auto"/>
            </w:tcBorders>
          </w:tcPr>
          <w:p>
            <w:pPr>
              <w:pStyle w:val="nTable"/>
              <w:spacing w:after="40"/>
              <w:rPr>
                <w:b/>
                <w:bCs/>
              </w:rPr>
            </w:pPr>
            <w:r>
              <w:rPr>
                <w:b/>
                <w:bCs/>
              </w:rPr>
              <w:t>Commencement</w:t>
            </w:r>
          </w:p>
        </w:tc>
      </w:tr>
      <w:tr>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c>
          <w:tcPr>
            <w:tcW w:w="3118" w:type="dxa"/>
            <w:tcBorders>
              <w:bottom w:val="single" w:sz="4" w:space="0" w:color="auto"/>
            </w:tcBorders>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Borders>
              <w:bottom w:val="single" w:sz="4" w:space="0" w:color="auto"/>
            </w:tcBorders>
          </w:tcPr>
          <w:p>
            <w:pPr>
              <w:pStyle w:val="nTable"/>
              <w:spacing w:after="40"/>
            </w:pPr>
            <w:r>
              <w:t>2 May 2017 p. 2287</w:t>
            </w:r>
            <w:r>
              <w:noBreakHyphen/>
              <w:t>91</w:t>
            </w:r>
          </w:p>
        </w:tc>
        <w:tc>
          <w:tcPr>
            <w:tcW w:w="2693" w:type="dxa"/>
            <w:tcBorders>
              <w:bottom w:val="single" w:sz="4" w:space="0" w:color="auto"/>
            </w:tcBorders>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9"/>
          <w:headerReference w:type="defaul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79" w:name="_Toc486001933"/>
      <w:r>
        <w:rPr>
          <w:sz w:val="28"/>
        </w:rPr>
        <w:t>Defined terms</w:t>
      </w:r>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3(1)</w:t>
      </w:r>
    </w:p>
    <w:p>
      <w:pPr>
        <w:pStyle w:val="DefinedTerms"/>
      </w:pPr>
      <w:r>
        <w:t>commencement day</w:t>
      </w:r>
      <w:r>
        <w:tab/>
        <w:t>29(1)</w:t>
      </w:r>
    </w:p>
    <w:p>
      <w:pPr>
        <w:pStyle w:val="DefinedTerms"/>
      </w:pPr>
      <w:r>
        <w:t>compatibility levels</w:t>
      </w:r>
      <w:r>
        <w:tab/>
        <w:t>4</w:t>
      </w:r>
    </w:p>
    <w:p>
      <w:pPr>
        <w:pStyle w:val="DefinedTerms"/>
      </w:pPr>
      <w:r>
        <w:t>complaint</w:t>
      </w:r>
      <w:r>
        <w:tab/>
        <w:t>25(1), Sch. 1</w:t>
      </w:r>
    </w:p>
    <w:p>
      <w:pPr>
        <w:pStyle w:val="DefinedTerms"/>
      </w:pPr>
      <w:r>
        <w:t>corporation</w:t>
      </w:r>
      <w:r>
        <w:tab/>
        <w:t>16</w:t>
      </w:r>
    </w:p>
    <w:p>
      <w:pPr>
        <w:pStyle w:val="DefinedTerms"/>
      </w:pPr>
      <w:r>
        <w:t>customer</w:t>
      </w:r>
      <w:r>
        <w:tab/>
        <w:t>3(1), 11(1A), 11A(1)</w:t>
      </w:r>
    </w:p>
    <w:p>
      <w:pPr>
        <w:pStyle w:val="DefinedTerms"/>
      </w:pPr>
      <w:r>
        <w:t>customer premises</w:t>
      </w:r>
      <w:r>
        <w:tab/>
        <w:t>13(1), Sch. 1</w:t>
      </w:r>
    </w:p>
    <w:p>
      <w:pPr>
        <w:pStyle w:val="DefinedTerms"/>
      </w:pPr>
      <w:r>
        <w:t>customer’s electrical installations</w:t>
      </w:r>
      <w:r>
        <w:tab/>
        <w:t>3(1)</w:t>
      </w:r>
    </w:p>
    <w:p>
      <w:pPr>
        <w:pStyle w:val="DefinedTerms"/>
      </w:pPr>
      <w:r>
        <w:t>distributor</w:t>
      </w:r>
      <w:r>
        <w:tab/>
        <w:t>3(1)</w:t>
      </w:r>
    </w:p>
    <w:p>
      <w:pPr>
        <w:pStyle w:val="DefinedTerms"/>
      </w:pPr>
      <w:r>
        <w:t>eligible person</w:t>
      </w:r>
      <w:r>
        <w:tab/>
        <w:t>16</w:t>
      </w:r>
    </w:p>
    <w:p>
      <w:pPr>
        <w:pStyle w:val="DefinedTerms"/>
      </w:pPr>
      <w:r>
        <w:t>emergency operating state</w:t>
      </w:r>
      <w:r>
        <w:tab/>
        <w:t>16</w:t>
      </w:r>
    </w:p>
    <w:p>
      <w:pPr>
        <w:pStyle w:val="DefinedTerms"/>
      </w:pPr>
      <w:r>
        <w:t>interruption</w:t>
      </w:r>
      <w:r>
        <w:tab/>
        <w:t>3(1)</w:t>
      </w:r>
    </w:p>
    <w:p>
      <w:pPr>
        <w:pStyle w:val="DefinedTerms"/>
      </w:pPr>
      <w:r>
        <w:t>isolated system</w:t>
      </w:r>
      <w:r>
        <w:tab/>
        <w:t>Sch. 1</w:t>
      </w:r>
    </w:p>
    <w:p>
      <w:pPr>
        <w:pStyle w:val="DefinedTerms"/>
      </w:pPr>
      <w:r>
        <w:t>network</w:t>
      </w:r>
      <w:r>
        <w:tab/>
        <w:t>3(1)</w:t>
      </w:r>
    </w:p>
    <w:p>
      <w:pPr>
        <w:pStyle w:val="DefinedTerms"/>
      </w:pPr>
      <w:r>
        <w:t>North West interconnected system</w:t>
      </w:r>
      <w:r>
        <w:tab/>
        <w:t>Sch. 1</w:t>
      </w:r>
    </w:p>
    <w:p>
      <w:pPr>
        <w:pStyle w:val="DefinedTerms"/>
      </w:pPr>
      <w:r>
        <w:t>permitted number of times</w:t>
      </w:r>
      <w:r>
        <w:tab/>
        <w:t>12(1)</w:t>
      </w:r>
    </w:p>
    <w:p>
      <w:pPr>
        <w:pStyle w:val="DefinedTerms"/>
      </w:pPr>
      <w:r>
        <w:t>Perth CBD</w:t>
      </w:r>
      <w:r>
        <w:tab/>
        <w:t>3(1)</w:t>
      </w:r>
    </w:p>
    <w:p>
      <w:pPr>
        <w:pStyle w:val="DefinedTerms"/>
      </w:pPr>
      <w:r>
        <w:t>planned interruption</w:t>
      </w:r>
      <w:r>
        <w:tab/>
        <w:t>3(1)</w:t>
      </w:r>
    </w:p>
    <w:p>
      <w:pPr>
        <w:pStyle w:val="DefinedTerms"/>
      </w:pPr>
      <w:r>
        <w:t>Plt</w:t>
      </w:r>
      <w:r>
        <w:tab/>
        <w:t>6(1)</w:t>
      </w:r>
    </w:p>
    <w:p>
      <w:pPr>
        <w:pStyle w:val="DefinedTerms"/>
      </w:pPr>
      <w:r>
        <w:t>prescribed standard</w:t>
      </w:r>
      <w:r>
        <w:tab/>
        <w:t>12(1)</w:t>
      </w:r>
    </w:p>
    <w:p>
      <w:pPr>
        <w:pStyle w:val="DefinedTerms"/>
      </w:pPr>
      <w:r>
        <w:t>Pst</w:t>
      </w:r>
      <w:r>
        <w:tab/>
        <w:t>6(1)</w:t>
      </w:r>
    </w:p>
    <w:p>
      <w:pPr>
        <w:pStyle w:val="DefinedTerms"/>
      </w:pPr>
      <w:r>
        <w:t>reporting period</w:t>
      </w:r>
      <w:r>
        <w:tab/>
        <w:t>25A(1), 25A(1)</w:t>
      </w:r>
    </w:p>
    <w:p>
      <w:pPr>
        <w:pStyle w:val="DefinedTerms"/>
      </w:pPr>
      <w:r>
        <w:t>separately metered premises</w:t>
      </w:r>
      <w:r>
        <w:tab/>
        <w:t>16</w:t>
      </w:r>
    </w:p>
    <w:p>
      <w:pPr>
        <w:pStyle w:val="DefinedTerms"/>
      </w:pPr>
      <w:r>
        <w:t>small use customer</w:t>
      </w:r>
      <w:r>
        <w:tab/>
        <w:t>3(1)</w:t>
      </w:r>
    </w:p>
    <w:p>
      <w:pPr>
        <w:pStyle w:val="DefinedTerms"/>
      </w:pPr>
      <w:r>
        <w:t>transmitter</w:t>
      </w:r>
      <w:r>
        <w:tab/>
        <w:t>3(1)</w:t>
      </w:r>
    </w:p>
    <w:p>
      <w:pPr>
        <w:pStyle w:val="DefinedTerms"/>
      </w:pPr>
      <w:r>
        <w:t>urban areas</w:t>
      </w:r>
      <w:r>
        <w:tab/>
        <w:t>3(1)</w:t>
      </w:r>
    </w:p>
    <w:p>
      <w:pPr>
        <w:pStyle w:val="DefinedTerms"/>
      </w:pPr>
      <w:r>
        <w:t>working day</w:t>
      </w:r>
      <w:r>
        <w:tab/>
        <w:t>24(1)</w:t>
      </w:r>
    </w:p>
    <w:p>
      <w:pPr>
        <w:pStyle w:val="DefinedTerms"/>
      </w:pPr>
      <w:r>
        <w:t>year</w:t>
      </w:r>
      <w:r>
        <w:tab/>
        <w:t>12(1)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3" w:name="Schedule"/>
    <w:bookmarkEnd w:id="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0" w:name="DefinedTerms"/>
    <w:bookmarkEnd w:id="80"/>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 w:name="Coversheet"/>
    <w:bookmarkEnd w:id="8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01135446"/>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9C105-42B7-4FB7-8DCC-DFE85E6EA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6398</Words>
  <Characters>31673</Characters>
  <Application>Microsoft Office Word</Application>
  <DocSecurity>0</DocSecurity>
  <Lines>989</Lines>
  <Paragraphs>624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37447</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2005 - 01-c0-00</dc:title>
  <dc:subject/>
  <dc:creator/>
  <cp:keywords/>
  <dc:description/>
  <cp:lastModifiedBy>svcMRProcess</cp:lastModifiedBy>
  <cp:revision>4</cp:revision>
  <cp:lastPrinted>2017-05-02T04:46:00Z</cp:lastPrinted>
  <dcterms:created xsi:type="dcterms:W3CDTF">2018-09-11T06:59:00Z</dcterms:created>
  <dcterms:modified xsi:type="dcterms:W3CDTF">2018-09-11T06:59:00Z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AsAtDate">
    <vt:lpwstr>01 Jul 2017</vt:lpwstr>
  </property>
  <property fmtid="{D5CDD505-2E9C-101B-9397-08002B2CF9AE}" pid="8" name="Suffix">
    <vt:lpwstr>01-c0-00</vt:lpwstr>
  </property>
  <property fmtid="{D5CDD505-2E9C-101B-9397-08002B2CF9AE}" pid="9" name="CommencementDate">
    <vt:lpwstr>20170701</vt:lpwstr>
  </property>
</Properties>
</file>