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_Toc486413620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_Toc486413621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_Toc486413622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_Toc486413623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_Toc486413624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_Toc486413625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_Toc486413626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_Toc486413627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_Toc486413628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_Toc486413629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_Toc486413630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_Toc486413634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48641362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8641362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486413622"/>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9" w:name="_Toc404845909"/>
      <w:bookmarkStart w:id="10" w:name="_Toc486413623"/>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$123.00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$2 075.00.</w:t>
      </w:r>
    </w:p>
    <w:p>
      <w:pPr>
        <w:pStyle w:val="Subsection"/>
        <w:spacing w:before="180"/>
        <w:rPr>
          <w:snapToGrid w:val="0"/>
        </w:rPr>
      </w:pPr>
      <w:r>
        <w:rPr>
          <w:snapToGrid w:val="0"/>
        </w:rPr>
        <w:tab/>
        <w:t>(7)</w:t>
      </w:r>
      <w:r>
        <w:rPr>
          <w:snapToGrid w:val="0"/>
        </w:rPr>
        <w:tab/>
        <w:t>For the purposes of section 139(b) of the Act, the prescribed rate is a rate of </w:t>
      </w:r>
      <w:r>
        <w:t>$793.00.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$17 280.00.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w:t>
      </w:r>
    </w:p>
    <w:p>
      <w:pPr>
        <w:pStyle w:val="Ednotesection"/>
        <w:spacing w:before="260"/>
      </w:pPr>
      <w:r>
        <w:t>[</w:t>
      </w:r>
      <w:r>
        <w:rPr>
          <w:b/>
          <w:bCs/>
        </w:rPr>
        <w:t>3A.</w:t>
      </w:r>
      <w:r>
        <w:rPr>
          <w:b/>
          <w:bCs/>
        </w:rPr>
        <w:tab/>
      </w:r>
      <w:r>
        <w:t>Deleted in Gazette 23 Jun 2009 p. 2475.]</w:t>
      </w:r>
    </w:p>
    <w:p>
      <w:pPr>
        <w:pStyle w:val="Heading5"/>
        <w:rPr>
          <w:snapToGrid w:val="0"/>
        </w:rPr>
      </w:pPr>
      <w:bookmarkStart w:id="11" w:name="_Toc404845910"/>
      <w:bookmarkStart w:id="12" w:name="_Toc486413624"/>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486413625"/>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15" w:name="_Toc404845912"/>
      <w:bookmarkStart w:id="16" w:name="_Toc486413626"/>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17" w:name="_Toc404845913"/>
      <w:bookmarkStart w:id="18" w:name="_Toc486413627"/>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19" w:name="_Toc404845914"/>
      <w:bookmarkStart w:id="20" w:name="_Toc486413628"/>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21" w:name="_Toc404845915"/>
      <w:bookmarkStart w:id="22" w:name="_Toc486413629"/>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 2000 p. 7218.]</w:t>
      </w:r>
    </w:p>
    <w:p>
      <w:pPr>
        <w:pStyle w:val="Heading5"/>
      </w:pPr>
      <w:bookmarkStart w:id="23" w:name="_Toc486413630"/>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in Gazette 30 Jun 2015 p. 2345.]</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 w:name="_Toc482954538"/>
      <w:bookmarkStart w:id="25" w:name="_Toc482954602"/>
      <w:bookmarkStart w:id="26" w:name="_Toc482954752"/>
      <w:bookmarkStart w:id="27" w:name="_Toc482969316"/>
      <w:bookmarkStart w:id="28" w:name="_Toc482969380"/>
      <w:bookmarkStart w:id="29" w:name="_Toc482969444"/>
      <w:bookmarkStart w:id="30" w:name="_Toc486413631"/>
      <w:bookmarkStart w:id="31" w:name="_Toc404845916"/>
      <w:bookmarkStart w:id="32" w:name="_Toc423414571"/>
      <w:bookmarkStart w:id="33" w:name="_Toc423506270"/>
      <w:bookmarkStart w:id="34" w:name="_Toc455397908"/>
      <w:r>
        <w:rPr>
          <w:rStyle w:val="CharSchNo"/>
        </w:rPr>
        <w:t>Schedule 1</w:t>
      </w:r>
      <w:r>
        <w:rPr>
          <w:rStyle w:val="CharSDivNo"/>
        </w:rPr>
        <w:t> </w:t>
      </w:r>
      <w:r>
        <w:t>—</w:t>
      </w:r>
      <w:r>
        <w:rPr>
          <w:rStyle w:val="CharSDivText"/>
        </w:rPr>
        <w:t> </w:t>
      </w:r>
      <w:r>
        <w:rPr>
          <w:rStyle w:val="CharSchText"/>
        </w:rPr>
        <w:t>Prescribed fees</w:t>
      </w:r>
      <w:bookmarkEnd w:id="24"/>
      <w:bookmarkEnd w:id="25"/>
      <w:bookmarkEnd w:id="26"/>
      <w:bookmarkEnd w:id="27"/>
      <w:bookmarkEnd w:id="28"/>
      <w:bookmarkEnd w:id="29"/>
      <w:bookmarkEnd w:id="30"/>
    </w:p>
    <w:p>
      <w:pPr>
        <w:pStyle w:val="yShoulderClause"/>
      </w:pPr>
      <w:r>
        <w:t>[r. 3(1)]</w:t>
      </w:r>
    </w:p>
    <w:p>
      <w:pPr>
        <w:pStyle w:val="yFootnoteheading"/>
        <w:spacing w:after="120"/>
      </w:pPr>
      <w:r>
        <w:tab/>
        <w:t>[Heading inserted in Gazette 23 Jun 2017 p. 3301.]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keepNext/>
              <w:jc w:val="center"/>
              <w:rPr>
                <w:b/>
                <w:szCs w:val="22"/>
              </w:rPr>
            </w:pPr>
            <w:r>
              <w:rPr>
                <w:b/>
                <w:szCs w:val="22"/>
              </w:rPr>
              <w:t>Column 1</w:t>
            </w:r>
            <w:r>
              <w:rPr>
                <w:b/>
                <w:szCs w:val="22"/>
              </w:rPr>
              <w:br/>
              <w:t>Item</w:t>
            </w:r>
          </w:p>
        </w:tc>
        <w:tc>
          <w:tcPr>
            <w:tcW w:w="2126" w:type="dxa"/>
          </w:tcPr>
          <w:p>
            <w:pPr>
              <w:pStyle w:val="yTableNAm"/>
              <w:keepNext/>
              <w:jc w:val="center"/>
              <w:rPr>
                <w:b/>
                <w:szCs w:val="22"/>
              </w:rPr>
            </w:pPr>
            <w:r>
              <w:rPr>
                <w:b/>
                <w:szCs w:val="22"/>
              </w:rPr>
              <w:t>Column 2</w:t>
            </w:r>
            <w:r>
              <w:rPr>
                <w:b/>
                <w:szCs w:val="22"/>
              </w:rPr>
              <w:br/>
              <w:t>Provision of Act</w:t>
            </w:r>
          </w:p>
        </w:tc>
        <w:tc>
          <w:tcPr>
            <w:tcW w:w="2835" w:type="dxa"/>
          </w:tcPr>
          <w:p>
            <w:pPr>
              <w:pStyle w:val="yTableNAm"/>
              <w:keepNext/>
              <w:jc w:val="center"/>
              <w:rPr>
                <w:b/>
                <w:szCs w:val="22"/>
              </w:rPr>
            </w:pPr>
            <w:r>
              <w:rPr>
                <w:b/>
                <w:szCs w:val="22"/>
              </w:rPr>
              <w:t>Column 3</w:t>
            </w:r>
            <w:r>
              <w:rPr>
                <w:b/>
                <w:szCs w:val="22"/>
              </w:rPr>
              <w:br/>
              <w:t>Amount of prescribed fee</w:t>
            </w:r>
            <w:r>
              <w:rPr>
                <w:b/>
                <w:szCs w:val="22"/>
              </w:rPr>
              <w:br/>
              <w:t>($)</w:t>
            </w:r>
          </w:p>
        </w:tc>
      </w:tr>
      <w:tr>
        <w:trPr>
          <w:jc w:val="center"/>
        </w:trPr>
        <w:tc>
          <w:tcPr>
            <w:tcW w:w="1276" w:type="dxa"/>
          </w:tcPr>
          <w:p>
            <w:pPr>
              <w:pStyle w:val="yTableNAm"/>
              <w:keepNext/>
              <w:jc w:val="center"/>
              <w:rPr>
                <w:szCs w:val="22"/>
              </w:rPr>
            </w:pPr>
            <w:r>
              <w:rPr>
                <w:szCs w:val="22"/>
              </w:rPr>
              <w:t>1.</w:t>
            </w:r>
          </w:p>
        </w:tc>
        <w:tc>
          <w:tcPr>
            <w:tcW w:w="2126" w:type="dxa"/>
          </w:tcPr>
          <w:p>
            <w:pPr>
              <w:pStyle w:val="yTableNAm"/>
              <w:keepNext/>
              <w:rPr>
                <w:szCs w:val="22"/>
              </w:rPr>
            </w:pPr>
            <w:r>
              <w:rPr>
                <w:szCs w:val="22"/>
              </w:rPr>
              <w:t>s. 21(1)(f)</w:t>
            </w:r>
          </w:p>
        </w:tc>
        <w:tc>
          <w:tcPr>
            <w:tcW w:w="2835" w:type="dxa"/>
          </w:tcPr>
          <w:p>
            <w:pPr>
              <w:pStyle w:val="yTableNAm"/>
              <w:keepNext/>
              <w:jc w:val="center"/>
              <w:rPr>
                <w:szCs w:val="22"/>
              </w:rPr>
            </w:pPr>
            <w:r>
              <w:rPr>
                <w:szCs w:val="22"/>
              </w:rPr>
              <w:t>6 209.00</w:t>
            </w:r>
          </w:p>
        </w:tc>
      </w:tr>
      <w:tr>
        <w:trPr>
          <w:jc w:val="center"/>
        </w:trPr>
        <w:tc>
          <w:tcPr>
            <w:tcW w:w="1276" w:type="dxa"/>
          </w:tcPr>
          <w:p>
            <w:pPr>
              <w:pStyle w:val="yTableNAm"/>
              <w:jc w:val="center"/>
              <w:rPr>
                <w:szCs w:val="22"/>
              </w:rPr>
            </w:pPr>
            <w:r>
              <w:rPr>
                <w:szCs w:val="22"/>
              </w:rPr>
              <w:t>2.</w:t>
            </w:r>
          </w:p>
        </w:tc>
        <w:tc>
          <w:tcPr>
            <w:tcW w:w="2126" w:type="dxa"/>
          </w:tcPr>
          <w:p>
            <w:pPr>
              <w:pStyle w:val="yTableNAm"/>
              <w:rPr>
                <w:szCs w:val="22"/>
              </w:rPr>
            </w:pPr>
            <w:r>
              <w:rPr>
                <w:szCs w:val="22"/>
              </w:rPr>
              <w:t>s. 24(1)(a)</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3.</w:t>
            </w:r>
          </w:p>
        </w:tc>
        <w:tc>
          <w:tcPr>
            <w:tcW w:w="2126" w:type="dxa"/>
          </w:tcPr>
          <w:p>
            <w:pPr>
              <w:pStyle w:val="yTableNAm"/>
              <w:rPr>
                <w:szCs w:val="22"/>
              </w:rPr>
            </w:pPr>
            <w:r>
              <w:rPr>
                <w:szCs w:val="22"/>
              </w:rPr>
              <w:t>s. 30(2)(c)</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4.</w:t>
            </w:r>
          </w:p>
        </w:tc>
        <w:tc>
          <w:tcPr>
            <w:tcW w:w="2126" w:type="dxa"/>
          </w:tcPr>
          <w:p>
            <w:pPr>
              <w:pStyle w:val="yTableNAm"/>
              <w:rPr>
                <w:szCs w:val="22"/>
              </w:rPr>
            </w:pPr>
            <w:r>
              <w:rPr>
                <w:szCs w:val="22"/>
              </w:rPr>
              <w:t>s. 38A(2)(e)</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5.</w:t>
            </w:r>
          </w:p>
        </w:tc>
        <w:tc>
          <w:tcPr>
            <w:tcW w:w="2126" w:type="dxa"/>
          </w:tcPr>
          <w:p>
            <w:pPr>
              <w:pStyle w:val="yTableNAm"/>
              <w:rPr>
                <w:szCs w:val="22"/>
              </w:rPr>
            </w:pPr>
            <w:r>
              <w:rPr>
                <w:szCs w:val="22"/>
              </w:rPr>
              <w:t>s. 38CA(2)(d)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6.</w:t>
            </w:r>
          </w:p>
        </w:tc>
        <w:tc>
          <w:tcPr>
            <w:tcW w:w="2126" w:type="dxa"/>
          </w:tcPr>
          <w:p>
            <w:pPr>
              <w:pStyle w:val="yTableNAm"/>
              <w:rPr>
                <w:szCs w:val="22"/>
              </w:rPr>
            </w:pPr>
            <w:r>
              <w:rPr>
                <w:szCs w:val="22"/>
              </w:rPr>
              <w:t>s. 38F(2)(d)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7.</w:t>
            </w:r>
          </w:p>
        </w:tc>
        <w:tc>
          <w:tcPr>
            <w:tcW w:w="2126" w:type="dxa"/>
          </w:tcPr>
          <w:p>
            <w:pPr>
              <w:pStyle w:val="yTableNAm"/>
              <w:rPr>
                <w:szCs w:val="22"/>
              </w:rPr>
            </w:pPr>
            <w:r>
              <w:rPr>
                <w:szCs w:val="22"/>
              </w:rPr>
              <w:t>s. 41(1)(e)</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8.</w:t>
            </w:r>
          </w:p>
        </w:tc>
        <w:tc>
          <w:tcPr>
            <w:tcW w:w="2126" w:type="dxa"/>
          </w:tcPr>
          <w:p>
            <w:pPr>
              <w:pStyle w:val="yTableNAm"/>
              <w:rPr>
                <w:szCs w:val="22"/>
              </w:rPr>
            </w:pPr>
            <w:r>
              <w:rPr>
                <w:szCs w:val="22"/>
              </w:rPr>
              <w:t>s. 48(1)(a)</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9.</w:t>
            </w:r>
          </w:p>
        </w:tc>
        <w:tc>
          <w:tcPr>
            <w:tcW w:w="2126" w:type="dxa"/>
          </w:tcPr>
          <w:p>
            <w:pPr>
              <w:pStyle w:val="yTableNAm"/>
              <w:rPr>
                <w:szCs w:val="22"/>
              </w:rPr>
            </w:pPr>
            <w:r>
              <w:rPr>
                <w:szCs w:val="22"/>
              </w:rPr>
              <w:t>s. 51(2)(e)</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10.</w:t>
            </w:r>
          </w:p>
        </w:tc>
        <w:tc>
          <w:tcPr>
            <w:tcW w:w="2126" w:type="dxa"/>
          </w:tcPr>
          <w:p>
            <w:pPr>
              <w:pStyle w:val="yTableNAm"/>
              <w:rPr>
                <w:szCs w:val="22"/>
              </w:rPr>
            </w:pPr>
            <w:r>
              <w:rPr>
                <w:szCs w:val="22"/>
              </w:rPr>
              <w:t>s. 54(2)(d)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11.</w:t>
            </w:r>
          </w:p>
        </w:tc>
        <w:tc>
          <w:tcPr>
            <w:tcW w:w="2126" w:type="dxa"/>
          </w:tcPr>
          <w:p>
            <w:pPr>
              <w:pStyle w:val="yTableNAm"/>
              <w:rPr>
                <w:szCs w:val="22"/>
              </w:rPr>
            </w:pPr>
            <w:r>
              <w:rPr>
                <w:szCs w:val="22"/>
              </w:rPr>
              <w:t>s. 60B(2)(d)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12.</w:t>
            </w:r>
          </w:p>
        </w:tc>
        <w:tc>
          <w:tcPr>
            <w:tcW w:w="2126" w:type="dxa"/>
          </w:tcPr>
          <w:p>
            <w:pPr>
              <w:pStyle w:val="yTableNAm"/>
              <w:rPr>
                <w:szCs w:val="22"/>
              </w:rPr>
            </w:pPr>
            <w:r>
              <w:rPr>
                <w:szCs w:val="22"/>
              </w:rPr>
              <w:t>s. 60J(2)(d)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13.</w:t>
            </w:r>
          </w:p>
        </w:tc>
        <w:tc>
          <w:tcPr>
            <w:tcW w:w="2126" w:type="dxa"/>
          </w:tcPr>
          <w:p>
            <w:pPr>
              <w:pStyle w:val="yTableNAm"/>
              <w:rPr>
                <w:szCs w:val="22"/>
              </w:rPr>
            </w:pPr>
            <w:r>
              <w:rPr>
                <w:szCs w:val="22"/>
              </w:rPr>
              <w:t>s. 64(1)(f)</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14.</w:t>
            </w:r>
          </w:p>
        </w:tc>
        <w:tc>
          <w:tcPr>
            <w:tcW w:w="2126" w:type="dxa"/>
          </w:tcPr>
          <w:p>
            <w:pPr>
              <w:pStyle w:val="yTableNAm"/>
              <w:rPr>
                <w:szCs w:val="22"/>
              </w:rPr>
            </w:pPr>
            <w:r>
              <w:rPr>
                <w:szCs w:val="22"/>
              </w:rPr>
              <w:t>s. 71(2)(e)</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15.</w:t>
            </w:r>
          </w:p>
        </w:tc>
        <w:tc>
          <w:tcPr>
            <w:tcW w:w="2126" w:type="dxa"/>
          </w:tcPr>
          <w:p>
            <w:pPr>
              <w:pStyle w:val="yTableNAm"/>
              <w:rPr>
                <w:szCs w:val="22"/>
              </w:rPr>
            </w:pPr>
            <w:r>
              <w:rPr>
                <w:szCs w:val="22"/>
              </w:rPr>
              <w:t>s. 79(2)</w:t>
            </w:r>
          </w:p>
        </w:tc>
        <w:tc>
          <w:tcPr>
            <w:tcW w:w="2835" w:type="dxa"/>
          </w:tcPr>
          <w:p>
            <w:pPr>
              <w:pStyle w:val="yTableNAm"/>
              <w:jc w:val="center"/>
              <w:rPr>
                <w:szCs w:val="22"/>
              </w:rPr>
            </w:pPr>
            <w:r>
              <w:rPr>
                <w:szCs w:val="22"/>
              </w:rPr>
              <w:t>123.00</w:t>
            </w:r>
          </w:p>
        </w:tc>
      </w:tr>
      <w:tr>
        <w:trPr>
          <w:jc w:val="center"/>
        </w:trPr>
        <w:tc>
          <w:tcPr>
            <w:tcW w:w="1276" w:type="dxa"/>
          </w:tcPr>
          <w:p>
            <w:pPr>
              <w:pStyle w:val="yTableNAm"/>
              <w:jc w:val="center"/>
              <w:rPr>
                <w:szCs w:val="22"/>
              </w:rPr>
            </w:pPr>
            <w:r>
              <w:rPr>
                <w:szCs w:val="22"/>
              </w:rPr>
              <w:t>16.</w:t>
            </w:r>
          </w:p>
        </w:tc>
        <w:tc>
          <w:tcPr>
            <w:tcW w:w="2126" w:type="dxa"/>
          </w:tcPr>
          <w:p>
            <w:pPr>
              <w:pStyle w:val="yTableNAm"/>
              <w:rPr>
                <w:szCs w:val="22"/>
              </w:rPr>
            </w:pPr>
            <w:r>
              <w:rPr>
                <w:szCs w:val="22"/>
              </w:rPr>
              <w:t>s. 79(3)(b)</w:t>
            </w:r>
          </w:p>
        </w:tc>
        <w:tc>
          <w:tcPr>
            <w:tcW w:w="2835" w:type="dxa"/>
          </w:tcPr>
          <w:p>
            <w:pPr>
              <w:pStyle w:val="yTableNAm"/>
              <w:jc w:val="center"/>
              <w:rPr>
                <w:szCs w:val="22"/>
              </w:rPr>
            </w:pPr>
            <w:r>
              <w:rPr>
                <w:szCs w:val="22"/>
              </w:rPr>
              <w:t>123.00</w:t>
            </w:r>
          </w:p>
        </w:tc>
      </w:tr>
      <w:tr>
        <w:trPr>
          <w:jc w:val="center"/>
        </w:trPr>
        <w:tc>
          <w:tcPr>
            <w:tcW w:w="1276" w:type="dxa"/>
          </w:tcPr>
          <w:p>
            <w:pPr>
              <w:pStyle w:val="yTableNAm"/>
              <w:jc w:val="center"/>
              <w:rPr>
                <w:szCs w:val="22"/>
              </w:rPr>
            </w:pPr>
            <w:r>
              <w:rPr>
                <w:szCs w:val="22"/>
              </w:rPr>
              <w:t>17.</w:t>
            </w:r>
          </w:p>
        </w:tc>
        <w:tc>
          <w:tcPr>
            <w:tcW w:w="2126" w:type="dxa"/>
          </w:tcPr>
          <w:p>
            <w:pPr>
              <w:pStyle w:val="yTableNAm"/>
              <w:rPr>
                <w:szCs w:val="22"/>
              </w:rPr>
            </w:pPr>
            <w:r>
              <w:rPr>
                <w:szCs w:val="22"/>
              </w:rPr>
              <w:t>s. 86(1)</w:t>
            </w:r>
          </w:p>
        </w:tc>
        <w:tc>
          <w:tcPr>
            <w:tcW w:w="2835" w:type="dxa"/>
          </w:tcPr>
          <w:p>
            <w:pPr>
              <w:pStyle w:val="yTableNAm"/>
              <w:jc w:val="center"/>
              <w:rPr>
                <w:szCs w:val="22"/>
              </w:rPr>
            </w:pPr>
            <w:r>
              <w:rPr>
                <w:szCs w:val="22"/>
              </w:rPr>
              <w:t>123.00</w:t>
            </w:r>
          </w:p>
        </w:tc>
      </w:tr>
      <w:tr>
        <w:trPr>
          <w:jc w:val="center"/>
        </w:trPr>
        <w:tc>
          <w:tcPr>
            <w:tcW w:w="1276" w:type="dxa"/>
          </w:tcPr>
          <w:p>
            <w:pPr>
              <w:pStyle w:val="yTableNAm"/>
              <w:jc w:val="center"/>
              <w:rPr>
                <w:szCs w:val="22"/>
              </w:rPr>
            </w:pPr>
            <w:r>
              <w:rPr>
                <w:szCs w:val="22"/>
              </w:rPr>
              <w:t>18.</w:t>
            </w:r>
          </w:p>
        </w:tc>
        <w:tc>
          <w:tcPr>
            <w:tcW w:w="2126" w:type="dxa"/>
          </w:tcPr>
          <w:p>
            <w:pPr>
              <w:pStyle w:val="yTableNAm"/>
              <w:rPr>
                <w:szCs w:val="22"/>
              </w:rPr>
            </w:pPr>
            <w:r>
              <w:rPr>
                <w:szCs w:val="22"/>
              </w:rPr>
              <w:t>s. 87(3)</w:t>
            </w:r>
          </w:p>
        </w:tc>
        <w:tc>
          <w:tcPr>
            <w:tcW w:w="2835" w:type="dxa"/>
          </w:tcPr>
          <w:p>
            <w:pPr>
              <w:pStyle w:val="yTableNAm"/>
              <w:jc w:val="center"/>
              <w:rPr>
                <w:szCs w:val="22"/>
              </w:rPr>
            </w:pPr>
            <w:r>
              <w:rPr>
                <w:szCs w:val="22"/>
              </w:rPr>
              <w:t>123.00</w:t>
            </w:r>
          </w:p>
        </w:tc>
      </w:tr>
      <w:tr>
        <w:trPr>
          <w:jc w:val="center"/>
        </w:trPr>
        <w:tc>
          <w:tcPr>
            <w:tcW w:w="1276" w:type="dxa"/>
          </w:tcPr>
          <w:p>
            <w:pPr>
              <w:pStyle w:val="yTableNAm"/>
              <w:jc w:val="center"/>
              <w:rPr>
                <w:szCs w:val="22"/>
              </w:rPr>
            </w:pPr>
            <w:r>
              <w:rPr>
                <w:szCs w:val="22"/>
              </w:rPr>
              <w:t>19.</w:t>
            </w:r>
          </w:p>
        </w:tc>
        <w:tc>
          <w:tcPr>
            <w:tcW w:w="2126" w:type="dxa"/>
          </w:tcPr>
          <w:p>
            <w:pPr>
              <w:pStyle w:val="yTableNAm"/>
              <w:rPr>
                <w:szCs w:val="22"/>
              </w:rPr>
            </w:pPr>
            <w:r>
              <w:rPr>
                <w:szCs w:val="22"/>
              </w:rPr>
              <w:t>s. 111(2)(d)</w:t>
            </w:r>
          </w:p>
        </w:tc>
        <w:tc>
          <w:tcPr>
            <w:tcW w:w="2835" w:type="dxa"/>
          </w:tcPr>
          <w:p>
            <w:pPr>
              <w:pStyle w:val="yTableNAm"/>
              <w:jc w:val="center"/>
              <w:rPr>
                <w:szCs w:val="22"/>
              </w:rPr>
            </w:pPr>
            <w:r>
              <w:rPr>
                <w:szCs w:val="22"/>
              </w:rPr>
              <w:t>6 209.00</w:t>
            </w:r>
          </w:p>
        </w:tc>
      </w:tr>
      <w:tr>
        <w:trPr>
          <w:jc w:val="center"/>
        </w:trPr>
        <w:tc>
          <w:tcPr>
            <w:tcW w:w="1276" w:type="dxa"/>
          </w:tcPr>
          <w:p>
            <w:pPr>
              <w:pStyle w:val="yTableNAm"/>
              <w:jc w:val="center"/>
              <w:rPr>
                <w:szCs w:val="22"/>
              </w:rPr>
            </w:pPr>
            <w:r>
              <w:rPr>
                <w:szCs w:val="22"/>
              </w:rPr>
              <w:t>20.</w:t>
            </w:r>
          </w:p>
        </w:tc>
        <w:tc>
          <w:tcPr>
            <w:tcW w:w="2126" w:type="dxa"/>
          </w:tcPr>
          <w:p>
            <w:pPr>
              <w:pStyle w:val="yTableNAm"/>
              <w:rPr>
                <w:szCs w:val="22"/>
              </w:rPr>
            </w:pPr>
            <w:r>
              <w:rPr>
                <w:szCs w:val="22"/>
              </w:rPr>
              <w:t>s. 141</w:t>
            </w:r>
          </w:p>
        </w:tc>
        <w:tc>
          <w:tcPr>
            <w:tcW w:w="2835" w:type="dxa"/>
          </w:tcPr>
          <w:p>
            <w:pPr>
              <w:pStyle w:val="yTableNAm"/>
              <w:jc w:val="center"/>
              <w:rPr>
                <w:szCs w:val="22"/>
              </w:rPr>
            </w:pPr>
            <w:r>
              <w:rPr>
                <w:szCs w:val="22"/>
              </w:rPr>
              <w:t>197.00</w:t>
            </w:r>
          </w:p>
        </w:tc>
      </w:tr>
    </w:tbl>
    <w:p>
      <w:pPr>
        <w:pStyle w:val="yFootnotesection"/>
      </w:pPr>
      <w:r>
        <w:tab/>
        <w:t>[Schedule 1 inserted in Gazette 23 Jun 2017 p. 3301</w:t>
      </w:r>
      <w:r>
        <w:noBreakHyphen/>
        <w:t>2.]</w:t>
      </w:r>
    </w:p>
    <w:bookmarkEnd w:id="31"/>
    <w:bookmarkEnd w:id="32"/>
    <w:bookmarkEnd w:id="33"/>
    <w:bookmarkEnd w:id="34"/>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6" w:name="_Toc404845917"/>
      <w:bookmarkStart w:id="37" w:name="_Toc423414572"/>
      <w:bookmarkStart w:id="38" w:name="_Toc423506271"/>
      <w:bookmarkStart w:id="39" w:name="_Toc455397909"/>
      <w:bookmarkStart w:id="40" w:name="_Toc486413632"/>
      <w:r>
        <w:rPr>
          <w:rStyle w:val="CharSchNo"/>
        </w:rPr>
        <w:t>Schedule 2</w:t>
      </w:r>
      <w:bookmarkEnd w:id="36"/>
      <w:bookmarkEnd w:id="37"/>
      <w:bookmarkEnd w:id="38"/>
      <w:bookmarkEnd w:id="39"/>
      <w:bookmarkEnd w:id="40"/>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30"/>
          <w:pgSz w:w="11907" w:h="16840" w:code="9"/>
          <w:pgMar w:top="2381" w:right="2409" w:bottom="3543" w:left="2409" w:header="720" w:footer="3380" w:gutter="0"/>
          <w:cols w:space="720"/>
          <w:noEndnote/>
          <w:docGrid w:linePitch="326"/>
        </w:sectPr>
      </w:pPr>
    </w:p>
    <w:p>
      <w:pPr>
        <w:pStyle w:val="nHeading2"/>
      </w:pPr>
      <w:bookmarkStart w:id="41" w:name="_Toc404845918"/>
      <w:bookmarkStart w:id="42" w:name="_Toc423414573"/>
      <w:bookmarkStart w:id="43" w:name="_Toc423506272"/>
      <w:bookmarkStart w:id="44" w:name="_Toc455397910"/>
      <w:bookmarkStart w:id="45" w:name="_Toc486413633"/>
      <w:r>
        <w:t>Notes</w:t>
      </w:r>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404845919"/>
      <w:bookmarkStart w:id="47" w:name="_Toc486413634"/>
      <w:r>
        <w:rPr>
          <w:snapToGrid w:val="0"/>
        </w:rPr>
        <w:t>Compilation table</w:t>
      </w:r>
      <w:bookmarkEnd w:id="46"/>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gridSpan w:val="2"/>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gridSpan w:val="2"/>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gridSpan w:val="2"/>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gridSpan w:val="2"/>
          </w:tcPr>
          <w:p>
            <w:pPr>
              <w:pStyle w:val="nTable"/>
              <w:spacing w:after="40"/>
            </w:pPr>
            <w:r>
              <w:t xml:space="preserve">16 Dec 2000 (see r. 2 and </w:t>
            </w:r>
            <w:r>
              <w:rPr>
                <w:i/>
              </w:rPr>
              <w:t xml:space="preserve">Gazette </w:t>
            </w:r>
            <w:r>
              <w:t>15 Dec 2000 p. 7201)</w:t>
            </w:r>
          </w:p>
        </w:tc>
      </w:tr>
      <w:tr>
        <w:trPr>
          <w:cantSplit/>
        </w:trPr>
        <w:tc>
          <w:tcPr>
            <w:tcW w:w="7088" w:type="dxa"/>
            <w:gridSpan w:val="4"/>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gridSpan w:val="2"/>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gridSpan w:val="2"/>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gridSpan w:val="2"/>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gridSpan w:val="2"/>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gridSpan w:val="2"/>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trPr>
        <w:tc>
          <w:tcPr>
            <w:tcW w:w="3118"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4" w:type="dxa"/>
            <w:gridSpan w:val="2"/>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cantSplit/>
        </w:trPr>
        <w:tc>
          <w:tcPr>
            <w:tcW w:w="3118"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4" w:type="dxa"/>
            <w:gridSpan w:val="2"/>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4" w:type="dxa"/>
            <w:gridSpan w:val="2"/>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rPr>
          <w:gridAfter w:val="1"/>
          <w:wAfter w:w="28" w:type="dxa"/>
        </w:trPr>
        <w:tc>
          <w:tcPr>
            <w:tcW w:w="3119" w:type="dxa"/>
            <w:tcBorders>
              <w:top w:val="nil"/>
              <w:bottom w:val="single" w:sz="4" w:space="0" w:color="auto"/>
            </w:tcBorders>
          </w:tcPr>
          <w:p>
            <w:pPr>
              <w:pStyle w:val="nTable"/>
              <w:spacing w:after="40"/>
            </w:pPr>
            <w:r>
              <w:rPr>
                <w:i/>
              </w:rPr>
              <w:t>Mines and Petroleum Regulations Amendment (Fees and Charges) Regulations 2017</w:t>
            </w:r>
            <w:r>
              <w:t xml:space="preserve"> Pt. 12</w:t>
            </w:r>
          </w:p>
        </w:tc>
        <w:tc>
          <w:tcPr>
            <w:tcW w:w="1276" w:type="dxa"/>
            <w:tcBorders>
              <w:top w:val="nil"/>
              <w:bottom w:val="single" w:sz="4" w:space="0" w:color="auto"/>
            </w:tcBorders>
          </w:tcPr>
          <w:p>
            <w:pPr>
              <w:pStyle w:val="nTable"/>
              <w:spacing w:after="40"/>
            </w:pPr>
            <w:r>
              <w:t>23 Jun 2017 p. 3279</w:t>
            </w:r>
            <w:r>
              <w:noBreakHyphen/>
              <w:t>309</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31"/>
          <w:headerReference w:type="default" r:id="rId32"/>
          <w:type w:val="continuous"/>
          <w:pgSz w:w="11907" w:h="16840" w:code="9"/>
          <w:pgMar w:top="2381" w:right="2410" w:bottom="3544" w:left="2410" w:header="720" w:footer="3380" w:gutter="0"/>
          <w:cols w:space="720"/>
          <w:noEndnote/>
          <w:docGrid w:linePitch="326"/>
        </w:sectPr>
      </w:pPr>
    </w:p>
    <w:p>
      <w:pPr>
        <w:pStyle w:val="nHeading2"/>
        <w:rPr>
          <w:sz w:val="28"/>
        </w:rPr>
      </w:pPr>
      <w:bookmarkStart w:id="49" w:name="_Toc423506274"/>
      <w:bookmarkStart w:id="50" w:name="_Toc455397912"/>
      <w:bookmarkStart w:id="51" w:name="_Toc486413635"/>
      <w:r>
        <w:rPr>
          <w:sz w:val="28"/>
        </w:rPr>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927A9-1CF5-4366-815D-2E38EF9A5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3285</Words>
  <Characters>16000</Characters>
  <Application>Microsoft Office Word</Application>
  <DocSecurity>0</DocSecurity>
  <Lines>615</Lines>
  <Paragraphs>419</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1990 - 03-d0-00</dc:title>
  <dc:subject/>
  <dc:creator/>
  <cp:keywords/>
  <dc:description/>
  <cp:lastModifiedBy>svcMRProcess</cp:lastModifiedBy>
  <cp:revision>4</cp:revision>
  <cp:lastPrinted>2014-11-25T02:07:00Z</cp:lastPrinted>
  <dcterms:created xsi:type="dcterms:W3CDTF">2020-02-27T13:46:00Z</dcterms:created>
  <dcterms:modified xsi:type="dcterms:W3CDTF">2020-02-27T13:46:00Z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2017</vt:lpwstr>
  </property>
  <property fmtid="{D5CDD505-2E9C-101B-9397-08002B2CF9AE}" pid="8" name="Suffix">
    <vt:lpwstr>03-d0-00</vt:lpwstr>
  </property>
  <property fmtid="{D5CDD505-2E9C-101B-9397-08002B2CF9AE}" pid="9" name="CommencementDate">
    <vt:lpwstr>20170701</vt:lpwstr>
  </property>
</Properties>
</file>