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_Toc486422885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_Toc486422886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_Toc486422887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these regulations</w:t>
      </w:r>
      <w:r>
        <w:tab/>
      </w:r>
      <w:r>
        <w:fldChar w:fldCharType="begin"/>
      </w:r>
      <w:r>
        <w:instrText xml:space="preserve"> PAGEREF _Toc486422888 \h </w:instrText>
      </w:r>
      <w:r>
        <w:fldChar w:fldCharType="separate"/>
      </w:r>
      <w:r>
        <w:t>2</w:t>
      </w:r>
      <w:r>
        <w:fldChar w:fldCharType="end"/>
      </w:r>
    </w:p>
    <w:p>
      <w:pPr>
        <w:pStyle w:val="TOC8"/>
        <w:rPr>
          <w:rFonts w:asciiTheme="minorHAnsi" w:eastAsiaTheme="minorEastAsia" w:hAnsiTheme="minorHAnsi" w:cstheme="minorBidi"/>
          <w:szCs w:val="22"/>
        </w:rPr>
      </w:pPr>
      <w:r>
        <w:t>4AA.</w:t>
      </w:r>
      <w:r>
        <w:rPr>
          <w:snapToGrid w:val="0"/>
        </w:rPr>
        <w:tab/>
        <w:t>Classification of vessels</w:t>
      </w:r>
      <w:r>
        <w:tab/>
      </w:r>
      <w:r>
        <w:fldChar w:fldCharType="begin"/>
      </w:r>
      <w:r>
        <w:instrText xml:space="preserve"> PAGEREF _Toc486422889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Fees and charges (Sch. 1)</w:t>
      </w:r>
      <w:r>
        <w:tab/>
      </w:r>
      <w:r>
        <w:fldChar w:fldCharType="begin"/>
      </w:r>
      <w:r>
        <w:instrText xml:space="preserve"> PAGEREF _Toc486422890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Survey requirements</w:t>
      </w:r>
    </w:p>
    <w:p>
      <w:pPr>
        <w:pStyle w:val="TOC8"/>
        <w:rPr>
          <w:rFonts w:asciiTheme="minorHAnsi" w:eastAsiaTheme="minorEastAsia" w:hAnsiTheme="minorHAnsi" w:cstheme="minorBidi"/>
          <w:szCs w:val="22"/>
        </w:rPr>
      </w:pPr>
      <w:r>
        <w:t>5</w:t>
      </w:r>
      <w:r>
        <w:rPr>
          <w:snapToGrid w:val="0"/>
        </w:rPr>
        <w:t>.</w:t>
      </w:r>
      <w:r>
        <w:rPr>
          <w:snapToGrid w:val="0"/>
        </w:rPr>
        <w:tab/>
        <w:t>Initial survey</w:t>
      </w:r>
      <w:r>
        <w:tab/>
      </w:r>
      <w:r>
        <w:fldChar w:fldCharType="begin"/>
      </w:r>
      <w:r>
        <w:instrText xml:space="preserve"> PAGEREF _Toc486422892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Periodic surveys and inspections</w:t>
      </w:r>
      <w:r>
        <w:tab/>
      </w:r>
      <w:r>
        <w:fldChar w:fldCharType="begin"/>
      </w:r>
      <w:r>
        <w:instrText xml:space="preserve"> PAGEREF _Toc486422893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Half of fee under r. 5(2) and 6(6) payable if vessel is classed</w:t>
      </w:r>
      <w:r>
        <w:tab/>
      </w:r>
      <w:r>
        <w:fldChar w:fldCharType="begin"/>
      </w:r>
      <w:r>
        <w:instrText xml:space="preserve"> PAGEREF _Toc486422894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Random inspections, power to make</w:t>
      </w:r>
      <w:r>
        <w:tab/>
      </w:r>
      <w:r>
        <w:fldChar w:fldCharType="begin"/>
      </w:r>
      <w:r>
        <w:instrText xml:space="preserve"> PAGEREF _Toc486422895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factors affecting survey, owner to inform CEO of</w:t>
      </w:r>
      <w:r>
        <w:tab/>
      </w:r>
      <w:r>
        <w:fldChar w:fldCharType="begin"/>
      </w:r>
      <w:r>
        <w:instrText xml:space="preserve"> PAGEREF _Toc486422896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Accidents etc. to or on vessel, owner to inform CEO of</w:t>
      </w:r>
      <w:r>
        <w:tab/>
      </w:r>
      <w:r>
        <w:fldChar w:fldCharType="begin"/>
      </w:r>
      <w:r>
        <w:instrText xml:space="preserve"> PAGEREF _Toc486422897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 2E and 3E vessels, CEO may exempt from survey</w:t>
      </w:r>
      <w:r>
        <w:tab/>
      </w:r>
      <w:r>
        <w:fldChar w:fldCharType="begin"/>
      </w:r>
      <w:r>
        <w:instrText xml:space="preserve"> PAGEREF _Toc486422898 \h </w:instrText>
      </w:r>
      <w:r>
        <w:fldChar w:fldCharType="separate"/>
      </w:r>
      <w:r>
        <w:t>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Certain fishing vessels and class 2 vessels exempt from r. 5 and 6</w:t>
      </w:r>
      <w:r>
        <w:tab/>
      </w:r>
      <w:r>
        <w:fldChar w:fldCharType="begin"/>
      </w:r>
      <w:r>
        <w:instrText xml:space="preserve"> PAGEREF _Toc486422899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w:t>
      </w:r>
    </w:p>
    <w:p>
      <w:pPr>
        <w:pStyle w:val="TOC8"/>
        <w:rPr>
          <w:rFonts w:asciiTheme="minorHAnsi" w:eastAsiaTheme="minorEastAsia" w:hAnsiTheme="minorHAnsi" w:cstheme="minorBidi"/>
          <w:szCs w:val="22"/>
        </w:rPr>
      </w:pPr>
      <w:r>
        <w:t>11</w:t>
      </w:r>
      <w:r>
        <w:rPr>
          <w:snapToGrid w:val="0"/>
        </w:rPr>
        <w:t>.</w:t>
      </w:r>
      <w:r>
        <w:rPr>
          <w:snapToGrid w:val="0"/>
        </w:rPr>
        <w:tab/>
        <w:t>Certificate of survey, content and issue of</w:t>
      </w:r>
      <w:r>
        <w:tab/>
      </w:r>
      <w:r>
        <w:fldChar w:fldCharType="begin"/>
      </w:r>
      <w:r>
        <w:instrText xml:space="preserve"> PAGEREF _Toc486422901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Compliance with survey requirements, evidence of on vessel</w:t>
      </w:r>
      <w:r>
        <w:tab/>
      </w:r>
      <w:r>
        <w:fldChar w:fldCharType="begin"/>
      </w:r>
      <w:r>
        <w:instrText xml:space="preserve"> PAGEREF _Toc486422902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Revalidation or renewal of certificate of survey after subsequent survey</w:t>
      </w:r>
      <w:r>
        <w:tab/>
      </w:r>
      <w:r>
        <w:fldChar w:fldCharType="begin"/>
      </w:r>
      <w:r>
        <w:instrText xml:space="preserve"> PAGEREF _Toc486422903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Extension of certificate of survey</w:t>
      </w:r>
      <w:r>
        <w:tab/>
      </w:r>
      <w:r>
        <w:fldChar w:fldCharType="begin"/>
      </w:r>
      <w:r>
        <w:instrText xml:space="preserve"> PAGEREF _Toc486422904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Suspending or cancelling certificate of survey</w:t>
      </w:r>
      <w:r>
        <w:tab/>
      </w:r>
      <w:r>
        <w:fldChar w:fldCharType="begin"/>
      </w:r>
      <w:r>
        <w:instrText xml:space="preserve"> PAGEREF _Toc486422905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etc. of surveyed vessel, owner to notify CEO of</w:t>
      </w:r>
      <w:r>
        <w:tab/>
      </w:r>
      <w:r>
        <w:fldChar w:fldCharType="begin"/>
      </w:r>
      <w:r>
        <w:instrText xml:space="preserve"> PAGEREF _Toc486422906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 of survey issued outside WA, acceptance of</w:t>
      </w:r>
      <w:r>
        <w:tab/>
      </w:r>
      <w:r>
        <w:fldChar w:fldCharType="begin"/>
      </w:r>
      <w:r>
        <w:instrText xml:space="preserve"> PAGEREF _Toc486422907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 programme approved outside WA may continue in WA</w:t>
      </w:r>
      <w:r>
        <w:tab/>
      </w:r>
      <w:r>
        <w:fldChar w:fldCharType="begin"/>
      </w:r>
      <w:r>
        <w:instrText xml:space="preserve"> PAGEREF _Toc486422908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Single voyage towage permits</w:t>
      </w:r>
    </w:p>
    <w:p>
      <w:pPr>
        <w:pStyle w:val="TOC8"/>
        <w:rPr>
          <w:rFonts w:asciiTheme="minorHAnsi" w:eastAsiaTheme="minorEastAsia" w:hAnsiTheme="minorHAnsi" w:cstheme="minorBidi"/>
          <w:szCs w:val="22"/>
        </w:rPr>
      </w:pPr>
      <w:r>
        <w:t>19</w:t>
      </w:r>
      <w:r>
        <w:rPr>
          <w:snapToGrid w:val="0"/>
        </w:rPr>
        <w:t>.</w:t>
      </w:r>
      <w:r>
        <w:rPr>
          <w:snapToGrid w:val="0"/>
        </w:rPr>
        <w:tab/>
        <w:t>Application of this Part</w:t>
      </w:r>
      <w:r>
        <w:tab/>
      </w:r>
      <w:r>
        <w:fldChar w:fldCharType="begin"/>
      </w:r>
      <w:r>
        <w:instrText xml:space="preserve"> PAGEREF _Toc486422910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towage permit</w:t>
      </w:r>
      <w:r>
        <w:tab/>
      </w:r>
      <w:r>
        <w:fldChar w:fldCharType="begin"/>
      </w:r>
      <w:r>
        <w:instrText xml:space="preserve"> PAGEREF _Toc486422911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of towage permit</w:t>
      </w:r>
      <w:r>
        <w:tab/>
      </w:r>
      <w:r>
        <w:fldChar w:fldCharType="begin"/>
      </w:r>
      <w:r>
        <w:instrText xml:space="preserve"> PAGEREF _Toc486422912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 for vessel to be towed without towage permit</w:t>
      </w:r>
      <w:r>
        <w:tab/>
      </w:r>
      <w:r>
        <w:fldChar w:fldCharType="begin"/>
      </w:r>
      <w:r>
        <w:instrText xml:space="preserve"> PAGEREF _Toc486422913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Survey fees</w:t>
      </w:r>
      <w:r>
        <w:tab/>
      </w:r>
      <w:r>
        <w:fldChar w:fldCharType="begin"/>
      </w:r>
      <w:r>
        <w:instrText xml:space="preserve"> PAGEREF _Toc486422915 \h </w:instrText>
      </w:r>
      <w:r>
        <w:fldChar w:fldCharType="separate"/>
      </w:r>
      <w:r>
        <w:t>20</w:t>
      </w:r>
      <w:r>
        <w:fldChar w:fldCharType="end"/>
      </w:r>
    </w:p>
    <w:p>
      <w:pPr>
        <w:pStyle w:val="TOC8"/>
        <w:rPr>
          <w:rFonts w:asciiTheme="minorHAnsi" w:eastAsiaTheme="minorEastAsia" w:hAnsiTheme="minorHAnsi" w:cstheme="minorBidi"/>
          <w:szCs w:val="22"/>
        </w:rPr>
      </w:pPr>
      <w:r>
        <w:t>2.</w:t>
      </w:r>
      <w:r>
        <w:tab/>
        <w:t>Other fees and charges</w:t>
      </w:r>
      <w:r>
        <w:tab/>
      </w:r>
      <w:r>
        <w:fldChar w:fldCharType="begin"/>
      </w:r>
      <w:r>
        <w:instrText xml:space="preserve"> PAGEREF _Toc486422916 \h </w:instrText>
      </w:r>
      <w:r>
        <w:fldChar w:fldCharType="separate"/>
      </w:r>
      <w:r>
        <w:t>31</w:t>
      </w:r>
      <w:r>
        <w:fldChar w:fldCharType="end"/>
      </w:r>
    </w:p>
    <w:p>
      <w:pPr>
        <w:pStyle w:val="TOC8"/>
        <w:rPr>
          <w:rFonts w:asciiTheme="minorHAnsi" w:eastAsiaTheme="minorEastAsia" w:hAnsiTheme="minorHAnsi" w:cstheme="minorBidi"/>
          <w:szCs w:val="22"/>
        </w:rPr>
      </w:pPr>
      <w:r>
        <w:t>3.</w:t>
      </w:r>
      <w:r>
        <w:tab/>
        <w:t>Fees for hire and drive vessels</w:t>
      </w:r>
      <w:r>
        <w:tab/>
      </w:r>
      <w:r>
        <w:fldChar w:fldCharType="begin"/>
      </w:r>
      <w:r>
        <w:instrText xml:space="preserve"> PAGEREF _Toc486422917 \h </w:instrText>
      </w:r>
      <w:r>
        <w:fldChar w:fldCharType="separate"/>
      </w:r>
      <w:r>
        <w:t>35</w:t>
      </w:r>
      <w:r>
        <w:fldChar w:fldCharType="end"/>
      </w:r>
    </w:p>
    <w:p>
      <w:pPr>
        <w:pStyle w:val="TOC8"/>
        <w:rPr>
          <w:rFonts w:asciiTheme="minorHAnsi" w:eastAsiaTheme="minorEastAsia" w:hAnsiTheme="minorHAnsi" w:cstheme="minorBidi"/>
          <w:szCs w:val="22"/>
        </w:rPr>
      </w:pPr>
      <w:r>
        <w:t>4.</w:t>
      </w:r>
      <w:r>
        <w:tab/>
        <w:t>Annual exemption fee</w:t>
      </w:r>
      <w:r>
        <w:tab/>
      </w:r>
      <w:r>
        <w:fldChar w:fldCharType="begin"/>
      </w:r>
      <w:r>
        <w:instrText xml:space="preserve"> PAGEREF _Toc486422918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Survey requirements and intervals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_Toc486422922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3" w:name="_Toc389143161"/>
      <w:bookmarkStart w:id="4" w:name="_Toc391885820"/>
      <w:bookmarkStart w:id="5" w:name="_Toc391885863"/>
      <w:bookmarkStart w:id="6" w:name="_Toc422122773"/>
      <w:bookmarkStart w:id="7" w:name="_Toc422141648"/>
      <w:bookmarkStart w:id="8" w:name="_Toc423516147"/>
      <w:bookmarkStart w:id="9" w:name="_Toc423516681"/>
      <w:bookmarkStart w:id="10" w:name="_Toc453661591"/>
      <w:bookmarkStart w:id="11" w:name="_Toc455151902"/>
      <w:bookmarkStart w:id="12" w:name="_Toc455151942"/>
      <w:bookmarkStart w:id="13" w:name="_Toc486247888"/>
      <w:bookmarkStart w:id="14" w:name="_Toc48642288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391885864"/>
      <w:bookmarkStart w:id="16" w:name="_Toc486422885"/>
      <w:r>
        <w:rPr>
          <w:rStyle w:val="CharSectno"/>
        </w:rPr>
        <w:t>1</w:t>
      </w:r>
      <w:r>
        <w:rPr>
          <w:snapToGrid w:val="0"/>
        </w:rPr>
        <w:t>.</w:t>
      </w:r>
      <w:r>
        <w:rPr>
          <w:snapToGrid w:val="0"/>
        </w:rPr>
        <w:tab/>
        <w:t>Citation</w:t>
      </w:r>
      <w:bookmarkEnd w:id="15"/>
      <w:bookmarkEnd w:id="16"/>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7" w:name="_Toc391885865"/>
      <w:bookmarkStart w:id="18" w:name="_Toc486422886"/>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9" w:name="_Toc391885866"/>
      <w:bookmarkStart w:id="20" w:name="_Toc486422887"/>
      <w:r>
        <w:rPr>
          <w:rStyle w:val="CharSectno"/>
        </w:rPr>
        <w:t>3</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21" w:name="_Toc391885867"/>
      <w:bookmarkStart w:id="22" w:name="_Toc486422888"/>
      <w:r>
        <w:rPr>
          <w:rStyle w:val="CharSectno"/>
        </w:rPr>
        <w:t>4</w:t>
      </w:r>
      <w:r>
        <w:rPr>
          <w:snapToGrid w:val="0"/>
        </w:rPr>
        <w:t>.</w:t>
      </w:r>
      <w:r>
        <w:rPr>
          <w:snapToGrid w:val="0"/>
        </w:rPr>
        <w:tab/>
        <w:t>Application of these regulations</w:t>
      </w:r>
      <w:bookmarkEnd w:id="21"/>
      <w:bookmarkEnd w:id="22"/>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23" w:name="_Toc391885868"/>
      <w:bookmarkStart w:id="24" w:name="_Toc486422889"/>
      <w:r>
        <w:rPr>
          <w:rStyle w:val="CharSectno"/>
        </w:rPr>
        <w:t>4AA</w:t>
      </w:r>
      <w:r>
        <w:t>.</w:t>
      </w:r>
      <w:r>
        <w:rPr>
          <w:snapToGrid w:val="0"/>
        </w:rPr>
        <w:tab/>
        <w:t>Classification of vessels</w:t>
      </w:r>
      <w:bookmarkEnd w:id="23"/>
      <w:bookmarkEnd w:id="24"/>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25" w:name="_Toc391885869"/>
      <w:bookmarkStart w:id="26" w:name="_Toc486422890"/>
      <w:r>
        <w:rPr>
          <w:rStyle w:val="CharSectno"/>
        </w:rPr>
        <w:t>4A</w:t>
      </w:r>
      <w:r>
        <w:rPr>
          <w:snapToGrid w:val="0"/>
        </w:rPr>
        <w:t>.</w:t>
      </w:r>
      <w:r>
        <w:rPr>
          <w:snapToGrid w:val="0"/>
        </w:rPr>
        <w:tab/>
        <w:t>Fees and charges (Sch. 1)</w:t>
      </w:r>
      <w:bookmarkEnd w:id="25"/>
      <w:bookmarkEnd w:id="26"/>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27" w:name="_Toc389143168"/>
      <w:bookmarkStart w:id="28" w:name="_Toc391885827"/>
      <w:bookmarkStart w:id="29" w:name="_Toc391885870"/>
      <w:bookmarkStart w:id="30" w:name="_Toc422122780"/>
      <w:bookmarkStart w:id="31" w:name="_Toc422141655"/>
      <w:bookmarkStart w:id="32" w:name="_Toc423516154"/>
      <w:bookmarkStart w:id="33" w:name="_Toc423516688"/>
      <w:bookmarkStart w:id="34" w:name="_Toc453661598"/>
      <w:bookmarkStart w:id="35" w:name="_Toc455151909"/>
      <w:bookmarkStart w:id="36" w:name="_Toc455151949"/>
      <w:bookmarkStart w:id="37" w:name="_Toc486247895"/>
      <w:bookmarkStart w:id="38" w:name="_Toc486422891"/>
      <w:r>
        <w:rPr>
          <w:rStyle w:val="CharPartNo"/>
        </w:rPr>
        <w:t>Part II</w:t>
      </w:r>
      <w:r>
        <w:rPr>
          <w:rStyle w:val="CharDivNo"/>
        </w:rPr>
        <w:t> </w:t>
      </w:r>
      <w:r>
        <w:t>—</w:t>
      </w:r>
      <w:r>
        <w:rPr>
          <w:rStyle w:val="CharDivText"/>
        </w:rPr>
        <w:t> </w:t>
      </w:r>
      <w:r>
        <w:rPr>
          <w:rStyle w:val="CharPartText"/>
        </w:rPr>
        <w:t>Survey requirements</w:t>
      </w:r>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391885871"/>
      <w:bookmarkStart w:id="40" w:name="_Toc486422892"/>
      <w:r>
        <w:rPr>
          <w:rStyle w:val="CharSectno"/>
        </w:rPr>
        <w:t>5</w:t>
      </w:r>
      <w:r>
        <w:rPr>
          <w:snapToGrid w:val="0"/>
        </w:rPr>
        <w:t>.</w:t>
      </w:r>
      <w:r>
        <w:rPr>
          <w:snapToGrid w:val="0"/>
        </w:rPr>
        <w:tab/>
        <w:t>Initial survey</w:t>
      </w:r>
      <w:bookmarkEnd w:id="39"/>
      <w:bookmarkEnd w:id="40"/>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41" w:name="_Toc391885872"/>
      <w:bookmarkStart w:id="42" w:name="_Toc486422893"/>
      <w:r>
        <w:rPr>
          <w:rStyle w:val="CharSectno"/>
        </w:rPr>
        <w:t>6</w:t>
      </w:r>
      <w:r>
        <w:rPr>
          <w:snapToGrid w:val="0"/>
        </w:rPr>
        <w:t>.</w:t>
      </w:r>
      <w:r>
        <w:rPr>
          <w:snapToGrid w:val="0"/>
        </w:rPr>
        <w:tab/>
        <w:t>Periodic surveys and inspections</w:t>
      </w:r>
      <w:bookmarkEnd w:id="41"/>
      <w:bookmarkEnd w:id="42"/>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43" w:name="_Toc391885873"/>
      <w:bookmarkStart w:id="44" w:name="_Toc486422894"/>
      <w:r>
        <w:rPr>
          <w:rStyle w:val="CharSectno"/>
        </w:rPr>
        <w:t>6A</w:t>
      </w:r>
      <w:r>
        <w:rPr>
          <w:snapToGrid w:val="0"/>
        </w:rPr>
        <w:t>.</w:t>
      </w:r>
      <w:r>
        <w:rPr>
          <w:snapToGrid w:val="0"/>
        </w:rPr>
        <w:tab/>
        <w:t>Half of fee under r. 5(2) and 6(6) payable if vessel is classed</w:t>
      </w:r>
      <w:bookmarkEnd w:id="43"/>
      <w:bookmarkEnd w:id="44"/>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45" w:name="_Toc391885874"/>
      <w:bookmarkStart w:id="46" w:name="_Toc486422895"/>
      <w:r>
        <w:rPr>
          <w:rStyle w:val="CharSectno"/>
        </w:rPr>
        <w:t>7</w:t>
      </w:r>
      <w:r>
        <w:rPr>
          <w:snapToGrid w:val="0"/>
        </w:rPr>
        <w:t>.</w:t>
      </w:r>
      <w:r>
        <w:rPr>
          <w:snapToGrid w:val="0"/>
        </w:rPr>
        <w:tab/>
        <w:t>Random inspections, power to make</w:t>
      </w:r>
      <w:bookmarkEnd w:id="45"/>
      <w:bookmarkEnd w:id="46"/>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47" w:name="_Toc391885875"/>
      <w:bookmarkStart w:id="48" w:name="_Toc486422896"/>
      <w:r>
        <w:rPr>
          <w:rStyle w:val="CharSectno"/>
        </w:rPr>
        <w:t>8</w:t>
      </w:r>
      <w:r>
        <w:rPr>
          <w:snapToGrid w:val="0"/>
        </w:rPr>
        <w:t>.</w:t>
      </w:r>
      <w:r>
        <w:rPr>
          <w:snapToGrid w:val="0"/>
        </w:rPr>
        <w:tab/>
        <w:t>Special factors affecting survey, owner to inform CEO of</w:t>
      </w:r>
      <w:bookmarkEnd w:id="47"/>
      <w:bookmarkEnd w:id="48"/>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49" w:name="_Toc391885876"/>
      <w:bookmarkStart w:id="50" w:name="_Toc486422897"/>
      <w:r>
        <w:rPr>
          <w:rStyle w:val="CharSectno"/>
        </w:rPr>
        <w:t>9</w:t>
      </w:r>
      <w:r>
        <w:rPr>
          <w:snapToGrid w:val="0"/>
        </w:rPr>
        <w:t>.</w:t>
      </w:r>
      <w:r>
        <w:rPr>
          <w:snapToGrid w:val="0"/>
        </w:rPr>
        <w:tab/>
        <w:t>Accidents etc. to or on vessel, owner to inform CEO of</w:t>
      </w:r>
      <w:bookmarkEnd w:id="49"/>
      <w:bookmarkEnd w:id="50"/>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51" w:name="_Toc391885877"/>
      <w:bookmarkStart w:id="52" w:name="_Toc486422898"/>
      <w:r>
        <w:rPr>
          <w:rStyle w:val="CharSectno"/>
        </w:rPr>
        <w:t>10</w:t>
      </w:r>
      <w:r>
        <w:rPr>
          <w:snapToGrid w:val="0"/>
        </w:rPr>
        <w:t>.</w:t>
      </w:r>
      <w:r>
        <w:rPr>
          <w:snapToGrid w:val="0"/>
        </w:rPr>
        <w:tab/>
        <w:t>Class 2E and 3E vessels, CEO may exempt from survey</w:t>
      </w:r>
      <w:bookmarkEnd w:id="51"/>
      <w:bookmarkEnd w:id="52"/>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53" w:name="_Toc391885878"/>
      <w:bookmarkStart w:id="54" w:name="_Toc486422899"/>
      <w:r>
        <w:rPr>
          <w:rStyle w:val="CharSectno"/>
        </w:rPr>
        <w:t>10A</w:t>
      </w:r>
      <w:r>
        <w:rPr>
          <w:snapToGrid w:val="0"/>
        </w:rPr>
        <w:t>.</w:t>
      </w:r>
      <w:r>
        <w:rPr>
          <w:snapToGrid w:val="0"/>
        </w:rPr>
        <w:tab/>
        <w:t>Certain fishing vessels and class 2 vessels exempt from r. 5 and 6</w:t>
      </w:r>
      <w:bookmarkEnd w:id="53"/>
      <w:bookmarkEnd w:id="54"/>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3</w:t>
      </w:r>
      <w:r>
        <w:t xml:space="preserve"> p. 1656.]</w:t>
      </w:r>
    </w:p>
    <w:p>
      <w:pPr>
        <w:pStyle w:val="Heading2"/>
      </w:pPr>
      <w:bookmarkStart w:id="55" w:name="_Toc389143177"/>
      <w:bookmarkStart w:id="56" w:name="_Toc391885836"/>
      <w:bookmarkStart w:id="57" w:name="_Toc391885879"/>
      <w:bookmarkStart w:id="58" w:name="_Toc422122789"/>
      <w:bookmarkStart w:id="59" w:name="_Toc422141664"/>
      <w:bookmarkStart w:id="60" w:name="_Toc423516163"/>
      <w:bookmarkStart w:id="61" w:name="_Toc423516697"/>
      <w:bookmarkStart w:id="62" w:name="_Toc453661607"/>
      <w:bookmarkStart w:id="63" w:name="_Toc455151918"/>
      <w:bookmarkStart w:id="64" w:name="_Toc455151958"/>
      <w:bookmarkStart w:id="65" w:name="_Toc486247904"/>
      <w:bookmarkStart w:id="66" w:name="_Toc486422900"/>
      <w:r>
        <w:rPr>
          <w:rStyle w:val="CharPartNo"/>
        </w:rPr>
        <w:t>Part III</w:t>
      </w:r>
      <w:r>
        <w:rPr>
          <w:rStyle w:val="CharDivNo"/>
        </w:rPr>
        <w:t> </w:t>
      </w:r>
      <w:r>
        <w:t>—</w:t>
      </w:r>
      <w:r>
        <w:rPr>
          <w:rStyle w:val="CharDivText"/>
        </w:rPr>
        <w:t> </w:t>
      </w:r>
      <w:r>
        <w:rPr>
          <w:rStyle w:val="CharPartText"/>
        </w:rPr>
        <w:t>Certificates</w:t>
      </w:r>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391885880"/>
      <w:bookmarkStart w:id="68" w:name="_Toc486422901"/>
      <w:r>
        <w:rPr>
          <w:rStyle w:val="CharSectno"/>
        </w:rPr>
        <w:t>11</w:t>
      </w:r>
      <w:r>
        <w:rPr>
          <w:snapToGrid w:val="0"/>
        </w:rPr>
        <w:t>.</w:t>
      </w:r>
      <w:r>
        <w:rPr>
          <w:snapToGrid w:val="0"/>
        </w:rPr>
        <w:tab/>
        <w:t>Certificate of survey, content and issue of</w:t>
      </w:r>
      <w:bookmarkEnd w:id="67"/>
      <w:bookmarkEnd w:id="68"/>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69" w:name="_Toc391885881"/>
      <w:bookmarkStart w:id="70" w:name="_Toc486422902"/>
      <w:r>
        <w:rPr>
          <w:rStyle w:val="CharSectno"/>
        </w:rPr>
        <w:t>12</w:t>
      </w:r>
      <w:r>
        <w:rPr>
          <w:snapToGrid w:val="0"/>
        </w:rPr>
        <w:t>.</w:t>
      </w:r>
      <w:r>
        <w:rPr>
          <w:snapToGrid w:val="0"/>
        </w:rPr>
        <w:tab/>
        <w:t>Compliance with survey requirements, evidence of on vessel</w:t>
      </w:r>
      <w:bookmarkEnd w:id="69"/>
      <w:bookmarkEnd w:id="70"/>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71" w:name="_Toc391885882"/>
      <w:bookmarkStart w:id="72" w:name="_Toc486422903"/>
      <w:r>
        <w:rPr>
          <w:rStyle w:val="CharSectno"/>
        </w:rPr>
        <w:t>13</w:t>
      </w:r>
      <w:r>
        <w:rPr>
          <w:snapToGrid w:val="0"/>
        </w:rPr>
        <w:t>.</w:t>
      </w:r>
      <w:r>
        <w:rPr>
          <w:snapToGrid w:val="0"/>
        </w:rPr>
        <w:tab/>
        <w:t>Revalidation or renewal of certificate of survey after subsequent survey</w:t>
      </w:r>
      <w:bookmarkEnd w:id="71"/>
      <w:bookmarkEnd w:id="72"/>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73" w:name="_Toc391885883"/>
      <w:bookmarkStart w:id="74" w:name="_Toc486422904"/>
      <w:r>
        <w:rPr>
          <w:rStyle w:val="CharSectno"/>
        </w:rPr>
        <w:t>14</w:t>
      </w:r>
      <w:r>
        <w:rPr>
          <w:snapToGrid w:val="0"/>
        </w:rPr>
        <w:t>.</w:t>
      </w:r>
      <w:r>
        <w:rPr>
          <w:snapToGrid w:val="0"/>
        </w:rPr>
        <w:tab/>
        <w:t>Extension of certificate of survey</w:t>
      </w:r>
      <w:bookmarkEnd w:id="73"/>
      <w:bookmarkEnd w:id="74"/>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75" w:name="_Toc391885884"/>
      <w:bookmarkStart w:id="76" w:name="_Toc486422905"/>
      <w:r>
        <w:rPr>
          <w:rStyle w:val="CharSectno"/>
        </w:rPr>
        <w:t>15</w:t>
      </w:r>
      <w:r>
        <w:rPr>
          <w:snapToGrid w:val="0"/>
        </w:rPr>
        <w:t>.</w:t>
      </w:r>
      <w:r>
        <w:rPr>
          <w:snapToGrid w:val="0"/>
        </w:rPr>
        <w:tab/>
        <w:t>Suspending or cancelling certificate of survey</w:t>
      </w:r>
      <w:bookmarkEnd w:id="75"/>
      <w:bookmarkEnd w:id="76"/>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77" w:name="_Toc391885885"/>
      <w:bookmarkStart w:id="78" w:name="_Toc486422906"/>
      <w:r>
        <w:rPr>
          <w:rStyle w:val="CharSectno"/>
        </w:rPr>
        <w:t>16</w:t>
      </w:r>
      <w:r>
        <w:rPr>
          <w:snapToGrid w:val="0"/>
        </w:rPr>
        <w:t>.</w:t>
      </w:r>
      <w:r>
        <w:rPr>
          <w:snapToGrid w:val="0"/>
        </w:rPr>
        <w:tab/>
        <w:t>Sale etc. of surveyed vessel, owner to notify CEO of</w:t>
      </w:r>
      <w:bookmarkEnd w:id="77"/>
      <w:bookmarkEnd w:id="78"/>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79" w:name="_Toc391885886"/>
      <w:bookmarkStart w:id="80" w:name="_Toc486422907"/>
      <w:r>
        <w:rPr>
          <w:rStyle w:val="CharSectno"/>
        </w:rPr>
        <w:t>17</w:t>
      </w:r>
      <w:r>
        <w:rPr>
          <w:snapToGrid w:val="0"/>
        </w:rPr>
        <w:t>.</w:t>
      </w:r>
      <w:r>
        <w:rPr>
          <w:snapToGrid w:val="0"/>
        </w:rPr>
        <w:tab/>
        <w:t>Certificate of survey issued outside WA, acceptance of</w:t>
      </w:r>
      <w:bookmarkEnd w:id="79"/>
      <w:bookmarkEnd w:id="80"/>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81" w:name="_Toc391885887"/>
      <w:bookmarkStart w:id="82" w:name="_Toc486422908"/>
      <w:r>
        <w:rPr>
          <w:rStyle w:val="CharSectno"/>
        </w:rPr>
        <w:t>18</w:t>
      </w:r>
      <w:r>
        <w:rPr>
          <w:snapToGrid w:val="0"/>
        </w:rPr>
        <w:t>.</w:t>
      </w:r>
      <w:r>
        <w:rPr>
          <w:snapToGrid w:val="0"/>
        </w:rPr>
        <w:tab/>
        <w:t>Survey programme approved outside WA may continue in WA</w:t>
      </w:r>
      <w:bookmarkEnd w:id="81"/>
      <w:bookmarkEnd w:id="82"/>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83" w:name="_Toc389143186"/>
      <w:bookmarkStart w:id="84" w:name="_Toc391885845"/>
      <w:bookmarkStart w:id="85" w:name="_Toc391885888"/>
      <w:bookmarkStart w:id="86" w:name="_Toc422122798"/>
      <w:bookmarkStart w:id="87" w:name="_Toc422141673"/>
      <w:bookmarkStart w:id="88" w:name="_Toc423516172"/>
      <w:bookmarkStart w:id="89" w:name="_Toc423516706"/>
      <w:bookmarkStart w:id="90" w:name="_Toc453661616"/>
      <w:bookmarkStart w:id="91" w:name="_Toc455151927"/>
      <w:bookmarkStart w:id="92" w:name="_Toc455151967"/>
      <w:bookmarkStart w:id="93" w:name="_Toc486247913"/>
      <w:bookmarkStart w:id="94" w:name="_Toc486422909"/>
      <w:r>
        <w:rPr>
          <w:rStyle w:val="CharPartNo"/>
        </w:rPr>
        <w:t>Part IV</w:t>
      </w:r>
      <w:r>
        <w:rPr>
          <w:rStyle w:val="CharDivNo"/>
        </w:rPr>
        <w:t> </w:t>
      </w:r>
      <w:r>
        <w:t>—</w:t>
      </w:r>
      <w:r>
        <w:rPr>
          <w:rStyle w:val="CharDivText"/>
        </w:rPr>
        <w:t> </w:t>
      </w:r>
      <w:r>
        <w:rPr>
          <w:rStyle w:val="CharPartText"/>
        </w:rPr>
        <w:t>Single voyage towage permits</w:t>
      </w:r>
      <w:bookmarkEnd w:id="83"/>
      <w:bookmarkEnd w:id="84"/>
      <w:bookmarkEnd w:id="85"/>
      <w:bookmarkEnd w:id="86"/>
      <w:bookmarkEnd w:id="87"/>
      <w:bookmarkEnd w:id="88"/>
      <w:bookmarkEnd w:id="89"/>
      <w:bookmarkEnd w:id="90"/>
      <w:bookmarkEnd w:id="91"/>
      <w:bookmarkEnd w:id="92"/>
      <w:bookmarkEnd w:id="93"/>
      <w:bookmarkEnd w:id="94"/>
    </w:p>
    <w:p>
      <w:pPr>
        <w:pStyle w:val="Heading5"/>
        <w:spacing w:before="180"/>
        <w:rPr>
          <w:snapToGrid w:val="0"/>
        </w:rPr>
      </w:pPr>
      <w:bookmarkStart w:id="95" w:name="_Toc391885889"/>
      <w:bookmarkStart w:id="96" w:name="_Toc486422910"/>
      <w:r>
        <w:rPr>
          <w:rStyle w:val="CharSectno"/>
        </w:rPr>
        <w:t>19</w:t>
      </w:r>
      <w:r>
        <w:rPr>
          <w:snapToGrid w:val="0"/>
        </w:rPr>
        <w:t>.</w:t>
      </w:r>
      <w:r>
        <w:rPr>
          <w:snapToGrid w:val="0"/>
        </w:rPr>
        <w:tab/>
        <w:t>Application of this Part</w:t>
      </w:r>
      <w:bookmarkEnd w:id="95"/>
      <w:bookmarkEnd w:id="96"/>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97" w:name="_Toc391885890"/>
      <w:bookmarkStart w:id="98" w:name="_Toc486422911"/>
      <w:r>
        <w:rPr>
          <w:rStyle w:val="CharSectno"/>
        </w:rPr>
        <w:t>20</w:t>
      </w:r>
      <w:r>
        <w:rPr>
          <w:snapToGrid w:val="0"/>
        </w:rPr>
        <w:t>.</w:t>
      </w:r>
      <w:r>
        <w:rPr>
          <w:snapToGrid w:val="0"/>
        </w:rPr>
        <w:tab/>
        <w:t>Application for towage permit</w:t>
      </w:r>
      <w:bookmarkEnd w:id="97"/>
      <w:bookmarkEnd w:id="98"/>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99" w:name="_Toc391885891"/>
      <w:bookmarkStart w:id="100" w:name="_Toc486422912"/>
      <w:r>
        <w:rPr>
          <w:rStyle w:val="CharSectno"/>
        </w:rPr>
        <w:t>21</w:t>
      </w:r>
      <w:r>
        <w:rPr>
          <w:snapToGrid w:val="0"/>
        </w:rPr>
        <w:t>.</w:t>
      </w:r>
      <w:r>
        <w:rPr>
          <w:snapToGrid w:val="0"/>
        </w:rPr>
        <w:tab/>
        <w:t>Issue of towage permit</w:t>
      </w:r>
      <w:bookmarkEnd w:id="99"/>
      <w:bookmarkEnd w:id="100"/>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101" w:name="_Toc391885892"/>
      <w:bookmarkStart w:id="102" w:name="_Toc486422913"/>
      <w:r>
        <w:rPr>
          <w:rStyle w:val="CharSectno"/>
        </w:rPr>
        <w:t>22</w:t>
      </w:r>
      <w:r>
        <w:rPr>
          <w:snapToGrid w:val="0"/>
        </w:rPr>
        <w:t>.</w:t>
      </w:r>
      <w:r>
        <w:rPr>
          <w:snapToGrid w:val="0"/>
        </w:rPr>
        <w:tab/>
        <w:t>Offence for vessel to be towed without towage permit</w:t>
      </w:r>
      <w:bookmarkEnd w:id="101"/>
      <w:bookmarkEnd w:id="102"/>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3" w:name="_Toc389143191"/>
      <w:bookmarkStart w:id="104" w:name="_Toc391885850"/>
      <w:bookmarkStart w:id="105" w:name="_Toc391885893"/>
      <w:bookmarkStart w:id="106" w:name="_Toc422122803"/>
      <w:bookmarkStart w:id="107" w:name="_Toc422141678"/>
      <w:bookmarkStart w:id="108" w:name="_Toc423516177"/>
      <w:bookmarkStart w:id="109" w:name="_Toc423516711"/>
      <w:bookmarkStart w:id="110" w:name="_Toc453661621"/>
      <w:bookmarkStart w:id="111" w:name="_Toc455151932"/>
      <w:bookmarkStart w:id="112" w:name="_Toc455151972"/>
      <w:bookmarkStart w:id="113" w:name="_Toc486247918"/>
      <w:bookmarkStart w:id="114" w:name="_Toc486422914"/>
      <w:r>
        <w:rPr>
          <w:rStyle w:val="CharSchNo"/>
        </w:rPr>
        <w:t>Schedule 1 </w:t>
      </w:r>
      <w:r>
        <w:t>— </w:t>
      </w:r>
      <w:r>
        <w:rPr>
          <w:rStyle w:val="CharSchText"/>
        </w:rPr>
        <w:t>Fees</w:t>
      </w:r>
      <w:bookmarkEnd w:id="103"/>
      <w:bookmarkEnd w:id="104"/>
      <w:bookmarkEnd w:id="105"/>
      <w:bookmarkEnd w:id="106"/>
      <w:bookmarkEnd w:id="107"/>
      <w:bookmarkEnd w:id="108"/>
      <w:bookmarkEnd w:id="109"/>
      <w:bookmarkEnd w:id="110"/>
      <w:bookmarkEnd w:id="111"/>
      <w:bookmarkEnd w:id="112"/>
      <w:bookmarkEnd w:id="113"/>
      <w:bookmarkEnd w:id="114"/>
    </w:p>
    <w:p>
      <w:pPr>
        <w:pStyle w:val="yShoulderClause"/>
      </w:pPr>
      <w:r>
        <w:t>[r. 4A]</w:t>
      </w:r>
    </w:p>
    <w:p>
      <w:pPr>
        <w:pStyle w:val="yFootnoteheading"/>
        <w:spacing w:after="120"/>
      </w:pPr>
      <w:r>
        <w:tab/>
        <w:t>[Heading inserted: Gazette 25 Jun 2004 p. 2251.]</w:t>
      </w:r>
    </w:p>
    <w:p>
      <w:pPr>
        <w:pStyle w:val="yHeading5"/>
      </w:pPr>
      <w:bookmarkStart w:id="115" w:name="_Toc391885894"/>
      <w:bookmarkStart w:id="116" w:name="_Toc486422915"/>
      <w:r>
        <w:rPr>
          <w:rStyle w:val="CharSClsNo"/>
        </w:rPr>
        <w:t>1</w:t>
      </w:r>
      <w:r>
        <w:t>.</w:t>
      </w:r>
      <w:r>
        <w:tab/>
        <w:t>Survey fees</w:t>
      </w:r>
      <w:bookmarkEnd w:id="115"/>
      <w:bookmarkEnd w:id="116"/>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tblHeader/>
        </w:trPr>
        <w:tc>
          <w:tcPr>
            <w:tcW w:w="1701" w:type="dxa"/>
          </w:tcPr>
          <w:p>
            <w:pPr>
              <w:pStyle w:val="yTableNAm"/>
              <w:jc w:val="center"/>
            </w:pPr>
            <w:r>
              <w:rPr>
                <w:b/>
                <w:bCs/>
                <w:sz w:val="20"/>
              </w:rPr>
              <w:t>Length of vessel</w:t>
            </w:r>
            <w:r>
              <w:rPr>
                <w:b/>
                <w:bCs/>
                <w:sz w:val="20"/>
              </w:rPr>
              <w:br/>
              <w:t>(metres)</w:t>
            </w:r>
          </w:p>
        </w:tc>
        <w:tc>
          <w:tcPr>
            <w:tcW w:w="1512" w:type="dxa"/>
          </w:tcPr>
          <w:p>
            <w:pPr>
              <w:pStyle w:val="yTableNAm"/>
              <w:jc w:val="center"/>
            </w:pPr>
            <w:r>
              <w:rPr>
                <w:b/>
                <w:bCs/>
                <w:sz w:val="20"/>
              </w:rPr>
              <w:t>Examination of plans</w:t>
            </w:r>
            <w:r>
              <w:rPr>
                <w:b/>
                <w:bCs/>
                <w:sz w:val="20"/>
              </w:rPr>
              <w:br/>
              <w:t>($)</w:t>
            </w:r>
          </w:p>
        </w:tc>
        <w:tc>
          <w:tcPr>
            <w:tcW w:w="1512" w:type="dxa"/>
          </w:tcPr>
          <w:p>
            <w:pPr>
              <w:pStyle w:val="yTableNAm"/>
              <w:jc w:val="center"/>
            </w:pPr>
            <w:r>
              <w:rPr>
                <w:b/>
                <w:bCs/>
                <w:sz w:val="20"/>
              </w:rPr>
              <w:t>Initial</w:t>
            </w:r>
            <w:r>
              <w:rPr>
                <w:b/>
                <w:bCs/>
                <w:sz w:val="20"/>
              </w:rPr>
              <w:br/>
              <w:t>survey</w:t>
            </w:r>
            <w:r>
              <w:rPr>
                <w:b/>
                <w:bCs/>
                <w:sz w:val="20"/>
              </w:rPr>
              <w:br/>
              <w:t>($)</w:t>
            </w:r>
          </w:p>
        </w:tc>
        <w:tc>
          <w:tcPr>
            <w:tcW w:w="1512" w:type="dxa"/>
          </w:tcPr>
          <w:p>
            <w:pPr>
              <w:pStyle w:val="yTableNAm"/>
              <w:jc w:val="center"/>
            </w:pPr>
            <w:r>
              <w:rPr>
                <w:b/>
                <w:bCs/>
                <w:sz w:val="20"/>
              </w:rPr>
              <w:t>Subsequent surveys</w:t>
            </w:r>
            <w:r>
              <w:rPr>
                <w:b/>
                <w:bCs/>
                <w:sz w:val="20"/>
              </w:rPr>
              <w:br/>
              <w:t>($)</w:t>
            </w:r>
          </w:p>
        </w:tc>
      </w:tr>
      <w:tr>
        <w:trPr>
          <w:cantSplit/>
        </w:trPr>
        <w:tc>
          <w:tcPr>
            <w:tcW w:w="1701" w:type="dxa"/>
          </w:tcPr>
          <w:p>
            <w:pPr>
              <w:pStyle w:val="yTableNAm"/>
              <w:rPr>
                <w:sz w:val="20"/>
              </w:rPr>
            </w:pPr>
            <w:r>
              <w:rPr>
                <w:sz w:val="20"/>
              </w:rPr>
              <w:t>Not over 5</w:t>
            </w:r>
          </w:p>
        </w:tc>
        <w:tc>
          <w:tcPr>
            <w:tcW w:w="1512" w:type="dxa"/>
          </w:tcPr>
          <w:p>
            <w:pPr>
              <w:pStyle w:val="yTableNAm"/>
              <w:jc w:val="center"/>
              <w:rPr>
                <w:sz w:val="20"/>
              </w:rPr>
            </w:pPr>
            <w:r>
              <w:rPr>
                <w:sz w:val="20"/>
              </w:rPr>
              <w:t>647</w:t>
            </w:r>
          </w:p>
        </w:tc>
        <w:tc>
          <w:tcPr>
            <w:tcW w:w="1512" w:type="dxa"/>
          </w:tcPr>
          <w:p>
            <w:pPr>
              <w:pStyle w:val="yTableNAm"/>
              <w:jc w:val="center"/>
              <w:rPr>
                <w:sz w:val="20"/>
              </w:rPr>
            </w:pPr>
            <w:r>
              <w:rPr>
                <w:sz w:val="20"/>
              </w:rPr>
              <w:t>910</w:t>
            </w:r>
          </w:p>
        </w:tc>
        <w:tc>
          <w:tcPr>
            <w:tcW w:w="1512" w:type="dxa"/>
          </w:tcPr>
          <w:p>
            <w:pPr>
              <w:pStyle w:val="yTableNAm"/>
              <w:jc w:val="center"/>
              <w:rPr>
                <w:sz w:val="20"/>
              </w:rPr>
            </w:pPr>
            <w:r>
              <w:rPr>
                <w:sz w:val="20"/>
              </w:rPr>
              <w:t>269</w:t>
            </w:r>
          </w:p>
        </w:tc>
      </w:tr>
      <w:tr>
        <w:trPr>
          <w:cantSplit/>
        </w:trPr>
        <w:tc>
          <w:tcPr>
            <w:tcW w:w="1701" w:type="dxa"/>
          </w:tcPr>
          <w:p>
            <w:pPr>
              <w:pStyle w:val="yTableNAm"/>
              <w:rPr>
                <w:sz w:val="20"/>
              </w:rPr>
            </w:pPr>
            <w:r>
              <w:rPr>
                <w:sz w:val="20"/>
              </w:rPr>
              <w:t>Over 5 but not over 6</w:t>
            </w:r>
          </w:p>
        </w:tc>
        <w:tc>
          <w:tcPr>
            <w:tcW w:w="1512" w:type="dxa"/>
          </w:tcPr>
          <w:p>
            <w:pPr>
              <w:pStyle w:val="yTableNAm"/>
              <w:jc w:val="center"/>
              <w:rPr>
                <w:sz w:val="20"/>
              </w:rPr>
            </w:pPr>
            <w:r>
              <w:rPr>
                <w:sz w:val="20"/>
              </w:rPr>
              <w:t>760</w:t>
            </w:r>
          </w:p>
        </w:tc>
        <w:tc>
          <w:tcPr>
            <w:tcW w:w="1512" w:type="dxa"/>
          </w:tcPr>
          <w:p>
            <w:pPr>
              <w:pStyle w:val="yTableNAm"/>
              <w:jc w:val="center"/>
              <w:rPr>
                <w:sz w:val="20"/>
              </w:rPr>
            </w:pPr>
            <w:r>
              <w:rPr>
                <w:sz w:val="20"/>
              </w:rPr>
              <w:t>1 269</w:t>
            </w:r>
          </w:p>
        </w:tc>
        <w:tc>
          <w:tcPr>
            <w:tcW w:w="1512" w:type="dxa"/>
          </w:tcPr>
          <w:p>
            <w:pPr>
              <w:pStyle w:val="yTableNAm"/>
              <w:jc w:val="center"/>
              <w:rPr>
                <w:sz w:val="20"/>
              </w:rPr>
            </w:pPr>
            <w:r>
              <w:rPr>
                <w:sz w:val="20"/>
              </w:rPr>
              <w:t>326</w:t>
            </w:r>
          </w:p>
        </w:tc>
      </w:tr>
      <w:tr>
        <w:trPr>
          <w:cantSplit/>
        </w:trPr>
        <w:tc>
          <w:tcPr>
            <w:tcW w:w="1701" w:type="dxa"/>
          </w:tcPr>
          <w:p>
            <w:pPr>
              <w:pStyle w:val="yTableNAm"/>
              <w:rPr>
                <w:sz w:val="20"/>
              </w:rPr>
            </w:pPr>
            <w:r>
              <w:rPr>
                <w:sz w:val="20"/>
              </w:rPr>
              <w:t>Over 6 but not over 7</w:t>
            </w:r>
          </w:p>
        </w:tc>
        <w:tc>
          <w:tcPr>
            <w:tcW w:w="1512" w:type="dxa"/>
          </w:tcPr>
          <w:p>
            <w:pPr>
              <w:pStyle w:val="yTableNAm"/>
              <w:jc w:val="center"/>
              <w:rPr>
                <w:sz w:val="20"/>
              </w:rPr>
            </w:pPr>
            <w:r>
              <w:rPr>
                <w:sz w:val="20"/>
              </w:rPr>
              <w:t>826</w:t>
            </w:r>
          </w:p>
        </w:tc>
        <w:tc>
          <w:tcPr>
            <w:tcW w:w="1512" w:type="dxa"/>
          </w:tcPr>
          <w:p>
            <w:pPr>
              <w:pStyle w:val="yTableNAm"/>
              <w:jc w:val="center"/>
              <w:rPr>
                <w:sz w:val="20"/>
              </w:rPr>
            </w:pPr>
            <w:r>
              <w:rPr>
                <w:sz w:val="20"/>
              </w:rPr>
              <w:t>1 788</w:t>
            </w:r>
          </w:p>
        </w:tc>
        <w:tc>
          <w:tcPr>
            <w:tcW w:w="1512" w:type="dxa"/>
          </w:tcPr>
          <w:p>
            <w:pPr>
              <w:pStyle w:val="yTableNAm"/>
              <w:jc w:val="center"/>
              <w:rPr>
                <w:sz w:val="20"/>
              </w:rPr>
            </w:pPr>
            <w:r>
              <w:rPr>
                <w:sz w:val="20"/>
              </w:rPr>
              <w:t>397</w:t>
            </w:r>
          </w:p>
        </w:tc>
      </w:tr>
      <w:tr>
        <w:trPr>
          <w:cantSplit/>
        </w:trPr>
        <w:tc>
          <w:tcPr>
            <w:tcW w:w="1701" w:type="dxa"/>
          </w:tcPr>
          <w:p>
            <w:pPr>
              <w:pStyle w:val="yTableNAm"/>
              <w:rPr>
                <w:sz w:val="20"/>
              </w:rPr>
            </w:pPr>
            <w:r>
              <w:rPr>
                <w:sz w:val="20"/>
              </w:rPr>
              <w:t>Over 7 but not over 8</w:t>
            </w:r>
          </w:p>
        </w:tc>
        <w:tc>
          <w:tcPr>
            <w:tcW w:w="1512" w:type="dxa"/>
          </w:tcPr>
          <w:p>
            <w:pPr>
              <w:pStyle w:val="yTableNAm"/>
              <w:jc w:val="center"/>
              <w:rPr>
                <w:sz w:val="20"/>
              </w:rPr>
            </w:pPr>
            <w:r>
              <w:rPr>
                <w:sz w:val="20"/>
              </w:rPr>
              <w:t>1 066</w:t>
            </w:r>
          </w:p>
        </w:tc>
        <w:tc>
          <w:tcPr>
            <w:tcW w:w="1512" w:type="dxa"/>
          </w:tcPr>
          <w:p>
            <w:pPr>
              <w:pStyle w:val="yTableNAm"/>
              <w:jc w:val="center"/>
              <w:rPr>
                <w:sz w:val="20"/>
              </w:rPr>
            </w:pPr>
            <w:r>
              <w:rPr>
                <w:sz w:val="20"/>
              </w:rPr>
              <w:t>2 374</w:t>
            </w:r>
          </w:p>
        </w:tc>
        <w:tc>
          <w:tcPr>
            <w:tcW w:w="1512" w:type="dxa"/>
          </w:tcPr>
          <w:p>
            <w:pPr>
              <w:pStyle w:val="yTableNAm"/>
              <w:jc w:val="center"/>
              <w:rPr>
                <w:sz w:val="20"/>
              </w:rPr>
            </w:pPr>
            <w:r>
              <w:rPr>
                <w:sz w:val="20"/>
              </w:rPr>
              <w:t>430</w:t>
            </w:r>
          </w:p>
        </w:tc>
      </w:tr>
      <w:tr>
        <w:trPr>
          <w:cantSplit/>
        </w:trPr>
        <w:tc>
          <w:tcPr>
            <w:tcW w:w="1701" w:type="dxa"/>
          </w:tcPr>
          <w:p>
            <w:pPr>
              <w:pStyle w:val="yTableNAm"/>
              <w:rPr>
                <w:sz w:val="20"/>
              </w:rPr>
            </w:pPr>
            <w:r>
              <w:rPr>
                <w:sz w:val="20"/>
              </w:rPr>
              <w:t>Over 8 but not over 9</w:t>
            </w:r>
          </w:p>
        </w:tc>
        <w:tc>
          <w:tcPr>
            <w:tcW w:w="1512" w:type="dxa"/>
          </w:tcPr>
          <w:p>
            <w:pPr>
              <w:pStyle w:val="yTableNAm"/>
              <w:jc w:val="center"/>
              <w:rPr>
                <w:sz w:val="20"/>
              </w:rPr>
            </w:pPr>
            <w:r>
              <w:rPr>
                <w:sz w:val="20"/>
              </w:rPr>
              <w:t>1 317</w:t>
            </w:r>
          </w:p>
        </w:tc>
        <w:tc>
          <w:tcPr>
            <w:tcW w:w="1512" w:type="dxa"/>
          </w:tcPr>
          <w:p>
            <w:pPr>
              <w:pStyle w:val="yTableNAm"/>
              <w:jc w:val="center"/>
              <w:rPr>
                <w:sz w:val="20"/>
              </w:rPr>
            </w:pPr>
            <w:r>
              <w:rPr>
                <w:sz w:val="20"/>
              </w:rPr>
              <w:t>3 093</w:t>
            </w:r>
          </w:p>
        </w:tc>
        <w:tc>
          <w:tcPr>
            <w:tcW w:w="1512" w:type="dxa"/>
          </w:tcPr>
          <w:p>
            <w:pPr>
              <w:pStyle w:val="yTableNAm"/>
              <w:jc w:val="center"/>
              <w:rPr>
                <w:sz w:val="20"/>
              </w:rPr>
            </w:pPr>
            <w:r>
              <w:rPr>
                <w:sz w:val="20"/>
              </w:rPr>
              <w:t>464</w:t>
            </w:r>
          </w:p>
        </w:tc>
      </w:tr>
      <w:tr>
        <w:trPr>
          <w:cantSplit/>
        </w:trPr>
        <w:tc>
          <w:tcPr>
            <w:tcW w:w="1701" w:type="dxa"/>
          </w:tcPr>
          <w:p>
            <w:pPr>
              <w:pStyle w:val="yTableNAm"/>
              <w:rPr>
                <w:sz w:val="20"/>
              </w:rPr>
            </w:pPr>
            <w:r>
              <w:rPr>
                <w:sz w:val="20"/>
              </w:rPr>
              <w:t>Over 9 but not over 10</w:t>
            </w:r>
          </w:p>
        </w:tc>
        <w:tc>
          <w:tcPr>
            <w:tcW w:w="1512" w:type="dxa"/>
          </w:tcPr>
          <w:p>
            <w:pPr>
              <w:pStyle w:val="yTableNAm"/>
              <w:jc w:val="center"/>
              <w:rPr>
                <w:sz w:val="20"/>
              </w:rPr>
            </w:pPr>
            <w:r>
              <w:rPr>
                <w:sz w:val="20"/>
              </w:rPr>
              <w:t>1 542</w:t>
            </w:r>
          </w:p>
        </w:tc>
        <w:tc>
          <w:tcPr>
            <w:tcW w:w="1512" w:type="dxa"/>
          </w:tcPr>
          <w:p>
            <w:pPr>
              <w:pStyle w:val="yTableNAm"/>
              <w:jc w:val="center"/>
              <w:rPr>
                <w:sz w:val="20"/>
              </w:rPr>
            </w:pPr>
            <w:r>
              <w:rPr>
                <w:sz w:val="20"/>
              </w:rPr>
              <w:t>3 804</w:t>
            </w:r>
          </w:p>
        </w:tc>
        <w:tc>
          <w:tcPr>
            <w:tcW w:w="1512" w:type="dxa"/>
          </w:tcPr>
          <w:p>
            <w:pPr>
              <w:pStyle w:val="yTableNAm"/>
              <w:jc w:val="center"/>
              <w:rPr>
                <w:sz w:val="20"/>
              </w:rPr>
            </w:pPr>
            <w:r>
              <w:rPr>
                <w:sz w:val="20"/>
              </w:rPr>
              <w:t>490</w:t>
            </w:r>
          </w:p>
        </w:tc>
      </w:tr>
      <w:tr>
        <w:trPr>
          <w:cantSplit/>
        </w:trPr>
        <w:tc>
          <w:tcPr>
            <w:tcW w:w="1701" w:type="dxa"/>
          </w:tcPr>
          <w:p>
            <w:pPr>
              <w:pStyle w:val="yTableNAm"/>
              <w:rPr>
                <w:sz w:val="20"/>
              </w:rPr>
            </w:pPr>
            <w:r>
              <w:rPr>
                <w:sz w:val="20"/>
              </w:rPr>
              <w:t>Over 10 but not over 11</w:t>
            </w:r>
          </w:p>
        </w:tc>
        <w:tc>
          <w:tcPr>
            <w:tcW w:w="1512" w:type="dxa"/>
          </w:tcPr>
          <w:p>
            <w:pPr>
              <w:pStyle w:val="yTableNAm"/>
              <w:jc w:val="center"/>
              <w:rPr>
                <w:sz w:val="20"/>
              </w:rPr>
            </w:pPr>
            <w:r>
              <w:rPr>
                <w:sz w:val="20"/>
              </w:rPr>
              <w:t>1 902</w:t>
            </w:r>
          </w:p>
        </w:tc>
        <w:tc>
          <w:tcPr>
            <w:tcW w:w="1512" w:type="dxa"/>
          </w:tcPr>
          <w:p>
            <w:pPr>
              <w:pStyle w:val="yTableNAm"/>
              <w:jc w:val="center"/>
              <w:rPr>
                <w:sz w:val="20"/>
              </w:rPr>
            </w:pPr>
            <w:r>
              <w:rPr>
                <w:sz w:val="20"/>
              </w:rPr>
              <w:t>4 572</w:t>
            </w:r>
          </w:p>
        </w:tc>
        <w:tc>
          <w:tcPr>
            <w:tcW w:w="1512" w:type="dxa"/>
          </w:tcPr>
          <w:p>
            <w:pPr>
              <w:pStyle w:val="yTableNAm"/>
              <w:jc w:val="center"/>
              <w:rPr>
                <w:sz w:val="20"/>
              </w:rPr>
            </w:pPr>
            <w:r>
              <w:rPr>
                <w:sz w:val="20"/>
              </w:rPr>
              <w:t>539</w:t>
            </w:r>
          </w:p>
        </w:tc>
      </w:tr>
      <w:tr>
        <w:trPr>
          <w:cantSplit/>
        </w:trPr>
        <w:tc>
          <w:tcPr>
            <w:tcW w:w="1701" w:type="dxa"/>
          </w:tcPr>
          <w:p>
            <w:pPr>
              <w:pStyle w:val="yTableNAm"/>
              <w:rPr>
                <w:sz w:val="20"/>
              </w:rPr>
            </w:pPr>
            <w:r>
              <w:rPr>
                <w:sz w:val="20"/>
              </w:rPr>
              <w:t>Over 11 but not over 12</w:t>
            </w:r>
          </w:p>
        </w:tc>
        <w:tc>
          <w:tcPr>
            <w:tcW w:w="1512" w:type="dxa"/>
          </w:tcPr>
          <w:p>
            <w:pPr>
              <w:pStyle w:val="yTableNAm"/>
              <w:jc w:val="center"/>
              <w:rPr>
                <w:sz w:val="20"/>
              </w:rPr>
            </w:pPr>
            <w:r>
              <w:rPr>
                <w:sz w:val="20"/>
              </w:rPr>
              <w:t>2 257</w:t>
            </w:r>
          </w:p>
        </w:tc>
        <w:tc>
          <w:tcPr>
            <w:tcW w:w="1512" w:type="dxa"/>
          </w:tcPr>
          <w:p>
            <w:pPr>
              <w:pStyle w:val="yTableNAm"/>
              <w:jc w:val="center"/>
              <w:rPr>
                <w:sz w:val="20"/>
              </w:rPr>
            </w:pPr>
            <w:r>
              <w:rPr>
                <w:sz w:val="20"/>
              </w:rPr>
              <w:t>5 351</w:t>
            </w:r>
          </w:p>
        </w:tc>
        <w:tc>
          <w:tcPr>
            <w:tcW w:w="1512" w:type="dxa"/>
          </w:tcPr>
          <w:p>
            <w:pPr>
              <w:pStyle w:val="yTableNAm"/>
              <w:jc w:val="center"/>
              <w:rPr>
                <w:sz w:val="20"/>
              </w:rPr>
            </w:pPr>
            <w:r>
              <w:rPr>
                <w:sz w:val="20"/>
              </w:rPr>
              <w:t>594</w:t>
            </w:r>
          </w:p>
        </w:tc>
      </w:tr>
      <w:tr>
        <w:trPr>
          <w:cantSplit/>
        </w:trPr>
        <w:tc>
          <w:tcPr>
            <w:tcW w:w="1701" w:type="dxa"/>
          </w:tcPr>
          <w:p>
            <w:pPr>
              <w:pStyle w:val="yTableNAm"/>
              <w:rPr>
                <w:sz w:val="20"/>
              </w:rPr>
            </w:pPr>
            <w:r>
              <w:rPr>
                <w:sz w:val="20"/>
              </w:rPr>
              <w:t>Over 12 but not over 13</w:t>
            </w:r>
          </w:p>
        </w:tc>
        <w:tc>
          <w:tcPr>
            <w:tcW w:w="1512" w:type="dxa"/>
          </w:tcPr>
          <w:p>
            <w:pPr>
              <w:pStyle w:val="yTableNAm"/>
              <w:jc w:val="center"/>
              <w:rPr>
                <w:sz w:val="20"/>
              </w:rPr>
            </w:pPr>
            <w:r>
              <w:rPr>
                <w:sz w:val="20"/>
              </w:rPr>
              <w:t>2 609</w:t>
            </w:r>
          </w:p>
        </w:tc>
        <w:tc>
          <w:tcPr>
            <w:tcW w:w="1512" w:type="dxa"/>
          </w:tcPr>
          <w:p>
            <w:pPr>
              <w:pStyle w:val="yTableNAm"/>
              <w:jc w:val="center"/>
              <w:rPr>
                <w:sz w:val="20"/>
              </w:rPr>
            </w:pPr>
            <w:r>
              <w:rPr>
                <w:sz w:val="20"/>
              </w:rPr>
              <w:t>6 125</w:t>
            </w:r>
          </w:p>
        </w:tc>
        <w:tc>
          <w:tcPr>
            <w:tcW w:w="1512" w:type="dxa"/>
          </w:tcPr>
          <w:p>
            <w:pPr>
              <w:pStyle w:val="yTableNAm"/>
              <w:jc w:val="center"/>
              <w:rPr>
                <w:sz w:val="20"/>
              </w:rPr>
            </w:pPr>
            <w:r>
              <w:rPr>
                <w:sz w:val="20"/>
              </w:rPr>
              <w:t>649</w:t>
            </w:r>
          </w:p>
        </w:tc>
      </w:tr>
      <w:tr>
        <w:trPr>
          <w:cantSplit/>
        </w:trPr>
        <w:tc>
          <w:tcPr>
            <w:tcW w:w="1701" w:type="dxa"/>
          </w:tcPr>
          <w:p>
            <w:pPr>
              <w:pStyle w:val="yTableNAm"/>
              <w:rPr>
                <w:sz w:val="20"/>
              </w:rPr>
            </w:pPr>
            <w:r>
              <w:rPr>
                <w:sz w:val="20"/>
              </w:rPr>
              <w:t>Over 13 but not over 14</w:t>
            </w:r>
          </w:p>
        </w:tc>
        <w:tc>
          <w:tcPr>
            <w:tcW w:w="1512" w:type="dxa"/>
          </w:tcPr>
          <w:p>
            <w:pPr>
              <w:pStyle w:val="yTableNAm"/>
              <w:jc w:val="center"/>
              <w:rPr>
                <w:sz w:val="20"/>
              </w:rPr>
            </w:pPr>
            <w:r>
              <w:rPr>
                <w:sz w:val="20"/>
              </w:rPr>
              <w:t>2 977</w:t>
            </w:r>
          </w:p>
        </w:tc>
        <w:tc>
          <w:tcPr>
            <w:tcW w:w="1512" w:type="dxa"/>
          </w:tcPr>
          <w:p>
            <w:pPr>
              <w:pStyle w:val="yTableNAm"/>
              <w:jc w:val="center"/>
              <w:rPr>
                <w:sz w:val="20"/>
              </w:rPr>
            </w:pPr>
            <w:r>
              <w:rPr>
                <w:sz w:val="20"/>
              </w:rPr>
              <w:t>6 896</w:t>
            </w:r>
          </w:p>
        </w:tc>
        <w:tc>
          <w:tcPr>
            <w:tcW w:w="1512" w:type="dxa"/>
          </w:tcPr>
          <w:p>
            <w:pPr>
              <w:pStyle w:val="yTableNAm"/>
              <w:jc w:val="center"/>
              <w:rPr>
                <w:sz w:val="20"/>
              </w:rPr>
            </w:pPr>
            <w:r>
              <w:rPr>
                <w:sz w:val="20"/>
              </w:rPr>
              <w:t>700</w:t>
            </w:r>
          </w:p>
        </w:tc>
      </w:tr>
      <w:tr>
        <w:trPr>
          <w:cantSplit/>
        </w:trPr>
        <w:tc>
          <w:tcPr>
            <w:tcW w:w="1701" w:type="dxa"/>
          </w:tcPr>
          <w:p>
            <w:pPr>
              <w:pStyle w:val="yTableNAm"/>
              <w:rPr>
                <w:sz w:val="20"/>
              </w:rPr>
            </w:pPr>
            <w:r>
              <w:rPr>
                <w:sz w:val="20"/>
              </w:rPr>
              <w:t>Over 14 but not over 15</w:t>
            </w:r>
          </w:p>
        </w:tc>
        <w:tc>
          <w:tcPr>
            <w:tcW w:w="1512" w:type="dxa"/>
          </w:tcPr>
          <w:p>
            <w:pPr>
              <w:pStyle w:val="yTableNAm"/>
              <w:jc w:val="center"/>
              <w:rPr>
                <w:sz w:val="20"/>
              </w:rPr>
            </w:pPr>
            <w:r>
              <w:rPr>
                <w:sz w:val="20"/>
              </w:rPr>
              <w:t>3 337</w:t>
            </w:r>
          </w:p>
        </w:tc>
        <w:tc>
          <w:tcPr>
            <w:tcW w:w="1512" w:type="dxa"/>
          </w:tcPr>
          <w:p>
            <w:pPr>
              <w:pStyle w:val="yTableNAm"/>
              <w:jc w:val="center"/>
              <w:rPr>
                <w:sz w:val="20"/>
              </w:rPr>
            </w:pPr>
            <w:r>
              <w:rPr>
                <w:sz w:val="20"/>
              </w:rPr>
              <w:t>7 666</w:t>
            </w:r>
          </w:p>
        </w:tc>
        <w:tc>
          <w:tcPr>
            <w:tcW w:w="1512" w:type="dxa"/>
          </w:tcPr>
          <w:p>
            <w:pPr>
              <w:pStyle w:val="yTableNAm"/>
              <w:jc w:val="center"/>
              <w:rPr>
                <w:sz w:val="20"/>
              </w:rPr>
            </w:pPr>
            <w:r>
              <w:rPr>
                <w:sz w:val="20"/>
              </w:rPr>
              <w:t>752</w:t>
            </w:r>
          </w:p>
        </w:tc>
      </w:tr>
      <w:tr>
        <w:trPr>
          <w:cantSplit/>
        </w:trPr>
        <w:tc>
          <w:tcPr>
            <w:tcW w:w="1701" w:type="dxa"/>
          </w:tcPr>
          <w:p>
            <w:pPr>
              <w:pStyle w:val="yTableNAm"/>
              <w:rPr>
                <w:sz w:val="20"/>
              </w:rPr>
            </w:pPr>
            <w:r>
              <w:rPr>
                <w:sz w:val="20"/>
              </w:rPr>
              <w:t>Over 15 but not over 16</w:t>
            </w:r>
          </w:p>
        </w:tc>
        <w:tc>
          <w:tcPr>
            <w:tcW w:w="1512" w:type="dxa"/>
          </w:tcPr>
          <w:p>
            <w:pPr>
              <w:pStyle w:val="yTableNAm"/>
              <w:jc w:val="center"/>
              <w:rPr>
                <w:sz w:val="20"/>
              </w:rPr>
            </w:pPr>
            <w:r>
              <w:rPr>
                <w:sz w:val="20"/>
              </w:rPr>
              <w:t>3 677</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802</w:t>
            </w:r>
          </w:p>
        </w:tc>
      </w:tr>
      <w:tr>
        <w:trPr>
          <w:cantSplit/>
        </w:trPr>
        <w:tc>
          <w:tcPr>
            <w:tcW w:w="1701" w:type="dxa"/>
          </w:tcPr>
          <w:p>
            <w:pPr>
              <w:pStyle w:val="yTableNAm"/>
              <w:rPr>
                <w:sz w:val="20"/>
              </w:rPr>
            </w:pPr>
            <w:r>
              <w:rPr>
                <w:sz w:val="20"/>
              </w:rPr>
              <w:t>Over 16 but not over 17</w:t>
            </w:r>
          </w:p>
        </w:tc>
        <w:tc>
          <w:tcPr>
            <w:tcW w:w="1512" w:type="dxa"/>
          </w:tcPr>
          <w:p>
            <w:pPr>
              <w:pStyle w:val="yTableNAm"/>
              <w:jc w:val="center"/>
              <w:rPr>
                <w:sz w:val="20"/>
              </w:rPr>
            </w:pPr>
            <w:r>
              <w:rPr>
                <w:sz w:val="20"/>
              </w:rPr>
              <w:t>4 036</w:t>
            </w:r>
          </w:p>
        </w:tc>
        <w:tc>
          <w:tcPr>
            <w:tcW w:w="1512" w:type="dxa"/>
          </w:tcPr>
          <w:p>
            <w:pPr>
              <w:pStyle w:val="yTableNAm"/>
              <w:jc w:val="center"/>
              <w:rPr>
                <w:sz w:val="20"/>
              </w:rPr>
            </w:pPr>
            <w:r>
              <w:rPr>
                <w:sz w:val="20"/>
              </w:rPr>
              <w:t>9 216</w:t>
            </w:r>
          </w:p>
        </w:tc>
        <w:tc>
          <w:tcPr>
            <w:tcW w:w="1512" w:type="dxa"/>
          </w:tcPr>
          <w:p>
            <w:pPr>
              <w:pStyle w:val="yTableNAm"/>
              <w:jc w:val="center"/>
              <w:rPr>
                <w:sz w:val="20"/>
              </w:rPr>
            </w:pPr>
            <w:r>
              <w:rPr>
                <w:sz w:val="20"/>
              </w:rPr>
              <w:t>857</w:t>
            </w:r>
          </w:p>
        </w:tc>
      </w:tr>
      <w:tr>
        <w:trPr>
          <w:cantSplit/>
        </w:trPr>
        <w:tc>
          <w:tcPr>
            <w:tcW w:w="1701" w:type="dxa"/>
          </w:tcPr>
          <w:p>
            <w:pPr>
              <w:pStyle w:val="yTableNAm"/>
              <w:rPr>
                <w:sz w:val="20"/>
              </w:rPr>
            </w:pPr>
            <w:r>
              <w:rPr>
                <w:sz w:val="20"/>
              </w:rPr>
              <w:t>Over 17 but not over 18</w:t>
            </w:r>
          </w:p>
        </w:tc>
        <w:tc>
          <w:tcPr>
            <w:tcW w:w="1512" w:type="dxa"/>
          </w:tcPr>
          <w:p>
            <w:pPr>
              <w:pStyle w:val="yTableNAm"/>
              <w:jc w:val="center"/>
              <w:rPr>
                <w:sz w:val="20"/>
              </w:rPr>
            </w:pPr>
            <w:r>
              <w:rPr>
                <w:sz w:val="20"/>
              </w:rPr>
              <w:t>4 405</w:t>
            </w:r>
          </w:p>
        </w:tc>
        <w:tc>
          <w:tcPr>
            <w:tcW w:w="1512" w:type="dxa"/>
          </w:tcPr>
          <w:p>
            <w:pPr>
              <w:pStyle w:val="yTableNAm"/>
              <w:jc w:val="center"/>
              <w:rPr>
                <w:sz w:val="20"/>
              </w:rPr>
            </w:pPr>
            <w:r>
              <w:rPr>
                <w:sz w:val="20"/>
              </w:rPr>
              <w:t>9 988</w:t>
            </w:r>
          </w:p>
        </w:tc>
        <w:tc>
          <w:tcPr>
            <w:tcW w:w="1512" w:type="dxa"/>
          </w:tcPr>
          <w:p>
            <w:pPr>
              <w:pStyle w:val="yTableNAm"/>
              <w:jc w:val="center"/>
              <w:rPr>
                <w:sz w:val="20"/>
              </w:rPr>
            </w:pPr>
            <w:r>
              <w:rPr>
                <w:sz w:val="20"/>
              </w:rPr>
              <w:t>909</w:t>
            </w:r>
          </w:p>
        </w:tc>
      </w:tr>
      <w:tr>
        <w:trPr>
          <w:cantSplit/>
        </w:trPr>
        <w:tc>
          <w:tcPr>
            <w:tcW w:w="1701" w:type="dxa"/>
          </w:tcPr>
          <w:p>
            <w:pPr>
              <w:pStyle w:val="yTableNAm"/>
              <w:rPr>
                <w:sz w:val="20"/>
              </w:rPr>
            </w:pPr>
            <w:r>
              <w:rPr>
                <w:sz w:val="20"/>
              </w:rPr>
              <w:t>Over 18 but not over 19</w:t>
            </w:r>
          </w:p>
        </w:tc>
        <w:tc>
          <w:tcPr>
            <w:tcW w:w="1512" w:type="dxa"/>
          </w:tcPr>
          <w:p>
            <w:pPr>
              <w:pStyle w:val="yTableNAm"/>
              <w:jc w:val="center"/>
              <w:rPr>
                <w:sz w:val="20"/>
              </w:rPr>
            </w:pPr>
            <w:r>
              <w:rPr>
                <w:sz w:val="20"/>
              </w:rPr>
              <w:t>4 745</w:t>
            </w:r>
          </w:p>
        </w:tc>
        <w:tc>
          <w:tcPr>
            <w:tcW w:w="1512" w:type="dxa"/>
          </w:tcPr>
          <w:p>
            <w:pPr>
              <w:pStyle w:val="yTableNAm"/>
              <w:jc w:val="center"/>
              <w:rPr>
                <w:sz w:val="20"/>
              </w:rPr>
            </w:pPr>
            <w:r>
              <w:rPr>
                <w:sz w:val="20"/>
              </w:rPr>
              <w:t>10 760</w:t>
            </w:r>
          </w:p>
        </w:tc>
        <w:tc>
          <w:tcPr>
            <w:tcW w:w="1512" w:type="dxa"/>
          </w:tcPr>
          <w:p>
            <w:pPr>
              <w:pStyle w:val="yTableNAm"/>
              <w:jc w:val="center"/>
              <w:rPr>
                <w:sz w:val="20"/>
              </w:rPr>
            </w:pPr>
            <w:r>
              <w:rPr>
                <w:sz w:val="20"/>
              </w:rPr>
              <w:t>960</w:t>
            </w:r>
          </w:p>
        </w:tc>
      </w:tr>
      <w:tr>
        <w:trPr>
          <w:cantSplit/>
        </w:trPr>
        <w:tc>
          <w:tcPr>
            <w:tcW w:w="1701" w:type="dxa"/>
          </w:tcPr>
          <w:p>
            <w:pPr>
              <w:pStyle w:val="yTableNAm"/>
              <w:rPr>
                <w:sz w:val="20"/>
              </w:rPr>
            </w:pPr>
            <w:r>
              <w:rPr>
                <w:sz w:val="20"/>
              </w:rPr>
              <w:t>Over 19 but not over 20</w:t>
            </w:r>
          </w:p>
        </w:tc>
        <w:tc>
          <w:tcPr>
            <w:tcW w:w="1512" w:type="dxa"/>
          </w:tcPr>
          <w:p>
            <w:pPr>
              <w:pStyle w:val="yTableNAm"/>
              <w:jc w:val="center"/>
              <w:rPr>
                <w:sz w:val="20"/>
              </w:rPr>
            </w:pPr>
            <w:r>
              <w:rPr>
                <w:sz w:val="20"/>
              </w:rPr>
              <w:t>5 108</w:t>
            </w:r>
          </w:p>
        </w:tc>
        <w:tc>
          <w:tcPr>
            <w:tcW w:w="1512" w:type="dxa"/>
          </w:tcPr>
          <w:p>
            <w:pPr>
              <w:pStyle w:val="yTableNAm"/>
              <w:jc w:val="center"/>
              <w:rPr>
                <w:sz w:val="20"/>
              </w:rPr>
            </w:pPr>
            <w:r>
              <w:rPr>
                <w:sz w:val="20"/>
              </w:rPr>
              <w:t>11 537</w:t>
            </w:r>
          </w:p>
        </w:tc>
        <w:tc>
          <w:tcPr>
            <w:tcW w:w="1512" w:type="dxa"/>
          </w:tcPr>
          <w:p>
            <w:pPr>
              <w:pStyle w:val="yTableNAm"/>
              <w:jc w:val="center"/>
              <w:rPr>
                <w:sz w:val="20"/>
              </w:rPr>
            </w:pPr>
            <w:r>
              <w:rPr>
                <w:sz w:val="20"/>
              </w:rPr>
              <w:t>1 016</w:t>
            </w:r>
          </w:p>
        </w:tc>
      </w:tr>
      <w:tr>
        <w:trPr>
          <w:cantSplit/>
        </w:trPr>
        <w:tc>
          <w:tcPr>
            <w:tcW w:w="1701" w:type="dxa"/>
          </w:tcPr>
          <w:p>
            <w:pPr>
              <w:pStyle w:val="yTableNAm"/>
              <w:rPr>
                <w:sz w:val="20"/>
              </w:rPr>
            </w:pPr>
            <w:r>
              <w:rPr>
                <w:sz w:val="20"/>
              </w:rPr>
              <w:t>Over 20 but not over 21</w:t>
            </w:r>
          </w:p>
        </w:tc>
        <w:tc>
          <w:tcPr>
            <w:tcW w:w="1512" w:type="dxa"/>
          </w:tcPr>
          <w:p>
            <w:pPr>
              <w:pStyle w:val="yTableNAm"/>
              <w:jc w:val="center"/>
              <w:rPr>
                <w:sz w:val="20"/>
              </w:rPr>
            </w:pPr>
            <w:r>
              <w:rPr>
                <w:sz w:val="20"/>
              </w:rPr>
              <w:t>5 519</w:t>
            </w:r>
          </w:p>
        </w:tc>
        <w:tc>
          <w:tcPr>
            <w:tcW w:w="1512" w:type="dxa"/>
          </w:tcPr>
          <w:p>
            <w:pPr>
              <w:pStyle w:val="yTableNAm"/>
              <w:jc w:val="center"/>
              <w:rPr>
                <w:sz w:val="20"/>
              </w:rPr>
            </w:pPr>
            <w:r>
              <w:rPr>
                <w:sz w:val="20"/>
              </w:rPr>
              <w:t>12 365</w:t>
            </w:r>
          </w:p>
        </w:tc>
        <w:tc>
          <w:tcPr>
            <w:tcW w:w="1512" w:type="dxa"/>
          </w:tcPr>
          <w:p>
            <w:pPr>
              <w:pStyle w:val="yTableNAm"/>
              <w:jc w:val="center"/>
              <w:rPr>
                <w:sz w:val="20"/>
              </w:rPr>
            </w:pPr>
            <w:r>
              <w:rPr>
                <w:sz w:val="20"/>
              </w:rPr>
              <w:t>1 094</w:t>
            </w:r>
          </w:p>
        </w:tc>
      </w:tr>
      <w:tr>
        <w:trPr>
          <w:cantSplit/>
        </w:trPr>
        <w:tc>
          <w:tcPr>
            <w:tcW w:w="1701" w:type="dxa"/>
          </w:tcPr>
          <w:p>
            <w:pPr>
              <w:pStyle w:val="yTableNAm"/>
              <w:rPr>
                <w:sz w:val="20"/>
              </w:rPr>
            </w:pPr>
            <w:r>
              <w:rPr>
                <w:sz w:val="20"/>
              </w:rPr>
              <w:t>Over 21 but not over 22</w:t>
            </w:r>
          </w:p>
        </w:tc>
        <w:tc>
          <w:tcPr>
            <w:tcW w:w="1512" w:type="dxa"/>
          </w:tcPr>
          <w:p>
            <w:pPr>
              <w:pStyle w:val="yTableNAm"/>
              <w:jc w:val="center"/>
              <w:rPr>
                <w:sz w:val="20"/>
              </w:rPr>
            </w:pPr>
            <w:r>
              <w:rPr>
                <w:sz w:val="20"/>
              </w:rPr>
              <w:t>5 935</w:t>
            </w:r>
          </w:p>
        </w:tc>
        <w:tc>
          <w:tcPr>
            <w:tcW w:w="1512" w:type="dxa"/>
          </w:tcPr>
          <w:p>
            <w:pPr>
              <w:pStyle w:val="yTableNAm"/>
              <w:jc w:val="center"/>
              <w:rPr>
                <w:sz w:val="20"/>
              </w:rPr>
            </w:pPr>
            <w:r>
              <w:rPr>
                <w:sz w:val="20"/>
              </w:rPr>
              <w:t>13 195</w:t>
            </w:r>
          </w:p>
        </w:tc>
        <w:tc>
          <w:tcPr>
            <w:tcW w:w="1512" w:type="dxa"/>
          </w:tcPr>
          <w:p>
            <w:pPr>
              <w:pStyle w:val="yTableNAm"/>
              <w:jc w:val="center"/>
              <w:rPr>
                <w:sz w:val="20"/>
              </w:rPr>
            </w:pPr>
            <w:r>
              <w:rPr>
                <w:sz w:val="20"/>
              </w:rPr>
              <w:t>1 181</w:t>
            </w:r>
          </w:p>
        </w:tc>
      </w:tr>
      <w:tr>
        <w:trPr>
          <w:cantSplit/>
        </w:trPr>
        <w:tc>
          <w:tcPr>
            <w:tcW w:w="1701" w:type="dxa"/>
          </w:tcPr>
          <w:p>
            <w:pPr>
              <w:pStyle w:val="yTableNAm"/>
              <w:rPr>
                <w:sz w:val="20"/>
              </w:rPr>
            </w:pPr>
            <w:r>
              <w:rPr>
                <w:sz w:val="20"/>
              </w:rPr>
              <w:t>Over 22 but not over 23</w:t>
            </w:r>
          </w:p>
        </w:tc>
        <w:tc>
          <w:tcPr>
            <w:tcW w:w="1512" w:type="dxa"/>
          </w:tcPr>
          <w:p>
            <w:pPr>
              <w:pStyle w:val="yTableNAm"/>
              <w:jc w:val="center"/>
              <w:rPr>
                <w:sz w:val="20"/>
              </w:rPr>
            </w:pPr>
            <w:r>
              <w:rPr>
                <w:sz w:val="20"/>
              </w:rPr>
              <w:t>6 349</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1 260</w:t>
            </w:r>
          </w:p>
        </w:tc>
      </w:tr>
      <w:tr>
        <w:trPr>
          <w:cantSplit/>
        </w:trPr>
        <w:tc>
          <w:tcPr>
            <w:tcW w:w="1701" w:type="dxa"/>
          </w:tcPr>
          <w:p>
            <w:pPr>
              <w:pStyle w:val="yTableNAm"/>
              <w:rPr>
                <w:sz w:val="20"/>
              </w:rPr>
            </w:pPr>
            <w:r>
              <w:rPr>
                <w:sz w:val="20"/>
              </w:rPr>
              <w:t>Over 23 but not over 24</w:t>
            </w:r>
          </w:p>
        </w:tc>
        <w:tc>
          <w:tcPr>
            <w:tcW w:w="1512" w:type="dxa"/>
          </w:tcPr>
          <w:p>
            <w:pPr>
              <w:pStyle w:val="yTableNAm"/>
              <w:jc w:val="center"/>
              <w:rPr>
                <w:sz w:val="20"/>
              </w:rPr>
            </w:pPr>
            <w:r>
              <w:rPr>
                <w:sz w:val="20"/>
              </w:rPr>
              <w:t>6 776</w:t>
            </w:r>
          </w:p>
        </w:tc>
        <w:tc>
          <w:tcPr>
            <w:tcW w:w="1512" w:type="dxa"/>
          </w:tcPr>
          <w:p>
            <w:pPr>
              <w:pStyle w:val="yTableNAm"/>
              <w:jc w:val="center"/>
              <w:rPr>
                <w:sz w:val="20"/>
              </w:rPr>
            </w:pPr>
            <w:r>
              <w:rPr>
                <w:sz w:val="20"/>
              </w:rPr>
              <w:t>14 866</w:t>
            </w:r>
          </w:p>
        </w:tc>
        <w:tc>
          <w:tcPr>
            <w:tcW w:w="1512" w:type="dxa"/>
          </w:tcPr>
          <w:p>
            <w:pPr>
              <w:pStyle w:val="yTableNAm"/>
              <w:jc w:val="center"/>
              <w:rPr>
                <w:sz w:val="20"/>
              </w:rPr>
            </w:pPr>
            <w:r>
              <w:rPr>
                <w:sz w:val="20"/>
              </w:rPr>
              <w:t>1 339</w:t>
            </w:r>
          </w:p>
        </w:tc>
      </w:tr>
      <w:tr>
        <w:trPr>
          <w:cantSplit/>
        </w:trPr>
        <w:tc>
          <w:tcPr>
            <w:tcW w:w="1701" w:type="dxa"/>
          </w:tcPr>
          <w:p>
            <w:pPr>
              <w:pStyle w:val="yTableNAm"/>
              <w:rPr>
                <w:sz w:val="20"/>
              </w:rPr>
            </w:pPr>
            <w:r>
              <w:rPr>
                <w:sz w:val="20"/>
              </w:rPr>
              <w:t>Over 24 but not over 25</w:t>
            </w:r>
          </w:p>
        </w:tc>
        <w:tc>
          <w:tcPr>
            <w:tcW w:w="1512" w:type="dxa"/>
          </w:tcPr>
          <w:p>
            <w:pPr>
              <w:pStyle w:val="yTableNAm"/>
              <w:jc w:val="center"/>
              <w:rPr>
                <w:sz w:val="20"/>
              </w:rPr>
            </w:pPr>
            <w:r>
              <w:rPr>
                <w:sz w:val="20"/>
              </w:rPr>
              <w:t>7 184</w:t>
            </w:r>
          </w:p>
        </w:tc>
        <w:tc>
          <w:tcPr>
            <w:tcW w:w="1512" w:type="dxa"/>
          </w:tcPr>
          <w:p>
            <w:pPr>
              <w:pStyle w:val="yTableNAm"/>
              <w:jc w:val="center"/>
              <w:rPr>
                <w:sz w:val="20"/>
              </w:rPr>
            </w:pPr>
            <w:r>
              <w:rPr>
                <w:sz w:val="20"/>
              </w:rPr>
              <w:t>15 689</w:t>
            </w:r>
          </w:p>
        </w:tc>
        <w:tc>
          <w:tcPr>
            <w:tcW w:w="1512" w:type="dxa"/>
          </w:tcPr>
          <w:p>
            <w:pPr>
              <w:pStyle w:val="yTableNAm"/>
              <w:jc w:val="center"/>
              <w:rPr>
                <w:sz w:val="20"/>
              </w:rPr>
            </w:pPr>
            <w:r>
              <w:rPr>
                <w:sz w:val="20"/>
              </w:rPr>
              <w:t>1 413</w:t>
            </w:r>
          </w:p>
        </w:tc>
      </w:tr>
      <w:tr>
        <w:trPr>
          <w:cantSplit/>
        </w:trPr>
        <w:tc>
          <w:tcPr>
            <w:tcW w:w="1701" w:type="dxa"/>
          </w:tcPr>
          <w:p>
            <w:pPr>
              <w:pStyle w:val="yTableNAm"/>
              <w:rPr>
                <w:sz w:val="20"/>
              </w:rPr>
            </w:pPr>
            <w:r>
              <w:rPr>
                <w:sz w:val="20"/>
              </w:rPr>
              <w:t>Over 25 but not over 26</w:t>
            </w:r>
          </w:p>
        </w:tc>
        <w:tc>
          <w:tcPr>
            <w:tcW w:w="1512" w:type="dxa"/>
          </w:tcPr>
          <w:p>
            <w:pPr>
              <w:pStyle w:val="yTableNAm"/>
              <w:jc w:val="center"/>
              <w:rPr>
                <w:sz w:val="20"/>
              </w:rPr>
            </w:pPr>
            <w:r>
              <w:rPr>
                <w:sz w:val="20"/>
              </w:rPr>
              <w:t>7 612</w:t>
            </w:r>
          </w:p>
        </w:tc>
        <w:tc>
          <w:tcPr>
            <w:tcW w:w="1512" w:type="dxa"/>
          </w:tcPr>
          <w:p>
            <w:pPr>
              <w:pStyle w:val="yTableNAm"/>
              <w:jc w:val="center"/>
              <w:rPr>
                <w:sz w:val="20"/>
              </w:rPr>
            </w:pPr>
            <w:r>
              <w:rPr>
                <w:sz w:val="20"/>
              </w:rPr>
              <w:t>16 517</w:t>
            </w:r>
          </w:p>
        </w:tc>
        <w:tc>
          <w:tcPr>
            <w:tcW w:w="1512" w:type="dxa"/>
          </w:tcPr>
          <w:p>
            <w:pPr>
              <w:pStyle w:val="yTableNAm"/>
              <w:jc w:val="center"/>
              <w:rPr>
                <w:sz w:val="20"/>
              </w:rPr>
            </w:pPr>
            <w:r>
              <w:rPr>
                <w:sz w:val="20"/>
              </w:rPr>
              <w:t>1 493</w:t>
            </w:r>
          </w:p>
        </w:tc>
      </w:tr>
      <w:tr>
        <w:trPr>
          <w:cantSplit/>
        </w:trPr>
        <w:tc>
          <w:tcPr>
            <w:tcW w:w="1701" w:type="dxa"/>
          </w:tcPr>
          <w:p>
            <w:pPr>
              <w:pStyle w:val="yTableNAm"/>
              <w:rPr>
                <w:sz w:val="20"/>
              </w:rPr>
            </w:pPr>
            <w:r>
              <w:rPr>
                <w:sz w:val="20"/>
              </w:rPr>
              <w:t>Over 26 but not over 27</w:t>
            </w:r>
          </w:p>
        </w:tc>
        <w:tc>
          <w:tcPr>
            <w:tcW w:w="1512" w:type="dxa"/>
          </w:tcPr>
          <w:p>
            <w:pPr>
              <w:pStyle w:val="yTableNAm"/>
              <w:jc w:val="center"/>
              <w:rPr>
                <w:sz w:val="20"/>
              </w:rPr>
            </w:pPr>
            <w:r>
              <w:rPr>
                <w:sz w:val="20"/>
              </w:rPr>
              <w:t>8 015</w:t>
            </w:r>
          </w:p>
        </w:tc>
        <w:tc>
          <w:tcPr>
            <w:tcW w:w="1512" w:type="dxa"/>
          </w:tcPr>
          <w:p>
            <w:pPr>
              <w:pStyle w:val="yTableNAm"/>
              <w:jc w:val="center"/>
              <w:rPr>
                <w:sz w:val="20"/>
              </w:rPr>
            </w:pPr>
            <w:r>
              <w:rPr>
                <w:sz w:val="20"/>
              </w:rPr>
              <w:t>17 348</w:t>
            </w:r>
          </w:p>
        </w:tc>
        <w:tc>
          <w:tcPr>
            <w:tcW w:w="1512" w:type="dxa"/>
          </w:tcPr>
          <w:p>
            <w:pPr>
              <w:pStyle w:val="yTableNAm"/>
              <w:jc w:val="center"/>
              <w:rPr>
                <w:sz w:val="20"/>
              </w:rPr>
            </w:pPr>
            <w:r>
              <w:rPr>
                <w:sz w:val="20"/>
              </w:rPr>
              <w:t>1 567</w:t>
            </w:r>
          </w:p>
        </w:tc>
      </w:tr>
      <w:tr>
        <w:trPr>
          <w:cantSplit/>
        </w:trPr>
        <w:tc>
          <w:tcPr>
            <w:tcW w:w="1701" w:type="dxa"/>
          </w:tcPr>
          <w:p>
            <w:pPr>
              <w:pStyle w:val="yTableNAm"/>
              <w:rPr>
                <w:sz w:val="20"/>
              </w:rPr>
            </w:pPr>
            <w:r>
              <w:rPr>
                <w:sz w:val="20"/>
              </w:rPr>
              <w:t>Over 27 but not over 28</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18 193</w:t>
            </w:r>
          </w:p>
        </w:tc>
        <w:tc>
          <w:tcPr>
            <w:tcW w:w="1512" w:type="dxa"/>
          </w:tcPr>
          <w:p>
            <w:pPr>
              <w:pStyle w:val="yTableNAm"/>
              <w:jc w:val="center"/>
              <w:rPr>
                <w:sz w:val="20"/>
              </w:rPr>
            </w:pPr>
            <w:r>
              <w:rPr>
                <w:sz w:val="20"/>
              </w:rPr>
              <w:t>1 655</w:t>
            </w:r>
          </w:p>
        </w:tc>
      </w:tr>
      <w:tr>
        <w:trPr>
          <w:cantSplit/>
        </w:trPr>
        <w:tc>
          <w:tcPr>
            <w:tcW w:w="1701" w:type="dxa"/>
          </w:tcPr>
          <w:p>
            <w:pPr>
              <w:pStyle w:val="yTableNAm"/>
              <w:rPr>
                <w:sz w:val="20"/>
              </w:rPr>
            </w:pPr>
            <w:r>
              <w:rPr>
                <w:sz w:val="20"/>
              </w:rPr>
              <w:t>Over 28 but not over 29</w:t>
            </w:r>
          </w:p>
        </w:tc>
        <w:tc>
          <w:tcPr>
            <w:tcW w:w="1512" w:type="dxa"/>
          </w:tcPr>
          <w:p>
            <w:pPr>
              <w:pStyle w:val="yTableNAm"/>
              <w:jc w:val="center"/>
              <w:rPr>
                <w:sz w:val="20"/>
              </w:rPr>
            </w:pPr>
            <w:r>
              <w:rPr>
                <w:sz w:val="20"/>
              </w:rPr>
              <w:t>8 850</w:t>
            </w:r>
          </w:p>
        </w:tc>
        <w:tc>
          <w:tcPr>
            <w:tcW w:w="1512" w:type="dxa"/>
          </w:tcPr>
          <w:p>
            <w:pPr>
              <w:pStyle w:val="yTableNAm"/>
              <w:jc w:val="center"/>
              <w:rPr>
                <w:sz w:val="20"/>
              </w:rPr>
            </w:pPr>
            <w:r>
              <w:rPr>
                <w:sz w:val="20"/>
              </w:rPr>
              <w:t>19 020</w:t>
            </w:r>
          </w:p>
        </w:tc>
        <w:tc>
          <w:tcPr>
            <w:tcW w:w="1512" w:type="dxa"/>
          </w:tcPr>
          <w:p>
            <w:pPr>
              <w:pStyle w:val="yTableNAm"/>
              <w:jc w:val="center"/>
              <w:rPr>
                <w:sz w:val="20"/>
              </w:rPr>
            </w:pPr>
            <w:r>
              <w:rPr>
                <w:sz w:val="20"/>
              </w:rPr>
              <w:t>1 730</w:t>
            </w:r>
          </w:p>
        </w:tc>
      </w:tr>
      <w:tr>
        <w:trPr>
          <w:cantSplit/>
        </w:trPr>
        <w:tc>
          <w:tcPr>
            <w:tcW w:w="1701" w:type="dxa"/>
          </w:tcPr>
          <w:p>
            <w:pPr>
              <w:pStyle w:val="yTableNAm"/>
              <w:rPr>
                <w:sz w:val="20"/>
              </w:rPr>
            </w:pPr>
            <w:r>
              <w:rPr>
                <w:sz w:val="20"/>
              </w:rPr>
              <w:t>Over 29 but not over 30</w:t>
            </w:r>
          </w:p>
        </w:tc>
        <w:tc>
          <w:tcPr>
            <w:tcW w:w="1512" w:type="dxa"/>
          </w:tcPr>
          <w:p>
            <w:pPr>
              <w:pStyle w:val="yTableNAm"/>
              <w:jc w:val="center"/>
              <w:rPr>
                <w:sz w:val="20"/>
              </w:rPr>
            </w:pPr>
            <w:r>
              <w:rPr>
                <w:sz w:val="20"/>
              </w:rPr>
              <w:t>9 266</w:t>
            </w:r>
          </w:p>
        </w:tc>
        <w:tc>
          <w:tcPr>
            <w:tcW w:w="1512" w:type="dxa"/>
          </w:tcPr>
          <w:p>
            <w:pPr>
              <w:pStyle w:val="yTableNAm"/>
              <w:jc w:val="center"/>
              <w:rPr>
                <w:sz w:val="20"/>
              </w:rPr>
            </w:pPr>
            <w:r>
              <w:rPr>
                <w:sz w:val="20"/>
              </w:rPr>
              <w:t>19 845</w:t>
            </w:r>
          </w:p>
        </w:tc>
        <w:tc>
          <w:tcPr>
            <w:tcW w:w="1512" w:type="dxa"/>
          </w:tcPr>
          <w:p>
            <w:pPr>
              <w:pStyle w:val="yTableNAm"/>
              <w:jc w:val="center"/>
              <w:rPr>
                <w:sz w:val="20"/>
              </w:rPr>
            </w:pPr>
            <w:r>
              <w:rPr>
                <w:sz w:val="20"/>
              </w:rPr>
              <w:t>1 811</w:t>
            </w:r>
          </w:p>
        </w:tc>
      </w:tr>
      <w:tr>
        <w:trPr>
          <w:cantSplit/>
        </w:trPr>
        <w:tc>
          <w:tcPr>
            <w:tcW w:w="1701" w:type="dxa"/>
          </w:tcPr>
          <w:p>
            <w:pPr>
              <w:pStyle w:val="yTableNAm"/>
              <w:rPr>
                <w:sz w:val="20"/>
              </w:rPr>
            </w:pPr>
            <w:r>
              <w:rPr>
                <w:sz w:val="20"/>
              </w:rPr>
              <w:t>Over 30 but not over 31</w:t>
            </w:r>
          </w:p>
        </w:tc>
        <w:tc>
          <w:tcPr>
            <w:tcW w:w="1512" w:type="dxa"/>
          </w:tcPr>
          <w:p>
            <w:pPr>
              <w:pStyle w:val="yTableNAm"/>
              <w:jc w:val="center"/>
              <w:rPr>
                <w:sz w:val="20"/>
              </w:rPr>
            </w:pPr>
            <w:r>
              <w:rPr>
                <w:sz w:val="20"/>
              </w:rPr>
              <w:t>9 738</w:t>
            </w:r>
          </w:p>
        </w:tc>
        <w:tc>
          <w:tcPr>
            <w:tcW w:w="1512" w:type="dxa"/>
          </w:tcPr>
          <w:p>
            <w:pPr>
              <w:pStyle w:val="yTableNAm"/>
              <w:jc w:val="center"/>
              <w:rPr>
                <w:sz w:val="20"/>
              </w:rPr>
            </w:pPr>
            <w:r>
              <w:rPr>
                <w:sz w:val="20"/>
              </w:rPr>
              <w:t>20 738</w:t>
            </w:r>
          </w:p>
        </w:tc>
        <w:tc>
          <w:tcPr>
            <w:tcW w:w="1512" w:type="dxa"/>
          </w:tcPr>
          <w:p>
            <w:pPr>
              <w:pStyle w:val="yTableNAm"/>
              <w:jc w:val="center"/>
              <w:rPr>
                <w:sz w:val="20"/>
              </w:rPr>
            </w:pPr>
            <w:r>
              <w:rPr>
                <w:sz w:val="20"/>
              </w:rPr>
              <w:t>1 917</w:t>
            </w:r>
          </w:p>
        </w:tc>
      </w:tr>
      <w:tr>
        <w:trPr>
          <w:cantSplit/>
        </w:trPr>
        <w:tc>
          <w:tcPr>
            <w:tcW w:w="1701" w:type="dxa"/>
          </w:tcPr>
          <w:p>
            <w:pPr>
              <w:pStyle w:val="yTableNAm"/>
              <w:rPr>
                <w:sz w:val="20"/>
              </w:rPr>
            </w:pPr>
            <w:r>
              <w:rPr>
                <w:sz w:val="20"/>
              </w:rPr>
              <w:t>Over 31 but not over 32</w:t>
            </w:r>
          </w:p>
        </w:tc>
        <w:tc>
          <w:tcPr>
            <w:tcW w:w="1512" w:type="dxa"/>
          </w:tcPr>
          <w:p>
            <w:pPr>
              <w:pStyle w:val="yTableNAm"/>
              <w:jc w:val="center"/>
              <w:rPr>
                <w:sz w:val="20"/>
              </w:rPr>
            </w:pPr>
            <w:r>
              <w:rPr>
                <w:sz w:val="20"/>
              </w:rPr>
              <w:t>10 222</w:t>
            </w:r>
          </w:p>
        </w:tc>
        <w:tc>
          <w:tcPr>
            <w:tcW w:w="1512" w:type="dxa"/>
          </w:tcPr>
          <w:p>
            <w:pPr>
              <w:pStyle w:val="yTableNAm"/>
              <w:jc w:val="center"/>
              <w:rPr>
                <w:sz w:val="20"/>
              </w:rPr>
            </w:pPr>
            <w:r>
              <w:rPr>
                <w:sz w:val="20"/>
              </w:rPr>
              <w:t>21 643</w:t>
            </w:r>
          </w:p>
        </w:tc>
        <w:tc>
          <w:tcPr>
            <w:tcW w:w="1512" w:type="dxa"/>
          </w:tcPr>
          <w:p>
            <w:pPr>
              <w:pStyle w:val="yTableNAm"/>
              <w:jc w:val="center"/>
              <w:rPr>
                <w:sz w:val="20"/>
              </w:rPr>
            </w:pPr>
            <w:r>
              <w:rPr>
                <w:sz w:val="20"/>
              </w:rPr>
              <w:t>2 026</w:t>
            </w:r>
          </w:p>
        </w:tc>
      </w:tr>
      <w:tr>
        <w:trPr>
          <w:cantSplit/>
        </w:trPr>
        <w:tc>
          <w:tcPr>
            <w:tcW w:w="1701" w:type="dxa"/>
          </w:tcPr>
          <w:p>
            <w:pPr>
              <w:pStyle w:val="yTableNAm"/>
              <w:rPr>
                <w:sz w:val="20"/>
              </w:rPr>
            </w:pPr>
            <w:r>
              <w:rPr>
                <w:sz w:val="20"/>
              </w:rPr>
              <w:t>Over 32 but not over 33</w:t>
            </w:r>
          </w:p>
        </w:tc>
        <w:tc>
          <w:tcPr>
            <w:tcW w:w="1512" w:type="dxa"/>
          </w:tcPr>
          <w:p>
            <w:pPr>
              <w:pStyle w:val="yTableNAm"/>
              <w:jc w:val="center"/>
              <w:rPr>
                <w:sz w:val="20"/>
              </w:rPr>
            </w:pPr>
            <w:r>
              <w:rPr>
                <w:sz w:val="20"/>
              </w:rPr>
              <w:t>10 684</w:t>
            </w:r>
          </w:p>
        </w:tc>
        <w:tc>
          <w:tcPr>
            <w:tcW w:w="1512" w:type="dxa"/>
          </w:tcPr>
          <w:p>
            <w:pPr>
              <w:pStyle w:val="yTableNAm"/>
              <w:jc w:val="center"/>
              <w:rPr>
                <w:sz w:val="20"/>
              </w:rPr>
            </w:pPr>
            <w:r>
              <w:rPr>
                <w:sz w:val="20"/>
              </w:rPr>
              <w:t>22 527</w:t>
            </w:r>
          </w:p>
        </w:tc>
        <w:tc>
          <w:tcPr>
            <w:tcW w:w="1512" w:type="dxa"/>
          </w:tcPr>
          <w:p>
            <w:pPr>
              <w:pStyle w:val="yTableNAm"/>
              <w:jc w:val="center"/>
              <w:rPr>
                <w:sz w:val="20"/>
              </w:rPr>
            </w:pPr>
            <w:r>
              <w:rPr>
                <w:sz w:val="20"/>
              </w:rPr>
              <w:t>2 129</w:t>
            </w:r>
          </w:p>
        </w:tc>
      </w:tr>
      <w:tr>
        <w:trPr>
          <w:cantSplit/>
        </w:trPr>
        <w:tc>
          <w:tcPr>
            <w:tcW w:w="1701" w:type="dxa"/>
          </w:tcPr>
          <w:p>
            <w:pPr>
              <w:pStyle w:val="yTableNAm"/>
              <w:rPr>
                <w:sz w:val="20"/>
              </w:rPr>
            </w:pPr>
            <w:r>
              <w:rPr>
                <w:sz w:val="20"/>
              </w:rPr>
              <w:t>Over 33 but not over 34</w:t>
            </w:r>
          </w:p>
        </w:tc>
        <w:tc>
          <w:tcPr>
            <w:tcW w:w="1512" w:type="dxa"/>
          </w:tcPr>
          <w:p>
            <w:pPr>
              <w:pStyle w:val="yTableNAm"/>
              <w:jc w:val="center"/>
              <w:rPr>
                <w:sz w:val="20"/>
              </w:rPr>
            </w:pPr>
            <w:r>
              <w:rPr>
                <w:sz w:val="20"/>
              </w:rPr>
              <w:t>11 169</w:t>
            </w:r>
          </w:p>
        </w:tc>
        <w:tc>
          <w:tcPr>
            <w:tcW w:w="1512" w:type="dxa"/>
          </w:tcPr>
          <w:p>
            <w:pPr>
              <w:pStyle w:val="yTableNAm"/>
              <w:jc w:val="center"/>
              <w:rPr>
                <w:sz w:val="20"/>
              </w:rPr>
            </w:pPr>
            <w:r>
              <w:rPr>
                <w:sz w:val="20"/>
              </w:rPr>
              <w:t>23 421</w:t>
            </w:r>
          </w:p>
        </w:tc>
        <w:tc>
          <w:tcPr>
            <w:tcW w:w="1512" w:type="dxa"/>
          </w:tcPr>
          <w:p>
            <w:pPr>
              <w:pStyle w:val="yTableNAm"/>
              <w:jc w:val="center"/>
              <w:rPr>
                <w:sz w:val="20"/>
              </w:rPr>
            </w:pPr>
            <w:r>
              <w:rPr>
                <w:sz w:val="20"/>
              </w:rPr>
              <w:t>2 237</w:t>
            </w:r>
          </w:p>
        </w:tc>
      </w:tr>
      <w:tr>
        <w:trPr>
          <w:cantSplit/>
        </w:trPr>
        <w:tc>
          <w:tcPr>
            <w:tcW w:w="1701" w:type="dxa"/>
          </w:tcPr>
          <w:p>
            <w:pPr>
              <w:pStyle w:val="yTableNAm"/>
              <w:rPr>
                <w:sz w:val="20"/>
              </w:rPr>
            </w:pPr>
            <w:r>
              <w:rPr>
                <w:sz w:val="20"/>
              </w:rPr>
              <w:t>Over 34 but not over 35</w:t>
            </w:r>
          </w:p>
        </w:tc>
        <w:tc>
          <w:tcPr>
            <w:tcW w:w="1512" w:type="dxa"/>
          </w:tcPr>
          <w:p>
            <w:pPr>
              <w:pStyle w:val="yTableNAm"/>
              <w:jc w:val="center"/>
              <w:rPr>
                <w:sz w:val="20"/>
              </w:rPr>
            </w:pPr>
            <w:r>
              <w:rPr>
                <w:sz w:val="20"/>
              </w:rPr>
              <w:t>11 639</w:t>
            </w:r>
          </w:p>
        </w:tc>
        <w:tc>
          <w:tcPr>
            <w:tcW w:w="1512" w:type="dxa"/>
          </w:tcPr>
          <w:p>
            <w:pPr>
              <w:pStyle w:val="yTableNAm"/>
              <w:jc w:val="center"/>
              <w:rPr>
                <w:sz w:val="20"/>
              </w:rPr>
            </w:pPr>
            <w:r>
              <w:rPr>
                <w:sz w:val="20"/>
              </w:rPr>
              <w:t>24 308</w:t>
            </w:r>
          </w:p>
        </w:tc>
        <w:tc>
          <w:tcPr>
            <w:tcW w:w="1512" w:type="dxa"/>
          </w:tcPr>
          <w:p>
            <w:pPr>
              <w:pStyle w:val="yTableNAm"/>
              <w:jc w:val="center"/>
              <w:rPr>
                <w:sz w:val="20"/>
              </w:rPr>
            </w:pPr>
            <w:r>
              <w:rPr>
                <w:sz w:val="20"/>
              </w:rPr>
              <w:t>2 343</w:t>
            </w:r>
          </w:p>
        </w:tc>
      </w:tr>
      <w:tr>
        <w:trPr>
          <w:cantSplit/>
        </w:trPr>
        <w:tc>
          <w:tcPr>
            <w:tcW w:w="1701" w:type="dxa"/>
          </w:tcPr>
          <w:p>
            <w:pPr>
              <w:pStyle w:val="yTableNAm"/>
              <w:rPr>
                <w:sz w:val="20"/>
              </w:rPr>
            </w:pPr>
            <w:r>
              <w:rPr>
                <w:sz w:val="20"/>
              </w:rPr>
              <w:t>Over 35 but not over 36</w:t>
            </w:r>
          </w:p>
        </w:tc>
        <w:tc>
          <w:tcPr>
            <w:tcW w:w="1512" w:type="dxa"/>
          </w:tcPr>
          <w:p>
            <w:pPr>
              <w:pStyle w:val="yTableNAm"/>
              <w:jc w:val="center"/>
              <w:rPr>
                <w:sz w:val="20"/>
              </w:rPr>
            </w:pPr>
            <w:r>
              <w:rPr>
                <w:sz w:val="20"/>
              </w:rPr>
              <w:t>12 124</w:t>
            </w:r>
          </w:p>
        </w:tc>
        <w:tc>
          <w:tcPr>
            <w:tcW w:w="1512" w:type="dxa"/>
          </w:tcPr>
          <w:p>
            <w:pPr>
              <w:pStyle w:val="yTableNAm"/>
              <w:jc w:val="center"/>
              <w:rPr>
                <w:sz w:val="20"/>
              </w:rPr>
            </w:pPr>
            <w:r>
              <w:rPr>
                <w:sz w:val="20"/>
              </w:rPr>
              <w:t>25 197</w:t>
            </w:r>
          </w:p>
        </w:tc>
        <w:tc>
          <w:tcPr>
            <w:tcW w:w="1512" w:type="dxa"/>
          </w:tcPr>
          <w:p>
            <w:pPr>
              <w:pStyle w:val="yTableNAm"/>
              <w:jc w:val="center"/>
              <w:rPr>
                <w:sz w:val="20"/>
              </w:rPr>
            </w:pPr>
            <w:r>
              <w:rPr>
                <w:sz w:val="20"/>
              </w:rPr>
              <w:t>2 449</w:t>
            </w:r>
          </w:p>
        </w:tc>
      </w:tr>
      <w:tr>
        <w:trPr>
          <w:cantSplit/>
        </w:trPr>
        <w:tc>
          <w:tcPr>
            <w:tcW w:w="1701" w:type="dxa"/>
          </w:tcPr>
          <w:p>
            <w:pPr>
              <w:pStyle w:val="yTableNAm"/>
              <w:rPr>
                <w:sz w:val="20"/>
              </w:rPr>
            </w:pPr>
            <w:r>
              <w:rPr>
                <w:sz w:val="20"/>
              </w:rPr>
              <w:t>Over 36 but not over 37</w:t>
            </w:r>
          </w:p>
        </w:tc>
        <w:tc>
          <w:tcPr>
            <w:tcW w:w="1512" w:type="dxa"/>
          </w:tcPr>
          <w:p>
            <w:pPr>
              <w:pStyle w:val="yTableNAm"/>
              <w:jc w:val="center"/>
              <w:rPr>
                <w:sz w:val="20"/>
              </w:rPr>
            </w:pPr>
            <w:r>
              <w:rPr>
                <w:sz w:val="20"/>
              </w:rPr>
              <w:t>12 608</w:t>
            </w:r>
          </w:p>
        </w:tc>
        <w:tc>
          <w:tcPr>
            <w:tcW w:w="1512" w:type="dxa"/>
          </w:tcPr>
          <w:p>
            <w:pPr>
              <w:pStyle w:val="yTableNAm"/>
              <w:jc w:val="center"/>
              <w:rPr>
                <w:sz w:val="20"/>
              </w:rPr>
            </w:pPr>
            <w:r>
              <w:rPr>
                <w:sz w:val="20"/>
              </w:rPr>
              <w:t>26 087</w:t>
            </w:r>
          </w:p>
        </w:tc>
        <w:tc>
          <w:tcPr>
            <w:tcW w:w="1512" w:type="dxa"/>
          </w:tcPr>
          <w:p>
            <w:pPr>
              <w:pStyle w:val="yTableNAm"/>
              <w:jc w:val="center"/>
              <w:rPr>
                <w:sz w:val="20"/>
              </w:rPr>
            </w:pPr>
            <w:r>
              <w:rPr>
                <w:sz w:val="20"/>
              </w:rPr>
              <w:t>2 559</w:t>
            </w:r>
          </w:p>
        </w:tc>
      </w:tr>
      <w:tr>
        <w:tc>
          <w:tcPr>
            <w:tcW w:w="1701" w:type="dxa"/>
          </w:tcPr>
          <w:p>
            <w:pPr>
              <w:pStyle w:val="yTableNAm"/>
              <w:rPr>
                <w:sz w:val="20"/>
              </w:rPr>
            </w:pPr>
            <w:r>
              <w:rPr>
                <w:sz w:val="20"/>
              </w:rPr>
              <w:t>Over 37 but not over 38</w:t>
            </w:r>
          </w:p>
        </w:tc>
        <w:tc>
          <w:tcPr>
            <w:tcW w:w="1512" w:type="dxa"/>
          </w:tcPr>
          <w:p>
            <w:pPr>
              <w:pStyle w:val="yTableNAm"/>
              <w:jc w:val="center"/>
              <w:rPr>
                <w:sz w:val="20"/>
              </w:rPr>
            </w:pPr>
            <w:r>
              <w:rPr>
                <w:sz w:val="20"/>
              </w:rPr>
              <w:t>13 067</w:t>
            </w:r>
          </w:p>
        </w:tc>
        <w:tc>
          <w:tcPr>
            <w:tcW w:w="1512" w:type="dxa"/>
          </w:tcPr>
          <w:p>
            <w:pPr>
              <w:pStyle w:val="yTableNAm"/>
              <w:jc w:val="center"/>
              <w:rPr>
                <w:sz w:val="20"/>
              </w:rPr>
            </w:pPr>
            <w:r>
              <w:rPr>
                <w:sz w:val="20"/>
              </w:rPr>
              <w:t>26 993</w:t>
            </w:r>
          </w:p>
        </w:tc>
        <w:tc>
          <w:tcPr>
            <w:tcW w:w="1512" w:type="dxa"/>
          </w:tcPr>
          <w:p>
            <w:pPr>
              <w:pStyle w:val="yTableNAm"/>
              <w:jc w:val="center"/>
              <w:rPr>
                <w:sz w:val="20"/>
              </w:rPr>
            </w:pPr>
            <w:r>
              <w:rPr>
                <w:sz w:val="20"/>
              </w:rPr>
              <w:t>2 655</w:t>
            </w:r>
          </w:p>
        </w:tc>
      </w:tr>
      <w:tr>
        <w:tc>
          <w:tcPr>
            <w:tcW w:w="1701" w:type="dxa"/>
          </w:tcPr>
          <w:p>
            <w:pPr>
              <w:pStyle w:val="yTableNAm"/>
              <w:rPr>
                <w:sz w:val="20"/>
              </w:rPr>
            </w:pPr>
            <w:r>
              <w:rPr>
                <w:sz w:val="20"/>
              </w:rPr>
              <w:t>Over 38 but not over 39</w:t>
            </w:r>
          </w:p>
        </w:tc>
        <w:tc>
          <w:tcPr>
            <w:tcW w:w="1512" w:type="dxa"/>
          </w:tcPr>
          <w:p>
            <w:pPr>
              <w:pStyle w:val="yTableNAm"/>
              <w:jc w:val="center"/>
              <w:rPr>
                <w:sz w:val="20"/>
              </w:rPr>
            </w:pPr>
            <w:r>
              <w:rPr>
                <w:sz w:val="20"/>
              </w:rPr>
              <w:t>13 550</w:t>
            </w:r>
          </w:p>
        </w:tc>
        <w:tc>
          <w:tcPr>
            <w:tcW w:w="1512" w:type="dxa"/>
          </w:tcPr>
          <w:p>
            <w:pPr>
              <w:pStyle w:val="yTableNAm"/>
              <w:jc w:val="center"/>
              <w:rPr>
                <w:sz w:val="20"/>
              </w:rPr>
            </w:pPr>
            <w:r>
              <w:rPr>
                <w:sz w:val="20"/>
              </w:rPr>
              <w:t>27 876</w:t>
            </w:r>
          </w:p>
        </w:tc>
        <w:tc>
          <w:tcPr>
            <w:tcW w:w="1512" w:type="dxa"/>
          </w:tcPr>
          <w:p>
            <w:pPr>
              <w:pStyle w:val="yTableNAm"/>
              <w:jc w:val="center"/>
              <w:rPr>
                <w:sz w:val="20"/>
              </w:rPr>
            </w:pPr>
            <w:r>
              <w:rPr>
                <w:sz w:val="20"/>
              </w:rPr>
              <w:t>2 762</w:t>
            </w:r>
          </w:p>
        </w:tc>
      </w:tr>
      <w:tr>
        <w:tc>
          <w:tcPr>
            <w:tcW w:w="1701" w:type="dxa"/>
          </w:tcPr>
          <w:p>
            <w:pPr>
              <w:pStyle w:val="yTableNAm"/>
              <w:rPr>
                <w:sz w:val="20"/>
              </w:rPr>
            </w:pPr>
            <w:r>
              <w:rPr>
                <w:sz w:val="20"/>
              </w:rPr>
              <w:t>Over 39 but not over 40</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28 767</w:t>
            </w:r>
          </w:p>
        </w:tc>
        <w:tc>
          <w:tcPr>
            <w:tcW w:w="1512" w:type="dxa"/>
          </w:tcPr>
          <w:p>
            <w:pPr>
              <w:pStyle w:val="yTableNAm"/>
              <w:jc w:val="center"/>
              <w:rPr>
                <w:sz w:val="20"/>
              </w:rPr>
            </w:pPr>
            <w:r>
              <w:rPr>
                <w:sz w:val="20"/>
              </w:rPr>
              <w:t>2 868</w:t>
            </w:r>
          </w:p>
        </w:tc>
      </w:tr>
      <w:tr>
        <w:tc>
          <w:tcPr>
            <w:tcW w:w="1701" w:type="dxa"/>
          </w:tcPr>
          <w:p>
            <w:pPr>
              <w:pStyle w:val="yTableNAm"/>
              <w:rPr>
                <w:sz w:val="20"/>
              </w:rPr>
            </w:pPr>
            <w:r>
              <w:rPr>
                <w:sz w:val="20"/>
              </w:rPr>
              <w:t>Over 40 but not over 41</w:t>
            </w:r>
          </w:p>
        </w:tc>
        <w:tc>
          <w:tcPr>
            <w:tcW w:w="1512" w:type="dxa"/>
          </w:tcPr>
          <w:p>
            <w:pPr>
              <w:pStyle w:val="yTableNAm"/>
              <w:jc w:val="center"/>
              <w:rPr>
                <w:sz w:val="20"/>
              </w:rPr>
            </w:pPr>
            <w:r>
              <w:rPr>
                <w:sz w:val="20"/>
              </w:rPr>
              <w:t>14 565</w:t>
            </w:r>
          </w:p>
        </w:tc>
        <w:tc>
          <w:tcPr>
            <w:tcW w:w="1512" w:type="dxa"/>
          </w:tcPr>
          <w:p>
            <w:pPr>
              <w:pStyle w:val="yTableNAm"/>
              <w:jc w:val="center"/>
              <w:rPr>
                <w:sz w:val="20"/>
              </w:rPr>
            </w:pPr>
            <w:r>
              <w:rPr>
                <w:sz w:val="20"/>
              </w:rPr>
              <w:t>29 711</w:t>
            </w:r>
          </w:p>
        </w:tc>
        <w:tc>
          <w:tcPr>
            <w:tcW w:w="1512" w:type="dxa"/>
          </w:tcPr>
          <w:p>
            <w:pPr>
              <w:pStyle w:val="yTableNAm"/>
              <w:jc w:val="center"/>
              <w:rPr>
                <w:sz w:val="20"/>
              </w:rPr>
            </w:pPr>
            <w:r>
              <w:rPr>
                <w:sz w:val="20"/>
              </w:rPr>
              <w:t>3 009</w:t>
            </w:r>
          </w:p>
        </w:tc>
      </w:tr>
      <w:tr>
        <w:tc>
          <w:tcPr>
            <w:tcW w:w="1701" w:type="dxa"/>
          </w:tcPr>
          <w:p>
            <w:pPr>
              <w:pStyle w:val="yTableNAm"/>
              <w:rPr>
                <w:sz w:val="20"/>
              </w:rPr>
            </w:pPr>
            <w:r>
              <w:rPr>
                <w:sz w:val="20"/>
              </w:rPr>
              <w:t>Over 41 but not over 42</w:t>
            </w:r>
          </w:p>
        </w:tc>
        <w:tc>
          <w:tcPr>
            <w:tcW w:w="1512" w:type="dxa"/>
          </w:tcPr>
          <w:p>
            <w:pPr>
              <w:pStyle w:val="yTableNAm"/>
              <w:jc w:val="center"/>
              <w:rPr>
                <w:sz w:val="20"/>
              </w:rPr>
            </w:pPr>
            <w:r>
              <w:rPr>
                <w:sz w:val="20"/>
              </w:rPr>
              <w:t>15 093</w:t>
            </w:r>
          </w:p>
        </w:tc>
        <w:tc>
          <w:tcPr>
            <w:tcW w:w="1512" w:type="dxa"/>
          </w:tcPr>
          <w:p>
            <w:pPr>
              <w:pStyle w:val="yTableNAm"/>
              <w:jc w:val="center"/>
              <w:rPr>
                <w:sz w:val="20"/>
              </w:rPr>
            </w:pPr>
            <w:r>
              <w:rPr>
                <w:sz w:val="20"/>
              </w:rPr>
              <w:t>30 667</w:t>
            </w:r>
          </w:p>
        </w:tc>
        <w:tc>
          <w:tcPr>
            <w:tcW w:w="1512" w:type="dxa"/>
          </w:tcPr>
          <w:p>
            <w:pPr>
              <w:pStyle w:val="yTableNAm"/>
              <w:jc w:val="center"/>
              <w:rPr>
                <w:sz w:val="20"/>
              </w:rPr>
            </w:pPr>
            <w:r>
              <w:rPr>
                <w:sz w:val="20"/>
              </w:rPr>
              <w:t>3 141</w:t>
            </w:r>
          </w:p>
        </w:tc>
      </w:tr>
      <w:tr>
        <w:tc>
          <w:tcPr>
            <w:tcW w:w="1701" w:type="dxa"/>
          </w:tcPr>
          <w:p>
            <w:pPr>
              <w:pStyle w:val="yTableNAm"/>
              <w:rPr>
                <w:sz w:val="20"/>
              </w:rPr>
            </w:pPr>
            <w:r>
              <w:rPr>
                <w:sz w:val="20"/>
              </w:rPr>
              <w:t>Over 42 but not over 43</w:t>
            </w:r>
          </w:p>
        </w:tc>
        <w:tc>
          <w:tcPr>
            <w:tcW w:w="1512" w:type="dxa"/>
          </w:tcPr>
          <w:p>
            <w:pPr>
              <w:pStyle w:val="yTableNAm"/>
              <w:jc w:val="center"/>
              <w:rPr>
                <w:sz w:val="20"/>
              </w:rPr>
            </w:pPr>
            <w:r>
              <w:rPr>
                <w:sz w:val="20"/>
              </w:rPr>
              <w:t>15 628</w:t>
            </w:r>
          </w:p>
        </w:tc>
        <w:tc>
          <w:tcPr>
            <w:tcW w:w="1512" w:type="dxa"/>
          </w:tcPr>
          <w:p>
            <w:pPr>
              <w:pStyle w:val="yTableNAm"/>
              <w:jc w:val="center"/>
              <w:rPr>
                <w:sz w:val="20"/>
              </w:rPr>
            </w:pPr>
            <w:r>
              <w:rPr>
                <w:sz w:val="20"/>
              </w:rPr>
              <w:t>31 629</w:t>
            </w:r>
          </w:p>
        </w:tc>
        <w:tc>
          <w:tcPr>
            <w:tcW w:w="1512" w:type="dxa"/>
          </w:tcPr>
          <w:p>
            <w:pPr>
              <w:pStyle w:val="yTableNAm"/>
              <w:jc w:val="center"/>
              <w:rPr>
                <w:sz w:val="20"/>
              </w:rPr>
            </w:pPr>
            <w:r>
              <w:rPr>
                <w:sz w:val="20"/>
              </w:rPr>
              <w:t>3 268</w:t>
            </w:r>
          </w:p>
        </w:tc>
      </w:tr>
      <w:tr>
        <w:tc>
          <w:tcPr>
            <w:tcW w:w="1701" w:type="dxa"/>
          </w:tcPr>
          <w:p>
            <w:pPr>
              <w:pStyle w:val="yTableNAm"/>
              <w:rPr>
                <w:sz w:val="20"/>
              </w:rPr>
            </w:pPr>
            <w:r>
              <w:rPr>
                <w:sz w:val="20"/>
              </w:rPr>
              <w:t>Over 43 but not over 44</w:t>
            </w:r>
          </w:p>
        </w:tc>
        <w:tc>
          <w:tcPr>
            <w:tcW w:w="1512" w:type="dxa"/>
          </w:tcPr>
          <w:p>
            <w:pPr>
              <w:pStyle w:val="yTableNAm"/>
              <w:jc w:val="center"/>
              <w:rPr>
                <w:sz w:val="20"/>
              </w:rPr>
            </w:pPr>
            <w:r>
              <w:rPr>
                <w:sz w:val="20"/>
              </w:rPr>
              <w:t>16 165</w:t>
            </w:r>
          </w:p>
        </w:tc>
        <w:tc>
          <w:tcPr>
            <w:tcW w:w="1512" w:type="dxa"/>
          </w:tcPr>
          <w:p>
            <w:pPr>
              <w:pStyle w:val="yTableNAm"/>
              <w:jc w:val="center"/>
              <w:rPr>
                <w:sz w:val="20"/>
              </w:rPr>
            </w:pPr>
            <w:r>
              <w:rPr>
                <w:sz w:val="20"/>
              </w:rPr>
              <w:t>32 563</w:t>
            </w:r>
          </w:p>
        </w:tc>
        <w:tc>
          <w:tcPr>
            <w:tcW w:w="1512" w:type="dxa"/>
          </w:tcPr>
          <w:p>
            <w:pPr>
              <w:pStyle w:val="yTableNAm"/>
              <w:jc w:val="center"/>
              <w:rPr>
                <w:sz w:val="20"/>
              </w:rPr>
            </w:pPr>
            <w:r>
              <w:rPr>
                <w:sz w:val="20"/>
              </w:rPr>
              <w:t>3 406</w:t>
            </w:r>
          </w:p>
        </w:tc>
      </w:tr>
      <w:tr>
        <w:tc>
          <w:tcPr>
            <w:tcW w:w="1701" w:type="dxa"/>
          </w:tcPr>
          <w:p>
            <w:pPr>
              <w:pStyle w:val="yTableNAm"/>
              <w:rPr>
                <w:sz w:val="20"/>
              </w:rPr>
            </w:pPr>
            <w:r>
              <w:rPr>
                <w:sz w:val="20"/>
              </w:rPr>
              <w:t>Over 44 but not over 45</w:t>
            </w:r>
          </w:p>
        </w:tc>
        <w:tc>
          <w:tcPr>
            <w:tcW w:w="1512" w:type="dxa"/>
          </w:tcPr>
          <w:p>
            <w:pPr>
              <w:pStyle w:val="yTableNAm"/>
              <w:jc w:val="center"/>
              <w:rPr>
                <w:sz w:val="20"/>
              </w:rPr>
            </w:pPr>
            <w:r>
              <w:rPr>
                <w:sz w:val="20"/>
              </w:rPr>
              <w:t>16 698</w:t>
            </w:r>
          </w:p>
        </w:tc>
        <w:tc>
          <w:tcPr>
            <w:tcW w:w="1512" w:type="dxa"/>
          </w:tcPr>
          <w:p>
            <w:pPr>
              <w:pStyle w:val="yTableNAm"/>
              <w:jc w:val="center"/>
              <w:rPr>
                <w:sz w:val="20"/>
              </w:rPr>
            </w:pPr>
            <w:r>
              <w:rPr>
                <w:sz w:val="20"/>
              </w:rPr>
              <w:t>33 532</w:t>
            </w:r>
          </w:p>
        </w:tc>
        <w:tc>
          <w:tcPr>
            <w:tcW w:w="1512" w:type="dxa"/>
          </w:tcPr>
          <w:p>
            <w:pPr>
              <w:pStyle w:val="yTableNAm"/>
              <w:jc w:val="center"/>
              <w:rPr>
                <w:sz w:val="20"/>
              </w:rPr>
            </w:pPr>
            <w:r>
              <w:rPr>
                <w:sz w:val="20"/>
              </w:rPr>
              <w:t>3 536</w:t>
            </w:r>
          </w:p>
        </w:tc>
      </w:tr>
      <w:tr>
        <w:tc>
          <w:tcPr>
            <w:tcW w:w="1701" w:type="dxa"/>
          </w:tcPr>
          <w:p>
            <w:pPr>
              <w:pStyle w:val="yTableNAm"/>
              <w:rPr>
                <w:sz w:val="20"/>
              </w:rPr>
            </w:pPr>
            <w:r>
              <w:rPr>
                <w:sz w:val="20"/>
              </w:rPr>
              <w:t>Over 45 but not over 46</w:t>
            </w:r>
          </w:p>
        </w:tc>
        <w:tc>
          <w:tcPr>
            <w:tcW w:w="1512" w:type="dxa"/>
          </w:tcPr>
          <w:p>
            <w:pPr>
              <w:pStyle w:val="yTableNAm"/>
              <w:jc w:val="center"/>
              <w:rPr>
                <w:sz w:val="20"/>
              </w:rPr>
            </w:pPr>
            <w:r>
              <w:rPr>
                <w:sz w:val="20"/>
              </w:rPr>
              <w:t>17 233</w:t>
            </w:r>
          </w:p>
        </w:tc>
        <w:tc>
          <w:tcPr>
            <w:tcW w:w="1512" w:type="dxa"/>
          </w:tcPr>
          <w:p>
            <w:pPr>
              <w:pStyle w:val="yTableNAm"/>
              <w:jc w:val="center"/>
              <w:rPr>
                <w:sz w:val="20"/>
              </w:rPr>
            </w:pPr>
            <w:r>
              <w:rPr>
                <w:sz w:val="20"/>
              </w:rPr>
              <w:t>34 468</w:t>
            </w:r>
          </w:p>
        </w:tc>
        <w:tc>
          <w:tcPr>
            <w:tcW w:w="1512" w:type="dxa"/>
          </w:tcPr>
          <w:p>
            <w:pPr>
              <w:pStyle w:val="yTableNAm"/>
              <w:jc w:val="center"/>
              <w:rPr>
                <w:sz w:val="20"/>
              </w:rPr>
            </w:pPr>
            <w:r>
              <w:rPr>
                <w:sz w:val="20"/>
              </w:rPr>
              <w:t>3 663</w:t>
            </w:r>
          </w:p>
        </w:tc>
      </w:tr>
      <w:tr>
        <w:tc>
          <w:tcPr>
            <w:tcW w:w="1701" w:type="dxa"/>
          </w:tcPr>
          <w:p>
            <w:pPr>
              <w:pStyle w:val="yTableNAm"/>
              <w:rPr>
                <w:sz w:val="20"/>
              </w:rPr>
            </w:pPr>
            <w:r>
              <w:rPr>
                <w:sz w:val="20"/>
              </w:rPr>
              <w:t>Over 46 but not over 47</w:t>
            </w:r>
          </w:p>
        </w:tc>
        <w:tc>
          <w:tcPr>
            <w:tcW w:w="1512" w:type="dxa"/>
          </w:tcPr>
          <w:p>
            <w:pPr>
              <w:pStyle w:val="yTableNAm"/>
              <w:jc w:val="center"/>
              <w:rPr>
                <w:sz w:val="20"/>
              </w:rPr>
            </w:pPr>
            <w:r>
              <w:rPr>
                <w:sz w:val="20"/>
              </w:rPr>
              <w:t>17 768</w:t>
            </w:r>
          </w:p>
        </w:tc>
        <w:tc>
          <w:tcPr>
            <w:tcW w:w="1512" w:type="dxa"/>
          </w:tcPr>
          <w:p>
            <w:pPr>
              <w:pStyle w:val="yTableNAm"/>
              <w:jc w:val="center"/>
              <w:rPr>
                <w:sz w:val="20"/>
              </w:rPr>
            </w:pPr>
            <w:r>
              <w:rPr>
                <w:sz w:val="20"/>
              </w:rPr>
              <w:t>35 418</w:t>
            </w:r>
          </w:p>
        </w:tc>
        <w:tc>
          <w:tcPr>
            <w:tcW w:w="1512" w:type="dxa"/>
          </w:tcPr>
          <w:p>
            <w:pPr>
              <w:pStyle w:val="yTableNAm"/>
              <w:jc w:val="center"/>
              <w:rPr>
                <w:sz w:val="20"/>
              </w:rPr>
            </w:pPr>
            <w:r>
              <w:rPr>
                <w:sz w:val="20"/>
              </w:rPr>
              <w:t>3 797</w:t>
            </w:r>
          </w:p>
        </w:tc>
      </w:tr>
      <w:tr>
        <w:tc>
          <w:tcPr>
            <w:tcW w:w="1701" w:type="dxa"/>
          </w:tcPr>
          <w:p>
            <w:pPr>
              <w:pStyle w:val="yTableNAm"/>
              <w:rPr>
                <w:sz w:val="20"/>
              </w:rPr>
            </w:pPr>
            <w:r>
              <w:rPr>
                <w:sz w:val="20"/>
              </w:rPr>
              <w:t>Over 47 but not over 48</w:t>
            </w:r>
          </w:p>
        </w:tc>
        <w:tc>
          <w:tcPr>
            <w:tcW w:w="1512" w:type="dxa"/>
          </w:tcPr>
          <w:p>
            <w:pPr>
              <w:pStyle w:val="yTableNAm"/>
              <w:jc w:val="center"/>
              <w:rPr>
                <w:sz w:val="20"/>
              </w:rPr>
            </w:pPr>
            <w:r>
              <w:rPr>
                <w:sz w:val="20"/>
              </w:rPr>
              <w:t>18 299</w:t>
            </w:r>
          </w:p>
        </w:tc>
        <w:tc>
          <w:tcPr>
            <w:tcW w:w="1512" w:type="dxa"/>
          </w:tcPr>
          <w:p>
            <w:pPr>
              <w:pStyle w:val="yTableNAm"/>
              <w:jc w:val="center"/>
              <w:rPr>
                <w:sz w:val="20"/>
              </w:rPr>
            </w:pPr>
            <w:r>
              <w:rPr>
                <w:sz w:val="20"/>
              </w:rPr>
              <w:t>36 377</w:t>
            </w:r>
          </w:p>
        </w:tc>
        <w:tc>
          <w:tcPr>
            <w:tcW w:w="1512" w:type="dxa"/>
          </w:tcPr>
          <w:p>
            <w:pPr>
              <w:pStyle w:val="yTableNAm"/>
              <w:jc w:val="center"/>
              <w:rPr>
                <w:sz w:val="20"/>
              </w:rPr>
            </w:pPr>
            <w:r>
              <w:rPr>
                <w:sz w:val="20"/>
              </w:rPr>
              <w:t>3 929</w:t>
            </w:r>
          </w:p>
        </w:tc>
      </w:tr>
      <w:tr>
        <w:tc>
          <w:tcPr>
            <w:tcW w:w="1701" w:type="dxa"/>
          </w:tcPr>
          <w:p>
            <w:pPr>
              <w:pStyle w:val="yTableNAm"/>
              <w:rPr>
                <w:sz w:val="20"/>
              </w:rPr>
            </w:pPr>
            <w:r>
              <w:rPr>
                <w:sz w:val="20"/>
              </w:rPr>
              <w:t>Over 48 but not over 49</w:t>
            </w:r>
          </w:p>
        </w:tc>
        <w:tc>
          <w:tcPr>
            <w:tcW w:w="1512" w:type="dxa"/>
          </w:tcPr>
          <w:p>
            <w:pPr>
              <w:pStyle w:val="yTableNAm"/>
              <w:jc w:val="center"/>
              <w:rPr>
                <w:sz w:val="20"/>
              </w:rPr>
            </w:pPr>
            <w:r>
              <w:rPr>
                <w:sz w:val="20"/>
              </w:rPr>
              <w:t>18 845</w:t>
            </w:r>
          </w:p>
        </w:tc>
        <w:tc>
          <w:tcPr>
            <w:tcW w:w="1512" w:type="dxa"/>
          </w:tcPr>
          <w:p>
            <w:pPr>
              <w:pStyle w:val="yTableNAm"/>
              <w:jc w:val="center"/>
              <w:rPr>
                <w:sz w:val="20"/>
              </w:rPr>
            </w:pPr>
            <w:r>
              <w:rPr>
                <w:sz w:val="20"/>
              </w:rPr>
              <w:t>37 321</w:t>
            </w:r>
          </w:p>
        </w:tc>
        <w:tc>
          <w:tcPr>
            <w:tcW w:w="1512" w:type="dxa"/>
          </w:tcPr>
          <w:p>
            <w:pPr>
              <w:pStyle w:val="yTableNAm"/>
              <w:jc w:val="center"/>
              <w:rPr>
                <w:sz w:val="20"/>
              </w:rPr>
            </w:pPr>
            <w:r>
              <w:rPr>
                <w:sz w:val="20"/>
              </w:rPr>
              <w:t>4 057</w:t>
            </w:r>
          </w:p>
        </w:tc>
      </w:tr>
      <w:tr>
        <w:tc>
          <w:tcPr>
            <w:tcW w:w="1701" w:type="dxa"/>
          </w:tcPr>
          <w:p>
            <w:pPr>
              <w:pStyle w:val="yTableNAm"/>
              <w:rPr>
                <w:sz w:val="20"/>
              </w:rPr>
            </w:pPr>
            <w:r>
              <w:rPr>
                <w:sz w:val="20"/>
              </w:rPr>
              <w:t>Over 49 but not over 50</w:t>
            </w:r>
          </w:p>
        </w:tc>
        <w:tc>
          <w:tcPr>
            <w:tcW w:w="1512" w:type="dxa"/>
          </w:tcPr>
          <w:p>
            <w:pPr>
              <w:pStyle w:val="yTableNAm"/>
              <w:jc w:val="center"/>
              <w:rPr>
                <w:sz w:val="20"/>
              </w:rPr>
            </w:pPr>
            <w:r>
              <w:rPr>
                <w:sz w:val="20"/>
              </w:rPr>
              <w:t>19 372</w:t>
            </w:r>
          </w:p>
        </w:tc>
        <w:tc>
          <w:tcPr>
            <w:tcW w:w="1512" w:type="dxa"/>
          </w:tcPr>
          <w:p>
            <w:pPr>
              <w:pStyle w:val="yTableNAm"/>
              <w:jc w:val="center"/>
              <w:rPr>
                <w:sz w:val="20"/>
              </w:rPr>
            </w:pPr>
            <w:r>
              <w:rPr>
                <w:sz w:val="20"/>
              </w:rPr>
              <w:t>38 268</w:t>
            </w:r>
          </w:p>
        </w:tc>
        <w:tc>
          <w:tcPr>
            <w:tcW w:w="1512" w:type="dxa"/>
          </w:tcPr>
          <w:p>
            <w:pPr>
              <w:pStyle w:val="yTableNAm"/>
              <w:jc w:val="center"/>
              <w:rPr>
                <w:sz w:val="20"/>
              </w:rPr>
            </w:pPr>
            <w:r>
              <w:rPr>
                <w:sz w:val="20"/>
              </w:rPr>
              <w:t>4 198</w:t>
            </w:r>
          </w:p>
        </w:tc>
      </w:tr>
      <w:tr>
        <w:tc>
          <w:tcPr>
            <w:tcW w:w="1701" w:type="dxa"/>
          </w:tcPr>
          <w:p>
            <w:pPr>
              <w:pStyle w:val="yTableNAm"/>
              <w:rPr>
                <w:sz w:val="20"/>
              </w:rPr>
            </w:pPr>
            <w:r>
              <w:rPr>
                <w:sz w:val="20"/>
              </w:rPr>
              <w:t>Over 50</w:t>
            </w:r>
          </w:p>
        </w:tc>
        <w:tc>
          <w:tcPr>
            <w:tcW w:w="1512" w:type="dxa"/>
          </w:tcPr>
          <w:p>
            <w:pPr>
              <w:pStyle w:val="yTableNAm"/>
              <w:jc w:val="center"/>
              <w:rPr>
                <w:sz w:val="20"/>
              </w:rPr>
            </w:pPr>
            <w:r>
              <w:rPr>
                <w:sz w:val="20"/>
              </w:rPr>
              <w:t>19 673</w:t>
            </w:r>
          </w:p>
        </w:tc>
        <w:tc>
          <w:tcPr>
            <w:tcW w:w="1512" w:type="dxa"/>
          </w:tcPr>
          <w:p>
            <w:pPr>
              <w:pStyle w:val="yTableNAm"/>
              <w:jc w:val="center"/>
              <w:rPr>
                <w:sz w:val="20"/>
              </w:rPr>
            </w:pPr>
            <w:r>
              <w:rPr>
                <w:sz w:val="20"/>
              </w:rPr>
              <w:t>38 770</w:t>
            </w:r>
          </w:p>
        </w:tc>
        <w:tc>
          <w:tcPr>
            <w:tcW w:w="1512" w:type="dxa"/>
          </w:tcPr>
          <w:p>
            <w:pPr>
              <w:pStyle w:val="yTableNAm"/>
              <w:jc w:val="center"/>
              <w:rPr>
                <w:sz w:val="20"/>
              </w:rPr>
            </w:pPr>
            <w:r>
              <w:rPr>
                <w:sz w:val="20"/>
              </w:rPr>
              <w:t>4 274</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w:t>
      </w:r>
    </w:p>
    <w:p>
      <w:pPr>
        <w:pStyle w:val="yHeading5"/>
      </w:pPr>
      <w:bookmarkStart w:id="117" w:name="_Toc391885895"/>
      <w:bookmarkStart w:id="118" w:name="_Toc486422916"/>
      <w:r>
        <w:rPr>
          <w:rStyle w:val="CharSClsNo"/>
        </w:rPr>
        <w:t>2</w:t>
      </w:r>
      <w:r>
        <w:t>.</w:t>
      </w:r>
      <w:r>
        <w:rPr>
          <w:b w:val="0"/>
        </w:rPr>
        <w:tab/>
      </w:r>
      <w:r>
        <w:t>Other fees and charges</w:t>
      </w:r>
      <w:bookmarkEnd w:id="117"/>
      <w:bookmarkEnd w:id="118"/>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rPr>
                <w:szCs w:val="22"/>
              </w:rPr>
              <w:t>$155.40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rPr>
                <w:szCs w:val="22"/>
              </w:rPr>
              <w:t xml:space="preserve">$328.00/hour </w:t>
            </w:r>
            <w:r>
              <w:t xml:space="preserve">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rPr>
                <w:szCs w:val="22"/>
              </w:rPr>
              <w:t>$340.00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rPr>
                <w:szCs w:val="22"/>
              </w:rPr>
              <w:t>$195.00/hour</w:t>
            </w:r>
            <w:r>
              <w:t xml:space="preserve"> </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$1.50/page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w:t>
      </w:r>
    </w:p>
    <w:p>
      <w:pPr>
        <w:pStyle w:val="yHeading5"/>
      </w:pPr>
      <w:bookmarkStart w:id="119" w:name="_Toc391885896"/>
      <w:bookmarkStart w:id="120" w:name="_Toc486422917"/>
      <w:r>
        <w:rPr>
          <w:rStyle w:val="CharSClsNo"/>
        </w:rPr>
        <w:t>3</w:t>
      </w:r>
      <w:r>
        <w:t>.</w:t>
      </w:r>
      <w:r>
        <w:rPr>
          <w:b w:val="0"/>
        </w:rPr>
        <w:tab/>
      </w:r>
      <w:r>
        <w:t>Fees for hire and drive vessels</w:t>
      </w:r>
      <w:bookmarkEnd w:id="119"/>
      <w:bookmarkEnd w:id="120"/>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121" w:name="_Toc391885897"/>
      <w:bookmarkStart w:id="122" w:name="_Toc486422918"/>
      <w:r>
        <w:rPr>
          <w:rStyle w:val="CharSClsNo"/>
        </w:rPr>
        <w:t>4</w:t>
      </w:r>
      <w:r>
        <w:t>.</w:t>
      </w:r>
      <w:r>
        <w:rPr>
          <w:b w:val="0"/>
        </w:rPr>
        <w:tab/>
      </w:r>
      <w:r>
        <w:t>Annual exemption fee</w:t>
      </w:r>
      <w:bookmarkEnd w:id="121"/>
      <w:bookmarkEnd w:id="122"/>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24" w:name="_Toc389143196"/>
      <w:bookmarkStart w:id="125" w:name="_Toc391885855"/>
      <w:bookmarkStart w:id="126" w:name="_Toc391885898"/>
      <w:bookmarkStart w:id="127" w:name="_Toc422122808"/>
      <w:bookmarkStart w:id="128" w:name="_Toc422141683"/>
      <w:bookmarkStart w:id="129" w:name="_Toc423516182"/>
      <w:bookmarkStart w:id="130" w:name="_Toc423516716"/>
      <w:bookmarkStart w:id="131" w:name="_Toc453661626"/>
      <w:bookmarkStart w:id="132" w:name="_Toc455151937"/>
      <w:bookmarkStart w:id="133" w:name="_Toc455151977"/>
      <w:bookmarkStart w:id="134" w:name="_Toc486247923"/>
      <w:bookmarkStart w:id="135" w:name="_Toc486422919"/>
      <w:r>
        <w:rPr>
          <w:rStyle w:val="CharSchNo"/>
        </w:rPr>
        <w:t>Schedule 2</w:t>
      </w:r>
      <w:bookmarkEnd w:id="124"/>
      <w:bookmarkEnd w:id="125"/>
      <w:bookmarkEnd w:id="126"/>
      <w:bookmarkEnd w:id="127"/>
      <w:bookmarkEnd w:id="128"/>
      <w:bookmarkEnd w:id="129"/>
      <w:bookmarkEnd w:id="130"/>
      <w:bookmarkEnd w:id="131"/>
      <w:bookmarkEnd w:id="132"/>
      <w:bookmarkEnd w:id="133"/>
      <w:bookmarkEnd w:id="134"/>
      <w:bookmarkEnd w:id="135"/>
    </w:p>
    <w:p>
      <w:pPr>
        <w:pStyle w:val="yHeading2"/>
      </w:pPr>
      <w:bookmarkStart w:id="136" w:name="_Toc389143197"/>
      <w:bookmarkStart w:id="137" w:name="_Toc391885856"/>
      <w:bookmarkStart w:id="138" w:name="_Toc391885899"/>
      <w:bookmarkStart w:id="139" w:name="_Toc422122809"/>
      <w:bookmarkStart w:id="140" w:name="_Toc422141684"/>
      <w:bookmarkStart w:id="141" w:name="_Toc423516183"/>
      <w:bookmarkStart w:id="142" w:name="_Toc423516717"/>
      <w:bookmarkStart w:id="143" w:name="_Toc453661627"/>
      <w:bookmarkStart w:id="144" w:name="_Toc455151938"/>
      <w:bookmarkStart w:id="145" w:name="_Toc455151978"/>
      <w:bookmarkStart w:id="146" w:name="_Toc486247924"/>
      <w:bookmarkStart w:id="147" w:name="_Toc486422920"/>
      <w:r>
        <w:rPr>
          <w:rStyle w:val="CharSchText"/>
        </w:rPr>
        <w:t>Survey requirements and intervals</w:t>
      </w:r>
      <w:bookmarkEnd w:id="136"/>
      <w:bookmarkEnd w:id="137"/>
      <w:bookmarkEnd w:id="138"/>
      <w:bookmarkEnd w:id="139"/>
      <w:bookmarkEnd w:id="140"/>
      <w:bookmarkEnd w:id="141"/>
      <w:bookmarkEnd w:id="142"/>
      <w:bookmarkEnd w:id="143"/>
      <w:bookmarkEnd w:id="144"/>
      <w:bookmarkEnd w:id="145"/>
      <w:bookmarkEnd w:id="146"/>
      <w:bookmarkEnd w:id="147"/>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48" w:name="_Toc389143198"/>
      <w:bookmarkStart w:id="149" w:name="_Toc391885857"/>
      <w:bookmarkStart w:id="150" w:name="_Toc391885900"/>
      <w:bookmarkStart w:id="151" w:name="_Toc422122810"/>
      <w:bookmarkStart w:id="152" w:name="_Toc422141685"/>
      <w:bookmarkStart w:id="153" w:name="_Toc423516184"/>
      <w:bookmarkStart w:id="154" w:name="_Toc423516718"/>
      <w:bookmarkStart w:id="155" w:name="_Toc453661628"/>
      <w:bookmarkStart w:id="156" w:name="_Toc455151939"/>
      <w:bookmarkStart w:id="157" w:name="_Toc455151979"/>
      <w:bookmarkStart w:id="158" w:name="_Toc486247925"/>
      <w:bookmarkStart w:id="159" w:name="_Toc486422921"/>
      <w:r>
        <w:t>Notes</w:t>
      </w:r>
      <w:bookmarkEnd w:id="148"/>
      <w:bookmarkEnd w:id="149"/>
      <w:bookmarkEnd w:id="150"/>
      <w:bookmarkEnd w:id="151"/>
      <w:bookmarkEnd w:id="152"/>
      <w:bookmarkEnd w:id="153"/>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160" w:name="_Toc391885901"/>
      <w:bookmarkStart w:id="161" w:name="_Toc486422922"/>
      <w:r>
        <w:t>Compilation table</w:t>
      </w:r>
      <w:bookmarkEnd w:id="160"/>
      <w:bookmarkEnd w:id="161"/>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3</w:t>
            </w:r>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rFonts w:ascii="Arial" w:hAnsi="Arial"/>
                <w:b/>
              </w:rPr>
            </w:pPr>
            <w:r>
              <w:t>r. 1 and 2: 28 Jun 2013 (see r. 2(a));</w:t>
            </w:r>
            <w:r>
              <w:br/>
              <w:t>Regulations other than r. 1 and 2: 1 Jul 2013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2014</w:t>
            </w:r>
          </w:p>
        </w:tc>
        <w:tc>
          <w:tcPr>
            <w:tcW w:w="1276" w:type="dxa"/>
            <w:gridSpan w:val="2"/>
            <w:shd w:val="clear" w:color="auto" w:fill="auto"/>
          </w:tcPr>
          <w:p>
            <w:pPr>
              <w:pStyle w:val="nTable"/>
              <w:spacing w:after="40"/>
            </w:pPr>
            <w:r>
              <w:t>30 May 2014 p. 1689</w:t>
            </w:r>
          </w:p>
        </w:tc>
        <w:tc>
          <w:tcPr>
            <w:tcW w:w="2693" w:type="dxa"/>
            <w:gridSpan w:val="2"/>
            <w:shd w:val="clear" w:color="auto" w:fill="auto"/>
          </w:tcPr>
          <w:p>
            <w:pPr>
              <w:pStyle w:val="nTable"/>
              <w:spacing w:after="40"/>
            </w:pPr>
            <w:r>
              <w:t>r. 1 and 2: 30 May 2014 (see r. 2(a));</w:t>
            </w:r>
            <w:r>
              <w:br/>
              <w:t>Regulations other than r. 1 and 2: 1 Jul 2014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2015</w:t>
            </w:r>
          </w:p>
        </w:tc>
        <w:tc>
          <w:tcPr>
            <w:tcW w:w="1276" w:type="dxa"/>
            <w:gridSpan w:val="2"/>
            <w:shd w:val="clear" w:color="auto" w:fill="auto"/>
          </w:tcPr>
          <w:p>
            <w:pPr>
              <w:pStyle w:val="nTable"/>
              <w:spacing w:after="40"/>
            </w:pPr>
            <w:r>
              <w:t>12 Jun 2015 p. 2031</w:t>
            </w:r>
          </w:p>
        </w:tc>
        <w:tc>
          <w:tcPr>
            <w:tcW w:w="2693" w:type="dxa"/>
            <w:gridSpan w:val="2"/>
            <w:shd w:val="clear" w:color="auto" w:fill="auto"/>
          </w:tcPr>
          <w:p>
            <w:pPr>
              <w:pStyle w:val="nTable"/>
              <w:spacing w:after="40"/>
            </w:pPr>
            <w:r>
              <w:t>r. 1 and 2: 12 Jun 2015 (see r. 2(a));</w:t>
            </w:r>
            <w:r>
              <w:br/>
              <w:t>Regulations other than r. 1 and 2: 1 Jul 2015 (see r. 2(b))</w:t>
            </w:r>
          </w:p>
        </w:tc>
      </w:tr>
      <w:tr>
        <w:trPr>
          <w:gridAfter w:val="1"/>
          <w:wAfter w:w="33" w:type="dxa"/>
          <w:cantSplit/>
        </w:trPr>
        <w:tc>
          <w:tcPr>
            <w:tcW w:w="3118" w:type="dxa"/>
            <w:gridSpan w:val="2"/>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gridSpan w:val="2"/>
            <w:shd w:val="clear" w:color="auto" w:fill="auto"/>
          </w:tcPr>
          <w:p>
            <w:pPr>
              <w:pStyle w:val="nTable"/>
              <w:spacing w:after="40"/>
            </w:pPr>
            <w:r>
              <w:t>14 Jun 2016 p. 1987</w:t>
            </w:r>
            <w:r>
              <w:noBreakHyphen/>
              <w:t>2003</w:t>
            </w:r>
          </w:p>
        </w:tc>
        <w:tc>
          <w:tcPr>
            <w:tcW w:w="2693" w:type="dxa"/>
            <w:gridSpan w:val="2"/>
            <w:shd w:val="clear" w:color="auto" w:fill="auto"/>
          </w:tcPr>
          <w:p>
            <w:pPr>
              <w:pStyle w:val="nTable"/>
              <w:spacing w:after="40"/>
            </w:pPr>
            <w:r>
              <w:t>1 Jul 2016 (see r. 2(b))</w:t>
            </w:r>
          </w:p>
        </w:tc>
      </w:tr>
      <w:tr>
        <w:trPr>
          <w:gridAfter w:val="1"/>
          <w:wAfter w:w="33" w:type="dxa"/>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gridSpan w:val="2"/>
            <w:tcBorders>
              <w:bottom w:val="single" w:sz="4" w:space="0" w:color="auto"/>
            </w:tcBorders>
            <w:shd w:val="clear" w:color="auto" w:fill="auto"/>
          </w:tcPr>
          <w:p>
            <w:pPr>
              <w:pStyle w:val="nTable"/>
              <w:spacing w:after="40"/>
            </w:pPr>
            <w:r>
              <w:t>23 Jun 2017 p. 3253</w:t>
            </w:r>
            <w:r>
              <w:noBreakHyphen/>
              <w:t>78</w:t>
            </w:r>
          </w:p>
        </w:tc>
        <w:tc>
          <w:tcPr>
            <w:tcW w:w="2693" w:type="dxa"/>
            <w:gridSpan w:val="2"/>
            <w:tcBorders>
              <w:bottom w:val="single" w:sz="4" w:space="0" w:color="auto"/>
            </w:tcBorders>
            <w:shd w:val="clear" w:color="auto" w:fill="auto"/>
          </w:tcPr>
          <w:p>
            <w:pPr>
              <w:pStyle w:val="nTable"/>
              <w:spacing w:after="40"/>
            </w:pPr>
            <w:r>
              <w:t>1 Jul 2017 (see r. 2(b))</w:t>
            </w:r>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63" w:name="_Toc486247927"/>
      <w:bookmarkStart w:id="164" w:name="_Toc486422923"/>
      <w:r>
        <w:rPr>
          <w:sz w:val="28"/>
        </w:rPr>
        <w:t>Defined terms</w:t>
      </w:r>
      <w:bookmarkEnd w:id="163"/>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3" w:name="Schedule"/>
    <w:bookmarkEnd w:id="1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5" w:name="DefinedTerms"/>
    <w:bookmarkEnd w:id="16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6" w:name="Coversheet"/>
    <w:bookmarkEnd w:id="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2955"/>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53</Pages>
  <Words>10745</Words>
  <Characters>50827</Characters>
  <Application>Microsoft Office Word</Application>
  <DocSecurity>0</DocSecurity>
  <Lines>2117</Lines>
  <Paragraphs>1256</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60316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1983 - 05-j0-01</dc:title>
  <dc:subject/>
  <dc:creator/>
  <cp:keywords/>
  <dc:description/>
  <cp:lastModifiedBy>svcMRProcess</cp:lastModifiedBy>
  <cp:revision>4</cp:revision>
  <cp:lastPrinted>2012-03-06T06:45:00Z</cp:lastPrinted>
  <dcterms:created xsi:type="dcterms:W3CDTF">2019-01-21T01:23:00Z</dcterms:created>
  <dcterms:modified xsi:type="dcterms:W3CDTF">2019-01-21T01:23:00Z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20170701</vt:lpwstr>
  </property>
  <property fmtid="{D5CDD505-2E9C-101B-9397-08002B2CF9AE}" pid="8" name="AsAtDate">
    <vt:lpwstr>01 Jul 2017</vt:lpwstr>
  </property>
  <property fmtid="{D5CDD505-2E9C-101B-9397-08002B2CF9AE}" pid="9" name="Suffix">
    <vt:lpwstr>05-j0-01</vt:lpwstr>
  </property>
</Properties>
</file>