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Real Estate and Business Agents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_Toc486576123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_Toc486576124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_Toc486576125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Advisory Committee and review</w:t>
      </w:r>
    </w:p>
    <w:p>
      <w:pPr>
        <w:pStyle w:val="TOC8"/>
        <w:rPr>
          <w:rFonts w:asciiTheme="minorHAnsi" w:eastAsiaTheme="minorEastAsia" w:hAnsiTheme="minorHAnsi" w:cstheme="minorBidi"/>
          <w:szCs w:val="22"/>
        </w:rPr>
      </w:pPr>
      <w:r>
        <w:t>22.</w:t>
      </w:r>
      <w:r>
        <w:tab/>
        <w:t>Powers of investigation</w:t>
      </w:r>
      <w:r>
        <w:tab/>
      </w:r>
      <w:r>
        <w:fldChar w:fldCharType="begin"/>
      </w:r>
      <w:r>
        <w:instrText xml:space="preserve"> PAGEREF _Toc486576127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review by SAT</w:t>
      </w:r>
      <w:r>
        <w:tab/>
      </w:r>
      <w:r>
        <w:fldChar w:fldCharType="begin"/>
      </w:r>
      <w:r>
        <w:instrText xml:space="preserve"> PAGEREF _Toc486576128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Advisory committees</w:t>
      </w:r>
    </w:p>
    <w:p>
      <w:pPr>
        <w:pStyle w:val="TOC8"/>
        <w:rPr>
          <w:rFonts w:asciiTheme="minorHAnsi" w:eastAsiaTheme="minorEastAsia" w:hAnsiTheme="minorHAnsi" w:cstheme="minorBidi"/>
          <w:szCs w:val="22"/>
        </w:rPr>
      </w:pPr>
      <w:r>
        <w:t>23A.</w:t>
      </w:r>
      <w:r>
        <w:tab/>
        <w:t>Advisory committees, establishing etc.</w:t>
      </w:r>
      <w:r>
        <w:tab/>
      </w:r>
      <w:r>
        <w:fldChar w:fldCharType="begin"/>
      </w:r>
      <w:r>
        <w:instrText xml:space="preserve"> PAGEREF _Toc486576130 \h </w:instrText>
      </w:r>
      <w:r>
        <w:fldChar w:fldCharType="separate"/>
      </w:r>
      <w:r>
        <w:t>12</w:t>
      </w:r>
      <w:r>
        <w:fldChar w:fldCharType="end"/>
      </w:r>
    </w:p>
    <w:p>
      <w:pPr>
        <w:pStyle w:val="TOC8"/>
        <w:rPr>
          <w:rFonts w:asciiTheme="minorHAnsi" w:eastAsiaTheme="minorEastAsia" w:hAnsiTheme="minorHAnsi" w:cstheme="minorBidi"/>
          <w:szCs w:val="22"/>
        </w:rPr>
      </w:pPr>
      <w:r>
        <w:t>23B.</w:t>
      </w:r>
      <w:r>
        <w:tab/>
        <w:t>Minister may delegate s. 23A powers</w:t>
      </w:r>
      <w:r>
        <w:tab/>
      </w:r>
      <w:r>
        <w:fldChar w:fldCharType="begin"/>
      </w:r>
      <w:r>
        <w:instrText xml:space="preserve"> PAGEREF _Toc486576131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5 — Conciliation</w:t>
      </w:r>
    </w:p>
    <w:p>
      <w:pPr>
        <w:pStyle w:val="TOC8"/>
        <w:rPr>
          <w:rFonts w:asciiTheme="minorHAnsi" w:eastAsiaTheme="minorEastAsia" w:hAnsiTheme="minorHAnsi" w:cstheme="minorBidi"/>
          <w:szCs w:val="22"/>
        </w:rPr>
      </w:pPr>
      <w:r>
        <w:t>23C.</w:t>
      </w:r>
      <w:r>
        <w:tab/>
        <w:t>Conciliation of disputes about transactions</w:t>
      </w:r>
      <w:r>
        <w:tab/>
      </w:r>
      <w:r>
        <w:fldChar w:fldCharType="begin"/>
      </w:r>
      <w:r>
        <w:instrText xml:space="preserve"> PAGEREF _Toc486576133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 of agents</w:t>
      </w:r>
    </w:p>
    <w:p>
      <w:pPr>
        <w:pStyle w:val="TOC8"/>
        <w:rPr>
          <w:rFonts w:asciiTheme="minorHAnsi" w:eastAsiaTheme="minorEastAsia" w:hAnsiTheme="minorHAnsi" w:cstheme="minorBidi"/>
          <w:szCs w:val="22"/>
        </w:rPr>
      </w:pPr>
      <w:r>
        <w:t>24</w:t>
      </w:r>
      <w:r>
        <w:rPr>
          <w:snapToGrid w:val="0"/>
        </w:rPr>
        <w:t>.</w:t>
      </w:r>
      <w:r>
        <w:rPr>
          <w:snapToGrid w:val="0"/>
        </w:rPr>
        <w:tab/>
        <w:t>Applications for licences</w:t>
      </w:r>
      <w:r>
        <w:tab/>
      </w:r>
      <w:r>
        <w:fldChar w:fldCharType="begin"/>
      </w:r>
      <w:r>
        <w:instrText xml:space="preserve"> PAGEREF _Toc486576135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Real estate agents and business agents must be licensed</w:t>
      </w:r>
      <w:r>
        <w:tab/>
      </w:r>
      <w:r>
        <w:fldChar w:fldCharType="begin"/>
      </w:r>
      <w:r>
        <w:instrText xml:space="preserve"> PAGEREF _Toc486576136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Natural persons, licensing of</w:t>
      </w:r>
      <w:r>
        <w:tab/>
      </w:r>
      <w:r>
        <w:fldChar w:fldCharType="begin"/>
      </w:r>
      <w:r>
        <w:instrText xml:space="preserve"> PAGEREF _Toc486576137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Firms, licensing of</w:t>
      </w:r>
      <w:r>
        <w:tab/>
      </w:r>
      <w:r>
        <w:fldChar w:fldCharType="begin"/>
      </w:r>
      <w:r>
        <w:instrText xml:space="preserve"> PAGEREF _Toc486576138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Bodies corporate, licensing of</w:t>
      </w:r>
      <w:r>
        <w:tab/>
      </w:r>
      <w:r>
        <w:fldChar w:fldCharType="begin"/>
      </w:r>
      <w:r>
        <w:instrText xml:space="preserve"> PAGEREF _Toc486576139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 effect of</w:t>
      </w:r>
      <w:r>
        <w:tab/>
      </w:r>
      <w:r>
        <w:fldChar w:fldCharType="begin"/>
      </w:r>
      <w:r>
        <w:instrText xml:space="preserve"> PAGEREF _Toc486576140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Triennial certificates, grant and renewal of</w:t>
      </w:r>
      <w:r>
        <w:tab/>
      </w:r>
      <w:r>
        <w:fldChar w:fldCharType="begin"/>
      </w:r>
      <w:r>
        <w:instrText xml:space="preserve"> PAGEREF _Toc486576141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Triennial certificates, late renewal of</w:t>
      </w:r>
      <w:r>
        <w:tab/>
      </w:r>
      <w:r>
        <w:fldChar w:fldCharType="begin"/>
      </w:r>
      <w:r>
        <w:instrText xml:space="preserve"> PAGEREF _Toc486576142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Triennial certificates expired for over a year, applications to renew</w:t>
      </w:r>
      <w:r>
        <w:tab/>
      </w:r>
      <w:r>
        <w:fldChar w:fldCharType="begin"/>
      </w:r>
      <w:r>
        <w:instrText xml:space="preserve"> PAGEREF _Toc486576143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Conditions on licences and triennial certificates</w:t>
      </w:r>
      <w:r>
        <w:tab/>
      </w:r>
      <w:r>
        <w:fldChar w:fldCharType="begin"/>
      </w:r>
      <w:r>
        <w:instrText xml:space="preserve"> PAGEREF _Toc486576144 \h </w:instrText>
      </w:r>
      <w:r>
        <w:fldChar w:fldCharType="separate"/>
      </w:r>
      <w:r>
        <w:t>21</w:t>
      </w:r>
      <w:r>
        <w:fldChar w:fldCharType="end"/>
      </w:r>
    </w:p>
    <w:p>
      <w:pPr>
        <w:pStyle w:val="TOC8"/>
        <w:rPr>
          <w:rFonts w:asciiTheme="minorHAnsi" w:eastAsiaTheme="minorEastAsia" w:hAnsiTheme="minorHAnsi" w:cstheme="minorBidi"/>
          <w:szCs w:val="22"/>
        </w:rPr>
      </w:pPr>
      <w:r>
        <w:t>34A</w:t>
      </w:r>
      <w:r>
        <w:rPr>
          <w:snapToGrid w:val="0"/>
        </w:rPr>
        <w:t>.</w:t>
      </w:r>
      <w:r>
        <w:tab/>
        <w:t>Commissioner may grant licence or triennial certificate without notice to applicant</w:t>
      </w:r>
      <w:r>
        <w:tab/>
      </w:r>
      <w:r>
        <w:fldChar w:fldCharType="begin"/>
      </w:r>
      <w:r>
        <w:instrText xml:space="preserve"> PAGEREF _Toc486576145 \h </w:instrText>
      </w:r>
      <w:r>
        <w:fldChar w:fldCharType="separate"/>
      </w:r>
      <w:r>
        <w:t>21</w:t>
      </w:r>
      <w:r>
        <w:fldChar w:fldCharType="end"/>
      </w:r>
    </w:p>
    <w:p>
      <w:pPr>
        <w:pStyle w:val="TOC8"/>
        <w:rPr>
          <w:rFonts w:asciiTheme="minorHAnsi" w:eastAsiaTheme="minorEastAsia" w:hAnsiTheme="minorHAnsi" w:cstheme="minorBidi"/>
          <w:szCs w:val="22"/>
        </w:rPr>
      </w:pPr>
      <w:r>
        <w:t>34B.</w:t>
      </w:r>
      <w:r>
        <w:tab/>
        <w:t>SAT may suspend licence in some cases</w:t>
      </w:r>
      <w:r>
        <w:tab/>
      </w:r>
      <w:r>
        <w:fldChar w:fldCharType="begin"/>
      </w:r>
      <w:r>
        <w:instrText xml:space="preserve"> PAGEREF _Toc486576146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Licensee to notify Commissioner when commencing or ceasing business</w:t>
      </w:r>
      <w:r>
        <w:tab/>
      </w:r>
      <w:r>
        <w:fldChar w:fldCharType="begin"/>
      </w:r>
      <w:r>
        <w:instrText xml:space="preserve"> PAGEREF _Toc486576147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Registered office of licensee</w:t>
      </w:r>
      <w:r>
        <w:tab/>
      </w:r>
      <w:r>
        <w:fldChar w:fldCharType="begin"/>
      </w:r>
      <w:r>
        <w:instrText xml:space="preserve"> PAGEREF _Toc486576148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Branch office of licensee</w:t>
      </w:r>
      <w:r>
        <w:tab/>
      </w:r>
      <w:r>
        <w:fldChar w:fldCharType="begin"/>
      </w:r>
      <w:r>
        <w:instrText xml:space="preserve"> PAGEREF _Toc486576149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Triennial certificates, contents of</w:t>
      </w:r>
      <w:r>
        <w:tab/>
      </w:r>
      <w:r>
        <w:fldChar w:fldCharType="begin"/>
      </w:r>
      <w:r>
        <w:instrText xml:space="preserve"> PAGEREF _Toc486576150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Licence and triennial certificate not transferable etc.</w:t>
      </w:r>
      <w:r>
        <w:tab/>
      </w:r>
      <w:r>
        <w:fldChar w:fldCharType="begin"/>
      </w:r>
      <w:r>
        <w:instrText xml:space="preserve"> PAGEREF _Toc486576151 \h </w:instrText>
      </w:r>
      <w:r>
        <w:fldChar w:fldCharType="separate"/>
      </w:r>
      <w:r>
        <w:t>24</w:t>
      </w:r>
      <w:r>
        <w:fldChar w:fldCharType="end"/>
      </w:r>
    </w:p>
    <w:p>
      <w:pPr>
        <w:pStyle w:val="TOC8"/>
        <w:rPr>
          <w:rFonts w:asciiTheme="minorHAnsi" w:eastAsiaTheme="minorEastAsia" w:hAnsiTheme="minorHAnsi" w:cstheme="minorBidi"/>
          <w:szCs w:val="22"/>
        </w:rPr>
      </w:pPr>
      <w:r>
        <w:t>40A.</w:t>
      </w:r>
      <w:r>
        <w:tab/>
        <w:t>Duplicate licence, certificate of registration or triennial certificate</w:t>
      </w:r>
      <w:r>
        <w:tab/>
      </w:r>
      <w:r>
        <w:fldChar w:fldCharType="begin"/>
      </w:r>
      <w:r>
        <w:instrText xml:space="preserve"> PAGEREF _Toc486576152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Business names, use of by licensees</w:t>
      </w:r>
      <w:r>
        <w:tab/>
      </w:r>
      <w:r>
        <w:fldChar w:fldCharType="begin"/>
      </w:r>
      <w:r>
        <w:instrText xml:space="preserve"> PAGEREF _Toc486576153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Notices to be exhibited at offices; particulars to appear on documents</w:t>
      </w:r>
      <w:r>
        <w:tab/>
      </w:r>
      <w:r>
        <w:fldChar w:fldCharType="begin"/>
      </w:r>
      <w:r>
        <w:instrText xml:space="preserve"> PAGEREF _Toc486576154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IV — Registration of sales representatives</w:t>
      </w:r>
    </w:p>
    <w:p>
      <w:pPr>
        <w:pStyle w:val="TOC8"/>
        <w:rPr>
          <w:rFonts w:asciiTheme="minorHAnsi" w:eastAsiaTheme="minorEastAsia" w:hAnsiTheme="minorHAnsi" w:cstheme="minorBidi"/>
          <w:szCs w:val="22"/>
        </w:rPr>
      </w:pPr>
      <w:r>
        <w:t>42</w:t>
      </w:r>
      <w:r>
        <w:rPr>
          <w:snapToGrid w:val="0"/>
        </w:rPr>
        <w:t>.</w:t>
      </w:r>
      <w:r>
        <w:rPr>
          <w:snapToGrid w:val="0"/>
        </w:rPr>
        <w:tab/>
        <w:t>Natural persons only may be registered</w:t>
      </w:r>
      <w:r>
        <w:tab/>
      </w:r>
      <w:r>
        <w:fldChar w:fldCharType="begin"/>
      </w:r>
      <w:r>
        <w:instrText xml:space="preserve"> PAGEREF _Toc486576156 \h </w:instrText>
      </w:r>
      <w:r>
        <w:fldChar w:fldCharType="separate"/>
      </w:r>
      <w:r>
        <w:t>27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Applications for registration</w:t>
      </w:r>
      <w:r>
        <w:tab/>
      </w:r>
      <w:r>
        <w:fldChar w:fldCharType="begin"/>
      </w:r>
      <w:r>
        <w:instrText xml:space="preserve"> PAGEREF _Toc486576157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Real estate sales representatives must be registered etc.</w:t>
      </w:r>
      <w:r>
        <w:tab/>
      </w:r>
      <w:r>
        <w:fldChar w:fldCharType="begin"/>
      </w:r>
      <w:r>
        <w:instrText xml:space="preserve"> PAGEREF _Toc486576158 \h </w:instrText>
      </w:r>
      <w:r>
        <w:fldChar w:fldCharType="separate"/>
      </w:r>
      <w:r>
        <w:t>27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Business sales representatives must be registered etc.</w:t>
      </w:r>
      <w:r>
        <w:tab/>
      </w:r>
      <w:r>
        <w:fldChar w:fldCharType="begin"/>
      </w:r>
      <w:r>
        <w:instrText xml:space="preserve"> PAGEREF _Toc486576159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Partners and directors of licensees to be registered in certain cases</w:t>
      </w:r>
      <w:r>
        <w:tab/>
      </w:r>
      <w:r>
        <w:fldChar w:fldCharType="begin"/>
      </w:r>
      <w:r>
        <w:instrText xml:space="preserve"> PAGEREF _Toc486576160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Natural persons, grant of certificate of registration to</w:t>
      </w:r>
      <w:r>
        <w:tab/>
      </w:r>
      <w:r>
        <w:fldChar w:fldCharType="begin"/>
      </w:r>
      <w:r>
        <w:instrText xml:space="preserve"> PAGEREF _Toc486576161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Certificates of registration, duration and renewal of</w:t>
      </w:r>
      <w:r>
        <w:tab/>
      </w:r>
      <w:r>
        <w:fldChar w:fldCharType="begin"/>
      </w:r>
      <w:r>
        <w:instrText xml:space="preserve"> PAGEREF _Toc486576162 \h </w:instrText>
      </w:r>
      <w:r>
        <w:fldChar w:fldCharType="separate"/>
      </w:r>
      <w:r>
        <w:t>30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Certificates of registration, late renewal of</w:t>
      </w:r>
      <w:r>
        <w:tab/>
      </w:r>
      <w:r>
        <w:fldChar w:fldCharType="begin"/>
      </w:r>
      <w:r>
        <w:instrText xml:space="preserve"> PAGEREF _Toc486576163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Duties of registered persons; Commissioner may impose special conditions on certificates of registration</w:t>
      </w:r>
      <w:r>
        <w:tab/>
      </w:r>
      <w:r>
        <w:fldChar w:fldCharType="begin"/>
      </w:r>
      <w:r>
        <w:instrText xml:space="preserve"> PAGEREF _Toc486576164 \h </w:instrText>
      </w:r>
      <w:r>
        <w:fldChar w:fldCharType="separate"/>
      </w:r>
      <w:r>
        <w:t>32</w:t>
      </w:r>
      <w:r>
        <w:fldChar w:fldCharType="end"/>
      </w:r>
    </w:p>
    <w:p>
      <w:pPr>
        <w:pStyle w:val="TOC8"/>
        <w:rPr>
          <w:rFonts w:asciiTheme="minorHAnsi" w:eastAsiaTheme="minorEastAsia" w:hAnsiTheme="minorHAnsi" w:cstheme="minorBidi"/>
          <w:szCs w:val="22"/>
        </w:rPr>
      </w:pPr>
      <w:r>
        <w:t>50A</w:t>
      </w:r>
      <w:r>
        <w:rPr>
          <w:snapToGrid w:val="0"/>
        </w:rPr>
        <w:t>.</w:t>
      </w:r>
      <w:r>
        <w:tab/>
        <w:t>Unopposed applications</w:t>
      </w:r>
      <w:r>
        <w:tab/>
      </w:r>
      <w:r>
        <w:fldChar w:fldCharType="begin"/>
      </w:r>
      <w:r>
        <w:instrText xml:space="preserve"> PAGEREF _Toc486576165 \h </w:instrText>
      </w:r>
      <w:r>
        <w:fldChar w:fldCharType="separate"/>
      </w:r>
      <w:r>
        <w:t>32</w:t>
      </w:r>
      <w:r>
        <w:fldChar w:fldCharType="end"/>
      </w:r>
    </w:p>
    <w:p>
      <w:pPr>
        <w:pStyle w:val="TOC8"/>
        <w:rPr>
          <w:rFonts w:asciiTheme="minorHAnsi" w:eastAsiaTheme="minorEastAsia" w:hAnsiTheme="minorHAnsi" w:cstheme="minorBidi"/>
          <w:szCs w:val="22"/>
        </w:rPr>
      </w:pPr>
      <w:r>
        <w:t>50B.</w:t>
      </w:r>
      <w:r>
        <w:tab/>
        <w:t>SAT may suspend registration in some cases</w:t>
      </w:r>
      <w:r>
        <w:tab/>
      </w:r>
      <w:r>
        <w:fldChar w:fldCharType="begin"/>
      </w:r>
      <w:r>
        <w:instrText xml:space="preserve"> PAGEREF _Toc486576166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r>
      <w:r>
        <w:t>Registered sales representatives to notify Commissioner of certain changes</w:t>
      </w:r>
      <w:r>
        <w:tab/>
      </w:r>
      <w:r>
        <w:fldChar w:fldCharType="begin"/>
      </w:r>
      <w:r>
        <w:instrText xml:space="preserve"> PAGEREF _Toc486576167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Certificate of registration not transferable</w:t>
      </w:r>
      <w:r>
        <w:tab/>
      </w:r>
      <w:r>
        <w:fldChar w:fldCharType="begin"/>
      </w:r>
      <w:r>
        <w:instrText xml:space="preserve"> PAGEREF _Toc486576168 \h </w:instrText>
      </w:r>
      <w:r>
        <w:fldChar w:fldCharType="separate"/>
      </w:r>
      <w:r>
        <w:t>33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 of registration, surrender of</w:t>
      </w:r>
      <w:r>
        <w:tab/>
      </w:r>
      <w:r>
        <w:fldChar w:fldCharType="begin"/>
      </w:r>
      <w:r>
        <w:instrText xml:space="preserve"> PAGEREF _Toc486576169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Sales representatives, employment of</w:t>
      </w:r>
      <w:r>
        <w:tab/>
      </w:r>
      <w:r>
        <w:fldChar w:fldCharType="begin"/>
      </w:r>
      <w:r>
        <w:instrText xml:space="preserve"> PAGEREF _Toc486576170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Sales representative to be in service of one person</w:t>
      </w:r>
      <w:r>
        <w:tab/>
      </w:r>
      <w:r>
        <w:fldChar w:fldCharType="begin"/>
      </w:r>
      <w:r>
        <w:instrText xml:space="preserve"> PAGEREF _Toc486576171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V — General controls</w:t>
      </w:r>
    </w:p>
    <w:p>
      <w:pPr>
        <w:pStyle w:val="TOC8"/>
        <w:rPr>
          <w:rFonts w:asciiTheme="minorHAnsi" w:eastAsiaTheme="minorEastAsia" w:hAnsiTheme="minorHAnsi" w:cstheme="minorBidi"/>
          <w:szCs w:val="22"/>
        </w:rPr>
      </w:pPr>
      <w:r>
        <w:t>56</w:t>
      </w:r>
      <w:r>
        <w:rPr>
          <w:snapToGrid w:val="0"/>
        </w:rPr>
        <w:t>.</w:t>
      </w:r>
      <w:r>
        <w:rPr>
          <w:snapToGrid w:val="0"/>
        </w:rPr>
        <w:tab/>
        <w:t>Franchising agreements, licensee not to carry on business under without Commissioner’s approval</w:t>
      </w:r>
      <w:r>
        <w:tab/>
      </w:r>
      <w:r>
        <w:fldChar w:fldCharType="begin"/>
      </w:r>
      <w:r>
        <w:instrText xml:space="preserve"> PAGEREF _Toc486576173 \h </w:instrText>
      </w:r>
      <w:r>
        <w:fldChar w:fldCharType="separate"/>
      </w:r>
      <w:r>
        <w:t>36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Developers, principal place of business to be registered and service on</w:t>
      </w:r>
      <w:r>
        <w:tab/>
      </w:r>
      <w:r>
        <w:fldChar w:fldCharType="begin"/>
      </w:r>
      <w:r>
        <w:instrText xml:space="preserve"> PAGEREF _Toc486576174 \h </w:instrText>
      </w:r>
      <w:r>
        <w:fldChar w:fldCharType="separate"/>
      </w:r>
      <w:r>
        <w:t>36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Developer to notify Commissioner of change in principal place of business</w:t>
      </w:r>
      <w:r>
        <w:tab/>
      </w:r>
      <w:r>
        <w:fldChar w:fldCharType="begin"/>
      </w:r>
      <w:r>
        <w:instrText xml:space="preserve"> PAGEREF _Toc486576175 \h </w:instrText>
      </w:r>
      <w:r>
        <w:fldChar w:fldCharType="separate"/>
      </w:r>
      <w:r>
        <w:t>37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Developer to keep records of real estate transactions</w:t>
      </w:r>
      <w:r>
        <w:tab/>
      </w:r>
      <w:r>
        <w:fldChar w:fldCharType="begin"/>
      </w:r>
      <w:r>
        <w:instrText xml:space="preserve"> PAGEREF _Toc486576176 \h </w:instrText>
      </w:r>
      <w:r>
        <w:fldChar w:fldCharType="separate"/>
      </w:r>
      <w:r>
        <w:t>37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Agent not entitled to commission etc. unless licensed and validly appointed</w:t>
      </w:r>
      <w:r>
        <w:tab/>
      </w:r>
      <w:r>
        <w:fldChar w:fldCharType="begin"/>
      </w:r>
      <w:r>
        <w:instrText xml:space="preserve"> PAGEREF _Toc486576177 \h </w:instrText>
      </w:r>
      <w:r>
        <w:fldChar w:fldCharType="separate"/>
      </w:r>
      <w:r>
        <w:t>37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Maximum remuneration of licensees, fixing of etc.</w:t>
      </w:r>
      <w:r>
        <w:tab/>
      </w:r>
      <w:r>
        <w:fldChar w:fldCharType="begin"/>
      </w:r>
      <w:r>
        <w:instrText xml:space="preserve"> PAGEREF _Toc486576178 \h </w:instrText>
      </w:r>
      <w:r>
        <w:fldChar w:fldCharType="separate"/>
      </w:r>
      <w:r>
        <w:t>39</w:t>
      </w:r>
      <w:r>
        <w:fldChar w:fldCharType="end"/>
      </w:r>
    </w:p>
    <w:p>
      <w:pPr>
        <w:pStyle w:val="TOC8"/>
        <w:rPr>
          <w:rFonts w:asciiTheme="minorHAnsi" w:eastAsiaTheme="minorEastAsia" w:hAnsiTheme="minorHAnsi" w:cstheme="minorBidi"/>
          <w:szCs w:val="22"/>
        </w:rPr>
      </w:pPr>
      <w:r>
        <w:t>61A.</w:t>
      </w:r>
      <w:r>
        <w:tab/>
        <w:t>Agents not to demand etc. money etc. for letting etc. from tenants</w:t>
      </w:r>
      <w:r>
        <w:tab/>
      </w:r>
      <w:r>
        <w:fldChar w:fldCharType="begin"/>
      </w:r>
      <w:r>
        <w:instrText xml:space="preserve"> PAGEREF _Toc486576179 \h </w:instrText>
      </w:r>
      <w:r>
        <w:fldChar w:fldCharType="separate"/>
      </w:r>
      <w:r>
        <w:t>41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Advertising by agents and developers</w:t>
      </w:r>
      <w:r>
        <w:tab/>
      </w:r>
      <w:r>
        <w:fldChar w:fldCharType="begin"/>
      </w:r>
      <w:r>
        <w:instrText xml:space="preserve"> PAGEREF _Toc486576180 \h </w:instrText>
      </w:r>
      <w:r>
        <w:fldChar w:fldCharType="separate"/>
      </w:r>
      <w:r>
        <w:t>42</w:t>
      </w:r>
      <w:r>
        <w:fldChar w:fldCharType="end"/>
      </w:r>
    </w:p>
    <w:p>
      <w:pPr>
        <w:pStyle w:val="TOC8"/>
        <w:rPr>
          <w:rFonts w:asciiTheme="minorHAnsi" w:eastAsiaTheme="minorEastAsia" w:hAnsiTheme="minorHAnsi" w:cstheme="minorBidi"/>
          <w:szCs w:val="22"/>
        </w:rPr>
      </w:pPr>
      <w:r>
        <w:t>63.</w:t>
      </w:r>
      <w:r>
        <w:tab/>
        <w:t>Agents etc. to supply signatories of documents with copies</w:t>
      </w:r>
      <w:r>
        <w:tab/>
      </w:r>
      <w:r>
        <w:fldChar w:fldCharType="begin"/>
      </w:r>
      <w:r>
        <w:instrText xml:space="preserve"> PAGEREF _Toc486576181 \h </w:instrText>
      </w:r>
      <w:r>
        <w:fldChar w:fldCharType="separate"/>
      </w:r>
      <w:r>
        <w:t>43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Conflicts of interest of agents etc.</w:t>
      </w:r>
      <w:r>
        <w:tab/>
      </w:r>
      <w:r>
        <w:fldChar w:fldCharType="begin"/>
      </w:r>
      <w:r>
        <w:instrText xml:space="preserve"> PAGEREF _Toc486576182 \h </w:instrText>
      </w:r>
      <w:r>
        <w:fldChar w:fldCharType="separate"/>
      </w:r>
      <w:r>
        <w:t>43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Rates etc., agents to ensure payment and apportionment of</w:t>
      </w:r>
      <w:r>
        <w:tab/>
      </w:r>
      <w:r>
        <w:fldChar w:fldCharType="begin"/>
      </w:r>
      <w:r>
        <w:instrText xml:space="preserve"> PAGEREF _Toc486576183 \h </w:instrText>
      </w:r>
      <w:r>
        <w:fldChar w:fldCharType="separate"/>
      </w:r>
      <w:r>
        <w:t>44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Keys to houses etc. and information about tenancies etc., payment for is an offence</w:t>
      </w:r>
      <w:r>
        <w:tab/>
      </w:r>
      <w:r>
        <w:fldChar w:fldCharType="begin"/>
      </w:r>
      <w:r>
        <w:instrText xml:space="preserve"> PAGEREF _Toc486576184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VI — Agents’ trust accounts</w:t>
      </w:r>
    </w:p>
    <w:p>
      <w:pPr>
        <w:pStyle w:val="TOC8"/>
        <w:rPr>
          <w:rFonts w:asciiTheme="minorHAnsi" w:eastAsiaTheme="minorEastAsia" w:hAnsiTheme="minorHAnsi" w:cstheme="minorBidi"/>
          <w:szCs w:val="22"/>
        </w:rPr>
      </w:pPr>
      <w:r>
        <w:t>67</w:t>
      </w:r>
      <w:r>
        <w:rPr>
          <w:snapToGrid w:val="0"/>
        </w:rPr>
        <w:t>.</w:t>
      </w:r>
      <w:r>
        <w:rPr>
          <w:snapToGrid w:val="0"/>
        </w:rPr>
        <w:tab/>
        <w:t>Terms used</w:t>
      </w:r>
      <w:r>
        <w:tab/>
      </w:r>
      <w:r>
        <w:fldChar w:fldCharType="begin"/>
      </w:r>
      <w:r>
        <w:instrText xml:space="preserve"> PAGEREF _Toc486576186 \h </w:instrText>
      </w:r>
      <w:r>
        <w:fldChar w:fldCharType="separate"/>
      </w:r>
      <w:r>
        <w:t>46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Trust accounts, use of etc.</w:t>
      </w:r>
      <w:r>
        <w:tab/>
      </w:r>
      <w:r>
        <w:fldChar w:fldCharType="begin"/>
      </w:r>
      <w:r>
        <w:instrText xml:space="preserve"> PAGEREF _Toc486576187 \h </w:instrText>
      </w:r>
      <w:r>
        <w:fldChar w:fldCharType="separate"/>
      </w:r>
      <w:r>
        <w:t>46</w:t>
      </w:r>
      <w:r>
        <w:fldChar w:fldCharType="end"/>
      </w:r>
    </w:p>
    <w:p>
      <w:pPr>
        <w:pStyle w:val="TOC8"/>
        <w:rPr>
          <w:rFonts w:asciiTheme="minorHAnsi" w:eastAsiaTheme="minorEastAsia" w:hAnsiTheme="minorHAnsi" w:cstheme="minorBidi"/>
          <w:szCs w:val="22"/>
        </w:rPr>
      </w:pPr>
      <w:r>
        <w:t>68A</w:t>
      </w:r>
      <w:r>
        <w:rPr>
          <w:snapToGrid w:val="0"/>
        </w:rPr>
        <w:t>.</w:t>
      </w:r>
      <w:r>
        <w:rPr>
          <w:snapToGrid w:val="0"/>
        </w:rPr>
        <w:tab/>
        <w:t>Client may ask agent for separate trust account</w:t>
      </w:r>
      <w:r>
        <w:tab/>
      </w:r>
      <w:r>
        <w:fldChar w:fldCharType="begin"/>
      </w:r>
      <w:r>
        <w:instrText xml:space="preserve"> PAGEREF _Toc486576188 \h </w:instrText>
      </w:r>
      <w:r>
        <w:fldChar w:fldCharType="separate"/>
      </w:r>
      <w:r>
        <w:t>47</w:t>
      </w:r>
      <w:r>
        <w:fldChar w:fldCharType="end"/>
      </w:r>
    </w:p>
    <w:p>
      <w:pPr>
        <w:pStyle w:val="TOC8"/>
        <w:rPr>
          <w:rFonts w:asciiTheme="minorHAnsi" w:eastAsiaTheme="minorEastAsia" w:hAnsiTheme="minorHAnsi" w:cstheme="minorBidi"/>
          <w:szCs w:val="22"/>
        </w:rPr>
      </w:pPr>
      <w:r>
        <w:t>68B</w:t>
      </w:r>
      <w:r>
        <w:rPr>
          <w:snapToGrid w:val="0"/>
        </w:rPr>
        <w:t>.</w:t>
      </w:r>
      <w:r>
        <w:rPr>
          <w:snapToGrid w:val="0"/>
        </w:rPr>
        <w:tab/>
        <w:t>Interest on trust accounts to be paid by financial institutions</w:t>
      </w:r>
      <w:r>
        <w:tab/>
      </w:r>
      <w:r>
        <w:fldChar w:fldCharType="begin"/>
      </w:r>
      <w:r>
        <w:instrText xml:space="preserve"> PAGEREF _Toc486576189 \h </w:instrText>
      </w:r>
      <w:r>
        <w:fldChar w:fldCharType="separate"/>
      </w:r>
      <w:r>
        <w:t>48</w:t>
      </w:r>
      <w:r>
        <w:fldChar w:fldCharType="end"/>
      </w:r>
    </w:p>
    <w:p>
      <w:pPr>
        <w:pStyle w:val="TOC8"/>
        <w:rPr>
          <w:rFonts w:asciiTheme="minorHAnsi" w:eastAsiaTheme="minorEastAsia" w:hAnsiTheme="minorHAnsi" w:cstheme="minorBidi"/>
          <w:szCs w:val="22"/>
        </w:rPr>
      </w:pPr>
      <w:r>
        <w:t>68C</w:t>
      </w:r>
      <w:r>
        <w:rPr>
          <w:snapToGrid w:val="0"/>
        </w:rPr>
        <w:t>.</w:t>
      </w:r>
      <w:r>
        <w:rPr>
          <w:snapToGrid w:val="0"/>
        </w:rPr>
        <w:tab/>
      </w:r>
      <w:r>
        <w:t>Agents to give Commissioner information about trust accounts</w:t>
      </w:r>
      <w:r>
        <w:tab/>
      </w:r>
      <w:r>
        <w:fldChar w:fldCharType="begin"/>
      </w:r>
      <w:r>
        <w:instrText xml:space="preserve"> PAGEREF _Toc486576190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Money received by agents, duties as to</w:t>
      </w:r>
      <w:r>
        <w:tab/>
      </w:r>
      <w:r>
        <w:fldChar w:fldCharType="begin"/>
      </w:r>
      <w:r>
        <w:instrText xml:space="preserve"> PAGEREF _Toc486576191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Audits of trust accounts</w:t>
      </w:r>
      <w:r>
        <w:tab/>
      </w:r>
      <w:r>
        <w:fldChar w:fldCharType="begin"/>
      </w:r>
      <w:r>
        <w:instrText xml:space="preserve"> PAGEREF _Toc486576192 \h </w:instrText>
      </w:r>
      <w:r>
        <w:fldChar w:fldCharType="separate"/>
      </w:r>
      <w:r>
        <w:t>50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r>
      <w:r>
        <w:t>Date of audit, Commissioner may change</w:t>
      </w:r>
      <w:r>
        <w:tab/>
      </w:r>
      <w:r>
        <w:fldChar w:fldCharType="begin"/>
      </w:r>
      <w:r>
        <w:instrText xml:space="preserve"> PAGEREF _Toc486576193 \h </w:instrText>
      </w:r>
      <w:r>
        <w:fldChar w:fldCharType="separate"/>
      </w:r>
      <w:r>
        <w:t>52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Auditors, qualification and approval of</w:t>
      </w:r>
      <w:r>
        <w:tab/>
      </w:r>
      <w:r>
        <w:fldChar w:fldCharType="begin"/>
      </w:r>
      <w:r>
        <w:instrText xml:space="preserve"> PAGEREF _Toc486576194 \h </w:instrText>
      </w:r>
      <w:r>
        <w:fldChar w:fldCharType="separate"/>
      </w:r>
      <w:r>
        <w:t>53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Auditors, appointment of</w:t>
      </w:r>
      <w:r>
        <w:tab/>
      </w:r>
      <w:r>
        <w:fldChar w:fldCharType="begin"/>
      </w:r>
      <w:r>
        <w:instrText xml:space="preserve"> PAGEREF _Toc486576195 \h </w:instrText>
      </w:r>
      <w:r>
        <w:fldChar w:fldCharType="separate"/>
      </w:r>
      <w:r>
        <w:t>53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Audits of business carried on at more than one place, directions as to</w:t>
      </w:r>
      <w:r>
        <w:tab/>
      </w:r>
      <w:r>
        <w:fldChar w:fldCharType="begin"/>
      </w:r>
      <w:r>
        <w:instrText xml:space="preserve"> PAGEREF _Toc486576196 \h </w:instrText>
      </w:r>
      <w:r>
        <w:fldChar w:fldCharType="separate"/>
      </w:r>
      <w:r>
        <w:t>54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r>
      <w:r>
        <w:t>Approvals etc. under this Part, Commissioner’s power to cancel etc.</w:t>
      </w:r>
      <w:r>
        <w:tab/>
      </w:r>
      <w:r>
        <w:fldChar w:fldCharType="begin"/>
      </w:r>
      <w:r>
        <w:instrText xml:space="preserve"> PAGEREF _Toc486576197 \h </w:instrText>
      </w:r>
      <w:r>
        <w:fldChar w:fldCharType="separate"/>
      </w:r>
      <w:r>
        <w:t>54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Audits, agents’ duties and auditors’ powers as to</w:t>
      </w:r>
      <w:r>
        <w:tab/>
      </w:r>
      <w:r>
        <w:fldChar w:fldCharType="begin"/>
      </w:r>
      <w:r>
        <w:instrText xml:space="preserve"> PAGEREF _Toc486576198 \h </w:instrText>
      </w:r>
      <w:r>
        <w:fldChar w:fldCharType="separate"/>
      </w:r>
      <w:r>
        <w:t>54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Audits, bankers’ duties as to</w:t>
      </w:r>
      <w:r>
        <w:tab/>
      </w:r>
      <w:r>
        <w:fldChar w:fldCharType="begin"/>
      </w:r>
      <w:r>
        <w:instrText xml:space="preserve"> PAGEREF _Toc486576199 \h </w:instrText>
      </w:r>
      <w:r>
        <w:fldChar w:fldCharType="separate"/>
      </w:r>
      <w:r>
        <w:t>55</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Auditors’ reports, content of</w:t>
      </w:r>
      <w:r>
        <w:tab/>
      </w:r>
      <w:r>
        <w:fldChar w:fldCharType="begin"/>
      </w:r>
      <w:r>
        <w:instrText xml:space="preserve"> PAGEREF _Toc486576200 \h </w:instrText>
      </w:r>
      <w:r>
        <w:fldChar w:fldCharType="separate"/>
      </w:r>
      <w:r>
        <w:t>55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Moneys etc. held on trust, statement of by agents</w:t>
      </w:r>
      <w:r>
        <w:tab/>
      </w:r>
      <w:r>
        <w:fldChar w:fldCharType="begin"/>
      </w:r>
      <w:r>
        <w:instrText xml:space="preserve"> PAGEREF _Toc486576201 \h </w:instrText>
      </w:r>
      <w:r>
        <w:fldChar w:fldCharType="separate"/>
      </w:r>
      <w:r>
        <w:t>56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Auditor’s report to report breaches of law etc.</w:t>
      </w:r>
      <w:r>
        <w:tab/>
      </w:r>
      <w:r>
        <w:fldChar w:fldCharType="begin"/>
      </w:r>
      <w:r>
        <w:instrText xml:space="preserve"> PAGEREF _Toc486576202 \h </w:instrText>
      </w:r>
      <w:r>
        <w:fldChar w:fldCharType="separate"/>
      </w:r>
      <w:r>
        <w:t>57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Auditors’ duty of confidentiality</w:t>
      </w:r>
      <w:r>
        <w:tab/>
      </w:r>
      <w:r>
        <w:fldChar w:fldCharType="begin"/>
      </w:r>
      <w:r>
        <w:instrText xml:space="preserve"> PAGEREF _Toc486576203 \h </w:instrText>
      </w:r>
      <w:r>
        <w:fldChar w:fldCharType="separate"/>
      </w:r>
      <w:r>
        <w:t>57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Right of some persons to information in auditors’ reports</w:t>
      </w:r>
      <w:r>
        <w:tab/>
      </w:r>
      <w:r>
        <w:fldChar w:fldCharType="begin"/>
      </w:r>
      <w:r>
        <w:instrText xml:space="preserve"> PAGEREF _Toc486576204 \h </w:instrText>
      </w:r>
      <w:r>
        <w:fldChar w:fldCharType="separate"/>
      </w:r>
      <w:r>
        <w:t>57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Offences under this Part</w:t>
      </w:r>
      <w:r>
        <w:tab/>
      </w:r>
      <w:r>
        <w:fldChar w:fldCharType="begin"/>
      </w:r>
      <w:r>
        <w:instrText xml:space="preserve"> PAGEREF _Toc486576205 \h </w:instrText>
      </w:r>
      <w:r>
        <w:fldChar w:fldCharType="separate"/>
      </w:r>
      <w:r>
        <w:t>58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Auditors’ remuneration</w:t>
      </w:r>
      <w:r>
        <w:tab/>
      </w:r>
      <w:r>
        <w:fldChar w:fldCharType="begin"/>
      </w:r>
      <w:r>
        <w:instrText xml:space="preserve"> PAGEREF _Toc486576206 \h </w:instrText>
      </w:r>
      <w:r>
        <w:fldChar w:fldCharType="separate"/>
      </w:r>
      <w:r>
        <w:t>58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Agents with no accounts to audit</w:t>
      </w:r>
      <w:r>
        <w:tab/>
      </w:r>
      <w:r>
        <w:fldChar w:fldCharType="begin"/>
      </w:r>
      <w:r>
        <w:instrText xml:space="preserve"> PAGEREF _Toc486576207 \h </w:instrText>
      </w:r>
      <w:r>
        <w:fldChar w:fldCharType="separate"/>
      </w:r>
      <w:r>
        <w:t>58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Accounts of firm or body corporate or agent with branch office, effect of audits as to</w:t>
      </w:r>
      <w:r>
        <w:tab/>
      </w:r>
      <w:r>
        <w:fldChar w:fldCharType="begin"/>
      </w:r>
      <w:r>
        <w:instrText xml:space="preserve"> PAGEREF _Toc486576208 \h </w:instrText>
      </w:r>
      <w:r>
        <w:fldChar w:fldCharType="separate"/>
      </w:r>
      <w:r>
        <w:t>59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r>
      <w:r>
        <w:t>Audit of trust account, Commissioner may do</w:t>
      </w:r>
      <w:r>
        <w:tab/>
      </w:r>
      <w:r>
        <w:fldChar w:fldCharType="begin"/>
      </w:r>
      <w:r>
        <w:instrText xml:space="preserve"> PAGEREF _Toc486576209 \h </w:instrText>
      </w:r>
      <w:r>
        <w:fldChar w:fldCharType="separate"/>
      </w:r>
      <w:r>
        <w:t>59</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Cost of audit done under s. 88</w:t>
      </w:r>
      <w:r>
        <w:tab/>
      </w:r>
      <w:r>
        <w:fldChar w:fldCharType="begin"/>
      </w:r>
      <w:r>
        <w:instrText xml:space="preserve"> PAGEREF _Toc486576210 \h </w:instrText>
      </w:r>
      <w:r>
        <w:fldChar w:fldCharType="separate"/>
      </w:r>
      <w:r>
        <w:t>60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Confidentiality of audit done under s. 88</w:t>
      </w:r>
      <w:r>
        <w:tab/>
      </w:r>
      <w:r>
        <w:fldChar w:fldCharType="begin"/>
      </w:r>
      <w:r>
        <w:instrText xml:space="preserve"> PAGEREF _Toc486576211 \h </w:instrText>
      </w:r>
      <w:r>
        <w:fldChar w:fldCharType="separate"/>
      </w:r>
      <w:r>
        <w:t>60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Restraining bank etc. from dealing with agent’s account, SAT’s powers as to</w:t>
      </w:r>
      <w:r>
        <w:tab/>
      </w:r>
      <w:r>
        <w:fldChar w:fldCharType="begin"/>
      </w:r>
      <w:r>
        <w:instrText xml:space="preserve"> PAGEREF _Toc486576212 \h </w:instrText>
      </w:r>
      <w:r>
        <w:fldChar w:fldCharType="separate"/>
      </w:r>
      <w:r>
        <w:t>60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Suspension of agents, appointment of supervisors etc., SAT’s powers as to</w:t>
      </w:r>
      <w:r>
        <w:tab/>
      </w:r>
      <w:r>
        <w:fldChar w:fldCharType="begin"/>
      </w:r>
      <w:r>
        <w:instrText xml:space="preserve"> PAGEREF _Toc486576213 \h </w:instrText>
      </w:r>
      <w:r>
        <w:fldChar w:fldCharType="separate"/>
      </w:r>
      <w:r>
        <w:t>62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Order under s. 93 for supervisor, effect of</w:t>
      </w:r>
      <w:r>
        <w:tab/>
      </w:r>
      <w:r>
        <w:fldChar w:fldCharType="begin"/>
      </w:r>
      <w:r>
        <w:instrText xml:space="preserve"> PAGEREF _Toc486576214 \h </w:instrText>
      </w:r>
      <w:r>
        <w:fldChar w:fldCharType="separate"/>
      </w:r>
      <w:r>
        <w:t>64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Supervisors’ duties</w:t>
      </w:r>
      <w:r>
        <w:tab/>
      </w:r>
      <w:r>
        <w:fldChar w:fldCharType="begin"/>
      </w:r>
      <w:r>
        <w:instrText xml:space="preserve"> PAGEREF _Toc486576215 \h </w:instrText>
      </w:r>
      <w:r>
        <w:fldChar w:fldCharType="separate"/>
      </w:r>
      <w:r>
        <w:t>65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Hindering etc. supervisors, offence</w:t>
      </w:r>
      <w:r>
        <w:tab/>
      </w:r>
      <w:r>
        <w:fldChar w:fldCharType="begin"/>
      </w:r>
      <w:r>
        <w:instrText xml:space="preserve"> PAGEREF _Toc486576216 \h </w:instrText>
      </w:r>
      <w:r>
        <w:fldChar w:fldCharType="separate"/>
      </w:r>
      <w:r>
        <w:t>66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Discharge or variation of s. 92 or 93 order</w:t>
      </w:r>
      <w:r>
        <w:tab/>
      </w:r>
      <w:r>
        <w:fldChar w:fldCharType="begin"/>
      </w:r>
      <w:r>
        <w:instrText xml:space="preserve"> PAGEREF _Toc486576217 \h </w:instrText>
      </w:r>
      <w:r>
        <w:fldChar w:fldCharType="separate"/>
      </w:r>
      <w:r>
        <w:t>66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SAT’s additional powers as to s. 92, 93 and 97 orders; schemes for distributing funds</w:t>
      </w:r>
      <w:r>
        <w:tab/>
      </w:r>
      <w:r>
        <w:fldChar w:fldCharType="begin"/>
      </w:r>
      <w:r>
        <w:instrText xml:space="preserve"> PAGEREF _Toc486576218 \h </w:instrText>
      </w:r>
      <w:r>
        <w:fldChar w:fldCharType="separate"/>
      </w:r>
      <w:r>
        <w:t>66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Service of s. 92, 93, 97 or 98 orders; penalty for breach of</w:t>
      </w:r>
      <w:r>
        <w:tab/>
      </w:r>
      <w:r>
        <w:fldChar w:fldCharType="begin"/>
      </w:r>
      <w:r>
        <w:instrText xml:space="preserve"> PAGEREF _Toc486576219 \h </w:instrText>
      </w:r>
      <w:r>
        <w:fldChar w:fldCharType="separate"/>
      </w:r>
      <w:r>
        <w:t>68</w:t>
      </w:r>
      <w:r>
        <w:fldChar w:fldCharType="end"/>
      </w:r>
    </w:p>
    <w:p>
      <w:pPr>
        <w:pStyle w:val="TOC8"/>
        <w:rPr>
          <w:rFonts w:asciiTheme="minorHAnsi" w:eastAsiaTheme="minorEastAsia" w:hAnsiTheme="minorHAnsi" w:cstheme="minorBidi"/>
          <w:szCs w:val="22"/>
        </w:rPr>
      </w:pPr>
      <w:r>
        <w:t>100.</w:t>
      </w:r>
      <w:r>
        <w:tab/>
        <w:t>Banks etc., duty to disclose certain accounts etc. if required to by authorised person</w:t>
      </w:r>
      <w:r>
        <w:tab/>
      </w:r>
      <w:r>
        <w:fldChar w:fldCharType="begin"/>
      </w:r>
      <w:r>
        <w:instrText xml:space="preserve"> PAGEREF _Toc486576220 \h </w:instrText>
      </w:r>
      <w:r>
        <w:fldChar w:fldCharType="separate"/>
      </w:r>
      <w:r>
        <w:t>69</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r>
      <w:r>
        <w:t>Information about trust accounts, Commissioner’s power to obtain</w:t>
      </w:r>
      <w:r>
        <w:tab/>
      </w:r>
      <w:r>
        <w:fldChar w:fldCharType="begin"/>
      </w:r>
      <w:r>
        <w:instrText xml:space="preserve"> PAGEREF _Toc486576221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VII — Discipline of agents and sales representatives</w:t>
      </w:r>
    </w:p>
    <w:p>
      <w:pPr>
        <w:pStyle w:val="TOC8"/>
        <w:keepNext/>
        <w:rPr>
          <w:rFonts w:asciiTheme="minorHAnsi" w:eastAsiaTheme="minorEastAsia" w:hAnsiTheme="minorHAnsi" w:cstheme="minorBidi"/>
          <w:szCs w:val="22"/>
        </w:rPr>
      </w:pPr>
      <w:r>
        <w:t>101</w:t>
      </w:r>
      <w:r>
        <w:rPr>
          <w:snapToGrid w:val="0"/>
        </w:rPr>
        <w:t>.</w:t>
      </w:r>
      <w:r>
        <w:rPr>
          <w:snapToGrid w:val="0"/>
        </w:rPr>
        <w:tab/>
      </w:r>
      <w:r>
        <w:t>Codes of conduct</w:t>
      </w:r>
      <w:r>
        <w:tab/>
      </w:r>
      <w:r>
        <w:fldChar w:fldCharType="begin"/>
      </w:r>
      <w:r>
        <w:instrText xml:space="preserve"> PAGEREF _Toc486576223 \h </w:instrText>
      </w:r>
      <w:r>
        <w:fldChar w:fldCharType="separate"/>
      </w:r>
      <w:r>
        <w:t>72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Disciplinary action by SAT, alleging cause for</w:t>
      </w:r>
      <w:r>
        <w:tab/>
      </w:r>
      <w:r>
        <w:fldChar w:fldCharType="begin"/>
      </w:r>
      <w:r>
        <w:instrText xml:space="preserve"> PAGEREF _Toc486576224 \h </w:instrText>
      </w:r>
      <w:r>
        <w:fldChar w:fldCharType="separate"/>
      </w:r>
      <w:r>
        <w:t>72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Disciplinary action, SAT’s powers as to</w:t>
      </w:r>
      <w:r>
        <w:tab/>
      </w:r>
      <w:r>
        <w:fldChar w:fldCharType="begin"/>
      </w:r>
      <w:r>
        <w:instrText xml:space="preserve"> PAGEREF _Toc486576225 \h </w:instrText>
      </w:r>
      <w:r>
        <w:fldChar w:fldCharType="separate"/>
      </w:r>
      <w:r>
        <w:t>73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Offences that cause licence and triennial certificate to be cancelled</w:t>
      </w:r>
      <w:r>
        <w:tab/>
      </w:r>
      <w:r>
        <w:fldChar w:fldCharType="begin"/>
      </w:r>
      <w:r>
        <w:instrText xml:space="preserve"> PAGEREF _Toc486576226 \h </w:instrText>
      </w:r>
      <w:r>
        <w:fldChar w:fldCharType="separate"/>
      </w:r>
      <w:r>
        <w:t>76</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Certain offences by licensees, additional sentencing powers for</w:t>
      </w:r>
      <w:r>
        <w:tab/>
      </w:r>
      <w:r>
        <w:fldChar w:fldCharType="begin"/>
      </w:r>
      <w:r>
        <w:instrText xml:space="preserve"> PAGEREF _Toc486576227 \h </w:instrText>
      </w:r>
      <w:r>
        <w:fldChar w:fldCharType="separate"/>
      </w:r>
      <w:r>
        <w:t>77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Persons with cancelled licences etc., offences by and in respect of</w:t>
      </w:r>
      <w:r>
        <w:tab/>
      </w:r>
      <w:r>
        <w:fldChar w:fldCharType="begin"/>
      </w:r>
      <w:r>
        <w:instrText xml:space="preserve"> PAGEREF _Toc486576228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VIII — Fidelity Guarantee Account</w:t>
      </w:r>
    </w:p>
    <w:p>
      <w:pPr>
        <w:pStyle w:val="TOC8"/>
        <w:rPr>
          <w:rFonts w:asciiTheme="minorHAnsi" w:eastAsiaTheme="minorEastAsia" w:hAnsiTheme="minorHAnsi" w:cstheme="minorBidi"/>
          <w:szCs w:val="22"/>
        </w:rPr>
      </w:pPr>
      <w:r>
        <w:t>107.</w:t>
      </w:r>
      <w:r>
        <w:tab/>
        <w:t>Account established</w:t>
      </w:r>
      <w:r>
        <w:tab/>
      </w:r>
      <w:r>
        <w:fldChar w:fldCharType="begin"/>
      </w:r>
      <w:r>
        <w:instrText xml:space="preserve"> PAGEREF _Toc486576230 \h </w:instrText>
      </w:r>
      <w:r>
        <w:fldChar w:fldCharType="separate"/>
      </w:r>
      <w:r>
        <w:t>79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Investment of moneys in account</w:t>
      </w:r>
      <w:r>
        <w:tab/>
      </w:r>
      <w:r>
        <w:fldChar w:fldCharType="begin"/>
      </w:r>
      <w:r>
        <w:instrText xml:space="preserve"> PAGEREF _Toc486576231 \h </w:instrText>
      </w:r>
      <w:r>
        <w:fldChar w:fldCharType="separate"/>
      </w:r>
      <w:r>
        <w:t>79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Moneys to be credited to account</w:t>
      </w:r>
      <w:r>
        <w:tab/>
      </w:r>
      <w:r>
        <w:fldChar w:fldCharType="begin"/>
      </w:r>
      <w:r>
        <w:instrText xml:space="preserve"> PAGEREF _Toc486576232 \h </w:instrText>
      </w:r>
      <w:r>
        <w:fldChar w:fldCharType="separate"/>
      </w:r>
      <w:r>
        <w:t>79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Expenditure from account</w:t>
      </w:r>
      <w:r>
        <w:tab/>
      </w:r>
      <w:r>
        <w:fldChar w:fldCharType="begin"/>
      </w:r>
      <w:r>
        <w:instrText xml:space="preserve"> PAGEREF _Toc486576233 \h </w:instrText>
      </w:r>
      <w:r>
        <w:fldChar w:fldCharType="separate"/>
      </w:r>
      <w:r>
        <w:t>80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r>
      <w:r>
        <w:t>Administration of account</w:t>
      </w:r>
      <w:r>
        <w:tab/>
      </w:r>
      <w:r>
        <w:fldChar w:fldCharType="begin"/>
      </w:r>
      <w:r>
        <w:instrText xml:space="preserve"> PAGEREF _Toc486576234 \h </w:instrText>
      </w:r>
      <w:r>
        <w:fldChar w:fldCharType="separate"/>
      </w:r>
      <w:r>
        <w:t>81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Payments to account by applicants for licences etc.</w:t>
      </w:r>
      <w:r>
        <w:tab/>
      </w:r>
      <w:r>
        <w:fldChar w:fldCharType="begin"/>
      </w:r>
      <w:r>
        <w:instrText xml:space="preserve"> PAGEREF _Toc486576235 \h </w:instrText>
      </w:r>
      <w:r>
        <w:fldChar w:fldCharType="separate"/>
      </w:r>
      <w:r>
        <w:t>81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Cap on payments under s. 113</w:t>
      </w:r>
      <w:r>
        <w:tab/>
      </w:r>
      <w:r>
        <w:fldChar w:fldCharType="begin"/>
      </w:r>
      <w:r>
        <w:instrText xml:space="preserve"> PAGEREF _Toc486576236 \h </w:instrText>
      </w:r>
      <w:r>
        <w:fldChar w:fldCharType="separate"/>
      </w:r>
      <w:r>
        <w:t>81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Levies for account against certificate holders</w:t>
      </w:r>
      <w:r>
        <w:tab/>
      </w:r>
      <w:r>
        <w:fldChar w:fldCharType="begin"/>
      </w:r>
      <w:r>
        <w:instrText xml:space="preserve"> PAGEREF _Toc486576237 \h </w:instrText>
      </w:r>
      <w:r>
        <w:fldChar w:fldCharType="separate"/>
      </w:r>
      <w:r>
        <w:t>82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Purpose of account; making claims against account</w:t>
      </w:r>
      <w:r>
        <w:tab/>
      </w:r>
      <w:r>
        <w:fldChar w:fldCharType="begin"/>
      </w:r>
      <w:r>
        <w:instrText xml:space="preserve"> PAGEREF _Toc486576238 \h </w:instrText>
      </w:r>
      <w:r>
        <w:fldChar w:fldCharType="separate"/>
      </w:r>
      <w:r>
        <w:t>83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Claims against account; recovery from account</w:t>
      </w:r>
      <w:r>
        <w:tab/>
      </w:r>
      <w:r>
        <w:fldChar w:fldCharType="begin"/>
      </w:r>
      <w:r>
        <w:instrText xml:space="preserve"> PAGEREF _Toc486576239 \h </w:instrText>
      </w:r>
      <w:r>
        <w:fldChar w:fldCharType="separate"/>
      </w:r>
      <w:r>
        <w:t>83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Defences to claims against account</w:t>
      </w:r>
      <w:r>
        <w:tab/>
      </w:r>
      <w:r>
        <w:fldChar w:fldCharType="begin"/>
      </w:r>
      <w:r>
        <w:instrText xml:space="preserve"> PAGEREF _Toc486576240 \h </w:instrText>
      </w:r>
      <w:r>
        <w:fldChar w:fldCharType="separate"/>
      </w:r>
      <w:r>
        <w:t>85</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r>
      <w:r>
        <w:t>Subrogation of rights of claimant against account</w:t>
      </w:r>
      <w:r>
        <w:tab/>
      </w:r>
      <w:r>
        <w:fldChar w:fldCharType="begin"/>
      </w:r>
      <w:r>
        <w:instrText xml:space="preserve"> PAGEREF _Toc486576241 \h </w:instrText>
      </w:r>
      <w:r>
        <w:fldChar w:fldCharType="separate"/>
      </w:r>
      <w:r>
        <w:t>85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Insufficiency in a</w:t>
      </w:r>
      <w:r>
        <w:t>ccount</w:t>
      </w:r>
      <w:r>
        <w:tab/>
      </w:r>
      <w:r>
        <w:fldChar w:fldCharType="begin"/>
      </w:r>
      <w:r>
        <w:instrText xml:space="preserve"> PAGEREF _Toc486576242 \h </w:instrText>
      </w:r>
      <w:r>
        <w:fldChar w:fldCharType="separate"/>
      </w:r>
      <w:r>
        <w:t>85</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r>
      <w:r>
        <w:t>State may insure against claims</w:t>
      </w:r>
      <w:r>
        <w:tab/>
      </w:r>
      <w:r>
        <w:fldChar w:fldCharType="begin"/>
      </w:r>
      <w:r>
        <w:instrText xml:space="preserve"> PAGEREF _Toc486576243 \h </w:instrText>
      </w:r>
      <w:r>
        <w:fldChar w:fldCharType="separate"/>
      </w:r>
      <w:r>
        <w:t>86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Application of insurance payouts</w:t>
      </w:r>
      <w:r>
        <w:tab/>
      </w:r>
      <w:r>
        <w:fldChar w:fldCharType="begin"/>
      </w:r>
      <w:r>
        <w:instrText xml:space="preserve"> PAGEREF _Toc486576244 \h </w:instrText>
      </w:r>
      <w:r>
        <w:fldChar w:fldCharType="separate"/>
      </w:r>
      <w:r>
        <w:t>87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Advertising for claims in relation to defaulting licensee</w:t>
      </w:r>
      <w:r>
        <w:tab/>
      </w:r>
      <w:r>
        <w:fldChar w:fldCharType="begin"/>
      </w:r>
      <w:r>
        <w:instrText xml:space="preserve"> PAGEREF _Toc486576245 \h </w:instrText>
      </w:r>
      <w:r>
        <w:fldChar w:fldCharType="separate"/>
      </w:r>
      <w:r>
        <w:t>87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t>Documents etc. to support claims, CEO may require</w:t>
      </w:r>
      <w:r>
        <w:tab/>
      </w:r>
      <w:r>
        <w:fldChar w:fldCharType="begin"/>
      </w:r>
      <w:r>
        <w:instrText xml:space="preserve"> PAGEREF _Toc486576246 \h </w:instrText>
      </w:r>
      <w:r>
        <w:fldChar w:fldCharType="separate"/>
      </w:r>
      <w:r>
        <w:t>88</w:t>
      </w:r>
      <w:r>
        <w:fldChar w:fldCharType="end"/>
      </w:r>
    </w:p>
    <w:p>
      <w:pPr>
        <w:pStyle w:val="TOC8"/>
        <w:rPr>
          <w:rFonts w:asciiTheme="minorHAnsi" w:eastAsiaTheme="minorEastAsia" w:hAnsiTheme="minorHAnsi" w:cstheme="minorBidi"/>
          <w:szCs w:val="22"/>
        </w:rPr>
      </w:pPr>
      <w:r>
        <w:t>124AA.</w:t>
      </w:r>
      <w:r>
        <w:tab/>
        <w:t>Commissioner may investigate claims against Fidelity Account</w:t>
      </w:r>
      <w:r>
        <w:tab/>
      </w:r>
      <w:r>
        <w:fldChar w:fldCharType="begin"/>
      </w:r>
      <w:r>
        <w:instrText xml:space="preserve"> PAGEREF _Toc486576247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VIIIA — Education and General Purpose Account</w:t>
      </w:r>
    </w:p>
    <w:p>
      <w:pPr>
        <w:pStyle w:val="TOC8"/>
        <w:keepNext/>
        <w:rPr>
          <w:rFonts w:asciiTheme="minorHAnsi" w:eastAsiaTheme="minorEastAsia" w:hAnsiTheme="minorHAnsi" w:cstheme="minorBidi"/>
          <w:szCs w:val="22"/>
        </w:rPr>
      </w:pPr>
      <w:r>
        <w:t>124A</w:t>
      </w:r>
      <w:r>
        <w:rPr>
          <w:snapToGrid w:val="0"/>
        </w:rPr>
        <w:t>.</w:t>
      </w:r>
      <w:r>
        <w:rPr>
          <w:snapToGrid w:val="0"/>
        </w:rPr>
        <w:tab/>
        <w:t>Account established; administration of account</w:t>
      </w:r>
      <w:r>
        <w:tab/>
      </w:r>
      <w:r>
        <w:fldChar w:fldCharType="begin"/>
      </w:r>
      <w:r>
        <w:instrText xml:space="preserve"> PAGEREF _Toc486576249 \h </w:instrText>
      </w:r>
      <w:r>
        <w:fldChar w:fldCharType="separate"/>
      </w:r>
      <w:r>
        <w:t>90</w:t>
      </w:r>
      <w:r>
        <w:fldChar w:fldCharType="end"/>
      </w:r>
    </w:p>
    <w:p>
      <w:pPr>
        <w:pStyle w:val="TOC8"/>
        <w:rPr>
          <w:rFonts w:asciiTheme="minorHAnsi" w:eastAsiaTheme="minorEastAsia" w:hAnsiTheme="minorHAnsi" w:cstheme="minorBidi"/>
          <w:szCs w:val="22"/>
        </w:rPr>
      </w:pPr>
      <w:r>
        <w:t>124B</w:t>
      </w:r>
      <w:r>
        <w:rPr>
          <w:snapToGrid w:val="0"/>
        </w:rPr>
        <w:t>.</w:t>
      </w:r>
      <w:r>
        <w:rPr>
          <w:snapToGrid w:val="0"/>
        </w:rPr>
        <w:tab/>
        <w:t>Moneys to be credited to account</w:t>
      </w:r>
      <w:r>
        <w:tab/>
      </w:r>
      <w:r>
        <w:fldChar w:fldCharType="begin"/>
      </w:r>
      <w:r>
        <w:instrText xml:space="preserve"> PAGEREF _Toc486576250 \h </w:instrText>
      </w:r>
      <w:r>
        <w:fldChar w:fldCharType="separate"/>
      </w:r>
      <w:r>
        <w:t>90</w:t>
      </w:r>
      <w:r>
        <w:fldChar w:fldCharType="end"/>
      </w:r>
    </w:p>
    <w:p>
      <w:pPr>
        <w:pStyle w:val="TOC8"/>
        <w:rPr>
          <w:rFonts w:asciiTheme="minorHAnsi" w:eastAsiaTheme="minorEastAsia" w:hAnsiTheme="minorHAnsi" w:cstheme="minorBidi"/>
          <w:szCs w:val="22"/>
        </w:rPr>
      </w:pPr>
      <w:r>
        <w:t>124C</w:t>
      </w:r>
      <w:r>
        <w:rPr>
          <w:snapToGrid w:val="0"/>
        </w:rPr>
        <w:t>.</w:t>
      </w:r>
      <w:r>
        <w:rPr>
          <w:snapToGrid w:val="0"/>
        </w:rPr>
        <w:tab/>
        <w:t>Expenditure from account</w:t>
      </w:r>
      <w:r>
        <w:tab/>
      </w:r>
      <w:r>
        <w:fldChar w:fldCharType="begin"/>
      </w:r>
      <w:r>
        <w:instrText xml:space="preserve"> PAGEREF _Toc486576251 \h </w:instrText>
      </w:r>
      <w:r>
        <w:fldChar w:fldCharType="separate"/>
      </w:r>
      <w:r>
        <w:t>91</w:t>
      </w:r>
      <w:r>
        <w:fldChar w:fldCharType="end"/>
      </w:r>
    </w:p>
    <w:p>
      <w:pPr>
        <w:pStyle w:val="TOC8"/>
        <w:rPr>
          <w:rFonts w:asciiTheme="minorHAnsi" w:eastAsiaTheme="minorEastAsia" w:hAnsiTheme="minorHAnsi" w:cstheme="minorBidi"/>
          <w:szCs w:val="22"/>
        </w:rPr>
      </w:pPr>
      <w:r>
        <w:t>124D</w:t>
      </w:r>
      <w:r>
        <w:rPr>
          <w:snapToGrid w:val="0"/>
        </w:rPr>
        <w:t>.</w:t>
      </w:r>
      <w:r>
        <w:rPr>
          <w:snapToGrid w:val="0"/>
        </w:rPr>
        <w:tab/>
        <w:t>Investment of moneys in account</w:t>
      </w:r>
      <w:r>
        <w:tab/>
      </w:r>
      <w:r>
        <w:fldChar w:fldCharType="begin"/>
      </w:r>
      <w:r>
        <w:instrText xml:space="preserve"> PAGEREF _Toc486576252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IX — Real Estate and Business Agents Interest Account</w:t>
      </w:r>
    </w:p>
    <w:p>
      <w:pPr>
        <w:pStyle w:val="TOC8"/>
        <w:rPr>
          <w:rFonts w:asciiTheme="minorHAnsi" w:eastAsiaTheme="minorEastAsia" w:hAnsiTheme="minorHAnsi" w:cstheme="minorBidi"/>
          <w:szCs w:val="22"/>
        </w:rPr>
      </w:pPr>
      <w:r>
        <w:t>125</w:t>
      </w:r>
      <w:r>
        <w:rPr>
          <w:snapToGrid w:val="0"/>
        </w:rPr>
        <w:t>.</w:t>
      </w:r>
      <w:r>
        <w:rPr>
          <w:snapToGrid w:val="0"/>
        </w:rPr>
        <w:tab/>
      </w:r>
      <w:r>
        <w:t>Account established; administration of account</w:t>
      </w:r>
      <w:r>
        <w:tab/>
      </w:r>
      <w:r>
        <w:fldChar w:fldCharType="begin"/>
      </w:r>
      <w:r>
        <w:instrText xml:space="preserve"> PAGEREF _Toc486576254 \h </w:instrText>
      </w:r>
      <w:r>
        <w:fldChar w:fldCharType="separate"/>
      </w:r>
      <w:r>
        <w:t>93</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Moneys to be credited to account</w:t>
      </w:r>
      <w:r>
        <w:tab/>
      </w:r>
      <w:r>
        <w:fldChar w:fldCharType="begin"/>
      </w:r>
      <w:r>
        <w:instrText xml:space="preserve"> PAGEREF _Toc486576255 \h </w:instrText>
      </w:r>
      <w:r>
        <w:fldChar w:fldCharType="separate"/>
      </w:r>
      <w:r>
        <w:t>93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E</w:t>
      </w:r>
      <w:r>
        <w:t>xpenditure from account</w:t>
      </w:r>
      <w:r>
        <w:tab/>
      </w:r>
      <w:r>
        <w:fldChar w:fldCharType="begin"/>
      </w:r>
      <w:r>
        <w:instrText xml:space="preserve"> PAGEREF _Toc486576256 \h </w:instrText>
      </w:r>
      <w:r>
        <w:fldChar w:fldCharType="separate"/>
      </w:r>
      <w:r>
        <w:t>94</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I</w:t>
      </w:r>
      <w:r>
        <w:t>nvestment of moneys in account</w:t>
      </w:r>
      <w:r>
        <w:tab/>
      </w:r>
      <w:r>
        <w:fldChar w:fldCharType="begin"/>
      </w:r>
      <w:r>
        <w:instrText xml:space="preserve"> PAGEREF _Toc486576257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IXA — Assistance to home buyers</w:t>
      </w:r>
    </w:p>
    <w:p>
      <w:pPr>
        <w:pStyle w:val="TOC8"/>
        <w:rPr>
          <w:rFonts w:asciiTheme="minorHAnsi" w:eastAsiaTheme="minorEastAsia" w:hAnsiTheme="minorHAnsi" w:cstheme="minorBidi"/>
          <w:szCs w:val="22"/>
        </w:rPr>
      </w:pPr>
      <w:r>
        <w:t>131A</w:t>
      </w:r>
      <w:r>
        <w:rPr>
          <w:snapToGrid w:val="0"/>
        </w:rPr>
        <w:t>.</w:t>
      </w:r>
      <w:r>
        <w:rPr>
          <w:snapToGrid w:val="0"/>
        </w:rPr>
        <w:tab/>
        <w:t>Terms used</w:t>
      </w:r>
      <w:r>
        <w:tab/>
      </w:r>
      <w:r>
        <w:fldChar w:fldCharType="begin"/>
      </w:r>
      <w:r>
        <w:instrText xml:space="preserve"> PAGEREF _Toc486576259 \h </w:instrText>
      </w:r>
      <w:r>
        <w:fldChar w:fldCharType="separate"/>
      </w:r>
      <w:r>
        <w:t>95</w:t>
      </w:r>
      <w:r>
        <w:fldChar w:fldCharType="end"/>
      </w:r>
    </w:p>
    <w:p>
      <w:pPr>
        <w:pStyle w:val="TOC8"/>
        <w:rPr>
          <w:rFonts w:asciiTheme="minorHAnsi" w:eastAsiaTheme="minorEastAsia" w:hAnsiTheme="minorHAnsi" w:cstheme="minorBidi"/>
          <w:szCs w:val="22"/>
        </w:rPr>
      </w:pPr>
      <w:r>
        <w:t>131B.</w:t>
      </w:r>
      <w:r>
        <w:tab/>
        <w:t>Home Buyers Assistance Account established</w:t>
      </w:r>
      <w:r>
        <w:tab/>
      </w:r>
      <w:r>
        <w:fldChar w:fldCharType="begin"/>
      </w:r>
      <w:r>
        <w:instrText xml:space="preserve"> PAGEREF _Toc486576260 \h </w:instrText>
      </w:r>
      <w:r>
        <w:fldChar w:fldCharType="separate"/>
      </w:r>
      <w:r>
        <w:t>96</w:t>
      </w:r>
      <w:r>
        <w:fldChar w:fldCharType="end"/>
      </w:r>
    </w:p>
    <w:p>
      <w:pPr>
        <w:pStyle w:val="TOC8"/>
        <w:rPr>
          <w:rFonts w:asciiTheme="minorHAnsi" w:eastAsiaTheme="minorEastAsia" w:hAnsiTheme="minorHAnsi" w:cstheme="minorBidi"/>
          <w:szCs w:val="22"/>
        </w:rPr>
      </w:pPr>
      <w:r>
        <w:t>131C</w:t>
      </w:r>
      <w:r>
        <w:rPr>
          <w:snapToGrid w:val="0"/>
        </w:rPr>
        <w:t>.</w:t>
      </w:r>
      <w:r>
        <w:rPr>
          <w:snapToGrid w:val="0"/>
        </w:rPr>
        <w:tab/>
        <w:t>Investment of moneys in account</w:t>
      </w:r>
      <w:r>
        <w:tab/>
      </w:r>
      <w:r>
        <w:fldChar w:fldCharType="begin"/>
      </w:r>
      <w:r>
        <w:instrText xml:space="preserve"> PAGEREF _Toc486576261 \h </w:instrText>
      </w:r>
      <w:r>
        <w:fldChar w:fldCharType="separate"/>
      </w:r>
      <w:r>
        <w:t>96</w:t>
      </w:r>
      <w:r>
        <w:fldChar w:fldCharType="end"/>
      </w:r>
    </w:p>
    <w:p>
      <w:pPr>
        <w:pStyle w:val="TOC8"/>
        <w:rPr>
          <w:rFonts w:asciiTheme="minorHAnsi" w:eastAsiaTheme="minorEastAsia" w:hAnsiTheme="minorHAnsi" w:cstheme="minorBidi"/>
          <w:szCs w:val="22"/>
        </w:rPr>
      </w:pPr>
      <w:r>
        <w:t>131D</w:t>
      </w:r>
      <w:r>
        <w:rPr>
          <w:snapToGrid w:val="0"/>
        </w:rPr>
        <w:t>.</w:t>
      </w:r>
      <w:r>
        <w:rPr>
          <w:snapToGrid w:val="0"/>
        </w:rPr>
        <w:tab/>
        <w:t>Moneys to be credited to account</w:t>
      </w:r>
      <w:r>
        <w:tab/>
      </w:r>
      <w:r>
        <w:fldChar w:fldCharType="begin"/>
      </w:r>
      <w:r>
        <w:instrText xml:space="preserve"> PAGEREF _Toc486576262 \h </w:instrText>
      </w:r>
      <w:r>
        <w:fldChar w:fldCharType="separate"/>
      </w:r>
      <w:r>
        <w:t>96</w:t>
      </w:r>
      <w:r>
        <w:fldChar w:fldCharType="end"/>
      </w:r>
    </w:p>
    <w:p>
      <w:pPr>
        <w:pStyle w:val="TOC8"/>
        <w:rPr>
          <w:rFonts w:asciiTheme="minorHAnsi" w:eastAsiaTheme="minorEastAsia" w:hAnsiTheme="minorHAnsi" w:cstheme="minorBidi"/>
          <w:szCs w:val="22"/>
        </w:rPr>
      </w:pPr>
      <w:r>
        <w:t>131E</w:t>
      </w:r>
      <w:r>
        <w:rPr>
          <w:snapToGrid w:val="0"/>
        </w:rPr>
        <w:t>.</w:t>
      </w:r>
      <w:r>
        <w:rPr>
          <w:snapToGrid w:val="0"/>
        </w:rPr>
        <w:tab/>
        <w:t>Expenditure from account</w:t>
      </w:r>
      <w:r>
        <w:tab/>
      </w:r>
      <w:r>
        <w:fldChar w:fldCharType="begin"/>
      </w:r>
      <w:r>
        <w:instrText xml:space="preserve"> PAGEREF _Toc486576263 \h </w:instrText>
      </w:r>
      <w:r>
        <w:fldChar w:fldCharType="separate"/>
      </w:r>
      <w:r>
        <w:t>97</w:t>
      </w:r>
      <w:r>
        <w:fldChar w:fldCharType="end"/>
      </w:r>
    </w:p>
    <w:p>
      <w:pPr>
        <w:pStyle w:val="TOC8"/>
        <w:rPr>
          <w:rFonts w:asciiTheme="minorHAnsi" w:eastAsiaTheme="minorEastAsia" w:hAnsiTheme="minorHAnsi" w:cstheme="minorBidi"/>
          <w:szCs w:val="22"/>
        </w:rPr>
      </w:pPr>
      <w:r>
        <w:t>131G</w:t>
      </w:r>
      <w:r>
        <w:rPr>
          <w:snapToGrid w:val="0"/>
        </w:rPr>
        <w:t>.</w:t>
      </w:r>
      <w:r>
        <w:rPr>
          <w:snapToGrid w:val="0"/>
        </w:rPr>
        <w:tab/>
      </w:r>
      <w:r>
        <w:t>Administration of account</w:t>
      </w:r>
      <w:r>
        <w:tab/>
      </w:r>
      <w:r>
        <w:fldChar w:fldCharType="begin"/>
      </w:r>
      <w:r>
        <w:instrText xml:space="preserve"> PAGEREF _Toc486576264 \h </w:instrText>
      </w:r>
      <w:r>
        <w:fldChar w:fldCharType="separate"/>
      </w:r>
      <w:r>
        <w:t>98</w:t>
      </w:r>
      <w:r>
        <w:fldChar w:fldCharType="end"/>
      </w:r>
    </w:p>
    <w:p>
      <w:pPr>
        <w:pStyle w:val="TOC8"/>
        <w:rPr>
          <w:rFonts w:asciiTheme="minorHAnsi" w:eastAsiaTheme="minorEastAsia" w:hAnsiTheme="minorHAnsi" w:cstheme="minorBidi"/>
          <w:szCs w:val="22"/>
        </w:rPr>
      </w:pPr>
      <w:r>
        <w:t>131L</w:t>
      </w:r>
      <w:r>
        <w:rPr>
          <w:snapToGrid w:val="0"/>
        </w:rPr>
        <w:t>.</w:t>
      </w:r>
      <w:r>
        <w:rPr>
          <w:snapToGrid w:val="0"/>
        </w:rPr>
        <w:tab/>
        <w:t>Applying for assistance for buyers of first homes</w:t>
      </w:r>
      <w:r>
        <w:tab/>
      </w:r>
      <w:r>
        <w:fldChar w:fldCharType="begin"/>
      </w:r>
      <w:r>
        <w:instrText xml:space="preserve"> PAGEREF _Toc486576265 \h </w:instrText>
      </w:r>
      <w:r>
        <w:fldChar w:fldCharType="separate"/>
      </w:r>
      <w:r>
        <w:t>98</w:t>
      </w:r>
      <w:r>
        <w:fldChar w:fldCharType="end"/>
      </w:r>
    </w:p>
    <w:p>
      <w:pPr>
        <w:pStyle w:val="TOC8"/>
        <w:rPr>
          <w:rFonts w:asciiTheme="minorHAnsi" w:eastAsiaTheme="minorEastAsia" w:hAnsiTheme="minorHAnsi" w:cstheme="minorBidi"/>
          <w:szCs w:val="22"/>
        </w:rPr>
      </w:pPr>
      <w:r>
        <w:t>131M</w:t>
      </w:r>
      <w:r>
        <w:rPr>
          <w:snapToGrid w:val="0"/>
        </w:rPr>
        <w:t>.</w:t>
      </w:r>
      <w:r>
        <w:rPr>
          <w:snapToGrid w:val="0"/>
        </w:rPr>
        <w:tab/>
      </w:r>
      <w:r>
        <w:t>Deciding applications for assistance</w:t>
      </w:r>
      <w:r>
        <w:tab/>
      </w:r>
      <w:r>
        <w:fldChar w:fldCharType="begin"/>
      </w:r>
      <w:r>
        <w:instrText xml:space="preserve"> PAGEREF _Toc486576266 \h </w:instrText>
      </w:r>
      <w:r>
        <w:fldChar w:fldCharType="separate"/>
      </w:r>
      <w:r>
        <w:t>99</w:t>
      </w:r>
      <w:r>
        <w:fldChar w:fldCharType="end"/>
      </w:r>
    </w:p>
    <w:p>
      <w:pPr>
        <w:pStyle w:val="TOC8"/>
        <w:rPr>
          <w:rFonts w:asciiTheme="minorHAnsi" w:eastAsiaTheme="minorEastAsia" w:hAnsiTheme="minorHAnsi" w:cstheme="minorBidi"/>
          <w:szCs w:val="22"/>
        </w:rPr>
      </w:pPr>
      <w:r>
        <w:t>131N</w:t>
      </w:r>
      <w:r>
        <w:rPr>
          <w:snapToGrid w:val="0"/>
        </w:rPr>
        <w:t>.</w:t>
      </w:r>
      <w:r>
        <w:rPr>
          <w:snapToGrid w:val="0"/>
        </w:rPr>
        <w:tab/>
        <w:t>Assistance, payment and application of</w:t>
      </w:r>
      <w:r>
        <w:tab/>
      </w:r>
      <w:r>
        <w:fldChar w:fldCharType="begin"/>
      </w:r>
      <w:r>
        <w:instrText xml:space="preserve"> PAGEREF _Toc486576267 \h </w:instrText>
      </w:r>
      <w:r>
        <w:fldChar w:fldCharType="separate"/>
      </w:r>
      <w:r>
        <w:t>100</w:t>
      </w:r>
      <w:r>
        <w:fldChar w:fldCharType="end"/>
      </w:r>
    </w:p>
    <w:p>
      <w:pPr>
        <w:pStyle w:val="TOC8"/>
        <w:rPr>
          <w:rFonts w:asciiTheme="minorHAnsi" w:eastAsiaTheme="minorEastAsia" w:hAnsiTheme="minorHAnsi" w:cstheme="minorBidi"/>
          <w:szCs w:val="22"/>
        </w:rPr>
      </w:pPr>
      <w:r>
        <w:t>131O</w:t>
      </w:r>
      <w:r>
        <w:rPr>
          <w:snapToGrid w:val="0"/>
        </w:rPr>
        <w:t>.</w:t>
      </w:r>
      <w:r>
        <w:rPr>
          <w:snapToGrid w:val="0"/>
        </w:rPr>
        <w:tab/>
      </w:r>
      <w:r>
        <w:t>Criteria for granting assistance, formulating</w:t>
      </w:r>
      <w:r>
        <w:tab/>
      </w:r>
      <w:r>
        <w:fldChar w:fldCharType="begin"/>
      </w:r>
      <w:r>
        <w:instrText xml:space="preserve"> PAGEREF _Toc486576268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w:t>
      </w:r>
    </w:p>
    <w:p>
      <w:pPr>
        <w:pStyle w:val="TOC8"/>
        <w:rPr>
          <w:rFonts w:asciiTheme="minorHAnsi" w:eastAsiaTheme="minorEastAsia" w:hAnsiTheme="minorHAnsi" w:cstheme="minorBidi"/>
          <w:szCs w:val="22"/>
        </w:rPr>
      </w:pPr>
      <w:r>
        <w:t>132</w:t>
      </w:r>
      <w:r>
        <w:rPr>
          <w:snapToGrid w:val="0"/>
        </w:rPr>
        <w:t>.</w:t>
      </w:r>
      <w:r>
        <w:rPr>
          <w:snapToGrid w:val="0"/>
        </w:rPr>
        <w:tab/>
        <w:t>Unlicensed assistants to be supervised etc.</w:t>
      </w:r>
      <w:r>
        <w:tab/>
      </w:r>
      <w:r>
        <w:fldChar w:fldCharType="begin"/>
      </w:r>
      <w:r>
        <w:instrText xml:space="preserve"> PAGEREF _Toc486576270 \h </w:instrText>
      </w:r>
      <w:r>
        <w:fldChar w:fldCharType="separate"/>
      </w:r>
      <w:r>
        <w:t>102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r>
      <w:r>
        <w:t>Registers of licensees etc., Commissioner to keep etc.</w:t>
      </w:r>
      <w:r>
        <w:tab/>
      </w:r>
      <w:r>
        <w:fldChar w:fldCharType="begin"/>
      </w:r>
      <w:r>
        <w:instrText xml:space="preserve"> PAGEREF _Toc486576271 \h </w:instrText>
      </w:r>
      <w:r>
        <w:fldChar w:fldCharType="separate"/>
      </w:r>
      <w:r>
        <w:t>103</w:t>
      </w:r>
      <w:r>
        <w:fldChar w:fldCharType="end"/>
      </w:r>
    </w:p>
    <w:p>
      <w:pPr>
        <w:pStyle w:val="TOC8"/>
        <w:rPr>
          <w:rFonts w:asciiTheme="minorHAnsi" w:eastAsiaTheme="minorEastAsia" w:hAnsiTheme="minorHAnsi" w:cstheme="minorBidi"/>
          <w:szCs w:val="22"/>
        </w:rPr>
      </w:pPr>
      <w:r>
        <w:t>134A.</w:t>
      </w:r>
      <w:r>
        <w:tab/>
        <w:t>Offence to give false or misleading information</w:t>
      </w:r>
      <w:r>
        <w:tab/>
      </w:r>
      <w:r>
        <w:fldChar w:fldCharType="begin"/>
      </w:r>
      <w:r>
        <w:instrText xml:space="preserve"> PAGEREF _Toc486576272 \h </w:instrText>
      </w:r>
      <w:r>
        <w:fldChar w:fldCharType="separate"/>
      </w:r>
      <w:r>
        <w:t>103</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Commissioner’s certificate</w:t>
      </w:r>
      <w:r>
        <w:tab/>
      </w:r>
      <w:r>
        <w:fldChar w:fldCharType="begin"/>
      </w:r>
      <w:r>
        <w:instrText xml:space="preserve"> PAGEREF _Toc486576273 \h </w:instrText>
      </w:r>
      <w:r>
        <w:fldChar w:fldCharType="separate"/>
      </w:r>
      <w:r>
        <w:t>104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r>
      <w:r>
        <w:t>Annual report by department</w:t>
      </w:r>
      <w:r>
        <w:tab/>
      </w:r>
      <w:r>
        <w:fldChar w:fldCharType="begin"/>
      </w:r>
      <w:r>
        <w:instrText xml:space="preserve"> PAGEREF _Toc486576274 \h </w:instrText>
      </w:r>
      <w:r>
        <w:fldChar w:fldCharType="separate"/>
      </w:r>
      <w:r>
        <w:t>105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r>
      <w:r>
        <w:t>Commissioner to report to Minister on Act’s effectiveness as to protecting against defalcations</w:t>
      </w:r>
      <w:r>
        <w:tab/>
      </w:r>
      <w:r>
        <w:fldChar w:fldCharType="begin"/>
      </w:r>
      <w:r>
        <w:instrText xml:space="preserve"> PAGEREF _Toc486576275 \h </w:instrText>
      </w:r>
      <w:r>
        <w:fldChar w:fldCharType="separate"/>
      </w:r>
      <w:r>
        <w:t>105</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Refunds of fees, Commissioner’s powers as to</w:t>
      </w:r>
      <w:r>
        <w:tab/>
      </w:r>
      <w:r>
        <w:fldChar w:fldCharType="begin"/>
      </w:r>
      <w:r>
        <w:instrText xml:space="preserve"> PAGEREF _Toc486576276 \h </w:instrText>
      </w:r>
      <w:r>
        <w:fldChar w:fldCharType="separate"/>
      </w:r>
      <w:r>
        <w:t>106</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_Toc486576277 \h </w:instrText>
      </w:r>
      <w:r>
        <w:fldChar w:fldCharType="separate"/>
      </w:r>
      <w:r>
        <w:t>106</w:t>
      </w:r>
      <w:r>
        <w:fldChar w:fldCharType="end"/>
      </w:r>
    </w:p>
    <w:p>
      <w:pPr>
        <w:pStyle w:val="TOC8"/>
        <w:rPr>
          <w:rFonts w:asciiTheme="minorHAnsi" w:eastAsiaTheme="minorEastAsia" w:hAnsiTheme="minorHAnsi" w:cstheme="minorBidi"/>
          <w:szCs w:val="22"/>
        </w:rPr>
      </w:pPr>
      <w:r>
        <w:t>138.</w:t>
      </w:r>
      <w:r>
        <w:tab/>
        <w:t>Confidentiality of information officially obtained</w:t>
      </w:r>
      <w:r>
        <w:tab/>
      </w:r>
      <w:r>
        <w:fldChar w:fldCharType="begin"/>
      </w:r>
      <w:r>
        <w:instrText xml:space="preserve"> PAGEREF _Toc486576278 \h </w:instrText>
      </w:r>
      <w:r>
        <w:fldChar w:fldCharType="separate"/>
      </w:r>
      <w:r>
        <w:t>106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Directors of body corporate, liability of</w:t>
      </w:r>
      <w:r>
        <w:tab/>
      </w:r>
      <w:r>
        <w:fldChar w:fldCharType="begin"/>
      </w:r>
      <w:r>
        <w:instrText xml:space="preserve"> PAGEREF _Toc486576279 \h </w:instrText>
      </w:r>
      <w:r>
        <w:fldChar w:fldCharType="separate"/>
      </w:r>
      <w:r>
        <w:t>106</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Other rights and remedies not affected by this Act</w:t>
      </w:r>
      <w:r>
        <w:tab/>
      </w:r>
      <w:r>
        <w:fldChar w:fldCharType="begin"/>
      </w:r>
      <w:r>
        <w:instrText xml:space="preserve"> PAGEREF _Toc486576280 \h </w:instrText>
      </w:r>
      <w:r>
        <w:fldChar w:fldCharType="separate"/>
      </w:r>
      <w:r>
        <w:t>107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Rights conferred by Act cannot be waived</w:t>
      </w:r>
      <w:r>
        <w:tab/>
      </w:r>
      <w:r>
        <w:fldChar w:fldCharType="begin"/>
      </w:r>
      <w:r>
        <w:instrText xml:space="preserve"> PAGEREF _Toc486576281 \h </w:instrText>
      </w:r>
      <w:r>
        <w:fldChar w:fldCharType="separate"/>
      </w:r>
      <w:r>
        <w:t>107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General penalty for offences</w:t>
      </w:r>
      <w:r>
        <w:tab/>
      </w:r>
      <w:r>
        <w:fldChar w:fldCharType="begin"/>
      </w:r>
      <w:r>
        <w:instrText xml:space="preserve"> PAGEREF _Toc486576282 \h </w:instrText>
      </w:r>
      <w:r>
        <w:fldChar w:fldCharType="separate"/>
      </w:r>
      <w:r>
        <w:t>107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Proceedings for offences</w:t>
      </w:r>
      <w:r>
        <w:tab/>
      </w:r>
      <w:r>
        <w:fldChar w:fldCharType="begin"/>
      </w:r>
      <w:r>
        <w:instrText xml:space="preserve"> PAGEREF _Toc486576283 \h </w:instrText>
      </w:r>
      <w:r>
        <w:fldChar w:fldCharType="separate"/>
      </w:r>
      <w:r>
        <w:t>108</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r>
      <w:r>
        <w:t>Forms</w:t>
      </w:r>
      <w:r>
        <w:tab/>
      </w:r>
      <w:r>
        <w:fldChar w:fldCharType="begin"/>
      </w:r>
      <w:r>
        <w:instrText xml:space="preserve"> PAGEREF _Toc486576284 \h </w:instrText>
      </w:r>
      <w:r>
        <w:fldChar w:fldCharType="separate"/>
      </w:r>
      <w:r>
        <w:t>108</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Regulations</w:t>
      </w:r>
      <w:r>
        <w:tab/>
      </w:r>
      <w:r>
        <w:fldChar w:fldCharType="begin"/>
      </w:r>
      <w:r>
        <w:instrText xml:space="preserve"> PAGEREF _Toc486576285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XI — Savings and transitional</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_Toc486576287 \h </w:instrText>
      </w:r>
      <w:r>
        <w:fldChar w:fldCharType="separate"/>
      </w:r>
      <w:r>
        <w:t>111</w:t>
      </w:r>
      <w:r>
        <w:fldChar w:fldCharType="end"/>
      </w:r>
    </w:p>
    <w:p>
      <w:pPr>
        <w:pStyle w:val="TOC8"/>
        <w:rPr>
          <w:rFonts w:asciiTheme="minorHAnsi" w:eastAsiaTheme="minorEastAsia" w:hAnsiTheme="minorHAnsi" w:cstheme="minorBidi"/>
          <w:szCs w:val="22"/>
        </w:rPr>
      </w:pPr>
      <w:r>
        <w:t>149.</w:t>
      </w:r>
      <w:r>
        <w:tab/>
        <w:t>Former Board abolished</w:t>
      </w:r>
      <w:r>
        <w:tab/>
      </w:r>
      <w:r>
        <w:fldChar w:fldCharType="begin"/>
      </w:r>
      <w:r>
        <w:instrText xml:space="preserve"> PAGEREF _Toc486576288 \h </w:instrText>
      </w:r>
      <w:r>
        <w:fldChar w:fldCharType="separate"/>
      </w:r>
      <w:r>
        <w:t>111</w:t>
      </w:r>
      <w:r>
        <w:fldChar w:fldCharType="end"/>
      </w:r>
    </w:p>
    <w:p>
      <w:pPr>
        <w:pStyle w:val="TOC8"/>
        <w:rPr>
          <w:rFonts w:asciiTheme="minorHAnsi" w:eastAsiaTheme="minorEastAsia" w:hAnsiTheme="minorHAnsi" w:cstheme="minorBidi"/>
          <w:szCs w:val="22"/>
        </w:rPr>
      </w:pPr>
      <w:r>
        <w:t>150.</w:t>
      </w:r>
      <w:r>
        <w:tab/>
        <w:t>References to former Board</w:t>
      </w:r>
      <w:r>
        <w:tab/>
      </w:r>
      <w:r>
        <w:fldChar w:fldCharType="begin"/>
      </w:r>
      <w:r>
        <w:instrText xml:space="preserve"> PAGEREF _Toc486576289 \h </w:instrText>
      </w:r>
      <w:r>
        <w:fldChar w:fldCharType="separate"/>
      </w:r>
      <w:r>
        <w:t>111</w:t>
      </w:r>
      <w:r>
        <w:fldChar w:fldCharType="end"/>
      </w:r>
    </w:p>
    <w:p>
      <w:pPr>
        <w:pStyle w:val="TOC8"/>
        <w:rPr>
          <w:rFonts w:asciiTheme="minorHAnsi" w:eastAsiaTheme="minorEastAsia" w:hAnsiTheme="minorHAnsi" w:cstheme="minorBidi"/>
          <w:szCs w:val="22"/>
        </w:rPr>
      </w:pPr>
      <w:r>
        <w:t>151.</w:t>
      </w:r>
      <w:r>
        <w:tab/>
        <w:t>Immunity continues</w:t>
      </w:r>
      <w:r>
        <w:tab/>
      </w:r>
      <w:r>
        <w:fldChar w:fldCharType="begin"/>
      </w:r>
      <w:r>
        <w:instrText xml:space="preserve"> PAGEREF _Toc486576290 \h </w:instrText>
      </w:r>
      <w:r>
        <w:fldChar w:fldCharType="separate"/>
      </w:r>
      <w:r>
        <w:t>112</w:t>
      </w:r>
      <w:r>
        <w:fldChar w:fldCharType="end"/>
      </w:r>
    </w:p>
    <w:p>
      <w:pPr>
        <w:pStyle w:val="TOC8"/>
        <w:rPr>
          <w:rFonts w:asciiTheme="minorHAnsi" w:eastAsiaTheme="minorEastAsia" w:hAnsiTheme="minorHAnsi" w:cstheme="minorBidi"/>
          <w:szCs w:val="22"/>
        </w:rPr>
      </w:pPr>
      <w:r>
        <w:t>152.</w:t>
      </w:r>
      <w:r>
        <w:tab/>
        <w:t>Notices by former Board</w:t>
      </w:r>
      <w:r>
        <w:tab/>
      </w:r>
      <w:r>
        <w:fldChar w:fldCharType="begin"/>
      </w:r>
      <w:r>
        <w:instrText xml:space="preserve"> PAGEREF _Toc486576291 \h </w:instrText>
      </w:r>
      <w:r>
        <w:fldChar w:fldCharType="separate"/>
      </w:r>
      <w:r>
        <w:t>112</w:t>
      </w:r>
      <w:r>
        <w:fldChar w:fldCharType="end"/>
      </w:r>
    </w:p>
    <w:p>
      <w:pPr>
        <w:pStyle w:val="TOC8"/>
        <w:rPr>
          <w:rFonts w:asciiTheme="minorHAnsi" w:eastAsiaTheme="minorEastAsia" w:hAnsiTheme="minorHAnsi" w:cstheme="minorBidi"/>
          <w:szCs w:val="22"/>
        </w:rPr>
      </w:pPr>
      <w:r>
        <w:t>153.</w:t>
      </w:r>
      <w:r>
        <w:tab/>
        <w:t>References to former Registrar</w:t>
      </w:r>
      <w:r>
        <w:tab/>
      </w:r>
      <w:r>
        <w:fldChar w:fldCharType="begin"/>
      </w:r>
      <w:r>
        <w:instrText xml:space="preserve"> PAGEREF _Toc486576292 \h </w:instrText>
      </w:r>
      <w:r>
        <w:fldChar w:fldCharType="separate"/>
      </w:r>
      <w:r>
        <w:t>112</w:t>
      </w:r>
      <w:r>
        <w:fldChar w:fldCharType="end"/>
      </w:r>
    </w:p>
    <w:p>
      <w:pPr>
        <w:pStyle w:val="TOC8"/>
        <w:rPr>
          <w:rFonts w:asciiTheme="minorHAnsi" w:eastAsiaTheme="minorEastAsia" w:hAnsiTheme="minorHAnsi" w:cstheme="minorBidi"/>
          <w:szCs w:val="22"/>
        </w:rPr>
      </w:pPr>
      <w:r>
        <w:t>154.</w:t>
      </w:r>
      <w:r>
        <w:tab/>
        <w:t>Unfinished investigations by former Board</w:t>
      </w:r>
      <w:r>
        <w:tab/>
      </w:r>
      <w:r>
        <w:fldChar w:fldCharType="begin"/>
      </w:r>
      <w:r>
        <w:instrText xml:space="preserve"> PAGEREF _Toc486576293 \h </w:instrText>
      </w:r>
      <w:r>
        <w:fldChar w:fldCharType="separate"/>
      </w:r>
      <w:r>
        <w:t>113</w:t>
      </w:r>
      <w:r>
        <w:fldChar w:fldCharType="end"/>
      </w:r>
    </w:p>
    <w:p>
      <w:pPr>
        <w:pStyle w:val="TOC8"/>
        <w:rPr>
          <w:rFonts w:asciiTheme="minorHAnsi" w:eastAsiaTheme="minorEastAsia" w:hAnsiTheme="minorHAnsi" w:cstheme="minorBidi"/>
          <w:szCs w:val="22"/>
        </w:rPr>
      </w:pPr>
      <w:r>
        <w:t>155.</w:t>
      </w:r>
      <w:r>
        <w:tab/>
        <w:t>Unfinished proceedings by former Board</w:t>
      </w:r>
      <w:r>
        <w:tab/>
      </w:r>
      <w:r>
        <w:fldChar w:fldCharType="begin"/>
      </w:r>
      <w:r>
        <w:instrText xml:space="preserve"> PAGEREF _Toc486576294 \h </w:instrText>
      </w:r>
      <w:r>
        <w:fldChar w:fldCharType="separate"/>
      </w:r>
      <w:r>
        <w:t>113</w:t>
      </w:r>
      <w:r>
        <w:fldChar w:fldCharType="end"/>
      </w:r>
    </w:p>
    <w:p>
      <w:pPr>
        <w:pStyle w:val="TOC8"/>
        <w:rPr>
          <w:rFonts w:asciiTheme="minorHAnsi" w:eastAsiaTheme="minorEastAsia" w:hAnsiTheme="minorHAnsi" w:cstheme="minorBidi"/>
          <w:szCs w:val="22"/>
        </w:rPr>
      </w:pPr>
      <w:r>
        <w:t>156.</w:t>
      </w:r>
      <w:r>
        <w:tab/>
        <w:t>Winding</w:t>
      </w:r>
      <w:r>
        <w:noBreakHyphen/>
        <w:t>up former Board</w:t>
      </w:r>
      <w:r>
        <w:tab/>
      </w:r>
      <w:r>
        <w:fldChar w:fldCharType="begin"/>
      </w:r>
      <w:r>
        <w:instrText xml:space="preserve"> PAGEREF _Toc486576295 \h </w:instrText>
      </w:r>
      <w:r>
        <w:fldChar w:fldCharType="separate"/>
      </w:r>
      <w:r>
        <w:t>113</w:t>
      </w:r>
      <w:r>
        <w:fldChar w:fldCharType="end"/>
      </w:r>
    </w:p>
    <w:p>
      <w:pPr>
        <w:pStyle w:val="TOC8"/>
        <w:rPr>
          <w:rFonts w:asciiTheme="minorHAnsi" w:eastAsiaTheme="minorEastAsia" w:hAnsiTheme="minorHAnsi" w:cstheme="minorBidi"/>
          <w:szCs w:val="22"/>
        </w:rPr>
      </w:pPr>
      <w:r>
        <w:t>157.</w:t>
      </w:r>
      <w:r>
        <w:tab/>
        <w:t>Final report by former Board</w:t>
      </w:r>
      <w:r>
        <w:tab/>
      </w:r>
      <w:r>
        <w:fldChar w:fldCharType="begin"/>
      </w:r>
      <w:r>
        <w:instrText xml:space="preserve"> PAGEREF _Toc486576296 \h </w:instrText>
      </w:r>
      <w:r>
        <w:fldChar w:fldCharType="separate"/>
      </w:r>
      <w:r>
        <w:t>115</w:t>
      </w:r>
      <w:r>
        <w:fldChar w:fldCharType="end"/>
      </w:r>
    </w:p>
    <w:p>
      <w:pPr>
        <w:pStyle w:val="TOC8"/>
        <w:rPr>
          <w:rFonts w:asciiTheme="minorHAnsi" w:eastAsiaTheme="minorEastAsia" w:hAnsiTheme="minorHAnsi" w:cstheme="minorBidi"/>
          <w:szCs w:val="22"/>
        </w:rPr>
      </w:pPr>
      <w:r>
        <w:t>158.</w:t>
      </w:r>
      <w:r>
        <w:tab/>
        <w:t>Staff of former Board</w:t>
      </w:r>
      <w:r>
        <w:tab/>
      </w:r>
      <w:r>
        <w:fldChar w:fldCharType="begin"/>
      </w:r>
      <w:r>
        <w:instrText xml:space="preserve"> PAGEREF _Toc486576297 \h </w:instrText>
      </w:r>
      <w:r>
        <w:fldChar w:fldCharType="separate"/>
      </w:r>
      <w:r>
        <w:t>115</w:t>
      </w:r>
      <w:r>
        <w:fldChar w:fldCharType="end"/>
      </w:r>
    </w:p>
    <w:p>
      <w:pPr>
        <w:pStyle w:val="TOC8"/>
        <w:rPr>
          <w:rFonts w:asciiTheme="minorHAnsi" w:eastAsiaTheme="minorEastAsia" w:hAnsiTheme="minorHAnsi" w:cstheme="minorBidi"/>
          <w:szCs w:val="22"/>
        </w:rPr>
      </w:pPr>
      <w:r>
        <w:t>159.</w:t>
      </w:r>
      <w:r>
        <w:tab/>
        <w:t>Transitional regulations</w:t>
      </w:r>
      <w:r>
        <w:tab/>
      </w:r>
      <w:r>
        <w:fldChar w:fldCharType="begin"/>
      </w:r>
      <w:r>
        <w:instrText xml:space="preserve"> PAGEREF _Toc486576298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w:t>
      </w:r>
      <w:r>
        <w:t> — </w:t>
      </w:r>
      <w:r>
        <w:rPr>
          <w:rFonts w:eastAsia="MS Mincho"/>
        </w:rPr>
        <w:t>Qualifications for grant of licence and related matters</w:t>
      </w:r>
    </w:p>
    <w:p>
      <w:pPr>
        <w:pStyle w:val="TOC8"/>
        <w:rPr>
          <w:rFonts w:asciiTheme="minorHAnsi" w:eastAsiaTheme="minorEastAsia" w:hAnsiTheme="minorHAnsi" w:cstheme="minorBidi"/>
          <w:szCs w:val="22"/>
        </w:rPr>
      </w:pPr>
      <w:r>
        <w:t>1</w:t>
      </w:r>
      <w:r>
        <w:rPr>
          <w:snapToGrid w:val="0"/>
        </w:rPr>
        <w:t>.</w:t>
      </w:r>
      <w:r>
        <w:rPr>
          <w:snapToGrid w:val="0"/>
        </w:rPr>
        <w:tab/>
        <w:t>Qualifications</w:t>
      </w:r>
      <w:r>
        <w:tab/>
      </w:r>
      <w:r>
        <w:fldChar w:fldCharType="begin"/>
      </w:r>
      <w:r>
        <w:instrText xml:space="preserve"> PAGEREF _Toc486576300 \h </w:instrText>
      </w:r>
      <w:r>
        <w:fldChar w:fldCharType="separate"/>
      </w:r>
      <w:r>
        <w:t>117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Sufficient practical experience defined</w:t>
      </w:r>
      <w:r>
        <w:tab/>
      </w:r>
      <w:r>
        <w:fldChar w:fldCharType="begin"/>
      </w:r>
      <w:r>
        <w:instrText xml:space="preserve"> PAGEREF _Toc486576301 \h </w:instrText>
      </w:r>
      <w:r>
        <w:fldChar w:fldCharType="separate"/>
      </w:r>
      <w:r>
        <w:t>118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Licence by reason of qualification under cl. 1(c)</w:t>
      </w:r>
      <w:r>
        <w:tab/>
      </w:r>
      <w:r>
        <w:fldChar w:fldCharType="begin"/>
      </w:r>
      <w:r>
        <w:instrText xml:space="preserve"> PAGEREF _Toc486576302 \h </w:instrText>
      </w:r>
      <w:r>
        <w:fldChar w:fldCharType="separate"/>
      </w:r>
      <w:r>
        <w:t>118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Licence by reason of qualification under cl. 1(d)</w:t>
      </w:r>
      <w:r>
        <w:tab/>
      </w:r>
      <w:r>
        <w:fldChar w:fldCharType="begin"/>
      </w:r>
      <w:r>
        <w:instrText xml:space="preserve"> PAGEREF _Toc486576303 \h </w:instrText>
      </w:r>
      <w:r>
        <w:fldChar w:fldCharType="separate"/>
      </w:r>
      <w:r>
        <w:t>118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Dead or incapacitated licensee, conduct of business of</w:t>
      </w:r>
      <w:r>
        <w:tab/>
      </w:r>
      <w:r>
        <w:fldChar w:fldCharType="begin"/>
      </w:r>
      <w:r>
        <w:instrText xml:space="preserve"> PAGEREF _Toc486576304 \h </w:instrText>
      </w:r>
      <w:r>
        <w:fldChar w:fldCharType="separate"/>
      </w:r>
      <w:r>
        <w:t>119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Death or withdrawal of partner in firm or director of body corporate, Commissioner to be notified</w:t>
      </w:r>
      <w:r>
        <w:tab/>
      </w:r>
      <w:r>
        <w:fldChar w:fldCharType="begin"/>
      </w:r>
      <w:r>
        <w:instrText xml:space="preserve"> PAGEREF _Toc486576305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_Toc486576307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00" w:after="960"/>
      </w:pPr>
      <w:r>
        <w:t>Real Estate and Business Agents Act 1978</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and for related purposes.</w:t>
      </w:r>
    </w:p>
    <w:p>
      <w:pPr>
        <w:pStyle w:val="Heading2"/>
      </w:pPr>
      <w:bookmarkStart w:id="3" w:name="_Toc404159018"/>
      <w:bookmarkStart w:id="4" w:name="_Toc424293044"/>
      <w:bookmarkStart w:id="5" w:name="_Toc435024407"/>
      <w:bookmarkStart w:id="6" w:name="_Toc468700915"/>
      <w:bookmarkStart w:id="7" w:name="_Toc48657612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404159019"/>
      <w:bookmarkStart w:id="9" w:name="_Toc486576123"/>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10" w:name="_Toc404159020"/>
      <w:bookmarkStart w:id="11" w:name="_Toc486576124"/>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Deleted by No. 29 of 1982 s. 3.]</w:t>
      </w:r>
    </w:p>
    <w:p>
      <w:pPr>
        <w:pStyle w:val="Heading5"/>
        <w:rPr>
          <w:snapToGrid w:val="0"/>
        </w:rPr>
      </w:pPr>
      <w:bookmarkStart w:id="12" w:name="_Toc404159021"/>
      <w:bookmarkStart w:id="13" w:name="_Toc486576125"/>
      <w:r>
        <w:rPr>
          <w:rStyle w:val="CharSectno"/>
        </w:rPr>
        <w:t>4</w:t>
      </w:r>
      <w:r>
        <w:rPr>
          <w:snapToGrid w:val="0"/>
        </w:rPr>
        <w:t>.</w:t>
      </w:r>
      <w:r>
        <w:rPr>
          <w:snapToGrid w:val="0"/>
        </w:rPr>
        <w:tab/>
        <w:t>Terms used</w:t>
      </w:r>
      <w:bookmarkEnd w:id="12"/>
      <w:bookmarkEnd w:id="13"/>
    </w:p>
    <w:p>
      <w:pPr>
        <w:pStyle w:val="Subsection"/>
        <w:keepNext/>
        <w:rPr>
          <w:snapToGrid w:val="0"/>
        </w:rPr>
      </w:pPr>
      <w:r>
        <w:rPr>
          <w:snapToGrid w:val="0"/>
        </w:rPr>
        <w:tab/>
        <w:t>(1)</w:t>
      </w:r>
      <w:r>
        <w:rPr>
          <w:snapToGrid w:val="0"/>
        </w:rPr>
        <w:tab/>
        <w:t>In this Act unless the context otherwise requires —</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70"/>
      </w:pPr>
      <w:r>
        <w:rPr>
          <w:b/>
        </w:rPr>
        <w:tab/>
      </w:r>
      <w:r>
        <w:rPr>
          <w:rStyle w:val="CharDefText"/>
        </w:rPr>
        <w:t>business</w:t>
      </w:r>
      <w:r>
        <w:t xml:space="preserve"> means the business of an agent but does not have that meaning in paragraph (a) of the interpretation </w:t>
      </w:r>
      <w:r>
        <w:rPr>
          <w:b/>
          <w:i/>
        </w:rPr>
        <w:t>business transaction</w:t>
      </w:r>
      <w:r>
        <w:t xml:space="preserve"> and does not mean the business of a developer;</w:t>
      </w:r>
    </w:p>
    <w:p>
      <w:pPr>
        <w:pStyle w:val="Defstart"/>
        <w:spacing w:before="70"/>
      </w:pPr>
      <w:r>
        <w:rPr>
          <w:b/>
        </w:rPr>
        <w:tab/>
      </w:r>
      <w:r>
        <w:rPr>
          <w:rStyle w:val="CharDefText"/>
        </w:rPr>
        <w:t>business</w:t>
      </w:r>
      <w:r>
        <w:t xml:space="preserve">, in paragraph (a) of the interpretation </w:t>
      </w:r>
      <w:r>
        <w:rPr>
          <w:b/>
          <w:i/>
        </w:rPr>
        <w:t>business transaction</w:t>
      </w:r>
      <w:r>
        <w:t xml:space="preserve"> means any commercial undertaking or enterprise in respect of any profession, trade, employment, vocation, or calling;</w:t>
      </w:r>
    </w:p>
    <w:p>
      <w:pPr>
        <w:pStyle w:val="Defstart"/>
        <w:spacing w:before="7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w:t>
      </w:r>
    </w:p>
    <w:p>
      <w:pPr>
        <w:pStyle w:val="Defpara"/>
        <w:spacing w:before="70"/>
      </w:pPr>
      <w:r>
        <w:tab/>
        <w:t>(a)</w:t>
      </w:r>
      <w:r>
        <w:tab/>
        <w:t>he is appointed by a court as a receiver or receiver and manager of the business of another; or</w:t>
      </w:r>
    </w:p>
    <w:p>
      <w:pPr>
        <w:pStyle w:val="Defpara"/>
        <w:spacing w:before="7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7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w:t>
      </w:r>
    </w:p>
    <w:p>
      <w:pPr>
        <w:pStyle w:val="Defpara"/>
        <w:spacing w:before="70"/>
      </w:pPr>
      <w:r>
        <w:tab/>
        <w:t>(a)</w:t>
      </w:r>
      <w:r>
        <w:tab/>
        <w:t>a person who does so as a member of a firm that is a licensee and the holder of a current triennial certificate unless he is also a licensee and the holder of a current triennial certificate;</w:t>
      </w:r>
    </w:p>
    <w:p>
      <w:pPr>
        <w:pStyle w:val="Defpara"/>
        <w:spacing w:before="7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70"/>
      </w:pPr>
      <w:r>
        <w:rPr>
          <w:b/>
        </w:rPr>
        <w:tab/>
      </w:r>
      <w:r>
        <w:rPr>
          <w:rStyle w:val="CharDefText"/>
        </w:rPr>
        <w:t>business transaction</w:t>
      </w:r>
      <w:r>
        <w:t> —</w:t>
      </w:r>
    </w:p>
    <w:p>
      <w:pPr>
        <w:pStyle w:val="Defpara"/>
        <w:spacing w:before="70"/>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keepNext/>
      </w:pPr>
      <w:r>
        <w:rPr>
          <w:b/>
        </w:rPr>
        <w:tab/>
      </w:r>
      <w:r>
        <w:rPr>
          <w:rStyle w:val="CharDefText"/>
        </w:rPr>
        <w:t>defalcation by a licensee</w:t>
      </w:r>
      <w:r>
        <w:t xml:space="preserve"> includes criminal or fraudulent conduct —</w:t>
      </w:r>
    </w:p>
    <w:p>
      <w:pPr>
        <w:pStyle w:val="Defpara"/>
      </w:pPr>
      <w:r>
        <w:tab/>
        <w:t>(a)</w:t>
      </w:r>
      <w:r>
        <w:tab/>
        <w:t>of a licensee; or</w:t>
      </w:r>
    </w:p>
    <w:p>
      <w:pPr>
        <w:pStyle w:val="Defpara"/>
      </w:pPr>
      <w:r>
        <w:tab/>
        <w:t>(b)</w:t>
      </w:r>
      <w:r>
        <w:tab/>
        <w:t>of any one or more of the servants or agents of the licensee; or</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spacing w:before="100"/>
      </w:pPr>
      <w:r>
        <w:rPr>
          <w:b/>
        </w:rPr>
        <w:tab/>
      </w:r>
      <w:r>
        <w:rPr>
          <w:rStyle w:val="CharDefText"/>
        </w:rPr>
        <w:t>Fidelity Account</w:t>
      </w:r>
      <w:r>
        <w:t xml:space="preserve"> means the Real Estate and Business Agents Fidelity Guarantee Account established under section 107;</w:t>
      </w:r>
    </w:p>
    <w:p>
      <w:pPr>
        <w:pStyle w:val="Defstart"/>
        <w:spacing w:before="100"/>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spacing w:before="100"/>
      </w:pPr>
      <w:r>
        <w:rPr>
          <w:b/>
        </w:rPr>
        <w:tab/>
      </w:r>
      <w:r>
        <w:rPr>
          <w:rStyle w:val="CharDefText"/>
        </w:rPr>
        <w:t>General Purpose Account</w:t>
      </w:r>
      <w:r>
        <w:t xml:space="preserve"> means the Education and General Purpose Account established under section 124A;</w:t>
      </w:r>
    </w:p>
    <w:p>
      <w:pPr>
        <w:pStyle w:val="Defstart"/>
        <w:spacing w:before="100"/>
      </w:pPr>
      <w:r>
        <w:tab/>
      </w:r>
      <w:r>
        <w:rPr>
          <w:rStyle w:val="CharDefText"/>
        </w:rPr>
        <w:t>Interest Account</w:t>
      </w:r>
      <w:r>
        <w:t xml:space="preserve"> means the Board Interest Account established under section 125(1);</w:t>
      </w:r>
    </w:p>
    <w:p>
      <w:pPr>
        <w:pStyle w:val="Defstart"/>
        <w:spacing w:before="100"/>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the licence of an agent under this Act;</w:t>
      </w:r>
    </w:p>
    <w:p>
      <w:pPr>
        <w:pStyle w:val="Defstart"/>
        <w:spacing w:before="100"/>
      </w:pPr>
      <w:r>
        <w:rPr>
          <w:b/>
        </w:rPr>
        <w:tab/>
      </w:r>
      <w:r>
        <w:rPr>
          <w:rStyle w:val="CharDefText"/>
        </w:rPr>
        <w:t>licensed</w:t>
      </w:r>
      <w:r>
        <w:t xml:space="preserve"> means licensed as an agent under this Act;</w:t>
      </w:r>
    </w:p>
    <w:p>
      <w:pPr>
        <w:pStyle w:val="Defstart"/>
        <w:spacing w:before="100"/>
      </w:pPr>
      <w:r>
        <w:rPr>
          <w:b/>
        </w:rPr>
        <w:tab/>
      </w:r>
      <w:r>
        <w:rPr>
          <w:rStyle w:val="CharDefText"/>
        </w:rPr>
        <w:t>licensee</w:t>
      </w:r>
      <w:r>
        <w:t xml:space="preserve"> means a person licensed under this Act;</w:t>
      </w:r>
    </w:p>
    <w:p>
      <w:pPr>
        <w:pStyle w:val="Defstart"/>
        <w:keepNext/>
        <w:spacing w:before="100"/>
      </w:pPr>
      <w:r>
        <w:rPr>
          <w:b/>
        </w:rPr>
        <w:tab/>
      </w:r>
      <w:r>
        <w:rPr>
          <w:rStyle w:val="CharDefText"/>
        </w:rPr>
        <w:t>member</w:t>
      </w:r>
      <w:r>
        <w:rPr>
          <w:bCs/>
        </w:rPr>
        <w:t> </w:t>
      </w:r>
      <w:r>
        <w:t>—</w:t>
      </w:r>
    </w:p>
    <w:p>
      <w:pPr>
        <w:pStyle w:val="Ednotepara"/>
        <w:spacing w:before="100"/>
        <w:ind w:left="1610" w:hanging="1610"/>
        <w:rPr>
          <w:snapToGrid w:val="0"/>
        </w:rPr>
      </w:pPr>
      <w:r>
        <w:rPr>
          <w:snapToGrid w:val="0"/>
        </w:rPr>
        <w:tab/>
        <w:t>[(a)</w:t>
      </w:r>
      <w:r>
        <w:rPr>
          <w:snapToGrid w:val="0"/>
        </w:rPr>
        <w:tab/>
        <w:t>deleted]</w:t>
      </w:r>
    </w:p>
    <w:p>
      <w:pPr>
        <w:pStyle w:val="Defpara"/>
        <w:spacing w:before="100"/>
      </w:pPr>
      <w:r>
        <w:tab/>
        <w:t>(b)</w:t>
      </w:r>
      <w:r>
        <w:tab/>
        <w:t>in Part IXA, means a member of the Advisory Committee;</w:t>
      </w:r>
    </w:p>
    <w:p>
      <w:pPr>
        <w:pStyle w:val="Defstart"/>
        <w:spacing w:before="100"/>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spacing w:before="100"/>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w:t>
      </w:r>
    </w:p>
    <w:p>
      <w:pPr>
        <w:pStyle w:val="Defpara"/>
        <w:spacing w:before="100"/>
      </w:pPr>
      <w:r>
        <w:tab/>
        <w:t>(a)</w:t>
      </w:r>
      <w:r>
        <w:tab/>
        <w:t>he is appointed by a court as a receiver or receiver and manager of the business of another person; or</w:t>
      </w:r>
    </w:p>
    <w:p>
      <w:pPr>
        <w:pStyle w:val="Defpara"/>
        <w:spacing w:before="10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100"/>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w:t>
      </w:r>
    </w:p>
    <w:p>
      <w:pPr>
        <w:pStyle w:val="Defpara"/>
        <w:spacing w:before="100"/>
      </w:pPr>
      <w:r>
        <w:tab/>
        <w:t>(a)</w:t>
      </w:r>
      <w:r>
        <w:tab/>
        <w:t>a person who does so as a member of a firm that is a licensee and the holder of a current triennial certificate, unless he is also a licensee and the holder of a current triennial certificate; and</w:t>
      </w:r>
    </w:p>
    <w:p>
      <w:pPr>
        <w:pStyle w:val="Defpara"/>
        <w:spacing w:before="10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100"/>
      </w:pPr>
      <w:r>
        <w:rPr>
          <w:b/>
        </w:rPr>
        <w:tab/>
      </w:r>
      <w:r>
        <w:rPr>
          <w:rStyle w:val="CharDefText"/>
        </w:rPr>
        <w:t>real estate transaction</w:t>
      </w:r>
      <w:r>
        <w:t> —</w:t>
      </w:r>
    </w:p>
    <w:p>
      <w:pPr>
        <w:pStyle w:val="Defpara"/>
        <w:spacing w:before="100"/>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spacing w:before="100"/>
      </w:pPr>
      <w:r>
        <w:tab/>
        <w:t>(b)</w:t>
      </w:r>
      <w:r>
        <w:tab/>
        <w:t>includes any sale, exchange, or other disposal and any purchase, exchange, or other acquisition of goods, chattels or other property relating to a real estate transaction of a kind specified in paragraph (a); and</w:t>
      </w:r>
    </w:p>
    <w:p>
      <w:pPr>
        <w:pStyle w:val="Defpara"/>
        <w:keepNext/>
        <w:spacing w:before="90"/>
      </w:pPr>
      <w:r>
        <w:tab/>
        <w:t>(ba)</w:t>
      </w:r>
      <w:r>
        <w:tab/>
        <w:t>includes the collection of rents or other payments for use or occupation; and</w:t>
      </w:r>
    </w:p>
    <w:p>
      <w:pPr>
        <w:pStyle w:val="Defpara"/>
        <w:spacing w:before="90"/>
      </w:pPr>
      <w:r>
        <w:tab/>
        <w:t>(c)</w:t>
      </w:r>
      <w:r>
        <w:tab/>
        <w:t>also includes an option to enter into a real estate transaction;</w:t>
      </w:r>
    </w:p>
    <w:p>
      <w:pPr>
        <w:pStyle w:val="Defstart"/>
        <w:spacing w:before="90"/>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spacing w:before="90"/>
      </w:pPr>
      <w:r>
        <w:rPr>
          <w:b/>
        </w:rPr>
        <w:tab/>
      </w:r>
      <w:r>
        <w:rPr>
          <w:rStyle w:val="CharDefText"/>
        </w:rPr>
        <w:t>registration</w:t>
      </w:r>
      <w:r>
        <w:t xml:space="preserve"> means registration as a sales representative under this Act;</w:t>
      </w:r>
    </w:p>
    <w:p>
      <w:pPr>
        <w:pStyle w:val="Defstart"/>
        <w:spacing w:before="90"/>
      </w:pPr>
      <w:r>
        <w:rPr>
          <w:b/>
        </w:rPr>
        <w:tab/>
      </w:r>
      <w:r>
        <w:rPr>
          <w:rStyle w:val="CharDefText"/>
        </w:rPr>
        <w:t>renewal</w:t>
      </w:r>
      <w:r>
        <w:t xml:space="preserve"> means a renewal of a triennial certificate or of a certificate of registration, as the case requires;</w:t>
      </w:r>
    </w:p>
    <w:p>
      <w:pPr>
        <w:pStyle w:val="Defstart"/>
        <w:spacing w:before="90"/>
      </w:pPr>
      <w:r>
        <w:rPr>
          <w:b/>
        </w:rPr>
        <w:tab/>
      </w:r>
      <w:r>
        <w:rPr>
          <w:rStyle w:val="CharDefText"/>
        </w:rPr>
        <w:t>repealed Act</w:t>
      </w:r>
      <w:r>
        <w:t xml:space="preserve"> means the Act repealed by section 5 </w:t>
      </w:r>
      <w:r>
        <w:rPr>
          <w:vertAlign w:val="superscript"/>
        </w:rPr>
        <w:t>4</w:t>
      </w:r>
      <w:r>
        <w:t>;</w:t>
      </w:r>
    </w:p>
    <w:p>
      <w:pPr>
        <w:pStyle w:val="Defstart"/>
        <w:spacing w:before="90"/>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spacing w:before="90"/>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spacing w:before="90"/>
      </w:pPr>
      <w:r>
        <w:rPr>
          <w:b/>
        </w:rPr>
        <w:tab/>
      </w:r>
      <w:r>
        <w:rPr>
          <w:rStyle w:val="CharDefText"/>
        </w:rPr>
        <w:t>supervisor</w:t>
      </w:r>
      <w:r>
        <w:t xml:space="preserve"> means a person appointed by the Commissioner as supervisor of the business of an agent;</w:t>
      </w:r>
    </w:p>
    <w:p>
      <w:pPr>
        <w:pStyle w:val="Defstart"/>
        <w:spacing w:before="90"/>
      </w:pPr>
      <w:r>
        <w:rPr>
          <w:b/>
        </w:rPr>
        <w:tab/>
      </w:r>
      <w:r>
        <w:rPr>
          <w:rStyle w:val="CharDefText"/>
        </w:rPr>
        <w:t>transaction</w:t>
      </w:r>
      <w:r>
        <w:t xml:space="preserve"> means a real estate transaction or a business transaction, or both a real estate transaction and a business transaction;</w:t>
      </w:r>
    </w:p>
    <w:p>
      <w:pPr>
        <w:pStyle w:val="Defstart"/>
        <w:spacing w:before="90"/>
      </w:pPr>
      <w:r>
        <w:rPr>
          <w:b/>
        </w:rPr>
        <w:tab/>
      </w:r>
      <w:r>
        <w:rPr>
          <w:rStyle w:val="CharDefText"/>
        </w:rPr>
        <w:t>Treasurer</w:t>
      </w:r>
      <w:r>
        <w:t xml:space="preserve"> means the Treasurer of the State;</w:t>
      </w:r>
    </w:p>
    <w:p>
      <w:pPr>
        <w:pStyle w:val="Defstart"/>
        <w:spacing w:before="90"/>
      </w:pPr>
      <w:r>
        <w:rPr>
          <w:b/>
        </w:rPr>
        <w:tab/>
      </w:r>
      <w:r>
        <w:rPr>
          <w:rStyle w:val="CharDefText"/>
        </w:rPr>
        <w:t>Treasury</w:t>
      </w:r>
      <w:r>
        <w:t xml:space="preserve"> means the State Treasury;</w:t>
      </w:r>
    </w:p>
    <w:p>
      <w:pPr>
        <w:pStyle w:val="Defstart"/>
        <w:spacing w:before="90"/>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w:t>
      </w:r>
    </w:p>
    <w:p>
      <w:pPr>
        <w:pStyle w:val="Indenta"/>
        <w:rPr>
          <w:snapToGrid w:val="0"/>
        </w:rPr>
      </w:pPr>
      <w:r>
        <w:rPr>
          <w:snapToGrid w:val="0"/>
        </w:rPr>
        <w:tab/>
        <w:t>(a)</w:t>
      </w:r>
      <w:r>
        <w:rPr>
          <w:snapToGrid w:val="0"/>
        </w:rPr>
        <w:tab/>
        <w:t>the consideration; or</w:t>
      </w:r>
    </w:p>
    <w:p>
      <w:pPr>
        <w:pStyle w:val="Indenta"/>
        <w:rPr>
          <w:snapToGrid w:val="0"/>
        </w:rPr>
      </w:pPr>
      <w:r>
        <w:rPr>
          <w:snapToGrid w:val="0"/>
        </w:rPr>
        <w:tab/>
        <w:t>(b)</w:t>
      </w:r>
      <w:r>
        <w:rPr>
          <w:snapToGrid w:val="0"/>
        </w:rPr>
        <w:tab/>
        <w:t>any terms payments; or</w:t>
      </w:r>
    </w:p>
    <w:p>
      <w:pPr>
        <w:pStyle w:val="Indenta"/>
        <w:rPr>
          <w:snapToGrid w:val="0"/>
        </w:rPr>
      </w:pPr>
      <w:r>
        <w:rPr>
          <w:snapToGrid w:val="0"/>
        </w:rPr>
        <w:tab/>
        <w:t>(c)</w:t>
      </w:r>
      <w:r>
        <w:rPr>
          <w:snapToGrid w:val="0"/>
        </w:rPr>
        <w:tab/>
        <w:t>any rent or other payment for use or occupation; or</w:t>
      </w:r>
    </w:p>
    <w:p>
      <w:pPr>
        <w:pStyle w:val="Indenta"/>
        <w:keepNext/>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w:t>
      </w:r>
    </w:p>
    <w:p>
      <w:pPr>
        <w:pStyle w:val="Indenta"/>
        <w:rPr>
          <w:snapToGrid w:val="0"/>
        </w:rPr>
      </w:pPr>
      <w:r>
        <w:rPr>
          <w:snapToGrid w:val="0"/>
        </w:rPr>
        <w:tab/>
        <w:t>(a)</w:t>
      </w:r>
      <w:r>
        <w:rPr>
          <w:snapToGrid w:val="0"/>
        </w:rPr>
        <w:tab/>
        <w:t>a body corporate authorised by the law of any State, or of a Territory, of the Commonwealth to apply for and obtain a grant of probate of a will when exercising its power to do so or when exercising any other power conferred on it by such a law; or</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[Section 4 amended by No. 74. of 1980 s. 3; No. 10 of 1982 s. 28; No. 29 of 1982 s. 4; No. 40 of 1985 s. 8; No. 98 of 1985 s. 3; No. 59 of 1995 s. 4; No. 26 of 1999 s. 99(2); No. 10 of 2001 s. 222; No. 21 of 2003 s. 20; No. 65 of 2003 s. 59(2); No. 74 of 2003 s. 101; No. 69 of 2006 s. 27; No. 77 of 2006 Sch. 1 cl. 147(1); No. 21 of 2008 s. 696; No. 58 of 2010 s. 81 and 134</w:t>
      </w:r>
      <w:r>
        <w:rPr>
          <w:spacing w:val="-4"/>
        </w:rPr>
        <w:t>; No. 47 of 2011 s.</w:t>
      </w:r>
      <w:r>
        <w:t> 25(2) and (3).]</w:t>
      </w:r>
    </w:p>
    <w:p>
      <w:pPr>
        <w:pStyle w:val="Ednotesection"/>
      </w:pPr>
      <w:r>
        <w:t>[</w:t>
      </w:r>
      <w:r>
        <w:rPr>
          <w:b/>
        </w:rPr>
        <w:t>5.</w:t>
      </w:r>
      <w:r>
        <w:tab/>
        <w:t>Deleted by No. 58 of 2010 s. 82.]</w:t>
      </w:r>
    </w:p>
    <w:p>
      <w:pPr>
        <w:pStyle w:val="Heading2"/>
      </w:pPr>
      <w:bookmarkStart w:id="14" w:name="_Toc404159022"/>
      <w:bookmarkStart w:id="15" w:name="_Toc424293048"/>
      <w:bookmarkStart w:id="16" w:name="_Toc435024411"/>
      <w:bookmarkStart w:id="17" w:name="_Toc468700919"/>
      <w:bookmarkStart w:id="18" w:name="_Toc486576126"/>
      <w:r>
        <w:rPr>
          <w:rStyle w:val="CharPartNo"/>
        </w:rPr>
        <w:t>Part II</w:t>
      </w:r>
      <w:r>
        <w:t> — </w:t>
      </w:r>
      <w:r>
        <w:rPr>
          <w:rStyle w:val="CharPartText"/>
        </w:rPr>
        <w:t>Advisory Committee and review</w:t>
      </w:r>
      <w:bookmarkEnd w:id="14"/>
      <w:bookmarkEnd w:id="15"/>
      <w:bookmarkEnd w:id="16"/>
      <w:bookmarkEnd w:id="17"/>
      <w:bookmarkEnd w:id="18"/>
    </w:p>
    <w:p>
      <w:pPr>
        <w:pStyle w:val="Footnoteheading"/>
        <w:tabs>
          <w:tab w:val="clear" w:pos="879"/>
          <w:tab w:val="left" w:pos="890"/>
        </w:tabs>
        <w:rPr>
          <w:snapToGrid w:val="0"/>
        </w:rPr>
      </w:pPr>
      <w:r>
        <w:rPr>
          <w:snapToGrid w:val="0"/>
        </w:rPr>
        <w:tab/>
        <w:t>[Heading inserted by No. 58 of 2010 s. 83.]</w:t>
      </w:r>
    </w:p>
    <w:p>
      <w:pPr>
        <w:pStyle w:val="Ednotedivision"/>
      </w:pPr>
      <w:r>
        <w:t>[Divisions 1, 1A and 2 (s. 6-18) deleted by No. 58 of 2010 s. 84.]</w:t>
      </w:r>
    </w:p>
    <w:p>
      <w:pPr>
        <w:pStyle w:val="Footnoteheading"/>
        <w:tabs>
          <w:tab w:val="clear" w:pos="879"/>
          <w:tab w:val="left" w:pos="890"/>
        </w:tabs>
      </w:pPr>
      <w:r>
        <w:tab/>
        <w:t>[Heading deleted by No. 58 of 2010 s. 85.]</w:t>
      </w:r>
    </w:p>
    <w:p>
      <w:pPr>
        <w:pStyle w:val="Ednotesection"/>
        <w:ind w:left="0" w:firstLine="0"/>
      </w:pPr>
      <w:r>
        <w:t>[</w:t>
      </w:r>
      <w:r>
        <w:rPr>
          <w:b/>
        </w:rPr>
        <w:t>19-21.</w:t>
      </w:r>
      <w:r>
        <w:tab/>
        <w:t>Deleted by No. 58 of 2010 s. 86.]</w:t>
      </w:r>
    </w:p>
    <w:p>
      <w:pPr>
        <w:pStyle w:val="Heading5"/>
      </w:pPr>
      <w:bookmarkStart w:id="19" w:name="_Toc404159023"/>
      <w:bookmarkStart w:id="20" w:name="_Toc486576127"/>
      <w:r>
        <w:rPr>
          <w:rStyle w:val="CharSectno"/>
        </w:rPr>
        <w:t>22</w:t>
      </w:r>
      <w:r>
        <w:t>.</w:t>
      </w:r>
      <w:r>
        <w:tab/>
        <w:t>Powers of investigation</w:t>
      </w:r>
      <w:bookmarkEnd w:id="19"/>
      <w:bookmarkEnd w:id="20"/>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22 inserted by No. 58 of 2010 s. 87.]</w:t>
      </w:r>
    </w:p>
    <w:p>
      <w:pPr>
        <w:pStyle w:val="Heading5"/>
        <w:rPr>
          <w:snapToGrid w:val="0"/>
        </w:rPr>
      </w:pPr>
      <w:bookmarkStart w:id="21" w:name="_Toc404159024"/>
      <w:bookmarkStart w:id="22" w:name="_Toc486576128"/>
      <w:r>
        <w:rPr>
          <w:rStyle w:val="CharSectno"/>
        </w:rPr>
        <w:t>23</w:t>
      </w:r>
      <w:r>
        <w:rPr>
          <w:snapToGrid w:val="0"/>
        </w:rPr>
        <w:t>.</w:t>
      </w:r>
      <w:r>
        <w:rPr>
          <w:snapToGrid w:val="0"/>
        </w:rPr>
        <w:tab/>
        <w:t>Application for review by SAT</w:t>
      </w:r>
      <w:bookmarkEnd w:id="21"/>
      <w:bookmarkEnd w:id="22"/>
    </w:p>
    <w:p>
      <w:pPr>
        <w:pStyle w:val="Subsection"/>
        <w:rPr>
          <w:snapToGrid w:val="0"/>
        </w:rPr>
      </w:pPr>
      <w:r>
        <w:rPr>
          <w:snapToGrid w:val="0"/>
        </w:rPr>
        <w:tab/>
        <w:t>(1)</w:t>
      </w:r>
      <w:r>
        <w:rPr>
          <w:snapToGrid w:val="0"/>
        </w:rPr>
        <w:tab/>
        <w:t xml:space="preserve">Any person aggrieved by a reviewable decision may apply to the State </w:t>
      </w:r>
      <w:r>
        <w:rPr>
          <w:snapToGrid w:val="0"/>
          <w:spacing w:val="-4"/>
        </w:rPr>
        <w:t>Administrative Tribunal</w:t>
      </w:r>
      <w:r>
        <w:rPr>
          <w:snapToGrid w:val="0"/>
        </w:rPr>
        <w:t xml:space="preserve"> for a review of the decision.</w:t>
      </w:r>
    </w:p>
    <w:p>
      <w:pPr>
        <w:pStyle w:val="Subsection"/>
        <w:keepNext/>
        <w:keepLines/>
      </w:pPr>
      <w:r>
        <w:tab/>
        <w:t>(2)</w:t>
      </w:r>
      <w:r>
        <w:tab/>
        <w:t>In subsection (1) —</w:t>
      </w:r>
    </w:p>
    <w:p>
      <w:pPr>
        <w:pStyle w:val="Defstart"/>
        <w:keepNext/>
        <w:keepLines/>
      </w:pPr>
      <w:r>
        <w:tab/>
      </w:r>
      <w:r>
        <w:rPr>
          <w:rStyle w:val="CharDefText"/>
        </w:rPr>
        <w:t>person aggrieved</w:t>
      </w:r>
      <w:r>
        <w:t xml:space="preserve"> means —</w:t>
      </w:r>
    </w:p>
    <w:p>
      <w:pPr>
        <w:pStyle w:val="Defpara"/>
      </w:pPr>
      <w:r>
        <w:tab/>
        <w:t>(a)</w:t>
      </w:r>
      <w:r>
        <w:tab/>
        <w:t>a person whose licence or triennial certificate is affected by a reviewable decision or who, under Part III, applies for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Commissioner’s approval under section 56 to carry on business pursuant to a franchising agreement or another party to the agreement;</w:t>
      </w:r>
    </w:p>
    <w:p>
      <w:pPr>
        <w:pStyle w:val="Defpara"/>
      </w:pPr>
      <w:r>
        <w:tab/>
        <w:t>(d)</w:t>
      </w:r>
      <w:r>
        <w:tab/>
        <w:t>a person affected by a decision of the Commissioner under Part VI;</w:t>
      </w:r>
    </w:p>
    <w:p>
      <w:pPr>
        <w:pStyle w:val="Indenta"/>
      </w:pPr>
      <w:r>
        <w:tab/>
        <w:t>(e)</w:t>
      </w:r>
      <w:r>
        <w:tab/>
        <w:t>a person claiming against, or seeking the leave of the chief executive officer to commence an action in relation to, the Fidelity Account;</w:t>
      </w:r>
    </w:p>
    <w:p>
      <w:pPr>
        <w:pStyle w:val="Defstart"/>
        <w:keepNext/>
      </w:pPr>
      <w:r>
        <w:rPr>
          <w:b/>
        </w:rPr>
        <w:tab/>
      </w:r>
      <w:r>
        <w:rPr>
          <w:rStyle w:val="CharDefText"/>
        </w:rPr>
        <w:t>reviewable decision</w:t>
      </w:r>
      <w:r>
        <w:t xml:space="preserve"> means —</w:t>
      </w:r>
    </w:p>
    <w:p>
      <w:pPr>
        <w:pStyle w:val="Defpara"/>
        <w:spacing w:before="70"/>
      </w:pPr>
      <w:r>
        <w:tab/>
        <w:t>(a)</w:t>
      </w:r>
      <w:r>
        <w:tab/>
        <w:t>a decision of the Commissioner under Part III other than a determination of the form in which an application is to be made;</w:t>
      </w:r>
    </w:p>
    <w:p>
      <w:pPr>
        <w:pStyle w:val="Defpara"/>
        <w:spacing w:before="70"/>
      </w:pPr>
      <w:r>
        <w:tab/>
        <w:t>(b)</w:t>
      </w:r>
      <w:r>
        <w:tab/>
        <w:t>a decision of the Commissioner under Part IV other than a determination of the form in which an application is to be made;</w:t>
      </w:r>
    </w:p>
    <w:p>
      <w:pPr>
        <w:pStyle w:val="Defpara"/>
        <w:spacing w:before="70"/>
      </w:pPr>
      <w:r>
        <w:tab/>
        <w:t>(c)</w:t>
      </w:r>
      <w:r>
        <w:tab/>
        <w:t>a decision of the Commissioner under section 56;</w:t>
      </w:r>
    </w:p>
    <w:p>
      <w:pPr>
        <w:pStyle w:val="Defpara"/>
        <w:spacing w:before="70"/>
      </w:pPr>
      <w:r>
        <w:tab/>
        <w:t>(d)</w:t>
      </w:r>
      <w:r>
        <w:tab/>
        <w:t>a decision of the Commissioner under Part VI;</w:t>
      </w:r>
    </w:p>
    <w:p>
      <w:pPr>
        <w:pStyle w:val="Defpara"/>
        <w:spacing w:before="70"/>
      </w:pPr>
      <w:r>
        <w:tab/>
        <w:t>(e)</w:t>
      </w:r>
      <w:r>
        <w:tab/>
        <w:t>a decision of the chief executive officer under section 116 or 117.</w:t>
      </w:r>
    </w:p>
    <w:p>
      <w:pPr>
        <w:pStyle w:val="Subsection"/>
      </w:pPr>
      <w:r>
        <w:tab/>
        <w:t>(3)</w:t>
      </w:r>
      <w:r>
        <w:tab/>
        <w:t xml:space="preserve">If a decision under section 116 or 117 has not been made before the commencement of the </w:t>
      </w:r>
      <w:r>
        <w:rPr>
          <w:i/>
          <w:snapToGrid w:val="0"/>
        </w:rPr>
        <w:t>Consumer Protection Legislation Amendment Act 2014</w:t>
      </w:r>
      <w:r>
        <w:rPr>
          <w:snapToGrid w:val="0"/>
        </w:rPr>
        <w:t xml:space="preserve"> section 69</w:t>
      </w:r>
      <w:r>
        <w:t xml:space="preserve"> in respect of a claim made before 1 July 2011, the decision — </w:t>
      </w:r>
    </w:p>
    <w:p>
      <w:pPr>
        <w:pStyle w:val="Defpara"/>
      </w:pPr>
      <w:r>
        <w:tab/>
        <w:t>(a)</w:t>
      </w:r>
      <w:r>
        <w:tab/>
        <w:t>may be made on or after that commencement by the Commissioner; and</w:t>
      </w:r>
    </w:p>
    <w:p>
      <w:pPr>
        <w:pStyle w:val="Defpara"/>
      </w:pPr>
      <w:r>
        <w:tab/>
        <w:t>(b)</w:t>
      </w:r>
      <w:r>
        <w:tab/>
        <w:t>is taken to be a reviewable decision for the purposes of this section.</w:t>
      </w:r>
    </w:p>
    <w:p>
      <w:pPr>
        <w:pStyle w:val="Subsection"/>
      </w:pPr>
      <w:r>
        <w:tab/>
        <w:t>(4)</w:t>
      </w:r>
      <w:r>
        <w:tab/>
        <w:t xml:space="preserve">A decision under section 116 or 117 made by the chief executive officer before the commencement of the </w:t>
      </w:r>
      <w:r>
        <w:rPr>
          <w:i/>
          <w:snapToGrid w:val="0"/>
        </w:rPr>
        <w:t>Consumer Protection Legislation Amendment Act 2014</w:t>
      </w:r>
      <w:r>
        <w:rPr>
          <w:snapToGrid w:val="0"/>
        </w:rPr>
        <w:t xml:space="preserve"> section 69</w:t>
      </w:r>
      <w:r>
        <w:t xml:space="preserve"> is taken to be a reviewable decision made immediately after that commencement for the purposes of this section.</w:t>
      </w:r>
    </w:p>
    <w:p>
      <w:pPr>
        <w:pStyle w:val="Subsection"/>
      </w:pPr>
      <w:r>
        <w:tab/>
        <w:t>(5)</w:t>
      </w:r>
      <w:r>
        <w:tab/>
        <w:t xml:space="preserve">The amendments made to this section by the </w:t>
      </w:r>
      <w:r>
        <w:rPr>
          <w:i/>
          <w:snapToGrid w:val="0"/>
        </w:rPr>
        <w:t>Consumer Protection Legislation Amendment Act 2014</w:t>
      </w:r>
      <w:r>
        <w:rPr>
          <w:snapToGrid w:val="0"/>
        </w:rPr>
        <w:t xml:space="preserve"> section 69 do not affect the review of a reviewable decision by the State Administrative Tribunal that began, but was not completed, before the commencement of that section.</w:t>
      </w:r>
    </w:p>
    <w:p>
      <w:pPr>
        <w:pStyle w:val="Footnotesection"/>
      </w:pPr>
      <w:r>
        <w:tab/>
        <w:t>[Section 23 inserted by No. 55 of 2004 s. 1005; amended by No. 77 of 2006 Sch. 1 cl. 147(2); No. 58 of 2010 s. 88 and 134; No. 23 of 2014 s. 69.]</w:t>
      </w:r>
    </w:p>
    <w:p>
      <w:pPr>
        <w:pStyle w:val="Heading3"/>
        <w:rPr>
          <w:snapToGrid w:val="0"/>
        </w:rPr>
      </w:pPr>
      <w:bookmarkStart w:id="23" w:name="_Toc404159025"/>
      <w:bookmarkStart w:id="24" w:name="_Toc424293051"/>
      <w:bookmarkStart w:id="25" w:name="_Toc435024414"/>
      <w:bookmarkStart w:id="26" w:name="_Toc468700922"/>
      <w:bookmarkStart w:id="27" w:name="_Toc486576129"/>
      <w:r>
        <w:rPr>
          <w:rStyle w:val="CharDivNo"/>
        </w:rPr>
        <w:t>Division 4</w:t>
      </w:r>
      <w:r>
        <w:rPr>
          <w:snapToGrid w:val="0"/>
        </w:rPr>
        <w:t> — </w:t>
      </w:r>
      <w:r>
        <w:rPr>
          <w:rStyle w:val="CharDivText"/>
        </w:rPr>
        <w:t>Advisory committees</w:t>
      </w:r>
      <w:bookmarkEnd w:id="23"/>
      <w:bookmarkEnd w:id="24"/>
      <w:bookmarkEnd w:id="25"/>
      <w:bookmarkEnd w:id="26"/>
      <w:bookmarkEnd w:id="27"/>
    </w:p>
    <w:p>
      <w:pPr>
        <w:pStyle w:val="Footnoteheading"/>
        <w:keepNext/>
        <w:tabs>
          <w:tab w:val="clear" w:pos="879"/>
          <w:tab w:val="left" w:pos="890"/>
        </w:tabs>
      </w:pPr>
      <w:r>
        <w:tab/>
        <w:t>[Heading inserted by No. 34 of 1998 s. 9.]</w:t>
      </w:r>
    </w:p>
    <w:p>
      <w:pPr>
        <w:pStyle w:val="Heading5"/>
      </w:pPr>
      <w:bookmarkStart w:id="28" w:name="_Toc404159026"/>
      <w:bookmarkStart w:id="29" w:name="_Toc486576130"/>
      <w:r>
        <w:rPr>
          <w:rStyle w:val="CharSectno"/>
        </w:rPr>
        <w:t>23A</w:t>
      </w:r>
      <w:r>
        <w:t>.</w:t>
      </w:r>
      <w:r>
        <w:tab/>
        <w:t>Advisory committees, establishing etc.</w:t>
      </w:r>
      <w:bookmarkEnd w:id="28"/>
      <w:bookmarkEnd w:id="29"/>
    </w:p>
    <w:p>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Ednotesubsection"/>
      </w:pPr>
      <w:r>
        <w:tab/>
        <w:t>[(3)</w:t>
      </w:r>
      <w:r>
        <w:tab/>
        <w:t>deleted]</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department is to provide a committee with such support services as it may reasonably require.</w:t>
      </w:r>
    </w:p>
    <w:p>
      <w:pPr>
        <w:pStyle w:val="Subsection"/>
      </w:pPr>
      <w:r>
        <w:tab/>
        <w:t>(8)</w:t>
      </w:r>
      <w:r>
        <w:tab/>
        <w:t>A member of a committee —</w:t>
      </w:r>
    </w:p>
    <w:p>
      <w:pPr>
        <w:pStyle w:val="Indenta"/>
      </w:pPr>
      <w:r>
        <w:tab/>
        <w:t>(a)</w:t>
      </w:r>
      <w:r>
        <w:tab/>
        <w:t>is to hold office for such term not exceeding 2 years as is specified in the instrument appointing the member; and</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keepNext/>
      </w:pPr>
      <w:r>
        <w:tab/>
        <w:t>(11)</w:t>
      </w:r>
      <w:r>
        <w:tab/>
        <w:t>If a member of a committee —</w:t>
      </w:r>
    </w:p>
    <w:p>
      <w:pPr>
        <w:pStyle w:val="Indenta"/>
      </w:pPr>
      <w:r>
        <w:tab/>
        <w:t>(a)</w:t>
      </w:r>
      <w:r>
        <w:tab/>
        <w:t xml:space="preserve">is, according to the </w:t>
      </w:r>
      <w:r>
        <w:rPr>
          <w:i/>
          <w:iCs/>
        </w:rPr>
        <w:t>Interpretation Act 1984</w:t>
      </w:r>
      <w:r>
        <w:t xml:space="preserve"> section 13D, a bankrupt or a person whose affairs are under insolvency laws; or</w:t>
      </w:r>
    </w:p>
    <w:p>
      <w:pPr>
        <w:pStyle w:val="Indenta"/>
      </w:pPr>
      <w:r>
        <w:tab/>
        <w:t>(b)</w:t>
      </w:r>
      <w:r>
        <w:tab/>
        <w:t>becomes permanently incapable of performing his or her duties as a member; or</w:t>
      </w:r>
    </w:p>
    <w:p>
      <w:pPr>
        <w:pStyle w:val="Indenta"/>
      </w:pPr>
      <w:r>
        <w:tab/>
        <w:t>(c)</w:t>
      </w:r>
      <w:r>
        <w:tab/>
        <w:t>resigns his or her office by signing a written notice of resignation and giving it to the Minister; or</w:t>
      </w:r>
    </w:p>
    <w:p>
      <w:pPr>
        <w:pStyle w:val="Indenta"/>
      </w:pPr>
      <w:r>
        <w:tab/>
        <w:t>(d)</w:t>
      </w:r>
      <w:r>
        <w:tab/>
        <w:t>absents himself or herself, except on leave duly granted by the Minister, from meetings of that committee for a period exceeding 8 weeks; or</w:t>
      </w:r>
    </w:p>
    <w:p>
      <w:pPr>
        <w:pStyle w:val="Indenta"/>
      </w:pPr>
      <w:r>
        <w:tab/>
        <w:t>(e)</w:t>
      </w:r>
      <w:r>
        <w:tab/>
        <w:t>ceases to hold any qualification required for becoming or being a member,</w:t>
      </w:r>
    </w:p>
    <w:p>
      <w:pPr>
        <w:pStyle w:val="Subsection"/>
      </w:pPr>
      <w:r>
        <w:tab/>
      </w:r>
      <w:r>
        <w:tab/>
        <w:t>the office of that member becomes vacant.</w:t>
      </w:r>
    </w:p>
    <w:p>
      <w:pPr>
        <w:pStyle w:val="Footnotesection"/>
      </w:pPr>
      <w:r>
        <w:tab/>
        <w:t>[Section 23A inserted by No. 34 of 1998 s. 9; amended by No. 77 of 2006 Sch. 1 cl. 147(2); No. 39 of 2010 s. 89; No. 58 of 2010 s. 89 and 134.]</w:t>
      </w:r>
    </w:p>
    <w:p>
      <w:pPr>
        <w:pStyle w:val="Heading5"/>
      </w:pPr>
      <w:bookmarkStart w:id="30" w:name="_Toc404159027"/>
      <w:bookmarkStart w:id="31" w:name="_Toc486576131"/>
      <w:r>
        <w:rPr>
          <w:rStyle w:val="CharSectno"/>
        </w:rPr>
        <w:t>23B</w:t>
      </w:r>
      <w:r>
        <w:t>.</w:t>
      </w:r>
      <w:r>
        <w:tab/>
        <w:t>Minister may delegate s. 23A powers</w:t>
      </w:r>
      <w:bookmarkEnd w:id="30"/>
      <w:bookmarkEnd w:id="31"/>
    </w:p>
    <w:p>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 amended by No. 58 of 2010 s. 134.]</w:t>
      </w:r>
    </w:p>
    <w:p>
      <w:pPr>
        <w:pStyle w:val="Heading3"/>
      </w:pPr>
      <w:bookmarkStart w:id="32" w:name="_Toc404159028"/>
      <w:bookmarkStart w:id="33" w:name="_Toc424293054"/>
      <w:bookmarkStart w:id="34" w:name="_Toc435024417"/>
      <w:bookmarkStart w:id="35" w:name="_Toc468700925"/>
      <w:bookmarkStart w:id="36" w:name="_Toc486576132"/>
      <w:r>
        <w:rPr>
          <w:rStyle w:val="CharDivNo"/>
        </w:rPr>
        <w:t>Division 5</w:t>
      </w:r>
      <w:r>
        <w:t> — </w:t>
      </w:r>
      <w:r>
        <w:rPr>
          <w:rStyle w:val="CharDivText"/>
        </w:rPr>
        <w:t>Conciliation</w:t>
      </w:r>
      <w:bookmarkEnd w:id="32"/>
      <w:bookmarkEnd w:id="33"/>
      <w:bookmarkEnd w:id="34"/>
      <w:bookmarkEnd w:id="35"/>
      <w:bookmarkEnd w:id="36"/>
    </w:p>
    <w:p>
      <w:pPr>
        <w:pStyle w:val="Footnoteheading"/>
        <w:keepNext/>
        <w:tabs>
          <w:tab w:val="clear" w:pos="879"/>
          <w:tab w:val="left" w:pos="890"/>
        </w:tabs>
      </w:pPr>
      <w:r>
        <w:tab/>
        <w:t>[Heading inserted by No. 34 of 1998 s. 9.]</w:t>
      </w:r>
    </w:p>
    <w:p>
      <w:pPr>
        <w:pStyle w:val="Heading5"/>
      </w:pPr>
      <w:bookmarkStart w:id="37" w:name="_Toc404159029"/>
      <w:bookmarkStart w:id="38" w:name="_Toc486576133"/>
      <w:r>
        <w:rPr>
          <w:rStyle w:val="CharSectno"/>
        </w:rPr>
        <w:t>23C</w:t>
      </w:r>
      <w:r>
        <w:t>.</w:t>
      </w:r>
      <w:r>
        <w:tab/>
        <w:t>Conciliation of disputes about transactions</w:t>
      </w:r>
      <w:bookmarkEnd w:id="37"/>
      <w:bookmarkEnd w:id="38"/>
    </w:p>
    <w:p>
      <w:pPr>
        <w:pStyle w:val="Subsection"/>
      </w:pPr>
      <w:r>
        <w:tab/>
        <w:t>(1)</w:t>
      </w:r>
      <w:r>
        <w:tab/>
        <w:t>The Commissioner, or a person nominated by the Commissioner, may act as a conciliator for the purposes of this section.</w:t>
      </w:r>
    </w:p>
    <w:p>
      <w:pPr>
        <w:pStyle w:val="Subsection"/>
      </w:pPr>
      <w:r>
        <w:tab/>
        <w:t>(2)</w:t>
      </w:r>
      <w:r>
        <w:tab/>
        <w:t>A conciliator’s function is to assist the parties to a transaction to resolve a dispute about the transaction by —</w:t>
      </w:r>
    </w:p>
    <w:p>
      <w:pPr>
        <w:pStyle w:val="Indenta"/>
      </w:pPr>
      <w:r>
        <w:tab/>
        <w:t>(a)</w:t>
      </w:r>
      <w:r>
        <w:tab/>
        <w:t>arranging for the parties to hold informal discussions about the dispute; and</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Evidence of anything said or admitted during the conciliation process —</w:t>
      </w:r>
    </w:p>
    <w:p>
      <w:pPr>
        <w:pStyle w:val="Indenta"/>
        <w:keepNext/>
      </w:pPr>
      <w:r>
        <w:tab/>
        <w:t>(a)</w:t>
      </w:r>
      <w:r>
        <w:tab/>
        <w:t>is not admissible in proceedings before a court or tribunal, whether under this Act or any other law; and</w:t>
      </w:r>
    </w:p>
    <w:p>
      <w:pPr>
        <w:pStyle w:val="Indenta"/>
      </w:pPr>
      <w:r>
        <w:tab/>
        <w:t>(b)</w:t>
      </w:r>
      <w:r>
        <w:tab/>
        <w:t>cannot be used as ground for an investigation or inquiry under this Act.</w:t>
      </w:r>
    </w:p>
    <w:p>
      <w:pPr>
        <w:pStyle w:val="Subsection"/>
        <w:keepNext/>
      </w:pPr>
      <w:r>
        <w:tab/>
        <w:t>(6)</w:t>
      </w:r>
      <w:r>
        <w:tab/>
        <w:t>Nothing in this section —</w:t>
      </w:r>
    </w:p>
    <w:p>
      <w:pPr>
        <w:pStyle w:val="Indenta"/>
      </w:pPr>
      <w:r>
        <w:tab/>
        <w:t>(a)</w:t>
      </w:r>
      <w:r>
        <w:tab/>
        <w:t>prevents the parties to a transaction from resolving a dispute in relation to the transaction at any time, whether through the conciliation process or not; or</w:t>
      </w:r>
    </w:p>
    <w:p>
      <w:pPr>
        <w:pStyle w:val="Indenta"/>
      </w:pPr>
      <w:r>
        <w:tab/>
        <w:t>(b)</w:t>
      </w:r>
      <w:r>
        <w:tab/>
        <w:t>requires a conciliator to participate in a conciliation process or the department to provide officers or other persons for that purpose.</w:t>
      </w:r>
    </w:p>
    <w:p>
      <w:pPr>
        <w:pStyle w:val="Subsection"/>
      </w:pPr>
      <w:r>
        <w:tab/>
        <w:t>(7)</w:t>
      </w:r>
      <w:r>
        <w:tab/>
        <w:t>In this section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 No. 58 of 2010 s. 90.]</w:t>
      </w:r>
    </w:p>
    <w:p>
      <w:pPr>
        <w:pStyle w:val="Heading2"/>
      </w:pPr>
      <w:bookmarkStart w:id="39" w:name="_Toc404159030"/>
      <w:bookmarkStart w:id="40" w:name="_Toc424293056"/>
      <w:bookmarkStart w:id="41" w:name="_Toc435024419"/>
      <w:bookmarkStart w:id="42" w:name="_Toc468700927"/>
      <w:bookmarkStart w:id="43" w:name="_Toc486576134"/>
      <w:r>
        <w:rPr>
          <w:rStyle w:val="CharPartNo"/>
        </w:rPr>
        <w:t>Part III</w:t>
      </w:r>
      <w:r>
        <w:rPr>
          <w:rStyle w:val="CharDivNo"/>
        </w:rPr>
        <w:t> </w:t>
      </w:r>
      <w:r>
        <w:t>—</w:t>
      </w:r>
      <w:r>
        <w:rPr>
          <w:rStyle w:val="CharDivText"/>
        </w:rPr>
        <w:t> </w:t>
      </w:r>
      <w:r>
        <w:rPr>
          <w:rStyle w:val="CharPartText"/>
        </w:rPr>
        <w:t>Licensing of agents</w:t>
      </w:r>
      <w:bookmarkEnd w:id="39"/>
      <w:bookmarkEnd w:id="40"/>
      <w:bookmarkEnd w:id="41"/>
      <w:bookmarkEnd w:id="42"/>
      <w:bookmarkEnd w:id="43"/>
    </w:p>
    <w:p>
      <w:pPr>
        <w:pStyle w:val="Heading5"/>
        <w:rPr>
          <w:snapToGrid w:val="0"/>
        </w:rPr>
      </w:pPr>
      <w:bookmarkStart w:id="44" w:name="_Toc404159031"/>
      <w:bookmarkStart w:id="45" w:name="_Toc486576135"/>
      <w:r>
        <w:rPr>
          <w:rStyle w:val="CharSectno"/>
        </w:rPr>
        <w:t>24</w:t>
      </w:r>
      <w:r>
        <w:rPr>
          <w:snapToGrid w:val="0"/>
        </w:rPr>
        <w:t>.</w:t>
      </w:r>
      <w:r>
        <w:rPr>
          <w:snapToGrid w:val="0"/>
        </w:rPr>
        <w:tab/>
        <w:t>Applications for licences</w:t>
      </w:r>
      <w:bookmarkEnd w:id="44"/>
      <w:bookmarkEnd w:id="45"/>
    </w:p>
    <w:p>
      <w:pPr>
        <w:pStyle w:val="Subsection"/>
        <w:spacing w:before="120"/>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 (3)</w:t>
      </w:r>
      <w:r>
        <w:tab/>
        <w:t>deleted]</w:t>
      </w:r>
    </w:p>
    <w:p>
      <w:pPr>
        <w:pStyle w:val="Subsection"/>
        <w:spacing w:before="120"/>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spacing w:before="120"/>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spacing w:before="100"/>
        <w:ind w:left="890" w:hanging="890"/>
      </w:pPr>
      <w:r>
        <w:tab/>
        <w:t>[Section 24 amended by No. 58 of 2010 s. 91 and 134; No. 23 of 2014 s. 70; No. 44 of 2016 s. 30.]</w:t>
      </w:r>
    </w:p>
    <w:p>
      <w:pPr>
        <w:pStyle w:val="Ednotesection"/>
      </w:pPr>
      <w:r>
        <w:t>[</w:t>
      </w:r>
      <w:r>
        <w:rPr>
          <w:b/>
        </w:rPr>
        <w:t>25.</w:t>
      </w:r>
      <w:r>
        <w:tab/>
        <w:t>Deleted by No. 23 of 2014 s. 71.]</w:t>
      </w:r>
    </w:p>
    <w:p>
      <w:pPr>
        <w:pStyle w:val="Heading5"/>
        <w:rPr>
          <w:snapToGrid w:val="0"/>
        </w:rPr>
      </w:pPr>
      <w:bookmarkStart w:id="46" w:name="_Toc404159032"/>
      <w:bookmarkStart w:id="47" w:name="_Toc486576136"/>
      <w:r>
        <w:rPr>
          <w:rStyle w:val="CharSectno"/>
        </w:rPr>
        <w:t>26</w:t>
      </w:r>
      <w:r>
        <w:rPr>
          <w:snapToGrid w:val="0"/>
        </w:rPr>
        <w:t>.</w:t>
      </w:r>
      <w:r>
        <w:rPr>
          <w:snapToGrid w:val="0"/>
        </w:rPr>
        <w:tab/>
        <w:t>Real estate agents and business agents must be licensed</w:t>
      </w:r>
      <w:bookmarkEnd w:id="46"/>
      <w:bookmarkEnd w:id="47"/>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[Section 26 amended by No. 43 of 1994 s. 11.]</w:t>
      </w:r>
    </w:p>
    <w:p>
      <w:pPr>
        <w:pStyle w:val="Heading5"/>
        <w:rPr>
          <w:snapToGrid w:val="0"/>
        </w:rPr>
      </w:pPr>
      <w:bookmarkStart w:id="48" w:name="_Toc404159033"/>
      <w:bookmarkStart w:id="49" w:name="_Toc486576137"/>
      <w:r>
        <w:rPr>
          <w:rStyle w:val="CharSectno"/>
        </w:rPr>
        <w:t>27</w:t>
      </w:r>
      <w:r>
        <w:rPr>
          <w:snapToGrid w:val="0"/>
        </w:rPr>
        <w:t>.</w:t>
      </w:r>
      <w:r>
        <w:rPr>
          <w:snapToGrid w:val="0"/>
        </w:rPr>
        <w:tab/>
        <w:t>Natural persons, licensing of</w:t>
      </w:r>
      <w:bookmarkEnd w:id="48"/>
      <w:bookmarkEnd w:id="49"/>
    </w:p>
    <w:p>
      <w:pPr>
        <w:pStyle w:val="Subsection"/>
        <w:keepNext/>
        <w:rPr>
          <w:snapToGrid w:val="0"/>
        </w:rPr>
      </w:pPr>
      <w:r>
        <w:rPr>
          <w:snapToGrid w:val="0"/>
        </w:rPr>
        <w:tab/>
        <w:t>(1)</w:t>
      </w:r>
      <w:r>
        <w:rPr>
          <w:snapToGrid w:val="0"/>
        </w:rPr>
        <w:tab/>
        <w:t xml:space="preserve">Subject to this Act, a person, not being a body corporate,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 and</w:t>
      </w:r>
    </w:p>
    <w:p>
      <w:pPr>
        <w:pStyle w:val="Indenta"/>
        <w:rPr>
          <w:snapToGrid w:val="0"/>
        </w:rPr>
      </w:pPr>
      <w:r>
        <w:rPr>
          <w:snapToGrid w:val="0"/>
        </w:rPr>
        <w:tab/>
        <w:t>(b)</w:t>
      </w:r>
      <w:r>
        <w:rPr>
          <w:snapToGrid w:val="0"/>
        </w:rPr>
        <w:tab/>
        <w:t>he is a person of good character and repute and a fit and proper person to hold a licence; and</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w:t>
      </w:r>
      <w:r>
        <w:t xml:space="preserve">Schedule 1 </w:t>
      </w:r>
      <w:r>
        <w:rPr>
          <w:snapToGrid w:val="0"/>
        </w:rPr>
        <w:t>but subject to the savings and exceptions provided in this Act.</w:t>
      </w:r>
    </w:p>
    <w:p>
      <w:pPr>
        <w:pStyle w:val="Footnotesection"/>
      </w:pPr>
      <w:r>
        <w:tab/>
        <w:t>[Section 27 amended by No. 58 of 2010 s. 134; No. 23 of 2014 s. 72.]</w:t>
      </w:r>
    </w:p>
    <w:p>
      <w:pPr>
        <w:pStyle w:val="Heading5"/>
        <w:rPr>
          <w:snapToGrid w:val="0"/>
        </w:rPr>
      </w:pPr>
      <w:bookmarkStart w:id="50" w:name="_Toc404159034"/>
      <w:bookmarkStart w:id="51" w:name="_Toc486576138"/>
      <w:r>
        <w:rPr>
          <w:rStyle w:val="CharSectno"/>
        </w:rPr>
        <w:t>28</w:t>
      </w:r>
      <w:r>
        <w:rPr>
          <w:snapToGrid w:val="0"/>
        </w:rPr>
        <w:t>.</w:t>
      </w:r>
      <w:r>
        <w:rPr>
          <w:snapToGrid w:val="0"/>
        </w:rPr>
        <w:tab/>
        <w:t>Firms, licensing of</w:t>
      </w:r>
      <w:bookmarkEnd w:id="50"/>
      <w:bookmarkEnd w:id="51"/>
    </w:p>
    <w:p>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pPr>
      <w:r>
        <w:tab/>
        <w:t>[Section 28 amended by No. 58 of 2010 s. 134.]</w:t>
      </w:r>
    </w:p>
    <w:p>
      <w:pPr>
        <w:pStyle w:val="Heading5"/>
        <w:rPr>
          <w:snapToGrid w:val="0"/>
        </w:rPr>
      </w:pPr>
      <w:bookmarkStart w:id="52" w:name="_Toc404159035"/>
      <w:bookmarkStart w:id="53" w:name="_Toc486576139"/>
      <w:r>
        <w:rPr>
          <w:rStyle w:val="CharSectno"/>
        </w:rPr>
        <w:t>29</w:t>
      </w:r>
      <w:r>
        <w:rPr>
          <w:snapToGrid w:val="0"/>
        </w:rPr>
        <w:t>.</w:t>
      </w:r>
      <w:r>
        <w:rPr>
          <w:snapToGrid w:val="0"/>
        </w:rPr>
        <w:tab/>
        <w:t>Bodies corporate, licensing of</w:t>
      </w:r>
      <w:bookmarkEnd w:id="52"/>
      <w:bookmarkEnd w:id="53"/>
    </w:p>
    <w:p>
      <w:pPr>
        <w:pStyle w:val="Subsection"/>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that it has sufficient material and financial resources available to it to comply with the requirements of this Act; and</w:t>
      </w:r>
    </w:p>
    <w:p>
      <w:pPr>
        <w:pStyle w:val="Indenta"/>
        <w:spacing w:before="60"/>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pPr>
        <w:pStyle w:val="Indenta"/>
        <w:spacing w:before="60"/>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spacing w:before="80"/>
        <w:ind w:left="890" w:hanging="890"/>
      </w:pPr>
      <w:r>
        <w:tab/>
        <w:t>[Section 29 amended by No. 58 of 2010 s. 134.]</w:t>
      </w:r>
    </w:p>
    <w:p>
      <w:pPr>
        <w:pStyle w:val="Heading5"/>
        <w:spacing w:before="180"/>
        <w:rPr>
          <w:snapToGrid w:val="0"/>
        </w:rPr>
      </w:pPr>
      <w:bookmarkStart w:id="54" w:name="_Toc404159036"/>
      <w:bookmarkStart w:id="55" w:name="_Toc486576140"/>
      <w:r>
        <w:rPr>
          <w:rStyle w:val="CharSectno"/>
        </w:rPr>
        <w:t>30</w:t>
      </w:r>
      <w:r>
        <w:rPr>
          <w:snapToGrid w:val="0"/>
        </w:rPr>
        <w:t>.</w:t>
      </w:r>
      <w:r>
        <w:rPr>
          <w:snapToGrid w:val="0"/>
        </w:rPr>
        <w:tab/>
        <w:t>Licence, effect of</w:t>
      </w:r>
      <w:bookmarkEnd w:id="54"/>
      <w:bookmarkEnd w:id="55"/>
    </w:p>
    <w:p>
      <w:pPr>
        <w:pStyle w:val="Subsection"/>
        <w:spacing w:before="130"/>
        <w:rPr>
          <w:snapToGrid w:val="0"/>
        </w:rPr>
      </w:pPr>
      <w:r>
        <w:rPr>
          <w:snapToGrid w:val="0"/>
        </w:rPr>
        <w:tab/>
        <w:t>(1)</w:t>
      </w:r>
      <w:r>
        <w:rPr>
          <w:snapToGrid w:val="0"/>
        </w:rPr>
        <w:tab/>
        <w:t>Subject to this Act, a licence is continuous.</w:t>
      </w:r>
    </w:p>
    <w:p>
      <w:pPr>
        <w:pStyle w:val="Subsection"/>
        <w:spacing w:before="130"/>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spacing w:before="130"/>
        <w:rPr>
          <w:snapToGrid w:val="0"/>
        </w:rPr>
      </w:pPr>
      <w:r>
        <w:rPr>
          <w:snapToGrid w:val="0"/>
        </w:rPr>
        <w:tab/>
        <w:t>(2a)</w:t>
      </w:r>
      <w:r>
        <w:rPr>
          <w:snapToGrid w:val="0"/>
        </w:rPr>
        <w:tab/>
        <w:t>A licensee ceases to be licensed if the licensee —</w:t>
      </w:r>
    </w:p>
    <w:p>
      <w:pPr>
        <w:pStyle w:val="Indenta"/>
        <w:spacing w:before="60"/>
        <w:rPr>
          <w:snapToGrid w:val="0"/>
        </w:rPr>
      </w:pPr>
      <w:r>
        <w:rPr>
          <w:snapToGrid w:val="0"/>
        </w:rPr>
        <w:tab/>
        <w:t>(a)</w:t>
      </w:r>
      <w:r>
        <w:rPr>
          <w:snapToGrid w:val="0"/>
        </w:rPr>
        <w:tab/>
        <w:t>does not hold a current triennial certificate in respect of the licence; and</w:t>
      </w:r>
    </w:p>
    <w:p>
      <w:pPr>
        <w:pStyle w:val="Indenta"/>
        <w:spacing w:before="60"/>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pPr>
        <w:pStyle w:val="Subsection"/>
        <w:spacing w:before="130"/>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spacing w:before="130"/>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spacing w:before="80"/>
        <w:ind w:left="890" w:hanging="890"/>
      </w:pPr>
      <w:r>
        <w:tab/>
        <w:t>[Section 30 amended by No. 74 of 1980 s. 5; No. 56 of 1995 s. 40; No. 55 of 2004 s. 1006; No. 58 of 2010 s. 134.]</w:t>
      </w:r>
    </w:p>
    <w:p>
      <w:pPr>
        <w:pStyle w:val="Heading5"/>
        <w:rPr>
          <w:snapToGrid w:val="0"/>
        </w:rPr>
      </w:pPr>
      <w:bookmarkStart w:id="56" w:name="_Toc404159037"/>
      <w:bookmarkStart w:id="57" w:name="_Toc486576141"/>
      <w:r>
        <w:rPr>
          <w:rStyle w:val="CharSectno"/>
        </w:rPr>
        <w:t>31</w:t>
      </w:r>
      <w:r>
        <w:rPr>
          <w:snapToGrid w:val="0"/>
        </w:rPr>
        <w:t>.</w:t>
      </w:r>
      <w:r>
        <w:rPr>
          <w:snapToGrid w:val="0"/>
        </w:rPr>
        <w:tab/>
        <w:t>Triennial certificates, grant and renewal of</w:t>
      </w:r>
      <w:bookmarkEnd w:id="56"/>
      <w:bookmarkEnd w:id="57"/>
    </w:p>
    <w:p>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w:t>
      </w:r>
      <w:r>
        <w:t>Commissioner</w:t>
      </w:r>
      <w:r>
        <w:rPr>
          <w:snapToGrid w:val="0"/>
        </w:rPr>
        <w:t xml:space="preserve"> may refuse to renew a licensee’s triennial certificate if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 No. 58 of 2010 s. 134.]</w:t>
      </w:r>
    </w:p>
    <w:p>
      <w:pPr>
        <w:pStyle w:val="Heading5"/>
        <w:rPr>
          <w:snapToGrid w:val="0"/>
        </w:rPr>
      </w:pPr>
      <w:bookmarkStart w:id="58" w:name="_Toc404159038"/>
      <w:bookmarkStart w:id="59" w:name="_Toc486576142"/>
      <w:r>
        <w:rPr>
          <w:rStyle w:val="CharSectno"/>
        </w:rPr>
        <w:t>32</w:t>
      </w:r>
      <w:r>
        <w:rPr>
          <w:snapToGrid w:val="0"/>
        </w:rPr>
        <w:t>.</w:t>
      </w:r>
      <w:r>
        <w:rPr>
          <w:snapToGrid w:val="0"/>
        </w:rPr>
        <w:tab/>
        <w:t>Triennial certificates, late renewal of</w:t>
      </w:r>
      <w:bookmarkEnd w:id="58"/>
      <w:bookmarkEnd w:id="59"/>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 xml:space="preserve">Where a triennial certificate is renewed more than one month but not more than 12 months after the day on which the triennial certificate expired and the licensee satisfies the </w:t>
      </w:r>
      <w:r>
        <w:t>Commissioner</w:t>
      </w:r>
      <w:r>
        <w:rPr>
          <w:snapToGrid w:val="0"/>
        </w:rPr>
        <w:t xml:space="preserve"> that there is reasonable cause for the renewal to be deemed to take effect for the period of 3 years on and from the day next succeeding the day on which the triennial certificate expired, the </w:t>
      </w:r>
      <w:r>
        <w:t>Commissioner</w:t>
      </w:r>
      <w:r>
        <w:rPr>
          <w:snapToGrid w:val="0"/>
        </w:rPr>
        <w:t xml:space="preserve"> shall so determine and the renewal shall take effect accordingly.</w:t>
      </w:r>
    </w:p>
    <w:p>
      <w:pPr>
        <w:pStyle w:val="Footnotesection"/>
      </w:pPr>
      <w:r>
        <w:tab/>
        <w:t>[Section 32 amended by No. 58 of 2010 s. 134.]</w:t>
      </w:r>
    </w:p>
    <w:p>
      <w:pPr>
        <w:pStyle w:val="Heading5"/>
        <w:rPr>
          <w:snapToGrid w:val="0"/>
        </w:rPr>
      </w:pPr>
      <w:bookmarkStart w:id="60" w:name="_Toc404159039"/>
      <w:bookmarkStart w:id="61" w:name="_Toc486576143"/>
      <w:r>
        <w:rPr>
          <w:rStyle w:val="CharSectno"/>
        </w:rPr>
        <w:t>33</w:t>
      </w:r>
      <w:r>
        <w:rPr>
          <w:snapToGrid w:val="0"/>
        </w:rPr>
        <w:t>.</w:t>
      </w:r>
      <w:r>
        <w:rPr>
          <w:snapToGrid w:val="0"/>
        </w:rPr>
        <w:tab/>
        <w:t>Triennial certificates expired for over a year, applications to renew</w:t>
      </w:r>
      <w:bookmarkEnd w:id="60"/>
      <w:bookmarkEnd w:id="61"/>
    </w:p>
    <w:p>
      <w:pPr>
        <w:pStyle w:val="Subsection"/>
        <w:rPr>
          <w:snapToGrid w:val="0"/>
        </w:rPr>
      </w:pPr>
      <w:r>
        <w:rPr>
          <w:snapToGrid w:val="0"/>
        </w:rPr>
        <w:tab/>
        <w:t>(1)</w:t>
      </w:r>
      <w:r>
        <w:rPr>
          <w:snapToGrid w:val="0"/>
        </w:rPr>
        <w:tab/>
        <w:t xml:space="preserve">Where a triennial certificate expires and is not renewed within the period of 12 months thereafter an application for a renewal shall be made at least one month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(2)</w:t>
      </w:r>
      <w:r>
        <w:rPr>
          <w:snapToGrid w:val="0"/>
        </w:rPr>
        <w:tab/>
        <w:t xml:space="preserve">The application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[(3)</w:t>
      </w:r>
      <w:r>
        <w:tab/>
        <w:t>deleted]</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33 amended by No. 58 of 2010 s. 93 and 134; No. 44 of 2016 s. 31.]</w:t>
      </w:r>
    </w:p>
    <w:p>
      <w:pPr>
        <w:pStyle w:val="Heading5"/>
        <w:rPr>
          <w:snapToGrid w:val="0"/>
        </w:rPr>
      </w:pPr>
      <w:bookmarkStart w:id="62" w:name="_Toc404159040"/>
      <w:bookmarkStart w:id="63" w:name="_Toc486576144"/>
      <w:r>
        <w:rPr>
          <w:rStyle w:val="CharSectno"/>
        </w:rPr>
        <w:t>34</w:t>
      </w:r>
      <w:r>
        <w:rPr>
          <w:snapToGrid w:val="0"/>
        </w:rPr>
        <w:t>.</w:t>
      </w:r>
      <w:r>
        <w:rPr>
          <w:snapToGrid w:val="0"/>
        </w:rPr>
        <w:tab/>
        <w:t>Conditions on licences and triennial certificates</w:t>
      </w:r>
      <w:bookmarkEnd w:id="62"/>
      <w:bookmarkEnd w:id="63"/>
    </w:p>
    <w:p>
      <w:pPr>
        <w:pStyle w:val="Subsection"/>
        <w:rPr>
          <w:snapToGrid w:val="0"/>
        </w:rPr>
      </w:pPr>
      <w:r>
        <w:rPr>
          <w:snapToGrid w:val="0"/>
        </w:rPr>
        <w:tab/>
        <w:t>(1)</w:t>
      </w:r>
      <w:r>
        <w:rPr>
          <w:snapToGrid w:val="0"/>
        </w:rPr>
        <w:tab/>
        <w:t>A licensee shall comply with the provisions of this Act and the agents code of conduct.</w:t>
      </w:r>
    </w:p>
    <w:p>
      <w:pPr>
        <w:pStyle w:val="Subsection"/>
        <w:rPr>
          <w:snapToGrid w:val="0"/>
        </w:rPr>
      </w:pPr>
      <w:r>
        <w:rPr>
          <w:snapToGrid w:val="0"/>
        </w:rPr>
        <w:tab/>
        <w:t>(2)</w:t>
      </w:r>
      <w:r>
        <w:rPr>
          <w:snapToGrid w:val="0"/>
        </w:rPr>
        <w:tab/>
        <w:t xml:space="preserve">The </w:t>
      </w:r>
      <w:r>
        <w:t>Commissioner</w:t>
      </w:r>
      <w:r>
        <w:rPr>
          <w:snapToGrid w:val="0"/>
        </w:rPr>
        <w:t xml:space="preserve"> may grant a licence or grant or renew a triennial certificate subject to such special conditions as the </w:t>
      </w:r>
      <w:r>
        <w:t>Commissioner</w:t>
      </w:r>
      <w:r>
        <w:rPr>
          <w:snapToGrid w:val="0"/>
        </w:rPr>
        <w:t xml:space="preserve"> thinks fit.</w:t>
      </w:r>
    </w:p>
    <w:p>
      <w:pPr>
        <w:pStyle w:val="Subsection"/>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[Section 34 amended by No. 56 of 1995 s. 41; No. 34 of 1998 s. 11; No. 58 of 2010 s. 134.]</w:t>
      </w:r>
    </w:p>
    <w:p>
      <w:pPr>
        <w:pStyle w:val="Heading5"/>
      </w:pPr>
      <w:bookmarkStart w:id="64" w:name="_Toc404159041"/>
      <w:bookmarkStart w:id="65" w:name="_Toc486576145"/>
      <w:r>
        <w:rPr>
          <w:rStyle w:val="CharSectno"/>
        </w:rPr>
        <w:t>34A</w:t>
      </w:r>
      <w:r>
        <w:rPr>
          <w:snapToGrid w:val="0"/>
        </w:rPr>
        <w:t>.</w:t>
      </w:r>
      <w:r>
        <w:tab/>
        <w:t>Commissioner may grant licence or triennial certificate without notice to applicant</w:t>
      </w:r>
      <w:bookmarkEnd w:id="64"/>
      <w:bookmarkEnd w:id="65"/>
    </w:p>
    <w:p>
      <w:pPr>
        <w:pStyle w:val="Subsection"/>
      </w:pPr>
      <w:r>
        <w:tab/>
        <w:t>(1)</w:t>
      </w:r>
      <w:r>
        <w:tab/>
        <w:t>Subject to this Part, a licence may be granted and a triennial certificate may be granted or renewed (as long as special conditions are not imposed or changed), by the 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pPr>
        <w:pStyle w:val="Footnotesection"/>
      </w:pPr>
      <w:r>
        <w:tab/>
        <w:t>[Section 34A inserted by No. 55 of 2004 s. 1008; amended by No. 58 of 2010 s. 94 and 134; No. 23 of 2014 s. 73.]</w:t>
      </w:r>
    </w:p>
    <w:p>
      <w:pPr>
        <w:pStyle w:val="Heading5"/>
      </w:pPr>
      <w:bookmarkStart w:id="66" w:name="_Toc404159042"/>
      <w:bookmarkStart w:id="67" w:name="_Toc486576146"/>
      <w:r>
        <w:rPr>
          <w:rStyle w:val="CharSectno"/>
        </w:rPr>
        <w:t>34B</w:t>
      </w:r>
      <w:r>
        <w:t>.</w:t>
      </w:r>
      <w:r>
        <w:tab/>
        <w:t>SAT may suspend licence in some cases</w:t>
      </w:r>
      <w:bookmarkEnd w:id="66"/>
      <w:bookmarkEnd w:id="67"/>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68" w:name="_Toc404159043"/>
      <w:bookmarkStart w:id="69" w:name="_Toc486576147"/>
      <w:r>
        <w:rPr>
          <w:rStyle w:val="CharSectno"/>
        </w:rPr>
        <w:t>35</w:t>
      </w:r>
      <w:r>
        <w:rPr>
          <w:snapToGrid w:val="0"/>
        </w:rPr>
        <w:t>.</w:t>
      </w:r>
      <w:r>
        <w:rPr>
          <w:snapToGrid w:val="0"/>
        </w:rPr>
        <w:tab/>
      </w:r>
      <w:r>
        <w:t>Licensee to notify Commissioner when commencing or ceasing business</w:t>
      </w:r>
      <w:bookmarkEnd w:id="68"/>
      <w:bookmarkEnd w:id="69"/>
    </w:p>
    <w:p>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pPr>
        <w:pStyle w:val="Footnotesection"/>
      </w:pPr>
      <w:r>
        <w:tab/>
        <w:t>[Section 35 amended by No. 58 of 2010 s. 134.]</w:t>
      </w:r>
    </w:p>
    <w:p>
      <w:pPr>
        <w:pStyle w:val="Heading5"/>
        <w:rPr>
          <w:snapToGrid w:val="0"/>
        </w:rPr>
      </w:pPr>
      <w:bookmarkStart w:id="70" w:name="_Toc404159044"/>
      <w:bookmarkStart w:id="71" w:name="_Toc486576148"/>
      <w:r>
        <w:rPr>
          <w:rStyle w:val="CharSectno"/>
        </w:rPr>
        <w:t>36</w:t>
      </w:r>
      <w:r>
        <w:rPr>
          <w:snapToGrid w:val="0"/>
        </w:rPr>
        <w:t>.</w:t>
      </w:r>
      <w:r>
        <w:rPr>
          <w:snapToGrid w:val="0"/>
        </w:rPr>
        <w:tab/>
        <w:t>Registered office of licensee</w:t>
      </w:r>
      <w:bookmarkEnd w:id="70"/>
      <w:bookmarkEnd w:id="71"/>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r>
        <w:tab/>
        <w:t>[Section 36 amended by No. 43 of 1994 s. 11; No. 58 of 2010 s. 134.]</w:t>
      </w:r>
    </w:p>
    <w:p>
      <w:pPr>
        <w:pStyle w:val="Heading5"/>
        <w:rPr>
          <w:snapToGrid w:val="0"/>
        </w:rPr>
      </w:pPr>
      <w:bookmarkStart w:id="72" w:name="_Toc404159045"/>
      <w:bookmarkStart w:id="73" w:name="_Toc486576149"/>
      <w:r>
        <w:rPr>
          <w:rStyle w:val="CharSectno"/>
        </w:rPr>
        <w:t>37</w:t>
      </w:r>
      <w:r>
        <w:rPr>
          <w:snapToGrid w:val="0"/>
        </w:rPr>
        <w:t>.</w:t>
      </w:r>
      <w:r>
        <w:rPr>
          <w:snapToGrid w:val="0"/>
        </w:rPr>
        <w:tab/>
        <w:t>Branch office of licensee</w:t>
      </w:r>
      <w:bookmarkEnd w:id="72"/>
      <w:bookmarkEnd w:id="73"/>
    </w:p>
    <w:p>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[Section 37 amended by No. 43 of 1994 s. 11; No. 58 of 2010 s. 134.]</w:t>
      </w:r>
    </w:p>
    <w:p>
      <w:pPr>
        <w:pStyle w:val="Heading5"/>
        <w:rPr>
          <w:snapToGrid w:val="0"/>
        </w:rPr>
      </w:pPr>
      <w:bookmarkStart w:id="74" w:name="_Toc404159046"/>
      <w:bookmarkStart w:id="75" w:name="_Toc486576150"/>
      <w:r>
        <w:rPr>
          <w:rStyle w:val="CharSectno"/>
        </w:rPr>
        <w:t>38</w:t>
      </w:r>
      <w:r>
        <w:rPr>
          <w:snapToGrid w:val="0"/>
        </w:rPr>
        <w:t>.</w:t>
      </w:r>
      <w:r>
        <w:rPr>
          <w:snapToGrid w:val="0"/>
        </w:rPr>
        <w:tab/>
        <w:t>Triennial certificates, contents of</w:t>
      </w:r>
      <w:bookmarkEnd w:id="74"/>
      <w:bookmarkEnd w:id="75"/>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76" w:name="_Toc404159047"/>
      <w:bookmarkStart w:id="77" w:name="_Toc486576151"/>
      <w:r>
        <w:rPr>
          <w:rStyle w:val="CharSectno"/>
        </w:rPr>
        <w:t>39</w:t>
      </w:r>
      <w:r>
        <w:rPr>
          <w:snapToGrid w:val="0"/>
        </w:rPr>
        <w:t>.</w:t>
      </w:r>
      <w:r>
        <w:rPr>
          <w:snapToGrid w:val="0"/>
        </w:rPr>
        <w:tab/>
        <w:t>Licence and triennial certificate not transferable etc.</w:t>
      </w:r>
      <w:bookmarkEnd w:id="76"/>
      <w:bookmarkEnd w:id="77"/>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[Section 39 amended by No. 43 of 1994 s. 11.]</w:t>
      </w:r>
    </w:p>
    <w:p>
      <w:pPr>
        <w:pStyle w:val="Heading5"/>
      </w:pPr>
      <w:bookmarkStart w:id="78" w:name="_Toc404159048"/>
      <w:bookmarkStart w:id="79" w:name="_Toc486576152"/>
      <w:r>
        <w:rPr>
          <w:rStyle w:val="CharSectno"/>
        </w:rPr>
        <w:t>40A</w:t>
      </w:r>
      <w:r>
        <w:t>.</w:t>
      </w:r>
      <w:r>
        <w:tab/>
        <w:t>Duplicate licence, certificate of registration or triennial certificate</w:t>
      </w:r>
      <w:bookmarkEnd w:id="78"/>
      <w:bookmarkEnd w:id="79"/>
    </w:p>
    <w:p>
      <w:pPr>
        <w:pStyle w:val="Subsection"/>
      </w:pPr>
      <w:r>
        <w:tab/>
      </w:r>
      <w:r>
        <w:tab/>
        <w:t>If a licence, certificate of registration or triennial certificate has been lost or destroyed, the Commissioner may issue a duplicate licence, duplicate certificate of registration or duplicate triennial certificate on payment by the holder of the prescribed fee.</w:t>
      </w:r>
    </w:p>
    <w:p>
      <w:pPr>
        <w:pStyle w:val="Footnotesection"/>
      </w:pPr>
      <w:r>
        <w:tab/>
        <w:t>[Section 40A inserted by No. 23 of 2014 s. 74.]</w:t>
      </w:r>
    </w:p>
    <w:p>
      <w:pPr>
        <w:pStyle w:val="Heading5"/>
        <w:rPr>
          <w:snapToGrid w:val="0"/>
        </w:rPr>
      </w:pPr>
      <w:bookmarkStart w:id="80" w:name="_Toc404159049"/>
      <w:bookmarkStart w:id="81" w:name="_Toc486576153"/>
      <w:r>
        <w:rPr>
          <w:rStyle w:val="CharSectno"/>
        </w:rPr>
        <w:t>40</w:t>
      </w:r>
      <w:r>
        <w:rPr>
          <w:snapToGrid w:val="0"/>
        </w:rPr>
        <w:t>.</w:t>
      </w:r>
      <w:r>
        <w:rPr>
          <w:snapToGrid w:val="0"/>
        </w:rPr>
        <w:tab/>
        <w:t>Business names, use of by licensees</w:t>
      </w:r>
      <w:bookmarkEnd w:id="80"/>
      <w:bookmarkEnd w:id="81"/>
    </w:p>
    <w:p>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[Section 40 amended by No. 43 of 1994 s. 11; No. 58 of 2010 s. 134.]</w:t>
      </w:r>
    </w:p>
    <w:p>
      <w:pPr>
        <w:pStyle w:val="Heading5"/>
        <w:rPr>
          <w:snapToGrid w:val="0"/>
        </w:rPr>
      </w:pPr>
      <w:bookmarkStart w:id="82" w:name="_Toc404159050"/>
      <w:bookmarkStart w:id="83" w:name="_Toc486576154"/>
      <w:r>
        <w:rPr>
          <w:rStyle w:val="CharSectno"/>
        </w:rPr>
        <w:t>41</w:t>
      </w:r>
      <w:r>
        <w:rPr>
          <w:snapToGrid w:val="0"/>
        </w:rPr>
        <w:t>.</w:t>
      </w:r>
      <w:r>
        <w:rPr>
          <w:snapToGrid w:val="0"/>
        </w:rPr>
        <w:tab/>
        <w:t>Notices to be exhibited at offices; particulars to appear on documents</w:t>
      </w:r>
      <w:bookmarkEnd w:id="82"/>
      <w:bookmarkEnd w:id="83"/>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84" w:name="_Toc404159051"/>
      <w:bookmarkStart w:id="85" w:name="_Toc424293077"/>
      <w:bookmarkStart w:id="86" w:name="_Toc435024440"/>
      <w:bookmarkStart w:id="87" w:name="_Toc468700948"/>
      <w:bookmarkStart w:id="88" w:name="_Toc486576155"/>
      <w:r>
        <w:rPr>
          <w:rStyle w:val="CharPartNo"/>
        </w:rPr>
        <w:t>Part IV</w:t>
      </w:r>
      <w:r>
        <w:rPr>
          <w:rStyle w:val="CharDivNo"/>
        </w:rPr>
        <w:t> </w:t>
      </w:r>
      <w:r>
        <w:t>—</w:t>
      </w:r>
      <w:r>
        <w:rPr>
          <w:rStyle w:val="CharDivText"/>
        </w:rPr>
        <w:t> </w:t>
      </w:r>
      <w:r>
        <w:rPr>
          <w:rStyle w:val="CharPartText"/>
        </w:rPr>
        <w:t>Registration of sales representatives</w:t>
      </w:r>
      <w:bookmarkEnd w:id="84"/>
      <w:bookmarkEnd w:id="85"/>
      <w:bookmarkEnd w:id="86"/>
      <w:bookmarkEnd w:id="87"/>
      <w:bookmarkEnd w:id="88"/>
    </w:p>
    <w:p>
      <w:pPr>
        <w:pStyle w:val="Heading5"/>
        <w:rPr>
          <w:snapToGrid w:val="0"/>
        </w:rPr>
      </w:pPr>
      <w:bookmarkStart w:id="89" w:name="_Toc404159052"/>
      <w:bookmarkStart w:id="90" w:name="_Toc486576156"/>
      <w:r>
        <w:rPr>
          <w:rStyle w:val="CharSectno"/>
        </w:rPr>
        <w:t>42</w:t>
      </w:r>
      <w:r>
        <w:rPr>
          <w:snapToGrid w:val="0"/>
        </w:rPr>
        <w:t>.</w:t>
      </w:r>
      <w:r>
        <w:rPr>
          <w:snapToGrid w:val="0"/>
        </w:rPr>
        <w:tab/>
        <w:t>Natural persons only may be registered</w:t>
      </w:r>
      <w:bookmarkEnd w:id="89"/>
      <w:bookmarkEnd w:id="90"/>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91" w:name="_Toc404159053"/>
      <w:bookmarkStart w:id="92" w:name="_Toc486576157"/>
      <w:r>
        <w:rPr>
          <w:rStyle w:val="CharSectno"/>
        </w:rPr>
        <w:t>43</w:t>
      </w:r>
      <w:r>
        <w:rPr>
          <w:snapToGrid w:val="0"/>
        </w:rPr>
        <w:t>.</w:t>
      </w:r>
      <w:r>
        <w:rPr>
          <w:snapToGrid w:val="0"/>
        </w:rPr>
        <w:tab/>
        <w:t>Applications for registration</w:t>
      </w:r>
      <w:bookmarkEnd w:id="91"/>
      <w:bookmarkEnd w:id="92"/>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w:t>
      </w:r>
      <w:r>
        <w:tab/>
        <w:t>deleted]</w:t>
      </w:r>
    </w:p>
    <w:p>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(4)</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43 amended by No. 58 of 2010 s. 95 and 134; No. 44 of 2016 s. 32.]</w:t>
      </w:r>
    </w:p>
    <w:p>
      <w:pPr>
        <w:pStyle w:val="Heading5"/>
        <w:rPr>
          <w:snapToGrid w:val="0"/>
        </w:rPr>
      </w:pPr>
      <w:bookmarkStart w:id="93" w:name="_Toc404159054"/>
      <w:bookmarkStart w:id="94" w:name="_Toc486576158"/>
      <w:r>
        <w:rPr>
          <w:rStyle w:val="CharSectno"/>
        </w:rPr>
        <w:t>44</w:t>
      </w:r>
      <w:r>
        <w:rPr>
          <w:snapToGrid w:val="0"/>
        </w:rPr>
        <w:t>.</w:t>
      </w:r>
      <w:r>
        <w:rPr>
          <w:snapToGrid w:val="0"/>
        </w:rPr>
        <w:tab/>
        <w:t>Real estate sales representatives must be registered etc.</w:t>
      </w:r>
      <w:bookmarkEnd w:id="93"/>
      <w:bookmarkEnd w:id="94"/>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[Section 44 amended by No. 43 of 1994 s. 11.]</w:t>
      </w:r>
    </w:p>
    <w:p>
      <w:pPr>
        <w:pStyle w:val="Heading5"/>
        <w:rPr>
          <w:snapToGrid w:val="0"/>
        </w:rPr>
      </w:pPr>
      <w:bookmarkStart w:id="95" w:name="_Toc404159055"/>
      <w:bookmarkStart w:id="96" w:name="_Toc486576159"/>
      <w:r>
        <w:rPr>
          <w:rStyle w:val="CharSectno"/>
        </w:rPr>
        <w:t>45</w:t>
      </w:r>
      <w:r>
        <w:rPr>
          <w:snapToGrid w:val="0"/>
        </w:rPr>
        <w:t>.</w:t>
      </w:r>
      <w:r>
        <w:rPr>
          <w:snapToGrid w:val="0"/>
        </w:rPr>
        <w:tab/>
        <w:t>Business sales representatives must be registered etc.</w:t>
      </w:r>
      <w:bookmarkEnd w:id="95"/>
      <w:bookmarkEnd w:id="96"/>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spacing w:before="180"/>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[Section 45 amended by No. 43 of 1994 s. 11.]</w:t>
      </w:r>
    </w:p>
    <w:p>
      <w:pPr>
        <w:pStyle w:val="Heading5"/>
        <w:spacing w:before="260"/>
        <w:rPr>
          <w:snapToGrid w:val="0"/>
        </w:rPr>
      </w:pPr>
      <w:bookmarkStart w:id="97" w:name="_Toc404159056"/>
      <w:bookmarkStart w:id="98" w:name="_Toc486576160"/>
      <w:r>
        <w:rPr>
          <w:rStyle w:val="CharSectno"/>
        </w:rPr>
        <w:t>46</w:t>
      </w:r>
      <w:r>
        <w:rPr>
          <w:snapToGrid w:val="0"/>
        </w:rPr>
        <w:t>.</w:t>
      </w:r>
      <w:r>
        <w:rPr>
          <w:snapToGrid w:val="0"/>
        </w:rPr>
        <w:tab/>
        <w:t>Partners and directors of licensees to be registered in certain cases</w:t>
      </w:r>
      <w:bookmarkEnd w:id="97"/>
      <w:bookmarkEnd w:id="98"/>
    </w:p>
    <w:p>
      <w:pPr>
        <w:pStyle w:val="Subsection"/>
        <w:keepNext/>
        <w:spacing w:before="180"/>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[Section 46 amended by No. 43 of 1994 s. 11.]</w:t>
      </w:r>
    </w:p>
    <w:p>
      <w:pPr>
        <w:pStyle w:val="Heading5"/>
        <w:spacing w:before="260"/>
        <w:rPr>
          <w:snapToGrid w:val="0"/>
        </w:rPr>
      </w:pPr>
      <w:bookmarkStart w:id="99" w:name="_Toc404159057"/>
      <w:bookmarkStart w:id="100" w:name="_Toc486576161"/>
      <w:r>
        <w:rPr>
          <w:rStyle w:val="CharSectno"/>
        </w:rPr>
        <w:t>47</w:t>
      </w:r>
      <w:r>
        <w:rPr>
          <w:snapToGrid w:val="0"/>
        </w:rPr>
        <w:t>.</w:t>
      </w:r>
      <w:r>
        <w:rPr>
          <w:snapToGrid w:val="0"/>
        </w:rPr>
        <w:tab/>
        <w:t>Natural persons, grant of certificate of registration to</w:t>
      </w:r>
      <w:bookmarkEnd w:id="99"/>
      <w:bookmarkEnd w:id="100"/>
    </w:p>
    <w:p>
      <w:pPr>
        <w:pStyle w:val="Subsection"/>
        <w:spacing w:before="180"/>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the prescribed fee for that certificate shall be granted and may hold a certificate of registration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Footnotesection"/>
      </w:pPr>
      <w:r>
        <w:tab/>
        <w:t>[Section 47 amended by No. 58 of 2010 s. 134.]</w:t>
      </w:r>
    </w:p>
    <w:p>
      <w:pPr>
        <w:pStyle w:val="Heading5"/>
        <w:rPr>
          <w:snapToGrid w:val="0"/>
        </w:rPr>
      </w:pPr>
      <w:bookmarkStart w:id="101" w:name="_Toc404159058"/>
      <w:bookmarkStart w:id="102" w:name="_Toc486576162"/>
      <w:r>
        <w:rPr>
          <w:rStyle w:val="CharSectno"/>
        </w:rPr>
        <w:t>48</w:t>
      </w:r>
      <w:r>
        <w:rPr>
          <w:snapToGrid w:val="0"/>
        </w:rPr>
        <w:t>.</w:t>
      </w:r>
      <w:r>
        <w:rPr>
          <w:snapToGrid w:val="0"/>
        </w:rPr>
        <w:tab/>
        <w:t>Certificates of registration, duration and renewal of</w:t>
      </w:r>
      <w:bookmarkEnd w:id="101"/>
      <w:bookmarkEnd w:id="102"/>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 xml:space="preserve">The </w:t>
      </w:r>
      <w:r>
        <w:t>Commissioner</w:t>
      </w:r>
      <w:r>
        <w:rPr>
          <w:snapToGrid w:val="0"/>
        </w:rPr>
        <w:t xml:space="preserve"> shall not renew a certificate of registration unless the </w:t>
      </w:r>
      <w:r>
        <w:t>Commissioner</w:t>
      </w:r>
      <w:r>
        <w:rPr>
          <w:snapToGrid w:val="0"/>
        </w:rPr>
        <w:t xml:space="preserve"> is satisfied that the sales representative was employed by a licensee at the time of making the application or will be employed by a licensee upon the renewal of the certificate.</w:t>
      </w:r>
    </w:p>
    <w:p>
      <w:pPr>
        <w:pStyle w:val="Subsection"/>
        <w:keepNext/>
        <w:keepLines/>
        <w:rPr>
          <w:snapToGrid w:val="0"/>
        </w:rPr>
      </w:pPr>
      <w:r>
        <w:rPr>
          <w:snapToGrid w:val="0"/>
        </w:rPr>
        <w:tab/>
        <w:t>(5)</w:t>
      </w:r>
      <w:r>
        <w:rPr>
          <w:snapToGrid w:val="0"/>
        </w:rPr>
        <w:tab/>
        <w:t xml:space="preserve">The </w:t>
      </w:r>
      <w:r>
        <w:t>Commissioner</w:t>
      </w:r>
      <w:r>
        <w:rPr>
          <w:snapToGrid w:val="0"/>
        </w:rPr>
        <w:t xml:space="preserve"> may refuse to renew a sales representative’s certificate of registration if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[Section 48 amended by No. 56 of 1995 s. 42; No. 34 of 1998 s. 12; No. 55 of 2004 s. 1009; No. 58 of 2010 s. 134.]</w:t>
      </w:r>
    </w:p>
    <w:p>
      <w:pPr>
        <w:pStyle w:val="Heading5"/>
        <w:rPr>
          <w:snapToGrid w:val="0"/>
        </w:rPr>
      </w:pPr>
      <w:bookmarkStart w:id="103" w:name="_Toc404159059"/>
      <w:bookmarkStart w:id="104" w:name="_Toc486576163"/>
      <w:r>
        <w:rPr>
          <w:rStyle w:val="CharSectno"/>
        </w:rPr>
        <w:t>49</w:t>
      </w:r>
      <w:r>
        <w:rPr>
          <w:snapToGrid w:val="0"/>
        </w:rPr>
        <w:t>.</w:t>
      </w:r>
      <w:r>
        <w:rPr>
          <w:snapToGrid w:val="0"/>
        </w:rPr>
        <w:tab/>
        <w:t>Certificates of registration, late renewal of</w:t>
      </w:r>
      <w:bookmarkEnd w:id="103"/>
      <w:bookmarkEnd w:id="104"/>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[(5)</w:t>
      </w:r>
      <w:r>
        <w:tab/>
        <w:t>deleted]</w:t>
      </w:r>
    </w:p>
    <w:p>
      <w:pPr>
        <w:pStyle w:val="Subsection"/>
        <w:rPr>
          <w:snapToGrid w:val="0"/>
        </w:rPr>
      </w:pPr>
      <w:r>
        <w:rPr>
          <w:snapToGrid w:val="0"/>
        </w:rPr>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49 amended by No. 56 of 1995 s. 43; No. 58 of 2010 s. 96 and 134; No. 44 of 2016 s. 33.]</w:t>
      </w:r>
    </w:p>
    <w:p>
      <w:pPr>
        <w:pStyle w:val="Heading5"/>
        <w:rPr>
          <w:snapToGrid w:val="0"/>
        </w:rPr>
      </w:pPr>
      <w:bookmarkStart w:id="105" w:name="_Toc404159060"/>
      <w:bookmarkStart w:id="106" w:name="_Toc486576164"/>
      <w:r>
        <w:rPr>
          <w:rStyle w:val="CharSectno"/>
        </w:rPr>
        <w:t>50</w:t>
      </w:r>
      <w:r>
        <w:rPr>
          <w:snapToGrid w:val="0"/>
        </w:rPr>
        <w:t>.</w:t>
      </w:r>
      <w:r>
        <w:rPr>
          <w:snapToGrid w:val="0"/>
        </w:rPr>
        <w:tab/>
        <w:t>Duties of registered persons; Commissioner may impose special conditions on certificates of registration</w:t>
      </w:r>
      <w:bookmarkEnd w:id="105"/>
      <w:bookmarkEnd w:id="106"/>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 xml:space="preserve">The </w:t>
      </w:r>
      <w:r>
        <w:t>Commissioner</w:t>
      </w:r>
      <w:r>
        <w:rPr>
          <w:snapToGrid w:val="0"/>
        </w:rPr>
        <w:t xml:space="preserve"> may grant a certificate of registration or a renewal thereof subject to such special conditions as the </w:t>
      </w:r>
      <w:r>
        <w:t>Commissioner</w:t>
      </w:r>
      <w:r>
        <w:rPr>
          <w:snapToGrid w:val="0"/>
        </w:rPr>
        <w:t xml:space="preserve">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[Section 50 amended by No. 56 of 1995 s. 44; No. 34 of 1998 s. 13; No. 58 of 2010 s. 134.]</w:t>
      </w:r>
    </w:p>
    <w:p>
      <w:pPr>
        <w:pStyle w:val="Heading5"/>
      </w:pPr>
      <w:bookmarkStart w:id="107" w:name="_Toc404159061"/>
      <w:bookmarkStart w:id="108" w:name="_Toc486576165"/>
      <w:r>
        <w:rPr>
          <w:rStyle w:val="CharSectno"/>
        </w:rPr>
        <w:t>50A</w:t>
      </w:r>
      <w:r>
        <w:rPr>
          <w:snapToGrid w:val="0"/>
        </w:rPr>
        <w:t>.</w:t>
      </w:r>
      <w:r>
        <w:tab/>
        <w:t>Unopposed applications</w:t>
      </w:r>
      <w:bookmarkEnd w:id="107"/>
      <w:bookmarkEnd w:id="108"/>
    </w:p>
    <w:p>
      <w:pPr>
        <w:pStyle w:val="Subsection"/>
      </w:pPr>
      <w:r>
        <w:tab/>
        <w:t>(1)</w:t>
      </w:r>
      <w:r>
        <w:tab/>
        <w:t>Subject to this Part, a certificate of registration may be granted or renewed (as long as special conditions are not imposed or changed) by the Commissioner without notice to the applicant.</w:t>
      </w:r>
    </w:p>
    <w:p>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pPr>
        <w:pStyle w:val="Footnotesection"/>
        <w:keepLines w:val="0"/>
        <w:spacing w:before="100"/>
        <w:ind w:left="890" w:hanging="890"/>
      </w:pPr>
      <w:r>
        <w:tab/>
        <w:t>[Section 50A inserted by No. 55 of 2004 s. 1010; amended by No. 58 of 2010 s. 97 and 134.]</w:t>
      </w:r>
    </w:p>
    <w:p>
      <w:pPr>
        <w:pStyle w:val="Heading5"/>
      </w:pPr>
      <w:bookmarkStart w:id="109" w:name="_Toc404159062"/>
      <w:bookmarkStart w:id="110" w:name="_Toc486576166"/>
      <w:r>
        <w:rPr>
          <w:rStyle w:val="CharSectno"/>
        </w:rPr>
        <w:t>50B</w:t>
      </w:r>
      <w:r>
        <w:t>.</w:t>
      </w:r>
      <w:r>
        <w:tab/>
        <w:t>SAT may suspend registration in some cases</w:t>
      </w:r>
      <w:bookmarkEnd w:id="109"/>
      <w:bookmarkEnd w:id="110"/>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spacing w:before="100"/>
        <w:ind w:left="890" w:hanging="890"/>
      </w:pPr>
      <w:r>
        <w:tab/>
        <w:t>[Section 50B inserted by No. 55 of 2004 s. 1010.]</w:t>
      </w:r>
    </w:p>
    <w:p>
      <w:pPr>
        <w:pStyle w:val="Heading5"/>
        <w:rPr>
          <w:snapToGrid w:val="0"/>
        </w:rPr>
      </w:pPr>
      <w:bookmarkStart w:id="111" w:name="_Toc404159063"/>
      <w:bookmarkStart w:id="112" w:name="_Toc486576167"/>
      <w:r>
        <w:rPr>
          <w:rStyle w:val="CharSectno"/>
        </w:rPr>
        <w:t>51</w:t>
      </w:r>
      <w:r>
        <w:rPr>
          <w:snapToGrid w:val="0"/>
        </w:rPr>
        <w:t>.</w:t>
      </w:r>
      <w:r>
        <w:rPr>
          <w:snapToGrid w:val="0"/>
        </w:rPr>
        <w:tab/>
      </w:r>
      <w:r>
        <w:t>Registered sales representatives to notify Commissioner of certain changes</w:t>
      </w:r>
      <w:bookmarkEnd w:id="111"/>
      <w:bookmarkEnd w:id="112"/>
    </w:p>
    <w:p>
      <w:pPr>
        <w:pStyle w:val="Subsection"/>
        <w:spacing w:before="120"/>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pPr>
        <w:pStyle w:val="Subsection"/>
        <w:spacing w:before="120"/>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pPr>
        <w:pStyle w:val="Footnotesection"/>
        <w:spacing w:before="100"/>
        <w:ind w:left="890" w:hanging="890"/>
      </w:pPr>
      <w:r>
        <w:tab/>
        <w:t>[Section 51 amended by No. 56 of 1995 s. 45; No. 58 of 2010 s. 134.]</w:t>
      </w:r>
    </w:p>
    <w:p>
      <w:pPr>
        <w:pStyle w:val="Heading5"/>
        <w:rPr>
          <w:snapToGrid w:val="0"/>
        </w:rPr>
      </w:pPr>
      <w:bookmarkStart w:id="113" w:name="_Toc404159064"/>
      <w:bookmarkStart w:id="114" w:name="_Toc486576168"/>
      <w:r>
        <w:rPr>
          <w:rStyle w:val="CharSectno"/>
        </w:rPr>
        <w:t>52</w:t>
      </w:r>
      <w:r>
        <w:rPr>
          <w:snapToGrid w:val="0"/>
        </w:rPr>
        <w:t>.</w:t>
      </w:r>
      <w:r>
        <w:rPr>
          <w:snapToGrid w:val="0"/>
        </w:rPr>
        <w:tab/>
        <w:t>Certificate of registration not transferable</w:t>
      </w:r>
      <w:bookmarkEnd w:id="113"/>
      <w:bookmarkEnd w:id="114"/>
    </w:p>
    <w:p>
      <w:pPr>
        <w:pStyle w:val="Subsection"/>
        <w:spacing w:before="120"/>
        <w:rPr>
          <w:snapToGrid w:val="0"/>
        </w:rPr>
      </w:pPr>
      <w:r>
        <w:rPr>
          <w:snapToGrid w:val="0"/>
        </w:rPr>
        <w:tab/>
        <w:t>(1)</w:t>
      </w:r>
      <w:r>
        <w:rPr>
          <w:snapToGrid w:val="0"/>
        </w:rPr>
        <w:tab/>
        <w:t>A certificate of registration is not transferable.</w:t>
      </w:r>
    </w:p>
    <w:p>
      <w:pPr>
        <w:pStyle w:val="Subsection"/>
        <w:spacing w:before="120"/>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spacing w:before="60"/>
        <w:rPr>
          <w:snapToGrid w:val="0"/>
        </w:rPr>
      </w:pPr>
      <w:r>
        <w:rPr>
          <w:snapToGrid w:val="0"/>
        </w:rPr>
        <w:tab/>
        <w:t>Penalty: $3 000.</w:t>
      </w:r>
    </w:p>
    <w:p>
      <w:pPr>
        <w:pStyle w:val="Footnotesection"/>
        <w:spacing w:before="100"/>
        <w:ind w:left="890" w:hanging="890"/>
      </w:pPr>
      <w:r>
        <w:tab/>
        <w:t>[Section 52 amended by No. 43 of 1994 s. 11.]</w:t>
      </w:r>
    </w:p>
    <w:p>
      <w:pPr>
        <w:pStyle w:val="Heading5"/>
        <w:spacing w:before="180"/>
        <w:rPr>
          <w:snapToGrid w:val="0"/>
        </w:rPr>
      </w:pPr>
      <w:bookmarkStart w:id="115" w:name="_Toc404159065"/>
      <w:bookmarkStart w:id="116" w:name="_Toc486576169"/>
      <w:r>
        <w:rPr>
          <w:rStyle w:val="CharSectno"/>
        </w:rPr>
        <w:t>53</w:t>
      </w:r>
      <w:r>
        <w:rPr>
          <w:snapToGrid w:val="0"/>
        </w:rPr>
        <w:t>.</w:t>
      </w:r>
      <w:r>
        <w:rPr>
          <w:snapToGrid w:val="0"/>
        </w:rPr>
        <w:tab/>
        <w:t>Certificate of registration, surrender of</w:t>
      </w:r>
      <w:bookmarkEnd w:id="115"/>
      <w:bookmarkEnd w:id="116"/>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spacing w:before="120"/>
        <w:rPr>
          <w:snapToGrid w:val="0"/>
        </w:rPr>
      </w:pPr>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spacing w:before="90"/>
        <w:ind w:left="890" w:hanging="890"/>
      </w:pPr>
      <w:r>
        <w:tab/>
        <w:t>[Section 53 amended by No. 55 of 2004 s. 1011.]</w:t>
      </w:r>
    </w:p>
    <w:p>
      <w:pPr>
        <w:pStyle w:val="Heading5"/>
        <w:spacing w:before="180"/>
        <w:rPr>
          <w:snapToGrid w:val="0"/>
        </w:rPr>
      </w:pPr>
      <w:bookmarkStart w:id="117" w:name="_Toc404159066"/>
      <w:bookmarkStart w:id="118" w:name="_Toc486576170"/>
      <w:r>
        <w:rPr>
          <w:rStyle w:val="CharSectno"/>
        </w:rPr>
        <w:t>54</w:t>
      </w:r>
      <w:r>
        <w:rPr>
          <w:snapToGrid w:val="0"/>
        </w:rPr>
        <w:t>.</w:t>
      </w:r>
      <w:r>
        <w:rPr>
          <w:snapToGrid w:val="0"/>
        </w:rPr>
        <w:tab/>
        <w:t>Sales representatives, employment of</w:t>
      </w:r>
      <w:bookmarkEnd w:id="117"/>
      <w:bookmarkEnd w:id="118"/>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Footnotesection"/>
        <w:spacing w:before="90"/>
        <w:ind w:left="890" w:hanging="890"/>
      </w:pPr>
      <w:r>
        <w:tab/>
        <w:t>[Section 54 amended by No. 43 of 1994 s. 11.]</w:t>
      </w:r>
    </w:p>
    <w:p>
      <w:pPr>
        <w:pStyle w:val="Heading5"/>
        <w:rPr>
          <w:snapToGrid w:val="0"/>
        </w:rPr>
      </w:pPr>
      <w:bookmarkStart w:id="119" w:name="_Toc404159067"/>
      <w:bookmarkStart w:id="120" w:name="_Toc486576171"/>
      <w:r>
        <w:rPr>
          <w:rStyle w:val="CharSectno"/>
        </w:rPr>
        <w:t>55</w:t>
      </w:r>
      <w:r>
        <w:rPr>
          <w:snapToGrid w:val="0"/>
        </w:rPr>
        <w:t>.</w:t>
      </w:r>
      <w:r>
        <w:rPr>
          <w:snapToGrid w:val="0"/>
        </w:rPr>
        <w:tab/>
        <w:t>Sales representative to be in service of one person</w:t>
      </w:r>
      <w:bookmarkEnd w:id="119"/>
      <w:bookmarkEnd w:id="120"/>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[Section 55 amended by No. 43 of 1994 s. 11.]</w:t>
      </w:r>
    </w:p>
    <w:p>
      <w:pPr>
        <w:pStyle w:val="Heading2"/>
      </w:pPr>
      <w:bookmarkStart w:id="121" w:name="_Toc404159068"/>
      <w:bookmarkStart w:id="122" w:name="_Toc424293094"/>
      <w:bookmarkStart w:id="123" w:name="_Toc435024457"/>
      <w:bookmarkStart w:id="124" w:name="_Toc468700965"/>
      <w:bookmarkStart w:id="125" w:name="_Toc486576172"/>
      <w:r>
        <w:rPr>
          <w:rStyle w:val="CharPartNo"/>
        </w:rPr>
        <w:t>Part V</w:t>
      </w:r>
      <w:r>
        <w:rPr>
          <w:rStyle w:val="CharDivNo"/>
        </w:rPr>
        <w:t> </w:t>
      </w:r>
      <w:r>
        <w:t>—</w:t>
      </w:r>
      <w:r>
        <w:rPr>
          <w:rStyle w:val="CharDivText"/>
        </w:rPr>
        <w:t> </w:t>
      </w:r>
      <w:r>
        <w:rPr>
          <w:rStyle w:val="CharPartText"/>
        </w:rPr>
        <w:t>General controls</w:t>
      </w:r>
      <w:bookmarkEnd w:id="121"/>
      <w:bookmarkEnd w:id="122"/>
      <w:bookmarkEnd w:id="123"/>
      <w:bookmarkEnd w:id="124"/>
      <w:bookmarkEnd w:id="125"/>
    </w:p>
    <w:p>
      <w:pPr>
        <w:pStyle w:val="Heading5"/>
        <w:rPr>
          <w:snapToGrid w:val="0"/>
        </w:rPr>
      </w:pPr>
      <w:bookmarkStart w:id="126" w:name="_Toc404159069"/>
      <w:bookmarkStart w:id="127" w:name="_Toc486576173"/>
      <w:r>
        <w:rPr>
          <w:rStyle w:val="CharSectno"/>
        </w:rPr>
        <w:t>56</w:t>
      </w:r>
      <w:r>
        <w:rPr>
          <w:snapToGrid w:val="0"/>
        </w:rPr>
        <w:t>.</w:t>
      </w:r>
      <w:r>
        <w:rPr>
          <w:snapToGrid w:val="0"/>
        </w:rPr>
        <w:tab/>
        <w:t>Franchising agreements, licensee not to carry on business under without Commissioner’s approval</w:t>
      </w:r>
      <w:bookmarkEnd w:id="126"/>
      <w:bookmarkEnd w:id="127"/>
    </w:p>
    <w:p>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w:t>
      </w:r>
    </w:p>
    <w:p>
      <w:pPr>
        <w:pStyle w:val="Indenta"/>
        <w:rPr>
          <w:snapToGrid w:val="0"/>
        </w:rPr>
      </w:pPr>
      <w:r>
        <w:rPr>
          <w:snapToGrid w:val="0"/>
        </w:rPr>
        <w:tab/>
        <w:t>(a)</w:t>
      </w:r>
      <w:r>
        <w:rPr>
          <w:snapToGrid w:val="0"/>
        </w:rPr>
        <w:tab/>
        <w:t>each party to the agreement is liable to penalties imposed for failure to comply with the provisions of Part VI; and</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[Section 56 amended by No. 43 of 1994 s. 11; No. 58 of 2010 s. 134.]</w:t>
      </w:r>
    </w:p>
    <w:p>
      <w:pPr>
        <w:pStyle w:val="Heading5"/>
        <w:rPr>
          <w:snapToGrid w:val="0"/>
        </w:rPr>
      </w:pPr>
      <w:bookmarkStart w:id="128" w:name="_Toc404159070"/>
      <w:bookmarkStart w:id="129" w:name="_Toc486576174"/>
      <w:r>
        <w:rPr>
          <w:rStyle w:val="CharSectno"/>
        </w:rPr>
        <w:t>57</w:t>
      </w:r>
      <w:r>
        <w:rPr>
          <w:snapToGrid w:val="0"/>
        </w:rPr>
        <w:t>.</w:t>
      </w:r>
      <w:r>
        <w:rPr>
          <w:snapToGrid w:val="0"/>
        </w:rPr>
        <w:tab/>
        <w:t>Developers, principal place of business to be registered and service on</w:t>
      </w:r>
      <w:bookmarkEnd w:id="128"/>
      <w:bookmarkEnd w:id="129"/>
    </w:p>
    <w:p>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[Section 57 amended by No. 43 of 1994 s. 11; No. 58 of 2010 s. 134.]</w:t>
      </w:r>
    </w:p>
    <w:p>
      <w:pPr>
        <w:pStyle w:val="Heading5"/>
        <w:rPr>
          <w:snapToGrid w:val="0"/>
        </w:rPr>
      </w:pPr>
      <w:bookmarkStart w:id="130" w:name="_Toc404159071"/>
      <w:bookmarkStart w:id="131" w:name="_Toc486576175"/>
      <w:r>
        <w:rPr>
          <w:rStyle w:val="CharSectno"/>
        </w:rPr>
        <w:t>58</w:t>
      </w:r>
      <w:r>
        <w:rPr>
          <w:snapToGrid w:val="0"/>
        </w:rPr>
        <w:t>.</w:t>
      </w:r>
      <w:r>
        <w:rPr>
          <w:snapToGrid w:val="0"/>
        </w:rPr>
        <w:tab/>
        <w:t>Developer to notify Commissioner of change in principal place of business</w:t>
      </w:r>
      <w:bookmarkEnd w:id="130"/>
      <w:bookmarkEnd w:id="131"/>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pPr>
        <w:pStyle w:val="Footnotesection"/>
      </w:pPr>
      <w:r>
        <w:tab/>
        <w:t>[Section 58 amended by No. 43 of 1994 s. 11; No. 58 of 2010 s. 134.]</w:t>
      </w:r>
    </w:p>
    <w:p>
      <w:pPr>
        <w:pStyle w:val="Heading5"/>
        <w:rPr>
          <w:snapToGrid w:val="0"/>
        </w:rPr>
      </w:pPr>
      <w:bookmarkStart w:id="132" w:name="_Toc404159072"/>
      <w:bookmarkStart w:id="133" w:name="_Toc486576176"/>
      <w:r>
        <w:rPr>
          <w:rStyle w:val="CharSectno"/>
        </w:rPr>
        <w:t>59</w:t>
      </w:r>
      <w:r>
        <w:rPr>
          <w:snapToGrid w:val="0"/>
        </w:rPr>
        <w:t>.</w:t>
      </w:r>
      <w:r>
        <w:rPr>
          <w:snapToGrid w:val="0"/>
        </w:rPr>
        <w:tab/>
        <w:t>Developer to keep records of real estate transactions</w:t>
      </w:r>
      <w:bookmarkEnd w:id="132"/>
      <w:bookmarkEnd w:id="133"/>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134" w:name="_Toc404159073"/>
      <w:bookmarkStart w:id="135" w:name="_Toc486576177"/>
      <w:r>
        <w:rPr>
          <w:rStyle w:val="CharSectno"/>
        </w:rPr>
        <w:t>60</w:t>
      </w:r>
      <w:r>
        <w:rPr>
          <w:snapToGrid w:val="0"/>
        </w:rPr>
        <w:t>.</w:t>
      </w:r>
      <w:r>
        <w:rPr>
          <w:snapToGrid w:val="0"/>
        </w:rPr>
        <w:tab/>
        <w:t>Agent not entitled to commission etc. unless licensed and validly appointed</w:t>
      </w:r>
      <w:bookmarkEnd w:id="134"/>
      <w:bookmarkEnd w:id="135"/>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w:t>
      </w:r>
    </w:p>
    <w:p>
      <w:pPr>
        <w:pStyle w:val="Indenta"/>
        <w:keepNext/>
        <w:rPr>
          <w:snapToGrid w:val="0"/>
        </w:rPr>
      </w:pPr>
      <w:r>
        <w:rPr>
          <w:snapToGrid w:val="0"/>
        </w:rPr>
        <w:tab/>
        <w:t>(a)</w:t>
      </w:r>
      <w:r>
        <w:rPr>
          <w:snapToGrid w:val="0"/>
        </w:rPr>
        <w:tab/>
        <w:t>it is contained in a document which —</w:t>
      </w:r>
    </w:p>
    <w:p>
      <w:pPr>
        <w:pStyle w:val="Indenti"/>
        <w:rPr>
          <w:snapToGrid w:val="0"/>
        </w:rPr>
      </w:pPr>
      <w:r>
        <w:rPr>
          <w:snapToGrid w:val="0"/>
        </w:rPr>
        <w:tab/>
        <w:t>(i)</w:t>
      </w:r>
      <w:r>
        <w:rPr>
          <w:snapToGrid w:val="0"/>
        </w:rPr>
        <w:tab/>
        <w:t>clearly sets out the services that are or are to be rendered; and</w:t>
      </w:r>
    </w:p>
    <w:p>
      <w:pPr>
        <w:pStyle w:val="Indenti"/>
        <w:rPr>
          <w:snapToGrid w:val="0"/>
        </w:rPr>
      </w:pPr>
      <w:r>
        <w:rPr>
          <w:snapToGrid w:val="0"/>
        </w:rPr>
        <w:tab/>
        <w:t>(ii)</w:t>
      </w:r>
      <w:r>
        <w:rPr>
          <w:snapToGrid w:val="0"/>
        </w:rPr>
        <w:tab/>
        <w:t>where specific property is to be the subject of those services, clearly identifies the property; and</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[Section 60 amended by No. 43 of 1994 s. 11; No. 59 of 1995 s. 9; No. 34 of 1998 s. 14.]</w:t>
      </w:r>
    </w:p>
    <w:p>
      <w:pPr>
        <w:pStyle w:val="Heading5"/>
        <w:rPr>
          <w:snapToGrid w:val="0"/>
        </w:rPr>
      </w:pPr>
      <w:bookmarkStart w:id="136" w:name="_Toc404159074"/>
      <w:bookmarkStart w:id="137" w:name="_Toc486576178"/>
      <w:r>
        <w:rPr>
          <w:rStyle w:val="CharSectno"/>
        </w:rPr>
        <w:t>61</w:t>
      </w:r>
      <w:r>
        <w:rPr>
          <w:snapToGrid w:val="0"/>
        </w:rPr>
        <w:t>.</w:t>
      </w:r>
      <w:r>
        <w:rPr>
          <w:snapToGrid w:val="0"/>
        </w:rPr>
        <w:tab/>
        <w:t>Maximum remuneration of licensees, fixing of etc.</w:t>
      </w:r>
      <w:bookmarkEnd w:id="136"/>
      <w:bookmarkEnd w:id="137"/>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pPr>
      <w:r>
        <w:rPr>
          <w:snapToGrid w:val="0"/>
        </w:rPr>
        <w:tab/>
        <w:t>(4)</w:t>
      </w:r>
      <w:r>
        <w:rPr>
          <w:snapToGrid w:val="0"/>
        </w:rPr>
        <w:tab/>
        <w:t xml:space="preserve">The remuneration of an agent for services rendered by him in his capacity as agent in respect of a transaction he has negotiated is payable only on settlement of the transaction </w:t>
      </w:r>
      <w:r>
        <w:t xml:space="preserve">unless — </w:t>
      </w:r>
    </w:p>
    <w:p>
      <w:pPr>
        <w:pStyle w:val="Indenta"/>
      </w:pPr>
      <w:r>
        <w:tab/>
        <w:t>(a)</w:t>
      </w:r>
      <w:r>
        <w:tab/>
        <w:t>there is a failure to settle the transaction and that failure is due to the fault of the agent’s principal; or</w:t>
      </w:r>
    </w:p>
    <w:p>
      <w:pPr>
        <w:pStyle w:val="Indenta"/>
        <w:rPr>
          <w:snapToGrid w:val="0"/>
        </w:rPr>
      </w:pPr>
      <w:r>
        <w:tab/>
        <w:t>(b)</w:t>
      </w:r>
      <w:r>
        <w:tab/>
        <w:t>it is a prescribed transaction.</w:t>
      </w:r>
    </w:p>
    <w:p>
      <w:pPr>
        <w:pStyle w:val="Subsection"/>
        <w:spacing w:before="140"/>
        <w:rPr>
          <w:snapToGrid w:val="0"/>
        </w:rPr>
      </w:pPr>
      <w:r>
        <w:rPr>
          <w:snapToGrid w:val="0"/>
        </w:rPr>
        <w:tab/>
        <w:t>(4a)</w:t>
      </w:r>
      <w:r>
        <w:rPr>
          <w:snapToGrid w:val="0"/>
        </w:rPr>
        <w:tab/>
        <w:t>In subsection (4) —</w:t>
      </w:r>
    </w:p>
    <w:p>
      <w:pPr>
        <w:pStyle w:val="Defstart"/>
      </w:pPr>
      <w:r>
        <w:tab/>
      </w:r>
      <w:r>
        <w:rPr>
          <w:rStyle w:val="CharDefText"/>
        </w:rPr>
        <w:t>prescribed transaction</w:t>
      </w:r>
      <w:r>
        <w:t xml:space="preserve"> means any of the following transactions — </w:t>
      </w:r>
    </w:p>
    <w:p>
      <w:pPr>
        <w:pStyle w:val="Defpara"/>
      </w:pPr>
      <w:r>
        <w:tab/>
        <w:t>(a)</w:t>
      </w:r>
      <w:r>
        <w:tab/>
        <w:t xml:space="preserve">the sale of a lot in a proposed scheme described in the </w:t>
      </w:r>
      <w:r>
        <w:rPr>
          <w:i/>
        </w:rPr>
        <w:t>Strata Titles Act 1985</w:t>
      </w:r>
      <w:r>
        <w:t xml:space="preserve"> section 70(1);</w:t>
      </w:r>
    </w:p>
    <w:p>
      <w:pPr>
        <w:pStyle w:val="Indenta"/>
      </w:pPr>
      <w:r>
        <w:tab/>
        <w:t>(b)</w:t>
      </w:r>
      <w:r>
        <w:tab/>
        <w:t>any other transaction prescribed, or that belongs to a class of transactions prescribed, for the purposes of this definition;</w:t>
      </w:r>
    </w:p>
    <w:p>
      <w:pPr>
        <w:pStyle w:val="Defstart"/>
        <w:spacing w:before="60"/>
      </w:pPr>
      <w:r>
        <w:tab/>
      </w:r>
      <w:r>
        <w:rPr>
          <w:rStyle w:val="CharDefText"/>
        </w:rPr>
        <w:t>settlement</w:t>
      </w:r>
      <w:r>
        <w:t>, in relation to a transaction —</w:t>
      </w:r>
    </w:p>
    <w:p>
      <w:pPr>
        <w:pStyle w:val="Defpara"/>
        <w:spacing w:before="60"/>
      </w:pPr>
      <w:r>
        <w:tab/>
        <w:t>(a)</w:t>
      </w:r>
      <w:r>
        <w:tab/>
        <w:t>where the transaction is to be completed by the payment of the purchase price by way of a single payment (over and above the deposit), means the payment of the purchase price; or</w:t>
      </w:r>
    </w:p>
    <w:p>
      <w:pPr>
        <w:pStyle w:val="Defpara"/>
        <w:spacing w:before="60"/>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spacing w:before="60"/>
      </w:pPr>
      <w:r>
        <w:tab/>
        <w:t>(c)</w:t>
      </w:r>
      <w:r>
        <w:tab/>
        <w:t>where the transaction is of a kind specified in regulations, has the meaning prescribed by the regulations in relation to that kind of transaction;</w:t>
      </w:r>
    </w:p>
    <w:p>
      <w:pPr>
        <w:pStyle w:val="Defstart"/>
        <w:spacing w:before="60"/>
      </w:pPr>
      <w:r>
        <w:tab/>
      </w:r>
      <w:r>
        <w:rPr>
          <w:rStyle w:val="CharDefText"/>
        </w:rPr>
        <w:t>transaction</w:t>
      </w:r>
      <w:r>
        <w:t xml:space="preserve"> means —</w:t>
      </w:r>
    </w:p>
    <w:p>
      <w:pPr>
        <w:pStyle w:val="Defpara"/>
        <w:spacing w:before="60"/>
      </w:pPr>
      <w:r>
        <w:tab/>
        <w:t>(a)</w:t>
      </w:r>
      <w:r>
        <w:tab/>
        <w:t>a sale, exchange, or other disposal and a purchase, exchange, or other acquisition of real estate and any exclusive right whether deriving from the ownership of a share or interest in a body corporate or partnership; or</w:t>
      </w:r>
    </w:p>
    <w:p>
      <w:pPr>
        <w:pStyle w:val="Defpara"/>
        <w:spacing w:before="60"/>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w:t>
      </w:r>
      <w:r>
        <w:rPr>
          <w:b/>
          <w:i/>
        </w:rPr>
        <w:t>business transaction</w:t>
      </w:r>
      <w:r>
        <w:t>,</w:t>
      </w:r>
    </w:p>
    <w:p>
      <w:pPr>
        <w:pStyle w:val="Defstart"/>
        <w:spacing w:before="160"/>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ind w:left="890" w:hanging="890"/>
      </w:pPr>
      <w:r>
        <w:tab/>
        <w:t>[Section 61 amended by No. 128 of 1987 s. 89; No. 43 of 1994 s. 11; No. 59 of 1995 s. 10; No. 34 of 1998 s. 15; No. 58 of 2010 s. 134; No. 44 of 2016 s. 34.]</w:t>
      </w:r>
    </w:p>
    <w:p>
      <w:pPr>
        <w:pStyle w:val="Heading5"/>
      </w:pPr>
      <w:bookmarkStart w:id="138" w:name="_Toc404159075"/>
      <w:bookmarkStart w:id="139" w:name="_Toc486576179"/>
      <w:r>
        <w:rPr>
          <w:rStyle w:val="CharSectno"/>
        </w:rPr>
        <w:t>61A</w:t>
      </w:r>
      <w:r>
        <w:t>.</w:t>
      </w:r>
      <w:r>
        <w:tab/>
        <w:t>Agents not to demand etc. money etc. for letting etc. from tenants</w:t>
      </w:r>
      <w:bookmarkEnd w:id="138"/>
      <w:bookmarkEnd w:id="139"/>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w:t>
      </w:r>
    </w:p>
    <w:p>
      <w:pPr>
        <w:pStyle w:val="Defstar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spacing w:before="80"/>
        <w:ind w:left="890" w:hanging="890"/>
      </w:pPr>
      <w:r>
        <w:tab/>
        <w:t>[Section 61A inserted by No. 59 of 1995 s. 11.]</w:t>
      </w:r>
    </w:p>
    <w:p>
      <w:pPr>
        <w:pStyle w:val="Heading5"/>
        <w:spacing w:before="200"/>
        <w:rPr>
          <w:snapToGrid w:val="0"/>
        </w:rPr>
      </w:pPr>
      <w:bookmarkStart w:id="140" w:name="_Toc404159076"/>
      <w:bookmarkStart w:id="141" w:name="_Toc486576180"/>
      <w:r>
        <w:rPr>
          <w:rStyle w:val="CharSectno"/>
        </w:rPr>
        <w:t>62</w:t>
      </w:r>
      <w:r>
        <w:rPr>
          <w:snapToGrid w:val="0"/>
        </w:rPr>
        <w:t>.</w:t>
      </w:r>
      <w:r>
        <w:rPr>
          <w:snapToGrid w:val="0"/>
        </w:rPr>
        <w:tab/>
        <w:t>Advertising by agents and developers</w:t>
      </w:r>
      <w:bookmarkEnd w:id="140"/>
      <w:bookmarkEnd w:id="141"/>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spacing w:before="80"/>
        <w:ind w:left="890" w:hanging="890"/>
      </w:pPr>
      <w:r>
        <w:tab/>
        <w:t>[Section 62 amended by No. 84 of 2004 s. 82; No. 58 of 2010 s. 98.]</w:t>
      </w:r>
    </w:p>
    <w:p>
      <w:pPr>
        <w:pStyle w:val="Heading5"/>
        <w:spacing w:before="200"/>
      </w:pPr>
      <w:bookmarkStart w:id="142" w:name="_Toc404159077"/>
      <w:bookmarkStart w:id="143" w:name="_Toc486576181"/>
      <w:r>
        <w:rPr>
          <w:rStyle w:val="CharSectno"/>
        </w:rPr>
        <w:t>63</w:t>
      </w:r>
      <w:r>
        <w:t>.</w:t>
      </w:r>
      <w:r>
        <w:tab/>
        <w:t>Agents etc. to supply signatories of documents with copies</w:t>
      </w:r>
      <w:bookmarkEnd w:id="142"/>
      <w:bookmarkEnd w:id="143"/>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144" w:name="_Toc404159078"/>
      <w:bookmarkStart w:id="145" w:name="_Toc486576182"/>
      <w:r>
        <w:rPr>
          <w:rStyle w:val="CharSectno"/>
        </w:rPr>
        <w:t>64</w:t>
      </w:r>
      <w:r>
        <w:rPr>
          <w:snapToGrid w:val="0"/>
        </w:rPr>
        <w:t>.</w:t>
      </w:r>
      <w:r>
        <w:rPr>
          <w:snapToGrid w:val="0"/>
        </w:rPr>
        <w:tab/>
        <w:t>Conflicts of interest of agents etc.</w:t>
      </w:r>
      <w:bookmarkEnd w:id="144"/>
      <w:bookmarkEnd w:id="145"/>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[Section 64 amended by No. 43 of 1994 s. 11; No. 50 of 2003 s. 88(2).]</w:t>
      </w:r>
    </w:p>
    <w:p>
      <w:pPr>
        <w:pStyle w:val="Heading5"/>
        <w:rPr>
          <w:snapToGrid w:val="0"/>
        </w:rPr>
      </w:pPr>
      <w:bookmarkStart w:id="146" w:name="_Toc404159079"/>
      <w:bookmarkStart w:id="147" w:name="_Toc486576183"/>
      <w:r>
        <w:rPr>
          <w:rStyle w:val="CharSectno"/>
        </w:rPr>
        <w:t>65</w:t>
      </w:r>
      <w:r>
        <w:rPr>
          <w:snapToGrid w:val="0"/>
        </w:rPr>
        <w:t>.</w:t>
      </w:r>
      <w:r>
        <w:rPr>
          <w:snapToGrid w:val="0"/>
        </w:rPr>
        <w:tab/>
        <w:t>Rates etc., agents to ensure payment and apportionment of</w:t>
      </w:r>
      <w:bookmarkEnd w:id="146"/>
      <w:bookmarkEnd w:id="147"/>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148" w:name="_Toc404159080"/>
      <w:bookmarkStart w:id="149" w:name="_Toc486576184"/>
      <w:r>
        <w:rPr>
          <w:rStyle w:val="CharSectno"/>
        </w:rPr>
        <w:t>66</w:t>
      </w:r>
      <w:r>
        <w:rPr>
          <w:snapToGrid w:val="0"/>
        </w:rPr>
        <w:t>.</w:t>
      </w:r>
      <w:r>
        <w:rPr>
          <w:snapToGrid w:val="0"/>
        </w:rPr>
        <w:tab/>
        <w:t>Keys to houses etc. and information about tenancies etc., payment for is an offence</w:t>
      </w:r>
      <w:bookmarkEnd w:id="148"/>
      <w:bookmarkEnd w:id="149"/>
    </w:p>
    <w:p>
      <w:pPr>
        <w:pStyle w:val="Subsection"/>
        <w:rPr>
          <w:snapToGrid w:val="0"/>
        </w:rPr>
      </w:pPr>
      <w:r>
        <w:rPr>
          <w:snapToGrid w:val="0"/>
        </w:rPr>
        <w:tab/>
        <w:t>(1)</w:t>
      </w:r>
      <w:r>
        <w:rPr>
          <w:snapToGrid w:val="0"/>
        </w:rPr>
        <w:tab/>
        <w:t>Any person who pays, gives, or receives, or offers, promises, or agrees to pay, give, or receive, a sum of money or other consideration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[Section 66 amended by No. 74 of 1980 s. 6; No. 43 of 1994 s. 11.]</w:t>
      </w:r>
    </w:p>
    <w:p>
      <w:pPr>
        <w:pStyle w:val="Heading2"/>
      </w:pPr>
      <w:bookmarkStart w:id="150" w:name="_Toc404159081"/>
      <w:bookmarkStart w:id="151" w:name="_Toc424293107"/>
      <w:bookmarkStart w:id="152" w:name="_Toc435024470"/>
      <w:bookmarkStart w:id="153" w:name="_Toc468700978"/>
      <w:bookmarkStart w:id="154" w:name="_Toc486576185"/>
      <w:r>
        <w:rPr>
          <w:rStyle w:val="CharPartNo"/>
        </w:rPr>
        <w:t>Part VI</w:t>
      </w:r>
      <w:r>
        <w:rPr>
          <w:rStyle w:val="CharDivNo"/>
        </w:rPr>
        <w:t> </w:t>
      </w:r>
      <w:r>
        <w:t>—</w:t>
      </w:r>
      <w:r>
        <w:rPr>
          <w:rStyle w:val="CharDivText"/>
        </w:rPr>
        <w:t> </w:t>
      </w:r>
      <w:r>
        <w:rPr>
          <w:rStyle w:val="CharPartText"/>
        </w:rPr>
        <w:t>Agents’ trust accounts</w:t>
      </w:r>
      <w:bookmarkEnd w:id="150"/>
      <w:bookmarkEnd w:id="151"/>
      <w:bookmarkEnd w:id="152"/>
      <w:bookmarkEnd w:id="153"/>
      <w:bookmarkEnd w:id="154"/>
    </w:p>
    <w:p>
      <w:pPr>
        <w:pStyle w:val="Heading5"/>
        <w:rPr>
          <w:snapToGrid w:val="0"/>
        </w:rPr>
      </w:pPr>
      <w:bookmarkStart w:id="155" w:name="_Toc404159082"/>
      <w:bookmarkStart w:id="156" w:name="_Toc486576186"/>
      <w:r>
        <w:rPr>
          <w:rStyle w:val="CharSectno"/>
        </w:rPr>
        <w:t>67</w:t>
      </w:r>
      <w:r>
        <w:rPr>
          <w:snapToGrid w:val="0"/>
        </w:rPr>
        <w:t>.</w:t>
      </w:r>
      <w:r>
        <w:rPr>
          <w:snapToGrid w:val="0"/>
        </w:rPr>
        <w:tab/>
        <w:t>Terms used</w:t>
      </w:r>
      <w:bookmarkEnd w:id="155"/>
      <w:bookmarkEnd w:id="156"/>
    </w:p>
    <w:p>
      <w:pPr>
        <w:pStyle w:val="Subsection"/>
        <w:keepNext/>
        <w:rPr>
          <w:snapToGrid w:val="0"/>
        </w:rPr>
      </w:pPr>
      <w:r>
        <w:rPr>
          <w:snapToGrid w:val="0"/>
        </w:rPr>
        <w:tab/>
      </w:r>
      <w:r>
        <w:rPr>
          <w:snapToGrid w:val="0"/>
        </w:rPr>
        <w:tab/>
        <w:t>In this Part, unless the context otherwise requires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[Section 67 amended by No. 59 of 1995 s. 12; No. 26 of 1999 s. 99(3).]</w:t>
      </w:r>
    </w:p>
    <w:p>
      <w:pPr>
        <w:pStyle w:val="Heading5"/>
        <w:rPr>
          <w:snapToGrid w:val="0"/>
        </w:rPr>
      </w:pPr>
      <w:bookmarkStart w:id="157" w:name="_Toc404159083"/>
      <w:bookmarkStart w:id="158" w:name="_Toc486576187"/>
      <w:r>
        <w:rPr>
          <w:rStyle w:val="CharSectno"/>
        </w:rPr>
        <w:t>68</w:t>
      </w:r>
      <w:r>
        <w:rPr>
          <w:snapToGrid w:val="0"/>
        </w:rPr>
        <w:t>.</w:t>
      </w:r>
      <w:r>
        <w:rPr>
          <w:snapToGrid w:val="0"/>
        </w:rPr>
        <w:tab/>
        <w:t>Trust accounts, use of etc.</w:t>
      </w:r>
      <w:bookmarkEnd w:id="157"/>
      <w:bookmarkEnd w:id="158"/>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68 amended by No. 59 of 1995 s. 13.]</w:t>
      </w:r>
    </w:p>
    <w:p>
      <w:pPr>
        <w:pStyle w:val="Heading5"/>
        <w:rPr>
          <w:snapToGrid w:val="0"/>
        </w:rPr>
      </w:pPr>
      <w:bookmarkStart w:id="159" w:name="_Toc404159084"/>
      <w:bookmarkStart w:id="160" w:name="_Toc486576188"/>
      <w:r>
        <w:rPr>
          <w:rStyle w:val="CharSectno"/>
        </w:rPr>
        <w:t>68A</w:t>
      </w:r>
      <w:r>
        <w:rPr>
          <w:snapToGrid w:val="0"/>
        </w:rPr>
        <w:t>.</w:t>
      </w:r>
      <w:r>
        <w:rPr>
          <w:snapToGrid w:val="0"/>
        </w:rPr>
        <w:tab/>
        <w:t>Client may ask agent for separate trust account</w:t>
      </w:r>
      <w:bookmarkEnd w:id="159"/>
      <w:bookmarkEnd w:id="160"/>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w:t>
      </w:r>
    </w:p>
    <w:p>
      <w:pPr>
        <w:pStyle w:val="Indenta"/>
        <w:rPr>
          <w:snapToGrid w:val="0"/>
        </w:rPr>
      </w:pPr>
      <w:r>
        <w:rPr>
          <w:snapToGrid w:val="0"/>
        </w:rPr>
        <w:tab/>
        <w:t>(a)</w:t>
      </w:r>
      <w:r>
        <w:rPr>
          <w:snapToGrid w:val="0"/>
        </w:rPr>
        <w:tab/>
        <w:t>the amount of moneys paid to the agent; or</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request</w:t>
      </w:r>
      <w:r>
        <w:t xml:space="preserve"> means a request under subsection (1).</w:t>
      </w:r>
    </w:p>
    <w:p>
      <w:pPr>
        <w:pStyle w:val="Footnotesection"/>
      </w:pPr>
      <w:r>
        <w:tab/>
        <w:t>[Section 68A inserted by No. 59 of 1995 s. 14.]</w:t>
      </w:r>
    </w:p>
    <w:p>
      <w:pPr>
        <w:pStyle w:val="Heading5"/>
        <w:rPr>
          <w:snapToGrid w:val="0"/>
        </w:rPr>
      </w:pPr>
      <w:bookmarkStart w:id="161" w:name="_Toc404159085"/>
      <w:bookmarkStart w:id="162" w:name="_Toc486576189"/>
      <w:r>
        <w:rPr>
          <w:rStyle w:val="CharSectno"/>
        </w:rPr>
        <w:t>68B</w:t>
      </w:r>
      <w:r>
        <w:rPr>
          <w:snapToGrid w:val="0"/>
        </w:rPr>
        <w:t>.</w:t>
      </w:r>
      <w:r>
        <w:rPr>
          <w:snapToGrid w:val="0"/>
        </w:rPr>
        <w:tab/>
        <w:t>Interest on trust accounts to be paid by financial institutions</w:t>
      </w:r>
      <w:bookmarkEnd w:id="161"/>
      <w:bookmarkEnd w:id="162"/>
    </w:p>
    <w:p>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r>
        <w:t xml:space="preserve">Interest </w:t>
      </w:r>
      <w:r>
        <w:rPr>
          <w:snapToGrid w:val="0"/>
        </w:rPr>
        <w:t>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w:t>
      </w:r>
      <w:r>
        <w:t xml:space="preserve">Interest </w:t>
      </w:r>
      <w:r>
        <w:rPr>
          <w:snapToGrid w:val="0"/>
        </w:rPr>
        <w:t>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[Section 68B inserted by No. 59 of 1995 s. 14</w:t>
      </w:r>
      <w:r>
        <w:rPr>
          <w:spacing w:val="-4"/>
        </w:rPr>
        <w:t>; amended by No. 47 of 2011 s.</w:t>
      </w:r>
      <w:r>
        <w:t> 25(4).]</w:t>
      </w:r>
    </w:p>
    <w:p>
      <w:pPr>
        <w:pStyle w:val="Heading5"/>
        <w:rPr>
          <w:snapToGrid w:val="0"/>
        </w:rPr>
      </w:pPr>
      <w:bookmarkStart w:id="163" w:name="_Toc404159086"/>
      <w:bookmarkStart w:id="164" w:name="_Toc486576190"/>
      <w:r>
        <w:rPr>
          <w:rStyle w:val="CharSectno"/>
        </w:rPr>
        <w:t>68C</w:t>
      </w:r>
      <w:r>
        <w:rPr>
          <w:snapToGrid w:val="0"/>
        </w:rPr>
        <w:t>.</w:t>
      </w:r>
      <w:r>
        <w:rPr>
          <w:snapToGrid w:val="0"/>
        </w:rPr>
        <w:tab/>
      </w:r>
      <w:r>
        <w:t>Agents to give Commissioner information about trust accounts</w:t>
      </w:r>
      <w:bookmarkEnd w:id="163"/>
      <w:bookmarkEnd w:id="164"/>
    </w:p>
    <w:p>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[Section 68C inserted by No. 59 of 1995 s. 14; amended by No. 58 of 2010 s. 134.]</w:t>
      </w:r>
    </w:p>
    <w:p>
      <w:pPr>
        <w:pStyle w:val="Heading5"/>
        <w:rPr>
          <w:snapToGrid w:val="0"/>
        </w:rPr>
      </w:pPr>
      <w:bookmarkStart w:id="165" w:name="_Toc404159087"/>
      <w:bookmarkStart w:id="166" w:name="_Toc486576191"/>
      <w:r>
        <w:rPr>
          <w:rStyle w:val="CharSectno"/>
        </w:rPr>
        <w:t>69</w:t>
      </w:r>
      <w:r>
        <w:rPr>
          <w:snapToGrid w:val="0"/>
        </w:rPr>
        <w:t>.</w:t>
      </w:r>
      <w:r>
        <w:rPr>
          <w:snapToGrid w:val="0"/>
        </w:rPr>
        <w:tab/>
        <w:t>Money received by agents, duties as to</w:t>
      </w:r>
      <w:bookmarkEnd w:id="165"/>
      <w:bookmarkEnd w:id="166"/>
    </w:p>
    <w:p>
      <w:pPr>
        <w:pStyle w:val="Subsection"/>
        <w:keepNext/>
        <w:rPr>
          <w:snapToGrid w:val="0"/>
        </w:rPr>
      </w:pPr>
      <w:r>
        <w:rPr>
          <w:snapToGrid w:val="0"/>
        </w:rPr>
        <w:tab/>
        <w:t>(1)</w:t>
      </w:r>
      <w:r>
        <w:rPr>
          <w:snapToGrid w:val="0"/>
        </w:rPr>
        <w:tab/>
        <w:t>When an agent receives money for or on behalf of any other person, the agent shall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[Section 69 amended by No. 74 of 1980 s. 7; No. 59 of 1995 s. 15; No. 58 of 2010 s. 134.]</w:t>
      </w:r>
    </w:p>
    <w:p>
      <w:pPr>
        <w:pStyle w:val="Heading5"/>
        <w:rPr>
          <w:snapToGrid w:val="0"/>
        </w:rPr>
      </w:pPr>
      <w:bookmarkStart w:id="167" w:name="_Toc404159088"/>
      <w:bookmarkStart w:id="168" w:name="_Toc486576192"/>
      <w:r>
        <w:rPr>
          <w:rStyle w:val="CharSectno"/>
        </w:rPr>
        <w:t>70</w:t>
      </w:r>
      <w:r>
        <w:rPr>
          <w:snapToGrid w:val="0"/>
        </w:rPr>
        <w:t>.</w:t>
      </w:r>
      <w:r>
        <w:rPr>
          <w:snapToGrid w:val="0"/>
        </w:rPr>
        <w:tab/>
        <w:t>Audits of trust accounts</w:t>
      </w:r>
      <w:bookmarkEnd w:id="167"/>
      <w:bookmarkEnd w:id="168"/>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pPr>
        <w:pStyle w:val="Subsection"/>
        <w:keepNext/>
        <w:rPr>
          <w:snapToGrid w:val="0"/>
        </w:rPr>
      </w:pPr>
      <w:r>
        <w:rPr>
          <w:snapToGrid w:val="0"/>
        </w:rPr>
        <w:tab/>
        <w:t>(3)</w:t>
      </w:r>
      <w:r>
        <w:rPr>
          <w:snapToGrid w:val="0"/>
        </w:rPr>
        <w:tab/>
        <w:t>The auditor shall within 3 months after the end of each year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pPr>
      <w:r>
        <w:tab/>
        <w:t>(5)</w:t>
      </w:r>
      <w:r>
        <w:tab/>
        <w:t>The Commissioner may, in circumstances he or she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w:t>
      </w:r>
      <w:r>
        <w:t>Commissioner</w:t>
      </w:r>
      <w:r>
        <w:rPr>
          <w:snapToGrid w:val="0"/>
        </w:rPr>
        <w:t xml:space="preserve"> a report of such termination audit.</w:t>
      </w:r>
    </w:p>
    <w:p>
      <w:pPr>
        <w:pStyle w:val="Footnotesection"/>
      </w:pPr>
      <w:r>
        <w:tab/>
        <w:t>[Section 70 amended by No. 29 of 1982 s. 12; No. 59 of 1995 s. 42; No. 77 of 2006 Sch. 1 cl. 147(2); No. 58 of 2010 s. 99 and 134.]</w:t>
      </w:r>
    </w:p>
    <w:p>
      <w:pPr>
        <w:pStyle w:val="Heading5"/>
        <w:rPr>
          <w:snapToGrid w:val="0"/>
        </w:rPr>
      </w:pPr>
      <w:bookmarkStart w:id="169" w:name="_Toc404159089"/>
      <w:bookmarkStart w:id="170" w:name="_Toc486576193"/>
      <w:r>
        <w:rPr>
          <w:rStyle w:val="CharSectno"/>
        </w:rPr>
        <w:t>71</w:t>
      </w:r>
      <w:r>
        <w:rPr>
          <w:snapToGrid w:val="0"/>
        </w:rPr>
        <w:t>.</w:t>
      </w:r>
      <w:r>
        <w:rPr>
          <w:snapToGrid w:val="0"/>
        </w:rPr>
        <w:tab/>
      </w:r>
      <w:r>
        <w:t>Date of audit, Commissioner may change</w:t>
      </w:r>
      <w:bookmarkEnd w:id="169"/>
      <w:bookmarkEnd w:id="170"/>
    </w:p>
    <w:p>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71 amended by No. 58 of 2010 s. 134.]</w:t>
      </w:r>
    </w:p>
    <w:p>
      <w:pPr>
        <w:pStyle w:val="Heading5"/>
        <w:rPr>
          <w:snapToGrid w:val="0"/>
        </w:rPr>
      </w:pPr>
      <w:bookmarkStart w:id="171" w:name="_Toc404159090"/>
      <w:bookmarkStart w:id="172" w:name="_Toc486576194"/>
      <w:r>
        <w:rPr>
          <w:rStyle w:val="CharSectno"/>
        </w:rPr>
        <w:t>72</w:t>
      </w:r>
      <w:r>
        <w:rPr>
          <w:snapToGrid w:val="0"/>
        </w:rPr>
        <w:t>.</w:t>
      </w:r>
      <w:r>
        <w:rPr>
          <w:snapToGrid w:val="0"/>
        </w:rPr>
        <w:tab/>
        <w:t>Auditors, qualification and approval of</w:t>
      </w:r>
      <w:bookmarkEnd w:id="171"/>
      <w:bookmarkEnd w:id="172"/>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pPr>
        <w:pStyle w:val="Footnotesection"/>
      </w:pPr>
      <w:r>
        <w:tab/>
        <w:t>[Section 72 amended by No. 10 of 1982 s. 28; No. 59 of 1995 s. 16; No. 10 of 2001 s. 220; No. 28 of 2003 s. 175; No. 58 of 2010 s. 134.]</w:t>
      </w:r>
    </w:p>
    <w:p>
      <w:pPr>
        <w:pStyle w:val="Heading5"/>
        <w:rPr>
          <w:snapToGrid w:val="0"/>
        </w:rPr>
      </w:pPr>
      <w:bookmarkStart w:id="173" w:name="_Toc404159091"/>
      <w:bookmarkStart w:id="174" w:name="_Toc486576195"/>
      <w:r>
        <w:rPr>
          <w:rStyle w:val="CharSectno"/>
        </w:rPr>
        <w:t>73</w:t>
      </w:r>
      <w:r>
        <w:rPr>
          <w:snapToGrid w:val="0"/>
        </w:rPr>
        <w:t>.</w:t>
      </w:r>
      <w:r>
        <w:rPr>
          <w:snapToGrid w:val="0"/>
        </w:rPr>
        <w:tab/>
        <w:t>Auditors, appointment of</w:t>
      </w:r>
      <w:bookmarkEnd w:id="173"/>
      <w:bookmarkEnd w:id="174"/>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73 amended by No. 58 of 2010 s. 134.]</w:t>
      </w:r>
    </w:p>
    <w:p>
      <w:pPr>
        <w:pStyle w:val="Heading5"/>
        <w:rPr>
          <w:snapToGrid w:val="0"/>
        </w:rPr>
      </w:pPr>
      <w:bookmarkStart w:id="175" w:name="_Toc404159092"/>
      <w:bookmarkStart w:id="176" w:name="_Toc486576196"/>
      <w:r>
        <w:rPr>
          <w:rStyle w:val="CharSectno"/>
        </w:rPr>
        <w:t>74</w:t>
      </w:r>
      <w:r>
        <w:rPr>
          <w:snapToGrid w:val="0"/>
        </w:rPr>
        <w:t>.</w:t>
      </w:r>
      <w:r>
        <w:rPr>
          <w:snapToGrid w:val="0"/>
        </w:rPr>
        <w:tab/>
        <w:t>Audits of business carried on at more than one place, directions as to</w:t>
      </w:r>
      <w:bookmarkEnd w:id="175"/>
      <w:bookmarkEnd w:id="176"/>
    </w:p>
    <w:p>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ind w:left="890" w:hanging="890"/>
      </w:pPr>
      <w:r>
        <w:tab/>
        <w:t>[Section 74 amended by No. 58 of 2010 s. 134.]</w:t>
      </w:r>
    </w:p>
    <w:p>
      <w:pPr>
        <w:pStyle w:val="Heading5"/>
        <w:rPr>
          <w:snapToGrid w:val="0"/>
        </w:rPr>
      </w:pPr>
      <w:bookmarkStart w:id="177" w:name="_Toc404159093"/>
      <w:bookmarkStart w:id="178" w:name="_Toc486576197"/>
      <w:r>
        <w:rPr>
          <w:rStyle w:val="CharSectno"/>
        </w:rPr>
        <w:t>75</w:t>
      </w:r>
      <w:r>
        <w:rPr>
          <w:snapToGrid w:val="0"/>
        </w:rPr>
        <w:t>.</w:t>
      </w:r>
      <w:r>
        <w:rPr>
          <w:snapToGrid w:val="0"/>
        </w:rPr>
        <w:tab/>
      </w:r>
      <w:r>
        <w:t>Approvals etc. under this Part, Commissioner’s power to cancel etc.</w:t>
      </w:r>
      <w:bookmarkEnd w:id="177"/>
      <w:bookmarkEnd w:id="178"/>
    </w:p>
    <w:p>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pPr>
        <w:pStyle w:val="Footnotesection"/>
        <w:ind w:left="890" w:hanging="890"/>
      </w:pPr>
      <w:r>
        <w:tab/>
        <w:t>[Section 75 amended by No. 58 of 2010 s. 134.]</w:t>
      </w:r>
    </w:p>
    <w:p>
      <w:pPr>
        <w:pStyle w:val="Ednotesection"/>
        <w:ind w:left="0" w:firstLine="0"/>
      </w:pPr>
      <w:r>
        <w:t>[</w:t>
      </w:r>
      <w:r>
        <w:rPr>
          <w:b/>
        </w:rPr>
        <w:t>76.</w:t>
      </w:r>
      <w:r>
        <w:tab/>
        <w:t>Deleted by No. 55 of 2004 s. 1012.]</w:t>
      </w:r>
    </w:p>
    <w:p>
      <w:pPr>
        <w:pStyle w:val="Heading5"/>
        <w:rPr>
          <w:snapToGrid w:val="0"/>
        </w:rPr>
      </w:pPr>
      <w:bookmarkStart w:id="179" w:name="_Toc404159094"/>
      <w:bookmarkStart w:id="180" w:name="_Toc486576198"/>
      <w:r>
        <w:rPr>
          <w:rStyle w:val="CharSectno"/>
        </w:rPr>
        <w:t>77</w:t>
      </w:r>
      <w:r>
        <w:rPr>
          <w:snapToGrid w:val="0"/>
        </w:rPr>
        <w:t>.</w:t>
      </w:r>
      <w:r>
        <w:rPr>
          <w:snapToGrid w:val="0"/>
        </w:rPr>
        <w:tab/>
        <w:t>Audits, agents’ duties and auditors’ powers as to</w:t>
      </w:r>
      <w:bookmarkEnd w:id="179"/>
      <w:bookmarkEnd w:id="180"/>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181" w:name="_Toc404159095"/>
      <w:bookmarkStart w:id="182" w:name="_Toc486576199"/>
      <w:r>
        <w:rPr>
          <w:rStyle w:val="CharSectno"/>
        </w:rPr>
        <w:t>78</w:t>
      </w:r>
      <w:r>
        <w:rPr>
          <w:snapToGrid w:val="0"/>
        </w:rPr>
        <w:t>.</w:t>
      </w:r>
      <w:r>
        <w:rPr>
          <w:snapToGrid w:val="0"/>
        </w:rPr>
        <w:tab/>
        <w:t>Audits, bankers’ duties as to</w:t>
      </w:r>
      <w:bookmarkEnd w:id="181"/>
      <w:bookmarkEnd w:id="182"/>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183" w:name="_Toc404159096"/>
      <w:bookmarkStart w:id="184" w:name="_Toc486576200"/>
      <w:r>
        <w:rPr>
          <w:rStyle w:val="CharSectno"/>
        </w:rPr>
        <w:t>79</w:t>
      </w:r>
      <w:r>
        <w:rPr>
          <w:snapToGrid w:val="0"/>
        </w:rPr>
        <w:t>.</w:t>
      </w:r>
      <w:r>
        <w:rPr>
          <w:snapToGrid w:val="0"/>
        </w:rPr>
        <w:tab/>
        <w:t>Auditors’ reports, content of</w:t>
      </w:r>
      <w:bookmarkEnd w:id="183"/>
      <w:bookmarkEnd w:id="184"/>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w:t>
      </w:r>
    </w:p>
    <w:p>
      <w:pPr>
        <w:pStyle w:val="Indenta"/>
        <w:rPr>
          <w:snapToGrid w:val="0"/>
        </w:rPr>
      </w:pPr>
      <w:r>
        <w:rPr>
          <w:snapToGrid w:val="0"/>
        </w:rPr>
        <w:tab/>
        <w:t>(a)</w:t>
      </w:r>
      <w:r>
        <w:rPr>
          <w:snapToGrid w:val="0"/>
        </w:rPr>
        <w:tab/>
        <w:t>whether the trust accounts of such agent have in the opinion of the auditor been kept regularly and properly written up; and</w:t>
      </w:r>
    </w:p>
    <w:p>
      <w:pPr>
        <w:pStyle w:val="Indenta"/>
        <w:rPr>
          <w:snapToGrid w:val="0"/>
        </w:rPr>
      </w:pPr>
      <w:r>
        <w:rPr>
          <w:snapToGrid w:val="0"/>
        </w:rPr>
        <w:tab/>
        <w:t>(b)</w:t>
      </w:r>
      <w:r>
        <w:rPr>
          <w:snapToGrid w:val="0"/>
        </w:rPr>
        <w:tab/>
        <w:t>whether the trust accounts of such agent have been ready for examination at the periods appointed by the auditor; and</w:t>
      </w:r>
    </w:p>
    <w:p>
      <w:pPr>
        <w:pStyle w:val="Indenta"/>
        <w:rPr>
          <w:snapToGrid w:val="0"/>
        </w:rPr>
      </w:pPr>
      <w:r>
        <w:rPr>
          <w:snapToGrid w:val="0"/>
        </w:rPr>
        <w:tab/>
        <w:t>(c)</w:t>
      </w:r>
      <w:r>
        <w:rPr>
          <w:snapToGrid w:val="0"/>
        </w:rPr>
        <w:tab/>
        <w:t>whether such agent has complied with the auditor’s requirements; and</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79 amended by No. 74 of 1980 s. 10; No. 59 of 1995 s. 17; No. 58 of 2010 s. 134.]</w:t>
      </w:r>
    </w:p>
    <w:p>
      <w:pPr>
        <w:pStyle w:val="Heading5"/>
        <w:rPr>
          <w:snapToGrid w:val="0"/>
        </w:rPr>
      </w:pPr>
      <w:bookmarkStart w:id="185" w:name="_Toc404159097"/>
      <w:bookmarkStart w:id="186" w:name="_Toc486576201"/>
      <w:r>
        <w:rPr>
          <w:rStyle w:val="CharSectno"/>
        </w:rPr>
        <w:t>80</w:t>
      </w:r>
      <w:r>
        <w:rPr>
          <w:snapToGrid w:val="0"/>
        </w:rPr>
        <w:t>.</w:t>
      </w:r>
      <w:r>
        <w:rPr>
          <w:snapToGrid w:val="0"/>
        </w:rPr>
        <w:tab/>
        <w:t>Moneys etc. held on trust, statement of by agents</w:t>
      </w:r>
      <w:bookmarkEnd w:id="185"/>
      <w:bookmarkEnd w:id="186"/>
    </w:p>
    <w:p>
      <w:pPr>
        <w:pStyle w:val="Subsection"/>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187" w:name="_Toc404159098"/>
      <w:bookmarkStart w:id="188" w:name="_Toc486576202"/>
      <w:r>
        <w:rPr>
          <w:rStyle w:val="CharSectno"/>
        </w:rPr>
        <w:t>81</w:t>
      </w:r>
      <w:r>
        <w:rPr>
          <w:snapToGrid w:val="0"/>
        </w:rPr>
        <w:t>.</w:t>
      </w:r>
      <w:r>
        <w:rPr>
          <w:snapToGrid w:val="0"/>
        </w:rPr>
        <w:tab/>
        <w:t>Auditor’s report to report breaches of law etc.</w:t>
      </w:r>
      <w:bookmarkEnd w:id="187"/>
      <w:bookmarkEnd w:id="188"/>
    </w:p>
    <w:p>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pPr>
        <w:pStyle w:val="Footnotesection"/>
      </w:pPr>
      <w:r>
        <w:tab/>
        <w:t>[Section 81 amended by No. 58 of 2010 s. 134.]</w:t>
      </w:r>
    </w:p>
    <w:p>
      <w:pPr>
        <w:pStyle w:val="Heading5"/>
        <w:rPr>
          <w:snapToGrid w:val="0"/>
        </w:rPr>
      </w:pPr>
      <w:bookmarkStart w:id="189" w:name="_Toc404159099"/>
      <w:bookmarkStart w:id="190" w:name="_Toc486576203"/>
      <w:r>
        <w:rPr>
          <w:rStyle w:val="CharSectno"/>
        </w:rPr>
        <w:t>82</w:t>
      </w:r>
      <w:r>
        <w:rPr>
          <w:snapToGrid w:val="0"/>
        </w:rPr>
        <w:t>.</w:t>
      </w:r>
      <w:r>
        <w:rPr>
          <w:snapToGrid w:val="0"/>
        </w:rPr>
        <w:tab/>
        <w:t>Auditors’ duty of confidentiality</w:t>
      </w:r>
      <w:bookmarkEnd w:id="189"/>
      <w:bookmarkEnd w:id="190"/>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191" w:name="_Toc404159100"/>
      <w:bookmarkStart w:id="192" w:name="_Toc486576204"/>
      <w:r>
        <w:rPr>
          <w:rStyle w:val="CharSectno"/>
        </w:rPr>
        <w:t>83</w:t>
      </w:r>
      <w:r>
        <w:rPr>
          <w:snapToGrid w:val="0"/>
        </w:rPr>
        <w:t>.</w:t>
      </w:r>
      <w:r>
        <w:rPr>
          <w:snapToGrid w:val="0"/>
        </w:rPr>
        <w:tab/>
        <w:t>Right of some persons to information in auditors’ reports</w:t>
      </w:r>
      <w:bookmarkEnd w:id="191"/>
      <w:bookmarkEnd w:id="192"/>
    </w:p>
    <w:p>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pPr>
        <w:pStyle w:val="Subsection"/>
        <w:rPr>
          <w:snapToGrid w:val="0"/>
        </w:rPr>
      </w:pPr>
      <w:r>
        <w:rPr>
          <w:snapToGrid w:val="0"/>
        </w:rPr>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pPr>
        <w:pStyle w:val="Footnotesection"/>
      </w:pPr>
      <w:r>
        <w:tab/>
        <w:t>[Section 83 amended by No. 58 of 2010 s. 100 and 134.]</w:t>
      </w:r>
    </w:p>
    <w:p>
      <w:pPr>
        <w:pStyle w:val="Heading5"/>
        <w:rPr>
          <w:snapToGrid w:val="0"/>
        </w:rPr>
      </w:pPr>
      <w:bookmarkStart w:id="193" w:name="_Toc404159101"/>
      <w:bookmarkStart w:id="194" w:name="_Toc486576205"/>
      <w:r>
        <w:rPr>
          <w:rStyle w:val="CharSectno"/>
        </w:rPr>
        <w:t>84</w:t>
      </w:r>
      <w:r>
        <w:rPr>
          <w:snapToGrid w:val="0"/>
        </w:rPr>
        <w:t>.</w:t>
      </w:r>
      <w:r>
        <w:rPr>
          <w:snapToGrid w:val="0"/>
        </w:rPr>
        <w:tab/>
        <w:t>Offences under this Part</w:t>
      </w:r>
      <w:bookmarkEnd w:id="193"/>
      <w:bookmarkEnd w:id="194"/>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84 amended by No. 43 of 1994 s. 11; No. 59 of 1995 s. 18.]</w:t>
      </w:r>
    </w:p>
    <w:p>
      <w:pPr>
        <w:pStyle w:val="Heading5"/>
        <w:rPr>
          <w:snapToGrid w:val="0"/>
        </w:rPr>
      </w:pPr>
      <w:bookmarkStart w:id="195" w:name="_Toc404159102"/>
      <w:bookmarkStart w:id="196" w:name="_Toc486576206"/>
      <w:r>
        <w:rPr>
          <w:rStyle w:val="CharSectno"/>
        </w:rPr>
        <w:t>85</w:t>
      </w:r>
      <w:r>
        <w:rPr>
          <w:snapToGrid w:val="0"/>
        </w:rPr>
        <w:t>.</w:t>
      </w:r>
      <w:r>
        <w:rPr>
          <w:snapToGrid w:val="0"/>
        </w:rPr>
        <w:tab/>
        <w:t>Auditors’ remuneration</w:t>
      </w:r>
      <w:bookmarkEnd w:id="195"/>
      <w:bookmarkEnd w:id="196"/>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197" w:name="_Toc404159103"/>
      <w:bookmarkStart w:id="198" w:name="_Toc486576207"/>
      <w:r>
        <w:rPr>
          <w:rStyle w:val="CharSectno"/>
        </w:rPr>
        <w:t>86</w:t>
      </w:r>
      <w:r>
        <w:rPr>
          <w:snapToGrid w:val="0"/>
        </w:rPr>
        <w:t>.</w:t>
      </w:r>
      <w:r>
        <w:rPr>
          <w:snapToGrid w:val="0"/>
        </w:rPr>
        <w:tab/>
        <w:t>Agents with no accounts to audit</w:t>
      </w:r>
      <w:bookmarkEnd w:id="197"/>
      <w:bookmarkEnd w:id="198"/>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pPr>
        <w:pStyle w:val="Footnotesection"/>
      </w:pPr>
      <w:r>
        <w:tab/>
        <w:t>[Section 86 amended by No. 58 of 2010 s. 134.]</w:t>
      </w:r>
    </w:p>
    <w:p>
      <w:pPr>
        <w:pStyle w:val="Heading5"/>
        <w:rPr>
          <w:snapToGrid w:val="0"/>
        </w:rPr>
      </w:pPr>
      <w:bookmarkStart w:id="199" w:name="_Toc404159104"/>
      <w:bookmarkStart w:id="200" w:name="_Toc486576208"/>
      <w:r>
        <w:rPr>
          <w:rStyle w:val="CharSectno"/>
        </w:rPr>
        <w:t>87</w:t>
      </w:r>
      <w:r>
        <w:rPr>
          <w:snapToGrid w:val="0"/>
        </w:rPr>
        <w:t>.</w:t>
      </w:r>
      <w:r>
        <w:rPr>
          <w:snapToGrid w:val="0"/>
        </w:rPr>
        <w:tab/>
        <w:t>Accounts of firm or body corporate or agent with branch office, effect of audits as to</w:t>
      </w:r>
      <w:bookmarkEnd w:id="199"/>
      <w:bookmarkEnd w:id="200"/>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201" w:name="_Toc404159105"/>
      <w:bookmarkStart w:id="202" w:name="_Toc486576209"/>
      <w:r>
        <w:rPr>
          <w:rStyle w:val="CharSectno"/>
        </w:rPr>
        <w:t>88</w:t>
      </w:r>
      <w:r>
        <w:rPr>
          <w:snapToGrid w:val="0"/>
        </w:rPr>
        <w:t>.</w:t>
      </w:r>
      <w:r>
        <w:rPr>
          <w:snapToGrid w:val="0"/>
        </w:rPr>
        <w:tab/>
      </w:r>
      <w:r>
        <w:t>Audit of trust account, Commissioner may do</w:t>
      </w:r>
      <w:bookmarkEnd w:id="201"/>
      <w:bookmarkEnd w:id="202"/>
    </w:p>
    <w:p>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pPr>
        <w:pStyle w:val="Footnotesection"/>
        <w:keepNext/>
        <w:keepLines w:val="0"/>
      </w:pPr>
      <w:r>
        <w:tab/>
        <w:t>[Section 88 amended by No. 58 of 2010 s. 134.]</w:t>
      </w:r>
    </w:p>
    <w:p>
      <w:pPr>
        <w:pStyle w:val="Ednotesection"/>
      </w:pPr>
      <w:r>
        <w:t>[</w:t>
      </w:r>
      <w:r>
        <w:rPr>
          <w:b/>
        </w:rPr>
        <w:t>89.</w:t>
      </w:r>
      <w:r>
        <w:tab/>
        <w:t>Deleted by No. 74 of 1980 s. 9.]</w:t>
      </w:r>
    </w:p>
    <w:p>
      <w:pPr>
        <w:pStyle w:val="Heading5"/>
        <w:rPr>
          <w:snapToGrid w:val="0"/>
        </w:rPr>
      </w:pPr>
      <w:bookmarkStart w:id="203" w:name="_Toc404159106"/>
      <w:bookmarkStart w:id="204" w:name="_Toc486576210"/>
      <w:r>
        <w:rPr>
          <w:rStyle w:val="CharSectno"/>
        </w:rPr>
        <w:t>90</w:t>
      </w:r>
      <w:r>
        <w:rPr>
          <w:snapToGrid w:val="0"/>
        </w:rPr>
        <w:t>.</w:t>
      </w:r>
      <w:r>
        <w:rPr>
          <w:snapToGrid w:val="0"/>
        </w:rPr>
        <w:tab/>
        <w:t>Cost of audit done under s. 88</w:t>
      </w:r>
      <w:bookmarkEnd w:id="203"/>
      <w:bookmarkEnd w:id="204"/>
    </w:p>
    <w:p>
      <w:pPr>
        <w:pStyle w:val="Subsection"/>
        <w:spacing w:before="120"/>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pPr>
        <w:pStyle w:val="Subsection"/>
        <w:spacing w:before="120"/>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pPr>
        <w:pStyle w:val="Footnotesection"/>
        <w:spacing w:before="80"/>
        <w:ind w:left="890" w:hanging="890"/>
      </w:pPr>
      <w:r>
        <w:tab/>
        <w:t>[Section 90 amended by No. 29 of 1982 s. 12; No. 59 of 1995 s. 42; No. 77 of 2006 Sch. 1 cl. 147(2); No. 58 of 2010 s. 134.]</w:t>
      </w:r>
    </w:p>
    <w:p>
      <w:pPr>
        <w:pStyle w:val="Heading5"/>
        <w:rPr>
          <w:snapToGrid w:val="0"/>
        </w:rPr>
      </w:pPr>
      <w:bookmarkStart w:id="205" w:name="_Toc404159107"/>
      <w:bookmarkStart w:id="206" w:name="_Toc486576211"/>
      <w:r>
        <w:rPr>
          <w:rStyle w:val="CharSectno"/>
        </w:rPr>
        <w:t>91</w:t>
      </w:r>
      <w:r>
        <w:rPr>
          <w:snapToGrid w:val="0"/>
        </w:rPr>
        <w:t>.</w:t>
      </w:r>
      <w:r>
        <w:rPr>
          <w:snapToGrid w:val="0"/>
        </w:rPr>
        <w:tab/>
        <w:t>Confidentiality of audit done under s. 88</w:t>
      </w:r>
      <w:bookmarkEnd w:id="205"/>
      <w:bookmarkEnd w:id="206"/>
    </w:p>
    <w:p>
      <w:pPr>
        <w:pStyle w:val="Subsection"/>
        <w:spacing w:before="120"/>
        <w:rPr>
          <w:snapToGrid w:val="0"/>
        </w:rPr>
      </w:pPr>
      <w:r>
        <w:rPr>
          <w:snapToGrid w:val="0"/>
        </w:rPr>
        <w:tab/>
      </w:r>
      <w:r>
        <w:rPr>
          <w:snapToGrid w:val="0"/>
        </w:rPr>
        <w:tab/>
        <w:t>The provisions of section 82 apply to an auditor nominated by the </w:t>
      </w:r>
      <w:r>
        <w:t>Commissioner</w:t>
      </w:r>
      <w:r>
        <w:rPr>
          <w:snapToGrid w:val="0"/>
        </w:rPr>
        <w:t xml:space="preserve"> under section 88 with such modifications as circumstances require.</w:t>
      </w:r>
    </w:p>
    <w:p>
      <w:pPr>
        <w:pStyle w:val="Footnotesection"/>
        <w:spacing w:before="80"/>
        <w:ind w:left="890" w:hanging="890"/>
      </w:pPr>
      <w:r>
        <w:tab/>
        <w:t>[Section 91 amended by No. 74 of 2003 s. 101; No. 23 of 2014 s. 75.]</w:t>
      </w:r>
    </w:p>
    <w:p>
      <w:pPr>
        <w:pStyle w:val="Heading5"/>
        <w:keepNext w:val="0"/>
        <w:keepLines w:val="0"/>
        <w:rPr>
          <w:snapToGrid w:val="0"/>
        </w:rPr>
      </w:pPr>
      <w:bookmarkStart w:id="207" w:name="_Toc404159108"/>
      <w:bookmarkStart w:id="208" w:name="_Toc486576212"/>
      <w:r>
        <w:rPr>
          <w:rStyle w:val="CharSectno"/>
        </w:rPr>
        <w:t>92</w:t>
      </w:r>
      <w:r>
        <w:rPr>
          <w:snapToGrid w:val="0"/>
        </w:rPr>
        <w:t>.</w:t>
      </w:r>
      <w:r>
        <w:rPr>
          <w:snapToGrid w:val="0"/>
        </w:rPr>
        <w:tab/>
        <w:t>Restraining bank etc. from dealing with agent’s account, SAT’s powers as to</w:t>
      </w:r>
      <w:bookmarkEnd w:id="207"/>
      <w:bookmarkEnd w:id="208"/>
    </w:p>
    <w:p>
      <w:pPr>
        <w:pStyle w:val="Subsection"/>
        <w:spacing w:before="120"/>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evidence on affidavit to the satisfaction of the State Administrative Tribunal that —</w:t>
      </w:r>
    </w:p>
    <w:p>
      <w:pPr>
        <w:pStyle w:val="Indenta"/>
        <w:spacing w:before="60"/>
        <w:rPr>
          <w:snapToGrid w:val="0"/>
        </w:rPr>
      </w:pPr>
      <w:r>
        <w:rPr>
          <w:snapToGrid w:val="0"/>
        </w:rPr>
        <w:tab/>
        <w:t>(a)</w:t>
      </w:r>
      <w:r>
        <w:rPr>
          <w:snapToGrid w:val="0"/>
        </w:rPr>
        <w:tab/>
        <w:t>there are reasonable grounds for believing that there is a deficiency in the trust account of any agent; or</w:t>
      </w:r>
    </w:p>
    <w:p>
      <w:pPr>
        <w:pStyle w:val="Indenta"/>
        <w:keepNext/>
        <w:spacing w:before="60"/>
        <w:rPr>
          <w:snapToGrid w:val="0"/>
        </w:rPr>
      </w:pPr>
      <w:r>
        <w:rPr>
          <w:snapToGrid w:val="0"/>
        </w:rPr>
        <w:tab/>
        <w:t>(b)</w:t>
      </w:r>
      <w:r>
        <w:rPr>
          <w:snapToGrid w:val="0"/>
        </w:rPr>
        <w:tab/>
        <w:t>there has been undue or unreasonable refusal, neglect, or delay on the part of any agent in paying moneys,</w:t>
      </w:r>
    </w:p>
    <w:p>
      <w:pPr>
        <w:pStyle w:val="Indenti"/>
        <w:spacing w:before="60"/>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[Section 92 amended by No. 59 of 1995 s. 40(1); No. 26 of 1999 s. 99(4); No. 55 of 2004 s. 1021; No. 58 of 2010 s. 134.]</w:t>
      </w:r>
    </w:p>
    <w:p>
      <w:pPr>
        <w:pStyle w:val="Heading5"/>
        <w:rPr>
          <w:snapToGrid w:val="0"/>
        </w:rPr>
      </w:pPr>
      <w:bookmarkStart w:id="209" w:name="_Toc404159109"/>
      <w:bookmarkStart w:id="210" w:name="_Toc486576213"/>
      <w:r>
        <w:rPr>
          <w:rStyle w:val="CharSectno"/>
        </w:rPr>
        <w:t>93</w:t>
      </w:r>
      <w:r>
        <w:rPr>
          <w:snapToGrid w:val="0"/>
        </w:rPr>
        <w:t>.</w:t>
      </w:r>
      <w:r>
        <w:rPr>
          <w:snapToGrid w:val="0"/>
        </w:rPr>
        <w:tab/>
        <w:t>Suspension of agents, appointment of supervisors etc., SAT’s powers as to</w:t>
      </w:r>
      <w:bookmarkEnd w:id="209"/>
      <w:bookmarkEnd w:id="210"/>
    </w:p>
    <w:p>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w:t>
      </w:r>
    </w:p>
    <w:p>
      <w:pPr>
        <w:pStyle w:val="Indenta"/>
        <w:rPr>
          <w:snapToGrid w:val="0"/>
        </w:rPr>
      </w:pPr>
      <w:r>
        <w:rPr>
          <w:snapToGrid w:val="0"/>
        </w:rPr>
        <w:tab/>
        <w:t>(a)</w:t>
      </w:r>
      <w:r>
        <w:rPr>
          <w:snapToGrid w:val="0"/>
        </w:rPr>
        <w:tab/>
        <w:t>suspend the agent from carrying on his business for such period as may be specified in the order; and</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 and</w:t>
      </w:r>
    </w:p>
    <w:p>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 and</w:t>
      </w:r>
    </w:p>
    <w:p>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w:t>
      </w:r>
      <w:r>
        <w:t xml:space="preserve"> Commissioner</w:t>
      </w:r>
      <w:r>
        <w:rPr>
          <w:snapToGrid w:val="0"/>
        </w:rPr>
        <w:t>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 and</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w:t>
      </w:r>
    </w:p>
    <w:p>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pPr>
        <w:pStyle w:val="Footnotesection"/>
      </w:pPr>
      <w:r>
        <w:tab/>
        <w:t>[Section 93 amended by No. 59 of 1995 s. 42; No. 55 of 2004 s. 1021; No. 77 of 2006 Sch. 1 cl. 147(4) and (5); No. 58 of 2010 s. 134.]</w:t>
      </w:r>
    </w:p>
    <w:p>
      <w:pPr>
        <w:pStyle w:val="Heading5"/>
        <w:rPr>
          <w:snapToGrid w:val="0"/>
        </w:rPr>
      </w:pPr>
      <w:bookmarkStart w:id="211" w:name="_Toc404159110"/>
      <w:bookmarkStart w:id="212" w:name="_Toc486576214"/>
      <w:r>
        <w:rPr>
          <w:rStyle w:val="CharSectno"/>
        </w:rPr>
        <w:t>94</w:t>
      </w:r>
      <w:r>
        <w:rPr>
          <w:snapToGrid w:val="0"/>
        </w:rPr>
        <w:t>.</w:t>
      </w:r>
      <w:r>
        <w:rPr>
          <w:snapToGrid w:val="0"/>
        </w:rPr>
        <w:tab/>
        <w:t>Order under s. 93 for supervisor, effect of</w:t>
      </w:r>
      <w:bookmarkEnd w:id="211"/>
      <w:bookmarkEnd w:id="212"/>
    </w:p>
    <w:p>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 and</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proportion shall be paid to the </w:t>
      </w:r>
      <w:r>
        <w:t>Commissioner</w:t>
      </w:r>
      <w:r>
        <w:rPr>
          <w:snapToGrid w:val="0"/>
        </w:rPr>
        <w:t xml:space="preserve"> towards the expenses and remuneration of the supervisor and for reimbursement of advances made under paragraph (b).</w:t>
      </w:r>
    </w:p>
    <w:p>
      <w:pPr>
        <w:pStyle w:val="Subsection"/>
        <w:keepNext/>
        <w:keepLines/>
        <w:rPr>
          <w:snapToGrid w:val="0"/>
        </w:rPr>
      </w:pPr>
      <w:r>
        <w:rPr>
          <w:snapToGrid w:val="0"/>
        </w:rPr>
        <w:tab/>
        <w:t>(2)</w:t>
      </w:r>
      <w:r>
        <w:rPr>
          <w:snapToGrid w:val="0"/>
        </w:rPr>
        <w:tab/>
        <w:t xml:space="preserve">An appointment of a supervisor shall be in </w:t>
      </w:r>
      <w:r>
        <w:t>writing.</w:t>
      </w:r>
    </w:p>
    <w:p>
      <w:pPr>
        <w:pStyle w:val="Footnotesection"/>
      </w:pPr>
      <w:r>
        <w:tab/>
        <w:t>[Section 94 amended by No. 58 of 2010 s. 101 and 134.]</w:t>
      </w:r>
    </w:p>
    <w:p>
      <w:pPr>
        <w:pStyle w:val="Heading5"/>
        <w:rPr>
          <w:snapToGrid w:val="0"/>
        </w:rPr>
      </w:pPr>
      <w:bookmarkStart w:id="213" w:name="_Toc404159111"/>
      <w:bookmarkStart w:id="214" w:name="_Toc486576215"/>
      <w:r>
        <w:rPr>
          <w:rStyle w:val="CharSectno"/>
        </w:rPr>
        <w:t>95</w:t>
      </w:r>
      <w:r>
        <w:rPr>
          <w:snapToGrid w:val="0"/>
        </w:rPr>
        <w:t>.</w:t>
      </w:r>
      <w:r>
        <w:rPr>
          <w:snapToGrid w:val="0"/>
        </w:rPr>
        <w:tab/>
        <w:t>Supervisors’ duties</w:t>
      </w:r>
      <w:bookmarkEnd w:id="213"/>
      <w:bookmarkEnd w:id="214"/>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215" w:name="_Toc404159112"/>
      <w:bookmarkStart w:id="216" w:name="_Toc486576216"/>
      <w:r>
        <w:rPr>
          <w:rStyle w:val="CharSectno"/>
        </w:rPr>
        <w:t>96</w:t>
      </w:r>
      <w:r>
        <w:rPr>
          <w:snapToGrid w:val="0"/>
        </w:rPr>
        <w:t>.</w:t>
      </w:r>
      <w:r>
        <w:rPr>
          <w:snapToGrid w:val="0"/>
        </w:rPr>
        <w:tab/>
        <w:t>Hindering etc. supervisors, offence</w:t>
      </w:r>
      <w:bookmarkEnd w:id="215"/>
      <w:bookmarkEnd w:id="216"/>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[Section 96 amended by No. 43 of 1994 s. 11.]</w:t>
      </w:r>
    </w:p>
    <w:p>
      <w:pPr>
        <w:pStyle w:val="Heading5"/>
        <w:rPr>
          <w:snapToGrid w:val="0"/>
        </w:rPr>
      </w:pPr>
      <w:bookmarkStart w:id="217" w:name="_Toc404159113"/>
      <w:bookmarkStart w:id="218" w:name="_Toc486576217"/>
      <w:r>
        <w:rPr>
          <w:rStyle w:val="CharSectno"/>
        </w:rPr>
        <w:t>97</w:t>
      </w:r>
      <w:r>
        <w:rPr>
          <w:snapToGrid w:val="0"/>
        </w:rPr>
        <w:t>.</w:t>
      </w:r>
      <w:r>
        <w:rPr>
          <w:snapToGrid w:val="0"/>
        </w:rPr>
        <w:tab/>
        <w:t>Discharge or variation of s. 92 or 93 order</w:t>
      </w:r>
      <w:bookmarkEnd w:id="217"/>
      <w:bookmarkEnd w:id="218"/>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r>
        <w:tab/>
        <w:t>[Section 97 amended by No. 55 of 2004 s. 1021.]</w:t>
      </w:r>
    </w:p>
    <w:p>
      <w:pPr>
        <w:pStyle w:val="Heading5"/>
        <w:rPr>
          <w:snapToGrid w:val="0"/>
        </w:rPr>
      </w:pPr>
      <w:bookmarkStart w:id="219" w:name="_Toc404159114"/>
      <w:bookmarkStart w:id="220" w:name="_Toc486576218"/>
      <w:r>
        <w:rPr>
          <w:rStyle w:val="CharSectno"/>
        </w:rPr>
        <w:t>98</w:t>
      </w:r>
      <w:r>
        <w:rPr>
          <w:snapToGrid w:val="0"/>
        </w:rPr>
        <w:t>.</w:t>
      </w:r>
      <w:r>
        <w:rPr>
          <w:snapToGrid w:val="0"/>
        </w:rPr>
        <w:tab/>
        <w:t>SAT’s additional powers as to s. 92, 93 and 97 orders; schemes for distributing funds</w:t>
      </w:r>
      <w:bookmarkEnd w:id="219"/>
      <w:bookmarkEnd w:id="220"/>
    </w:p>
    <w:p>
      <w:pPr>
        <w:pStyle w:val="Subsection"/>
        <w:keepNext/>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 and</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[Section 98 amended by No. 59 of 1995 s. 40(1) and 42; No. 26 of 1999 s. 99(5); No. 55 of 2004 s. 1021; No. 77 of 2006 Sch. 1 cl. 147(6) and (7); No. 58 of 2010 s. 134.]</w:t>
      </w:r>
    </w:p>
    <w:p>
      <w:pPr>
        <w:pStyle w:val="Heading5"/>
        <w:rPr>
          <w:snapToGrid w:val="0"/>
        </w:rPr>
      </w:pPr>
      <w:bookmarkStart w:id="221" w:name="_Toc404159115"/>
      <w:bookmarkStart w:id="222" w:name="_Toc486576219"/>
      <w:r>
        <w:rPr>
          <w:rStyle w:val="CharSectno"/>
        </w:rPr>
        <w:t>99</w:t>
      </w:r>
      <w:r>
        <w:rPr>
          <w:snapToGrid w:val="0"/>
        </w:rPr>
        <w:t>.</w:t>
      </w:r>
      <w:r>
        <w:rPr>
          <w:snapToGrid w:val="0"/>
        </w:rPr>
        <w:tab/>
        <w:t>Service of s. 92, 93, 97 or 98 orders; penalty for breach of</w:t>
      </w:r>
      <w:bookmarkEnd w:id="221"/>
      <w:bookmarkEnd w:id="222"/>
    </w:p>
    <w:p>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(8); No. 58 of 2010 s. 134.]</w:t>
      </w:r>
    </w:p>
    <w:p>
      <w:pPr>
        <w:pStyle w:val="Heading5"/>
        <w:spacing w:before="180"/>
      </w:pPr>
      <w:bookmarkStart w:id="223" w:name="_Toc404159116"/>
      <w:bookmarkStart w:id="224" w:name="_Toc486576220"/>
      <w:r>
        <w:rPr>
          <w:rStyle w:val="CharSectno"/>
        </w:rPr>
        <w:t>100</w:t>
      </w:r>
      <w:r>
        <w:t>.</w:t>
      </w:r>
      <w:r>
        <w:tab/>
        <w:t>Banks etc., duty to disclose certain accounts etc. if required to by authorised person</w:t>
      </w:r>
      <w:bookmarkEnd w:id="223"/>
      <w:bookmarkEnd w:id="224"/>
    </w:p>
    <w:p>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p>
    <w:p>
      <w:pPr>
        <w:pStyle w:val="Footnotesection"/>
        <w:spacing w:before="80"/>
        <w:ind w:left="890" w:hanging="890"/>
      </w:pPr>
      <w:r>
        <w:tab/>
        <w:t>[Section 100 inserted by No. 58 of 2010 s. 102.]</w:t>
      </w:r>
    </w:p>
    <w:p>
      <w:pPr>
        <w:pStyle w:val="Heading5"/>
        <w:spacing w:before="180"/>
        <w:rPr>
          <w:snapToGrid w:val="0"/>
        </w:rPr>
      </w:pPr>
      <w:bookmarkStart w:id="225" w:name="_Toc404159117"/>
      <w:bookmarkStart w:id="226" w:name="_Toc486576221"/>
      <w:r>
        <w:rPr>
          <w:rStyle w:val="CharSectno"/>
        </w:rPr>
        <w:t>100A</w:t>
      </w:r>
      <w:r>
        <w:rPr>
          <w:snapToGrid w:val="0"/>
        </w:rPr>
        <w:t>.</w:t>
      </w:r>
      <w:r>
        <w:rPr>
          <w:snapToGrid w:val="0"/>
        </w:rPr>
        <w:tab/>
      </w:r>
      <w:r>
        <w:t>Information about trust accounts, Commissioner’s power to obtain</w:t>
      </w:r>
      <w:bookmarkEnd w:id="225"/>
      <w:bookmarkEnd w:id="226"/>
    </w:p>
    <w:p>
      <w:pPr>
        <w:pStyle w:val="Subsection"/>
        <w:keepNext/>
        <w:spacing w:before="120"/>
        <w:rPr>
          <w:snapToGrid w:val="0"/>
        </w:rPr>
      </w:pPr>
      <w:r>
        <w:rPr>
          <w:snapToGrid w:val="0"/>
        </w:rPr>
        <w:tab/>
        <w:t>(1)</w:t>
      </w:r>
      <w:r>
        <w:rPr>
          <w:snapToGrid w:val="0"/>
        </w:rPr>
        <w:tab/>
        <w:t xml:space="preserve">The </w:t>
      </w:r>
      <w:r>
        <w:t>Commissioner</w:t>
      </w:r>
      <w:r>
        <w:rPr>
          <w:snapToGrid w:val="0"/>
        </w:rPr>
        <w:t xml:space="preserve"> may require —</w:t>
      </w:r>
    </w:p>
    <w:p>
      <w:pPr>
        <w:pStyle w:val="Indenta"/>
        <w:spacing w:before="60"/>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pPr>
        <w:pStyle w:val="Indenta"/>
        <w:spacing w:before="60"/>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pPr>
        <w:pStyle w:val="Subsection"/>
        <w:spacing w:before="80"/>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w:t>
      </w:r>
    </w:p>
    <w:p>
      <w:pPr>
        <w:pStyle w:val="Indenta"/>
        <w:spacing w:before="60"/>
        <w:rPr>
          <w:snapToGrid w:val="0"/>
        </w:rPr>
      </w:pPr>
      <w:r>
        <w:rPr>
          <w:snapToGrid w:val="0"/>
        </w:rPr>
        <w:tab/>
        <w:t>(a)</w:t>
      </w:r>
      <w:r>
        <w:rPr>
          <w:snapToGrid w:val="0"/>
        </w:rPr>
        <w:tab/>
        <w:t>shall be given by notice in writing to the person required to give the information; and</w:t>
      </w:r>
    </w:p>
    <w:p>
      <w:pPr>
        <w:pStyle w:val="Indenta"/>
        <w:spacing w:before="60"/>
        <w:rPr>
          <w:snapToGrid w:val="0"/>
        </w:rPr>
      </w:pPr>
      <w:r>
        <w:rPr>
          <w:snapToGrid w:val="0"/>
        </w:rPr>
        <w:tab/>
        <w:t>(b)</w:t>
      </w:r>
      <w:r>
        <w:rPr>
          <w:snapToGrid w:val="0"/>
        </w:rPr>
        <w:tab/>
        <w:t>shall specify the time at or within which the information is to be given; and</w:t>
      </w:r>
    </w:p>
    <w:p>
      <w:pPr>
        <w:pStyle w:val="Indenta"/>
        <w:keepNext/>
        <w:spacing w:before="60"/>
        <w:rPr>
          <w:snapToGrid w:val="0"/>
        </w:rPr>
      </w:pPr>
      <w:r>
        <w:rPr>
          <w:snapToGrid w:val="0"/>
        </w:rPr>
        <w:tab/>
        <w:t>(c)</w:t>
      </w:r>
      <w:r>
        <w:rPr>
          <w:snapToGrid w:val="0"/>
        </w:rPr>
        <w:tab/>
        <w:t>may, by its terms, require that the information be —</w:t>
      </w:r>
    </w:p>
    <w:p>
      <w:pPr>
        <w:pStyle w:val="Indenti"/>
        <w:spacing w:before="60"/>
        <w:rPr>
          <w:snapToGrid w:val="0"/>
        </w:rPr>
      </w:pPr>
      <w:r>
        <w:rPr>
          <w:snapToGrid w:val="0"/>
        </w:rPr>
        <w:tab/>
        <w:t>(i)</w:t>
      </w:r>
      <w:r>
        <w:rPr>
          <w:snapToGrid w:val="0"/>
        </w:rPr>
        <w:tab/>
        <w:t>given in writing; and</w:t>
      </w:r>
    </w:p>
    <w:p>
      <w:pPr>
        <w:pStyle w:val="Indenti"/>
        <w:spacing w:before="6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 and</w:t>
      </w:r>
    </w:p>
    <w:p>
      <w:pPr>
        <w:pStyle w:val="Indenti"/>
        <w:spacing w:before="60"/>
        <w:rPr>
          <w:snapToGrid w:val="0"/>
        </w:rPr>
      </w:pPr>
      <w:r>
        <w:rPr>
          <w:snapToGrid w:val="0"/>
        </w:rPr>
        <w:tab/>
        <w:t>(iii)</w:t>
      </w:r>
      <w:r>
        <w:rPr>
          <w:snapToGrid w:val="0"/>
        </w:rPr>
        <w:tab/>
        <w:t>given at or sent or delivered to any place specified in the requirement; and</w:t>
      </w:r>
    </w:p>
    <w:p>
      <w:pPr>
        <w:pStyle w:val="Indenti"/>
        <w:spacing w:before="60"/>
        <w:rPr>
          <w:snapToGrid w:val="0"/>
        </w:rPr>
      </w:pPr>
      <w:r>
        <w:rPr>
          <w:snapToGrid w:val="0"/>
        </w:rPr>
        <w:tab/>
        <w:t>(iv)</w:t>
      </w:r>
      <w:r>
        <w:rPr>
          <w:snapToGrid w:val="0"/>
        </w:rPr>
        <w:tab/>
        <w:t>sent or delivered by any means specified in the requirement; and</w:t>
      </w:r>
    </w:p>
    <w:p>
      <w:pPr>
        <w:pStyle w:val="Indenti"/>
        <w:spacing w:before="60"/>
        <w:rPr>
          <w:snapToGrid w:val="0"/>
        </w:rPr>
      </w:pPr>
      <w:r>
        <w:rPr>
          <w:snapToGrid w:val="0"/>
        </w:rPr>
        <w:tab/>
        <w:t>(v)</w:t>
      </w:r>
      <w:r>
        <w:rPr>
          <w:snapToGrid w:val="0"/>
        </w:rPr>
        <w:tab/>
        <w:t>given on oath or affirmation or by statutory declaration;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shall state that the person to whom the notice is given is required under this Act to give the information.</w:t>
      </w:r>
    </w:p>
    <w:p>
      <w:pPr>
        <w:pStyle w:val="Subsection"/>
        <w:spacing w:before="140"/>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spacing w:before="140"/>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spacing w:before="140"/>
        <w:rPr>
          <w:snapToGrid w:val="0"/>
        </w:rPr>
      </w:pPr>
      <w:r>
        <w:rPr>
          <w:snapToGrid w:val="0"/>
        </w:rPr>
        <w:tab/>
        <w:t>(5)</w:t>
      </w:r>
      <w:r>
        <w:rPr>
          <w:snapToGrid w:val="0"/>
        </w:rPr>
        <w:tab/>
        <w:t>It is a defence in proceedings for an offence against subsection (3) for the person to show that —</w:t>
      </w:r>
    </w:p>
    <w:p>
      <w:pPr>
        <w:pStyle w:val="Indenta"/>
        <w:spacing w:before="60"/>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keepNext/>
        <w:keepLines/>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pPr>
        <w:pStyle w:val="Footnotesection"/>
      </w:pPr>
      <w:r>
        <w:tab/>
        <w:t>[Section 100A inserted by No. 59 of 1995 s. 19; amended by No. 10 of 2001 s. 220; No. 58 of 2010 s. 134.]</w:t>
      </w:r>
    </w:p>
    <w:p>
      <w:pPr>
        <w:pStyle w:val="Heading2"/>
      </w:pPr>
      <w:bookmarkStart w:id="227" w:name="_Toc404159118"/>
      <w:bookmarkStart w:id="228" w:name="_Toc424293144"/>
      <w:bookmarkStart w:id="229" w:name="_Toc435024507"/>
      <w:bookmarkStart w:id="230" w:name="_Toc468701015"/>
      <w:bookmarkStart w:id="231" w:name="_Toc486576222"/>
      <w:r>
        <w:rPr>
          <w:rStyle w:val="CharPartNo"/>
        </w:rPr>
        <w:t>Part VII</w:t>
      </w:r>
      <w:r>
        <w:rPr>
          <w:rStyle w:val="CharDivNo"/>
        </w:rPr>
        <w:t> </w:t>
      </w:r>
      <w:r>
        <w:t>—</w:t>
      </w:r>
      <w:r>
        <w:rPr>
          <w:rStyle w:val="CharDivText"/>
        </w:rPr>
        <w:t> </w:t>
      </w:r>
      <w:r>
        <w:rPr>
          <w:rStyle w:val="CharPartText"/>
        </w:rPr>
        <w:t>Discipline of agents and sales representatives</w:t>
      </w:r>
      <w:bookmarkEnd w:id="227"/>
      <w:bookmarkEnd w:id="228"/>
      <w:bookmarkEnd w:id="229"/>
      <w:bookmarkEnd w:id="230"/>
      <w:bookmarkEnd w:id="231"/>
    </w:p>
    <w:p>
      <w:pPr>
        <w:pStyle w:val="Heading5"/>
        <w:rPr>
          <w:snapToGrid w:val="0"/>
        </w:rPr>
      </w:pPr>
      <w:bookmarkStart w:id="232" w:name="_Toc404159119"/>
      <w:bookmarkStart w:id="233" w:name="_Toc486576223"/>
      <w:r>
        <w:rPr>
          <w:rStyle w:val="CharSectno"/>
        </w:rPr>
        <w:t>101</w:t>
      </w:r>
      <w:r>
        <w:rPr>
          <w:snapToGrid w:val="0"/>
        </w:rPr>
        <w:t>.</w:t>
      </w:r>
      <w:r>
        <w:rPr>
          <w:snapToGrid w:val="0"/>
        </w:rPr>
        <w:tab/>
      </w:r>
      <w:r>
        <w:t>Codes of conduct</w:t>
      </w:r>
      <w:bookmarkEnd w:id="232"/>
      <w:bookmarkEnd w:id="233"/>
    </w:p>
    <w:p>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Footnotesection"/>
      </w:pPr>
      <w:r>
        <w:tab/>
        <w:t>[Section 101 amended by No. 58 of 2010 s. 134.]</w:t>
      </w:r>
    </w:p>
    <w:p>
      <w:pPr>
        <w:pStyle w:val="Heading5"/>
        <w:rPr>
          <w:snapToGrid w:val="0"/>
        </w:rPr>
      </w:pPr>
      <w:bookmarkStart w:id="234" w:name="_Toc404159120"/>
      <w:bookmarkStart w:id="235" w:name="_Toc486576224"/>
      <w:r>
        <w:rPr>
          <w:rStyle w:val="CharSectno"/>
        </w:rPr>
        <w:t>102</w:t>
      </w:r>
      <w:r>
        <w:rPr>
          <w:snapToGrid w:val="0"/>
        </w:rPr>
        <w:t>.</w:t>
      </w:r>
      <w:r>
        <w:rPr>
          <w:snapToGrid w:val="0"/>
        </w:rPr>
        <w:tab/>
        <w:t>Disciplinary action by SAT, alleging cause for</w:t>
      </w:r>
      <w:bookmarkEnd w:id="234"/>
      <w:bookmarkEnd w:id="235"/>
    </w:p>
    <w:p>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[Section 102 amended by No. 74 of 1980 s. 10; No. 34 of 1998 s. 16; No. 55 of 2004 s. 1013 and 1020; No. 58 of 2010 s. 134.]</w:t>
      </w:r>
    </w:p>
    <w:p>
      <w:pPr>
        <w:pStyle w:val="Heading5"/>
        <w:rPr>
          <w:snapToGrid w:val="0"/>
        </w:rPr>
      </w:pPr>
      <w:bookmarkStart w:id="236" w:name="_Toc404159121"/>
      <w:bookmarkStart w:id="237" w:name="_Toc486576225"/>
      <w:r>
        <w:rPr>
          <w:rStyle w:val="CharSectno"/>
        </w:rPr>
        <w:t>103</w:t>
      </w:r>
      <w:r>
        <w:rPr>
          <w:snapToGrid w:val="0"/>
        </w:rPr>
        <w:t>.</w:t>
      </w:r>
      <w:r>
        <w:rPr>
          <w:snapToGrid w:val="0"/>
        </w:rPr>
        <w:tab/>
        <w:t>Disciplinary action, SAT’s powers as to</w:t>
      </w:r>
      <w:bookmarkEnd w:id="236"/>
      <w:bookmarkEnd w:id="237"/>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w:t>
      </w:r>
    </w:p>
    <w:p>
      <w:pPr>
        <w:pStyle w:val="Indenta"/>
        <w:spacing w:before="70"/>
        <w:rPr>
          <w:snapToGrid w:val="0"/>
        </w:rPr>
      </w:pPr>
      <w:r>
        <w:rPr>
          <w:snapToGrid w:val="0"/>
        </w:rPr>
        <w:tab/>
        <w:t>(a)</w:t>
      </w:r>
      <w:r>
        <w:rPr>
          <w:snapToGrid w:val="0"/>
        </w:rPr>
        <w:tab/>
        <w:t>reprimand or caution the agent;</w:t>
      </w:r>
    </w:p>
    <w:p>
      <w:pPr>
        <w:pStyle w:val="Indenta"/>
        <w:spacing w:before="70"/>
        <w:rPr>
          <w:snapToGrid w:val="0"/>
        </w:rPr>
      </w:pPr>
      <w:r>
        <w:rPr>
          <w:snapToGrid w:val="0"/>
        </w:rPr>
        <w:tab/>
        <w:t>(b)</w:t>
      </w:r>
      <w:r>
        <w:rPr>
          <w:snapToGrid w:val="0"/>
        </w:rPr>
        <w:tab/>
        <w:t>impose a fine not exceeding $10 000 on him;</w:t>
      </w:r>
    </w:p>
    <w:p>
      <w:pPr>
        <w:pStyle w:val="Indenta"/>
        <w:spacing w:before="70"/>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spacing w:before="70"/>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w:t>
      </w:r>
    </w:p>
    <w:p>
      <w:pPr>
        <w:pStyle w:val="Indenti"/>
        <w:spacing w:before="70"/>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spacing w:before="70"/>
        <w:rPr>
          <w:snapToGrid w:val="0"/>
        </w:rPr>
      </w:pPr>
      <w:r>
        <w:rPr>
          <w:snapToGrid w:val="0"/>
        </w:rPr>
        <w:tab/>
        <w:t>(ii)</w:t>
      </w:r>
      <w:r>
        <w:rPr>
          <w:snapToGrid w:val="0"/>
        </w:rPr>
        <w:tab/>
        <w:t>order that a demand by the agent in contravention of a provision referred to in the subsection for the whole or part of any commission, reward or other valuable consideration not be made, or if made, be withdrawn or varied in accordance with the order;</w:t>
      </w:r>
    </w:p>
    <w:p>
      <w:pPr>
        <w:pStyle w:val="Indenta"/>
        <w:spacing w:before="70"/>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w:t>
      </w:r>
    </w:p>
    <w:p>
      <w:pPr>
        <w:pStyle w:val="Indenta"/>
        <w:rPr>
          <w:snapToGrid w:val="0"/>
        </w:rPr>
      </w:pPr>
      <w:r>
        <w:rPr>
          <w:snapToGrid w:val="0"/>
        </w:rPr>
        <w:tab/>
        <w:t>(a)</w:t>
      </w:r>
      <w:r>
        <w:rPr>
          <w:snapToGrid w:val="0"/>
        </w:rPr>
        <w:tab/>
        <w:t>the agent improperly obtained a licence or triennial certificate; or</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 or</w:t>
      </w:r>
    </w:p>
    <w:p>
      <w:pPr>
        <w:pStyle w:val="Indenta"/>
        <w:keepNext/>
        <w:rPr>
          <w:snapToGrid w:val="0"/>
        </w:rPr>
      </w:pPr>
      <w:r>
        <w:rPr>
          <w:snapToGrid w:val="0"/>
        </w:rPr>
        <w:tab/>
        <w:t>(c)</w:t>
      </w:r>
      <w:r>
        <w:rPr>
          <w:snapToGrid w:val="0"/>
        </w:rPr>
        <w:tab/>
        <w:t>the agent is acting or has acted in breach of —</w:t>
      </w:r>
    </w:p>
    <w:p>
      <w:pPr>
        <w:pStyle w:val="Indenti"/>
        <w:rPr>
          <w:snapToGrid w:val="0"/>
        </w:rPr>
      </w:pPr>
      <w:r>
        <w:rPr>
          <w:snapToGrid w:val="0"/>
        </w:rPr>
        <w:tab/>
        <w:t>(i)</w:t>
      </w:r>
      <w:r>
        <w:rPr>
          <w:snapToGrid w:val="0"/>
        </w:rPr>
        <w:tab/>
        <w:t>a special condition of his licence or triennial certificate;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w:t>
      </w:r>
    </w:p>
    <w:p>
      <w:pPr>
        <w:pStyle w:val="Indenta"/>
        <w:rPr>
          <w:snapToGrid w:val="0"/>
        </w:rPr>
      </w:pPr>
      <w:r>
        <w:rPr>
          <w:snapToGrid w:val="0"/>
        </w:rPr>
        <w:tab/>
        <w:t>(a)</w:t>
      </w:r>
      <w:r>
        <w:rPr>
          <w:snapToGrid w:val="0"/>
        </w:rPr>
        <w:tab/>
        <w:t>the sales representative improperly obtained registration; or</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 or</w:t>
      </w:r>
    </w:p>
    <w:p>
      <w:pPr>
        <w:pStyle w:val="Indenta"/>
        <w:keepNext/>
        <w:rPr>
          <w:snapToGrid w:val="0"/>
        </w:rPr>
      </w:pPr>
      <w:r>
        <w:rPr>
          <w:snapToGrid w:val="0"/>
        </w:rPr>
        <w:tab/>
        <w:t>(c)</w:t>
      </w:r>
      <w:r>
        <w:rPr>
          <w:snapToGrid w:val="0"/>
        </w:rPr>
        <w:tab/>
        <w:t>the sales representative is acting or has acted in breach of —</w:t>
      </w:r>
    </w:p>
    <w:p>
      <w:pPr>
        <w:pStyle w:val="Indenti"/>
        <w:rPr>
          <w:snapToGrid w:val="0"/>
        </w:rPr>
      </w:pPr>
      <w:r>
        <w:rPr>
          <w:snapToGrid w:val="0"/>
        </w:rPr>
        <w:tab/>
        <w:t>(i)</w:t>
      </w:r>
      <w:r>
        <w:rPr>
          <w:snapToGrid w:val="0"/>
        </w:rPr>
        <w:tab/>
        <w:t>a special condition of his registration;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code of conduct for sales representatives;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[Section 103 amended by No. 43 of 1994 s. 11; No. 59 of 1995 s. 20; No. 34 of 1998 s. 17; No. 55 of 2004 s. 1014 and 1020; No. 58 of 2010 s. 134.]</w:t>
      </w:r>
    </w:p>
    <w:p>
      <w:pPr>
        <w:pStyle w:val="Heading5"/>
        <w:rPr>
          <w:snapToGrid w:val="0"/>
        </w:rPr>
      </w:pPr>
      <w:bookmarkStart w:id="238" w:name="_Toc404159122"/>
      <w:bookmarkStart w:id="239" w:name="_Toc486576226"/>
      <w:r>
        <w:rPr>
          <w:rStyle w:val="CharSectno"/>
        </w:rPr>
        <w:t>104</w:t>
      </w:r>
      <w:r>
        <w:rPr>
          <w:snapToGrid w:val="0"/>
        </w:rPr>
        <w:t>.</w:t>
      </w:r>
      <w:r>
        <w:rPr>
          <w:snapToGrid w:val="0"/>
        </w:rPr>
        <w:tab/>
        <w:t>Offences that cause licence and triennial certificate to be cancelled</w:t>
      </w:r>
      <w:bookmarkEnd w:id="238"/>
      <w:bookmarkEnd w:id="239"/>
    </w:p>
    <w:p>
      <w:pPr>
        <w:pStyle w:val="Subsection"/>
        <w:keepNext/>
        <w:rPr>
          <w:snapToGrid w:val="0"/>
        </w:rPr>
      </w:pPr>
      <w:r>
        <w:rPr>
          <w:snapToGrid w:val="0"/>
        </w:rPr>
        <w:tab/>
      </w:r>
      <w:r>
        <w:rPr>
          <w:snapToGrid w:val="0"/>
        </w:rPr>
        <w:tab/>
        <w:t>If a licensee is convicted of an offence involving —</w:t>
      </w:r>
    </w:p>
    <w:p>
      <w:pPr>
        <w:pStyle w:val="Indenta"/>
        <w:rPr>
          <w:snapToGrid w:val="0"/>
        </w:rPr>
      </w:pPr>
      <w:r>
        <w:rPr>
          <w:snapToGrid w:val="0"/>
        </w:rPr>
        <w:tab/>
        <w:t>(a)</w:t>
      </w:r>
      <w:r>
        <w:rPr>
          <w:snapToGrid w:val="0"/>
        </w:rPr>
        <w:tab/>
        <w:t>defalcation by the licensee; or</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pPr>
        <w:pStyle w:val="Footnotesection"/>
      </w:pPr>
      <w:r>
        <w:tab/>
        <w:t>[Section 104 amended by No. 59 of 2004 s. 141; No. 58 of 2010 s. 134.]</w:t>
      </w:r>
    </w:p>
    <w:p>
      <w:pPr>
        <w:pStyle w:val="Heading5"/>
        <w:rPr>
          <w:snapToGrid w:val="0"/>
        </w:rPr>
      </w:pPr>
      <w:bookmarkStart w:id="240" w:name="_Toc404159123"/>
      <w:bookmarkStart w:id="241" w:name="_Toc486576227"/>
      <w:r>
        <w:rPr>
          <w:rStyle w:val="CharSectno"/>
        </w:rPr>
        <w:t>105</w:t>
      </w:r>
      <w:r>
        <w:rPr>
          <w:snapToGrid w:val="0"/>
        </w:rPr>
        <w:t>.</w:t>
      </w:r>
      <w:r>
        <w:rPr>
          <w:snapToGrid w:val="0"/>
        </w:rPr>
        <w:tab/>
        <w:t>Certain offences by licensees, additional sentencing powers for</w:t>
      </w:r>
      <w:bookmarkEnd w:id="240"/>
      <w:bookmarkEnd w:id="241"/>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w:t>
      </w:r>
    </w:p>
    <w:p>
      <w:pPr>
        <w:pStyle w:val="Indenta"/>
        <w:spacing w:before="60"/>
        <w:rPr>
          <w:snapToGrid w:val="0"/>
        </w:rPr>
      </w:pPr>
      <w:r>
        <w:rPr>
          <w:snapToGrid w:val="0"/>
        </w:rPr>
        <w:tab/>
        <w:t>(a)</w:t>
      </w:r>
      <w:r>
        <w:rPr>
          <w:snapToGrid w:val="0"/>
        </w:rPr>
        <w:tab/>
        <w:t>reprimand or caution the licensee;</w:t>
      </w:r>
    </w:p>
    <w:p>
      <w:pPr>
        <w:pStyle w:val="Indenta"/>
        <w:spacing w:before="60"/>
        <w:rPr>
          <w:snapToGrid w:val="0"/>
        </w:rPr>
      </w:pPr>
      <w:r>
        <w:rPr>
          <w:snapToGrid w:val="0"/>
        </w:rPr>
        <w:tab/>
        <w:t>(b)</w:t>
      </w:r>
      <w:r>
        <w:rPr>
          <w:snapToGrid w:val="0"/>
        </w:rPr>
        <w:tab/>
        <w:t>impose a fine not exceeding $10 000 on him;</w:t>
      </w:r>
    </w:p>
    <w:p>
      <w:pPr>
        <w:pStyle w:val="Indenta"/>
        <w:spacing w:before="60"/>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spacing w:before="120"/>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[Section 105 amended by No. 43 of 1994 s. 11; No. 55 of 2004 s. 1020; No. 59 of 2004 s. 141; No. 58 of 2010 s. 134.]</w:t>
      </w:r>
    </w:p>
    <w:p>
      <w:pPr>
        <w:pStyle w:val="Heading5"/>
        <w:rPr>
          <w:snapToGrid w:val="0"/>
        </w:rPr>
      </w:pPr>
      <w:bookmarkStart w:id="242" w:name="_Toc404159124"/>
      <w:bookmarkStart w:id="243" w:name="_Toc486576228"/>
      <w:r>
        <w:rPr>
          <w:rStyle w:val="CharSectno"/>
        </w:rPr>
        <w:t>106</w:t>
      </w:r>
      <w:r>
        <w:rPr>
          <w:snapToGrid w:val="0"/>
        </w:rPr>
        <w:t>.</w:t>
      </w:r>
      <w:r>
        <w:rPr>
          <w:snapToGrid w:val="0"/>
        </w:rPr>
        <w:tab/>
        <w:t>Persons with cancelled licences etc., offences by and in respect of</w:t>
      </w:r>
      <w:bookmarkEnd w:id="242"/>
      <w:bookmarkEnd w:id="243"/>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has had his licence cancelled under this Act; or</w:t>
      </w:r>
    </w:p>
    <w:p>
      <w:pPr>
        <w:pStyle w:val="Indenta"/>
        <w:spacing w:before="60"/>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w:t>
      </w:r>
      <w:r>
        <w:t xml:space="preserve"> Commissioner</w:t>
      </w:r>
      <w:r>
        <w:rPr>
          <w:snapToGrid w:val="0"/>
        </w:rPr>
        <w:t>,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w:t>
      </w:r>
    </w:p>
    <w:p>
      <w:pPr>
        <w:pStyle w:val="Indenta"/>
        <w:rPr>
          <w:snapToGrid w:val="0"/>
        </w:rPr>
      </w:pPr>
      <w:r>
        <w:rPr>
          <w:snapToGrid w:val="0"/>
        </w:rPr>
        <w:tab/>
        <w:t>(a)</w:t>
      </w:r>
      <w:r>
        <w:rPr>
          <w:snapToGrid w:val="0"/>
        </w:rPr>
        <w:tab/>
        <w:t>has had his licence cancelled under this Act; or</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[Section 106 amended by No. 43 of 1994 s. 11; No. 58 of 2010 s. 134.]</w:t>
      </w:r>
    </w:p>
    <w:p>
      <w:pPr>
        <w:pStyle w:val="Heading2"/>
      </w:pPr>
      <w:bookmarkStart w:id="244" w:name="_Toc404159125"/>
      <w:bookmarkStart w:id="245" w:name="_Toc424293151"/>
      <w:bookmarkStart w:id="246" w:name="_Toc435024514"/>
      <w:bookmarkStart w:id="247" w:name="_Toc468701022"/>
      <w:bookmarkStart w:id="248" w:name="_Toc486576229"/>
      <w:r>
        <w:rPr>
          <w:rStyle w:val="CharPartNo"/>
        </w:rPr>
        <w:t>Part VIII</w:t>
      </w:r>
      <w:r>
        <w:rPr>
          <w:rStyle w:val="CharDivNo"/>
        </w:rPr>
        <w:t> </w:t>
      </w:r>
      <w:r>
        <w:t>—</w:t>
      </w:r>
      <w:r>
        <w:rPr>
          <w:rStyle w:val="CharDivText"/>
        </w:rPr>
        <w:t> </w:t>
      </w:r>
      <w:r>
        <w:rPr>
          <w:rStyle w:val="CharPartText"/>
        </w:rPr>
        <w:t>Fidelity Guarantee Account</w:t>
      </w:r>
      <w:bookmarkEnd w:id="244"/>
      <w:bookmarkEnd w:id="245"/>
      <w:bookmarkEnd w:id="246"/>
      <w:bookmarkEnd w:id="247"/>
      <w:bookmarkEnd w:id="248"/>
    </w:p>
    <w:p>
      <w:pPr>
        <w:pStyle w:val="Footnoteheading"/>
      </w:pPr>
      <w:r>
        <w:tab/>
        <w:t>[Heading amended by No. 77 of 2006 Sch. 1 cl. 147(8).]</w:t>
      </w:r>
    </w:p>
    <w:p>
      <w:pPr>
        <w:pStyle w:val="Heading5"/>
      </w:pPr>
      <w:bookmarkStart w:id="249" w:name="_Toc404159126"/>
      <w:bookmarkStart w:id="250" w:name="_Toc486576230"/>
      <w:r>
        <w:rPr>
          <w:rStyle w:val="CharSectno"/>
        </w:rPr>
        <w:t>107</w:t>
      </w:r>
      <w:r>
        <w:t>.</w:t>
      </w:r>
      <w:r>
        <w:tab/>
        <w:t>Account established</w:t>
      </w:r>
      <w:bookmarkEnd w:id="249"/>
      <w:bookmarkEnd w:id="250"/>
    </w:p>
    <w:p>
      <w:pPr>
        <w:pStyle w:val="Subsection"/>
      </w:pPr>
      <w:r>
        <w:tab/>
      </w:r>
      <w:r>
        <w:tab/>
        <w:t>An account called the Real Estate and Business Agents Fidelity Guarantee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inserted by No. 77 of 2006 Sch. 1 cl. 147(9).]</w:t>
      </w:r>
    </w:p>
    <w:p>
      <w:pPr>
        <w:pStyle w:val="Heading5"/>
        <w:rPr>
          <w:snapToGrid w:val="0"/>
        </w:rPr>
      </w:pPr>
      <w:bookmarkStart w:id="251" w:name="_Toc404159127"/>
      <w:bookmarkStart w:id="252" w:name="_Toc486576231"/>
      <w:r>
        <w:rPr>
          <w:rStyle w:val="CharSectno"/>
        </w:rPr>
        <w:t>108</w:t>
      </w:r>
      <w:r>
        <w:rPr>
          <w:snapToGrid w:val="0"/>
        </w:rPr>
        <w:t>.</w:t>
      </w:r>
      <w:r>
        <w:rPr>
          <w:snapToGrid w:val="0"/>
        </w:rPr>
        <w:tab/>
        <w:t>Investment of moneys in account</w:t>
      </w:r>
      <w:bookmarkEnd w:id="251"/>
      <w:bookmarkEnd w:id="252"/>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[Section 108 inserted by No. 59 of 1995 s. 22; amended by No. 77 of 2006 Sch. 1 cl. 147(2) and (10).]</w:t>
      </w:r>
    </w:p>
    <w:p>
      <w:pPr>
        <w:pStyle w:val="Heading5"/>
        <w:rPr>
          <w:snapToGrid w:val="0"/>
        </w:rPr>
      </w:pPr>
      <w:bookmarkStart w:id="253" w:name="_Toc404159128"/>
      <w:bookmarkStart w:id="254" w:name="_Toc486576232"/>
      <w:r>
        <w:rPr>
          <w:rStyle w:val="CharSectno"/>
        </w:rPr>
        <w:t>109</w:t>
      </w:r>
      <w:r>
        <w:rPr>
          <w:snapToGrid w:val="0"/>
        </w:rPr>
        <w:t>.</w:t>
      </w:r>
      <w:r>
        <w:rPr>
          <w:snapToGrid w:val="0"/>
        </w:rPr>
        <w:tab/>
        <w:t>Moneys to be credited to account</w:t>
      </w:r>
      <w:bookmarkEnd w:id="253"/>
      <w:bookmarkEnd w:id="254"/>
    </w:p>
    <w:p>
      <w:pPr>
        <w:pStyle w:val="Subsection"/>
        <w:keepNext/>
        <w:rPr>
          <w:snapToGrid w:val="0"/>
        </w:rPr>
      </w:pPr>
      <w:r>
        <w:rPr>
          <w:snapToGrid w:val="0"/>
        </w:rPr>
        <w:tab/>
      </w:r>
      <w:r>
        <w:rPr>
          <w:snapToGrid w:val="0"/>
        </w:rPr>
        <w:tab/>
        <w:t>There shall be credited to the Fidelity</w:t>
      </w:r>
      <w:r>
        <w:t xml:space="preserve"> Account</w:t>
      </w:r>
      <w:r>
        <w:rPr>
          <w:snapToGrid w:val="0"/>
        </w:rPr>
        <w:t>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 and</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 and</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 and</w:t>
      </w:r>
    </w:p>
    <w:p>
      <w:pPr>
        <w:pStyle w:val="Indenta"/>
        <w:rPr>
          <w:snapToGrid w:val="0"/>
        </w:rPr>
      </w:pPr>
      <w:r>
        <w:rPr>
          <w:snapToGrid w:val="0"/>
        </w:rPr>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[Section 109 amended by No. 29 of 1982 s. 5 and 12; No. 59 of 1995 s. 23 and 42; No. 77 of 2006 Sch. 1 cl. 147(2); No. 58 of 2010 s. 103.]</w:t>
      </w:r>
    </w:p>
    <w:p>
      <w:pPr>
        <w:pStyle w:val="Heading5"/>
        <w:rPr>
          <w:snapToGrid w:val="0"/>
        </w:rPr>
      </w:pPr>
      <w:bookmarkStart w:id="255" w:name="_Toc404159129"/>
      <w:bookmarkStart w:id="256" w:name="_Toc486576233"/>
      <w:r>
        <w:rPr>
          <w:rStyle w:val="CharSectno"/>
        </w:rPr>
        <w:t>110</w:t>
      </w:r>
      <w:r>
        <w:rPr>
          <w:snapToGrid w:val="0"/>
        </w:rPr>
        <w:t>.</w:t>
      </w:r>
      <w:r>
        <w:rPr>
          <w:snapToGrid w:val="0"/>
        </w:rPr>
        <w:tab/>
        <w:t>Expenditure from account</w:t>
      </w:r>
      <w:bookmarkEnd w:id="255"/>
      <w:bookmarkEnd w:id="256"/>
    </w:p>
    <w:p>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 and</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 and</w:t>
      </w:r>
    </w:p>
    <w:p>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 and</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 and</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[Section 110 amended by No. 29 of 1982 s. 12; No. 59 of 1995 s. 24 and 42; No. 77 of 2006 Sch. 1 cl. 147(2); No. 58 of 2010 s. 104.]</w:t>
      </w:r>
    </w:p>
    <w:p>
      <w:pPr>
        <w:pStyle w:val="Ednotesection"/>
        <w:spacing w:before="180"/>
        <w:ind w:left="890" w:hanging="890"/>
      </w:pPr>
      <w:r>
        <w:t>[</w:t>
      </w:r>
      <w:r>
        <w:rPr>
          <w:b/>
        </w:rPr>
        <w:t>111.</w:t>
      </w:r>
      <w:r>
        <w:tab/>
        <w:t>Deleted by No. 98 of 1985 s. 3.]</w:t>
      </w:r>
    </w:p>
    <w:p>
      <w:pPr>
        <w:pStyle w:val="Heading5"/>
        <w:spacing w:before="180"/>
        <w:rPr>
          <w:snapToGrid w:val="0"/>
        </w:rPr>
      </w:pPr>
      <w:bookmarkStart w:id="257" w:name="_Toc404159130"/>
      <w:bookmarkStart w:id="258" w:name="_Toc486576234"/>
      <w:r>
        <w:rPr>
          <w:rStyle w:val="CharSectno"/>
        </w:rPr>
        <w:t>112</w:t>
      </w:r>
      <w:r>
        <w:rPr>
          <w:snapToGrid w:val="0"/>
        </w:rPr>
        <w:t>.</w:t>
      </w:r>
      <w:r>
        <w:rPr>
          <w:snapToGrid w:val="0"/>
        </w:rPr>
        <w:tab/>
      </w:r>
      <w:r>
        <w:t>Administration of account</w:t>
      </w:r>
      <w:bookmarkEnd w:id="257"/>
      <w:bookmarkEnd w:id="258"/>
    </w:p>
    <w:p>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pPr>
        <w:pStyle w:val="Footnotesection"/>
      </w:pPr>
      <w:r>
        <w:tab/>
        <w:t>[Section 112 amended by No. 29 of 1982 s. 12; No. 77 of 2006 Sch. 1 cl. 147(2); No. 58 of 2010 s. 105.]</w:t>
      </w:r>
    </w:p>
    <w:p>
      <w:pPr>
        <w:pStyle w:val="Heading5"/>
        <w:rPr>
          <w:snapToGrid w:val="0"/>
        </w:rPr>
      </w:pPr>
      <w:bookmarkStart w:id="259" w:name="_Toc404159131"/>
      <w:bookmarkStart w:id="260" w:name="_Toc486576235"/>
      <w:r>
        <w:rPr>
          <w:rStyle w:val="CharSectno"/>
        </w:rPr>
        <w:t>113</w:t>
      </w:r>
      <w:r>
        <w:rPr>
          <w:snapToGrid w:val="0"/>
        </w:rPr>
        <w:t>.</w:t>
      </w:r>
      <w:r>
        <w:rPr>
          <w:snapToGrid w:val="0"/>
        </w:rPr>
        <w:tab/>
        <w:t>Payments to account by applicants for licences etc.</w:t>
      </w:r>
      <w:bookmarkEnd w:id="259"/>
      <w:bookmarkEnd w:id="260"/>
    </w:p>
    <w:p>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pPr>
        <w:pStyle w:val="Footnotesection"/>
      </w:pPr>
      <w:r>
        <w:tab/>
        <w:t>[Section 113 amended by No. 29 of 1982 s. 12; No. 56 of 1995 s. 46; No. 59 of 1995 s. 42; No. 77 of 2006 Sch. 1 cl. 147(2); No. 58 of 2010 s. 106.]</w:t>
      </w:r>
    </w:p>
    <w:p>
      <w:pPr>
        <w:pStyle w:val="Heading5"/>
        <w:rPr>
          <w:snapToGrid w:val="0"/>
        </w:rPr>
      </w:pPr>
      <w:bookmarkStart w:id="261" w:name="_Toc404159132"/>
      <w:bookmarkStart w:id="262" w:name="_Toc486576236"/>
      <w:r>
        <w:rPr>
          <w:rStyle w:val="CharSectno"/>
        </w:rPr>
        <w:t>114</w:t>
      </w:r>
      <w:r>
        <w:rPr>
          <w:snapToGrid w:val="0"/>
        </w:rPr>
        <w:t>.</w:t>
      </w:r>
      <w:r>
        <w:rPr>
          <w:snapToGrid w:val="0"/>
        </w:rPr>
        <w:tab/>
        <w:t>Cap on payments under s. 113</w:t>
      </w:r>
      <w:bookmarkEnd w:id="261"/>
      <w:bookmarkEnd w:id="262"/>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[Section 114 amended by No. 74 of 1980 s. 11; No. 29 of 1982 s. 12; No. 59 of 1995 s. 42; No. 77 of 2006 Sch. 1 cl. 147(2).]</w:t>
      </w:r>
    </w:p>
    <w:p>
      <w:pPr>
        <w:pStyle w:val="Heading5"/>
        <w:rPr>
          <w:snapToGrid w:val="0"/>
        </w:rPr>
      </w:pPr>
      <w:bookmarkStart w:id="263" w:name="_Toc404159133"/>
      <w:bookmarkStart w:id="264" w:name="_Toc486576237"/>
      <w:r>
        <w:rPr>
          <w:rStyle w:val="CharSectno"/>
        </w:rPr>
        <w:t>115</w:t>
      </w:r>
      <w:r>
        <w:rPr>
          <w:snapToGrid w:val="0"/>
        </w:rPr>
        <w:t>.</w:t>
      </w:r>
      <w:r>
        <w:rPr>
          <w:snapToGrid w:val="0"/>
        </w:rPr>
        <w:tab/>
        <w:t>Levies for account against certificate holders</w:t>
      </w:r>
      <w:bookmarkEnd w:id="263"/>
      <w:bookmarkEnd w:id="264"/>
    </w:p>
    <w:p>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pPr>
        <w:pStyle w:val="Subsection"/>
        <w:keepNext/>
        <w:rPr>
          <w:snapToGrid w:val="0"/>
        </w:rPr>
      </w:pPr>
      <w:r>
        <w:rPr>
          <w:snapToGrid w:val="0"/>
        </w:rPr>
        <w:tab/>
        <w:t>(2)</w:t>
      </w:r>
      <w:r>
        <w:rPr>
          <w:snapToGrid w:val="0"/>
        </w:rPr>
        <w:tab/>
        <w:t>The amount of the levy shall not exceed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spacing w:before="140"/>
        <w:ind w:left="890" w:hanging="890"/>
      </w:pPr>
      <w:r>
        <w:tab/>
        <w:t>[Section 115 amended by No. 29 of 1982 s. 7; No. 77 of 1984 s. 3; No. 59 of 1995 s. 42; No. 77 of 2006 Sch. 1 cl. 147(2); No. 58 of 2010 s. 107.]</w:t>
      </w:r>
    </w:p>
    <w:p>
      <w:pPr>
        <w:pStyle w:val="Heading5"/>
        <w:rPr>
          <w:snapToGrid w:val="0"/>
        </w:rPr>
      </w:pPr>
      <w:bookmarkStart w:id="265" w:name="_Toc404159134"/>
      <w:bookmarkStart w:id="266" w:name="_Toc486576238"/>
      <w:r>
        <w:rPr>
          <w:rStyle w:val="CharSectno"/>
        </w:rPr>
        <w:t>116</w:t>
      </w:r>
      <w:r>
        <w:rPr>
          <w:snapToGrid w:val="0"/>
        </w:rPr>
        <w:t>.</w:t>
      </w:r>
      <w:r>
        <w:rPr>
          <w:snapToGrid w:val="0"/>
        </w:rPr>
        <w:tab/>
        <w:t>Purpose of account; making claims against account</w:t>
      </w:r>
      <w:bookmarkEnd w:id="265"/>
      <w:bookmarkEnd w:id="266"/>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pPr>
      <w:r>
        <w:tab/>
        <w:t>(2A)</w:t>
      </w:r>
      <w:r>
        <w:tab/>
        <w:t>For the purposes of a claim against the Fidelity Account, the reference in subsection (1) to any period when the licensee was the holder of a current triennial certificate includes a period when the licensee was not the holder of a current triennial certificate if the chief executive officer considers that it is just and reasonable in the circumstances of the claim.</w:t>
      </w:r>
    </w:p>
    <w:p>
      <w:pPr>
        <w:pStyle w:val="Subsection"/>
        <w:keepNext/>
        <w:keepLines/>
      </w:pPr>
      <w:r>
        <w:tab/>
        <w:t>(2)</w:t>
      </w:r>
      <w:r>
        <w:tab/>
        <w:t>The chief executive officer is to disallow a claim against the Fidelity Account unless —</w:t>
      </w:r>
    </w:p>
    <w:p>
      <w:pPr>
        <w:pStyle w:val="Indenta"/>
      </w:pPr>
      <w:r>
        <w:tab/>
        <w:t>(a)</w:t>
      </w:r>
      <w:r>
        <w:tab/>
        <w:t>notice of the claim is given in writing to the chief executive officer within 3 years after the day on which the claimant became aware of the defalcation; or</w:t>
      </w:r>
    </w:p>
    <w:p>
      <w:pPr>
        <w:pStyle w:val="Indenta"/>
      </w:pPr>
      <w:r>
        <w:tab/>
        <w:t>(b)</w:t>
      </w:r>
      <w:r>
        <w:tab/>
        <w:t>the chief executive officer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[Section 116 amended by No. 29 of 1982 s. 12; No. 3 of 2000 s. 4(1); No. 77 of 2006 Sch. 1 cl. 147(2); No. 58 of 2010 s. 108; No. 23 of 2014 s. 76.]</w:t>
      </w:r>
    </w:p>
    <w:p>
      <w:pPr>
        <w:pStyle w:val="Heading5"/>
        <w:spacing w:before="180"/>
        <w:rPr>
          <w:snapToGrid w:val="0"/>
        </w:rPr>
      </w:pPr>
      <w:bookmarkStart w:id="267" w:name="_Toc404159135"/>
      <w:bookmarkStart w:id="268" w:name="_Toc486576239"/>
      <w:r>
        <w:rPr>
          <w:rStyle w:val="CharSectno"/>
        </w:rPr>
        <w:t>117</w:t>
      </w:r>
      <w:r>
        <w:rPr>
          <w:snapToGrid w:val="0"/>
        </w:rPr>
        <w:t>.</w:t>
      </w:r>
      <w:r>
        <w:rPr>
          <w:snapToGrid w:val="0"/>
        </w:rPr>
        <w:tab/>
        <w:t>Claims against account; recovery from account</w:t>
      </w:r>
      <w:bookmarkEnd w:id="267"/>
      <w:bookmarkEnd w:id="268"/>
    </w:p>
    <w:p>
      <w:pPr>
        <w:pStyle w:val="Subsection"/>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pPr>
        <w:pStyle w:val="Subsection"/>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w:t>
      </w:r>
      <w:r>
        <w:rPr>
          <w:b/>
          <w:i/>
          <w:snapToGrid w:val="0"/>
        </w:rPr>
        <w:t>defalcation by a licensee</w:t>
      </w:r>
      <w:r>
        <w:rPr>
          <w:snapToGrid w:val="0"/>
        </w:rPr>
        <w:t xml:space="preserve"> in section 4.</w:t>
      </w:r>
    </w:p>
    <w:p>
      <w:pPr>
        <w:pStyle w:val="Footnotesection"/>
      </w:pPr>
      <w:r>
        <w:tab/>
        <w:t>[Section 117 amended by No. 29 of 1982 s. 12; No. 59 of 1995 s. 42; No. 3 of 2000 s. 5; No. 28 of 2003 s. 176; No. 77 of 2006 Sch. 1 cl. 147(2); No. 58 of 2010 s. 109.]</w:t>
      </w:r>
    </w:p>
    <w:p>
      <w:pPr>
        <w:pStyle w:val="Heading5"/>
        <w:rPr>
          <w:snapToGrid w:val="0"/>
        </w:rPr>
      </w:pPr>
      <w:bookmarkStart w:id="269" w:name="_Toc404159136"/>
      <w:bookmarkStart w:id="270" w:name="_Toc486576240"/>
      <w:r>
        <w:rPr>
          <w:rStyle w:val="CharSectno"/>
        </w:rPr>
        <w:t>118</w:t>
      </w:r>
      <w:r>
        <w:rPr>
          <w:snapToGrid w:val="0"/>
        </w:rPr>
        <w:t>.</w:t>
      </w:r>
      <w:r>
        <w:rPr>
          <w:snapToGrid w:val="0"/>
        </w:rPr>
        <w:tab/>
        <w:t>Defences to claims against account</w:t>
      </w:r>
      <w:bookmarkEnd w:id="269"/>
      <w:bookmarkEnd w:id="270"/>
    </w:p>
    <w:p>
      <w:pPr>
        <w:pStyle w:val="Subsection"/>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pPr>
        <w:pStyle w:val="Footnotesection"/>
      </w:pPr>
      <w:r>
        <w:tab/>
        <w:t>[Section 118 amended by No. 28 of 1982 s. 12; No. 77 of 2006 Sch. 1 cl. 147(2); No. 58 of 2010 s. 110.]</w:t>
      </w:r>
    </w:p>
    <w:p>
      <w:pPr>
        <w:pStyle w:val="Heading5"/>
        <w:rPr>
          <w:snapToGrid w:val="0"/>
        </w:rPr>
      </w:pPr>
      <w:bookmarkStart w:id="271" w:name="_Toc404159137"/>
      <w:bookmarkStart w:id="272" w:name="_Toc486576241"/>
      <w:r>
        <w:rPr>
          <w:rStyle w:val="CharSectno"/>
        </w:rPr>
        <w:t>119</w:t>
      </w:r>
      <w:r>
        <w:rPr>
          <w:snapToGrid w:val="0"/>
        </w:rPr>
        <w:t>.</w:t>
      </w:r>
      <w:r>
        <w:rPr>
          <w:snapToGrid w:val="0"/>
        </w:rPr>
        <w:tab/>
      </w:r>
      <w:r>
        <w:t>Subrogation of rights of claimant against account</w:t>
      </w:r>
      <w:bookmarkEnd w:id="271"/>
      <w:bookmarkEnd w:id="272"/>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[Section 119 amended by No. 59 of 1995 s. 42; No. 77 of 2006 Sch. 1 cl. 147(2); No. 58 of 2010 s. 111.]</w:t>
      </w:r>
    </w:p>
    <w:p>
      <w:pPr>
        <w:pStyle w:val="Heading5"/>
        <w:rPr>
          <w:snapToGrid w:val="0"/>
        </w:rPr>
      </w:pPr>
      <w:bookmarkStart w:id="273" w:name="_Toc404159138"/>
      <w:bookmarkStart w:id="274" w:name="_Toc486576242"/>
      <w:r>
        <w:rPr>
          <w:rStyle w:val="CharSectno"/>
        </w:rPr>
        <w:t>120</w:t>
      </w:r>
      <w:r>
        <w:rPr>
          <w:snapToGrid w:val="0"/>
        </w:rPr>
        <w:t>.</w:t>
      </w:r>
      <w:r>
        <w:rPr>
          <w:snapToGrid w:val="0"/>
        </w:rPr>
        <w:tab/>
        <w:t>Insufficiency in a</w:t>
      </w:r>
      <w:r>
        <w:t>ccount</w:t>
      </w:r>
      <w:bookmarkEnd w:id="273"/>
      <w:bookmarkEnd w:id="274"/>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w:t>
      </w:r>
    </w:p>
    <w:p>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pPr>
        <w:pStyle w:val="Footnotesection"/>
      </w:pPr>
      <w:r>
        <w:tab/>
        <w:t>[Section 120 amended by No. 28 of 1982 s. 12; No. 59 of 1995 s. 25 and 42; No. 77 of 2006 Sch. 1 cl. 147(2); No. 58 of 2010 s. 112.]</w:t>
      </w:r>
    </w:p>
    <w:p>
      <w:pPr>
        <w:pStyle w:val="Heading5"/>
        <w:rPr>
          <w:snapToGrid w:val="0"/>
        </w:rPr>
      </w:pPr>
      <w:bookmarkStart w:id="275" w:name="_Toc404159139"/>
      <w:bookmarkStart w:id="276" w:name="_Toc486576243"/>
      <w:r>
        <w:rPr>
          <w:rStyle w:val="CharSectno"/>
        </w:rPr>
        <w:t>121</w:t>
      </w:r>
      <w:r>
        <w:rPr>
          <w:snapToGrid w:val="0"/>
        </w:rPr>
        <w:t>.</w:t>
      </w:r>
      <w:r>
        <w:rPr>
          <w:snapToGrid w:val="0"/>
        </w:rPr>
        <w:tab/>
      </w:r>
      <w:r>
        <w:t>State may insure against claims</w:t>
      </w:r>
      <w:bookmarkEnd w:id="275"/>
      <w:bookmarkEnd w:id="276"/>
    </w:p>
    <w:p>
      <w:pPr>
        <w:pStyle w:val="Subsection"/>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pPr>
        <w:pStyle w:val="Footnotesection"/>
      </w:pPr>
      <w:r>
        <w:tab/>
        <w:t>[Section 121 amended by No. 51 of 1986 s. 46(2); No. 58 of 2010 s. 113.]</w:t>
      </w:r>
    </w:p>
    <w:p>
      <w:pPr>
        <w:pStyle w:val="Heading5"/>
        <w:rPr>
          <w:snapToGrid w:val="0"/>
        </w:rPr>
      </w:pPr>
      <w:bookmarkStart w:id="277" w:name="_Toc404159140"/>
      <w:bookmarkStart w:id="278" w:name="_Toc486576244"/>
      <w:r>
        <w:rPr>
          <w:rStyle w:val="CharSectno"/>
        </w:rPr>
        <w:t>122</w:t>
      </w:r>
      <w:r>
        <w:rPr>
          <w:snapToGrid w:val="0"/>
        </w:rPr>
        <w:t>.</w:t>
      </w:r>
      <w:r>
        <w:rPr>
          <w:snapToGrid w:val="0"/>
        </w:rPr>
        <w:tab/>
        <w:t>Application of insurance payouts</w:t>
      </w:r>
      <w:bookmarkEnd w:id="277"/>
      <w:bookmarkEnd w:id="278"/>
    </w:p>
    <w:p>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[Section 122 amended by No. 29 of 1982 s. 12; No. 59 of 1995 s. 42; No. 77 of 2006 Sch. 1 cl. 147(2).]</w:t>
      </w:r>
    </w:p>
    <w:p>
      <w:pPr>
        <w:pStyle w:val="Heading5"/>
        <w:rPr>
          <w:snapToGrid w:val="0"/>
        </w:rPr>
      </w:pPr>
      <w:bookmarkStart w:id="279" w:name="_Toc404159141"/>
      <w:bookmarkStart w:id="280" w:name="_Toc486576245"/>
      <w:r>
        <w:rPr>
          <w:rStyle w:val="CharSectno"/>
        </w:rPr>
        <w:t>123</w:t>
      </w:r>
      <w:r>
        <w:rPr>
          <w:snapToGrid w:val="0"/>
        </w:rPr>
        <w:t>.</w:t>
      </w:r>
      <w:r>
        <w:rPr>
          <w:snapToGrid w:val="0"/>
        </w:rPr>
        <w:tab/>
        <w:t>Advertising for claims in relation to defaulting licensee</w:t>
      </w:r>
      <w:bookmarkEnd w:id="279"/>
      <w:bookmarkEnd w:id="280"/>
    </w:p>
    <w:p>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[Section 123 amended by No. 29 of 1982 s. 12; No. 77 of 2006 Sch. 1 cl. 147(2); No. 58 of 2010 s. 114.]</w:t>
      </w:r>
    </w:p>
    <w:p>
      <w:pPr>
        <w:pStyle w:val="Heading5"/>
        <w:rPr>
          <w:snapToGrid w:val="0"/>
        </w:rPr>
      </w:pPr>
      <w:bookmarkStart w:id="281" w:name="_Toc404159142"/>
      <w:bookmarkStart w:id="282" w:name="_Toc486576246"/>
      <w:r>
        <w:rPr>
          <w:rStyle w:val="CharSectno"/>
        </w:rPr>
        <w:t>124</w:t>
      </w:r>
      <w:r>
        <w:rPr>
          <w:snapToGrid w:val="0"/>
        </w:rPr>
        <w:t>.</w:t>
      </w:r>
      <w:r>
        <w:rPr>
          <w:snapToGrid w:val="0"/>
        </w:rPr>
        <w:tab/>
      </w:r>
      <w:r>
        <w:t>Documents etc. to support claims, CEO may require</w:t>
      </w:r>
      <w:bookmarkEnd w:id="281"/>
      <w:bookmarkEnd w:id="282"/>
    </w:p>
    <w:p>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pPr>
        <w:pStyle w:val="Footnotesection"/>
      </w:pPr>
      <w:r>
        <w:tab/>
        <w:t>[Section 124 amended by No. 58 of 2010 s. 115.]</w:t>
      </w:r>
    </w:p>
    <w:p>
      <w:pPr>
        <w:pStyle w:val="Heading5"/>
      </w:pPr>
      <w:bookmarkStart w:id="283" w:name="_Toc404159143"/>
      <w:bookmarkStart w:id="284" w:name="_Toc486576247"/>
      <w:r>
        <w:rPr>
          <w:rStyle w:val="CharSectno"/>
        </w:rPr>
        <w:t>124AA</w:t>
      </w:r>
      <w:r>
        <w:t>.</w:t>
      </w:r>
      <w:r>
        <w:tab/>
        <w:t>Commissioner may investigate claims against Fidelity Account</w:t>
      </w:r>
      <w:bookmarkEnd w:id="283"/>
      <w:bookmarkEnd w:id="284"/>
    </w:p>
    <w:p>
      <w:pPr>
        <w:pStyle w:val="Subsection"/>
      </w:pPr>
      <w:r>
        <w:tab/>
        <w:t>(1)</w:t>
      </w:r>
      <w:r>
        <w:tab/>
        <w:t xml:space="preserve">Without limiting section 22, the Commissioner may, at and in accordance with the request of the chief executive officer, make an investigation or inquiry under the </w:t>
      </w:r>
      <w:r>
        <w:rPr>
          <w:i/>
        </w:rPr>
        <w:t>Fair Trading Act 2010</w:t>
      </w:r>
      <w:r>
        <w:t xml:space="preserve"> Part 6 in relation to a claim against the Fidelity Account.</w:t>
      </w:r>
    </w:p>
    <w:p>
      <w:pPr>
        <w:pStyle w:val="Subsection"/>
      </w:pPr>
      <w:r>
        <w:tab/>
        <w:t>(2)</w:t>
      </w:r>
      <w:r>
        <w:tab/>
        <w:t>For the purposes of the investigation or inquiry, the administration of the Fidelity Account is taken to be a function of the Commissioner.</w:t>
      </w:r>
    </w:p>
    <w:p>
      <w:pPr>
        <w:pStyle w:val="Subsection"/>
      </w:pPr>
      <w:r>
        <w:tab/>
        <w:t>(3)</w:t>
      </w:r>
      <w:r>
        <w:tab/>
        <w:t>The Commissioner must, as soon as practicable after completing the investigation or inquiry, prepare a report on the findings of the investigation or inquiry and give it to the chief executive officer.</w:t>
      </w:r>
    </w:p>
    <w:p>
      <w:pPr>
        <w:pStyle w:val="Footnotesection"/>
      </w:pPr>
      <w:r>
        <w:tab/>
        <w:t>[Section 124AA inserted by No. 23 of 2014 s. 77.]</w:t>
      </w:r>
    </w:p>
    <w:p>
      <w:pPr>
        <w:pStyle w:val="Heading2"/>
      </w:pPr>
      <w:bookmarkStart w:id="285" w:name="_Toc404159144"/>
      <w:bookmarkStart w:id="286" w:name="_Toc424293170"/>
      <w:bookmarkStart w:id="287" w:name="_Toc435024533"/>
      <w:bookmarkStart w:id="288" w:name="_Toc468701041"/>
      <w:bookmarkStart w:id="289" w:name="_Toc486576248"/>
      <w:r>
        <w:rPr>
          <w:rStyle w:val="CharPartNo"/>
        </w:rPr>
        <w:t>Part VIIIA</w:t>
      </w:r>
      <w:r>
        <w:rPr>
          <w:rStyle w:val="CharDivNo"/>
        </w:rPr>
        <w:t> </w:t>
      </w:r>
      <w:r>
        <w:t>—</w:t>
      </w:r>
      <w:r>
        <w:rPr>
          <w:rStyle w:val="CharDivText"/>
        </w:rPr>
        <w:t> </w:t>
      </w:r>
      <w:r>
        <w:rPr>
          <w:rStyle w:val="CharPartText"/>
        </w:rPr>
        <w:t>Education and General Purpose Account</w:t>
      </w:r>
      <w:bookmarkEnd w:id="285"/>
      <w:bookmarkEnd w:id="286"/>
      <w:bookmarkEnd w:id="287"/>
      <w:bookmarkEnd w:id="288"/>
      <w:bookmarkEnd w:id="289"/>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w:t>
      </w:r>
      <w:r>
        <w:t>Sch. 1 cl. 147(11)</w:t>
      </w:r>
      <w:r>
        <w:rPr>
          <w:snapToGrid w:val="0"/>
        </w:rPr>
        <w:t>.]</w:t>
      </w:r>
    </w:p>
    <w:p>
      <w:pPr>
        <w:pStyle w:val="Heading5"/>
        <w:rPr>
          <w:snapToGrid w:val="0"/>
        </w:rPr>
      </w:pPr>
      <w:bookmarkStart w:id="290" w:name="_Toc404159145"/>
      <w:bookmarkStart w:id="291" w:name="_Toc486576249"/>
      <w:r>
        <w:rPr>
          <w:rStyle w:val="CharSectno"/>
        </w:rPr>
        <w:t>124A</w:t>
      </w:r>
      <w:r>
        <w:rPr>
          <w:snapToGrid w:val="0"/>
        </w:rPr>
        <w:t>.</w:t>
      </w:r>
      <w:r>
        <w:rPr>
          <w:snapToGrid w:val="0"/>
        </w:rPr>
        <w:tab/>
        <w:t>Account established; administration of account</w:t>
      </w:r>
      <w:bookmarkEnd w:id="290"/>
      <w:bookmarkEnd w:id="291"/>
    </w:p>
    <w:p>
      <w:pPr>
        <w:pStyle w:val="Subsection"/>
      </w:pPr>
      <w:r>
        <w:tab/>
        <w:t>(1)</w:t>
      </w:r>
      <w:r>
        <w:tab/>
        <w:t>An account called the Education and General Purpose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chief executive officer.</w:t>
      </w:r>
    </w:p>
    <w:p>
      <w:pPr>
        <w:pStyle w:val="Footnotesection"/>
      </w:pPr>
      <w:r>
        <w:tab/>
        <w:t>[Section 124A inserted by No. 59 of 1995 s. 26; amended by No. 77 of 2006 Sch. 1 cl. 147(2) and (12); No. 58 of 2010 s. 134; No. 23 of 2014 s. 78.]</w:t>
      </w:r>
    </w:p>
    <w:p>
      <w:pPr>
        <w:pStyle w:val="Heading5"/>
        <w:rPr>
          <w:snapToGrid w:val="0"/>
        </w:rPr>
      </w:pPr>
      <w:bookmarkStart w:id="292" w:name="_Toc404159146"/>
      <w:bookmarkStart w:id="293" w:name="_Toc486576250"/>
      <w:r>
        <w:rPr>
          <w:rStyle w:val="CharSectno"/>
        </w:rPr>
        <w:t>124B</w:t>
      </w:r>
      <w:r>
        <w:rPr>
          <w:snapToGrid w:val="0"/>
        </w:rPr>
        <w:t>.</w:t>
      </w:r>
      <w:r>
        <w:rPr>
          <w:snapToGrid w:val="0"/>
        </w:rPr>
        <w:tab/>
        <w:t>Moneys to be credited to account</w:t>
      </w:r>
      <w:bookmarkEnd w:id="292"/>
      <w:bookmarkEnd w:id="293"/>
    </w:p>
    <w:p>
      <w:pPr>
        <w:pStyle w:val="Subsection"/>
        <w:keepNext/>
        <w:rPr>
          <w:snapToGrid w:val="0"/>
        </w:rPr>
      </w:pPr>
      <w:r>
        <w:rPr>
          <w:snapToGrid w:val="0"/>
        </w:rPr>
        <w:tab/>
      </w:r>
      <w:r>
        <w:rPr>
          <w:snapToGrid w:val="0"/>
        </w:rPr>
        <w:tab/>
        <w:t>There are to be credited to the General Purpose</w:t>
      </w:r>
      <w:r>
        <w:t xml:space="preserve"> Account</w:t>
      </w:r>
      <w:r>
        <w:rPr>
          <w:snapToGrid w:val="0"/>
        </w:rPr>
        <w:t>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 and</w:t>
      </w:r>
    </w:p>
    <w:p>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 and</w:t>
      </w:r>
    </w:p>
    <w:p>
      <w:pPr>
        <w:pStyle w:val="Indenta"/>
        <w:rPr>
          <w:snapToGrid w:val="0"/>
        </w:rPr>
      </w:pPr>
      <w:r>
        <w:rPr>
          <w:snapToGrid w:val="0"/>
        </w:rPr>
        <w:tab/>
        <w:t>(d)</w:t>
      </w:r>
      <w:r>
        <w:rPr>
          <w:snapToGrid w:val="0"/>
        </w:rPr>
        <w:tab/>
        <w:t>fines imposed under section 105; and</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[Section 124B inserted by No. 59 of 1995 s. 26; amended by No. 55 of 2004 s. 1015; No. 77 of 2006 Sch. 1 cl. 147(2); No. 58 of 2010 s. 134.]</w:t>
      </w:r>
    </w:p>
    <w:p>
      <w:pPr>
        <w:pStyle w:val="Heading5"/>
        <w:rPr>
          <w:snapToGrid w:val="0"/>
        </w:rPr>
      </w:pPr>
      <w:bookmarkStart w:id="294" w:name="_Toc404159147"/>
      <w:bookmarkStart w:id="295" w:name="_Toc486576251"/>
      <w:r>
        <w:rPr>
          <w:rStyle w:val="CharSectno"/>
        </w:rPr>
        <w:t>124C</w:t>
      </w:r>
      <w:r>
        <w:rPr>
          <w:snapToGrid w:val="0"/>
        </w:rPr>
        <w:t>.</w:t>
      </w:r>
      <w:r>
        <w:rPr>
          <w:snapToGrid w:val="0"/>
        </w:rPr>
        <w:tab/>
        <w:t>Expenditure from account</w:t>
      </w:r>
      <w:bookmarkEnd w:id="294"/>
      <w:bookmarkEnd w:id="295"/>
    </w:p>
    <w:p>
      <w:pPr>
        <w:pStyle w:val="Subsection"/>
        <w:keepNext/>
        <w:rPr>
          <w:snapToGrid w:val="0"/>
        </w:rPr>
      </w:pPr>
      <w:r>
        <w:rPr>
          <w:snapToGrid w:val="0"/>
        </w:rPr>
        <w:tab/>
      </w:r>
      <w:r>
        <w:rPr>
          <w:snapToGrid w:val="0"/>
        </w:rPr>
        <w:tab/>
        <w:t>There are to be charged to the General Purpose</w:t>
      </w:r>
      <w:r>
        <w:t xml:space="preserve"> Account</w:t>
      </w:r>
      <w:r>
        <w:rPr>
          <w:snapToGrid w:val="0"/>
        </w:rPr>
        <w:t> —</w:t>
      </w:r>
    </w:p>
    <w:p>
      <w:pPr>
        <w:pStyle w:val="Indenta"/>
        <w:rPr>
          <w:snapToGrid w:val="0"/>
        </w:rPr>
      </w:pPr>
      <w:r>
        <w:rPr>
          <w:snapToGrid w:val="0"/>
        </w:rPr>
        <w:tab/>
        <w:t>(a)</w:t>
      </w:r>
      <w:r>
        <w:rPr>
          <w:snapToGrid w:val="0"/>
        </w:rPr>
        <w:tab/>
        <w:t>the costs incurred in the administration of the General Purpose</w:t>
      </w:r>
      <w:r>
        <w:t xml:space="preserve"> Account; and</w:t>
      </w:r>
    </w:p>
    <w:p>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w:t>
      </w:r>
      <w:r>
        <w:t xml:space="preserve"> Act or the Commissioner’s functions under the </w:t>
      </w:r>
      <w:r>
        <w:rPr>
          <w:i/>
        </w:rPr>
        <w:t>Fair Trading Act 2010</w:t>
      </w:r>
      <w:r>
        <w:t xml:space="preserve"> section 57A that are performed for the purposes of this Act.</w:t>
      </w:r>
    </w:p>
    <w:p>
      <w:pPr>
        <w:pStyle w:val="Footnotesection"/>
      </w:pPr>
      <w:r>
        <w:tab/>
        <w:t>[Section 124C inserted by No. 59 of 1995 s. 26; amended by No. 34 of 1998 s. 18; No. 77 of 2006 Sch. 1 cl. 147(2); No. 58 of 2010 s. 116; No. 23 of 2014 s. 79.]</w:t>
      </w:r>
    </w:p>
    <w:p>
      <w:pPr>
        <w:pStyle w:val="Heading5"/>
        <w:rPr>
          <w:snapToGrid w:val="0"/>
        </w:rPr>
      </w:pPr>
      <w:bookmarkStart w:id="296" w:name="_Toc404159148"/>
      <w:bookmarkStart w:id="297" w:name="_Toc486576252"/>
      <w:r>
        <w:rPr>
          <w:rStyle w:val="CharSectno"/>
        </w:rPr>
        <w:t>124D</w:t>
      </w:r>
      <w:r>
        <w:rPr>
          <w:snapToGrid w:val="0"/>
        </w:rPr>
        <w:t>.</w:t>
      </w:r>
      <w:r>
        <w:rPr>
          <w:snapToGrid w:val="0"/>
        </w:rPr>
        <w:tab/>
        <w:t>Investment of moneys in account</w:t>
      </w:r>
      <w:bookmarkEnd w:id="296"/>
      <w:bookmarkEnd w:id="297"/>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[Section 124D inserted by No. 59 of 1995 s. 26; amended by No. 77 of 2006 Sch. 1 cl. 147(2) and (13).]</w:t>
      </w:r>
    </w:p>
    <w:p>
      <w:pPr>
        <w:pStyle w:val="Heading2"/>
      </w:pPr>
      <w:bookmarkStart w:id="298" w:name="_Toc404159149"/>
      <w:bookmarkStart w:id="299" w:name="_Toc424293175"/>
      <w:bookmarkStart w:id="300" w:name="_Toc435024538"/>
      <w:bookmarkStart w:id="301" w:name="_Toc468701046"/>
      <w:bookmarkStart w:id="302" w:name="_Toc486576253"/>
      <w:r>
        <w:rPr>
          <w:rStyle w:val="CharPartNo"/>
        </w:rPr>
        <w:t>Part IX</w:t>
      </w:r>
      <w:r>
        <w:rPr>
          <w:rStyle w:val="CharDivNo"/>
        </w:rPr>
        <w:t> </w:t>
      </w:r>
      <w:r>
        <w:t>—</w:t>
      </w:r>
      <w:r>
        <w:rPr>
          <w:rStyle w:val="CharDivText"/>
        </w:rPr>
        <w:t> </w:t>
      </w:r>
      <w:r>
        <w:rPr>
          <w:rStyle w:val="CharPartText"/>
        </w:rPr>
        <w:t>Real Estate and Business Agents Interest Account</w:t>
      </w:r>
      <w:bookmarkEnd w:id="298"/>
      <w:bookmarkEnd w:id="299"/>
      <w:bookmarkEnd w:id="300"/>
      <w:bookmarkEnd w:id="301"/>
      <w:bookmarkEnd w:id="302"/>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amended by </w:t>
      </w:r>
      <w:r>
        <w:t>No. 58 of 2010 s. 117</w:t>
      </w:r>
      <w:r>
        <w:rPr>
          <w:snapToGrid w:val="0"/>
        </w:rPr>
        <w:t>.]</w:t>
      </w:r>
    </w:p>
    <w:p>
      <w:pPr>
        <w:pStyle w:val="Heading5"/>
        <w:rPr>
          <w:snapToGrid w:val="0"/>
        </w:rPr>
      </w:pPr>
      <w:bookmarkStart w:id="303" w:name="_Toc404159150"/>
      <w:bookmarkStart w:id="304" w:name="_Toc486576254"/>
      <w:r>
        <w:rPr>
          <w:rStyle w:val="CharSectno"/>
        </w:rPr>
        <w:t>125</w:t>
      </w:r>
      <w:r>
        <w:rPr>
          <w:snapToGrid w:val="0"/>
        </w:rPr>
        <w:t>.</w:t>
      </w:r>
      <w:r>
        <w:rPr>
          <w:snapToGrid w:val="0"/>
        </w:rPr>
        <w:tab/>
      </w:r>
      <w:r>
        <w:t>Account established; administration of account</w:t>
      </w:r>
      <w:bookmarkEnd w:id="303"/>
      <w:bookmarkEnd w:id="304"/>
    </w:p>
    <w:p>
      <w:pPr>
        <w:pStyle w:val="Subsection"/>
      </w:pPr>
      <w:r>
        <w:tab/>
        <w:t>(1)</w:t>
      </w:r>
      <w:r>
        <w:tab/>
        <w:t>An account called the Real Estate and Business Agents Interest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w:t>
      </w:r>
      <w:r>
        <w:t xml:space="preserve">Interest </w:t>
      </w:r>
      <w:r>
        <w:rPr>
          <w:snapToGrid w:val="0"/>
        </w:rPr>
        <w:t xml:space="preserve">Account is to be administered by the </w:t>
      </w:r>
      <w:r>
        <w:t>chief executive officer.</w:t>
      </w:r>
    </w:p>
    <w:p>
      <w:pPr>
        <w:pStyle w:val="Footnotesection"/>
      </w:pPr>
      <w:r>
        <w:tab/>
        <w:t>[Section 125 inserted by No. 59 of 1995 s. 27; amended by No. 77 of 2006 Sch. 1 cl. 147(14); No. 58 of 2010 s. 118</w:t>
      </w:r>
      <w:r>
        <w:rPr>
          <w:spacing w:val="-4"/>
        </w:rPr>
        <w:t>; No. 47 of 2011 s.</w:t>
      </w:r>
      <w:r>
        <w:t> 25(4).]</w:t>
      </w:r>
    </w:p>
    <w:p>
      <w:pPr>
        <w:pStyle w:val="Heading5"/>
        <w:rPr>
          <w:snapToGrid w:val="0"/>
        </w:rPr>
      </w:pPr>
      <w:bookmarkStart w:id="305" w:name="_Toc404159151"/>
      <w:bookmarkStart w:id="306" w:name="_Toc486576255"/>
      <w:r>
        <w:rPr>
          <w:rStyle w:val="CharSectno"/>
        </w:rPr>
        <w:t>126</w:t>
      </w:r>
      <w:r>
        <w:rPr>
          <w:snapToGrid w:val="0"/>
        </w:rPr>
        <w:t>.</w:t>
      </w:r>
      <w:r>
        <w:rPr>
          <w:snapToGrid w:val="0"/>
        </w:rPr>
        <w:tab/>
        <w:t>Moneys to be credited to account</w:t>
      </w:r>
      <w:bookmarkEnd w:id="305"/>
      <w:bookmarkEnd w:id="306"/>
    </w:p>
    <w:p>
      <w:pPr>
        <w:pStyle w:val="Subsection"/>
        <w:keepNext/>
        <w:rPr>
          <w:snapToGrid w:val="0"/>
        </w:rPr>
      </w:pPr>
      <w:r>
        <w:rPr>
          <w:snapToGrid w:val="0"/>
        </w:rPr>
        <w:tab/>
      </w:r>
      <w:r>
        <w:rPr>
          <w:snapToGrid w:val="0"/>
        </w:rPr>
        <w:tab/>
        <w:t>There are to be credited to the </w:t>
      </w:r>
      <w:r>
        <w:t xml:space="preserve">Interest </w:t>
      </w:r>
      <w:r>
        <w:rPr>
          <w:snapToGrid w:val="0"/>
        </w:rPr>
        <w:t>Account —</w:t>
      </w:r>
    </w:p>
    <w:p>
      <w:pPr>
        <w:pStyle w:val="Indenta"/>
        <w:rPr>
          <w:snapToGrid w:val="0"/>
        </w:rPr>
      </w:pPr>
      <w:r>
        <w:rPr>
          <w:snapToGrid w:val="0"/>
        </w:rPr>
        <w:tab/>
        <w:t>(a)</w:t>
      </w:r>
      <w:r>
        <w:rPr>
          <w:snapToGrid w:val="0"/>
        </w:rPr>
        <w:tab/>
        <w:t xml:space="preserve">all moneys paid to the credit of the </w:t>
      </w:r>
      <w:r>
        <w:t xml:space="preserve">Interest </w:t>
      </w:r>
      <w:r>
        <w:rPr>
          <w:snapToGrid w:val="0"/>
        </w:rPr>
        <w:t>Account under section 68B; and</w:t>
      </w:r>
    </w:p>
    <w:p>
      <w:pPr>
        <w:pStyle w:val="Indenta"/>
        <w:rPr>
          <w:snapToGrid w:val="0"/>
        </w:rPr>
      </w:pPr>
      <w:r>
        <w:rPr>
          <w:snapToGrid w:val="0"/>
        </w:rPr>
        <w:tab/>
        <w:t>(b)</w:t>
      </w:r>
      <w:r>
        <w:rPr>
          <w:snapToGrid w:val="0"/>
        </w:rPr>
        <w:tab/>
        <w:t xml:space="preserve">income derived from the investment, under section 128, of moneys standing to the credit of the </w:t>
      </w:r>
      <w:r>
        <w:t xml:space="preserve">Interest </w:t>
      </w:r>
      <w:r>
        <w:rPr>
          <w:snapToGrid w:val="0"/>
        </w:rPr>
        <w:t>Account; and</w:t>
      </w:r>
    </w:p>
    <w:p>
      <w:pPr>
        <w:pStyle w:val="Indenta"/>
        <w:rPr>
          <w:snapToGrid w:val="0"/>
        </w:rPr>
      </w:pPr>
      <w:r>
        <w:rPr>
          <w:snapToGrid w:val="0"/>
        </w:rPr>
        <w:tab/>
        <w:t>(c)</w:t>
      </w:r>
      <w:r>
        <w:rPr>
          <w:snapToGrid w:val="0"/>
        </w:rPr>
        <w:tab/>
        <w:t xml:space="preserve">any moneys, other than moneys referred to in paragraphs (a) and (b), that may lawfully be credited to the </w:t>
      </w:r>
      <w:r>
        <w:t xml:space="preserve">Interest </w:t>
      </w:r>
      <w:r>
        <w:rPr>
          <w:snapToGrid w:val="0"/>
        </w:rPr>
        <w:t>Account.</w:t>
      </w:r>
    </w:p>
    <w:p>
      <w:pPr>
        <w:pStyle w:val="Footnotesection"/>
      </w:pPr>
      <w:r>
        <w:tab/>
        <w:t>[Section 126 inserted by No. 59 of 1995 s. 27</w:t>
      </w:r>
      <w:r>
        <w:rPr>
          <w:spacing w:val="-4"/>
        </w:rPr>
        <w:t>; amended by No. 47 of 2011 s.</w:t>
      </w:r>
      <w:r>
        <w:t> 25(4).]</w:t>
      </w:r>
    </w:p>
    <w:p>
      <w:pPr>
        <w:pStyle w:val="Heading5"/>
      </w:pPr>
      <w:bookmarkStart w:id="307" w:name="_Toc404159152"/>
      <w:bookmarkStart w:id="308" w:name="_Toc486576256"/>
      <w:r>
        <w:rPr>
          <w:rStyle w:val="CharSectno"/>
        </w:rPr>
        <w:t>127</w:t>
      </w:r>
      <w:r>
        <w:rPr>
          <w:snapToGrid w:val="0"/>
        </w:rPr>
        <w:t>.</w:t>
      </w:r>
      <w:r>
        <w:rPr>
          <w:snapToGrid w:val="0"/>
        </w:rPr>
        <w:tab/>
        <w:t>E</w:t>
      </w:r>
      <w:r>
        <w:t>xpenditure from account</w:t>
      </w:r>
      <w:bookmarkEnd w:id="307"/>
      <w:bookmarkEnd w:id="308"/>
    </w:p>
    <w:p>
      <w:pPr>
        <w:pStyle w:val="Subsection"/>
        <w:keepNext/>
        <w:rPr>
          <w:snapToGrid w:val="0"/>
        </w:rPr>
      </w:pPr>
      <w:r>
        <w:rPr>
          <w:snapToGrid w:val="0"/>
        </w:rPr>
        <w:tab/>
      </w:r>
      <w:r>
        <w:rPr>
          <w:snapToGrid w:val="0"/>
        </w:rPr>
        <w:tab/>
        <w:t xml:space="preserve">Moneys standing to the credit of the </w:t>
      </w:r>
      <w:r>
        <w:t xml:space="preserve">Interest </w:t>
      </w:r>
      <w:r>
        <w:rPr>
          <w:snapToGrid w:val="0"/>
        </w:rPr>
        <w:t>Account are to be applied at such times as are prescribed —</w:t>
      </w:r>
    </w:p>
    <w:p>
      <w:pPr>
        <w:pStyle w:val="Indenta"/>
        <w:rPr>
          <w:snapToGrid w:val="0"/>
        </w:rPr>
      </w:pPr>
      <w:r>
        <w:rPr>
          <w:snapToGrid w:val="0"/>
        </w:rPr>
        <w:tab/>
        <w:t>(a)</w:t>
      </w:r>
      <w:r>
        <w:rPr>
          <w:snapToGrid w:val="0"/>
        </w:rPr>
        <w:tab/>
        <w:t xml:space="preserve">first, in payment of the costs involved in administering the </w:t>
      </w:r>
      <w:r>
        <w:t xml:space="preserve">Interest </w:t>
      </w:r>
      <w:r>
        <w:rPr>
          <w:snapToGrid w:val="0"/>
        </w:rPr>
        <w:t>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w:t>
      </w:r>
    </w:p>
    <w:p>
      <w:pPr>
        <w:pStyle w:val="Indenti"/>
        <w:rPr>
          <w:snapToGrid w:val="0"/>
        </w:rPr>
      </w:pPr>
      <w:r>
        <w:rPr>
          <w:snapToGrid w:val="0"/>
        </w:rPr>
        <w:tab/>
        <w:t>(i)</w:t>
      </w:r>
      <w:r>
        <w:rPr>
          <w:snapToGrid w:val="0"/>
        </w:rPr>
        <w:tab/>
        <w:t>the Fidelity</w:t>
      </w:r>
      <w:r>
        <w:t xml:space="preserve"> Account</w:t>
      </w:r>
      <w:r>
        <w:rPr>
          <w:snapToGrid w:val="0"/>
        </w:rPr>
        <w:t>; and</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[Section 127 inserted by No. 59 of 1995 s. 27; amended by No. 77 of 2006 Sch. 1 cl. 147(2)</w:t>
      </w:r>
      <w:r>
        <w:rPr>
          <w:spacing w:val="-4"/>
        </w:rPr>
        <w:t>; No. 47 of 2011 s.</w:t>
      </w:r>
      <w:r>
        <w:t> 25(4).]</w:t>
      </w:r>
    </w:p>
    <w:p>
      <w:pPr>
        <w:pStyle w:val="Heading5"/>
        <w:rPr>
          <w:snapToGrid w:val="0"/>
        </w:rPr>
      </w:pPr>
      <w:bookmarkStart w:id="309" w:name="_Toc404159153"/>
      <w:bookmarkStart w:id="310" w:name="_Toc486576257"/>
      <w:r>
        <w:rPr>
          <w:rStyle w:val="CharSectno"/>
        </w:rPr>
        <w:t>128</w:t>
      </w:r>
      <w:r>
        <w:rPr>
          <w:snapToGrid w:val="0"/>
        </w:rPr>
        <w:t>.</w:t>
      </w:r>
      <w:r>
        <w:rPr>
          <w:snapToGrid w:val="0"/>
        </w:rPr>
        <w:tab/>
        <w:t>I</w:t>
      </w:r>
      <w:r>
        <w:t>nvestment of moneys in account</w:t>
      </w:r>
      <w:bookmarkEnd w:id="309"/>
      <w:bookmarkEnd w:id="310"/>
    </w:p>
    <w:p>
      <w:pPr>
        <w:pStyle w:val="Subsection"/>
        <w:rPr>
          <w:snapToGrid w:val="0"/>
        </w:rPr>
      </w:pPr>
      <w:r>
        <w:rPr>
          <w:snapToGrid w:val="0"/>
        </w:rPr>
        <w:tab/>
        <w:t>(1)</w:t>
      </w:r>
      <w:r>
        <w:rPr>
          <w:snapToGrid w:val="0"/>
        </w:rPr>
        <w:tab/>
        <w:t xml:space="preserve">Moneys standing to the credit of the </w:t>
      </w:r>
      <w:r>
        <w:t xml:space="preserve">Interest </w:t>
      </w:r>
      <w:r>
        <w:rPr>
          <w:snapToGrid w:val="0"/>
        </w:rPr>
        <w:t>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 xml:space="preserve">Income derived from any such investment is to be credited to the </w:t>
      </w:r>
      <w:r>
        <w:t xml:space="preserve">Interest </w:t>
      </w:r>
      <w:r>
        <w:rPr>
          <w:snapToGrid w:val="0"/>
        </w:rPr>
        <w:t>Account.</w:t>
      </w:r>
    </w:p>
    <w:p>
      <w:pPr>
        <w:pStyle w:val="Footnotesection"/>
      </w:pPr>
      <w:r>
        <w:tab/>
        <w:t>[Section 128 inserted by No. 59 of 1995 s. 27; amended by No. 77 of 2006 Sch. 1 cl. 147(15)</w:t>
      </w:r>
      <w:r>
        <w:rPr>
          <w:spacing w:val="-4"/>
        </w:rPr>
        <w:t>; No. 47 of 2011 s.</w:t>
      </w:r>
      <w:r>
        <w:t> 25(4).]</w:t>
      </w:r>
    </w:p>
    <w:p>
      <w:pPr>
        <w:pStyle w:val="Ednotesection"/>
      </w:pPr>
      <w:r>
        <w:t>[</w:t>
      </w:r>
      <w:r>
        <w:rPr>
          <w:b/>
        </w:rPr>
        <w:t>129, 130.</w:t>
      </w:r>
      <w:r>
        <w:tab/>
        <w:t>Deleted by No. 59 of 1995 s. 27.]</w:t>
      </w:r>
    </w:p>
    <w:p>
      <w:pPr>
        <w:pStyle w:val="Ednotesection"/>
      </w:pPr>
      <w:r>
        <w:t>[</w:t>
      </w:r>
      <w:r>
        <w:rPr>
          <w:b/>
        </w:rPr>
        <w:t>131.</w:t>
      </w:r>
      <w:r>
        <w:tab/>
        <w:t>Deleted by No. 98 of 1985 s. 3.]</w:t>
      </w:r>
    </w:p>
    <w:p>
      <w:pPr>
        <w:pStyle w:val="Heading2"/>
      </w:pPr>
      <w:bookmarkStart w:id="311" w:name="_Toc404159154"/>
      <w:bookmarkStart w:id="312" w:name="_Toc424293180"/>
      <w:bookmarkStart w:id="313" w:name="_Toc435024543"/>
      <w:bookmarkStart w:id="314" w:name="_Toc468701051"/>
      <w:bookmarkStart w:id="315" w:name="_Toc486576258"/>
      <w:r>
        <w:rPr>
          <w:rStyle w:val="CharPartNo"/>
        </w:rPr>
        <w:t>Part IXA</w:t>
      </w:r>
      <w:r>
        <w:rPr>
          <w:rStyle w:val="CharDivNo"/>
        </w:rPr>
        <w:t> </w:t>
      </w:r>
      <w:r>
        <w:t>—</w:t>
      </w:r>
      <w:r>
        <w:rPr>
          <w:rStyle w:val="CharDivText"/>
        </w:rPr>
        <w:t> </w:t>
      </w:r>
      <w:r>
        <w:rPr>
          <w:rStyle w:val="CharPartText"/>
        </w:rPr>
        <w:t>Assistance to home buyers</w:t>
      </w:r>
      <w:bookmarkEnd w:id="311"/>
      <w:bookmarkEnd w:id="312"/>
      <w:bookmarkEnd w:id="313"/>
      <w:bookmarkEnd w:id="314"/>
      <w:bookmarkEnd w:id="315"/>
    </w:p>
    <w:p>
      <w:pPr>
        <w:pStyle w:val="Heading5"/>
        <w:rPr>
          <w:snapToGrid w:val="0"/>
        </w:rPr>
      </w:pPr>
      <w:bookmarkStart w:id="316" w:name="_Toc404159155"/>
      <w:bookmarkStart w:id="317" w:name="_Toc486576259"/>
      <w:r>
        <w:rPr>
          <w:rStyle w:val="CharSectno"/>
        </w:rPr>
        <w:t>131A</w:t>
      </w:r>
      <w:r>
        <w:rPr>
          <w:snapToGrid w:val="0"/>
        </w:rPr>
        <w:t>.</w:t>
      </w:r>
      <w:r>
        <w:rPr>
          <w:snapToGrid w:val="0"/>
        </w:rPr>
        <w:tab/>
        <w:t>Terms used</w:t>
      </w:r>
      <w:bookmarkEnd w:id="316"/>
      <w:bookmarkEnd w:id="317"/>
    </w:p>
    <w:p>
      <w:pPr>
        <w:pStyle w:val="Subsection"/>
        <w:keepNext/>
        <w:rPr>
          <w:snapToGrid w:val="0"/>
        </w:rPr>
      </w:pPr>
      <w:r>
        <w:rPr>
          <w:snapToGrid w:val="0"/>
        </w:rPr>
        <w:tab/>
      </w:r>
      <w:r>
        <w:rPr>
          <w:snapToGrid w:val="0"/>
        </w:rPr>
        <w:tab/>
        <w:t>In this Part, unless the contrary intention appears —</w:t>
      </w:r>
    </w:p>
    <w:p>
      <w:pPr>
        <w:pStyle w:val="Defstart"/>
        <w:spacing w:before="100"/>
      </w:pPr>
      <w:r>
        <w:rPr>
          <w:b/>
        </w:rPr>
        <w:tab/>
      </w:r>
      <w:r>
        <w:rPr>
          <w:rStyle w:val="CharDefText"/>
        </w:rPr>
        <w:t>applicant</w:t>
      </w:r>
      <w:r>
        <w:t xml:space="preserve"> means person on whose behalf an application has been lodged under section 131L(1);</w:t>
      </w:r>
    </w:p>
    <w:p>
      <w:pPr>
        <w:pStyle w:val="Defstart"/>
        <w:spacing w:before="100"/>
      </w:pPr>
      <w:r>
        <w:rPr>
          <w:b/>
        </w:rPr>
        <w:tab/>
      </w:r>
      <w:r>
        <w:rPr>
          <w:rStyle w:val="CharDefText"/>
        </w:rPr>
        <w:t>assisted person</w:t>
      </w:r>
      <w:r>
        <w:t xml:space="preserve"> means applicant to whom a grant has been made under section 131M(3);</w:t>
      </w:r>
    </w:p>
    <w:p>
      <w:pPr>
        <w:pStyle w:val="Defstart"/>
        <w:keepNext/>
        <w:spacing w:before="100"/>
      </w:pPr>
      <w:r>
        <w:rPr>
          <w:b/>
        </w:rPr>
        <w:tab/>
      </w:r>
      <w:r>
        <w:rPr>
          <w:rStyle w:val="CharDefText"/>
        </w:rPr>
        <w:t>dwelling</w:t>
      </w:r>
      <w:r>
        <w:t xml:space="preserve"> includes —</w:t>
      </w:r>
    </w:p>
    <w:p>
      <w:pPr>
        <w:pStyle w:val="Defpara"/>
        <w:spacing w:before="100"/>
      </w:pPr>
      <w:r>
        <w:tab/>
        <w:t>(a)</w:t>
      </w:r>
      <w:r>
        <w:tab/>
        <w:t xml:space="preserve">lot within the meaning of the </w:t>
      </w:r>
      <w:r>
        <w:rPr>
          <w:i/>
        </w:rPr>
        <w:t>Strata Titles Act 1985</w:t>
      </w:r>
      <w:r>
        <w:t>; and</w:t>
      </w:r>
    </w:p>
    <w:p>
      <w:pPr>
        <w:pStyle w:val="Defpara"/>
        <w:spacing w:before="100"/>
      </w:pPr>
      <w:r>
        <w:tab/>
        <w:t>(b)</w:t>
      </w:r>
      <w:r>
        <w:tab/>
        <w:t>except in the case of a dwelling which is a lot referred to in paragraph (a), land on which the dwelling concerned is erected or is being erected, as the case requires;</w:t>
      </w:r>
    </w:p>
    <w:p>
      <w:pPr>
        <w:pStyle w:val="Defstart"/>
        <w:keepNext/>
        <w:spacing w:before="100"/>
      </w:pPr>
      <w:r>
        <w:rPr>
          <w:b/>
        </w:rPr>
        <w:tab/>
      </w:r>
      <w:r>
        <w:rPr>
          <w:rStyle w:val="CharDefText"/>
        </w:rPr>
        <w:t>incidental expenses</w:t>
      </w:r>
      <w:r>
        <w:t>, in relation to a purchase, or purchase and completion, referred to in section 131L(1), includes —</w:t>
      </w:r>
    </w:p>
    <w:p>
      <w:pPr>
        <w:pStyle w:val="Defpara"/>
        <w:spacing w:before="100"/>
      </w:pPr>
      <w:r>
        <w:tab/>
        <w:t>(a)</w:t>
      </w:r>
      <w:r>
        <w:tab/>
        <w:t xml:space="preserve">duty chargeable under the </w:t>
      </w:r>
      <w:r>
        <w:rPr>
          <w:i/>
          <w:iCs/>
        </w:rPr>
        <w:t>Duties Act 2008</w:t>
      </w:r>
      <w:r>
        <w:t>; and</w:t>
      </w:r>
    </w:p>
    <w:p>
      <w:pPr>
        <w:pStyle w:val="Defpara"/>
        <w:spacing w:before="100"/>
      </w:pPr>
      <w:r>
        <w:tab/>
        <w:t>(b)</w:t>
      </w:r>
      <w:r>
        <w:tab/>
        <w:t>registration fees; and</w:t>
      </w:r>
    </w:p>
    <w:p>
      <w:pPr>
        <w:pStyle w:val="Defpara"/>
        <w:spacing w:before="100"/>
      </w:pPr>
      <w:r>
        <w:tab/>
        <w:t>(c)</w:t>
      </w:r>
      <w:r>
        <w:tab/>
        <w:t xml:space="preserve">the remuneration of a real estate settlement agent within the meaning of the </w:t>
      </w:r>
      <w:r>
        <w:rPr>
          <w:i/>
        </w:rPr>
        <w:t>Settlement Agents Act 1981</w:t>
      </w:r>
      <w:r>
        <w:t>; and</w:t>
      </w:r>
    </w:p>
    <w:p>
      <w:pPr>
        <w:pStyle w:val="Defpara"/>
        <w:spacing w:before="100"/>
      </w:pPr>
      <w:r>
        <w:tab/>
        <w:t>(d)</w:t>
      </w:r>
      <w:r>
        <w:tab/>
        <w:t>the costs of a legal practitioner; and</w:t>
      </w:r>
    </w:p>
    <w:p>
      <w:pPr>
        <w:pStyle w:val="Defpara"/>
        <w:spacing w:before="100"/>
      </w:pPr>
      <w:r>
        <w:tab/>
        <w:t>(e)</w:t>
      </w:r>
      <w:r>
        <w:tab/>
        <w:t>valuation fees; and</w:t>
      </w:r>
    </w:p>
    <w:p>
      <w:pPr>
        <w:pStyle w:val="Defpara"/>
        <w:spacing w:before="100"/>
      </w:pPr>
      <w:r>
        <w:tab/>
        <w:t>(f)</w:t>
      </w:r>
      <w:r>
        <w:tab/>
        <w:t>inspection fees; and</w:t>
      </w:r>
    </w:p>
    <w:p>
      <w:pPr>
        <w:pStyle w:val="Defpara"/>
        <w:spacing w:before="100"/>
      </w:pPr>
      <w:r>
        <w:tab/>
        <w:t>(g)</w:t>
      </w:r>
      <w:r>
        <w:tab/>
        <w:t>any fees payable to the lending institution lodging an application under section 131L(1) on behalf of the applicant concerned to assist him in that purchase or purchase and completion; and</w:t>
      </w:r>
    </w:p>
    <w:p>
      <w:pPr>
        <w:pStyle w:val="Defpara"/>
        <w:spacing w:before="100"/>
      </w:pPr>
      <w:r>
        <w:tab/>
        <w:t>(h)</w:t>
      </w:r>
      <w:r>
        <w:tab/>
        <w:t>any mortgage guarantee fee or mortgage insurance premium;</w:t>
      </w:r>
    </w:p>
    <w:p>
      <w:pPr>
        <w:pStyle w:val="Defstart"/>
        <w:keepNext/>
        <w:spacing w:before="100"/>
      </w:pPr>
      <w:r>
        <w:rPr>
          <w:b/>
        </w:rPr>
        <w:tab/>
      </w:r>
      <w:r>
        <w:rPr>
          <w:rStyle w:val="CharDefText"/>
        </w:rPr>
        <w:t>lending institution</w:t>
      </w:r>
      <w:r>
        <w:t xml:space="preserve"> means —</w:t>
      </w:r>
    </w:p>
    <w:p>
      <w:pPr>
        <w:pStyle w:val="Defpara"/>
        <w:spacing w:before="100"/>
      </w:pPr>
      <w:r>
        <w:tab/>
        <w:t>(a)</w:t>
      </w:r>
      <w:r>
        <w:tab/>
        <w:t>a bank; or</w:t>
      </w:r>
    </w:p>
    <w:p>
      <w:pPr>
        <w:pStyle w:val="Ednotedefpara"/>
        <w:keepNext/>
        <w:rPr>
          <w:iCs/>
        </w:rPr>
      </w:pPr>
      <w:r>
        <w:tab/>
      </w:r>
      <w:r>
        <w:rPr>
          <w:iCs/>
        </w:rPr>
        <w:t>[(b), (c)</w:t>
      </w:r>
      <w:r>
        <w:rPr>
          <w:iCs/>
        </w:rPr>
        <w:tab/>
        <w:t>deleted]</w:t>
      </w:r>
    </w:p>
    <w:p>
      <w:pPr>
        <w:pStyle w:val="Defpara"/>
      </w:pPr>
      <w:r>
        <w:tab/>
        <w:t>(d)</w:t>
      </w:r>
      <w:r>
        <w:tab/>
        <w:t>a body that is prescribed, or that belongs to a class of bodies that is prescribed.</w:t>
      </w:r>
    </w:p>
    <w:p>
      <w:pPr>
        <w:pStyle w:val="Footnotesection"/>
      </w:pPr>
      <w:r>
        <w:tab/>
        <w:t>[Section 131A inserted by No. 29 of 1982 s. 10; amended by No. 59 of 1995 s. 28; No. 26 of 1999 s. 99(10); No. 12 of 2001 s. 51; No. 65 of 2003 s. 59(3); No. 17 of 2005 s. 29(2); No. 12 of 2008 Sch. 1 cl. 32.]</w:t>
      </w:r>
    </w:p>
    <w:p>
      <w:pPr>
        <w:pStyle w:val="Heading5"/>
      </w:pPr>
      <w:bookmarkStart w:id="318" w:name="_Toc404159156"/>
      <w:bookmarkStart w:id="319" w:name="_Toc486576260"/>
      <w:r>
        <w:rPr>
          <w:rStyle w:val="CharSectno"/>
        </w:rPr>
        <w:t>131B</w:t>
      </w:r>
      <w:r>
        <w:t>.</w:t>
      </w:r>
      <w:r>
        <w:tab/>
        <w:t>Home Buyers Assistance Account established</w:t>
      </w:r>
      <w:bookmarkEnd w:id="318"/>
      <w:bookmarkEnd w:id="319"/>
    </w:p>
    <w:p>
      <w:pPr>
        <w:pStyle w:val="Subsection"/>
      </w:pPr>
      <w:r>
        <w:tab/>
      </w:r>
      <w:r>
        <w:tab/>
        <w:t>An account called the Home Buyers Assistance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131B inserted by No. 77 of 2006 Sch. 1 cl. 147(16).]</w:t>
      </w:r>
    </w:p>
    <w:p>
      <w:pPr>
        <w:pStyle w:val="Heading5"/>
        <w:rPr>
          <w:snapToGrid w:val="0"/>
        </w:rPr>
      </w:pPr>
      <w:bookmarkStart w:id="320" w:name="_Toc404159157"/>
      <w:bookmarkStart w:id="321" w:name="_Toc486576261"/>
      <w:r>
        <w:rPr>
          <w:rStyle w:val="CharSectno"/>
        </w:rPr>
        <w:t>131C</w:t>
      </w:r>
      <w:r>
        <w:rPr>
          <w:snapToGrid w:val="0"/>
        </w:rPr>
        <w:t>.</w:t>
      </w:r>
      <w:r>
        <w:rPr>
          <w:snapToGrid w:val="0"/>
        </w:rPr>
        <w:tab/>
        <w:t>Investment of moneys in account</w:t>
      </w:r>
      <w:bookmarkEnd w:id="320"/>
      <w:bookmarkEnd w:id="321"/>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[Section 131C inserted by No. 59 of 1995 s. 30; amended by No. 77 of 2006 Sch. 1 cl. 147(2) and (17).]</w:t>
      </w:r>
    </w:p>
    <w:p>
      <w:pPr>
        <w:pStyle w:val="Heading5"/>
        <w:rPr>
          <w:snapToGrid w:val="0"/>
        </w:rPr>
      </w:pPr>
      <w:bookmarkStart w:id="322" w:name="_Toc404159158"/>
      <w:bookmarkStart w:id="323" w:name="_Toc486576262"/>
      <w:r>
        <w:rPr>
          <w:rStyle w:val="CharSectno"/>
        </w:rPr>
        <w:t>131D</w:t>
      </w:r>
      <w:r>
        <w:rPr>
          <w:snapToGrid w:val="0"/>
        </w:rPr>
        <w:t>.</w:t>
      </w:r>
      <w:r>
        <w:rPr>
          <w:snapToGrid w:val="0"/>
        </w:rPr>
        <w:tab/>
        <w:t>Moneys to be credited to account</w:t>
      </w:r>
      <w:bookmarkEnd w:id="322"/>
      <w:bookmarkEnd w:id="323"/>
    </w:p>
    <w:p>
      <w:pPr>
        <w:pStyle w:val="Subsection"/>
        <w:keepNext/>
        <w:rPr>
          <w:snapToGrid w:val="0"/>
        </w:rPr>
      </w:pPr>
      <w:r>
        <w:rPr>
          <w:snapToGrid w:val="0"/>
        </w:rPr>
        <w:tab/>
      </w:r>
      <w:r>
        <w:rPr>
          <w:snapToGrid w:val="0"/>
        </w:rPr>
        <w:tab/>
        <w:t>There shall be credited to the Assistance</w:t>
      </w:r>
      <w:r>
        <w:t xml:space="preserve"> Account</w:t>
      </w:r>
      <w:r>
        <w:rPr>
          <w:snapToGrid w:val="0"/>
        </w:rPr>
        <w:t>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 and</w:t>
      </w:r>
    </w:p>
    <w:p>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[Section 131D inserted by No. 29 of 1982 s. 10; amended by No. 59 of 1995 s. 31 and 42; No. 77 of 2006 Sch. 1 cl. 147(2); No. 58 of 2010 s. 119.]</w:t>
      </w:r>
    </w:p>
    <w:p>
      <w:pPr>
        <w:pStyle w:val="Heading5"/>
        <w:rPr>
          <w:snapToGrid w:val="0"/>
        </w:rPr>
      </w:pPr>
      <w:bookmarkStart w:id="324" w:name="_Toc404159159"/>
      <w:bookmarkStart w:id="325" w:name="_Toc486576263"/>
      <w:r>
        <w:rPr>
          <w:rStyle w:val="CharSectno"/>
        </w:rPr>
        <w:t>131E</w:t>
      </w:r>
      <w:r>
        <w:rPr>
          <w:snapToGrid w:val="0"/>
        </w:rPr>
        <w:t>.</w:t>
      </w:r>
      <w:r>
        <w:rPr>
          <w:snapToGrid w:val="0"/>
        </w:rPr>
        <w:tab/>
        <w:t>Expenditure from account</w:t>
      </w:r>
      <w:bookmarkEnd w:id="324"/>
      <w:bookmarkEnd w:id="325"/>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w:t>
      </w:r>
    </w:p>
    <w:p>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 and</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 and</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 and</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[Section 131E inserted by No. 29 of 1982 s. 10; amended by No. 59 of 1995 s. 32 and 42; No. 77 of 2006 Sch. 1 cl. 147(2); No. 58 of 2010 s. 120.]</w:t>
      </w:r>
    </w:p>
    <w:p>
      <w:pPr>
        <w:pStyle w:val="Ednotesection"/>
      </w:pPr>
      <w:r>
        <w:t>[</w:t>
      </w:r>
      <w:r>
        <w:rPr>
          <w:b/>
        </w:rPr>
        <w:t>131F.</w:t>
      </w:r>
      <w:r>
        <w:tab/>
        <w:t>Deleted by No. 98 of 1985 s. 3.]</w:t>
      </w:r>
    </w:p>
    <w:p>
      <w:pPr>
        <w:pStyle w:val="Heading5"/>
        <w:rPr>
          <w:snapToGrid w:val="0"/>
        </w:rPr>
      </w:pPr>
      <w:bookmarkStart w:id="326" w:name="_Toc404159160"/>
      <w:bookmarkStart w:id="327" w:name="_Toc486576264"/>
      <w:r>
        <w:rPr>
          <w:rStyle w:val="CharSectno"/>
        </w:rPr>
        <w:t>131G</w:t>
      </w:r>
      <w:r>
        <w:rPr>
          <w:snapToGrid w:val="0"/>
        </w:rPr>
        <w:t>.</w:t>
      </w:r>
      <w:r>
        <w:rPr>
          <w:snapToGrid w:val="0"/>
        </w:rPr>
        <w:tab/>
      </w:r>
      <w:r>
        <w:t>Administration of account</w:t>
      </w:r>
      <w:bookmarkEnd w:id="326"/>
      <w:bookmarkEnd w:id="327"/>
    </w:p>
    <w:p>
      <w:pPr>
        <w:pStyle w:val="Subsection"/>
        <w:spacing w:before="18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pPr>
        <w:pStyle w:val="Footnotesection"/>
      </w:pPr>
      <w:r>
        <w:tab/>
        <w:t>[Section 131G inserted by No. 29 of 1982 s. 10; amended by No. 77 of 2006 Sch. 1 cl. 147(2); No. 58 of 2010 s. 121.]</w:t>
      </w:r>
    </w:p>
    <w:p>
      <w:pPr>
        <w:pStyle w:val="Ednotesection"/>
        <w:spacing w:before="260"/>
        <w:rPr>
          <w:b/>
        </w:rPr>
      </w:pPr>
      <w:r>
        <w:t>[</w:t>
      </w:r>
      <w:r>
        <w:rPr>
          <w:b/>
        </w:rPr>
        <w:t>131H-131KA.</w:t>
      </w:r>
      <w:r>
        <w:t xml:space="preserve">   Deleted by No. 58 of 2010 s. 122.]</w:t>
      </w:r>
    </w:p>
    <w:p>
      <w:pPr>
        <w:pStyle w:val="Heading5"/>
        <w:spacing w:before="260"/>
        <w:rPr>
          <w:snapToGrid w:val="0"/>
        </w:rPr>
      </w:pPr>
      <w:bookmarkStart w:id="328" w:name="_Toc404159161"/>
      <w:bookmarkStart w:id="329" w:name="_Toc486576265"/>
      <w:r>
        <w:rPr>
          <w:rStyle w:val="CharSectno"/>
        </w:rPr>
        <w:t>131L</w:t>
      </w:r>
      <w:r>
        <w:rPr>
          <w:snapToGrid w:val="0"/>
        </w:rPr>
        <w:t>.</w:t>
      </w:r>
      <w:r>
        <w:rPr>
          <w:snapToGrid w:val="0"/>
        </w:rPr>
        <w:tab/>
        <w:t>Applying for assistance for buyers of first homes</w:t>
      </w:r>
      <w:bookmarkEnd w:id="328"/>
      <w:bookmarkEnd w:id="329"/>
    </w:p>
    <w:p>
      <w:pPr>
        <w:pStyle w:val="Subsection"/>
        <w:keepNext/>
        <w:spacing w:before="180"/>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spacing w:before="180"/>
        <w:rPr>
          <w:snapToGrid w:val="0"/>
        </w:rPr>
      </w:pPr>
      <w:r>
        <w:rPr>
          <w:snapToGrid w:val="0"/>
        </w:rPr>
        <w:tab/>
      </w:r>
      <w:r>
        <w:rPr>
          <w:snapToGrid w:val="0"/>
        </w:rPr>
        <w:tab/>
        <w:t xml:space="preserve">may, not later than 90 days after the date of the contract to purchase the dwelling, on behalf of the person lodge with the </w:t>
      </w:r>
      <w:r>
        <w:t>chief executive officer</w:t>
      </w:r>
      <w:r>
        <w:rPr>
          <w:snapToGrid w:val="0"/>
        </w:rPr>
        <w:t xml:space="preserve">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spacing w:before="180"/>
        <w:rPr>
          <w:snapToGrid w:val="0"/>
        </w:rPr>
      </w:pPr>
      <w:r>
        <w:rPr>
          <w:snapToGrid w:val="0"/>
        </w:rPr>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pPr>
        <w:pStyle w:val="Subsection"/>
        <w:spacing w:before="180"/>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[Section 131L inserted by No. 29 of 1982 s. 10; amended by No. 43 of 1994 s. 7; No. 59 of 1995 s. 35 and 40(2); No. 58 of 2010 s. 123.]</w:t>
      </w:r>
    </w:p>
    <w:p>
      <w:pPr>
        <w:pStyle w:val="Heading5"/>
        <w:rPr>
          <w:snapToGrid w:val="0"/>
        </w:rPr>
      </w:pPr>
      <w:bookmarkStart w:id="330" w:name="_Toc404159162"/>
      <w:bookmarkStart w:id="331" w:name="_Toc486576266"/>
      <w:r>
        <w:rPr>
          <w:rStyle w:val="CharSectno"/>
        </w:rPr>
        <w:t>131M</w:t>
      </w:r>
      <w:r>
        <w:rPr>
          <w:snapToGrid w:val="0"/>
        </w:rPr>
        <w:t>.</w:t>
      </w:r>
      <w:r>
        <w:rPr>
          <w:snapToGrid w:val="0"/>
        </w:rPr>
        <w:tab/>
      </w:r>
      <w:r>
        <w:t>Deciding applications for assistance</w:t>
      </w:r>
      <w:bookmarkEnd w:id="330"/>
      <w:bookmarkEnd w:id="331"/>
    </w:p>
    <w:p>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w:t>
      </w:r>
    </w:p>
    <w:p>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pPr>
        <w:pStyle w:val="Indenta"/>
      </w:pPr>
      <w:r>
        <w:tab/>
        <w:t>(b)</w:t>
      </w:r>
      <w:r>
        <w:tab/>
        <w:t>referring the application to an advisory committee established for that purpose under section 23A, or to the Property Industry Advisory Committee, for consideration.</w:t>
      </w:r>
    </w:p>
    <w:p>
      <w:pPr>
        <w:pStyle w:val="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pPr>
        <w:pStyle w:val="Subsection"/>
        <w:rPr>
          <w:snapToGrid w:val="0"/>
        </w:rPr>
      </w:pPr>
      <w:r>
        <w:rPr>
          <w:snapToGrid w:val="0"/>
        </w:rPr>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current at the date of the lodging of the application under section 131L(1)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keepNext/>
        <w:keepLines/>
        <w:rPr>
          <w:snapToGrid w:val="0"/>
        </w:rPr>
      </w:pPr>
      <w:r>
        <w:rPr>
          <w:snapToGrid w:val="0"/>
        </w:rPr>
        <w:tab/>
        <w:t>(b)</w:t>
      </w:r>
      <w:r>
        <w:rPr>
          <w:snapToGrid w:val="0"/>
        </w:rPr>
        <w:tab/>
        <w:t>refuse that application.</w:t>
      </w:r>
    </w:p>
    <w:p>
      <w:pPr>
        <w:pStyle w:val="Footnotesection"/>
      </w:pPr>
      <w:r>
        <w:tab/>
        <w:t>[Section 131M inserted by No. 29 of 1982 s. 10; amended by No. 43 of 1994 s. 8; No. 59 of 1995 s. 36; No. 58 of 2010 s. 124.]</w:t>
      </w:r>
    </w:p>
    <w:p>
      <w:pPr>
        <w:pStyle w:val="Heading5"/>
        <w:rPr>
          <w:snapToGrid w:val="0"/>
        </w:rPr>
      </w:pPr>
      <w:bookmarkStart w:id="332" w:name="_Toc404159163"/>
      <w:bookmarkStart w:id="333" w:name="_Toc486576267"/>
      <w:r>
        <w:rPr>
          <w:rStyle w:val="CharSectno"/>
        </w:rPr>
        <w:t>131N</w:t>
      </w:r>
      <w:r>
        <w:rPr>
          <w:snapToGrid w:val="0"/>
        </w:rPr>
        <w:t>.</w:t>
      </w:r>
      <w:r>
        <w:rPr>
          <w:snapToGrid w:val="0"/>
        </w:rPr>
        <w:tab/>
        <w:t>Assistance, payment and application of</w:t>
      </w:r>
      <w:bookmarkEnd w:id="332"/>
      <w:bookmarkEnd w:id="333"/>
    </w:p>
    <w:p>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r>
        <w:t>chief executive officer</w:t>
      </w:r>
      <w:r>
        <w:rPr>
          <w:snapToGrid w:val="0"/>
        </w:rPr>
        <w:t xml:space="preserve"> under section 131M(3) ceases for any reason to be required to pay —</w:t>
      </w:r>
    </w:p>
    <w:p>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pPr>
        <w:pStyle w:val="Indenta"/>
        <w:rPr>
          <w:snapToGrid w:val="0"/>
        </w:rPr>
      </w:pPr>
      <w:r>
        <w:rPr>
          <w:snapToGrid w:val="0"/>
        </w:rPr>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r>
        <w:t>chief executive officer</w:t>
      </w:r>
      <w:r>
        <w:rPr>
          <w:snapToGrid w:val="0"/>
        </w:rPr>
        <w:t xml:space="preserve"> the amount of that excess.</w:t>
      </w:r>
    </w:p>
    <w:p>
      <w:pPr>
        <w:pStyle w:val="Subsection"/>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[Section 131N inserted by No. 29 of 1982 s. 10; amended by No. 59 of 1995 s. 40(2); No. 77 of 2006 Sch. 1 cl. 147(2); No. 58 of 2010 s. 125.]</w:t>
      </w:r>
    </w:p>
    <w:p>
      <w:pPr>
        <w:pStyle w:val="Heading5"/>
        <w:rPr>
          <w:snapToGrid w:val="0"/>
        </w:rPr>
      </w:pPr>
      <w:bookmarkStart w:id="334" w:name="_Toc404159164"/>
      <w:bookmarkStart w:id="335" w:name="_Toc486576268"/>
      <w:r>
        <w:rPr>
          <w:rStyle w:val="CharSectno"/>
        </w:rPr>
        <w:t>131O</w:t>
      </w:r>
      <w:r>
        <w:rPr>
          <w:snapToGrid w:val="0"/>
        </w:rPr>
        <w:t>.</w:t>
      </w:r>
      <w:r>
        <w:rPr>
          <w:snapToGrid w:val="0"/>
        </w:rPr>
        <w:tab/>
      </w:r>
      <w:r>
        <w:t>Criteria for granting assistance, formulating</w:t>
      </w:r>
      <w:bookmarkEnd w:id="334"/>
      <w:bookmarkEnd w:id="335"/>
    </w:p>
    <w:p>
      <w:pPr>
        <w:pStyle w:val="Subsection"/>
        <w:keepNext/>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w:t>
      </w:r>
    </w:p>
    <w:p>
      <w:pPr>
        <w:pStyle w:val="Ednotepara"/>
        <w:spacing w:before="80"/>
      </w:pPr>
      <w:r>
        <w:tab/>
        <w:t>[(a)</w:t>
      </w:r>
      <w:r>
        <w:tab/>
        <w:t>deleted]</w:t>
      </w:r>
    </w:p>
    <w:p>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pPr>
        <w:pStyle w:val="Ednotepara"/>
        <w:spacing w:before="80"/>
      </w:pPr>
      <w:r>
        <w:tab/>
        <w:t>[(c)-(e)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criteria in accordance with which applications </w:t>
      </w:r>
      <w:r>
        <w:t>received by the chief executive officer under section 131M</w:t>
      </w:r>
      <w:r>
        <w:rPr>
          <w:snapToGrid w:val="0"/>
        </w:rPr>
        <w:t xml:space="preserve"> are to be decided.</w:t>
      </w:r>
    </w:p>
    <w:p>
      <w:pPr>
        <w:pStyle w:val="Footnotesection"/>
      </w:pPr>
      <w:r>
        <w:tab/>
        <w:t>[Section 131O inserted by No. 29 of 1982 s. 10; amended by No. 6 of 1994 s. 13; No. 43 of 1994 s. 9; No. 14 of 1995 s. 44; No. 59 of 1995 s. 37; No. 12 of 2001 s. 50; No. 17 of 2005 s. 29(3); No. 58 of 2010 s. 126.]</w:t>
      </w:r>
    </w:p>
    <w:p>
      <w:pPr>
        <w:pStyle w:val="Heading2"/>
      </w:pPr>
      <w:bookmarkStart w:id="336" w:name="_Toc404159165"/>
      <w:bookmarkStart w:id="337" w:name="_Toc424293191"/>
      <w:bookmarkStart w:id="338" w:name="_Toc435024554"/>
      <w:bookmarkStart w:id="339" w:name="_Toc468701062"/>
      <w:bookmarkStart w:id="340" w:name="_Toc486576269"/>
      <w:r>
        <w:rPr>
          <w:rStyle w:val="CharPartNo"/>
        </w:rPr>
        <w:t>Part X</w:t>
      </w:r>
      <w:r>
        <w:rPr>
          <w:rStyle w:val="CharDivNo"/>
        </w:rPr>
        <w:t> </w:t>
      </w:r>
      <w:r>
        <w:t>—</w:t>
      </w:r>
      <w:r>
        <w:rPr>
          <w:rStyle w:val="CharDivText"/>
        </w:rPr>
        <w:t> </w:t>
      </w:r>
      <w:r>
        <w:rPr>
          <w:rStyle w:val="CharPartText"/>
        </w:rPr>
        <w:t>Miscellaneous</w:t>
      </w:r>
      <w:bookmarkEnd w:id="336"/>
      <w:bookmarkEnd w:id="337"/>
      <w:bookmarkEnd w:id="338"/>
      <w:bookmarkEnd w:id="339"/>
      <w:bookmarkEnd w:id="340"/>
    </w:p>
    <w:p>
      <w:pPr>
        <w:pStyle w:val="Heading5"/>
        <w:rPr>
          <w:snapToGrid w:val="0"/>
        </w:rPr>
      </w:pPr>
      <w:bookmarkStart w:id="341" w:name="_Toc404159166"/>
      <w:bookmarkStart w:id="342" w:name="_Toc486576270"/>
      <w:r>
        <w:rPr>
          <w:rStyle w:val="CharSectno"/>
        </w:rPr>
        <w:t>132</w:t>
      </w:r>
      <w:r>
        <w:rPr>
          <w:snapToGrid w:val="0"/>
        </w:rPr>
        <w:t>.</w:t>
      </w:r>
      <w:r>
        <w:rPr>
          <w:snapToGrid w:val="0"/>
        </w:rPr>
        <w:tab/>
        <w:t>Unlicensed assistants to be supervised etc.</w:t>
      </w:r>
      <w:bookmarkEnd w:id="341"/>
      <w:bookmarkEnd w:id="342"/>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w:t>
      </w:r>
    </w:p>
    <w:p>
      <w:pPr>
        <w:pStyle w:val="Indenta"/>
        <w:keepNext/>
        <w:rPr>
          <w:snapToGrid w:val="0"/>
        </w:rPr>
      </w:pPr>
      <w:r>
        <w:rPr>
          <w:snapToGrid w:val="0"/>
        </w:rPr>
        <w:tab/>
        <w:t>(a)</w:t>
      </w:r>
      <w:r>
        <w:rPr>
          <w:snapToGrid w:val="0"/>
        </w:rPr>
        <w:tab/>
        <w:t>where the licensee of the business involved is not a firm or a body corporate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the manager of a branch office of the business shall give substantial time and attention to the business at that office;</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 and</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 and</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343" w:name="_Toc404159167"/>
      <w:bookmarkStart w:id="344" w:name="_Toc486576271"/>
      <w:r>
        <w:rPr>
          <w:rStyle w:val="CharSectno"/>
        </w:rPr>
        <w:t>133</w:t>
      </w:r>
      <w:r>
        <w:rPr>
          <w:snapToGrid w:val="0"/>
        </w:rPr>
        <w:t>.</w:t>
      </w:r>
      <w:r>
        <w:rPr>
          <w:snapToGrid w:val="0"/>
        </w:rPr>
        <w:tab/>
      </w:r>
      <w:r>
        <w:t>Registers of licensees etc., Commissioner to keep etc.</w:t>
      </w:r>
      <w:bookmarkEnd w:id="343"/>
      <w:bookmarkEnd w:id="344"/>
    </w:p>
    <w:p>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w:t>
      </w:r>
    </w:p>
    <w:p>
      <w:pPr>
        <w:pStyle w:val="Indenta"/>
        <w:rPr>
          <w:snapToGrid w:val="0"/>
        </w:rPr>
      </w:pPr>
      <w:r>
        <w:rPr>
          <w:snapToGrid w:val="0"/>
        </w:rPr>
        <w:tab/>
        <w:t>(a)</w:t>
      </w:r>
      <w:r>
        <w:rPr>
          <w:snapToGrid w:val="0"/>
        </w:rPr>
        <w:tab/>
        <w:t>a register of licensees; and</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pPr>
        <w:pStyle w:val="Footnotesection"/>
      </w:pPr>
      <w:r>
        <w:tab/>
        <w:t>[Section 133 amended by No. 56 of 1995 s. 47; No. 58 of 2010 s. 134.]</w:t>
      </w:r>
    </w:p>
    <w:p>
      <w:pPr>
        <w:pStyle w:val="Heading5"/>
      </w:pPr>
      <w:bookmarkStart w:id="345" w:name="_Toc468453323"/>
      <w:bookmarkStart w:id="346" w:name="_Toc468458378"/>
      <w:bookmarkStart w:id="347" w:name="_Toc486510534"/>
      <w:bookmarkStart w:id="348" w:name="_Toc486576272"/>
      <w:bookmarkStart w:id="349" w:name="_Toc404159168"/>
      <w:r>
        <w:rPr>
          <w:rStyle w:val="CharSectno"/>
        </w:rPr>
        <w:t>134A</w:t>
      </w:r>
      <w:r>
        <w:t>.</w:t>
      </w:r>
      <w:r>
        <w:tab/>
        <w:t>Offence to give false or misleading information</w:t>
      </w:r>
      <w:bookmarkEnd w:id="345"/>
      <w:bookmarkEnd w:id="346"/>
      <w:bookmarkEnd w:id="347"/>
      <w:bookmarkEnd w:id="348"/>
    </w:p>
    <w:p>
      <w:pPr>
        <w:pStyle w:val="Subsection"/>
      </w:pPr>
      <w:r>
        <w:tab/>
        <w:t>(1)</w:t>
      </w:r>
      <w:r>
        <w:tab/>
        <w:t>A person who gives false or misleading information in relation to an application under section 24, 33, 43, 48 or 49 commits an offence.</w:t>
      </w:r>
    </w:p>
    <w:p>
      <w:pPr>
        <w:pStyle w:val="Penstart"/>
      </w:pPr>
      <w:r>
        <w:tab/>
        <w:t>Penalty for this subsection: a fine of $20 000.</w:t>
      </w:r>
    </w:p>
    <w:p>
      <w:pPr>
        <w:pStyle w:val="Subsection"/>
      </w:pPr>
      <w:r>
        <w:tab/>
        <w:t>(2)</w:t>
      </w:r>
      <w:r>
        <w:tab/>
        <w:t>For the purposes of subsection (1), a person gives false or misleading information in relation to an application referred to in subsection (1) if the person does one or more of the following —</w:t>
      </w:r>
    </w:p>
    <w:p>
      <w:pPr>
        <w:pStyle w:val="Indenta"/>
      </w:pPr>
      <w:r>
        <w:tab/>
        <w:t>(a)</w:t>
      </w:r>
      <w:r>
        <w:tab/>
        <w:t>states anything in relation to an application that the person knows is false or misleading in a material particular;</w:t>
      </w:r>
    </w:p>
    <w:p>
      <w:pPr>
        <w:pStyle w:val="Indenta"/>
      </w:pPr>
      <w:r>
        <w:tab/>
        <w:t>(b)</w:t>
      </w:r>
      <w:r>
        <w:tab/>
        <w:t>omits anything from a statement made in relation to an application without which the statement is, to the person’s knowledge, misleading in a material particular;</w:t>
      </w:r>
    </w:p>
    <w:p>
      <w:pPr>
        <w:pStyle w:val="Indenta"/>
      </w:pPr>
      <w:r>
        <w:tab/>
        <w:t>(c)</w:t>
      </w:r>
      <w:r>
        <w:tab/>
        <w:t>gives or produces any information in relation to an application that —</w:t>
      </w:r>
    </w:p>
    <w:p>
      <w:pPr>
        <w:pStyle w:val="Indenti"/>
      </w:pPr>
      <w:r>
        <w:tab/>
        <w:t>(i)</w:t>
      </w:r>
      <w:r>
        <w:tab/>
        <w:t>the person knows is false or misleading in a material particular; or</w:t>
      </w:r>
    </w:p>
    <w:p>
      <w:pPr>
        <w:pStyle w:val="Indenti"/>
      </w:pPr>
      <w:r>
        <w:tab/>
        <w:t>(ii)</w:t>
      </w:r>
      <w:r>
        <w:tab/>
        <w:t>omits anything without which the information is, to the person’s knowledge, misleading in a material particular.</w:t>
      </w:r>
    </w:p>
    <w:p>
      <w:pPr>
        <w:pStyle w:val="Footnotesection"/>
      </w:pPr>
      <w:r>
        <w:tab/>
        <w:t>[Section 134A inserted by No. 44 of 2016 s. 35.]</w:t>
      </w:r>
    </w:p>
    <w:p>
      <w:pPr>
        <w:pStyle w:val="Heading5"/>
        <w:rPr>
          <w:snapToGrid w:val="0"/>
        </w:rPr>
      </w:pPr>
      <w:bookmarkStart w:id="350" w:name="_Toc486576273"/>
      <w:r>
        <w:rPr>
          <w:rStyle w:val="CharSectno"/>
        </w:rPr>
        <w:t>134</w:t>
      </w:r>
      <w:r>
        <w:rPr>
          <w:snapToGrid w:val="0"/>
        </w:rPr>
        <w:t>.</w:t>
      </w:r>
      <w:r>
        <w:rPr>
          <w:snapToGrid w:val="0"/>
        </w:rPr>
        <w:tab/>
        <w:t>Commissioner’s certificate</w:t>
      </w:r>
      <w:bookmarkEnd w:id="349"/>
      <w:bookmarkEnd w:id="350"/>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134 amended by No. 58 of 2010 s. 134; No. 23 of 2014 s. 80.]</w:t>
      </w:r>
    </w:p>
    <w:p>
      <w:pPr>
        <w:pStyle w:val="Heading5"/>
        <w:rPr>
          <w:snapToGrid w:val="0"/>
        </w:rPr>
      </w:pPr>
      <w:bookmarkStart w:id="351" w:name="_Toc404159169"/>
      <w:bookmarkStart w:id="352" w:name="_Toc486576274"/>
      <w:r>
        <w:rPr>
          <w:rStyle w:val="CharSectno"/>
        </w:rPr>
        <w:t>135</w:t>
      </w:r>
      <w:r>
        <w:rPr>
          <w:snapToGrid w:val="0"/>
        </w:rPr>
        <w:t>.</w:t>
      </w:r>
      <w:r>
        <w:rPr>
          <w:snapToGrid w:val="0"/>
        </w:rPr>
        <w:tab/>
      </w:r>
      <w:r>
        <w:t>Annual report by department</w:t>
      </w:r>
      <w:bookmarkEnd w:id="351"/>
      <w:bookmarkEnd w:id="352"/>
    </w:p>
    <w:p>
      <w:pPr>
        <w:pStyle w:val="Ednotesubsection"/>
      </w:pPr>
      <w:r>
        <w:tab/>
        <w:t>[(1)</w:t>
      </w:r>
      <w:r>
        <w:tab/>
        <w:t>deleted]</w:t>
      </w:r>
    </w:p>
    <w:p>
      <w:pPr>
        <w:pStyle w:val="Subsection"/>
      </w:pPr>
      <w:r>
        <w:tab/>
        <w:t>(2)</w:t>
      </w:r>
      <w:r>
        <w:tab/>
        <w:t>The department’s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and</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the year after the year to which the report relates; and</w:t>
      </w:r>
    </w:p>
    <w:p>
      <w:pPr>
        <w:pStyle w:val="Indenta"/>
        <w:keepNext/>
        <w:keepLines/>
      </w:pPr>
      <w:r>
        <w:tab/>
        <w:t>(e)</w:t>
      </w:r>
      <w:r>
        <w:tab/>
        <w:t>any proposals for improving the operation of the Commissioner.</w:t>
      </w:r>
    </w:p>
    <w:p>
      <w:pPr>
        <w:pStyle w:val="Footnotesection"/>
        <w:spacing w:before="80"/>
        <w:ind w:left="890" w:hanging="890"/>
      </w:pPr>
      <w:r>
        <w:tab/>
        <w:t>[Section 135 inserted by No. 98 of 1985 s. 3; amended by No. 59 of 1995 s. 38; No. 55 of 2004 s. 1016; No. 77 of 2006 Sch. 1 cl. 147(18); No. 58 of 2010 s. 127.]</w:t>
      </w:r>
    </w:p>
    <w:p>
      <w:pPr>
        <w:pStyle w:val="Heading5"/>
        <w:spacing w:before="200"/>
        <w:rPr>
          <w:snapToGrid w:val="0"/>
        </w:rPr>
      </w:pPr>
      <w:bookmarkStart w:id="353" w:name="_Toc404159170"/>
      <w:bookmarkStart w:id="354" w:name="_Toc486576275"/>
      <w:r>
        <w:t>136</w:t>
      </w:r>
      <w:r>
        <w:rPr>
          <w:snapToGrid w:val="0"/>
        </w:rPr>
        <w:t>.</w:t>
      </w:r>
      <w:r>
        <w:rPr>
          <w:snapToGrid w:val="0"/>
        </w:rPr>
        <w:tab/>
      </w:r>
      <w:r>
        <w:t>Commissioner to report to Minister on Act’s effectiveness as to protecting against defalcations</w:t>
      </w:r>
      <w:bookmarkEnd w:id="353"/>
      <w:bookmarkEnd w:id="354"/>
    </w:p>
    <w:p>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w:t>
      </w:r>
    </w:p>
    <w:p>
      <w:pPr>
        <w:pStyle w:val="Indenta"/>
        <w:spacing w:before="60"/>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spacing w:before="60"/>
        <w:rPr>
          <w:snapToGrid w:val="0"/>
        </w:rPr>
      </w:pPr>
      <w:r>
        <w:rPr>
          <w:snapToGrid w:val="0"/>
        </w:rPr>
        <w:tab/>
        <w:t>(b)</w:t>
      </w:r>
      <w:r>
        <w:rPr>
          <w:snapToGrid w:val="0"/>
        </w:rPr>
        <w:tab/>
        <w:t>the desirability or otherwise of having further or alternative measures for that purpose,</w:t>
      </w:r>
    </w:p>
    <w:p>
      <w:pPr>
        <w:pStyle w:val="Subsection"/>
        <w:spacing w:before="120"/>
        <w:rPr>
          <w:snapToGrid w:val="0"/>
        </w:rPr>
      </w:pPr>
      <w:r>
        <w:rPr>
          <w:snapToGrid w:val="0"/>
        </w:rPr>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pPr>
        <w:pStyle w:val="Footnotesection"/>
        <w:spacing w:before="80"/>
        <w:ind w:left="890" w:hanging="890"/>
      </w:pPr>
      <w:r>
        <w:tab/>
        <w:t>[Section 136 amended by No. 58 of 2010 s. 134.]</w:t>
      </w:r>
    </w:p>
    <w:p>
      <w:pPr>
        <w:pStyle w:val="Heading5"/>
        <w:spacing w:before="200"/>
        <w:rPr>
          <w:snapToGrid w:val="0"/>
        </w:rPr>
      </w:pPr>
      <w:bookmarkStart w:id="355" w:name="_Toc404159171"/>
      <w:bookmarkStart w:id="356" w:name="_Toc486576276"/>
      <w:r>
        <w:t>136A</w:t>
      </w:r>
      <w:r>
        <w:rPr>
          <w:snapToGrid w:val="0"/>
        </w:rPr>
        <w:t>.</w:t>
      </w:r>
      <w:r>
        <w:rPr>
          <w:snapToGrid w:val="0"/>
        </w:rPr>
        <w:tab/>
        <w:t>Refunds of fees, Commissioner’s powers as to</w:t>
      </w:r>
      <w:bookmarkEnd w:id="355"/>
      <w:bookmarkEnd w:id="356"/>
    </w:p>
    <w:p>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licence or triennial certificate or any sum paid to the </w:t>
      </w:r>
      <w:r>
        <w:t>Commissioner</w:t>
      </w:r>
      <w:r>
        <w:rPr>
          <w:snapToGrid w:val="0"/>
        </w:rPr>
        <w:t xml:space="preserve"> by way of contribution or levy to the Fidelity</w:t>
      </w:r>
      <w:r>
        <w:t xml:space="preserve"> Account</w:t>
      </w:r>
      <w:r>
        <w:rPr>
          <w:snapToGrid w:val="0"/>
        </w:rPr>
        <w:t>.</w:t>
      </w:r>
    </w:p>
    <w:p>
      <w:pPr>
        <w:pStyle w:val="Footnotesection"/>
        <w:spacing w:before="80"/>
        <w:ind w:left="890" w:hanging="890"/>
      </w:pPr>
      <w:r>
        <w:tab/>
        <w:t>[Section 136A inserted by No. 74 of 1980 s. 12; amended by No. 29 of 1982 s. 12; No. 77 of 2006 Sch. 1 cl. 147(2); No. 58 of 2010 s. 134.]</w:t>
      </w:r>
    </w:p>
    <w:p>
      <w:pPr>
        <w:pStyle w:val="Heading5"/>
        <w:spacing w:before="200"/>
      </w:pPr>
      <w:bookmarkStart w:id="357" w:name="_Toc404159172"/>
      <w:bookmarkStart w:id="358" w:name="_Toc486576277"/>
      <w:r>
        <w:rPr>
          <w:rStyle w:val="CharSectno"/>
        </w:rPr>
        <w:t>137</w:t>
      </w:r>
      <w:r>
        <w:t>.</w:t>
      </w:r>
      <w:r>
        <w:tab/>
        <w:t>Protection from personal liability</w:t>
      </w:r>
      <w:bookmarkEnd w:id="357"/>
      <w:bookmarkEnd w:id="358"/>
    </w:p>
    <w:p>
      <w:pPr>
        <w:pStyle w:val="Subsection"/>
        <w:spacing w:before="120"/>
      </w:pPr>
      <w:r>
        <w:tab/>
      </w:r>
      <w:r>
        <w:tab/>
        <w:t>A person does not incur any liability in tort for anything that the person does, in good faith, in the performance or purported performance of a function under this Act.</w:t>
      </w:r>
    </w:p>
    <w:p>
      <w:pPr>
        <w:pStyle w:val="Footnotesection"/>
        <w:spacing w:before="80"/>
        <w:ind w:left="890" w:hanging="890"/>
      </w:pPr>
      <w:r>
        <w:tab/>
        <w:t>[Section 137 inserted by No. 58 of 2010 s. 128.]</w:t>
      </w:r>
    </w:p>
    <w:p>
      <w:pPr>
        <w:pStyle w:val="Heading5"/>
      </w:pPr>
      <w:bookmarkStart w:id="359" w:name="_Toc404159173"/>
      <w:bookmarkStart w:id="360" w:name="_Toc486576278"/>
      <w:r>
        <w:rPr>
          <w:rStyle w:val="CharSectno"/>
        </w:rPr>
        <w:t>138</w:t>
      </w:r>
      <w:r>
        <w:t>.</w:t>
      </w:r>
      <w:r>
        <w:tab/>
        <w:t>Confidentiality of information officially obtained</w:t>
      </w:r>
      <w:bookmarkEnd w:id="359"/>
      <w:bookmarkEnd w:id="360"/>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138 inserted by No. 58 of 2010 s. 129.]</w:t>
      </w:r>
    </w:p>
    <w:p>
      <w:pPr>
        <w:pStyle w:val="Heading5"/>
        <w:rPr>
          <w:snapToGrid w:val="0"/>
        </w:rPr>
      </w:pPr>
      <w:bookmarkStart w:id="361" w:name="_Toc404159174"/>
      <w:bookmarkStart w:id="362" w:name="_Toc486576279"/>
      <w:r>
        <w:rPr>
          <w:rStyle w:val="CharSectno"/>
        </w:rPr>
        <w:t>139</w:t>
      </w:r>
      <w:r>
        <w:rPr>
          <w:snapToGrid w:val="0"/>
        </w:rPr>
        <w:t>.</w:t>
      </w:r>
      <w:r>
        <w:rPr>
          <w:snapToGrid w:val="0"/>
        </w:rPr>
        <w:tab/>
        <w:t>Directors of body corporate, liability of</w:t>
      </w:r>
      <w:bookmarkEnd w:id="361"/>
      <w:bookmarkEnd w:id="362"/>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 No. 58 of 2010 s. 134.]</w:t>
      </w:r>
    </w:p>
    <w:p>
      <w:pPr>
        <w:pStyle w:val="Heading5"/>
        <w:rPr>
          <w:snapToGrid w:val="0"/>
        </w:rPr>
      </w:pPr>
      <w:bookmarkStart w:id="363" w:name="_Toc404159175"/>
      <w:bookmarkStart w:id="364" w:name="_Toc486576280"/>
      <w:r>
        <w:rPr>
          <w:rStyle w:val="CharSectno"/>
        </w:rPr>
        <w:t>140</w:t>
      </w:r>
      <w:r>
        <w:rPr>
          <w:snapToGrid w:val="0"/>
        </w:rPr>
        <w:t>.</w:t>
      </w:r>
      <w:r>
        <w:rPr>
          <w:snapToGrid w:val="0"/>
        </w:rPr>
        <w:tab/>
        <w:t>Other rights and remedies not affected by this Act</w:t>
      </w:r>
      <w:bookmarkEnd w:id="363"/>
      <w:bookmarkEnd w:id="364"/>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365" w:name="_Toc404159176"/>
      <w:bookmarkStart w:id="366" w:name="_Toc486576281"/>
      <w:r>
        <w:rPr>
          <w:rStyle w:val="CharSectno"/>
        </w:rPr>
        <w:t>141</w:t>
      </w:r>
      <w:r>
        <w:rPr>
          <w:snapToGrid w:val="0"/>
        </w:rPr>
        <w:t>.</w:t>
      </w:r>
      <w:r>
        <w:rPr>
          <w:snapToGrid w:val="0"/>
        </w:rPr>
        <w:tab/>
        <w:t>Rights conferred by Act cannot be waived</w:t>
      </w:r>
      <w:bookmarkEnd w:id="365"/>
      <w:bookmarkEnd w:id="366"/>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367" w:name="_Toc404159177"/>
      <w:bookmarkStart w:id="368" w:name="_Toc486576282"/>
      <w:r>
        <w:rPr>
          <w:rStyle w:val="CharSectno"/>
        </w:rPr>
        <w:t>142</w:t>
      </w:r>
      <w:r>
        <w:rPr>
          <w:snapToGrid w:val="0"/>
        </w:rPr>
        <w:t>.</w:t>
      </w:r>
      <w:r>
        <w:rPr>
          <w:snapToGrid w:val="0"/>
        </w:rPr>
        <w:tab/>
        <w:t>General penalty for offences</w:t>
      </w:r>
      <w:bookmarkEnd w:id="367"/>
      <w:bookmarkEnd w:id="368"/>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142 amended by No. 43 of 1994 s. 11.]</w:t>
      </w:r>
    </w:p>
    <w:p>
      <w:pPr>
        <w:pStyle w:val="Heading5"/>
        <w:rPr>
          <w:snapToGrid w:val="0"/>
        </w:rPr>
      </w:pPr>
      <w:bookmarkStart w:id="369" w:name="_Toc404159178"/>
      <w:bookmarkStart w:id="370" w:name="_Toc486576283"/>
      <w:r>
        <w:rPr>
          <w:rStyle w:val="CharSectno"/>
        </w:rPr>
        <w:t>143</w:t>
      </w:r>
      <w:r>
        <w:rPr>
          <w:snapToGrid w:val="0"/>
        </w:rPr>
        <w:t>.</w:t>
      </w:r>
      <w:r>
        <w:rPr>
          <w:snapToGrid w:val="0"/>
        </w:rPr>
        <w:tab/>
        <w:t>Proceedings for offences</w:t>
      </w:r>
      <w:bookmarkEnd w:id="369"/>
      <w:bookmarkEnd w:id="370"/>
    </w:p>
    <w:p>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[Section 143 amended by No. 59 of 2004 s. 141; No. 84 of 2004 s. 80; No. 58 of 2010 s. 134.]</w:t>
      </w:r>
    </w:p>
    <w:p>
      <w:pPr>
        <w:pStyle w:val="Heading5"/>
        <w:rPr>
          <w:snapToGrid w:val="0"/>
        </w:rPr>
      </w:pPr>
      <w:bookmarkStart w:id="371" w:name="_Toc404159179"/>
      <w:bookmarkStart w:id="372" w:name="_Toc486576284"/>
      <w:r>
        <w:rPr>
          <w:rStyle w:val="CharSectno"/>
        </w:rPr>
        <w:t>144</w:t>
      </w:r>
      <w:r>
        <w:rPr>
          <w:snapToGrid w:val="0"/>
        </w:rPr>
        <w:t>.</w:t>
      </w:r>
      <w:r>
        <w:rPr>
          <w:snapToGrid w:val="0"/>
        </w:rPr>
        <w:tab/>
      </w:r>
      <w:r>
        <w:t>Forms</w:t>
      </w:r>
      <w:bookmarkEnd w:id="371"/>
      <w:bookmarkEnd w:id="372"/>
    </w:p>
    <w:p>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pPr>
        <w:pStyle w:val="Footnotesection"/>
      </w:pPr>
      <w:r>
        <w:tab/>
        <w:t>[Section 144 amended by No. 58 of 2010 s. 134.]</w:t>
      </w:r>
    </w:p>
    <w:p>
      <w:pPr>
        <w:pStyle w:val="Heading5"/>
        <w:rPr>
          <w:snapToGrid w:val="0"/>
        </w:rPr>
      </w:pPr>
      <w:bookmarkStart w:id="373" w:name="_Toc404159180"/>
      <w:bookmarkStart w:id="374" w:name="_Toc486576285"/>
      <w:r>
        <w:rPr>
          <w:rStyle w:val="CharSectno"/>
        </w:rPr>
        <w:t>145</w:t>
      </w:r>
      <w:r>
        <w:rPr>
          <w:snapToGrid w:val="0"/>
        </w:rPr>
        <w:t>.</w:t>
      </w:r>
      <w:r>
        <w:rPr>
          <w:snapToGrid w:val="0"/>
        </w:rPr>
        <w:tab/>
        <w:t>Regulations</w:t>
      </w:r>
      <w:bookmarkEnd w:id="373"/>
      <w:bookmarkEnd w:id="374"/>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procedure of the</w:t>
      </w:r>
      <w:r>
        <w:t xml:space="preserve"> Commissioner</w:t>
      </w:r>
      <w:r>
        <w:rPr>
          <w:snapToGrid w:val="0"/>
        </w:rPr>
        <w: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a body or class of bodies for the purposes of the definition of </w:t>
      </w:r>
      <w:r>
        <w:rPr>
          <w:b/>
          <w:i/>
          <w:snapToGrid w:val="0"/>
        </w:rPr>
        <w:t>authorised financial institution</w:t>
      </w:r>
      <w:r>
        <w:rPr>
          <w:snapToGrid w:val="0"/>
        </w:rPr>
        <w:t xml:space="preserve">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 xml:space="preserve">prescribe a body or class of bodies for the purposes of the definition of </w:t>
      </w:r>
      <w:r>
        <w:rPr>
          <w:b/>
          <w:i/>
          <w:snapToGrid w:val="0"/>
        </w:rPr>
        <w:t>lending institution</w:t>
      </w:r>
      <w:r>
        <w:rPr>
          <w:snapToGrid w:val="0"/>
        </w:rPr>
        <w:t xml:space="preserve">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145 amended by No. 29 of 1982 s. 11; No. 77 of 1984 s. 5; No. 65 of 1987 s. 42; No. 18 of 1988 s. 5; No. 43 of 1994 s. 10; No. 56 of 1995 s. 48; No. 59 of 1995 s. 39 and 41; No. 55 of 2004 s. 1018; No. 77 of 2006 Sch. 1 cl. 147(2); No. 58 of 2010 s. 130 and 134.]</w:t>
      </w:r>
    </w:p>
    <w:p>
      <w:pPr>
        <w:pStyle w:val="Heading2"/>
      </w:pPr>
      <w:bookmarkStart w:id="375" w:name="_Toc404159181"/>
      <w:bookmarkStart w:id="376" w:name="_Toc424293207"/>
      <w:bookmarkStart w:id="377" w:name="_Toc435024570"/>
      <w:bookmarkStart w:id="378" w:name="_Toc468701078"/>
      <w:bookmarkStart w:id="379" w:name="_Toc486576286"/>
      <w:r>
        <w:rPr>
          <w:rStyle w:val="CharPartNo"/>
        </w:rPr>
        <w:t>Part XI</w:t>
      </w:r>
      <w:r>
        <w:t> — </w:t>
      </w:r>
      <w:r>
        <w:rPr>
          <w:rStyle w:val="CharPartText"/>
        </w:rPr>
        <w:t>Savings and transitional</w:t>
      </w:r>
      <w:bookmarkEnd w:id="375"/>
      <w:bookmarkEnd w:id="376"/>
      <w:bookmarkEnd w:id="377"/>
      <w:bookmarkEnd w:id="378"/>
      <w:bookmarkEnd w:id="379"/>
    </w:p>
    <w:p>
      <w:pPr>
        <w:pStyle w:val="Ednotedivision"/>
      </w:pPr>
      <w:r>
        <w:t>[Division 1 (s. 146, 147) deleted by No. 23 of 2014 s. 81.]</w:t>
      </w:r>
    </w:p>
    <w:p>
      <w:pPr>
        <w:pStyle w:val="Ednotedivision"/>
      </w:pPr>
      <w:r>
        <w:t>[Division heading deleted by No. 23 of 2014 s. 82.]</w:t>
      </w:r>
    </w:p>
    <w:p>
      <w:pPr>
        <w:pStyle w:val="Heading5"/>
      </w:pPr>
      <w:bookmarkStart w:id="380" w:name="_Toc404159182"/>
      <w:bookmarkStart w:id="381" w:name="_Toc486576287"/>
      <w:r>
        <w:rPr>
          <w:rStyle w:val="CharSectno"/>
        </w:rPr>
        <w:t>148</w:t>
      </w:r>
      <w:r>
        <w:t>.</w:t>
      </w:r>
      <w:r>
        <w:tab/>
        <w:t>Terms used</w:t>
      </w:r>
      <w:bookmarkEnd w:id="380"/>
      <w:bookmarkEnd w:id="381"/>
    </w:p>
    <w:p>
      <w:pPr>
        <w:pStyle w:val="Subsection"/>
      </w:pPr>
      <w:r>
        <w:tab/>
      </w:r>
      <w:r>
        <w:tab/>
        <w:t>In this Division —</w:t>
      </w:r>
    </w:p>
    <w:p>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pPr>
        <w:pStyle w:val="Defstart"/>
      </w:pPr>
      <w:r>
        <w:tab/>
      </w:r>
      <w:r>
        <w:rPr>
          <w:rStyle w:val="CharDefText"/>
        </w:rPr>
        <w:t>former Board</w:t>
      </w:r>
      <w:r>
        <w:t xml:space="preserve"> means the Real Estate and Business Agents Supervisory Board established by section 6 of the Act immediately prior to the commencement day;</w:t>
      </w:r>
    </w:p>
    <w:p>
      <w:pPr>
        <w:pStyle w:val="Defstart"/>
      </w:pPr>
      <w:r>
        <w:tab/>
      </w:r>
      <w:r>
        <w:rPr>
          <w:rStyle w:val="CharDefText"/>
        </w:rPr>
        <w:t>former Registrar</w:t>
      </w:r>
      <w:r>
        <w:t xml:space="preserve"> means a Registrar appointed under section 12 of the Act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148 inserted by No. 58 of 2010 s. 132.]</w:t>
      </w:r>
    </w:p>
    <w:p>
      <w:pPr>
        <w:pStyle w:val="Heading5"/>
      </w:pPr>
      <w:bookmarkStart w:id="382" w:name="_Toc404159183"/>
      <w:bookmarkStart w:id="383" w:name="_Toc486576288"/>
      <w:r>
        <w:rPr>
          <w:rStyle w:val="CharSectno"/>
        </w:rPr>
        <w:t>149</w:t>
      </w:r>
      <w:r>
        <w:t>.</w:t>
      </w:r>
      <w:r>
        <w:tab/>
        <w:t>Former Board abolished</w:t>
      </w:r>
      <w:bookmarkEnd w:id="382"/>
      <w:bookmarkEnd w:id="383"/>
    </w:p>
    <w:p>
      <w:pPr>
        <w:pStyle w:val="Subsection"/>
      </w:pPr>
      <w:r>
        <w:tab/>
      </w:r>
      <w:r>
        <w:tab/>
        <w:t>Subject to sections 156 and 157, at the beginning of the commencement day, the former Board is abolished and its members go out of office.</w:t>
      </w:r>
    </w:p>
    <w:p>
      <w:pPr>
        <w:pStyle w:val="Footnotesection"/>
      </w:pPr>
      <w:r>
        <w:tab/>
        <w:t>[Section 149 inserted by No. 58 of 2010 s. 132.]</w:t>
      </w:r>
    </w:p>
    <w:p>
      <w:pPr>
        <w:pStyle w:val="Heading5"/>
      </w:pPr>
      <w:bookmarkStart w:id="384" w:name="_Toc404159184"/>
      <w:bookmarkStart w:id="385" w:name="_Toc486576289"/>
      <w:r>
        <w:rPr>
          <w:rStyle w:val="CharSectno"/>
        </w:rPr>
        <w:t>150</w:t>
      </w:r>
      <w:r>
        <w:t>.</w:t>
      </w:r>
      <w:r>
        <w:tab/>
        <w:t>References to former Board</w:t>
      </w:r>
      <w:bookmarkEnd w:id="384"/>
      <w:bookmarkEnd w:id="385"/>
    </w:p>
    <w:p>
      <w:pPr>
        <w:pStyle w:val="Subsection"/>
      </w:pPr>
      <w:r>
        <w:tab/>
      </w:r>
      <w:r>
        <w:tab/>
        <w:t>If in a written law or other document or instrument there is a reference to the former Board, that reference may, where the context so requires, be read as if it had been amended to be a reference to the Commissioner.</w:t>
      </w:r>
    </w:p>
    <w:p>
      <w:pPr>
        <w:pStyle w:val="Footnotesection"/>
      </w:pPr>
      <w:r>
        <w:tab/>
        <w:t>[Section 150 inserted by No. 58 of 2010 s. 132.]</w:t>
      </w:r>
    </w:p>
    <w:p>
      <w:pPr>
        <w:pStyle w:val="Heading5"/>
      </w:pPr>
      <w:bookmarkStart w:id="386" w:name="_Toc404159185"/>
      <w:bookmarkStart w:id="387" w:name="_Toc486576290"/>
      <w:r>
        <w:rPr>
          <w:rStyle w:val="CharSectno"/>
        </w:rPr>
        <w:t>151</w:t>
      </w:r>
      <w:r>
        <w:t>.</w:t>
      </w:r>
      <w:r>
        <w:tab/>
        <w:t>Immunity continues</w:t>
      </w:r>
      <w:bookmarkEnd w:id="386"/>
      <w:bookmarkEnd w:id="387"/>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151 inserted by No. 58 of 2010 s. 132.]</w:t>
      </w:r>
    </w:p>
    <w:p>
      <w:pPr>
        <w:pStyle w:val="Heading5"/>
      </w:pPr>
      <w:bookmarkStart w:id="388" w:name="_Toc404159186"/>
      <w:bookmarkStart w:id="389" w:name="_Toc486576291"/>
      <w:r>
        <w:rPr>
          <w:rStyle w:val="CharSectno"/>
        </w:rPr>
        <w:t>152</w:t>
      </w:r>
      <w:r>
        <w:t>.</w:t>
      </w:r>
      <w:r>
        <w:tab/>
        <w:t>Notices by former Board</w:t>
      </w:r>
      <w:bookmarkEnd w:id="388"/>
      <w:bookmarkEnd w:id="389"/>
    </w:p>
    <w:p>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pPr>
        <w:pStyle w:val="Footnotesection"/>
      </w:pPr>
      <w:r>
        <w:tab/>
        <w:t>[Section 152 inserted by No. 58 of 2010 s. 132.]</w:t>
      </w:r>
    </w:p>
    <w:p>
      <w:pPr>
        <w:pStyle w:val="Heading5"/>
      </w:pPr>
      <w:bookmarkStart w:id="390" w:name="_Toc404159187"/>
      <w:bookmarkStart w:id="391" w:name="_Toc486576292"/>
      <w:r>
        <w:rPr>
          <w:rStyle w:val="CharSectno"/>
        </w:rPr>
        <w:t>153</w:t>
      </w:r>
      <w:r>
        <w:t>.</w:t>
      </w:r>
      <w:r>
        <w:tab/>
        <w:t>References to former Registrar</w:t>
      </w:r>
      <w:bookmarkEnd w:id="390"/>
      <w:bookmarkEnd w:id="391"/>
    </w:p>
    <w:p>
      <w:pPr>
        <w:pStyle w:val="Subsection"/>
        <w:spacing w:before="180"/>
      </w:pPr>
      <w:r>
        <w:tab/>
        <w:t>(1)</w:t>
      </w:r>
      <w:r>
        <w:tab/>
        <w:t>If in a written law or other document or instrument there is a reference to the former Registrar, that reference may, where the context so requires, be read as if it had been amended to be a reference to the Commissioner.</w:t>
      </w:r>
    </w:p>
    <w:p>
      <w:pPr>
        <w:pStyle w:val="Subsection"/>
        <w:spacing w:before="180"/>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pPr>
        <w:pStyle w:val="Footnotesection"/>
        <w:spacing w:before="140"/>
        <w:ind w:left="890" w:hanging="890"/>
      </w:pPr>
      <w:r>
        <w:tab/>
        <w:t>[Section 153 inserted by No. 58 of 2010 s. 132.]</w:t>
      </w:r>
    </w:p>
    <w:p>
      <w:pPr>
        <w:pStyle w:val="Heading5"/>
        <w:spacing w:before="280"/>
      </w:pPr>
      <w:bookmarkStart w:id="392" w:name="_Toc404159188"/>
      <w:bookmarkStart w:id="393" w:name="_Toc486576293"/>
      <w:r>
        <w:rPr>
          <w:rStyle w:val="CharSectno"/>
        </w:rPr>
        <w:t>154</w:t>
      </w:r>
      <w:r>
        <w:t>.</w:t>
      </w:r>
      <w:r>
        <w:tab/>
        <w:t>Unfinished investigations by former Board</w:t>
      </w:r>
      <w:bookmarkEnd w:id="392"/>
      <w:bookmarkEnd w:id="393"/>
    </w:p>
    <w:p>
      <w:pPr>
        <w:pStyle w:val="Subsection"/>
        <w:spacing w:before="180"/>
      </w:pPr>
      <w:r>
        <w:tab/>
      </w:r>
      <w:r>
        <w:tab/>
        <w:t>Investigations being carried out by the former Board under the Act as it was prior to the commencement day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Footnotesection"/>
        <w:spacing w:before="140"/>
        <w:ind w:left="890" w:hanging="890"/>
      </w:pPr>
      <w:r>
        <w:tab/>
        <w:t>[Section 154 inserted by No. 58 of 2010 s. 132.]</w:t>
      </w:r>
    </w:p>
    <w:p>
      <w:pPr>
        <w:pStyle w:val="Heading5"/>
        <w:spacing w:before="280"/>
      </w:pPr>
      <w:bookmarkStart w:id="394" w:name="_Toc404159189"/>
      <w:bookmarkStart w:id="395" w:name="_Toc486576294"/>
      <w:r>
        <w:rPr>
          <w:rStyle w:val="CharSectno"/>
        </w:rPr>
        <w:t>155</w:t>
      </w:r>
      <w:r>
        <w:t>.</w:t>
      </w:r>
      <w:r>
        <w:tab/>
        <w:t>Unfinished proceedings by former Board</w:t>
      </w:r>
      <w:bookmarkEnd w:id="394"/>
      <w:bookmarkEnd w:id="395"/>
    </w:p>
    <w:p>
      <w:pPr>
        <w:pStyle w:val="Subsection"/>
        <w:spacing w:before="180"/>
      </w:pPr>
      <w:r>
        <w:tab/>
        <w:t>(1)</w:t>
      </w:r>
      <w:r>
        <w:tab/>
        <w:t>Proceedings before the former Board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Subsection"/>
        <w:spacing w:before="180"/>
      </w:pPr>
      <w:r>
        <w:tab/>
        <w:t>(2)</w:t>
      </w:r>
      <w:r>
        <w:tab/>
        <w:t>Proceedings before the State Administrative Tribunal or another court commenced by allegation against a licensed real estate or business agent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155 inserted by No. 58 of 2010 s. 132.]</w:t>
      </w:r>
    </w:p>
    <w:p>
      <w:pPr>
        <w:pStyle w:val="Heading5"/>
      </w:pPr>
      <w:bookmarkStart w:id="396" w:name="_Toc404159190"/>
      <w:bookmarkStart w:id="397" w:name="_Toc486576295"/>
      <w:r>
        <w:rPr>
          <w:rStyle w:val="CharSectno"/>
        </w:rPr>
        <w:t>156</w:t>
      </w:r>
      <w:r>
        <w:t>.</w:t>
      </w:r>
      <w:r>
        <w:tab/>
        <w:t>Winding</w:t>
      </w:r>
      <w:r>
        <w:noBreakHyphen/>
        <w:t>up former Board</w:t>
      </w:r>
      <w:bookmarkEnd w:id="396"/>
      <w:bookmarkEnd w:id="397"/>
    </w:p>
    <w:p>
      <w:pPr>
        <w:pStyle w:val="Subsection"/>
      </w:pPr>
      <w:r>
        <w:tab/>
      </w:r>
      <w:r>
        <w:tab/>
        <w:t>On and after the commencement day —</w:t>
      </w:r>
    </w:p>
    <w:p>
      <w:pPr>
        <w:pStyle w:val="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Indenta"/>
      </w:pPr>
      <w:r>
        <w:tab/>
        <w:t>(c)</w:t>
      </w:r>
      <w:r>
        <w:tab/>
        <w:t>all rights, liabilities and obligations of the former Board that existed immediately before the commencement day devolve on the Commissioner acting on behalf of, and in the name of, the State; and</w:t>
      </w:r>
    </w:p>
    <w:p>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pPr>
        <w:pStyle w:val="Indenta"/>
        <w:spacing w:before="60"/>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pPr>
        <w:pStyle w:val="Footnotesection"/>
        <w:spacing w:before="100"/>
        <w:ind w:left="890" w:hanging="890"/>
      </w:pPr>
      <w:r>
        <w:tab/>
        <w:t>[Section 156 inserted by No. 58 of 2010 s. 132.]</w:t>
      </w:r>
    </w:p>
    <w:p>
      <w:pPr>
        <w:pStyle w:val="Heading5"/>
      </w:pPr>
      <w:bookmarkStart w:id="398" w:name="_Toc404159191"/>
      <w:bookmarkStart w:id="399" w:name="_Toc486576296"/>
      <w:r>
        <w:rPr>
          <w:rStyle w:val="CharSectno"/>
        </w:rPr>
        <w:t>157</w:t>
      </w:r>
      <w:r>
        <w:t>.</w:t>
      </w:r>
      <w:r>
        <w:tab/>
        <w:t>Final report by former Board</w:t>
      </w:r>
      <w:bookmarkEnd w:id="398"/>
      <w:bookmarkEnd w:id="399"/>
    </w:p>
    <w:p>
      <w:pPr>
        <w:pStyle w:val="Subsection"/>
        <w:spacing w:before="140"/>
      </w:pPr>
      <w:r>
        <w:tab/>
        <w:t>(1)</w:t>
      </w:r>
      <w:r>
        <w:tab/>
        <w:t xml:space="preserve">The provisions of the </w:t>
      </w:r>
      <w:r>
        <w:rPr>
          <w:i/>
          <w:iCs/>
        </w:rPr>
        <w:t>Financial Management Act 2006</w:t>
      </w:r>
      <w:r>
        <w:t xml:space="preserve"> Part 5 Division 3 apply to the former Board.</w:t>
      </w:r>
    </w:p>
    <w:p>
      <w:pPr>
        <w:pStyle w:val="Subsection"/>
        <w:spacing w:before="140"/>
      </w:pPr>
      <w:r>
        <w:tab/>
        <w:t>(2)</w:t>
      </w:r>
      <w:r>
        <w:tab/>
        <w:t>The chief executive officer is to include the final report submitted under subsection (1) in the department’s annual report for that financial year.</w:t>
      </w:r>
    </w:p>
    <w:p>
      <w:pPr>
        <w:pStyle w:val="Footnotesection"/>
        <w:spacing w:before="100"/>
        <w:ind w:left="890" w:hanging="890"/>
      </w:pPr>
      <w:r>
        <w:tab/>
        <w:t>[Section 157 inserted by No. 58 of 2010 s. 132.]</w:t>
      </w:r>
    </w:p>
    <w:p>
      <w:pPr>
        <w:pStyle w:val="Heading5"/>
      </w:pPr>
      <w:bookmarkStart w:id="400" w:name="_Toc404159192"/>
      <w:bookmarkStart w:id="401" w:name="_Toc486576297"/>
      <w:r>
        <w:rPr>
          <w:rStyle w:val="CharSectno"/>
        </w:rPr>
        <w:t>158</w:t>
      </w:r>
      <w:r>
        <w:t>.</w:t>
      </w:r>
      <w:r>
        <w:tab/>
        <w:t>Staff of former Board</w:t>
      </w:r>
      <w:bookmarkEnd w:id="400"/>
      <w:bookmarkEnd w:id="401"/>
    </w:p>
    <w:p>
      <w:pPr>
        <w:pStyle w:val="Subsection"/>
        <w:spacing w:before="140"/>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pPr>
        <w:pStyle w:val="Subsection"/>
        <w:spacing w:before="140"/>
      </w:pPr>
      <w:r>
        <w:tab/>
        <w:t>(2)</w:t>
      </w:r>
      <w:r>
        <w:tab/>
        <w:t>A person mentioned in subsection (1) is to be regarded as having been engaged or employed, as is relevant, by the chief executive officer.</w:t>
      </w:r>
    </w:p>
    <w:p>
      <w:pPr>
        <w:pStyle w:val="Subsection"/>
        <w:spacing w:before="140"/>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Footnotesection"/>
        <w:spacing w:before="100"/>
        <w:ind w:left="890" w:hanging="890"/>
      </w:pPr>
      <w:r>
        <w:tab/>
        <w:t>[Section 158 inserted by No. 58 of 2010 s. 132.]</w:t>
      </w:r>
    </w:p>
    <w:p>
      <w:pPr>
        <w:pStyle w:val="Heading5"/>
      </w:pPr>
      <w:bookmarkStart w:id="402" w:name="_Toc404159193"/>
      <w:bookmarkStart w:id="403" w:name="_Toc486576298"/>
      <w:r>
        <w:rPr>
          <w:rStyle w:val="CharSectno"/>
        </w:rPr>
        <w:t>159</w:t>
      </w:r>
      <w:r>
        <w:t>.</w:t>
      </w:r>
      <w:r>
        <w:tab/>
        <w:t>Transitional regulations</w:t>
      </w:r>
      <w:bookmarkEnd w:id="402"/>
      <w:bookmarkEnd w:id="403"/>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159 inserted by No. 58 of 2010 s. 132.]</w:t>
      </w:r>
    </w:p>
    <w:p>
      <w:pPr>
        <w:pStyle w:val="Subsection"/>
        <w:rPr>
          <w:snapToGrid w:val="0"/>
        </w:rPr>
      </w:pPr>
    </w:p>
    <w:p>
      <w:p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404" w:name="_Toc404159194"/>
      <w:bookmarkStart w:id="405" w:name="_Toc424293220"/>
      <w:bookmarkStart w:id="406" w:name="_Toc435024583"/>
      <w:bookmarkStart w:id="407" w:name="_Toc468701091"/>
      <w:bookmarkStart w:id="408" w:name="_Toc486576299"/>
      <w:r>
        <w:rPr>
          <w:rStyle w:val="CharSchNo"/>
          <w:rFonts w:eastAsia="MS Mincho"/>
        </w:rPr>
        <w:t>Schedule 1</w:t>
      </w:r>
      <w:r>
        <w:t> — </w:t>
      </w:r>
      <w:r>
        <w:rPr>
          <w:rStyle w:val="CharSchText"/>
          <w:rFonts w:eastAsia="MS Mincho"/>
        </w:rPr>
        <w:t>Qualifications for grant of licence and related matters</w:t>
      </w:r>
      <w:bookmarkEnd w:id="404"/>
      <w:bookmarkEnd w:id="405"/>
      <w:bookmarkEnd w:id="406"/>
      <w:bookmarkEnd w:id="407"/>
      <w:bookmarkEnd w:id="408"/>
    </w:p>
    <w:p>
      <w:pPr>
        <w:pStyle w:val="yShoulderClause"/>
      </w:pPr>
      <w:r>
        <w:t>[s. 27]</w:t>
      </w:r>
    </w:p>
    <w:p>
      <w:pPr>
        <w:pStyle w:val="yFootnoteheading"/>
        <w:rPr>
          <w:rFonts w:eastAsia="MS Mincho"/>
        </w:rPr>
      </w:pPr>
      <w:r>
        <w:rPr>
          <w:rFonts w:eastAsia="MS Mincho"/>
        </w:rPr>
        <w:tab/>
        <w:t>[Heading inserted by No. 23 of 2014 s. 83(1).]</w:t>
      </w:r>
    </w:p>
    <w:p>
      <w:pPr>
        <w:pStyle w:val="yEdnotedivision"/>
        <w:rPr>
          <w:rFonts w:eastAsia="MS Mincho"/>
        </w:rPr>
      </w:pPr>
      <w:r>
        <w:rPr>
          <w:rFonts w:eastAsia="MS Mincho"/>
        </w:rPr>
        <w:t>[Division heading deleted by No. 23 of 2014 s. 83(2).]</w:t>
      </w:r>
    </w:p>
    <w:p>
      <w:pPr>
        <w:pStyle w:val="yHeading5"/>
        <w:rPr>
          <w:snapToGrid w:val="0"/>
        </w:rPr>
      </w:pPr>
      <w:bookmarkStart w:id="409" w:name="_Toc404159195"/>
      <w:bookmarkStart w:id="410" w:name="_Toc486576300"/>
      <w:r>
        <w:rPr>
          <w:rStyle w:val="CharSClsNo"/>
        </w:rPr>
        <w:t>1</w:t>
      </w:r>
      <w:r>
        <w:rPr>
          <w:snapToGrid w:val="0"/>
        </w:rPr>
        <w:t>.</w:t>
      </w:r>
      <w:r>
        <w:rPr>
          <w:snapToGrid w:val="0"/>
        </w:rPr>
        <w:tab/>
        <w:t>Qualifications</w:t>
      </w:r>
      <w:bookmarkEnd w:id="409"/>
      <w:bookmarkEnd w:id="410"/>
    </w:p>
    <w:p>
      <w:pPr>
        <w:pStyle w:val="ySubsection"/>
        <w:rPr>
          <w:snapToGrid w:val="0"/>
        </w:rPr>
      </w:pPr>
      <w:r>
        <w:rPr>
          <w:snapToGrid w:val="0"/>
        </w:rPr>
        <w:tab/>
      </w:r>
      <w:r>
        <w:rPr>
          <w:snapToGrid w:val="0"/>
        </w:rPr>
        <w:tab/>
        <w:t>A person —</w:t>
      </w:r>
    </w:p>
    <w:p>
      <w:pPr>
        <w:pStyle w:val="yIndenta"/>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 or</w:t>
      </w:r>
    </w:p>
    <w:p>
      <w:pPr>
        <w:pStyle w:val="yIndenta"/>
        <w:rPr>
          <w:snapToGrid w:val="0"/>
        </w:rPr>
      </w:pPr>
      <w:r>
        <w:rPr>
          <w:snapToGrid w:val="0"/>
        </w:rPr>
        <w:tab/>
        <w:t>(b)</w:t>
      </w:r>
      <w:r>
        <w:rPr>
          <w:snapToGrid w:val="0"/>
        </w:rPr>
        <w:tab/>
        <w:t>who has within a period of 5 years immediately preceding his application —</w:t>
      </w:r>
    </w:p>
    <w:p>
      <w:pPr>
        <w:pStyle w:val="yIndenti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rPr>
          <w:snapToGrid w:val="0"/>
        </w:rPr>
      </w:pPr>
      <w:r>
        <w:rPr>
          <w:snapToGrid w:val="0"/>
        </w:rPr>
        <w:tab/>
        <w:t>(ii)</w:t>
      </w:r>
      <w:r>
        <w:rPr>
          <w:snapToGrid w:val="0"/>
        </w:rPr>
        <w:tab/>
        <w:t>in that State or Territory for a period of at least 2 years acted as and carried out the functions of an agent,</w:t>
      </w:r>
    </w:p>
    <w:p>
      <w:pPr>
        <w:pStyle w:val="yIndenta"/>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 or</w:t>
      </w:r>
    </w:p>
    <w:p>
      <w:pPr>
        <w:pStyle w:val="yIndenta"/>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keepNext/>
        <w:keepLines/>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[Clause 1 amended by No. 74 of 1980 s. 13(a); No. 28 of 2003 s. 177(1); No. 19 of 2010 s. 51.]</w:t>
      </w:r>
    </w:p>
    <w:p>
      <w:pPr>
        <w:pStyle w:val="yHeading5"/>
        <w:rPr>
          <w:snapToGrid w:val="0"/>
        </w:rPr>
      </w:pPr>
      <w:bookmarkStart w:id="411" w:name="_Toc404159196"/>
      <w:bookmarkStart w:id="412" w:name="_Toc486576301"/>
      <w:r>
        <w:rPr>
          <w:rStyle w:val="CharSClsNo"/>
        </w:rPr>
        <w:t>2</w:t>
      </w:r>
      <w:r>
        <w:rPr>
          <w:snapToGrid w:val="0"/>
        </w:rPr>
        <w:t>.</w:t>
      </w:r>
      <w:r>
        <w:rPr>
          <w:snapToGrid w:val="0"/>
        </w:rPr>
        <w:tab/>
        <w:t>Sufficient practical experience defined</w:t>
      </w:r>
      <w:bookmarkEnd w:id="411"/>
      <w:bookmarkEnd w:id="412"/>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by No. 19 of 2010 s. 51.]</w:t>
      </w:r>
    </w:p>
    <w:p>
      <w:pPr>
        <w:pStyle w:val="yHeading5"/>
        <w:rPr>
          <w:snapToGrid w:val="0"/>
        </w:rPr>
      </w:pPr>
      <w:bookmarkStart w:id="413" w:name="_Toc404159197"/>
      <w:bookmarkStart w:id="414" w:name="_Toc486576302"/>
      <w:r>
        <w:rPr>
          <w:rStyle w:val="CharSClsNo"/>
        </w:rPr>
        <w:t>3</w:t>
      </w:r>
      <w:r>
        <w:rPr>
          <w:snapToGrid w:val="0"/>
        </w:rPr>
        <w:t>.</w:t>
      </w:r>
      <w:r>
        <w:rPr>
          <w:snapToGrid w:val="0"/>
        </w:rPr>
        <w:tab/>
        <w:t>Licence by reason of qualification under cl. 1(c)</w:t>
      </w:r>
      <w:bookmarkEnd w:id="413"/>
      <w:bookmarkEnd w:id="414"/>
    </w:p>
    <w:p>
      <w:pPr>
        <w:pStyle w:val="ySubsection"/>
        <w:rPr>
          <w:snapToGrid w:val="0"/>
        </w:rPr>
      </w:pPr>
      <w:r>
        <w:rPr>
          <w:snapToGrid w:val="0"/>
        </w:rPr>
        <w:tab/>
      </w:r>
      <w:r>
        <w:rPr>
          <w:snapToGrid w:val="0"/>
        </w:rPr>
        <w:tab/>
      </w:r>
      <w:r>
        <w:rPr>
          <w:szCs w:val="22"/>
        </w:rPr>
        <w:t>A licence granted to a person who is qualified under clause 1(c)</w:t>
      </w:r>
      <w:r>
        <w:rPr>
          <w:snapToGrid w:val="0"/>
        </w:rPr>
        <w:t xml:space="preserv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by No. 19 of 2010 s. 51; No. 23 of 2014 s. 83(3).]</w:t>
      </w:r>
    </w:p>
    <w:p>
      <w:pPr>
        <w:pStyle w:val="yHeading5"/>
        <w:rPr>
          <w:snapToGrid w:val="0"/>
        </w:rPr>
      </w:pPr>
      <w:bookmarkStart w:id="415" w:name="_Toc404159198"/>
      <w:bookmarkStart w:id="416" w:name="_Toc486576303"/>
      <w:r>
        <w:rPr>
          <w:rStyle w:val="CharSClsNo"/>
        </w:rPr>
        <w:t>4</w:t>
      </w:r>
      <w:r>
        <w:rPr>
          <w:snapToGrid w:val="0"/>
        </w:rPr>
        <w:t>.</w:t>
      </w:r>
      <w:r>
        <w:rPr>
          <w:snapToGrid w:val="0"/>
        </w:rPr>
        <w:tab/>
        <w:t>Licence by reason of qualification under cl. 1(d)</w:t>
      </w:r>
      <w:bookmarkEnd w:id="415"/>
      <w:bookmarkEnd w:id="416"/>
    </w:p>
    <w:p>
      <w:pPr>
        <w:pStyle w:val="ySubsection"/>
        <w:rPr>
          <w:snapToGrid w:val="0"/>
        </w:rPr>
      </w:pPr>
      <w:r>
        <w:rPr>
          <w:snapToGrid w:val="0"/>
        </w:rPr>
        <w:tab/>
      </w:r>
      <w:r>
        <w:rPr>
          <w:snapToGrid w:val="0"/>
        </w:rPr>
        <w:tab/>
      </w:r>
      <w:r>
        <w:rPr>
          <w:szCs w:val="22"/>
        </w:rPr>
        <w:t xml:space="preserve">A licence applied for by a person who is qualified under clause 1(d)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pPr>
        <w:pStyle w:val="yFootnotesection"/>
      </w:pPr>
      <w:r>
        <w:tab/>
        <w:t>[Clause 4 amended by No. 28 of 2003 s. 177(2); No. 19 of 2010 s. 51; No. 58 of 2010 s. 134; No. 23 of 2014 s. 83(4).]</w:t>
      </w:r>
    </w:p>
    <w:p>
      <w:pPr>
        <w:pStyle w:val="yHeading5"/>
        <w:rPr>
          <w:snapToGrid w:val="0"/>
        </w:rPr>
      </w:pPr>
      <w:bookmarkStart w:id="417" w:name="_Toc404159199"/>
      <w:bookmarkStart w:id="418" w:name="_Toc486576304"/>
      <w:r>
        <w:rPr>
          <w:rStyle w:val="CharSClsNo"/>
        </w:rPr>
        <w:t>5</w:t>
      </w:r>
      <w:r>
        <w:rPr>
          <w:snapToGrid w:val="0"/>
        </w:rPr>
        <w:t>.</w:t>
      </w:r>
      <w:r>
        <w:rPr>
          <w:snapToGrid w:val="0"/>
        </w:rPr>
        <w:tab/>
        <w:t>Dead or incapacitated licensee, conduct of business of</w:t>
      </w:r>
      <w:bookmarkEnd w:id="417"/>
      <w:bookmarkEnd w:id="418"/>
    </w:p>
    <w:p>
      <w:pPr>
        <w:pStyle w:val="ySubsection"/>
        <w:rPr>
          <w:snapToGrid w:val="0"/>
        </w:rPr>
      </w:pPr>
      <w:r>
        <w:rPr>
          <w:snapToGrid w:val="0"/>
        </w:rPr>
        <w:tab/>
        <w:t>(1)</w:t>
      </w:r>
      <w:r>
        <w:rPr>
          <w:snapToGrid w:val="0"/>
        </w:rPr>
        <w:tab/>
        <w:t>A person who is not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w:t>
      </w:r>
    </w:p>
    <w:p>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[Clause 5 amended by No. 28 of 2003 s. 177(3); No. 19 of 2010 s. 51; No. 58 of 2010 s. 134.]</w:t>
      </w:r>
    </w:p>
    <w:p>
      <w:pPr>
        <w:pStyle w:val="yHeading5"/>
        <w:rPr>
          <w:snapToGrid w:val="0"/>
        </w:rPr>
      </w:pPr>
      <w:bookmarkStart w:id="419" w:name="_Toc404159200"/>
      <w:bookmarkStart w:id="420" w:name="_Toc486576305"/>
      <w:r>
        <w:rPr>
          <w:rStyle w:val="CharSClsNo"/>
        </w:rPr>
        <w:t>6</w:t>
      </w:r>
      <w:r>
        <w:rPr>
          <w:snapToGrid w:val="0"/>
        </w:rPr>
        <w:t>.</w:t>
      </w:r>
      <w:r>
        <w:rPr>
          <w:snapToGrid w:val="0"/>
        </w:rPr>
        <w:tab/>
        <w:t>Death or withdrawal of partner in firm or director of body corporate, Commissioner to be notified</w:t>
      </w:r>
      <w:bookmarkEnd w:id="419"/>
      <w:bookmarkEnd w:id="420"/>
    </w:p>
    <w:p>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[Clause 6 amended by No. 74 of 1980 s. 13(c); No. 19 of 2010 s. 51; No. 58 of 2010 s. 134.]</w:t>
      </w:r>
    </w:p>
    <w:p>
      <w:pPr>
        <w:pStyle w:val="yEdnotedivision"/>
        <w:tabs>
          <w:tab w:val="left" w:pos="1418"/>
        </w:tabs>
      </w:pPr>
      <w:r>
        <w:rPr>
          <w:rFonts w:eastAsia="MS Mincho"/>
        </w:rPr>
        <w:t>[Division 2:</w:t>
      </w:r>
      <w:r>
        <w:rPr>
          <w:rFonts w:eastAsia="MS Mincho"/>
        </w:rPr>
        <w:tab/>
        <w:t xml:space="preserve">cl. 7, 9-12 and 15 </w:t>
      </w:r>
      <w:r>
        <w:t>deleted by No. 58 of 2010 s. 133;</w:t>
      </w:r>
      <w:r>
        <w:br/>
      </w:r>
      <w:r>
        <w:rPr>
          <w:rFonts w:eastAsia="MS Mincho"/>
        </w:rPr>
        <w:tab/>
        <w:t xml:space="preserve">balance deleted by No. 23 of 2014 s. 83(5); </w:t>
      </w:r>
      <w:r>
        <w:rPr>
          <w:rFonts w:eastAsia="MS Mincho"/>
        </w:rPr>
        <w:br/>
      </w:r>
      <w:r>
        <w:tab/>
        <w:t xml:space="preserve">Heading deleted by No. 55 of 2004 s. 1019; </w:t>
      </w:r>
      <w:r>
        <w:br/>
      </w:r>
      <w:r>
        <w:tab/>
        <w:t>cl. </w:t>
      </w:r>
      <w:r>
        <w:rPr>
          <w:bCs/>
        </w:rPr>
        <w:t>17</w:t>
      </w:r>
      <w:r>
        <w:rPr>
          <w:bCs/>
        </w:rPr>
        <w:noBreakHyphen/>
        <w:t>24 d</w:t>
      </w:r>
      <w:r>
        <w:t>eleted by No. 55 of 2004 s. 1019.]</w:t>
      </w:r>
    </w:p>
    <w:p>
      <w:pPr>
        <w:pStyle w:val="CentredBaseLine"/>
        <w:spacing w:before="1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outlineLvl w:val="0"/>
      </w:pPr>
      <w:bookmarkStart w:id="422" w:name="_Toc404159201"/>
      <w:bookmarkStart w:id="423" w:name="_Toc424293227"/>
      <w:bookmarkStart w:id="424" w:name="_Toc435024590"/>
      <w:bookmarkStart w:id="425" w:name="_Toc468701098"/>
      <w:bookmarkStart w:id="426" w:name="_Toc486576306"/>
      <w:r>
        <w:t>Notes</w:t>
      </w:r>
      <w:bookmarkEnd w:id="422"/>
      <w:bookmarkEnd w:id="423"/>
      <w:bookmarkEnd w:id="424"/>
      <w:bookmarkEnd w:id="425"/>
      <w:bookmarkEnd w:id="426"/>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7" w:name="_Toc404159202"/>
      <w:bookmarkStart w:id="428" w:name="_Toc486576307"/>
      <w:r>
        <w:rPr>
          <w:snapToGrid w:val="0"/>
        </w:rPr>
        <w:t>Compilation table</w:t>
      </w:r>
      <w:bookmarkEnd w:id="427"/>
      <w:bookmarkEnd w:id="428"/>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Real Estate and Business Agents Act 1978</w:t>
            </w:r>
          </w:p>
        </w:tc>
        <w:tc>
          <w:tcPr>
            <w:tcW w:w="1135" w:type="dxa"/>
          </w:tcPr>
          <w:p>
            <w:pPr>
              <w:pStyle w:val="nTable"/>
              <w:spacing w:after="40"/>
            </w:pPr>
            <w:r>
              <w:t>72 of 1978</w:t>
            </w:r>
          </w:p>
        </w:tc>
        <w:tc>
          <w:tcPr>
            <w:tcW w:w="1135" w:type="dxa"/>
          </w:tcPr>
          <w:p>
            <w:pPr>
              <w:pStyle w:val="nTable"/>
              <w:spacing w:after="40"/>
            </w:pPr>
            <w:r>
              <w:t>20 Oct 1978</w:t>
            </w:r>
          </w:p>
        </w:tc>
        <w:tc>
          <w:tcPr>
            <w:tcW w:w="2551" w:type="dxa"/>
          </w:tcPr>
          <w:p>
            <w:pPr>
              <w:pStyle w:val="nTable"/>
              <w:spacing w:after="40"/>
            </w:pPr>
            <w:r>
              <w:t>Act other than s. 5, 54, 55, 57</w:t>
            </w:r>
            <w:r>
              <w:noBreakHyphen/>
              <w:t>100, 102</w:t>
            </w:r>
            <w:r>
              <w:noBreakHyphen/>
              <w:t xml:space="preserve">131 and 135: 1 Sep 1979 (see s. 2(1) and </w:t>
            </w:r>
            <w:r>
              <w:rPr>
                <w:i/>
              </w:rPr>
              <w:t>Gazette</w:t>
            </w:r>
            <w:r>
              <w:t xml:space="preserve"> 31 Aug 1979 p. 2601);</w:t>
            </w:r>
            <w:r>
              <w:br/>
              <w:t xml:space="preserve">s. 5: 1 Dec 1979 (see s. 2(2) and </w:t>
            </w:r>
            <w:r>
              <w:rPr>
                <w:i/>
              </w:rPr>
              <w:t>Gazette</w:t>
            </w:r>
            <w:r>
              <w:t xml:space="preserve"> 31 Aug 1979 p. 2615); </w:t>
            </w:r>
            <w:r>
              <w:br/>
              <w:t>s. 54, 55, 57</w:t>
            </w:r>
            <w:r>
              <w:noBreakHyphen/>
              <w:t>100, 102</w:t>
            </w:r>
            <w:r>
              <w:noBreakHyphen/>
              <w:t xml:space="preserve">131 and 135: 1 Dec 1979 (see s. 2(1) and </w:t>
            </w:r>
            <w:r>
              <w:rPr>
                <w:i/>
              </w:rPr>
              <w:t>Gazette</w:t>
            </w:r>
            <w:r>
              <w:t xml:space="preserve"> 31 Aug 1979 p. 2601)</w:t>
            </w:r>
          </w:p>
        </w:tc>
      </w:tr>
      <w:tr>
        <w:trPr>
          <w:cantSplit/>
        </w:trPr>
        <w:tc>
          <w:tcPr>
            <w:tcW w:w="2268" w:type="dxa"/>
          </w:tcPr>
          <w:p>
            <w:pPr>
              <w:pStyle w:val="nTable"/>
              <w:spacing w:after="40"/>
              <w:ind w:right="113"/>
            </w:pPr>
            <w:r>
              <w:rPr>
                <w:i/>
              </w:rPr>
              <w:t>Real Estate and Business Agents Act Amendment Act 1979</w:t>
            </w:r>
          </w:p>
        </w:tc>
        <w:tc>
          <w:tcPr>
            <w:tcW w:w="1135" w:type="dxa"/>
          </w:tcPr>
          <w:p>
            <w:pPr>
              <w:pStyle w:val="nTable"/>
              <w:spacing w:after="40"/>
            </w:pPr>
            <w:r>
              <w:t>74 of 1979</w:t>
            </w:r>
          </w:p>
        </w:tc>
        <w:tc>
          <w:tcPr>
            <w:tcW w:w="1135" w:type="dxa"/>
          </w:tcPr>
          <w:p>
            <w:pPr>
              <w:pStyle w:val="nTable"/>
              <w:spacing w:after="40"/>
            </w:pPr>
            <w:r>
              <w:t>27 Nov 1979</w:t>
            </w:r>
          </w:p>
        </w:tc>
        <w:tc>
          <w:tcPr>
            <w:tcW w:w="2551" w:type="dxa"/>
          </w:tcPr>
          <w:p>
            <w:pPr>
              <w:pStyle w:val="nTable"/>
              <w:spacing w:after="40"/>
            </w:pPr>
            <w:r>
              <w:t>27 Nov 1979</w:t>
            </w:r>
          </w:p>
        </w:tc>
      </w:tr>
      <w:tr>
        <w:trPr>
          <w:cantSplit/>
        </w:trPr>
        <w:tc>
          <w:tcPr>
            <w:tcW w:w="2268" w:type="dxa"/>
          </w:tcPr>
          <w:p>
            <w:pPr>
              <w:pStyle w:val="nTable"/>
              <w:spacing w:after="40"/>
              <w:ind w:right="113"/>
            </w:pPr>
            <w:r>
              <w:rPr>
                <w:i/>
              </w:rPr>
              <w:t>Real Estate and Business Agents Amendment Act 1980</w:t>
            </w:r>
          </w:p>
        </w:tc>
        <w:tc>
          <w:tcPr>
            <w:tcW w:w="1135" w:type="dxa"/>
          </w:tcPr>
          <w:p>
            <w:pPr>
              <w:pStyle w:val="nTable"/>
              <w:spacing w:after="40"/>
            </w:pPr>
            <w:r>
              <w:t>74 of 1980</w:t>
            </w:r>
          </w:p>
        </w:tc>
        <w:tc>
          <w:tcPr>
            <w:tcW w:w="1135" w:type="dxa"/>
          </w:tcPr>
          <w:p>
            <w:pPr>
              <w:pStyle w:val="nTable"/>
              <w:spacing w:after="40"/>
            </w:pPr>
            <w:r>
              <w:t>5 Dec 1980</w:t>
            </w:r>
          </w:p>
        </w:tc>
        <w:tc>
          <w:tcPr>
            <w:tcW w:w="2551" w:type="dxa"/>
          </w:tcPr>
          <w:p>
            <w:pPr>
              <w:pStyle w:val="nTable"/>
              <w:spacing w:after="40"/>
            </w:pPr>
            <w:r>
              <w:t xml:space="preserve">s. 13: 1 Dec 1980 (see s. 2(2)); </w:t>
            </w:r>
            <w:r>
              <w:br/>
              <w:t>Act other than s. 13: 2 Jan 1981 (see s. 2(1))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approved 23 Feb 1982</w:t>
            </w:r>
            <w:r>
              <w:t xml:space="preserve"> (includes amendments listed above)</w:t>
            </w:r>
          </w:p>
        </w:tc>
      </w:tr>
      <w:tr>
        <w:trPr>
          <w:cantSplit/>
        </w:trPr>
        <w:tc>
          <w:tcPr>
            <w:tcW w:w="2268" w:type="dxa"/>
          </w:tcPr>
          <w:p>
            <w:pPr>
              <w:pStyle w:val="nTable"/>
              <w:spacing w:after="40"/>
              <w:ind w:right="113"/>
            </w:pPr>
            <w:r>
              <w:rPr>
                <w:i/>
              </w:rPr>
              <w:t>Companies (Consequential Amendments) Act 1982</w:t>
            </w:r>
            <w:r>
              <w:t xml:space="preserve"> s. 28</w:t>
            </w:r>
          </w:p>
        </w:tc>
        <w:tc>
          <w:tcPr>
            <w:tcW w:w="1135" w:type="dxa"/>
          </w:tcPr>
          <w:p>
            <w:pPr>
              <w:pStyle w:val="nTable"/>
              <w:spacing w:after="40"/>
            </w:pPr>
            <w:r>
              <w:t>10 of 1982</w:t>
            </w:r>
          </w:p>
        </w:tc>
        <w:tc>
          <w:tcPr>
            <w:tcW w:w="1135"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keepNext/>
              <w:keepLines/>
              <w:spacing w:after="40"/>
              <w:ind w:right="113"/>
            </w:pPr>
            <w:r>
              <w:rPr>
                <w:i/>
              </w:rPr>
              <w:t>Real Estate and Business Agents Amendment Act 1982</w:t>
            </w:r>
          </w:p>
        </w:tc>
        <w:tc>
          <w:tcPr>
            <w:tcW w:w="1135" w:type="dxa"/>
          </w:tcPr>
          <w:p>
            <w:pPr>
              <w:pStyle w:val="nTable"/>
              <w:keepNext/>
              <w:keepLines/>
              <w:spacing w:after="40"/>
            </w:pPr>
            <w:r>
              <w:t>29 of 1982</w:t>
            </w:r>
          </w:p>
        </w:tc>
        <w:tc>
          <w:tcPr>
            <w:tcW w:w="1135" w:type="dxa"/>
          </w:tcPr>
          <w:p>
            <w:pPr>
              <w:pStyle w:val="nTable"/>
              <w:keepNext/>
              <w:keepLines/>
              <w:spacing w:after="40"/>
            </w:pPr>
            <w:r>
              <w:t>27 May 1982</w:t>
            </w:r>
          </w:p>
        </w:tc>
        <w:tc>
          <w:tcPr>
            <w:tcW w:w="2551" w:type="dxa"/>
          </w:tcPr>
          <w:p>
            <w:pPr>
              <w:pStyle w:val="nTable"/>
              <w:keepNext/>
              <w:keepLines/>
              <w:spacing w:after="40"/>
            </w:pPr>
            <w:r>
              <w:t xml:space="preserve">25 Jun 1982 (see s. 2 and </w:t>
            </w:r>
            <w:r>
              <w:rPr>
                <w:i/>
              </w:rPr>
              <w:t>Gazette</w:t>
            </w:r>
            <w:r>
              <w:t xml:space="preserve"> 25 Jun 1982 p. 2091)</w:t>
            </w:r>
          </w:p>
        </w:tc>
      </w:tr>
      <w:tr>
        <w:trPr>
          <w:cantSplit/>
        </w:trPr>
        <w:tc>
          <w:tcPr>
            <w:tcW w:w="2268" w:type="dxa"/>
          </w:tcPr>
          <w:p>
            <w:pPr>
              <w:pStyle w:val="nTable"/>
              <w:spacing w:after="40"/>
              <w:ind w:right="113"/>
            </w:pPr>
            <w:r>
              <w:rPr>
                <w:i/>
              </w:rPr>
              <w:t>Real Estate and Business Agents Amendment Act 1984</w:t>
            </w:r>
          </w:p>
        </w:tc>
        <w:tc>
          <w:tcPr>
            <w:tcW w:w="1135" w:type="dxa"/>
          </w:tcPr>
          <w:p>
            <w:pPr>
              <w:pStyle w:val="nTable"/>
              <w:spacing w:after="40"/>
            </w:pPr>
            <w:r>
              <w:t>77 of 1984</w:t>
            </w:r>
          </w:p>
        </w:tc>
        <w:tc>
          <w:tcPr>
            <w:tcW w:w="1135" w:type="dxa"/>
          </w:tcPr>
          <w:p>
            <w:pPr>
              <w:pStyle w:val="nTable"/>
              <w:spacing w:after="40"/>
            </w:pPr>
            <w:r>
              <w:t>26 Nov 1984</w:t>
            </w:r>
          </w:p>
        </w:tc>
        <w:tc>
          <w:tcPr>
            <w:tcW w:w="2551" w:type="dxa"/>
          </w:tcPr>
          <w:p>
            <w:pPr>
              <w:pStyle w:val="nTable"/>
              <w:spacing w:after="40"/>
            </w:pPr>
            <w:r>
              <w:t>26 Nov 1984 (see s. 2)</w:t>
            </w:r>
          </w:p>
        </w:tc>
      </w:tr>
      <w:tr>
        <w:trPr>
          <w:cantSplit/>
        </w:trPr>
        <w:tc>
          <w:tcPr>
            <w:tcW w:w="2268" w:type="dxa"/>
          </w:tcPr>
          <w:p>
            <w:pPr>
              <w:pStyle w:val="nTable"/>
              <w:spacing w:after="40"/>
              <w:ind w:right="113"/>
            </w:pPr>
            <w:r>
              <w:rPr>
                <w:i/>
              </w:rPr>
              <w:t>Acts Amendment (Strata Titles) Act 1985</w:t>
            </w:r>
            <w:r>
              <w:t xml:space="preserve"> Pt. III</w:t>
            </w:r>
          </w:p>
        </w:tc>
        <w:tc>
          <w:tcPr>
            <w:tcW w:w="1135" w:type="dxa"/>
          </w:tcPr>
          <w:p>
            <w:pPr>
              <w:pStyle w:val="nTable"/>
              <w:spacing w:after="40"/>
            </w:pPr>
            <w:r>
              <w:t>40 of 1985</w:t>
            </w:r>
          </w:p>
        </w:tc>
        <w:tc>
          <w:tcPr>
            <w:tcW w:w="1135" w:type="dxa"/>
          </w:tcPr>
          <w:p>
            <w:pPr>
              <w:pStyle w:val="nTable"/>
              <w:spacing w:after="40"/>
            </w:pPr>
            <w:r>
              <w:t>13 May 1985</w:t>
            </w:r>
          </w:p>
        </w:tc>
        <w:tc>
          <w:tcPr>
            <w:tcW w:w="2551" w:type="dxa"/>
          </w:tcPr>
          <w:p>
            <w:pPr>
              <w:pStyle w:val="nTable"/>
              <w:spacing w:after="40"/>
            </w:pPr>
            <w:r>
              <w:t xml:space="preserve">30 Jun 1985 (see s. 2 and </w:t>
            </w:r>
            <w:r>
              <w:rPr>
                <w:i/>
              </w:rPr>
              <w:t>Gazette</w:t>
            </w:r>
            <w:r>
              <w:t xml:space="preserve"> 21 Jun 1985 p. 2188)</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7 Nov 1985</w:t>
            </w:r>
            <w:r>
              <w:t xml:space="preserve"> (includes amendments listed above)</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5"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State Government Insurance Commission Act 1986</w:t>
            </w:r>
            <w:r>
              <w:t xml:space="preserve"> s. 46(2)</w:t>
            </w:r>
          </w:p>
        </w:tc>
        <w:tc>
          <w:tcPr>
            <w:tcW w:w="1135" w:type="dxa"/>
          </w:tcPr>
          <w:p>
            <w:pPr>
              <w:pStyle w:val="nTable"/>
              <w:spacing w:after="40"/>
            </w:pPr>
            <w:r>
              <w:t>51 of 1986</w:t>
            </w:r>
          </w:p>
        </w:tc>
        <w:tc>
          <w:tcPr>
            <w:tcW w:w="1135" w:type="dxa"/>
          </w:tcPr>
          <w:p>
            <w:pPr>
              <w:pStyle w:val="nTable"/>
              <w:spacing w:after="40"/>
            </w:pPr>
            <w:r>
              <w:t>5 Aug 1986</w:t>
            </w:r>
          </w:p>
        </w:tc>
        <w:tc>
          <w:tcPr>
            <w:tcW w:w="2551" w:type="dxa"/>
          </w:tcPr>
          <w:p>
            <w:pPr>
              <w:pStyle w:val="nTable"/>
              <w:spacing w:after="40"/>
            </w:pPr>
            <w:r>
              <w:t xml:space="preserve">1 Jan 1987 (see s. 2 and </w:t>
            </w:r>
            <w:r>
              <w:rPr>
                <w:i/>
              </w:rPr>
              <w:t>Gazette</w:t>
            </w:r>
            <w:r>
              <w:t xml:space="preserve"> 19 Dec 1986 p. 4859)</w:t>
            </w:r>
          </w:p>
        </w:tc>
      </w:tr>
      <w:tr>
        <w:trPr>
          <w:cantSplit/>
        </w:trPr>
        <w:tc>
          <w:tcPr>
            <w:tcW w:w="2268" w:type="dxa"/>
          </w:tcPr>
          <w:p>
            <w:pPr>
              <w:pStyle w:val="nTable"/>
              <w:spacing w:after="40"/>
              <w:ind w:right="113"/>
            </w:pPr>
            <w:r>
              <w:rPr>
                <w:i/>
              </w:rPr>
              <w:t>Acts Amendment (Legal Practitioners, Costs and Taxation) Act 1987</w:t>
            </w:r>
            <w:r>
              <w:t xml:space="preserve"> Pt. XV</w:t>
            </w:r>
          </w:p>
        </w:tc>
        <w:tc>
          <w:tcPr>
            <w:tcW w:w="1135" w:type="dxa"/>
          </w:tcPr>
          <w:p>
            <w:pPr>
              <w:pStyle w:val="nTable"/>
              <w:spacing w:after="40"/>
            </w:pPr>
            <w:r>
              <w:t>65 of 1987</w:t>
            </w:r>
          </w:p>
        </w:tc>
        <w:tc>
          <w:tcPr>
            <w:tcW w:w="1135"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Residential Tenancies Act 1987</w:t>
            </w:r>
            <w:r>
              <w:t xml:space="preserve"> s. 89</w:t>
            </w:r>
          </w:p>
        </w:tc>
        <w:tc>
          <w:tcPr>
            <w:tcW w:w="1135" w:type="dxa"/>
          </w:tcPr>
          <w:p>
            <w:pPr>
              <w:pStyle w:val="nTable"/>
              <w:spacing w:after="40"/>
            </w:pPr>
            <w:r>
              <w:t>128 of 1987</w:t>
            </w:r>
          </w:p>
        </w:tc>
        <w:tc>
          <w:tcPr>
            <w:tcW w:w="1135" w:type="dxa"/>
          </w:tcPr>
          <w:p>
            <w:pPr>
              <w:pStyle w:val="nTable"/>
              <w:spacing w:after="40"/>
            </w:pPr>
            <w:r>
              <w:t>21 Jan 1988</w:t>
            </w:r>
          </w:p>
        </w:tc>
        <w:tc>
          <w:tcPr>
            <w:tcW w:w="2551" w:type="dxa"/>
          </w:tcPr>
          <w:p>
            <w:pPr>
              <w:pStyle w:val="nTable"/>
              <w:spacing w:after="40"/>
            </w:pPr>
            <w:r>
              <w:t xml:space="preserve">1 Oct 1989 (see s. 2 and </w:t>
            </w:r>
            <w:r>
              <w:rPr>
                <w:i/>
              </w:rPr>
              <w:t>Gazette</w:t>
            </w:r>
            <w:r>
              <w:t xml:space="preserve"> 18 Aug 1989 p. 2748)</w:t>
            </w:r>
          </w:p>
        </w:tc>
      </w:tr>
      <w:tr>
        <w:trPr>
          <w:cantSplit/>
        </w:trPr>
        <w:tc>
          <w:tcPr>
            <w:tcW w:w="2268" w:type="dxa"/>
          </w:tcPr>
          <w:p>
            <w:pPr>
              <w:pStyle w:val="nTable"/>
              <w:spacing w:after="40"/>
              <w:ind w:right="113"/>
            </w:pPr>
            <w:r>
              <w:rPr>
                <w:i/>
              </w:rPr>
              <w:t>Real Estate and Business Agents Amendment Act 1988</w:t>
            </w:r>
          </w:p>
        </w:tc>
        <w:tc>
          <w:tcPr>
            <w:tcW w:w="1135" w:type="dxa"/>
          </w:tcPr>
          <w:p>
            <w:pPr>
              <w:pStyle w:val="nTable"/>
              <w:spacing w:after="40"/>
            </w:pPr>
            <w:r>
              <w:t>18 of 1988</w:t>
            </w:r>
          </w:p>
        </w:tc>
        <w:tc>
          <w:tcPr>
            <w:tcW w:w="1135" w:type="dxa"/>
          </w:tcPr>
          <w:p>
            <w:pPr>
              <w:pStyle w:val="nTable"/>
              <w:spacing w:after="40"/>
            </w:pPr>
            <w:r>
              <w:t>9 Sep 1988</w:t>
            </w:r>
          </w:p>
        </w:tc>
        <w:tc>
          <w:tcPr>
            <w:tcW w:w="2551" w:type="dxa"/>
          </w:tcPr>
          <w:p>
            <w:pPr>
              <w:pStyle w:val="nTable"/>
              <w:spacing w:after="40"/>
            </w:pPr>
            <w:r>
              <w:t>s. 1 and 2: 9 Sep 1988;</w:t>
            </w:r>
            <w:r>
              <w:br/>
              <w:t xml:space="preserve">Act other than s. 1 and 2: 28 Oct 1988 (see s. 2 and </w:t>
            </w:r>
            <w:r>
              <w:rPr>
                <w:i/>
              </w:rPr>
              <w:t>Gazette</w:t>
            </w:r>
            <w:r>
              <w:t xml:space="preserve"> 28 Oct 1988 p. 4327)</w:t>
            </w:r>
          </w:p>
        </w:tc>
      </w:tr>
      <w:tr>
        <w:trPr>
          <w:cantSplit/>
        </w:trPr>
        <w:tc>
          <w:tcPr>
            <w:tcW w:w="2268" w:type="dxa"/>
          </w:tcPr>
          <w:p>
            <w:pPr>
              <w:pStyle w:val="nTable"/>
              <w:spacing w:after="40"/>
              <w:ind w:right="113"/>
            </w:pPr>
            <w:r>
              <w:rPr>
                <w:i/>
              </w:rPr>
              <w:t>R &amp; I Bank Act 1990</w:t>
            </w:r>
            <w:r>
              <w:t xml:space="preserve"> s. 45(1)</w:t>
            </w:r>
          </w:p>
        </w:tc>
        <w:tc>
          <w:tcPr>
            <w:tcW w:w="1135" w:type="dxa"/>
          </w:tcPr>
          <w:p>
            <w:pPr>
              <w:pStyle w:val="nTable"/>
              <w:spacing w:after="40"/>
            </w:pPr>
            <w:r>
              <w:t>73 of 1990</w:t>
            </w:r>
          </w:p>
        </w:tc>
        <w:tc>
          <w:tcPr>
            <w:tcW w:w="1135" w:type="dxa"/>
          </w:tcPr>
          <w:p>
            <w:pPr>
              <w:pStyle w:val="nTable"/>
              <w:spacing w:after="40"/>
            </w:pPr>
            <w:r>
              <w:t>20 Dec 1990</w:t>
            </w:r>
          </w:p>
        </w:tc>
        <w:tc>
          <w:tcPr>
            <w:tcW w:w="2551" w:type="dxa"/>
          </w:tcPr>
          <w:p>
            <w:pPr>
              <w:pStyle w:val="nTable"/>
              <w:spacing w:after="40"/>
            </w:pPr>
            <w:r>
              <w:t xml:space="preserve">1 Jan 1991 (see s. 2(2) and </w:t>
            </w:r>
            <w:r>
              <w:rPr>
                <w:i/>
              </w:rPr>
              <w:t>Gazette</w:t>
            </w:r>
            <w:r>
              <w:t xml:space="preserve"> 28 Dec 1990 p. 6369)</w:t>
            </w:r>
          </w:p>
        </w:tc>
      </w:tr>
      <w:tr>
        <w:trPr>
          <w:cantSplit/>
        </w:trPr>
        <w:tc>
          <w:tcPr>
            <w:tcW w:w="2268" w:type="dxa"/>
          </w:tcPr>
          <w:p>
            <w:pPr>
              <w:pStyle w:val="nTable"/>
              <w:spacing w:after="40"/>
              <w:ind w:right="113"/>
            </w:pPr>
            <w:r>
              <w:rPr>
                <w:i/>
              </w:rPr>
              <w:t>R &amp; I Bank Amendment Act 1994</w:t>
            </w:r>
            <w:r>
              <w:t xml:space="preserve"> s. 13</w:t>
            </w:r>
          </w:p>
        </w:tc>
        <w:tc>
          <w:tcPr>
            <w:tcW w:w="1135" w:type="dxa"/>
          </w:tcPr>
          <w:p>
            <w:pPr>
              <w:pStyle w:val="nTable"/>
              <w:spacing w:after="40"/>
            </w:pPr>
            <w:r>
              <w:t>6 of 1994</w:t>
            </w:r>
          </w:p>
        </w:tc>
        <w:tc>
          <w:tcPr>
            <w:tcW w:w="1135" w:type="dxa"/>
          </w:tcPr>
          <w:p>
            <w:pPr>
              <w:pStyle w:val="nTable"/>
              <w:spacing w:after="40"/>
            </w:pPr>
            <w:r>
              <w:t>11 Apr 1994</w:t>
            </w:r>
          </w:p>
        </w:tc>
        <w:tc>
          <w:tcPr>
            <w:tcW w:w="2551" w:type="dxa"/>
          </w:tcPr>
          <w:p>
            <w:pPr>
              <w:pStyle w:val="nTable"/>
              <w:spacing w:after="40"/>
            </w:pPr>
            <w:r>
              <w:t xml:space="preserve">26 Apr 1994 (see s. 2(2) and </w:t>
            </w:r>
            <w:r>
              <w:rPr>
                <w:i/>
              </w:rPr>
              <w:t>Gazette</w:t>
            </w:r>
            <w:r>
              <w:t xml:space="preserve"> 26 Apr 1994 p. 1743)</w:t>
            </w:r>
          </w:p>
        </w:tc>
      </w:tr>
      <w:tr>
        <w:trPr>
          <w:cantSplit/>
        </w:trPr>
        <w:tc>
          <w:tcPr>
            <w:tcW w:w="2268" w:type="dxa"/>
          </w:tcPr>
          <w:p>
            <w:pPr>
              <w:pStyle w:val="nTable"/>
              <w:spacing w:after="40"/>
              <w:ind w:right="113"/>
            </w:pPr>
            <w:r>
              <w:rPr>
                <w:i/>
              </w:rPr>
              <w:t>Acts Amendment (Public Sector Management) Act 1994</w:t>
            </w:r>
            <w:r>
              <w:t xml:space="preserve"> s. 3(2)</w:t>
            </w:r>
          </w:p>
        </w:tc>
        <w:tc>
          <w:tcPr>
            <w:tcW w:w="1135"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Real Estate and Business Agents Amendment Act 1994</w:t>
            </w:r>
          </w:p>
        </w:tc>
        <w:tc>
          <w:tcPr>
            <w:tcW w:w="1135" w:type="dxa"/>
          </w:tcPr>
          <w:p>
            <w:pPr>
              <w:pStyle w:val="nTable"/>
              <w:spacing w:after="40"/>
            </w:pPr>
            <w:r>
              <w:t>43 of 1994</w:t>
            </w:r>
          </w:p>
        </w:tc>
        <w:tc>
          <w:tcPr>
            <w:tcW w:w="1135" w:type="dxa"/>
          </w:tcPr>
          <w:p>
            <w:pPr>
              <w:pStyle w:val="nTable"/>
              <w:spacing w:after="40"/>
            </w:pPr>
            <w:r>
              <w:t>31 Aug 1994</w:t>
            </w:r>
          </w:p>
        </w:tc>
        <w:tc>
          <w:tcPr>
            <w:tcW w:w="2551" w:type="dxa"/>
          </w:tcPr>
          <w:p>
            <w:pPr>
              <w:pStyle w:val="nTable"/>
              <w:spacing w:after="40"/>
            </w:pPr>
            <w:r>
              <w:t>Act other than s. 7 and 8(b)(i): 31 Aug 1994 (see s. 2(1));</w:t>
            </w:r>
            <w:r>
              <w:br/>
              <w:t xml:space="preserve">s. 7 and 8(b)(i): 6 Oct 1994 (see s. 2(2) and </w:t>
            </w:r>
            <w:r>
              <w:rPr>
                <w:i/>
              </w:rPr>
              <w:t>Gazette</w:t>
            </w:r>
            <w:r>
              <w:t xml:space="preserve"> 30 Sep 1994 p. 4947)</w:t>
            </w:r>
          </w:p>
        </w:tc>
      </w:tr>
      <w:tr>
        <w:trPr>
          <w:cantSplit/>
        </w:trPr>
        <w:tc>
          <w:tcPr>
            <w:tcW w:w="2268"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44(1)</w:t>
            </w:r>
          </w:p>
        </w:tc>
        <w:tc>
          <w:tcPr>
            <w:tcW w:w="1135" w:type="dxa"/>
          </w:tcPr>
          <w:p>
            <w:pPr>
              <w:pStyle w:val="nTable"/>
              <w:spacing w:after="40"/>
            </w:pPr>
            <w:r>
              <w:t>14 of 1995</w:t>
            </w:r>
          </w:p>
        </w:tc>
        <w:tc>
          <w:tcPr>
            <w:tcW w:w="1135" w:type="dxa"/>
          </w:tcPr>
          <w:p>
            <w:pPr>
              <w:pStyle w:val="nTable"/>
              <w:spacing w:after="40"/>
            </w:pPr>
            <w:r>
              <w:t>4 Jul 1995</w:t>
            </w:r>
          </w:p>
        </w:tc>
        <w:tc>
          <w:tcPr>
            <w:tcW w:w="2551" w:type="dxa"/>
          </w:tcPr>
          <w:p>
            <w:pPr>
              <w:pStyle w:val="nTable"/>
              <w:spacing w:after="40"/>
            </w:pPr>
            <w:r>
              <w:t xml:space="preserve">1 Dec 1995 (see s. 2(3) and 9(1) and </w:t>
            </w:r>
            <w:r>
              <w:rPr>
                <w:i/>
              </w:rPr>
              <w:t>Gazette</w:t>
            </w:r>
            <w:r>
              <w:t xml:space="preserve"> 29 Nov 1995 p. 5529)</w:t>
            </w:r>
          </w:p>
        </w:tc>
      </w:tr>
      <w:tr>
        <w:trPr>
          <w:cantSplit/>
        </w:trPr>
        <w:tc>
          <w:tcPr>
            <w:tcW w:w="2268" w:type="dxa"/>
          </w:tcPr>
          <w:p>
            <w:pPr>
              <w:pStyle w:val="nTable"/>
              <w:spacing w:after="40"/>
              <w:ind w:right="113"/>
              <w:rPr>
                <w:rFonts w:ascii="Times" w:hAnsi="Times"/>
                <w:vertAlign w:val="superscript"/>
              </w:rPr>
            </w:pPr>
            <w:r>
              <w:rPr>
                <w:i/>
              </w:rPr>
              <w:t>Business Licensing Amendment Act 1995</w:t>
            </w:r>
            <w:r>
              <w:t xml:space="preserve"> Pt. 8</w:t>
            </w:r>
            <w:r>
              <w:rPr>
                <w:vertAlign w:val="superscript"/>
              </w:rPr>
              <w:t> 7</w:t>
            </w:r>
          </w:p>
        </w:tc>
        <w:tc>
          <w:tcPr>
            <w:tcW w:w="1135" w:type="dxa"/>
          </w:tcPr>
          <w:p>
            <w:pPr>
              <w:pStyle w:val="nTable"/>
              <w:spacing w:after="40"/>
            </w:pPr>
            <w:r>
              <w:t>56 of 1995</w:t>
            </w:r>
          </w:p>
        </w:tc>
        <w:tc>
          <w:tcPr>
            <w:tcW w:w="1135" w:type="dxa"/>
          </w:tcPr>
          <w:p>
            <w:pPr>
              <w:pStyle w:val="nTable"/>
              <w:spacing w:after="40"/>
            </w:pPr>
            <w:r>
              <w:t>20 Dec 1995</w:t>
            </w:r>
          </w:p>
        </w:tc>
        <w:tc>
          <w:tcPr>
            <w:tcW w:w="2551" w:type="dxa"/>
          </w:tcPr>
          <w:p>
            <w:pPr>
              <w:pStyle w:val="nTable"/>
              <w:spacing w:after="40"/>
            </w:pPr>
            <w:r>
              <w:t xml:space="preserve">1 Jul 1996 (see s. 2(2) and </w:t>
            </w:r>
            <w:r>
              <w:rPr>
                <w:i/>
              </w:rPr>
              <w:t>Gazette</w:t>
            </w:r>
            <w:r>
              <w:t xml:space="preserve"> 1 Jul 1996 p. 3179)</w:t>
            </w:r>
          </w:p>
        </w:tc>
      </w:tr>
      <w:tr>
        <w:trPr>
          <w:cantSplit/>
        </w:trPr>
        <w:tc>
          <w:tcPr>
            <w:tcW w:w="2268" w:type="dxa"/>
          </w:tcPr>
          <w:p>
            <w:pPr>
              <w:pStyle w:val="nTable"/>
              <w:spacing w:after="40"/>
              <w:ind w:right="113"/>
            </w:pPr>
            <w:r>
              <w:rPr>
                <w:i/>
              </w:rPr>
              <w:t>Real Estate Legislation Amendment Act 1995</w:t>
            </w:r>
            <w:r>
              <w:t xml:space="preserve"> Pt. 2</w:t>
            </w:r>
            <w:r>
              <w:rPr>
                <w:vertAlign w:val="superscript"/>
              </w:rPr>
              <w:t> 8</w:t>
            </w:r>
          </w:p>
        </w:tc>
        <w:tc>
          <w:tcPr>
            <w:tcW w:w="1135" w:type="dxa"/>
          </w:tcPr>
          <w:p>
            <w:pPr>
              <w:pStyle w:val="nTable"/>
              <w:spacing w:after="40"/>
            </w:pPr>
            <w:r>
              <w:t>59 of 1995</w:t>
            </w:r>
          </w:p>
        </w:tc>
        <w:tc>
          <w:tcPr>
            <w:tcW w:w="1135" w:type="dxa"/>
          </w:tcPr>
          <w:p>
            <w:pPr>
              <w:pStyle w:val="nTable"/>
              <w:spacing w:after="40"/>
            </w:pPr>
            <w:r>
              <w:t>20 Dec 1995</w:t>
            </w:r>
          </w:p>
        </w:tc>
        <w:tc>
          <w:tcPr>
            <w:tcW w:w="2551" w:type="dxa"/>
          </w:tcPr>
          <w:p>
            <w:pPr>
              <w:pStyle w:val="nTable"/>
              <w:spacing w:after="40"/>
            </w:pPr>
            <w:r>
              <w:t>Pt. 2, other than s. 11: 1 Jul 1996 (see s. 2 and </w:t>
            </w:r>
            <w:r>
              <w:rPr>
                <w:i/>
              </w:rPr>
              <w:t>Gazette</w:t>
            </w:r>
            <w:r>
              <w:t xml:space="preserve"> 25 Jun 1996 p. 2902 and 6 Sep 1996 p. 4405);</w:t>
            </w:r>
            <w:r>
              <w:br/>
              <w:t xml:space="preserve">s. 11: 5 Apr 2007 (see s. 2 and </w:t>
            </w:r>
            <w:r>
              <w:rPr>
                <w:i/>
                <w:iCs/>
              </w:rPr>
              <w:t>Gazette</w:t>
            </w:r>
            <w:r>
              <w:t xml:space="preserve"> 30 Mar 2007 p. 1451)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6 Sep 1996</w:t>
            </w:r>
            <w:r>
              <w:t xml:space="preserve"> (includes amendments listed above except those in the </w:t>
            </w:r>
            <w:r>
              <w:rPr>
                <w:i/>
              </w:rPr>
              <w:t>Real Estate Legislation Amendment Act 1995</w:t>
            </w:r>
            <w:r>
              <w:t xml:space="preserve"> s. 11) (correction in </w:t>
            </w:r>
            <w:r>
              <w:rPr>
                <w:i/>
              </w:rPr>
              <w:t>Gazette</w:t>
            </w:r>
            <w:r>
              <w:t xml:space="preserve"> 11 Oct 1996 p. 5396)</w:t>
            </w:r>
          </w:p>
        </w:tc>
      </w:tr>
      <w:tr>
        <w:trPr>
          <w:cantSplit/>
        </w:trPr>
        <w:tc>
          <w:tcPr>
            <w:tcW w:w="2268" w:type="dxa"/>
          </w:tcPr>
          <w:p>
            <w:pPr>
              <w:pStyle w:val="nTable"/>
              <w:spacing w:after="40"/>
              <w:ind w:right="113"/>
              <w:rPr>
                <w:i/>
              </w:rPr>
            </w:pPr>
            <w:r>
              <w:rPr>
                <w:i/>
              </w:rPr>
              <w:t>Real Estate and Business Agents Amendment Act 1998</w:t>
            </w:r>
          </w:p>
        </w:tc>
        <w:tc>
          <w:tcPr>
            <w:tcW w:w="1135" w:type="dxa"/>
          </w:tcPr>
          <w:p>
            <w:pPr>
              <w:pStyle w:val="nTable"/>
              <w:spacing w:after="40"/>
            </w:pPr>
            <w:r>
              <w:t>34 of 1998</w:t>
            </w:r>
          </w:p>
        </w:tc>
        <w:tc>
          <w:tcPr>
            <w:tcW w:w="1135" w:type="dxa"/>
          </w:tcPr>
          <w:p>
            <w:pPr>
              <w:pStyle w:val="nTable"/>
              <w:spacing w:after="40"/>
            </w:pPr>
            <w:r>
              <w:t>6 Jul 1998</w:t>
            </w:r>
          </w:p>
        </w:tc>
        <w:tc>
          <w:tcPr>
            <w:tcW w:w="2551" w:type="dxa"/>
          </w:tcPr>
          <w:p>
            <w:pPr>
              <w:pStyle w:val="nTable"/>
              <w:spacing w:after="40"/>
            </w:pPr>
            <w:r>
              <w:t>s. 1 and 2: 6 Jul 1998;</w:t>
            </w:r>
            <w:r>
              <w:br/>
              <w:t xml:space="preserve">Act other than s. 1 and 2: 1 Nov 1998 (see s. 2 and </w:t>
            </w:r>
            <w:r>
              <w:rPr>
                <w:i/>
              </w:rPr>
              <w:t>Gazette</w:t>
            </w:r>
            <w:r>
              <w:t xml:space="preserve"> 16 Oct 1998 p. 5729)</w:t>
            </w:r>
          </w:p>
        </w:tc>
      </w:tr>
      <w:tr>
        <w:trPr>
          <w:cantSplit/>
        </w:trPr>
        <w:tc>
          <w:tcPr>
            <w:tcW w:w="2268" w:type="dxa"/>
          </w:tcPr>
          <w:p>
            <w:pPr>
              <w:pStyle w:val="nTable"/>
              <w:spacing w:after="40"/>
              <w:ind w:right="113"/>
            </w:pPr>
            <w:r>
              <w:rPr>
                <w:i/>
              </w:rPr>
              <w:t>Acts Amendment and Repeal (Financial Sector Reform) Act 1999</w:t>
            </w:r>
            <w:r>
              <w:t xml:space="preserve"> s. 99</w:t>
            </w:r>
          </w:p>
        </w:tc>
        <w:tc>
          <w:tcPr>
            <w:tcW w:w="1135" w:type="dxa"/>
          </w:tcPr>
          <w:p>
            <w:pPr>
              <w:pStyle w:val="nTable"/>
              <w:spacing w:after="40"/>
            </w:pPr>
            <w:r>
              <w:t>26 of 1999</w:t>
            </w:r>
          </w:p>
        </w:tc>
        <w:tc>
          <w:tcPr>
            <w:tcW w:w="1135"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tcPr>
          <w:p>
            <w:pPr>
              <w:pStyle w:val="nTable"/>
              <w:spacing w:after="40"/>
              <w:ind w:right="113"/>
            </w:pPr>
            <w:r>
              <w:rPr>
                <w:i/>
              </w:rPr>
              <w:t>Real Estate Legislation (Fidelity Guarantee Funds) Amendment Act 2000</w:t>
            </w:r>
            <w:r>
              <w:t xml:space="preserve"> Pt. 2</w:t>
            </w:r>
            <w:r>
              <w:rPr>
                <w:vertAlign w:val="superscript"/>
              </w:rPr>
              <w:t> 9</w:t>
            </w:r>
          </w:p>
        </w:tc>
        <w:tc>
          <w:tcPr>
            <w:tcW w:w="1135" w:type="dxa"/>
          </w:tcPr>
          <w:p>
            <w:pPr>
              <w:pStyle w:val="nTable"/>
              <w:spacing w:after="40"/>
            </w:pPr>
            <w:r>
              <w:t>3 of 2000</w:t>
            </w:r>
          </w:p>
        </w:tc>
        <w:tc>
          <w:tcPr>
            <w:tcW w:w="1135" w:type="dxa"/>
          </w:tcPr>
          <w:p>
            <w:pPr>
              <w:pStyle w:val="nTable"/>
              <w:spacing w:after="40"/>
            </w:pPr>
            <w:r>
              <w:t>12 Apr 2000</w:t>
            </w:r>
          </w:p>
        </w:tc>
        <w:tc>
          <w:tcPr>
            <w:tcW w:w="2551" w:type="dxa"/>
          </w:tcPr>
          <w:p>
            <w:pPr>
              <w:pStyle w:val="nTable"/>
              <w:spacing w:after="40"/>
            </w:pPr>
            <w:r>
              <w:t>12 Apr 2000 (see s. 2)</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9 Mar 2001</w:t>
            </w:r>
            <w:r>
              <w:t xml:space="preserve"> (includes amendments listed above except those in the </w:t>
            </w:r>
            <w:r>
              <w:rPr>
                <w:i/>
              </w:rPr>
              <w:t>Real Estate Legislation Amendment Act 1995</w:t>
            </w:r>
            <w:r>
              <w:t xml:space="preserve"> s. 11)</w:t>
            </w:r>
          </w:p>
        </w:tc>
      </w:tr>
      <w:tr>
        <w:trPr>
          <w:cantSplit/>
        </w:trPr>
        <w:tc>
          <w:tcPr>
            <w:tcW w:w="2268" w:type="dxa"/>
          </w:tcPr>
          <w:p>
            <w:pPr>
              <w:pStyle w:val="nTable"/>
              <w:spacing w:after="40"/>
              <w:ind w:right="113"/>
              <w:rPr>
                <w:i/>
              </w:rPr>
            </w:pPr>
            <w:r>
              <w:rPr>
                <w:i/>
              </w:rPr>
              <w:t>Corporations (Consequential Amendments) Act 2001</w:t>
            </w:r>
            <w:r>
              <w:t xml:space="preserve"> s. 220 and 222</w:t>
            </w:r>
          </w:p>
        </w:tc>
        <w:tc>
          <w:tcPr>
            <w:tcW w:w="1135"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rPr>
                <w:i/>
              </w:rPr>
            </w:pPr>
            <w:r>
              <w:rPr>
                <w:i/>
              </w:rPr>
              <w:t xml:space="preserve">Building Societies Amendment Act 2001 </w:t>
            </w:r>
            <w:r>
              <w:t>s. 50 and 51</w:t>
            </w:r>
          </w:p>
        </w:tc>
        <w:tc>
          <w:tcPr>
            <w:tcW w:w="1135" w:type="dxa"/>
          </w:tcPr>
          <w:p>
            <w:pPr>
              <w:pStyle w:val="nTable"/>
              <w:spacing w:after="40"/>
            </w:pPr>
            <w:r>
              <w:t>12 of 2001</w:t>
            </w:r>
          </w:p>
        </w:tc>
        <w:tc>
          <w:tcPr>
            <w:tcW w:w="1135" w:type="dxa"/>
          </w:tcPr>
          <w:p>
            <w:pPr>
              <w:pStyle w:val="nTable"/>
              <w:spacing w:after="40"/>
            </w:pPr>
            <w:r>
              <w:t>13 Jul 2001</w:t>
            </w:r>
          </w:p>
        </w:tc>
        <w:tc>
          <w:tcPr>
            <w:tcW w:w="2551" w:type="dxa"/>
          </w:tcPr>
          <w:p>
            <w:pPr>
              <w:pStyle w:val="nTable"/>
              <w:spacing w:after="40"/>
            </w:pPr>
            <w:r>
              <w:t>13 Jul 2001 (see s. 2)</w:t>
            </w:r>
          </w:p>
        </w:tc>
      </w:tr>
      <w:tr>
        <w:trPr>
          <w:cantSplit/>
        </w:trPr>
        <w:tc>
          <w:tcPr>
            <w:tcW w:w="2268" w:type="dxa"/>
          </w:tcPr>
          <w:p>
            <w:pPr>
              <w:pStyle w:val="nTable"/>
              <w:spacing w:after="40"/>
              <w:ind w:right="170"/>
              <w:rPr>
                <w:i/>
              </w:rPr>
            </w:pPr>
            <w:r>
              <w:rPr>
                <w:i/>
              </w:rPr>
              <w:t xml:space="preserve">Corporations (Consequential Amendments) Act (No. 3) 2003 </w:t>
            </w:r>
            <w:r>
              <w:t>Pt. 12 </w:t>
            </w:r>
            <w:r>
              <w:rPr>
                <w:vertAlign w:val="superscript"/>
              </w:rPr>
              <w:t>10</w:t>
            </w:r>
          </w:p>
        </w:tc>
        <w:tc>
          <w:tcPr>
            <w:tcW w:w="1135" w:type="dxa"/>
          </w:tcPr>
          <w:p>
            <w:pPr>
              <w:pStyle w:val="nTable"/>
              <w:spacing w:after="40"/>
            </w:pPr>
            <w:r>
              <w:t>21 of 2003</w:t>
            </w:r>
          </w:p>
        </w:tc>
        <w:tc>
          <w:tcPr>
            <w:tcW w:w="1135" w:type="dxa"/>
          </w:tcPr>
          <w:p>
            <w:pPr>
              <w:pStyle w:val="nTable"/>
              <w:spacing w:after="40"/>
            </w:pPr>
            <w:r>
              <w:t>23 Apr 2003</w:t>
            </w:r>
          </w:p>
        </w:tc>
        <w:tc>
          <w:tcPr>
            <w:tcW w:w="2551"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ind w:right="170"/>
            </w:pPr>
            <w:r>
              <w:rPr>
                <w:i/>
              </w:rPr>
              <w:t>Acts Amendment (Equality of Status) Act 2003</w:t>
            </w:r>
            <w:r>
              <w:t xml:space="preserve"> Pt. 51</w:t>
            </w:r>
          </w:p>
        </w:tc>
        <w:tc>
          <w:tcPr>
            <w:tcW w:w="1135"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ind w:right="170"/>
              <w:rPr>
                <w:i/>
              </w:rPr>
            </w:pPr>
            <w:r>
              <w:rPr>
                <w:i/>
              </w:rPr>
              <w:t xml:space="preserve">Sentencing Legislation Amendment and Repeal Act 2003 </w:t>
            </w:r>
            <w:r>
              <w:t>s. 88</w:t>
            </w:r>
          </w:p>
        </w:tc>
        <w:tc>
          <w:tcPr>
            <w:tcW w:w="1135"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70"/>
            </w:pPr>
            <w:r>
              <w:rPr>
                <w:i/>
              </w:rPr>
              <w:t>Acts Amendment and Repeal (Courts and Legal Practice) Act 2003</w:t>
            </w:r>
            <w:r>
              <w:t xml:space="preserve"> s. 59</w:t>
            </w:r>
          </w:p>
        </w:tc>
        <w:tc>
          <w:tcPr>
            <w:tcW w:w="1135"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101</w:t>
            </w:r>
          </w:p>
        </w:tc>
        <w:tc>
          <w:tcPr>
            <w:tcW w:w="1135"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snapToGrid w:val="0"/>
              </w:rPr>
              <w:t>Courts Legislation Amendment and Repeal Act 2004</w:t>
            </w:r>
            <w:r>
              <w:rPr>
                <w:snapToGrid w:val="0"/>
              </w:rPr>
              <w:t xml:space="preserve"> s. 141</w:t>
            </w:r>
          </w:p>
        </w:tc>
        <w:tc>
          <w:tcPr>
            <w:tcW w:w="1135"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vertAlign w:val="superscript"/>
              </w:rPr>
            </w:pPr>
            <w:r>
              <w:rPr>
                <w:i/>
              </w:rPr>
              <w:t xml:space="preserve">State Administrative Tribunal (Conferral of Jurisdiction) Amendment and Repeal Act 2004 </w:t>
            </w:r>
            <w:r>
              <w:t>Pt. 2 Div. 112</w:t>
            </w:r>
            <w:r>
              <w:rPr>
                <w:vertAlign w:val="superscript"/>
              </w:rPr>
              <w:t> 11</w:t>
            </w:r>
          </w:p>
        </w:tc>
        <w:tc>
          <w:tcPr>
            <w:tcW w:w="1135"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8" w:type="dxa"/>
          </w:tcPr>
          <w:p>
            <w:pPr>
              <w:pStyle w:val="nTable"/>
              <w:spacing w:after="40"/>
              <w:ind w:right="170"/>
              <w:rPr>
                <w:i/>
                <w:vertAlign w:val="superscript"/>
              </w:rPr>
            </w:pPr>
            <w:r>
              <w:rPr>
                <w:i/>
                <w:snapToGrid w:val="0"/>
              </w:rPr>
              <w:t>Criminal Procedure and Appeals (Consequential and Other Provisions) Act 2004</w:t>
            </w:r>
            <w:r>
              <w:rPr>
                <w:snapToGrid w:val="0"/>
              </w:rPr>
              <w:t xml:space="preserve"> s. 80 and 82</w:t>
            </w:r>
          </w:p>
        </w:tc>
        <w:tc>
          <w:tcPr>
            <w:tcW w:w="1135" w:type="dxa"/>
          </w:tcPr>
          <w:p>
            <w:pPr>
              <w:pStyle w:val="nTable"/>
              <w:spacing w:after="40"/>
            </w:pPr>
            <w:r>
              <w:rPr>
                <w:snapToGrid w:val="0"/>
              </w:rPr>
              <w:t>84 of 2004</w:t>
            </w:r>
          </w:p>
        </w:tc>
        <w:tc>
          <w:tcPr>
            <w:tcW w:w="1135"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pacing w:val="-2"/>
              </w:rPr>
            </w:pPr>
            <w:r>
              <w:rPr>
                <w:b/>
              </w:rPr>
              <w:t xml:space="preserve">Reprint 5: The </w:t>
            </w:r>
            <w:r>
              <w:rPr>
                <w:b/>
                <w:i/>
              </w:rPr>
              <w:t>Real Estate and Business Agents Act 1978</w:t>
            </w:r>
            <w:r>
              <w:rPr>
                <w:b/>
              </w:rPr>
              <w:t xml:space="preserve"> as at 8 Apr 2005</w:t>
            </w:r>
            <w:r>
              <w:t xml:space="preserve"> (includes amendments listed above except those in the </w:t>
            </w:r>
            <w:r>
              <w:rPr>
                <w:i/>
              </w:rPr>
              <w:t>Real Estate Legislation Amendment Act 1995</w:t>
            </w:r>
            <w:r>
              <w:t xml:space="preserve"> s. 11, </w:t>
            </w:r>
            <w:r>
              <w:rPr>
                <w:i/>
                <w:snapToGrid w:val="0"/>
              </w:rPr>
              <w:t>Courts Legislation Amendment and Repeal Act 2004</w:t>
            </w:r>
            <w:r>
              <w:rPr>
                <w:iCs/>
                <w:snapToGrid w:val="0"/>
              </w:rPr>
              <w:t xml:space="preserve"> and the </w:t>
            </w:r>
            <w:r>
              <w:rPr>
                <w:i/>
                <w:snapToGrid w:val="0"/>
              </w:rPr>
              <w:t>Criminal Procedure and Appeals (Consequential and Other Provisions) Act 2004</w:t>
            </w:r>
            <w:r>
              <w:t>)</w:t>
            </w:r>
          </w:p>
        </w:tc>
      </w:tr>
      <w:tr>
        <w:trPr>
          <w:cantSplit/>
        </w:trPr>
        <w:tc>
          <w:tcPr>
            <w:tcW w:w="2268" w:type="dxa"/>
          </w:tcPr>
          <w:p>
            <w:pPr>
              <w:pStyle w:val="nTable"/>
              <w:spacing w:after="40"/>
              <w:ind w:right="113"/>
              <w:rPr>
                <w:i/>
              </w:rPr>
            </w:pPr>
            <w:r>
              <w:rPr>
                <w:i/>
              </w:rPr>
              <w:t>Housing Societies Repeal Act 2005</w:t>
            </w:r>
            <w:r>
              <w:t xml:space="preserve"> s. 29</w:t>
            </w:r>
          </w:p>
        </w:tc>
        <w:tc>
          <w:tcPr>
            <w:tcW w:w="1135" w:type="dxa"/>
          </w:tcPr>
          <w:p>
            <w:pPr>
              <w:pStyle w:val="nTable"/>
              <w:spacing w:after="40"/>
            </w:pPr>
            <w:r>
              <w:t>17 of 2005</w:t>
            </w:r>
          </w:p>
        </w:tc>
        <w:tc>
          <w:tcPr>
            <w:tcW w:w="1135" w:type="dxa"/>
          </w:tcPr>
          <w:p>
            <w:pPr>
              <w:pStyle w:val="nTable"/>
              <w:spacing w:after="40"/>
            </w:pPr>
            <w:r>
              <w:t>5 Oct 2005</w:t>
            </w:r>
          </w:p>
        </w:tc>
        <w:tc>
          <w:tcPr>
            <w:tcW w:w="2551" w:type="dxa"/>
          </w:tcPr>
          <w:p>
            <w:pPr>
              <w:pStyle w:val="nTable"/>
              <w:spacing w:after="40"/>
            </w:pPr>
            <w:r>
              <w:t xml:space="preserve">10 Jul 2010 (see s. 2(3) and </w:t>
            </w:r>
            <w:r>
              <w:rPr>
                <w:i/>
                <w:iCs/>
              </w:rPr>
              <w:t>Gazette</w:t>
            </w:r>
            <w:r>
              <w:t xml:space="preserve"> 9 Jul 2010 p. 3239)</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s. 63</w:t>
            </w:r>
          </w:p>
        </w:tc>
        <w:tc>
          <w:tcPr>
            <w:tcW w:w="1135" w:type="dxa"/>
          </w:tcPr>
          <w:p>
            <w:pPr>
              <w:pStyle w:val="nTable"/>
              <w:spacing w:after="40"/>
            </w:pPr>
            <w:r>
              <w:t>24 of 2005</w:t>
            </w:r>
          </w:p>
        </w:tc>
        <w:tc>
          <w:tcPr>
            <w:tcW w:w="1135"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 xml:space="preserve">Machinery of Government (Miscellaneous Amendments) Act 2006 </w:t>
            </w:r>
            <w:r>
              <w:t>Pt. 4 Div. 19</w:t>
            </w:r>
          </w:p>
        </w:tc>
        <w:tc>
          <w:tcPr>
            <w:tcW w:w="1135" w:type="dxa"/>
          </w:tcPr>
          <w:p>
            <w:pPr>
              <w:pStyle w:val="nTable"/>
              <w:spacing w:after="40"/>
            </w:pPr>
            <w: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right="113"/>
              <w:rPr>
                <w:i/>
              </w:rPr>
            </w:pPr>
            <w:r>
              <w:rPr>
                <w:i/>
                <w:snapToGrid w:val="0"/>
              </w:rPr>
              <w:t xml:space="preserve">Consumer Protection Legislation Amendment and Repeal Act 2006 </w:t>
            </w:r>
            <w:r>
              <w:rPr>
                <w:snapToGrid w:val="0"/>
              </w:rPr>
              <w:t>Pt. 8</w:t>
            </w:r>
          </w:p>
        </w:tc>
        <w:tc>
          <w:tcPr>
            <w:tcW w:w="1135" w:type="dxa"/>
          </w:tcPr>
          <w:p>
            <w:pPr>
              <w:pStyle w:val="nTable"/>
              <w:spacing w:after="40"/>
            </w:pPr>
            <w:r>
              <w:t>69 of 2006</w:t>
            </w:r>
          </w:p>
        </w:tc>
        <w:tc>
          <w:tcPr>
            <w:tcW w:w="1135" w:type="dxa"/>
          </w:tcPr>
          <w:p>
            <w:pPr>
              <w:pStyle w:val="nTable"/>
              <w:spacing w:after="40"/>
            </w:pPr>
            <w:r>
              <w:rPr>
                <w:snapToGrid w:val="0"/>
              </w:rPr>
              <w:t>13 Dec 2006</w:t>
            </w:r>
          </w:p>
        </w:tc>
        <w:tc>
          <w:tcPr>
            <w:tcW w:w="2551" w:type="dxa"/>
          </w:tcPr>
          <w:p>
            <w:pPr>
              <w:pStyle w:val="nTable"/>
              <w:spacing w:after="40"/>
            </w:pPr>
            <w:r>
              <w:rPr>
                <w:snapToGrid w:val="0"/>
              </w:rPr>
              <w:t xml:space="preserve">25 Jul 2007 (see s. 2 and </w:t>
            </w:r>
            <w:r>
              <w:rPr>
                <w:i/>
                <w:iCs/>
                <w:snapToGrid w:val="0"/>
              </w:rPr>
              <w:t>Gazette</w:t>
            </w:r>
            <w:r>
              <w:rPr>
                <w:snapToGrid w:val="0"/>
              </w:rPr>
              <w:t xml:space="preserve"> 24 Jul 2007 p. 3657)</w:t>
            </w:r>
          </w:p>
        </w:tc>
      </w:tr>
      <w:tr>
        <w:trPr>
          <w:cantSplit/>
        </w:trPr>
        <w:tc>
          <w:tcPr>
            <w:tcW w:w="2268" w:type="dxa"/>
          </w:tcPr>
          <w:p>
            <w:pPr>
              <w:pStyle w:val="nTable"/>
              <w:spacing w:after="40"/>
              <w:ind w:right="113"/>
              <w:rPr>
                <w:i/>
              </w:rPr>
            </w:pPr>
            <w:r>
              <w:rPr>
                <w:i/>
                <w:snapToGrid w:val="0"/>
              </w:rPr>
              <w:t>Financial Legislation Amendment and Repeal Act 2006</w:t>
            </w:r>
            <w:r>
              <w:rPr>
                <w:snapToGrid w:val="0"/>
              </w:rPr>
              <w:t xml:space="preserve"> Sch. 1 cl. 147</w:t>
            </w:r>
          </w:p>
        </w:tc>
        <w:tc>
          <w:tcPr>
            <w:tcW w:w="1135" w:type="dxa"/>
          </w:tcPr>
          <w:p>
            <w:pPr>
              <w:pStyle w:val="nTable"/>
              <w:spacing w:after="40"/>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6: The </w:t>
            </w:r>
            <w:r>
              <w:rPr>
                <w:b/>
                <w:i/>
              </w:rPr>
              <w:t>Real Estate and Business Agents Act 1978</w:t>
            </w:r>
            <w:r>
              <w:rPr>
                <w:b/>
              </w:rPr>
              <w:t xml:space="preserve"> as at 24 Aug 2007</w:t>
            </w:r>
            <w:r>
              <w:t xml:space="preserve"> (includes amendments listed above </w:t>
            </w:r>
            <w:r>
              <w:rPr>
                <w:snapToGrid w:val="0"/>
              </w:rPr>
              <w:t xml:space="preserve">except those in the </w:t>
            </w:r>
            <w:r>
              <w:rPr>
                <w:i/>
                <w:iCs/>
              </w:rPr>
              <w:t>Housing Societies Repeal Act 2005</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32</w:t>
            </w:r>
          </w:p>
        </w:tc>
        <w:tc>
          <w:tcPr>
            <w:tcW w:w="1135" w:type="dxa"/>
          </w:tcPr>
          <w:p>
            <w:pPr>
              <w:pStyle w:val="nTable"/>
              <w:spacing w:after="40"/>
            </w:pPr>
            <w:r>
              <w:t>12 of 2008</w:t>
            </w:r>
          </w:p>
        </w:tc>
        <w:tc>
          <w:tcPr>
            <w:tcW w:w="1135"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snapToGrid w:val="0"/>
              </w:rPr>
              <w:t xml:space="preserve"> s. 696</w:t>
            </w:r>
          </w:p>
        </w:tc>
        <w:tc>
          <w:tcPr>
            <w:tcW w:w="1135"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74</w:t>
            </w:r>
          </w:p>
        </w:tc>
        <w:tc>
          <w:tcPr>
            <w:tcW w:w="1135" w:type="dxa"/>
          </w:tcPr>
          <w:p>
            <w:pPr>
              <w:pStyle w:val="nTable"/>
              <w:spacing w:after="40"/>
            </w:pPr>
            <w:r>
              <w:t>18 of 2009</w:t>
            </w:r>
          </w:p>
        </w:tc>
        <w:tc>
          <w:tcPr>
            <w:tcW w:w="1135"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28 and 51</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iCs/>
                <w:snapToGrid w:val="0"/>
              </w:rPr>
              <w:t>Acts Amendment (Fair Trading) Act 2010</w:t>
            </w:r>
            <w:r>
              <w:rPr>
                <w:iCs/>
                <w:snapToGrid w:val="0"/>
              </w:rPr>
              <w:t xml:space="preserve"> Pt. 6</w:t>
            </w:r>
          </w:p>
        </w:tc>
        <w:tc>
          <w:tcPr>
            <w:tcW w:w="1135" w:type="dxa"/>
            <w:shd w:val="clear" w:color="auto" w:fill="auto"/>
          </w:tcPr>
          <w:p>
            <w:pPr>
              <w:pStyle w:val="nTable"/>
              <w:spacing w:after="40"/>
              <w:rPr>
                <w:snapToGrid w:val="0"/>
              </w:rPr>
            </w:pPr>
            <w:r>
              <w:rPr>
                <w:snapToGrid w:val="0"/>
              </w:rPr>
              <w:t>58 of 2010</w:t>
            </w:r>
          </w:p>
        </w:tc>
        <w:tc>
          <w:tcPr>
            <w:tcW w:w="1135" w:type="dxa"/>
            <w:shd w:val="clear" w:color="auto" w:fill="auto"/>
          </w:tcPr>
          <w:p>
            <w:pPr>
              <w:pStyle w:val="nTable"/>
              <w:spacing w:after="40"/>
              <w:rPr>
                <w:snapToGrid w:val="0"/>
              </w:rPr>
            </w:pPr>
            <w:r>
              <w:rPr>
                <w:snapToGrid w:val="0"/>
              </w:rPr>
              <w:t>8 Dec 2010</w:t>
            </w:r>
          </w:p>
        </w:tc>
        <w:tc>
          <w:tcPr>
            <w:tcW w:w="2551" w:type="dxa"/>
            <w:shd w:val="clear" w:color="auto" w:fill="auto"/>
          </w:tcPr>
          <w:p>
            <w:pPr>
              <w:pStyle w:val="nTable"/>
              <w:spacing w:after="40"/>
              <w:rPr>
                <w:snapToGrid w:val="0"/>
              </w:rPr>
            </w:pPr>
            <w:r>
              <w:rPr>
                <w:snapToGrid w:val="0"/>
              </w:rPr>
              <w:t xml:space="preserve">1 Jul 2011 (see s. 2(c) and </w:t>
            </w:r>
            <w:r>
              <w:rPr>
                <w:i/>
                <w:snapToGrid w:val="0"/>
              </w:rPr>
              <w:t xml:space="preserve">Gazette </w:t>
            </w:r>
            <w:r>
              <w:rPr>
                <w:snapToGrid w:val="0"/>
              </w:rPr>
              <w:t>7 Jun 2011 p. 2057)</w:t>
            </w:r>
          </w:p>
        </w:tc>
      </w:tr>
      <w:tr>
        <w:trPr>
          <w:cantSplit/>
        </w:trPr>
        <w:tc>
          <w:tcPr>
            <w:tcW w:w="2268" w:type="dxa"/>
            <w:shd w:val="clear" w:color="auto" w:fill="auto"/>
          </w:tcPr>
          <w:p>
            <w:pPr>
              <w:pStyle w:val="nTable"/>
              <w:spacing w:after="40"/>
              <w:ind w:right="113"/>
              <w:rPr>
                <w:i/>
                <w:iCs/>
                <w:snapToGrid w:val="0"/>
              </w:rPr>
            </w:pPr>
            <w:r>
              <w:rPr>
                <w:i/>
                <w:iCs/>
                <w:snapToGrid w:val="0"/>
              </w:rPr>
              <w:t>Statutes (Repeals and Minor Amendments) Act 2011</w:t>
            </w:r>
            <w:r>
              <w:t xml:space="preserve"> s. 25</w:t>
            </w:r>
          </w:p>
        </w:tc>
        <w:tc>
          <w:tcPr>
            <w:tcW w:w="1135" w:type="dxa"/>
            <w:shd w:val="clear" w:color="auto" w:fill="auto"/>
          </w:tcPr>
          <w:p>
            <w:pPr>
              <w:pStyle w:val="nTable"/>
              <w:spacing w:after="40"/>
              <w:rPr>
                <w:snapToGrid w:val="0"/>
              </w:rPr>
            </w:pPr>
            <w:r>
              <w:rPr>
                <w:snapToGrid w:val="0"/>
              </w:rPr>
              <w:t>47 of 2011</w:t>
            </w:r>
          </w:p>
        </w:tc>
        <w:tc>
          <w:tcPr>
            <w:tcW w:w="1135" w:type="dxa"/>
            <w:shd w:val="clear" w:color="auto" w:fill="auto"/>
          </w:tcPr>
          <w:p>
            <w:pPr>
              <w:pStyle w:val="nTable"/>
              <w:spacing w:after="40"/>
              <w:rPr>
                <w:snapToGrid w:val="0"/>
              </w:rPr>
            </w:pPr>
            <w:r>
              <w:rPr>
                <w:snapToGrid w:val="0"/>
              </w:rPr>
              <w:t>25 Oct 2011</w:t>
            </w:r>
          </w:p>
        </w:tc>
        <w:tc>
          <w:tcPr>
            <w:tcW w:w="2551" w:type="dxa"/>
            <w:shd w:val="clear" w:color="auto" w:fill="auto"/>
          </w:tcPr>
          <w:p>
            <w:pPr>
              <w:pStyle w:val="nTable"/>
              <w:spacing w:after="40"/>
              <w:rPr>
                <w:snapToGrid w:val="0"/>
              </w:rPr>
            </w:pPr>
            <w:r>
              <w:rPr>
                <w:snapToGrid w:val="0"/>
              </w:rPr>
              <w:t>26 Oct 2011 (see s. 2(b))</w:t>
            </w:r>
          </w:p>
        </w:tc>
      </w:tr>
      <w:tr>
        <w:trPr>
          <w:cantSplit/>
        </w:trPr>
        <w:tc>
          <w:tcPr>
            <w:tcW w:w="7089" w:type="dxa"/>
            <w:gridSpan w:val="4"/>
            <w:shd w:val="clear" w:color="auto" w:fill="auto"/>
          </w:tcPr>
          <w:p>
            <w:pPr>
              <w:pStyle w:val="nTable"/>
              <w:spacing w:after="40"/>
              <w:rPr>
                <w:snapToGrid w:val="0"/>
              </w:rPr>
            </w:pPr>
            <w:r>
              <w:rPr>
                <w:b/>
              </w:rPr>
              <w:t xml:space="preserve">Reprint 7: The </w:t>
            </w:r>
            <w:r>
              <w:rPr>
                <w:b/>
                <w:i/>
              </w:rPr>
              <w:t>Real Estate and Business Agents Act 1978</w:t>
            </w:r>
            <w:r>
              <w:rPr>
                <w:b/>
              </w:rPr>
              <w:t xml:space="preserve"> as at 18 Nov 2011</w:t>
            </w:r>
            <w:r>
              <w:t xml:space="preserve"> (includes amendments listed above)</w:t>
            </w:r>
          </w:p>
        </w:tc>
      </w:tr>
      <w:tr>
        <w:trPr>
          <w:cantSplit/>
        </w:trPr>
        <w:tc>
          <w:tcPr>
            <w:tcW w:w="2268" w:type="dxa"/>
            <w:shd w:val="clear" w:color="auto" w:fill="auto"/>
          </w:tcPr>
          <w:p>
            <w:pPr>
              <w:pStyle w:val="nTable"/>
              <w:spacing w:after="40"/>
              <w:ind w:right="113"/>
              <w:rPr>
                <w:i/>
                <w:iCs/>
                <w:snapToGrid w:val="0"/>
              </w:rPr>
            </w:pPr>
            <w:r>
              <w:rPr>
                <w:i/>
                <w:iCs/>
                <w:snapToGrid w:val="0"/>
              </w:rPr>
              <w:t>Consumer Protection Legislation Amendment Act 2014</w:t>
            </w:r>
            <w:r>
              <w:rPr>
                <w:iCs/>
                <w:snapToGrid w:val="0"/>
              </w:rPr>
              <w:t xml:space="preserve"> Pt. 10</w:t>
            </w:r>
          </w:p>
        </w:tc>
        <w:tc>
          <w:tcPr>
            <w:tcW w:w="1135" w:type="dxa"/>
            <w:shd w:val="clear" w:color="auto" w:fill="auto"/>
          </w:tcPr>
          <w:p>
            <w:pPr>
              <w:pStyle w:val="nTable"/>
              <w:spacing w:after="40"/>
              <w:rPr>
                <w:snapToGrid w:val="0"/>
              </w:rPr>
            </w:pPr>
            <w:r>
              <w:rPr>
                <w:snapToGrid w:val="0"/>
              </w:rPr>
              <w:t>23 of 2014</w:t>
            </w:r>
          </w:p>
        </w:tc>
        <w:tc>
          <w:tcPr>
            <w:tcW w:w="1135" w:type="dxa"/>
            <w:shd w:val="clear" w:color="auto" w:fill="auto"/>
          </w:tcPr>
          <w:p>
            <w:pPr>
              <w:pStyle w:val="nTable"/>
              <w:spacing w:after="40"/>
              <w:rPr>
                <w:snapToGrid w:val="0"/>
              </w:rPr>
            </w:pPr>
            <w:r>
              <w:rPr>
                <w:snapToGrid w:val="0"/>
              </w:rPr>
              <w:t>9 Oct 2014</w:t>
            </w:r>
          </w:p>
        </w:tc>
        <w:tc>
          <w:tcPr>
            <w:tcW w:w="2551"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2268" w:type="dxa"/>
            <w:tcBorders>
              <w:bottom w:val="single" w:sz="4" w:space="0" w:color="auto"/>
            </w:tcBorders>
            <w:shd w:val="clear" w:color="auto" w:fill="auto"/>
          </w:tcPr>
          <w:p>
            <w:pPr>
              <w:pStyle w:val="nTable"/>
              <w:spacing w:after="40"/>
              <w:ind w:right="113"/>
              <w:rPr>
                <w:i/>
                <w:iCs/>
                <w:snapToGrid w:val="0"/>
              </w:rPr>
            </w:pPr>
            <w:r>
              <w:rPr>
                <w:i/>
              </w:rPr>
              <w:t>Licensing Provisions Amendment Act 2016</w:t>
            </w:r>
            <w:r>
              <w:t xml:space="preserve"> Pt. 7</w:t>
            </w:r>
            <w:r>
              <w:rPr>
                <w:vertAlign w:val="superscript"/>
              </w:rPr>
              <w:t> </w:t>
            </w:r>
          </w:p>
        </w:tc>
        <w:tc>
          <w:tcPr>
            <w:tcW w:w="1135" w:type="dxa"/>
            <w:tcBorders>
              <w:bottom w:val="single" w:sz="4" w:space="0" w:color="auto"/>
            </w:tcBorders>
            <w:shd w:val="clear" w:color="auto" w:fill="auto"/>
          </w:tcPr>
          <w:p>
            <w:pPr>
              <w:pStyle w:val="nTable"/>
              <w:spacing w:after="40"/>
              <w:rPr>
                <w:snapToGrid w:val="0"/>
              </w:rPr>
            </w:pPr>
            <w:r>
              <w:t>44 of 2016</w:t>
            </w:r>
          </w:p>
        </w:tc>
        <w:tc>
          <w:tcPr>
            <w:tcW w:w="1135" w:type="dxa"/>
            <w:tcBorders>
              <w:bottom w:val="single" w:sz="4" w:space="0" w:color="auto"/>
            </w:tcBorders>
            <w:shd w:val="clear" w:color="auto" w:fill="auto"/>
          </w:tcPr>
          <w:p>
            <w:pPr>
              <w:pStyle w:val="nTable"/>
              <w:spacing w:after="40"/>
              <w:rPr>
                <w:snapToGrid w:val="0"/>
              </w:rPr>
            </w:pPr>
            <w:r>
              <w:t>1 Dec 2016</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30 Jun 2017 p. 3551)</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BlankOpen"/>
        <w:rPr>
          <w:snapToGrid w:val="0"/>
        </w:rPr>
      </w:pP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BlankOpen"/>
        <w:rPr>
          <w:snapToGrid w:val="0"/>
        </w:rPr>
      </w:pP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BlankClose"/>
        <w:rPr>
          <w:snapToGrid w:val="0"/>
        </w:rPr>
      </w:pPr>
    </w:p>
    <w:p>
      <w:pPr>
        <w:pStyle w:val="nSubsection"/>
      </w:pPr>
      <w:r>
        <w:rPr>
          <w:vertAlign w:val="superscript"/>
        </w:rPr>
        <w:t>10</w:t>
      </w:r>
      <w:r>
        <w:tab/>
        <w:t xml:space="preserve">The </w:t>
      </w:r>
      <w:r>
        <w:rPr>
          <w:i/>
        </w:rPr>
        <w:t>Corporations (Consequential Amendments) Act (No. 3) 2003</w:t>
      </w:r>
      <w:r>
        <w:t xml:space="preserve"> s. 2</w:t>
      </w:r>
      <w:r>
        <w:noBreakHyphen/>
        <w:t>4 contain validation provisions which may be relevant to this Act.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4(1), 92(5)</w:t>
      </w:r>
    </w:p>
    <w:p>
      <w:pPr>
        <w:pStyle w:val="DefinedTerms"/>
      </w:pPr>
      <w:r>
        <w:t>agents code of conduct</w:t>
      </w:r>
      <w:r>
        <w:tab/>
        <w:t>4(1)</w:t>
      </w:r>
    </w:p>
    <w:p>
      <w:pPr>
        <w:pStyle w:val="DefinedTerms"/>
      </w:pPr>
      <w:r>
        <w:t>applicant</w:t>
      </w:r>
      <w:r>
        <w:tab/>
        <w:t>131A</w:t>
      </w:r>
    </w:p>
    <w:p>
      <w:pPr>
        <w:pStyle w:val="DefinedTerms"/>
      </w:pPr>
      <w:r>
        <w:t>appointed day</w:t>
      </w:r>
      <w:r>
        <w:tab/>
        <w:t>4(1)</w:t>
      </w:r>
    </w:p>
    <w:p>
      <w:pPr>
        <w:pStyle w:val="DefinedTerms"/>
      </w:pPr>
      <w:r>
        <w:t>approved</w:t>
      </w:r>
      <w:r>
        <w:tab/>
        <w:t>4(1)</w:t>
      </w:r>
    </w:p>
    <w:p>
      <w:pPr>
        <w:pStyle w:val="DefinedTerms"/>
      </w:pPr>
      <w:r>
        <w:t>Assistance Account</w:t>
      </w:r>
      <w:r>
        <w:tab/>
        <w:t>4(1)</w:t>
      </w:r>
    </w:p>
    <w:p>
      <w:pPr>
        <w:pStyle w:val="DefinedTerms"/>
      </w:pPr>
      <w:r>
        <w:t>assisted person</w:t>
      </w:r>
      <w:r>
        <w:tab/>
        <w:t>131A</w:t>
      </w:r>
    </w:p>
    <w:p>
      <w:pPr>
        <w:pStyle w:val="DefinedTerms"/>
      </w:pPr>
      <w:r>
        <w:t>auditor</w:t>
      </w:r>
      <w:r>
        <w:tab/>
        <w:t>4(1)</w:t>
      </w:r>
    </w:p>
    <w:p>
      <w:pPr>
        <w:pStyle w:val="DefinedTerms"/>
      </w:pPr>
      <w:r>
        <w:t>authorised financial institution</w:t>
      </w:r>
      <w:r>
        <w:tab/>
        <w:t>67</w:t>
      </w:r>
    </w:p>
    <w:p>
      <w:pPr>
        <w:pStyle w:val="DefinedTerms"/>
      </w:pPr>
      <w:r>
        <w:t>bank</w:t>
      </w:r>
      <w:r>
        <w:tab/>
        <w:t>4(1)</w:t>
      </w:r>
    </w:p>
    <w:p>
      <w:pPr>
        <w:pStyle w:val="DefinedTerms"/>
      </w:pPr>
      <w:r>
        <w:t>bank account</w:t>
      </w:r>
      <w:r>
        <w:tab/>
        <w:t>67</w:t>
      </w:r>
    </w:p>
    <w:p>
      <w:pPr>
        <w:pStyle w:val="DefinedTerms"/>
      </w:pPr>
      <w:r>
        <w:t>banker</w:t>
      </w:r>
      <w:r>
        <w:tab/>
        <w:t>67</w:t>
      </w:r>
    </w:p>
    <w:p>
      <w:pPr>
        <w:pStyle w:val="DefinedTerms"/>
      </w:pPr>
      <w:r>
        <w:t>business</w:t>
      </w:r>
      <w:r>
        <w:tab/>
        <w:t>4(1), 4(1)</w:t>
      </w:r>
    </w:p>
    <w:p>
      <w:pPr>
        <w:pStyle w:val="DefinedTerms"/>
      </w:pPr>
      <w:r>
        <w:t>business agent</w:t>
      </w:r>
      <w:r>
        <w:tab/>
        <w:t>4(1)</w:t>
      </w:r>
    </w:p>
    <w:p>
      <w:pPr>
        <w:pStyle w:val="DefinedTerms"/>
      </w:pPr>
      <w:r>
        <w:t>business day</w:t>
      </w:r>
      <w:r>
        <w:tab/>
        <w:t>67</w:t>
      </w:r>
    </w:p>
    <w:p>
      <w:pPr>
        <w:pStyle w:val="DefinedTerms"/>
      </w:pPr>
      <w:r>
        <w:t>business sales representative</w:t>
      </w:r>
      <w:r>
        <w:tab/>
        <w:t>4(1)</w:t>
      </w:r>
    </w:p>
    <w:p>
      <w:pPr>
        <w:pStyle w:val="DefinedTerms"/>
      </w:pPr>
      <w:r>
        <w:t>business transaction</w:t>
      </w:r>
      <w:r>
        <w:tab/>
        <w:t>4(1)</w:t>
      </w:r>
    </w:p>
    <w:p>
      <w:pPr>
        <w:pStyle w:val="DefinedTerms"/>
      </w:pPr>
      <w:r>
        <w:t>certificate of registration</w:t>
      </w:r>
      <w:r>
        <w:tab/>
        <w:t>4(1)</w:t>
      </w:r>
    </w:p>
    <w:p>
      <w:pPr>
        <w:pStyle w:val="DefinedTerms"/>
      </w:pPr>
      <w:r>
        <w:t>code of conduct for sales representatives</w:t>
      </w:r>
      <w:r>
        <w:tab/>
        <w:t>4(1)</w:t>
      </w:r>
    </w:p>
    <w:p>
      <w:pPr>
        <w:pStyle w:val="DefinedTerms"/>
      </w:pPr>
      <w:r>
        <w:t>commencement day</w:t>
      </w:r>
      <w:r>
        <w:tab/>
        <w:t>148</w:t>
      </w:r>
    </w:p>
    <w:p>
      <w:pPr>
        <w:pStyle w:val="DefinedTerms"/>
      </w:pPr>
      <w:r>
        <w:t>Commissioner</w:t>
      </w:r>
      <w:r>
        <w:tab/>
        <w:t>4(1)</w:t>
      </w:r>
    </w:p>
    <w:p>
      <w:pPr>
        <w:pStyle w:val="DefinedTerms"/>
      </w:pPr>
      <w:r>
        <w:t>committee</w:t>
      </w:r>
      <w:r>
        <w:tab/>
        <w:t>23A(1)</w:t>
      </w:r>
    </w:p>
    <w:p>
      <w:pPr>
        <w:pStyle w:val="DefinedTerms"/>
      </w:pPr>
      <w:r>
        <w:t>defalcation by a licensee</w:t>
      </w:r>
      <w:r>
        <w:tab/>
        <w:t>4(1)</w:t>
      </w:r>
    </w:p>
    <w:p>
      <w:pPr>
        <w:pStyle w:val="DefinedTerms"/>
      </w:pPr>
      <w:r>
        <w:t>department</w:t>
      </w:r>
      <w:r>
        <w:tab/>
        <w:t>4(1)</w:t>
      </w:r>
    </w:p>
    <w:p>
      <w:pPr>
        <w:pStyle w:val="DefinedTerms"/>
      </w:pPr>
      <w:r>
        <w:t>developer</w:t>
      </w:r>
      <w:r>
        <w:tab/>
        <w:t>4(1)</w:t>
      </w:r>
    </w:p>
    <w:p>
      <w:pPr>
        <w:pStyle w:val="DefinedTerms"/>
      </w:pPr>
      <w:r>
        <w:t>dwelling</w:t>
      </w:r>
      <w:r>
        <w:tab/>
        <w:t>131A</w:t>
      </w:r>
    </w:p>
    <w:p>
      <w:pPr>
        <w:pStyle w:val="DefinedTerms"/>
      </w:pPr>
      <w:r>
        <w:t>Fidelity Account</w:t>
      </w:r>
      <w:r>
        <w:tab/>
        <w:t>4(1)</w:t>
      </w:r>
    </w:p>
    <w:p>
      <w:pPr>
        <w:pStyle w:val="DefinedTerms"/>
      </w:pPr>
      <w:r>
        <w:t>fit and proper</w:t>
      </w:r>
      <w:r>
        <w:tab/>
        <w:t>27(2), 47(2)</w:t>
      </w:r>
    </w:p>
    <w:p>
      <w:pPr>
        <w:pStyle w:val="DefinedTerms"/>
      </w:pPr>
      <w:r>
        <w:t>former Board</w:t>
      </w:r>
      <w:r>
        <w:tab/>
        <w:t>148</w:t>
      </w:r>
    </w:p>
    <w:p>
      <w:pPr>
        <w:pStyle w:val="DefinedTerms"/>
      </w:pPr>
      <w:r>
        <w:t>former Registrar</w:t>
      </w:r>
      <w:r>
        <w:tab/>
        <w:t>148</w:t>
      </w:r>
    </w:p>
    <w:p>
      <w:pPr>
        <w:pStyle w:val="DefinedTerms"/>
      </w:pPr>
      <w:r>
        <w:t>franchising agreement</w:t>
      </w:r>
      <w:r>
        <w:tab/>
        <w:t>4(1)</w:t>
      </w:r>
    </w:p>
    <w:p>
      <w:pPr>
        <w:pStyle w:val="DefinedTerms"/>
      </w:pPr>
      <w:r>
        <w:t>General Purpose Account</w:t>
      </w:r>
      <w:r>
        <w:tab/>
        <w:t>4(1)</w:t>
      </w:r>
    </w:p>
    <w:p>
      <w:pPr>
        <w:pStyle w:val="DefinedTerms"/>
      </w:pPr>
      <w:r>
        <w:t>incidental expenses</w:t>
      </w:r>
      <w:r>
        <w:tab/>
        <w:t>131A</w:t>
      </w:r>
    </w:p>
    <w:p>
      <w:pPr>
        <w:pStyle w:val="DefinedTerms"/>
      </w:pPr>
      <w:r>
        <w:t>Interest Account</w:t>
      </w:r>
      <w:r>
        <w:tab/>
        <w:t>4(1)</w:t>
      </w:r>
    </w:p>
    <w:p>
      <w:pPr>
        <w:pStyle w:val="DefinedTerms"/>
      </w:pPr>
      <w:r>
        <w:t>legal practitioner</w:t>
      </w:r>
      <w:r>
        <w:tab/>
        <w:t>4(1)</w:t>
      </w:r>
    </w:p>
    <w:p>
      <w:pPr>
        <w:pStyle w:val="DefinedTerms"/>
      </w:pPr>
      <w:r>
        <w:t>lending institution</w:t>
      </w:r>
      <w:r>
        <w:tab/>
        <w:t>131A</w:t>
      </w:r>
    </w:p>
    <w:p>
      <w:pPr>
        <w:pStyle w:val="DefinedTerms"/>
      </w:pPr>
      <w:r>
        <w:t>liability</w:t>
      </w:r>
      <w:r>
        <w:tab/>
        <w:t>148</w:t>
      </w:r>
    </w:p>
    <w:p>
      <w:pPr>
        <w:pStyle w:val="DefinedTerms"/>
      </w:pPr>
      <w:r>
        <w:t>licence</w:t>
      </w:r>
      <w:r>
        <w:tab/>
        <w:t>4(1)</w:t>
      </w:r>
    </w:p>
    <w:p>
      <w:pPr>
        <w:pStyle w:val="DefinedTerms"/>
      </w:pPr>
      <w:r>
        <w:t>licensed</w:t>
      </w:r>
      <w:r>
        <w:tab/>
        <w:t>4(1)</w:t>
      </w:r>
    </w:p>
    <w:p>
      <w:pPr>
        <w:pStyle w:val="DefinedTerms"/>
      </w:pPr>
      <w:r>
        <w:t>licensee</w:t>
      </w:r>
      <w:r>
        <w:tab/>
        <w:t>4(1)</w:t>
      </w:r>
    </w:p>
    <w:p>
      <w:pPr>
        <w:pStyle w:val="DefinedTerms"/>
      </w:pPr>
      <w:r>
        <w:t>member</w:t>
      </w:r>
      <w:r>
        <w:tab/>
        <w:t>4(1)</w:t>
      </w:r>
    </w:p>
    <w:p>
      <w:pPr>
        <w:pStyle w:val="DefinedTerms"/>
      </w:pPr>
      <w:r>
        <w:t>party</w:t>
      </w:r>
      <w:r>
        <w:tab/>
        <w:t>23C(7)</w:t>
      </w:r>
    </w:p>
    <w:p>
      <w:pPr>
        <w:pStyle w:val="DefinedTerms"/>
      </w:pPr>
      <w:r>
        <w:t>person aggrieved</w:t>
      </w:r>
      <w:r>
        <w:tab/>
        <w:t>23(2)</w:t>
      </w:r>
    </w:p>
    <w:p>
      <w:pPr>
        <w:pStyle w:val="DefinedTerms"/>
      </w:pPr>
      <w:r>
        <w:t>prescribed transaction</w:t>
      </w:r>
      <w:r>
        <w:tab/>
        <w:t>61(4a)</w:t>
      </w:r>
    </w:p>
    <w:p>
      <w:pPr>
        <w:pStyle w:val="DefinedTerms"/>
      </w:pPr>
      <w:r>
        <w:t>real estate</w:t>
      </w:r>
      <w:r>
        <w:tab/>
        <w:t>4(1)</w:t>
      </w:r>
    </w:p>
    <w:p>
      <w:pPr>
        <w:pStyle w:val="DefinedTerms"/>
      </w:pPr>
      <w:r>
        <w:t>real estate agent</w:t>
      </w:r>
      <w:r>
        <w:tab/>
        <w:t>4(1)</w:t>
      </w:r>
    </w:p>
    <w:p>
      <w:pPr>
        <w:pStyle w:val="DefinedTerms"/>
      </w:pPr>
      <w:r>
        <w:t>real estate sales representative</w:t>
      </w:r>
      <w:r>
        <w:tab/>
        <w:t>4(1)</w:t>
      </w:r>
    </w:p>
    <w:p>
      <w:pPr>
        <w:pStyle w:val="DefinedTerms"/>
      </w:pPr>
      <w:r>
        <w:t>real estate transaction</w:t>
      </w:r>
      <w:r>
        <w:tab/>
        <w:t>4(1)</w:t>
      </w:r>
    </w:p>
    <w:p>
      <w:pPr>
        <w:pStyle w:val="DefinedTerms"/>
      </w:pPr>
      <w:r>
        <w:t>registered</w:t>
      </w:r>
      <w:r>
        <w:tab/>
        <w:t>4(1)</w:t>
      </w:r>
    </w:p>
    <w:p>
      <w:pPr>
        <w:pStyle w:val="DefinedTerms"/>
      </w:pPr>
      <w:r>
        <w:t>registered sales representative</w:t>
      </w:r>
      <w:r>
        <w:tab/>
        <w:t>4(1)</w:t>
      </w:r>
    </w:p>
    <w:p>
      <w:pPr>
        <w:pStyle w:val="DefinedTerms"/>
      </w:pPr>
      <w:r>
        <w:t>registration</w:t>
      </w:r>
      <w:r>
        <w:tab/>
        <w:t>4(1)</w:t>
      </w:r>
    </w:p>
    <w:p>
      <w:pPr>
        <w:pStyle w:val="DefinedTerms"/>
      </w:pPr>
      <w:r>
        <w:t>renewal</w:t>
      </w:r>
      <w:r>
        <w:tab/>
        <w:t>4(1)</w:t>
      </w:r>
    </w:p>
    <w:p>
      <w:pPr>
        <w:pStyle w:val="DefinedTerms"/>
      </w:pPr>
      <w:r>
        <w:t>repealed Act</w:t>
      </w:r>
      <w:r>
        <w:tab/>
        <w:t>4(1)</w:t>
      </w:r>
    </w:p>
    <w:p>
      <w:pPr>
        <w:pStyle w:val="DefinedTerms"/>
      </w:pPr>
      <w:r>
        <w:t>request</w:t>
      </w:r>
      <w:r>
        <w:tab/>
        <w:t>68A(7)</w:t>
      </w:r>
    </w:p>
    <w:p>
      <w:pPr>
        <w:pStyle w:val="DefinedTerms"/>
      </w:pPr>
      <w:r>
        <w:t>residential premises</w:t>
      </w:r>
      <w:r>
        <w:tab/>
        <w:t>61A(3)</w:t>
      </w:r>
    </w:p>
    <w:p>
      <w:pPr>
        <w:pStyle w:val="DefinedTerms"/>
      </w:pPr>
      <w:r>
        <w:t>reviewable decision</w:t>
      </w:r>
      <w:r>
        <w:tab/>
        <w:t>23(2)</w:t>
      </w:r>
    </w:p>
    <w:p>
      <w:pPr>
        <w:pStyle w:val="DefinedTerms"/>
      </w:pPr>
      <w:r>
        <w:t>right</w:t>
      </w:r>
      <w:r>
        <w:tab/>
        <w:t>148</w:t>
      </w:r>
    </w:p>
    <w:p>
      <w:pPr>
        <w:pStyle w:val="DefinedTerms"/>
      </w:pPr>
      <w:r>
        <w:t>sales representative</w:t>
      </w:r>
      <w:r>
        <w:tab/>
        <w:t>4(1)</w:t>
      </w:r>
    </w:p>
    <w:p>
      <w:pPr>
        <w:pStyle w:val="DefinedTerms"/>
      </w:pPr>
      <w:r>
        <w:t>separate account</w:t>
      </w:r>
      <w:r>
        <w:tab/>
        <w:t>67</w:t>
      </w:r>
    </w:p>
    <w:p>
      <w:pPr>
        <w:pStyle w:val="DefinedTerms"/>
      </w:pPr>
      <w:r>
        <w:t>settlement</w:t>
      </w:r>
      <w:r>
        <w:tab/>
        <w:t>61(4a)</w:t>
      </w:r>
    </w:p>
    <w:p>
      <w:pPr>
        <w:pStyle w:val="DefinedTerms"/>
      </w:pPr>
      <w:r>
        <w:t>specified</w:t>
      </w:r>
      <w:r>
        <w:tab/>
        <w:t>159(6)</w:t>
      </w:r>
    </w:p>
    <w:p>
      <w:pPr>
        <w:pStyle w:val="DefinedTerms"/>
      </w:pPr>
      <w:r>
        <w:t>strata company</w:t>
      </w:r>
      <w:r>
        <w:tab/>
        <w:t>4(1)</w:t>
      </w:r>
    </w:p>
    <w:p>
      <w:pPr>
        <w:pStyle w:val="DefinedTerms"/>
      </w:pPr>
      <w:r>
        <w:t>subsection</w:t>
      </w:r>
      <w:r>
        <w:tab/>
        <w:t>103(1)</w:t>
      </w:r>
    </w:p>
    <w:p>
      <w:pPr>
        <w:pStyle w:val="DefinedTerms"/>
      </w:pPr>
      <w:r>
        <w:t>supervisor</w:t>
      </w:r>
      <w:r>
        <w:tab/>
        <w:t>4(1)</w:t>
      </w:r>
    </w:p>
    <w:p>
      <w:pPr>
        <w:pStyle w:val="DefinedTerms"/>
      </w:pPr>
      <w:r>
        <w:t>tenancy</w:t>
      </w:r>
      <w:r>
        <w:tab/>
        <w:t>61A(3)</w:t>
      </w:r>
    </w:p>
    <w:p>
      <w:pPr>
        <w:pStyle w:val="DefinedTerms"/>
      </w:pPr>
      <w:r>
        <w:t>tenant</w:t>
      </w:r>
      <w:r>
        <w:tab/>
        <w:t>61A(3)</w:t>
      </w:r>
    </w:p>
    <w:p>
      <w:pPr>
        <w:pStyle w:val="DefinedTerms"/>
      </w:pPr>
      <w:r>
        <w:t>transaction</w:t>
      </w:r>
      <w:r>
        <w:tab/>
        <w:t>4(1), 61(4a)</w:t>
      </w:r>
    </w:p>
    <w:p>
      <w:pPr>
        <w:pStyle w:val="DefinedTerms"/>
      </w:pPr>
      <w:r>
        <w:t>transitional matter</w:t>
      </w:r>
      <w:r>
        <w:tab/>
        <w:t>159(2)</w:t>
      </w:r>
    </w:p>
    <w:p>
      <w:pPr>
        <w:pStyle w:val="DefinedTerms"/>
      </w:pPr>
      <w:r>
        <w:t>Treasurer</w:t>
      </w:r>
      <w:r>
        <w:tab/>
        <w:t>4(1)</w:t>
      </w:r>
    </w:p>
    <w:p>
      <w:pPr>
        <w:pStyle w:val="DefinedTerms"/>
      </w:pPr>
      <w:r>
        <w:t>Treasury</w:t>
      </w:r>
      <w:r>
        <w:tab/>
        <w:t>4(1)</w:t>
      </w:r>
    </w:p>
    <w:p>
      <w:pPr>
        <w:pStyle w:val="DefinedTerms"/>
      </w:pPr>
      <w:r>
        <w:t>triennial certificate</w:t>
      </w:r>
      <w:r>
        <w:tab/>
        <w:t>4(1)</w:t>
      </w:r>
    </w:p>
    <w:p>
      <w:pPr>
        <w:pStyle w:val="DefinedTerms"/>
      </w:pPr>
      <w:r>
        <w:t>trust account</w:t>
      </w:r>
      <w:r>
        <w:tab/>
        <w:t>92(5)</w:t>
      </w:r>
    </w:p>
    <w:p>
      <w:pPr>
        <w:pStyle w:val="DefinedTerms"/>
      </w:pPr>
      <w:r>
        <w:t>trust accounts</w:t>
      </w:r>
      <w:r>
        <w:tab/>
        <w:t>67</w:t>
      </w:r>
    </w:p>
    <w:p>
      <w:pPr>
        <w:pStyle w:val="DefinedTerms"/>
      </w:pPr>
      <w:r>
        <w:t>year</w:t>
      </w:r>
      <w:r>
        <w:tab/>
        <w:t>67</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07-e0-00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21" w:name="Schedule"/>
    <w:bookmarkEnd w:id="4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29" w:name="Compilation"/>
    <w:bookmarkEnd w:id="4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0" w:name="DefinedTerms"/>
    <w:bookmarkEnd w:id="43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1" w:name="Coversheet"/>
    <w:bookmarkEnd w:id="4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160B9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724"/>
    <w:docVar w:name="WAFER_20140128103514" w:val="RemoveTocBookmarks,RemoveUnusedBookmarks,RemoveLanguageTags,UsedStyles,ResetPageSize,UpdateArrangement"/>
    <w:docVar w:name="WAFER_20140128103514_GUID" w:val="82d23b57-9927-4e52-a435-f44f28bcf9d0"/>
    <w:docVar w:name="WAFER_20140128112227" w:val="RemoveTocBookmarks,RunningHeaders"/>
    <w:docVar w:name="WAFER_20140128112227_GUID" w:val="77b987c8-f2f4-4173-927f-93f5d60036e9"/>
    <w:docVar w:name="WAFER_20141015123210" w:val="RemoveTocBookmarks,RemoveUnusedBookmarks,RemoveLanguageTags,UsedStyles,ResetPageSize,UpdateArrangement"/>
    <w:docVar w:name="WAFER_20141015123210_GUID" w:val="64a3355d-7a26-45e2-bd22-de9f30038f17"/>
    <w:docVar w:name="WAFER_20141119103439" w:val="RemoveTocBookmarks,RunningHeaders"/>
    <w:docVar w:name="WAFER_20141119103439_GUID" w:val="238c4c98-8065-46db-ab23-ff5cff7f0da8"/>
    <w:docVar w:name="WAFER_20150710114227" w:val="ResetPageSize,UpdateArrangement,UpdateNTable"/>
    <w:docVar w:name="WAFER_20150710114227_GUID" w:val="ad99801e-4621-4a3b-873d-a113a8440bd8"/>
    <w:docVar w:name="WAFER_20151111162724" w:val="UpdateStyles,UsedStyles"/>
    <w:docVar w:name="WAFER_20151111162724_GUID" w:val="18489fbf-4911-4b9f-a5b9-fc67e4ffc4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138</Pages>
  <Words>36201</Words>
  <Characters>169784</Characters>
  <Application>Microsoft Office Word</Application>
  <DocSecurity>0</DocSecurity>
  <Lines>4468</Lines>
  <Paragraphs>2238</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203747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1978 - 07-e0-00</dc:title>
  <dc:subject/>
  <dc:creator/>
  <cp:keywords/>
  <dc:description/>
  <cp:lastModifiedBy>svcMRProcess</cp:lastModifiedBy>
  <cp:revision>4</cp:revision>
  <cp:lastPrinted>2017-06-30T03:32:00Z</cp:lastPrinted>
  <dcterms:created xsi:type="dcterms:W3CDTF">2018-09-07T23:42:00Z</dcterms:created>
  <dcterms:modified xsi:type="dcterms:W3CDTF">2018-09-07T23:43:00Z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DocumentType">
    <vt:lpwstr>Act</vt:lpwstr>
  </property>
  <property fmtid="{D5CDD505-2E9C-101B-9397-08002B2CF9AE}" pid="4" name="OwlsUID">
    <vt:i4>672</vt:i4>
  </property>
  <property fmtid="{D5CDD505-2E9C-101B-9397-08002B2CF9AE}" pid="5" name="ReprintNo">
    <vt:lpwstr>7</vt:lpwstr>
  </property>
  <property fmtid="{D5CDD505-2E9C-101B-9397-08002B2CF9AE}" pid="6" name="ReprintedAsAt">
    <vt:filetime>2011-11-17T16:00:00Z</vt:filetime>
  </property>
  <property fmtid="{D5CDD505-2E9C-101B-9397-08002B2CF9AE}" pid="7" name="AsAtDate">
    <vt:lpwstr>01 Jul 2017</vt:lpwstr>
  </property>
  <property fmtid="{D5CDD505-2E9C-101B-9397-08002B2CF9AE}" pid="8" name="Suffix">
    <vt:lpwstr>07-e0-00</vt:lpwstr>
  </property>
  <property fmtid="{D5CDD505-2E9C-101B-9397-08002B2CF9AE}" pid="9" name="CommencementDate">
    <vt:lpwstr>20170701</vt:lpwstr>
  </property>
</Properties>
</file>