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Tenancies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Tenancies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Residential Tenancies Regulations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_Toc486588645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_Toc486588646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_Toc486588647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Act, modification of application</w:t>
      </w:r>
    </w:p>
    <w:p>
      <w:pPr>
        <w:pStyle w:val="TOC8"/>
        <w:rPr>
          <w:rFonts w:asciiTheme="minorHAnsi" w:eastAsiaTheme="minorEastAsia" w:hAnsiTheme="minorHAnsi" w:cstheme="minorBidi"/>
          <w:szCs w:val="22"/>
        </w:rPr>
      </w:pPr>
      <w:r>
        <w:t>3</w:t>
      </w:r>
      <w:r>
        <w:rPr>
          <w:snapToGrid w:val="0"/>
        </w:rPr>
        <w:t>.</w:t>
      </w:r>
      <w:r>
        <w:rPr>
          <w:snapToGrid w:val="0"/>
        </w:rPr>
        <w:tab/>
        <w:t>Exemption for retirement villages</w:t>
      </w:r>
      <w:r>
        <w:tab/>
      </w:r>
      <w:r>
        <w:fldChar w:fldCharType="begin"/>
      </w:r>
      <w:r>
        <w:instrText xml:space="preserve"> PAGEREF _Toc486588649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Exemption for certain agreements with squatters</w:t>
      </w:r>
      <w:r>
        <w:tab/>
      </w:r>
      <w:r>
        <w:fldChar w:fldCharType="begin"/>
      </w:r>
      <w:r>
        <w:instrText xml:space="preserve"> PAGEREF _Toc486588650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Exemption for certain agreements under </w:t>
      </w:r>
      <w:r>
        <w:rPr>
          <w:i/>
          <w:snapToGrid w:val="0"/>
        </w:rPr>
        <w:t>Land Act 1933</w:t>
      </w:r>
      <w:r>
        <w:tab/>
      </w:r>
      <w:r>
        <w:fldChar w:fldCharType="begin"/>
      </w:r>
      <w:r>
        <w:instrText xml:space="preserve"> PAGEREF _Toc486588651 \h </w:instrText>
      </w:r>
      <w:r>
        <w:fldChar w:fldCharType="separate"/>
      </w:r>
      <w:r>
        <w:t>3</w:t>
      </w:r>
      <w:r>
        <w:fldChar w:fldCharType="end"/>
      </w:r>
    </w:p>
    <w:p>
      <w:pPr>
        <w:pStyle w:val="TOC8"/>
        <w:rPr>
          <w:rFonts w:asciiTheme="minorHAnsi" w:eastAsiaTheme="minorEastAsia" w:hAnsiTheme="minorHAnsi" w:cstheme="minorBidi"/>
          <w:szCs w:val="22"/>
        </w:rPr>
      </w:pPr>
      <w:r>
        <w:t>5AAA.</w:t>
      </w:r>
      <w:r>
        <w:tab/>
        <w:t>Application of Act to certain accommodation at St Thomas More College</w:t>
      </w:r>
      <w:r>
        <w:tab/>
      </w:r>
      <w:r>
        <w:fldChar w:fldCharType="begin"/>
      </w:r>
      <w:r>
        <w:instrText xml:space="preserve"> PAGEREF _Toc486588652 \h </w:instrText>
      </w:r>
      <w:r>
        <w:fldChar w:fldCharType="separate"/>
      </w:r>
      <w:r>
        <w:t>3</w:t>
      </w:r>
      <w:r>
        <w:fldChar w:fldCharType="end"/>
      </w:r>
    </w:p>
    <w:p>
      <w:pPr>
        <w:pStyle w:val="TOC8"/>
        <w:rPr>
          <w:rFonts w:asciiTheme="minorHAnsi" w:eastAsiaTheme="minorEastAsia" w:hAnsiTheme="minorHAnsi" w:cstheme="minorBidi"/>
          <w:szCs w:val="22"/>
        </w:rPr>
      </w:pPr>
      <w:r>
        <w:t>5AA.</w:t>
      </w:r>
      <w:r>
        <w:tab/>
        <w:t>Modified application of section 22(2) of Act</w:t>
      </w:r>
      <w:r>
        <w:tab/>
      </w:r>
      <w:r>
        <w:fldChar w:fldCharType="begin"/>
      </w:r>
      <w:r>
        <w:instrText xml:space="preserve"> PAGEREF _Toc486588653 \h </w:instrText>
      </w:r>
      <w:r>
        <w:fldChar w:fldCharType="separate"/>
      </w:r>
      <w:r>
        <w:t>3</w:t>
      </w:r>
      <w:r>
        <w:fldChar w:fldCharType="end"/>
      </w:r>
    </w:p>
    <w:p>
      <w:pPr>
        <w:pStyle w:val="TOC8"/>
        <w:rPr>
          <w:rFonts w:asciiTheme="minorHAnsi" w:eastAsiaTheme="minorEastAsia" w:hAnsiTheme="minorHAnsi" w:cstheme="minorBidi"/>
          <w:szCs w:val="22"/>
        </w:rPr>
      </w:pPr>
      <w:r>
        <w:t>5AB.</w:t>
      </w:r>
      <w:r>
        <w:tab/>
        <w:t>Exemptions from section 27A of Act — residential agreements not required to be in prescribed form</w:t>
      </w:r>
      <w:r>
        <w:tab/>
      </w:r>
      <w:r>
        <w:fldChar w:fldCharType="begin"/>
      </w:r>
      <w:r>
        <w:instrText xml:space="preserve"> PAGEREF _Toc486588654 \h </w:instrText>
      </w:r>
      <w:r>
        <w:fldChar w:fldCharType="separate"/>
      </w:r>
      <w:r>
        <w:t>4</w:t>
      </w:r>
      <w:r>
        <w:fldChar w:fldCharType="end"/>
      </w:r>
    </w:p>
    <w:p>
      <w:pPr>
        <w:pStyle w:val="TOC8"/>
        <w:rPr>
          <w:rFonts w:asciiTheme="minorHAnsi" w:eastAsiaTheme="minorEastAsia" w:hAnsiTheme="minorHAnsi" w:cstheme="minorBidi"/>
          <w:szCs w:val="22"/>
        </w:rPr>
      </w:pPr>
      <w:r>
        <w:t>5AC.</w:t>
      </w:r>
      <w:r>
        <w:tab/>
        <w:t>Exemption from section 27B of Act if residential tenancy agreement extended or renewed</w:t>
      </w:r>
      <w:r>
        <w:tab/>
      </w:r>
      <w:r>
        <w:fldChar w:fldCharType="begin"/>
      </w:r>
      <w:r>
        <w:instrText xml:space="preserve"> PAGEREF _Toc486588655 \h </w:instrText>
      </w:r>
      <w:r>
        <w:fldChar w:fldCharType="separate"/>
      </w:r>
      <w:r>
        <w:t>5</w:t>
      </w:r>
      <w:r>
        <w:fldChar w:fldCharType="end"/>
      </w:r>
    </w:p>
    <w:p>
      <w:pPr>
        <w:pStyle w:val="TOC8"/>
        <w:rPr>
          <w:rFonts w:asciiTheme="minorHAnsi" w:eastAsiaTheme="minorEastAsia" w:hAnsiTheme="minorHAnsi" w:cstheme="minorBidi"/>
          <w:szCs w:val="22"/>
        </w:rPr>
      </w:pPr>
      <w:r>
        <w:t>5AD.</w:t>
      </w:r>
      <w:r>
        <w:tab/>
        <w:t>Modified application of section 27C(4) of Act for Housing Authority</w:t>
      </w:r>
      <w:r>
        <w:tab/>
      </w:r>
      <w:r>
        <w:fldChar w:fldCharType="begin"/>
      </w:r>
      <w:r>
        <w:instrText xml:space="preserve"> PAGEREF _Toc486588656 \h </w:instrText>
      </w:r>
      <w:r>
        <w:fldChar w:fldCharType="separate"/>
      </w:r>
      <w:r>
        <w:t>5</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Exemption of Housing Authority from sections 29(4)(b) and 33 of Act</w:t>
      </w:r>
      <w:r>
        <w:tab/>
      </w:r>
      <w:r>
        <w:fldChar w:fldCharType="begin"/>
      </w:r>
      <w:r>
        <w:instrText xml:space="preserve"> PAGEREF _Toc486588657 \h </w:instrText>
      </w:r>
      <w:r>
        <w:fldChar w:fldCharType="separate"/>
      </w:r>
      <w:r>
        <w:t>6</w:t>
      </w:r>
      <w:r>
        <w:fldChar w:fldCharType="end"/>
      </w:r>
    </w:p>
    <w:p>
      <w:pPr>
        <w:pStyle w:val="TOC8"/>
        <w:rPr>
          <w:rFonts w:asciiTheme="minorHAnsi" w:eastAsiaTheme="minorEastAsia" w:hAnsiTheme="minorHAnsi" w:cstheme="minorBidi"/>
          <w:szCs w:val="22"/>
        </w:rPr>
      </w:pPr>
      <w:r>
        <w:t>5BA.</w:t>
      </w:r>
      <w:r>
        <w:tab/>
        <w:t>Exemptions from section 29(8) of Act</w:t>
      </w:r>
      <w:r>
        <w:tab/>
      </w:r>
      <w:r>
        <w:fldChar w:fldCharType="begin"/>
      </w:r>
      <w:r>
        <w:instrText xml:space="preserve"> PAGEREF _Toc486588658 \h </w:instrText>
      </w:r>
      <w:r>
        <w:fldChar w:fldCharType="separate"/>
      </w:r>
      <w:r>
        <w:t>7</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Exemptions from section 30(1) of Act</w:t>
      </w:r>
      <w:r>
        <w:tab/>
      </w:r>
      <w:r>
        <w:fldChar w:fldCharType="begin"/>
      </w:r>
      <w:r>
        <w:instrText xml:space="preserve"> PAGEREF _Toc486588659 \h </w:instrText>
      </w:r>
      <w:r>
        <w:fldChar w:fldCharType="separate"/>
      </w:r>
      <w:r>
        <w:t>7</w:t>
      </w:r>
      <w:r>
        <w:fldChar w:fldCharType="end"/>
      </w:r>
    </w:p>
    <w:p>
      <w:pPr>
        <w:pStyle w:val="TOC8"/>
        <w:rPr>
          <w:rFonts w:asciiTheme="minorHAnsi" w:eastAsiaTheme="minorEastAsia" w:hAnsiTheme="minorHAnsi" w:cstheme="minorBidi"/>
          <w:szCs w:val="22"/>
        </w:rPr>
      </w:pPr>
      <w:r>
        <w:t>5CA.</w:t>
      </w:r>
      <w:r>
        <w:tab/>
        <w:t>Modified application of section 30(2)(a) of Act</w:t>
      </w:r>
      <w:r>
        <w:tab/>
      </w:r>
      <w:r>
        <w:fldChar w:fldCharType="begin"/>
      </w:r>
      <w:r>
        <w:instrText xml:space="preserve"> PAGEREF _Toc486588660 \h </w:instrText>
      </w:r>
      <w:r>
        <w:fldChar w:fldCharType="separate"/>
      </w:r>
      <w:r>
        <w:t>10</w:t>
      </w:r>
      <w:r>
        <w:fldChar w:fldCharType="end"/>
      </w:r>
    </w:p>
    <w:p>
      <w:pPr>
        <w:pStyle w:val="TOC8"/>
        <w:rPr>
          <w:rFonts w:asciiTheme="minorHAnsi" w:eastAsiaTheme="minorEastAsia" w:hAnsiTheme="minorHAnsi" w:cstheme="minorBidi"/>
          <w:szCs w:val="22"/>
        </w:rPr>
      </w:pPr>
      <w:r>
        <w:t>5C.</w:t>
      </w:r>
      <w:r>
        <w:tab/>
        <w:t>Exemption from section 33 of Act for employment</w:t>
      </w:r>
      <w:r>
        <w:noBreakHyphen/>
        <w:t>linked residential tenancy agreements</w:t>
      </w:r>
      <w:r>
        <w:tab/>
      </w:r>
      <w:r>
        <w:fldChar w:fldCharType="begin"/>
      </w:r>
      <w:r>
        <w:instrText xml:space="preserve"> PAGEREF _Toc486588661 \h </w:instrText>
      </w:r>
      <w:r>
        <w:fldChar w:fldCharType="separate"/>
      </w:r>
      <w:r>
        <w:t>10</w:t>
      </w:r>
      <w:r>
        <w:fldChar w:fldCharType="end"/>
      </w:r>
    </w:p>
    <w:p>
      <w:pPr>
        <w:pStyle w:val="TOC8"/>
        <w:rPr>
          <w:rFonts w:asciiTheme="minorHAnsi" w:eastAsiaTheme="minorEastAsia" w:hAnsiTheme="minorHAnsi" w:cstheme="minorBidi"/>
          <w:szCs w:val="22"/>
        </w:rPr>
      </w:pPr>
      <w:r>
        <w:t>5D.</w:t>
      </w:r>
      <w:r>
        <w:tab/>
        <w:t xml:space="preserve">Exemption for certain agreements under </w:t>
      </w:r>
      <w:r>
        <w:rPr>
          <w:i/>
        </w:rPr>
        <w:t>Land Administration Act 1997</w:t>
      </w:r>
      <w:r>
        <w:tab/>
      </w:r>
      <w:r>
        <w:fldChar w:fldCharType="begin"/>
      </w:r>
      <w:r>
        <w:instrText xml:space="preserve"> PAGEREF _Toc486588662 \h </w:instrText>
      </w:r>
      <w:r>
        <w:fldChar w:fldCharType="separate"/>
      </w:r>
      <w:r>
        <w:t>11</w:t>
      </w:r>
      <w:r>
        <w:fldChar w:fldCharType="end"/>
      </w:r>
    </w:p>
    <w:p>
      <w:pPr>
        <w:pStyle w:val="TOC8"/>
        <w:rPr>
          <w:rFonts w:asciiTheme="minorHAnsi" w:eastAsiaTheme="minorEastAsia" w:hAnsiTheme="minorHAnsi" w:cstheme="minorBidi"/>
          <w:szCs w:val="22"/>
        </w:rPr>
      </w:pPr>
      <w:r>
        <w:t>6.</w:t>
      </w:r>
      <w:r>
        <w:tab/>
        <w:t>Modified application of section 43(3) of Act when Housing Authority is lessor of premises outside metropolitan region</w:t>
      </w:r>
      <w:r>
        <w:tab/>
      </w:r>
      <w:r>
        <w:fldChar w:fldCharType="begin"/>
      </w:r>
      <w:r>
        <w:instrText xml:space="preserve"> PAGEREF _Toc486588663 \h </w:instrText>
      </w:r>
      <w:r>
        <w:fldChar w:fldCharType="separate"/>
      </w:r>
      <w:r>
        <w:t>11</w:t>
      </w:r>
      <w:r>
        <w:fldChar w:fldCharType="end"/>
      </w:r>
    </w:p>
    <w:p>
      <w:pPr>
        <w:pStyle w:val="TOC8"/>
        <w:rPr>
          <w:rFonts w:asciiTheme="minorHAnsi" w:eastAsiaTheme="minorEastAsia" w:hAnsiTheme="minorHAnsi" w:cstheme="minorBidi"/>
          <w:szCs w:val="22"/>
        </w:rPr>
      </w:pPr>
      <w:r>
        <w:t>7A.</w:t>
      </w:r>
      <w:r>
        <w:tab/>
        <w:t>Modified application of section 45 of Act</w:t>
      </w:r>
      <w:r>
        <w:tab/>
      </w:r>
      <w:r>
        <w:fldChar w:fldCharType="begin"/>
      </w:r>
      <w:r>
        <w:instrText xml:space="preserve"> PAGEREF _Toc486588664 \h </w:instrText>
      </w:r>
      <w:r>
        <w:fldChar w:fldCharType="separate"/>
      </w:r>
      <w:r>
        <w:t>11</w:t>
      </w:r>
      <w:r>
        <w:fldChar w:fldCharType="end"/>
      </w:r>
    </w:p>
    <w:p>
      <w:pPr>
        <w:pStyle w:val="TOC8"/>
        <w:rPr>
          <w:rFonts w:asciiTheme="minorHAnsi" w:eastAsiaTheme="minorEastAsia" w:hAnsiTheme="minorHAnsi" w:cstheme="minorBidi"/>
          <w:szCs w:val="22"/>
        </w:rPr>
      </w:pPr>
      <w:r>
        <w:t>7B.</w:t>
      </w:r>
      <w:r>
        <w:tab/>
        <w:t>Modified application of section 47(1)(b) of Act for Housing Authority</w:t>
      </w:r>
      <w:r>
        <w:tab/>
      </w:r>
      <w:r>
        <w:fldChar w:fldCharType="begin"/>
      </w:r>
      <w:r>
        <w:instrText xml:space="preserve"> PAGEREF _Toc486588665 \h </w:instrText>
      </w:r>
      <w:r>
        <w:fldChar w:fldCharType="separate"/>
      </w:r>
      <w:r>
        <w:t>12</w:t>
      </w:r>
      <w:r>
        <w:fldChar w:fldCharType="end"/>
      </w:r>
    </w:p>
    <w:p>
      <w:pPr>
        <w:pStyle w:val="TOC8"/>
        <w:rPr>
          <w:rFonts w:asciiTheme="minorHAnsi" w:eastAsiaTheme="minorEastAsia" w:hAnsiTheme="minorHAnsi" w:cstheme="minorBidi"/>
          <w:szCs w:val="22"/>
        </w:rPr>
      </w:pPr>
      <w:r>
        <w:t>7C.</w:t>
      </w:r>
      <w:r>
        <w:tab/>
        <w:t>Modified application of section 60(b) of Act</w:t>
      </w:r>
      <w:r>
        <w:tab/>
      </w:r>
      <w:r>
        <w:fldChar w:fldCharType="begin"/>
      </w:r>
      <w:r>
        <w:instrText xml:space="preserve"> PAGEREF _Toc486588666 \h </w:instrText>
      </w:r>
      <w:r>
        <w:fldChar w:fldCharType="separate"/>
      </w:r>
      <w:r>
        <w:t>13</w:t>
      </w:r>
      <w:r>
        <w:fldChar w:fldCharType="end"/>
      </w:r>
    </w:p>
    <w:p>
      <w:pPr>
        <w:pStyle w:val="TOC8"/>
        <w:rPr>
          <w:rFonts w:asciiTheme="minorHAnsi" w:eastAsiaTheme="minorEastAsia" w:hAnsiTheme="minorHAnsi" w:cstheme="minorBidi"/>
          <w:szCs w:val="22"/>
        </w:rPr>
      </w:pPr>
      <w:r>
        <w:t>7D.</w:t>
      </w:r>
      <w:r>
        <w:tab/>
        <w:t>Modified application of section 70A of Act for Foyer Oxford</w:t>
      </w:r>
      <w:r>
        <w:tab/>
      </w:r>
      <w:r>
        <w:fldChar w:fldCharType="begin"/>
      </w:r>
      <w:r>
        <w:instrText xml:space="preserve"> PAGEREF _Toc486588667 \h </w:instrText>
      </w:r>
      <w:r>
        <w:fldChar w:fldCharType="separate"/>
      </w:r>
      <w:r>
        <w:t>13</w:t>
      </w:r>
      <w:r>
        <w:fldChar w:fldCharType="end"/>
      </w:r>
    </w:p>
    <w:p>
      <w:pPr>
        <w:pStyle w:val="TOC8"/>
        <w:rPr>
          <w:rFonts w:asciiTheme="minorHAnsi" w:eastAsiaTheme="minorEastAsia" w:hAnsiTheme="minorHAnsi" w:cstheme="minorBidi"/>
          <w:szCs w:val="22"/>
        </w:rPr>
      </w:pPr>
      <w:r>
        <w:t>7E.</w:t>
      </w:r>
      <w:r>
        <w:tab/>
        <w:t>Modified application of section 72 of Act</w:t>
      </w:r>
      <w:r>
        <w:tab/>
      </w:r>
      <w:r>
        <w:fldChar w:fldCharType="begin"/>
      </w:r>
      <w:r>
        <w:instrText xml:space="preserve"> PAGEREF _Toc486588668 \h </w:instrText>
      </w:r>
      <w:r>
        <w:fldChar w:fldCharType="separate"/>
      </w:r>
      <w:r>
        <w:t>14</w:t>
      </w:r>
      <w:r>
        <w:fldChar w:fldCharType="end"/>
      </w:r>
    </w:p>
    <w:p>
      <w:pPr>
        <w:pStyle w:val="TOC8"/>
        <w:rPr>
          <w:rFonts w:asciiTheme="minorHAnsi" w:eastAsiaTheme="minorEastAsia" w:hAnsiTheme="minorHAnsi" w:cstheme="minorBidi"/>
          <w:szCs w:val="22"/>
        </w:rPr>
      </w:pPr>
      <w:r>
        <w:t>7F.</w:t>
      </w:r>
      <w:r>
        <w:tab/>
        <w:t>Exemption from section 82 of Act</w:t>
      </w:r>
      <w:r>
        <w:tab/>
      </w:r>
      <w:r>
        <w:fldChar w:fldCharType="begin"/>
      </w:r>
      <w:r>
        <w:instrText xml:space="preserve"> PAGEREF _Toc486588669 \h </w:instrText>
      </w:r>
      <w:r>
        <w:fldChar w:fldCharType="separate"/>
      </w:r>
      <w:r>
        <w:t>14</w:t>
      </w:r>
      <w:r>
        <w:fldChar w:fldCharType="end"/>
      </w:r>
    </w:p>
    <w:p>
      <w:pPr>
        <w:pStyle w:val="TOC8"/>
        <w:rPr>
          <w:rFonts w:asciiTheme="minorHAnsi" w:eastAsiaTheme="minorEastAsia" w:hAnsiTheme="minorHAnsi" w:cstheme="minorBidi"/>
          <w:szCs w:val="22"/>
        </w:rPr>
      </w:pPr>
      <w:r>
        <w:t>7G.</w:t>
      </w:r>
      <w:r>
        <w:tab/>
        <w:t>Modified application of section 93 of Act for Housing Authority</w:t>
      </w:r>
      <w:r>
        <w:tab/>
      </w:r>
      <w:r>
        <w:fldChar w:fldCharType="begin"/>
      </w:r>
      <w:r>
        <w:instrText xml:space="preserve"> PAGEREF _Toc486588670 \h </w:instrText>
      </w:r>
      <w:r>
        <w:fldChar w:fldCharType="separate"/>
      </w:r>
      <w:r>
        <w:t>15</w:t>
      </w:r>
      <w:r>
        <w:fldChar w:fldCharType="end"/>
      </w:r>
    </w:p>
    <w:p>
      <w:pPr>
        <w:pStyle w:val="TOC8"/>
        <w:rPr>
          <w:rFonts w:asciiTheme="minorHAnsi" w:eastAsiaTheme="minorEastAsia" w:hAnsiTheme="minorHAnsi" w:cstheme="minorBidi"/>
          <w:szCs w:val="22"/>
        </w:rPr>
      </w:pPr>
      <w:r>
        <w:t>7H.</w:t>
      </w:r>
      <w:r>
        <w:tab/>
        <w:t>Modified application of Schedule 1 clauses 5A and 5 of Act</w:t>
      </w:r>
      <w:r>
        <w:tab/>
      </w:r>
      <w:r>
        <w:fldChar w:fldCharType="begin"/>
      </w:r>
      <w:r>
        <w:instrText xml:space="preserve"> PAGEREF _Toc486588671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Other matters</w:t>
      </w:r>
    </w:p>
    <w:p>
      <w:pPr>
        <w:pStyle w:val="TOC8"/>
        <w:rPr>
          <w:rFonts w:asciiTheme="minorHAnsi" w:eastAsiaTheme="minorEastAsia" w:hAnsiTheme="minorHAnsi" w:cstheme="minorBidi"/>
          <w:szCs w:val="22"/>
        </w:rPr>
      </w:pPr>
      <w:r>
        <w:t>7</w:t>
      </w:r>
      <w:r>
        <w:rPr>
          <w:snapToGrid w:val="0"/>
        </w:rPr>
        <w:t>.</w:t>
      </w:r>
      <w:r>
        <w:rPr>
          <w:snapToGrid w:val="0"/>
        </w:rPr>
        <w:tab/>
        <w:t>Applications prescribed for the purposes of section 13A(2)(a) of Act</w:t>
      </w:r>
      <w:r>
        <w:tab/>
      </w:r>
      <w:r>
        <w:fldChar w:fldCharType="begin"/>
      </w:r>
      <w:r>
        <w:instrText xml:space="preserve"> PAGEREF _Toc486588673 \h </w:instrText>
      </w:r>
      <w:r>
        <w:fldChar w:fldCharType="separate"/>
      </w:r>
      <w:r>
        <w:t>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nearest Magistrates Court</w:t>
      </w:r>
      <w:r>
        <w:tab/>
      </w:r>
      <w:r>
        <w:fldChar w:fldCharType="begin"/>
      </w:r>
      <w:r>
        <w:instrText xml:space="preserve"> PAGEREF _Toc486588674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Scale of costs for section 24 of Act</w:t>
      </w:r>
      <w:r>
        <w:tab/>
      </w:r>
      <w:r>
        <w:fldChar w:fldCharType="begin"/>
      </w:r>
      <w:r>
        <w:instrText xml:space="preserve"> PAGEREF _Toc486588675 \h </w:instrText>
      </w:r>
      <w:r>
        <w:fldChar w:fldCharType="separate"/>
      </w:r>
      <w:r>
        <w:t>20</w:t>
      </w:r>
      <w:r>
        <w:fldChar w:fldCharType="end"/>
      </w:r>
    </w:p>
    <w:p>
      <w:pPr>
        <w:pStyle w:val="TOC8"/>
        <w:rPr>
          <w:rFonts w:asciiTheme="minorHAnsi" w:eastAsiaTheme="minorEastAsia" w:hAnsiTheme="minorHAnsi" w:cstheme="minorBidi"/>
          <w:szCs w:val="22"/>
        </w:rPr>
      </w:pPr>
      <w:r>
        <w:t>10AA.</w:t>
      </w:r>
      <w:r>
        <w:tab/>
        <w:t>Form of written residential tenancy agreement for section 27A of Act</w:t>
      </w:r>
      <w:r>
        <w:tab/>
      </w:r>
      <w:r>
        <w:fldChar w:fldCharType="begin"/>
      </w:r>
      <w:r>
        <w:instrText xml:space="preserve"> PAGEREF _Toc486588676 \h </w:instrText>
      </w:r>
      <w:r>
        <w:fldChar w:fldCharType="separate"/>
      </w:r>
      <w:r>
        <w:t>20</w:t>
      </w:r>
      <w:r>
        <w:fldChar w:fldCharType="end"/>
      </w:r>
    </w:p>
    <w:p>
      <w:pPr>
        <w:pStyle w:val="TOC8"/>
        <w:rPr>
          <w:rFonts w:asciiTheme="minorHAnsi" w:eastAsiaTheme="minorEastAsia" w:hAnsiTheme="minorHAnsi" w:cstheme="minorBidi"/>
          <w:szCs w:val="22"/>
        </w:rPr>
      </w:pPr>
      <w:r>
        <w:t>10AB.</w:t>
      </w:r>
      <w:r>
        <w:tab/>
        <w:t>Information to be given to tenant for section 27B of Act</w:t>
      </w:r>
      <w:r>
        <w:tab/>
      </w:r>
      <w:r>
        <w:fldChar w:fldCharType="begin"/>
      </w:r>
      <w:r>
        <w:instrText xml:space="preserve"> PAGEREF _Toc486588677 \h </w:instrText>
      </w:r>
      <w:r>
        <w:fldChar w:fldCharType="separate"/>
      </w:r>
      <w:r>
        <w:t>21</w:t>
      </w:r>
      <w:r>
        <w:fldChar w:fldCharType="end"/>
      </w:r>
    </w:p>
    <w:p>
      <w:pPr>
        <w:pStyle w:val="TOC8"/>
        <w:rPr>
          <w:rFonts w:asciiTheme="minorHAnsi" w:eastAsiaTheme="minorEastAsia" w:hAnsiTheme="minorHAnsi" w:cstheme="minorBidi"/>
          <w:szCs w:val="22"/>
        </w:rPr>
      </w:pPr>
      <w:r>
        <w:t>10AC.</w:t>
      </w:r>
      <w:r>
        <w:tab/>
        <w:t>Information to be included in property condition report for section 27C(6) of Act</w:t>
      </w:r>
      <w:r>
        <w:tab/>
      </w:r>
      <w:r>
        <w:fldChar w:fldCharType="begin"/>
      </w:r>
      <w:r>
        <w:instrText xml:space="preserve"> PAGEREF _Toc486588678 \h </w:instrText>
      </w:r>
      <w:r>
        <w:fldChar w:fldCharType="separate"/>
      </w:r>
      <w:r>
        <w:t>21</w:t>
      </w:r>
      <w:r>
        <w:fldChar w:fldCharType="end"/>
      </w:r>
    </w:p>
    <w:p>
      <w:pPr>
        <w:pStyle w:val="TOC8"/>
        <w:rPr>
          <w:rFonts w:asciiTheme="minorHAnsi" w:eastAsiaTheme="minorEastAsia" w:hAnsiTheme="minorHAnsi" w:cstheme="minorBidi"/>
          <w:szCs w:val="22"/>
        </w:rPr>
      </w:pPr>
      <w:r>
        <w:t>10AD.</w:t>
      </w:r>
      <w:r>
        <w:tab/>
        <w:t>Amount prescribed for section 27(2)(a) of Act</w:t>
      </w:r>
      <w:r>
        <w:tab/>
      </w:r>
      <w:r>
        <w:fldChar w:fldCharType="begin"/>
      </w:r>
      <w:r>
        <w:instrText xml:space="preserve"> PAGEREF _Toc486588679 \h </w:instrText>
      </w:r>
      <w:r>
        <w:fldChar w:fldCharType="separate"/>
      </w:r>
      <w:r>
        <w:t>21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Amount prescribed for section 29(1)(b)(ii) of Act</w:t>
      </w:r>
      <w:r>
        <w:tab/>
      </w:r>
      <w:r>
        <w:fldChar w:fldCharType="begin"/>
      </w:r>
      <w:r>
        <w:instrText xml:space="preserve"> PAGEREF _Toc486588680 \h </w:instrText>
      </w:r>
      <w:r>
        <w:fldChar w:fldCharType="separate"/>
      </w:r>
      <w:r>
        <w:t>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Amount prescribed for section 29(2) of Act</w:t>
      </w:r>
      <w:r>
        <w:tab/>
      </w:r>
      <w:r>
        <w:fldChar w:fldCharType="begin"/>
      </w:r>
      <w:r>
        <w:instrText xml:space="preserve"> PAGEREF _Toc486588681 \h </w:instrText>
      </w:r>
      <w:r>
        <w:fldChar w:fldCharType="separate"/>
      </w:r>
      <w:r>
        <w:t>22</w:t>
      </w:r>
      <w:r>
        <w:fldChar w:fldCharType="end"/>
      </w:r>
    </w:p>
    <w:p>
      <w:pPr>
        <w:pStyle w:val="TOC8"/>
        <w:rPr>
          <w:rFonts w:asciiTheme="minorHAnsi" w:eastAsiaTheme="minorEastAsia" w:hAnsiTheme="minorHAnsi" w:cstheme="minorBidi"/>
          <w:szCs w:val="22"/>
        </w:rPr>
      </w:pPr>
      <w:r>
        <w:t>12A.</w:t>
      </w:r>
      <w:r>
        <w:tab/>
        <w:t>Essential services prescribed for section 43(1) of Act</w:t>
      </w:r>
      <w:r>
        <w:tab/>
      </w:r>
      <w:r>
        <w:fldChar w:fldCharType="begin"/>
      </w:r>
      <w:r>
        <w:instrText xml:space="preserve"> PAGEREF _Toc486588682 \h </w:instrText>
      </w:r>
      <w:r>
        <w:fldChar w:fldCharType="separate"/>
      </w:r>
      <w:r>
        <w:t>22</w:t>
      </w:r>
      <w:r>
        <w:fldChar w:fldCharType="end"/>
      </w:r>
    </w:p>
    <w:p>
      <w:pPr>
        <w:pStyle w:val="TOC8"/>
        <w:rPr>
          <w:rFonts w:asciiTheme="minorHAnsi" w:eastAsiaTheme="minorEastAsia" w:hAnsiTheme="minorHAnsi" w:cstheme="minorBidi"/>
          <w:szCs w:val="22"/>
        </w:rPr>
      </w:pPr>
      <w:r>
        <w:t>12B.</w:t>
      </w:r>
      <w:r>
        <w:tab/>
        <w:t>Means to secure residential premises prescribed for section 45(a) of Act</w:t>
      </w:r>
      <w:r>
        <w:tab/>
      </w:r>
      <w:r>
        <w:fldChar w:fldCharType="begin"/>
      </w:r>
      <w:r>
        <w:instrText xml:space="preserve"> PAGEREF _Toc486588683 \h </w:instrText>
      </w:r>
      <w:r>
        <w:fldChar w:fldCharType="separate"/>
      </w:r>
      <w:r>
        <w:t>22</w:t>
      </w:r>
      <w:r>
        <w:fldChar w:fldCharType="end"/>
      </w:r>
    </w:p>
    <w:p>
      <w:pPr>
        <w:pStyle w:val="TOC8"/>
        <w:rPr>
          <w:rFonts w:asciiTheme="minorHAnsi" w:eastAsiaTheme="minorEastAsia" w:hAnsiTheme="minorHAnsi" w:cstheme="minorBidi"/>
          <w:szCs w:val="22"/>
        </w:rPr>
      </w:pPr>
      <w:r>
        <w:t>12C.</w:t>
      </w:r>
      <w:r>
        <w:tab/>
        <w:t>Social housing tenancy agreement for the purposes of section 71A of Act</w:t>
      </w:r>
      <w:r>
        <w:tab/>
      </w:r>
      <w:r>
        <w:fldChar w:fldCharType="begin"/>
      </w:r>
      <w:r>
        <w:instrText xml:space="preserve"> PAGEREF _Toc486588684 \h </w:instrText>
      </w:r>
      <w:r>
        <w:fldChar w:fldCharType="separate"/>
      </w:r>
      <w:r>
        <w:t>24</w:t>
      </w:r>
      <w:r>
        <w:fldChar w:fldCharType="end"/>
      </w:r>
    </w:p>
    <w:p>
      <w:pPr>
        <w:pStyle w:val="TOC8"/>
        <w:rPr>
          <w:rFonts w:asciiTheme="minorHAnsi" w:eastAsiaTheme="minorEastAsia" w:hAnsiTheme="minorHAnsi" w:cstheme="minorBidi"/>
          <w:szCs w:val="22"/>
        </w:rPr>
      </w:pPr>
      <w:r>
        <w:t>12D.</w:t>
      </w:r>
      <w:r>
        <w:tab/>
        <w:t>Manner prescribed for purposes of section 79(3)(b) of Act</w:t>
      </w:r>
      <w:r>
        <w:tab/>
      </w:r>
      <w:r>
        <w:fldChar w:fldCharType="begin"/>
      </w:r>
      <w:r>
        <w:instrText xml:space="preserve"> PAGEREF _Toc486588685 \h </w:instrText>
      </w:r>
      <w:r>
        <w:fldChar w:fldCharType="separate"/>
      </w:r>
      <w:r>
        <w:t>25</w:t>
      </w:r>
      <w:r>
        <w:fldChar w:fldCharType="end"/>
      </w:r>
    </w:p>
    <w:p>
      <w:pPr>
        <w:pStyle w:val="TOC8"/>
        <w:rPr>
          <w:rFonts w:asciiTheme="minorHAnsi" w:eastAsiaTheme="minorEastAsia" w:hAnsiTheme="minorHAnsi" w:cstheme="minorBidi"/>
          <w:szCs w:val="22"/>
        </w:rPr>
      </w:pPr>
      <w:r>
        <w:t>12E.</w:t>
      </w:r>
      <w:r>
        <w:tab/>
        <w:t>Information prescribed for section 79(10) of Act</w:t>
      </w:r>
      <w:r>
        <w:tab/>
      </w:r>
      <w:r>
        <w:fldChar w:fldCharType="begin"/>
      </w:r>
      <w:r>
        <w:instrText xml:space="preserve"> PAGEREF _Toc486588686 \h </w:instrText>
      </w:r>
      <w:r>
        <w:fldChar w:fldCharType="separate"/>
      </w:r>
      <w:r>
        <w:t>25</w:t>
      </w:r>
      <w:r>
        <w:fldChar w:fldCharType="end"/>
      </w:r>
    </w:p>
    <w:p>
      <w:pPr>
        <w:pStyle w:val="TOC8"/>
        <w:rPr>
          <w:rFonts w:asciiTheme="minorHAnsi" w:eastAsiaTheme="minorEastAsia" w:hAnsiTheme="minorHAnsi" w:cstheme="minorBidi"/>
          <w:szCs w:val="22"/>
        </w:rPr>
      </w:pPr>
      <w:r>
        <w:t>12.</w:t>
      </w:r>
      <w:r>
        <w:tab/>
        <w:t>Manner prescribed for purposes of section 85(3)(c) of Act</w:t>
      </w:r>
      <w:r>
        <w:tab/>
      </w:r>
      <w:r>
        <w:fldChar w:fldCharType="begin"/>
      </w:r>
      <w:r>
        <w:instrText xml:space="preserve"> PAGEREF _Toc486588687 \h </w:instrText>
      </w:r>
      <w:r>
        <w:fldChar w:fldCharType="separate"/>
      </w:r>
      <w:r>
        <w:t>25</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_Toc486588688 \h </w:instrText>
      </w:r>
      <w:r>
        <w:fldChar w:fldCharType="separate"/>
      </w:r>
      <w:r>
        <w:t>26</w:t>
      </w:r>
      <w:r>
        <w:fldChar w:fldCharType="end"/>
      </w:r>
    </w:p>
    <w:p>
      <w:pPr>
        <w:pStyle w:val="TOC8"/>
        <w:rPr>
          <w:rFonts w:asciiTheme="minorHAnsi" w:eastAsiaTheme="minorEastAsia" w:hAnsiTheme="minorHAnsi" w:cstheme="minorBidi"/>
          <w:szCs w:val="22"/>
        </w:rPr>
      </w:pPr>
      <w:r>
        <w:t>14.</w:t>
      </w:r>
      <w:r>
        <w:tab/>
        <w:t>Matters prescribed for section 94 of Act</w:t>
      </w:r>
      <w:r>
        <w:tab/>
      </w:r>
      <w:r>
        <w:fldChar w:fldCharType="begin"/>
      </w:r>
      <w:r>
        <w:instrText xml:space="preserve"> PAGEREF _Toc486588689 \h </w:instrText>
      </w:r>
      <w:r>
        <w:fldChar w:fldCharType="separate"/>
      </w:r>
      <w:r>
        <w:t>26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Disposal of unclaimed security bonds</w:t>
      </w:r>
      <w:r>
        <w:tab/>
      </w:r>
      <w:r>
        <w:fldChar w:fldCharType="begin"/>
      </w:r>
      <w:r>
        <w:instrText xml:space="preserve"> PAGEREF _Toc486588690 \h </w:instrText>
      </w:r>
      <w:r>
        <w:fldChar w:fldCharType="separate"/>
      </w:r>
      <w:r>
        <w:t>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prescribed</w:t>
      </w:r>
      <w:r>
        <w:tab/>
      </w:r>
      <w:r>
        <w:fldChar w:fldCharType="begin"/>
      </w:r>
      <w:r>
        <w:instrText xml:space="preserve"> PAGEREF _Toc486588691 \h </w:instrText>
      </w:r>
      <w:r>
        <w:fldChar w:fldCharType="separate"/>
      </w:r>
      <w:r>
        <w:t>28</w:t>
      </w:r>
      <w:r>
        <w:fldChar w:fldCharType="end"/>
      </w:r>
    </w:p>
    <w:p>
      <w:pPr>
        <w:pStyle w:val="TOC8"/>
        <w:rPr>
          <w:rFonts w:asciiTheme="minorHAnsi" w:eastAsiaTheme="minorEastAsia" w:hAnsiTheme="minorHAnsi" w:cstheme="minorBidi"/>
          <w:szCs w:val="22"/>
        </w:rPr>
      </w:pPr>
      <w:r>
        <w:t>18.</w:t>
      </w:r>
      <w:r>
        <w:tab/>
        <w:t>Forms</w:t>
      </w:r>
      <w:r>
        <w:tab/>
      </w:r>
      <w:r>
        <w:fldChar w:fldCharType="begin"/>
      </w:r>
      <w:r>
        <w:instrText xml:space="preserve"> PAGEREF _Toc486588692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_Toc486588697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3" w:name="_Toc485990092"/>
      <w:bookmarkStart w:id="4" w:name="_Toc485990162"/>
      <w:bookmarkStart w:id="5" w:name="_Toc486588399"/>
      <w:bookmarkStart w:id="6" w:name="_Toc48658864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Footnoteheading"/>
        <w:spacing w:before="100"/>
      </w:pPr>
      <w:r>
        <w:tab/>
        <w:t>[Heading inserted in Gazette 3 May 2013 p. 1737.]</w:t>
      </w:r>
    </w:p>
    <w:p>
      <w:pPr>
        <w:pStyle w:val="Heading5"/>
        <w:rPr>
          <w:snapToGrid w:val="0"/>
        </w:rPr>
      </w:pPr>
      <w:bookmarkStart w:id="7" w:name="_Toc486588645"/>
      <w:r>
        <w:rPr>
          <w:rStyle w:val="CharSectno"/>
        </w:rPr>
        <w:t>1</w:t>
      </w:r>
      <w:r>
        <w:rPr>
          <w:snapToGrid w:val="0"/>
        </w:rPr>
        <w:t>.</w:t>
      </w:r>
      <w:r>
        <w:rPr>
          <w:snapToGrid w:val="0"/>
        </w:rPr>
        <w:tab/>
        <w:t>Citation</w:t>
      </w:r>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8" w:name="_Toc486588646"/>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in Gazette 3 May 2013 p. 1738.]</w:t>
      </w:r>
    </w:p>
    <w:p>
      <w:pPr>
        <w:pStyle w:val="Heading5"/>
      </w:pPr>
      <w:bookmarkStart w:id="9" w:name="_Toc486588647"/>
      <w:r>
        <w:rPr>
          <w:rStyle w:val="CharSectno"/>
        </w:rPr>
        <w:t>3A</w:t>
      </w:r>
      <w:r>
        <w:t>.</w:t>
      </w:r>
      <w:r>
        <w:tab/>
        <w:t>Terms used</w:t>
      </w:r>
      <w:bookmarkEnd w:id="9"/>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in Gazette 3 May 2013 p. 1738.]</w:t>
      </w:r>
    </w:p>
    <w:p>
      <w:pPr>
        <w:pStyle w:val="Heading2"/>
      </w:pPr>
      <w:bookmarkStart w:id="10" w:name="_Toc485990096"/>
      <w:bookmarkStart w:id="11" w:name="_Toc485990166"/>
      <w:bookmarkStart w:id="12" w:name="_Toc486588403"/>
      <w:bookmarkStart w:id="13" w:name="_Toc486588648"/>
      <w:r>
        <w:rPr>
          <w:rStyle w:val="CharPartNo"/>
        </w:rPr>
        <w:t>Part 2</w:t>
      </w:r>
      <w:r>
        <w:rPr>
          <w:rStyle w:val="CharDivNo"/>
        </w:rPr>
        <w:t> </w:t>
      </w:r>
      <w:r>
        <w:t>—</w:t>
      </w:r>
      <w:r>
        <w:rPr>
          <w:rStyle w:val="CharDivText"/>
        </w:rPr>
        <w:t> </w:t>
      </w:r>
      <w:r>
        <w:rPr>
          <w:rStyle w:val="CharPartText"/>
        </w:rPr>
        <w:t>Application of Act, modification of application</w:t>
      </w:r>
      <w:bookmarkEnd w:id="10"/>
      <w:bookmarkEnd w:id="11"/>
      <w:bookmarkEnd w:id="12"/>
      <w:bookmarkEnd w:id="13"/>
    </w:p>
    <w:p>
      <w:pPr>
        <w:pStyle w:val="Footnoteheading"/>
      </w:pPr>
      <w:r>
        <w:tab/>
        <w:t>[Heading inserted in Gazette 21 Mar 2014 p. 731.]</w:t>
      </w:r>
    </w:p>
    <w:p>
      <w:pPr>
        <w:pStyle w:val="Heading5"/>
        <w:spacing w:before="200"/>
        <w:rPr>
          <w:snapToGrid w:val="0"/>
        </w:rPr>
      </w:pPr>
      <w:bookmarkStart w:id="14" w:name="_Toc486588649"/>
      <w:r>
        <w:rPr>
          <w:rStyle w:val="CharSectno"/>
        </w:rPr>
        <w:t>3</w:t>
      </w:r>
      <w:r>
        <w:rPr>
          <w:snapToGrid w:val="0"/>
        </w:rPr>
        <w:t>.</w:t>
      </w:r>
      <w:r>
        <w:rPr>
          <w:snapToGrid w:val="0"/>
        </w:rPr>
        <w:tab/>
        <w:t>Exemption for retirement villages</w:t>
      </w:r>
      <w:bookmarkEnd w:id="14"/>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in Gazette 8 Jan 1993 p. 29.] </w:t>
      </w:r>
    </w:p>
    <w:p>
      <w:pPr>
        <w:pStyle w:val="Heading5"/>
        <w:spacing w:before="200"/>
        <w:rPr>
          <w:snapToGrid w:val="0"/>
        </w:rPr>
      </w:pPr>
      <w:bookmarkStart w:id="15" w:name="_Toc486588650"/>
      <w:r>
        <w:rPr>
          <w:rStyle w:val="CharSectno"/>
        </w:rPr>
        <w:t>4</w:t>
      </w:r>
      <w:r>
        <w:rPr>
          <w:snapToGrid w:val="0"/>
        </w:rPr>
        <w:t>.</w:t>
      </w:r>
      <w:r>
        <w:rPr>
          <w:snapToGrid w:val="0"/>
        </w:rPr>
        <w:tab/>
        <w:t>Exemption for certain agreements with squatters</w:t>
      </w:r>
      <w:bookmarkEnd w:id="15"/>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in Gazette 12 Feb 1993 p. 1214; 19 Feb 1999 p. 553.] </w:t>
      </w:r>
    </w:p>
    <w:p>
      <w:pPr>
        <w:pStyle w:val="Heading5"/>
        <w:rPr>
          <w:snapToGrid w:val="0"/>
        </w:rPr>
      </w:pPr>
      <w:bookmarkStart w:id="16" w:name="_Toc486588651"/>
      <w:r>
        <w:rPr>
          <w:rStyle w:val="CharSectno"/>
        </w:rPr>
        <w:t>5</w:t>
      </w:r>
      <w:r>
        <w:rPr>
          <w:snapToGrid w:val="0"/>
        </w:rPr>
        <w:t>.</w:t>
      </w:r>
      <w:r>
        <w:rPr>
          <w:snapToGrid w:val="0"/>
        </w:rPr>
        <w:tab/>
        <w:t xml:space="preserve">Exemption for certain agreements under </w:t>
      </w:r>
      <w:r>
        <w:rPr>
          <w:i/>
          <w:snapToGrid w:val="0"/>
        </w:rPr>
        <w:t>Land Act 1933</w:t>
      </w:r>
      <w:bookmarkEnd w:id="16"/>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17" w:name="_Toc486588652"/>
      <w:r>
        <w:rPr>
          <w:rStyle w:val="CharSectno"/>
        </w:rPr>
        <w:t>5AAA</w:t>
      </w:r>
      <w:r>
        <w:t>.</w:t>
      </w:r>
      <w:r>
        <w:tab/>
        <w:t>Application of Act to certain accommodation at St Thomas More College</w:t>
      </w:r>
      <w:bookmarkEnd w:id="17"/>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in Gazette 21 Mar 2014 p. 731.]</w:t>
      </w:r>
    </w:p>
    <w:p>
      <w:pPr>
        <w:pStyle w:val="Heading5"/>
      </w:pPr>
      <w:bookmarkStart w:id="18" w:name="_Toc486588653"/>
      <w:r>
        <w:rPr>
          <w:rStyle w:val="CharSectno"/>
        </w:rPr>
        <w:t>5AA</w:t>
      </w:r>
      <w:r>
        <w:t>.</w:t>
      </w:r>
      <w:r>
        <w:tab/>
        <w:t>Modified application of section 22(2) of Act</w:t>
      </w:r>
      <w:bookmarkEnd w:id="18"/>
    </w:p>
    <w:p>
      <w:pPr>
        <w:pStyle w:val="Subsection"/>
        <w:spacing w:before="180"/>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pPr>
      <w:r>
        <w:tab/>
        <w:t>[Regulation 5AA inserted in Gazette 3 May 2013 p. 1738-9.]</w:t>
      </w:r>
    </w:p>
    <w:p>
      <w:pPr>
        <w:pStyle w:val="Heading5"/>
      </w:pPr>
      <w:bookmarkStart w:id="19" w:name="_Toc486588654"/>
      <w:r>
        <w:rPr>
          <w:rStyle w:val="CharSectno"/>
        </w:rPr>
        <w:t>5AB</w:t>
      </w:r>
      <w:r>
        <w:t>.</w:t>
      </w:r>
      <w:r>
        <w:tab/>
        <w:t>Exemptions from section 27A of Act — residential agreements not required to be in prescribed form</w:t>
      </w:r>
      <w:bookmarkEnd w:id="19"/>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in Gazette 3 May 2013 p. 1739; amended in Gazette 21 Aug 2015 p. 3311.]</w:t>
      </w:r>
    </w:p>
    <w:p>
      <w:pPr>
        <w:pStyle w:val="Heading5"/>
      </w:pPr>
      <w:bookmarkStart w:id="20" w:name="_Toc486588655"/>
      <w:r>
        <w:rPr>
          <w:rStyle w:val="CharSectno"/>
        </w:rPr>
        <w:t>5AC</w:t>
      </w:r>
      <w:r>
        <w:t>.</w:t>
      </w:r>
      <w:r>
        <w:tab/>
        <w:t>Exemption from section 27B of Act if residential tenancy agreement extended or renewed</w:t>
      </w:r>
      <w:bookmarkEnd w:id="20"/>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in Gazette 3 May 2013 p. 1740.]</w:t>
      </w:r>
    </w:p>
    <w:p>
      <w:pPr>
        <w:pStyle w:val="Heading5"/>
      </w:pPr>
      <w:bookmarkStart w:id="21" w:name="_Toc486588656"/>
      <w:r>
        <w:rPr>
          <w:rStyle w:val="CharSectno"/>
        </w:rPr>
        <w:t>5AD</w:t>
      </w:r>
      <w:r>
        <w:t>.</w:t>
      </w:r>
      <w:r>
        <w:tab/>
        <w:t>Modified application of section 27C(4) of Act for Housing Authority</w:t>
      </w:r>
      <w:bookmarkEnd w:id="21"/>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in Gazette 3 May 2013 p. 1740-1.]</w:t>
      </w:r>
    </w:p>
    <w:p>
      <w:pPr>
        <w:pStyle w:val="Heading5"/>
        <w:keepNext w:val="0"/>
        <w:keepLines w:val="0"/>
        <w:spacing w:before="240"/>
        <w:rPr>
          <w:snapToGrid w:val="0"/>
        </w:rPr>
      </w:pPr>
      <w:bookmarkStart w:id="22" w:name="_Toc486588657"/>
      <w:r>
        <w:rPr>
          <w:rStyle w:val="CharSectno"/>
        </w:rPr>
        <w:t>5A</w:t>
      </w:r>
      <w:r>
        <w:rPr>
          <w:snapToGrid w:val="0"/>
        </w:rPr>
        <w:t>.</w:t>
      </w:r>
      <w:r>
        <w:rPr>
          <w:snapToGrid w:val="0"/>
        </w:rPr>
        <w:tab/>
        <w:t>Exemption of Housing Authority from sections 29(4)(b) and 33 of Act</w:t>
      </w:r>
      <w:bookmarkEnd w:id="22"/>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in Gazette 13 Dec 1991 p. 6154; amended in Gazette 30 Dec 1994 p. 7231</w:t>
      </w:r>
      <w:r>
        <w:noBreakHyphen/>
        <w:t xml:space="preserve">2; 31 Jul 2007 p. 3790; 3 May 2013 p. 1741-2.] </w:t>
      </w:r>
    </w:p>
    <w:p>
      <w:pPr>
        <w:pStyle w:val="Heading5"/>
      </w:pPr>
      <w:bookmarkStart w:id="23" w:name="_Toc486588658"/>
      <w:r>
        <w:rPr>
          <w:rStyle w:val="CharSectno"/>
        </w:rPr>
        <w:t>5BA</w:t>
      </w:r>
      <w:r>
        <w:t>.</w:t>
      </w:r>
      <w:r>
        <w:tab/>
        <w:t>Exemptions from section 29(8) of Act</w:t>
      </w:r>
      <w:bookmarkEnd w:id="23"/>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in Gazette 21 Aug 2015 p. 3312.] </w:t>
      </w:r>
    </w:p>
    <w:p>
      <w:pPr>
        <w:pStyle w:val="Heading5"/>
        <w:spacing w:before="180"/>
        <w:rPr>
          <w:snapToGrid w:val="0"/>
        </w:rPr>
      </w:pPr>
      <w:bookmarkStart w:id="24" w:name="_Toc486588659"/>
      <w:r>
        <w:rPr>
          <w:rStyle w:val="CharSectno"/>
        </w:rPr>
        <w:t>5B</w:t>
      </w:r>
      <w:r>
        <w:rPr>
          <w:snapToGrid w:val="0"/>
        </w:rPr>
        <w:t>.</w:t>
      </w:r>
      <w:r>
        <w:rPr>
          <w:snapToGrid w:val="0"/>
        </w:rPr>
        <w:tab/>
        <w:t>Exemptions from section 30(1) of Act</w:t>
      </w:r>
      <w:bookmarkEnd w:id="24"/>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in Gazette 6 Apr 1990 p. 1701; erratum in Gazette 12 Apr 1990 p. 1907; amended in Gazette 14 Jun 1991 p. 2872</w:t>
      </w:r>
      <w:r>
        <w:noBreakHyphen/>
        <w:t xml:space="preserve">3; 13 Dec 1991 p. 6153; 31 Mar 2006 p. 1351-2; 31 Jul 2007 p. 3791; 3 May 2013 p. 1742-3; 27 Dec 2013 p. 6478.] </w:t>
      </w:r>
    </w:p>
    <w:p>
      <w:pPr>
        <w:pStyle w:val="Heading5"/>
        <w:keepNext w:val="0"/>
        <w:keepLines w:val="0"/>
        <w:pageBreakBefore/>
        <w:spacing w:before="0"/>
      </w:pPr>
      <w:bookmarkStart w:id="25" w:name="_Toc486588660"/>
      <w:r>
        <w:rPr>
          <w:rStyle w:val="CharSectno"/>
        </w:rPr>
        <w:t>5CA</w:t>
      </w:r>
      <w:r>
        <w:t>.</w:t>
      </w:r>
      <w:r>
        <w:tab/>
        <w:t>Modified application of section 30(2)(a) of Act</w:t>
      </w:r>
      <w:bookmarkEnd w:id="25"/>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in Gazette 3 May 2013 p. 1744.]</w:t>
      </w:r>
    </w:p>
    <w:p>
      <w:pPr>
        <w:pStyle w:val="Heading5"/>
      </w:pPr>
      <w:bookmarkStart w:id="26" w:name="_Toc486588661"/>
      <w:r>
        <w:rPr>
          <w:rStyle w:val="CharSectno"/>
        </w:rPr>
        <w:t>5C</w:t>
      </w:r>
      <w:r>
        <w:t>.</w:t>
      </w:r>
      <w:r>
        <w:tab/>
        <w:t>Exemption from section 33 of Act for employment</w:t>
      </w:r>
      <w:r>
        <w:noBreakHyphen/>
        <w:t>linked residential tenancy agreements</w:t>
      </w:r>
      <w:bookmarkEnd w:id="26"/>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in Gazette 3 May 2013 p. 1744-5.]</w:t>
      </w:r>
    </w:p>
    <w:p>
      <w:pPr>
        <w:pStyle w:val="Heading5"/>
        <w:rPr>
          <w:i/>
        </w:rPr>
      </w:pPr>
      <w:bookmarkStart w:id="27" w:name="_Toc486588662"/>
      <w:r>
        <w:rPr>
          <w:rStyle w:val="CharSectno"/>
        </w:rPr>
        <w:t>5D</w:t>
      </w:r>
      <w:r>
        <w:t>.</w:t>
      </w:r>
      <w:r>
        <w:tab/>
        <w:t xml:space="preserve">Exemption for certain agreements under </w:t>
      </w:r>
      <w:r>
        <w:rPr>
          <w:i/>
        </w:rPr>
        <w:t>Land Administration Act 1997</w:t>
      </w:r>
      <w:bookmarkEnd w:id="27"/>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in Gazette 19 Feb 1999 p. 554.]</w:t>
      </w:r>
    </w:p>
    <w:p>
      <w:pPr>
        <w:pStyle w:val="Ednotesection"/>
        <w:spacing w:before="200"/>
      </w:pPr>
      <w:r>
        <w:t>[</w:t>
      </w:r>
      <w:r>
        <w:rPr>
          <w:b/>
        </w:rPr>
        <w:t>5E.</w:t>
      </w:r>
      <w:r>
        <w:rPr>
          <w:b/>
        </w:rPr>
        <w:tab/>
      </w:r>
      <w:r>
        <w:t>Deleted in Gazette 3 May 2013 p. 1745.]</w:t>
      </w:r>
    </w:p>
    <w:p>
      <w:pPr>
        <w:pStyle w:val="Heading5"/>
        <w:spacing w:before="200"/>
      </w:pPr>
      <w:bookmarkStart w:id="28" w:name="_Toc486588663"/>
      <w:r>
        <w:rPr>
          <w:rStyle w:val="CharSectno"/>
        </w:rPr>
        <w:t>6</w:t>
      </w:r>
      <w:r>
        <w:t>.</w:t>
      </w:r>
      <w:r>
        <w:tab/>
        <w:t>Modified application of section 43(3) of Act when Housing Authority is lessor of premises outside metropolitan region</w:t>
      </w:r>
      <w:bookmarkEnd w:id="28"/>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in Gazette 3 May 2013 p. 1745.]</w:t>
      </w:r>
    </w:p>
    <w:p>
      <w:pPr>
        <w:pStyle w:val="Heading5"/>
        <w:spacing w:before="280"/>
      </w:pPr>
      <w:bookmarkStart w:id="29" w:name="_Toc486588664"/>
      <w:r>
        <w:rPr>
          <w:rStyle w:val="CharSectno"/>
        </w:rPr>
        <w:t>7A</w:t>
      </w:r>
      <w:r>
        <w:t>.</w:t>
      </w:r>
      <w:r>
        <w:tab/>
        <w:t>Modified application of section 45 of Act</w:t>
      </w:r>
      <w:bookmarkEnd w:id="29"/>
    </w:p>
    <w:p>
      <w:pPr>
        <w:pStyle w:val="Subsection"/>
        <w:spacing w:before="200"/>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keepNex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spacing w:before="120"/>
      </w:pPr>
      <w:r>
        <w:tab/>
        <w:t>(2)</w:t>
      </w:r>
      <w:r>
        <w:tab/>
        <w:t>Under section 6(a) of the Act it is provided that section 45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are the subject of an entry in the Register of Heritage Places;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in Gazette 3 May 2013 p. 1746-7.]</w:t>
      </w:r>
    </w:p>
    <w:p>
      <w:pPr>
        <w:pStyle w:val="Heading5"/>
        <w:spacing w:before="180"/>
      </w:pPr>
      <w:bookmarkStart w:id="30" w:name="_Toc486588665"/>
      <w:r>
        <w:rPr>
          <w:rStyle w:val="CharSectno"/>
        </w:rPr>
        <w:t>7B</w:t>
      </w:r>
      <w:r>
        <w:t>.</w:t>
      </w:r>
      <w:r>
        <w:tab/>
        <w:t>Modified application of section 47(1)(b) of Act for Housing Authority</w:t>
      </w:r>
      <w:bookmarkEnd w:id="30"/>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in Gazette 3 May 2013 p. 1747.]</w:t>
      </w:r>
    </w:p>
    <w:p>
      <w:pPr>
        <w:pStyle w:val="Heading5"/>
        <w:spacing w:before="280"/>
      </w:pPr>
      <w:bookmarkStart w:id="31" w:name="_Toc486588666"/>
      <w:r>
        <w:rPr>
          <w:rStyle w:val="CharSectno"/>
        </w:rPr>
        <w:t>7C</w:t>
      </w:r>
      <w:r>
        <w:t>.</w:t>
      </w:r>
      <w:r>
        <w:tab/>
        <w:t>Modified application of section 60(b) of Act</w:t>
      </w:r>
      <w:bookmarkEnd w:id="31"/>
      <w:r>
        <w:t xml:space="preserve"> </w:t>
      </w:r>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in Gazette 3 May 2013 p. 1747-8.]</w:t>
      </w:r>
    </w:p>
    <w:p>
      <w:pPr>
        <w:pStyle w:val="Heading5"/>
      </w:pPr>
      <w:bookmarkStart w:id="32" w:name="_Toc486588667"/>
      <w:r>
        <w:rPr>
          <w:rStyle w:val="CharSectno"/>
        </w:rPr>
        <w:t>7D</w:t>
      </w:r>
      <w:r>
        <w:t>.</w:t>
      </w:r>
      <w:r>
        <w:tab/>
        <w:t>Modified application of section 70A of Act for Foyer Oxford</w:t>
      </w:r>
      <w:bookmarkEnd w:id="32"/>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in Gazette 21 Aug 2015 p. 3312</w:t>
      </w:r>
      <w:r>
        <w:noBreakHyphen/>
        <w:t>13.]</w:t>
      </w:r>
    </w:p>
    <w:p>
      <w:pPr>
        <w:pStyle w:val="Heading5"/>
      </w:pPr>
      <w:bookmarkStart w:id="33" w:name="_Toc486588668"/>
      <w:r>
        <w:rPr>
          <w:rStyle w:val="CharSectno"/>
        </w:rPr>
        <w:t>7E</w:t>
      </w:r>
      <w:r>
        <w:t>.</w:t>
      </w:r>
      <w:r>
        <w:tab/>
        <w:t>Modified application of section 72 of Act</w:t>
      </w:r>
      <w:bookmarkEnd w:id="33"/>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in Gazette 3 May 2013 p. 1748.]</w:t>
      </w:r>
    </w:p>
    <w:p>
      <w:pPr>
        <w:pStyle w:val="Heading5"/>
      </w:pPr>
      <w:bookmarkStart w:id="34" w:name="_Toc486588669"/>
      <w:r>
        <w:rPr>
          <w:rStyle w:val="CharSectno"/>
        </w:rPr>
        <w:t>7F</w:t>
      </w:r>
      <w:r>
        <w:t>.</w:t>
      </w:r>
      <w:r>
        <w:tab/>
        <w:t>Exemption from section 82 of Act</w:t>
      </w:r>
      <w:bookmarkEnd w:id="34"/>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in Gazette 3 May 2013 p. 1749.]</w:t>
      </w:r>
    </w:p>
    <w:p>
      <w:pPr>
        <w:pStyle w:val="Heading5"/>
      </w:pPr>
      <w:bookmarkStart w:id="35" w:name="_Toc486588670"/>
      <w:r>
        <w:rPr>
          <w:rStyle w:val="CharSectno"/>
        </w:rPr>
        <w:t>7G</w:t>
      </w:r>
      <w:r>
        <w:t>.</w:t>
      </w:r>
      <w:r>
        <w:tab/>
        <w:t>Modified application of section 93 of Act for Housing Authority</w:t>
      </w:r>
      <w:bookmarkEnd w:id="35"/>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in Gazette 3 May 2013 p. 1749.]</w:t>
      </w:r>
    </w:p>
    <w:p>
      <w:pPr>
        <w:pStyle w:val="Heading5"/>
      </w:pPr>
      <w:bookmarkStart w:id="36" w:name="_Toc486588671"/>
      <w:r>
        <w:rPr>
          <w:rStyle w:val="CharSectno"/>
        </w:rPr>
        <w:t>7H</w:t>
      </w:r>
      <w:r>
        <w:t>.</w:t>
      </w:r>
      <w:r>
        <w:tab/>
        <w:t>Modified application of Schedule 1 clauses 5A and 5 of Act</w:t>
      </w:r>
      <w:bookmarkEnd w:id="36"/>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pPr>
      <w:r>
        <w:tab/>
        <w:t>(a)</w:t>
      </w:r>
      <w:r>
        <w:tab/>
        <w:t>in subclause (1)(a) before “</w:t>
      </w:r>
      <w:r>
        <w:rPr>
          <w:sz w:val="22"/>
          <w:szCs w:val="22"/>
        </w:rPr>
        <w:t>an application</w:t>
      </w:r>
      <w:r>
        <w:t>” by inserting:</w:t>
      </w:r>
    </w:p>
    <w:p>
      <w:pPr>
        <w:pStyle w:val="BlankOpen"/>
      </w:pPr>
    </w:p>
    <w:p>
      <w:pPr>
        <w:pStyle w:val="Indenta"/>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in Gazette 3 Jun 2016 p. 1714</w:t>
      </w:r>
      <w:r>
        <w:noBreakHyphen/>
        <w:t>16; amended in Gazette 30 Jun 2017 p. 3554</w:t>
      </w:r>
      <w:r>
        <w:noBreakHyphen/>
        <w:t>5.]</w:t>
      </w:r>
    </w:p>
    <w:p>
      <w:pPr>
        <w:pStyle w:val="Heading2"/>
      </w:pPr>
      <w:bookmarkStart w:id="37" w:name="_Toc485990120"/>
      <w:bookmarkStart w:id="38" w:name="_Toc485990190"/>
      <w:bookmarkStart w:id="39" w:name="_Toc486588427"/>
      <w:bookmarkStart w:id="40" w:name="_Toc486588672"/>
      <w:r>
        <w:rPr>
          <w:rStyle w:val="CharPartNo"/>
        </w:rPr>
        <w:t>Part 3</w:t>
      </w:r>
      <w:r>
        <w:rPr>
          <w:rStyle w:val="CharDivNo"/>
        </w:rPr>
        <w:t> </w:t>
      </w:r>
      <w:r>
        <w:t>—</w:t>
      </w:r>
      <w:r>
        <w:rPr>
          <w:rStyle w:val="CharDivText"/>
        </w:rPr>
        <w:t> </w:t>
      </w:r>
      <w:r>
        <w:rPr>
          <w:rStyle w:val="CharPartText"/>
        </w:rPr>
        <w:t>Other matters</w:t>
      </w:r>
      <w:bookmarkEnd w:id="37"/>
      <w:bookmarkEnd w:id="38"/>
      <w:bookmarkEnd w:id="39"/>
      <w:bookmarkEnd w:id="40"/>
    </w:p>
    <w:p>
      <w:pPr>
        <w:pStyle w:val="Footnoteheading"/>
      </w:pPr>
      <w:r>
        <w:tab/>
        <w:t>[Heading inserted in Gazette 3 May 2013 p. 1749.]</w:t>
      </w:r>
    </w:p>
    <w:p>
      <w:pPr>
        <w:pStyle w:val="Heading5"/>
        <w:rPr>
          <w:snapToGrid w:val="0"/>
        </w:rPr>
      </w:pPr>
      <w:bookmarkStart w:id="41" w:name="_Toc486588673"/>
      <w:r>
        <w:rPr>
          <w:rStyle w:val="CharSectno"/>
        </w:rPr>
        <w:t>7</w:t>
      </w:r>
      <w:r>
        <w:rPr>
          <w:snapToGrid w:val="0"/>
        </w:rPr>
        <w:t>.</w:t>
      </w:r>
      <w:r>
        <w:rPr>
          <w:snapToGrid w:val="0"/>
        </w:rPr>
        <w:tab/>
        <w:t>Applications prescribed for the purposes of section 13A(2)(a) of Act</w:t>
      </w:r>
      <w:bookmarkEnd w:id="41"/>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in Gazette 16 Jun 1995 p. 2318; 29 Apr 2005 p. 1772</w:t>
      </w:r>
      <w:r>
        <w:noBreakHyphen/>
        <w:t xml:space="preserve">3; 3 May 2013 p. 1749-50.] </w:t>
      </w:r>
    </w:p>
    <w:p>
      <w:pPr>
        <w:pStyle w:val="Ednotesection"/>
      </w:pPr>
      <w:r>
        <w:t>[</w:t>
      </w:r>
      <w:r>
        <w:rPr>
          <w:b/>
        </w:rPr>
        <w:t>8.</w:t>
      </w:r>
      <w:r>
        <w:tab/>
        <w:t>Deleted in Gazette 29 Apr 2005 p. 1773.]</w:t>
      </w:r>
    </w:p>
    <w:p>
      <w:pPr>
        <w:pStyle w:val="Heading5"/>
        <w:rPr>
          <w:snapToGrid w:val="0"/>
        </w:rPr>
      </w:pPr>
      <w:bookmarkStart w:id="42" w:name="_Toc486588674"/>
      <w:r>
        <w:rPr>
          <w:rStyle w:val="CharSectno"/>
        </w:rPr>
        <w:t>9</w:t>
      </w:r>
      <w:r>
        <w:rPr>
          <w:snapToGrid w:val="0"/>
        </w:rPr>
        <w:t>.</w:t>
      </w:r>
      <w:r>
        <w:rPr>
          <w:snapToGrid w:val="0"/>
        </w:rPr>
        <w:tab/>
        <w:t>Determination of nearest Magistrates Court</w:t>
      </w:r>
      <w:bookmarkEnd w:id="42"/>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in Gazette 29 Apr 2005 p. 1773.]</w:t>
      </w:r>
    </w:p>
    <w:p>
      <w:pPr>
        <w:pStyle w:val="Heading5"/>
        <w:spacing w:before="180"/>
        <w:rPr>
          <w:snapToGrid w:val="0"/>
        </w:rPr>
      </w:pPr>
      <w:bookmarkStart w:id="43" w:name="_Toc486588675"/>
      <w:r>
        <w:rPr>
          <w:rStyle w:val="CharSectno"/>
        </w:rPr>
        <w:t>10</w:t>
      </w:r>
      <w:r>
        <w:rPr>
          <w:snapToGrid w:val="0"/>
        </w:rPr>
        <w:t>.</w:t>
      </w:r>
      <w:r>
        <w:rPr>
          <w:snapToGrid w:val="0"/>
        </w:rPr>
        <w:tab/>
        <w:t>Scale of costs for section 24 of Act</w:t>
      </w:r>
      <w:bookmarkEnd w:id="43"/>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in Gazette 19 Apr 2005 p. 1298; 29 Apr 2005 p. 1773.]</w:t>
      </w:r>
    </w:p>
    <w:p>
      <w:pPr>
        <w:pStyle w:val="Heading5"/>
      </w:pPr>
      <w:bookmarkStart w:id="44" w:name="_Toc486588676"/>
      <w:r>
        <w:rPr>
          <w:rStyle w:val="CharSectno"/>
        </w:rPr>
        <w:t>10AA</w:t>
      </w:r>
      <w:r>
        <w:t>.</w:t>
      </w:r>
      <w:r>
        <w:tab/>
        <w:t>Form of written residential tenancy agreement for section 27A of Act</w:t>
      </w:r>
      <w:bookmarkEnd w:id="44"/>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in Gazette 3 May 2013 p. 1750.] </w:t>
      </w:r>
    </w:p>
    <w:p>
      <w:pPr>
        <w:pStyle w:val="Heading5"/>
      </w:pPr>
      <w:bookmarkStart w:id="45" w:name="_Toc486588677"/>
      <w:r>
        <w:rPr>
          <w:rStyle w:val="CharSectno"/>
        </w:rPr>
        <w:t>10AB</w:t>
      </w:r>
      <w:r>
        <w:t>.</w:t>
      </w:r>
      <w:r>
        <w:tab/>
        <w:t>Information to be given to tenant for section 27B of Act</w:t>
      </w:r>
      <w:bookmarkEnd w:id="45"/>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in Gazette 3 May 2013 p. 1751.] </w:t>
      </w:r>
    </w:p>
    <w:p>
      <w:pPr>
        <w:pStyle w:val="Heading5"/>
      </w:pPr>
      <w:bookmarkStart w:id="46" w:name="_Toc486588678"/>
      <w:r>
        <w:rPr>
          <w:rStyle w:val="CharSectno"/>
        </w:rPr>
        <w:t>10AC</w:t>
      </w:r>
      <w:r>
        <w:t>.</w:t>
      </w:r>
      <w:r>
        <w:tab/>
        <w:t>Information to be included in property condition report for section 27C(6) of Act</w:t>
      </w:r>
      <w:bookmarkEnd w:id="46"/>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in Gazette 3 May 2013 p. 1751.] </w:t>
      </w:r>
    </w:p>
    <w:p>
      <w:pPr>
        <w:pStyle w:val="Heading5"/>
      </w:pPr>
      <w:bookmarkStart w:id="47" w:name="_Toc486588679"/>
      <w:r>
        <w:rPr>
          <w:rStyle w:val="CharSectno"/>
        </w:rPr>
        <w:t>10AD</w:t>
      </w:r>
      <w:r>
        <w:t>.</w:t>
      </w:r>
      <w:r>
        <w:tab/>
        <w:t>Amount prescribed for section 27(2)(a) of Act</w:t>
      </w:r>
      <w:bookmarkEnd w:id="47"/>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in Gazette 3 May 2013 p. 1751.] </w:t>
      </w:r>
    </w:p>
    <w:p>
      <w:pPr>
        <w:pStyle w:val="Heading5"/>
        <w:spacing w:before="180"/>
        <w:rPr>
          <w:snapToGrid w:val="0"/>
        </w:rPr>
      </w:pPr>
      <w:bookmarkStart w:id="48" w:name="_Toc486588680"/>
      <w:r>
        <w:rPr>
          <w:rStyle w:val="CharSectno"/>
        </w:rPr>
        <w:t>10A</w:t>
      </w:r>
      <w:r>
        <w:rPr>
          <w:snapToGrid w:val="0"/>
        </w:rPr>
        <w:t>.</w:t>
      </w:r>
      <w:r>
        <w:rPr>
          <w:snapToGrid w:val="0"/>
        </w:rPr>
        <w:tab/>
        <w:t>Amount prescribed for section 29(1)(b)(ii) of Act</w:t>
      </w:r>
      <w:bookmarkEnd w:id="48"/>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in Gazette 16 Jun 1995 p. 2318; amended in Gazette 24 May 2011 p. 1894.] </w:t>
      </w:r>
    </w:p>
    <w:p>
      <w:pPr>
        <w:pStyle w:val="Heading5"/>
        <w:rPr>
          <w:snapToGrid w:val="0"/>
        </w:rPr>
      </w:pPr>
      <w:bookmarkStart w:id="49" w:name="_Toc486588681"/>
      <w:r>
        <w:rPr>
          <w:rStyle w:val="CharSectno"/>
        </w:rPr>
        <w:t>11</w:t>
      </w:r>
      <w:r>
        <w:rPr>
          <w:snapToGrid w:val="0"/>
        </w:rPr>
        <w:t>.</w:t>
      </w:r>
      <w:r>
        <w:rPr>
          <w:snapToGrid w:val="0"/>
        </w:rPr>
        <w:tab/>
        <w:t>Amount prescribed for section 29(2) of Act</w:t>
      </w:r>
      <w:bookmarkEnd w:id="49"/>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in Gazette 24 May 2011 p. 1894; 3 May 2013 p. 1752.] </w:t>
      </w:r>
    </w:p>
    <w:p>
      <w:pPr>
        <w:pStyle w:val="Ednotesection"/>
      </w:pPr>
      <w:r>
        <w:t>[</w:t>
      </w:r>
      <w:r>
        <w:rPr>
          <w:b/>
        </w:rPr>
        <w:t>11A.</w:t>
      </w:r>
      <w:r>
        <w:rPr>
          <w:b/>
        </w:rPr>
        <w:tab/>
      </w:r>
      <w:r>
        <w:t>Deleted in Gazette 3 May 2013 p. 1752.]</w:t>
      </w:r>
    </w:p>
    <w:p>
      <w:pPr>
        <w:pStyle w:val="Heading5"/>
      </w:pPr>
      <w:bookmarkStart w:id="50" w:name="_Toc486588682"/>
      <w:r>
        <w:rPr>
          <w:rStyle w:val="CharSectno"/>
        </w:rPr>
        <w:t>12A</w:t>
      </w:r>
      <w:r>
        <w:t>.</w:t>
      </w:r>
      <w:r>
        <w:tab/>
        <w:t>Essential services prescribed for section 43(1) of Act</w:t>
      </w:r>
      <w:bookmarkEnd w:id="50"/>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in Gazette 3 May 2013 p. 1752.] </w:t>
      </w:r>
    </w:p>
    <w:p>
      <w:pPr>
        <w:pStyle w:val="Heading5"/>
      </w:pPr>
      <w:bookmarkStart w:id="51" w:name="_Toc486588683"/>
      <w:r>
        <w:rPr>
          <w:rStyle w:val="CharSectno"/>
        </w:rPr>
        <w:t>12B</w:t>
      </w:r>
      <w:r>
        <w:t>.</w:t>
      </w:r>
      <w:r>
        <w:tab/>
        <w:t>Means to secure residential premises prescribed for section 45(a) of Act</w:t>
      </w:r>
      <w:bookmarkEnd w:id="51"/>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in Gazette 3 May 2013 p. 1752-4.] </w:t>
      </w:r>
    </w:p>
    <w:p>
      <w:pPr>
        <w:pStyle w:val="Heading5"/>
        <w:spacing w:before="180"/>
      </w:pPr>
      <w:bookmarkStart w:id="52" w:name="_Toc486588684"/>
      <w:r>
        <w:rPr>
          <w:rStyle w:val="CharSectno"/>
        </w:rPr>
        <w:t>12C</w:t>
      </w:r>
      <w:r>
        <w:t>.</w:t>
      </w:r>
      <w:r>
        <w:tab/>
        <w:t>Social housing tenancy agreement for the purposes of section 71A of Act</w:t>
      </w:r>
      <w:bookmarkEnd w:id="52"/>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in Gazette 3 May 2013 p. 1754-5.] </w:t>
      </w:r>
    </w:p>
    <w:p>
      <w:pPr>
        <w:pStyle w:val="Heading5"/>
      </w:pPr>
      <w:bookmarkStart w:id="53" w:name="_Toc478460081"/>
      <w:bookmarkStart w:id="54" w:name="_Toc480446319"/>
      <w:bookmarkStart w:id="55" w:name="_Toc480446444"/>
      <w:bookmarkStart w:id="56" w:name="_Toc486588685"/>
      <w:r>
        <w:rPr>
          <w:rStyle w:val="CharSectno"/>
        </w:rPr>
        <w:t>12D</w:t>
      </w:r>
      <w:r>
        <w:t>.</w:t>
      </w:r>
      <w:r>
        <w:tab/>
        <w:t>Manner prescribed for purposes of section 79(3)(b) of Act</w:t>
      </w:r>
      <w:bookmarkEnd w:id="53"/>
      <w:bookmarkEnd w:id="54"/>
      <w:bookmarkEnd w:id="55"/>
      <w:bookmarkEnd w:id="56"/>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in Gazette 30 Jun 2017 p. 3555.] </w:t>
      </w:r>
    </w:p>
    <w:p>
      <w:pPr>
        <w:pStyle w:val="Heading5"/>
      </w:pPr>
      <w:bookmarkStart w:id="57" w:name="_Toc478460083"/>
      <w:bookmarkStart w:id="58" w:name="_Toc480446321"/>
      <w:bookmarkStart w:id="59" w:name="_Toc480446446"/>
      <w:bookmarkStart w:id="60" w:name="_Toc486588686"/>
      <w:r>
        <w:rPr>
          <w:rStyle w:val="CharSectno"/>
        </w:rPr>
        <w:t>12E</w:t>
      </w:r>
      <w:r>
        <w:t>.</w:t>
      </w:r>
      <w:r>
        <w:tab/>
        <w:t>Information prescribed for section 79(10) of Act</w:t>
      </w:r>
      <w:bookmarkEnd w:id="57"/>
      <w:bookmarkEnd w:id="58"/>
      <w:bookmarkEnd w:id="59"/>
      <w:bookmarkEnd w:id="60"/>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spacing w:before="100"/>
      </w:pPr>
      <w:bookmarkStart w:id="61" w:name="_Toc478460084"/>
      <w:bookmarkStart w:id="62" w:name="_Toc480446322"/>
      <w:bookmarkStart w:id="63" w:name="_Toc480446447"/>
      <w:r>
        <w:tab/>
        <w:t xml:space="preserve">[Regulation 12E inserted in Gazette 30 Jun 2017 p. 3555.] </w:t>
      </w:r>
    </w:p>
    <w:p>
      <w:pPr>
        <w:pStyle w:val="Heading5"/>
      </w:pPr>
      <w:bookmarkStart w:id="64" w:name="_Toc486588687"/>
      <w:r>
        <w:rPr>
          <w:rStyle w:val="CharSectno"/>
        </w:rPr>
        <w:t>12</w:t>
      </w:r>
      <w:r>
        <w:t>.</w:t>
      </w:r>
      <w:r>
        <w:tab/>
        <w:t>Manner prescribed for purposes of section 85(3)(c) of Act</w:t>
      </w:r>
      <w:bookmarkEnd w:id="61"/>
      <w:bookmarkEnd w:id="62"/>
      <w:bookmarkEnd w:id="63"/>
      <w:bookmarkEnd w:id="64"/>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in Gazette 30 Jun 2017 p. 3555</w:t>
      </w:r>
      <w:r>
        <w:noBreakHyphen/>
        <w:t xml:space="preserve">6.] </w:t>
      </w:r>
    </w:p>
    <w:p>
      <w:pPr>
        <w:pStyle w:val="Heading5"/>
        <w:spacing w:before="180"/>
      </w:pPr>
      <w:bookmarkStart w:id="65" w:name="_Toc486588688"/>
      <w:r>
        <w:rPr>
          <w:rStyle w:val="CharSectno"/>
        </w:rPr>
        <w:t>13</w:t>
      </w:r>
      <w:r>
        <w:t>.</w:t>
      </w:r>
      <w:r>
        <w:tab/>
        <w:t>Infringement notices</w:t>
      </w:r>
      <w:bookmarkEnd w:id="65"/>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in Gazette 3 May 2013 p. 1755-6.]</w:t>
      </w:r>
    </w:p>
    <w:p>
      <w:pPr>
        <w:pStyle w:val="Heading5"/>
        <w:spacing w:before="180"/>
      </w:pPr>
      <w:bookmarkStart w:id="66" w:name="_Toc486588689"/>
      <w:r>
        <w:rPr>
          <w:rStyle w:val="CharSectno"/>
        </w:rPr>
        <w:t>14</w:t>
      </w:r>
      <w:r>
        <w:t>.</w:t>
      </w:r>
      <w:r>
        <w:tab/>
        <w:t>Matters prescribed for section 94 of Act</w:t>
      </w:r>
      <w:bookmarkEnd w:id="66"/>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in Gazette 3 May 2013 p. 1756.]</w:t>
      </w:r>
    </w:p>
    <w:p>
      <w:pPr>
        <w:pStyle w:val="Heading5"/>
        <w:rPr>
          <w:snapToGrid w:val="0"/>
        </w:rPr>
      </w:pPr>
      <w:bookmarkStart w:id="67" w:name="_Toc486588690"/>
      <w:r>
        <w:rPr>
          <w:rStyle w:val="CharSectno"/>
        </w:rPr>
        <w:t>15</w:t>
      </w:r>
      <w:r>
        <w:rPr>
          <w:snapToGrid w:val="0"/>
        </w:rPr>
        <w:t>.</w:t>
      </w:r>
      <w:r>
        <w:rPr>
          <w:snapToGrid w:val="0"/>
        </w:rPr>
        <w:tab/>
        <w:t>Disposal of unclaimed security bonds</w:t>
      </w:r>
      <w:bookmarkEnd w:id="67"/>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in Gazette 25 Jun 1996 p. 2905; 31 Jul 2007 p. 3791.] </w:t>
      </w:r>
    </w:p>
    <w:p>
      <w:pPr>
        <w:pStyle w:val="Ednotesection"/>
        <w:spacing w:before="180"/>
      </w:pPr>
      <w:r>
        <w:t>[</w:t>
      </w:r>
      <w:r>
        <w:rPr>
          <w:b/>
        </w:rPr>
        <w:t>16.</w:t>
      </w:r>
      <w:r>
        <w:tab/>
        <w:t>Deleted in Gazette 3 May 2013 p. 1756.]</w:t>
      </w:r>
    </w:p>
    <w:p>
      <w:pPr>
        <w:pStyle w:val="Heading5"/>
        <w:keepLines w:val="0"/>
        <w:spacing w:before="180"/>
        <w:rPr>
          <w:snapToGrid w:val="0"/>
        </w:rPr>
      </w:pPr>
      <w:bookmarkStart w:id="68" w:name="_Toc486588691"/>
      <w:r>
        <w:rPr>
          <w:rStyle w:val="CharSectno"/>
        </w:rPr>
        <w:t>17</w:t>
      </w:r>
      <w:r>
        <w:rPr>
          <w:snapToGrid w:val="0"/>
        </w:rPr>
        <w:t>.</w:t>
      </w:r>
      <w:r>
        <w:rPr>
          <w:snapToGrid w:val="0"/>
        </w:rPr>
        <w:tab/>
        <w:t>Fees prescribed</w:t>
      </w:r>
      <w:bookmarkEnd w:id="68"/>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in Gazette 29 Apr 2005 p. 1773.]</w:t>
      </w:r>
    </w:p>
    <w:p>
      <w:pPr>
        <w:pStyle w:val="Heading5"/>
      </w:pPr>
      <w:bookmarkStart w:id="69" w:name="_Toc486588692"/>
      <w:r>
        <w:rPr>
          <w:rStyle w:val="CharSectno"/>
        </w:rPr>
        <w:t>18</w:t>
      </w:r>
      <w:r>
        <w:t>.</w:t>
      </w:r>
      <w:r>
        <w:tab/>
        <w:t>Forms</w:t>
      </w:r>
      <w:bookmarkEnd w:id="69"/>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Ednotesection"/>
      </w:pPr>
      <w:r>
        <w:t>[</w:t>
      </w:r>
      <w:r>
        <w:rPr>
          <w:b/>
        </w:rPr>
        <w:t>19, 20.</w:t>
      </w:r>
      <w:r>
        <w:tab/>
        <w:t>Deleted in Gazette 3 May 2013 p. 1757.]</w:t>
      </w:r>
    </w:p>
    <w:p>
      <w:pPr>
        <w:pStyle w:val="yEdnoteschedule"/>
        <w:rPr>
          <w:sz w:val="24"/>
          <w:szCs w:val="24"/>
        </w:rPr>
      </w:pPr>
      <w:r>
        <w:rPr>
          <w:sz w:val="24"/>
          <w:szCs w:val="24"/>
        </w:rPr>
        <w:t>[Schedule 1 deleted in Gazette 30 Mar 2007 p. 1452.]</w:t>
      </w:r>
    </w:p>
    <w:p>
      <w:pPr>
        <w:pStyle w:val="yEdnoteschedule"/>
        <w:rPr>
          <w:sz w:val="24"/>
          <w:szCs w:val="24"/>
        </w:rPr>
      </w:pPr>
      <w:r>
        <w:rPr>
          <w:sz w:val="24"/>
          <w:szCs w:val="24"/>
        </w:rPr>
        <w:t>[Schedule 2 deleted in Gazette 3 May 2013 p. 1757.]</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70" w:name="_Toc485990139"/>
      <w:bookmarkStart w:id="71" w:name="_Toc485990209"/>
      <w:bookmarkStart w:id="72" w:name="_Toc486588448"/>
      <w:bookmarkStart w:id="73" w:name="_Toc486588693"/>
      <w:r>
        <w:rPr>
          <w:rStyle w:val="CharSchNo"/>
        </w:rPr>
        <w:t>Schedule 3</w:t>
      </w:r>
      <w:bookmarkEnd w:id="70"/>
      <w:bookmarkEnd w:id="71"/>
      <w:bookmarkEnd w:id="72"/>
      <w:bookmarkEnd w:id="73"/>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19.70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54.50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18.20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t>00.60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t>04.00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t>03.00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t>00.70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t>03.00</w:t>
            </w:r>
          </w:p>
        </w:tc>
      </w:tr>
    </w:tbl>
    <w:p>
      <w:pPr>
        <w:pStyle w:val="yFootnotesection"/>
      </w:pPr>
      <w:r>
        <w:tab/>
        <w:t>[Schedule 3 amended in Gazette 29 Apr 2005 p. 1774</w:t>
      </w:r>
      <w:r>
        <w:noBreakHyphen/>
        <w:t>5; 29 Dec 2015 p. 5171; 3 Jun 2016 p. 1771; 23 Jun 2017 p. 3251.]</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75" w:name="_Toc485990140"/>
      <w:bookmarkStart w:id="76" w:name="_Toc485990210"/>
      <w:bookmarkStart w:id="77" w:name="_Toc486588449"/>
      <w:bookmarkStart w:id="78" w:name="_Toc486588694"/>
      <w:r>
        <w:rPr>
          <w:rStyle w:val="CharSchNo"/>
        </w:rPr>
        <w:t>Schedule 4</w:t>
      </w:r>
      <w:r>
        <w:rPr>
          <w:rStyle w:val="CharSDivNo"/>
        </w:rPr>
        <w:t> </w:t>
      </w:r>
      <w:r>
        <w:t>—</w:t>
      </w:r>
      <w:r>
        <w:rPr>
          <w:rStyle w:val="CharSDivText"/>
        </w:rPr>
        <w:t> </w:t>
      </w:r>
      <w:r>
        <w:rPr>
          <w:rStyle w:val="CharSchText"/>
        </w:rPr>
        <w:t>Forms</w:t>
      </w:r>
      <w:bookmarkEnd w:id="75"/>
      <w:bookmarkEnd w:id="76"/>
      <w:bookmarkEnd w:id="77"/>
      <w:bookmarkEnd w:id="78"/>
    </w:p>
    <w:p>
      <w:pPr>
        <w:pStyle w:val="yShoulderClause"/>
        <w:spacing w:before="100"/>
      </w:pPr>
      <w:r>
        <w:t>[r. 10AA, 10AB, 10AC and 18]</w:t>
      </w:r>
    </w:p>
    <w:p>
      <w:pPr>
        <w:pStyle w:val="yFootnoteheading"/>
        <w:spacing w:before="100"/>
      </w:pPr>
      <w:r>
        <w:tab/>
        <w:t>[Heading inserted in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spacing w:before="60"/>
        <w:ind w:left="567" w:hanging="567"/>
      </w:pPr>
      <w:r>
        <w:tab/>
        <w:t>payment reference:</w:t>
      </w:r>
    </w:p>
    <w:p>
      <w:pPr>
        <w:pStyle w:val="yMiscellaneousBody"/>
        <w:spacing w:before="100"/>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 entry.</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pPr>
      <w:r>
        <w:rPr>
          <w:b/>
        </w:rPr>
        <w:t>REQUIREMENT TO NEGOTIATE A DAY AND TIME FOR A PROPOSED ENTRY BY THE LESSOR</w:t>
      </w:r>
    </w:p>
    <w:p>
      <w:pPr>
        <w:pStyle w:val="yMiscellaneousBody"/>
        <w:spacing w:before="120"/>
        <w:ind w:left="567" w:hanging="567"/>
      </w:pPr>
      <w:r>
        <w:t>27.</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34.3</w:t>
      </w:r>
      <w:r>
        <w:tab/>
        <w:t>the lessor or the tenant must not unreasonably withhold that consent.</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pPr>
      <w:r>
        <w:rPr>
          <w:b/>
          <w:bCs/>
        </w:rPr>
        <w:t>NOTICES</w:t>
      </w:r>
    </w:p>
    <w:p>
      <w:pPr>
        <w:pStyle w:val="yMiscellaneousBody"/>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 xml:space="preserve">if an address for service for the person is given in the agreement — by posting it </w:t>
      </w:r>
      <w:r>
        <w:rPr>
          <w:szCs w:val="22"/>
        </w:rPr>
        <w:t>to</w:t>
      </w:r>
      <w:r>
        <w:t xml:space="preserve">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 in Gazette 3 May 2013 p. 1757-76; amended in Gazette 21 Aug 2015 p. 3313</w:t>
      </w:r>
      <w:r>
        <w:noBreakHyphen/>
        <w:t>14; 30 Jun 2017 p. 3556</w:t>
      </w:r>
      <w:r>
        <w:noBreakHyphen/>
        <w:t>7.]</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 entry.</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pPr>
      <w:r>
        <w:rPr>
          <w:b/>
        </w:rPr>
        <w:t>REQUIREMENT TO NEGOTIATE A DAY AND TIME FOR A PROPOSED ENTRY BY THE LESSOR</w:t>
      </w:r>
    </w:p>
    <w:p>
      <w:pPr>
        <w:pStyle w:val="yMiscellaneousBody"/>
        <w:tabs>
          <w:tab w:val="left" w:pos="567"/>
        </w:tabs>
        <w:ind w:left="567" w:hanging="567"/>
      </w:pPr>
      <w:r>
        <w:t>29.</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 other; and</w:t>
      </w:r>
    </w:p>
    <w:p>
      <w:pPr>
        <w:pStyle w:val="yMiscellaneousBody"/>
        <w:tabs>
          <w:tab w:val="left" w:pos="567"/>
          <w:tab w:val="left" w:pos="1134"/>
        </w:tabs>
        <w:spacing w:before="130"/>
        <w:ind w:left="1134" w:hanging="1134"/>
      </w:pPr>
      <w:r>
        <w:tab/>
        <w:t>36.3</w:t>
      </w:r>
      <w:r>
        <w:tab/>
        <w:t>the lessor or the tenant must not unreasonably withhold that consent.</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t>
      </w:r>
      <w:hyperlink r:id="rId28" w:history="1">
        <w:r>
          <w:t>www.commerce.wa.gov.au/ConsumerProtection</w:t>
        </w:r>
      </w:hyperlink>
      <w:r>
        <w:t>&gt;.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 xml:space="preserve">if an address for service for the person is given in the agreement — by posting it </w:t>
      </w:r>
      <w:r>
        <w:rPr>
          <w:szCs w:val="22"/>
        </w:rPr>
        <w:t>to</w:t>
      </w:r>
      <w:r>
        <w:t xml:space="preserve">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 in Gazette 3 May 2013 p. 1776-96; amended in Gazette 21 Aug 2015 p. 3314-15; 30 Jun 2017 p. 3557</w:t>
      </w:r>
      <w:r>
        <w:noBreakHyphen/>
        <w:t>8.]</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receipt for any bond that you have paid</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in Gazette 3 May 2013 p. 1797-800; amended in Gazette 20 Jan 2015 p. 371; 30 Jun 2017 p. 3558.]</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receipt for any bond that you have paid</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 entry.</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pPr>
      <w:r>
        <w:rPr>
          <w:b/>
        </w:rPr>
        <w:t>REQUIREMENT TO NEGOTIATE A DAY AND TIME FOR A PROPOSED ENTRY BY THE LESSOR</w:t>
      </w:r>
    </w:p>
    <w:p>
      <w:pPr>
        <w:pStyle w:val="yMiscellaneousBody"/>
        <w:ind w:left="567" w:hanging="567"/>
      </w:pPr>
      <w:r>
        <w:t>26.</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 other; and</w:t>
      </w:r>
    </w:p>
    <w:p>
      <w:pPr>
        <w:pStyle w:val="yMiscellaneousBody"/>
        <w:tabs>
          <w:tab w:val="left" w:pos="567"/>
          <w:tab w:val="left" w:pos="1134"/>
        </w:tabs>
        <w:spacing w:before="150"/>
        <w:ind w:left="1134" w:hanging="1134"/>
      </w:pPr>
      <w:r>
        <w:tab/>
        <w:t>33.3</w:t>
      </w:r>
      <w:r>
        <w:tab/>
        <w:t>the lessor or the tenant must not unreasonably withhold that consent.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 xml:space="preserve">if an address for service for the person is provided by the person — by posting it </w:t>
      </w:r>
      <w:r>
        <w:rPr>
          <w:szCs w:val="22"/>
        </w:rPr>
        <w:t>to</w:t>
      </w:r>
      <w:r>
        <w:t xml:space="preserve">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in Gazette 3 May 2013 p. 1801-17; amended in Gazette 20 Jan 2015 p. 371; 21 Aug 2015 p. 3315</w:t>
      </w:r>
      <w:r>
        <w:noBreakHyphen/>
        <w:t>16; 30 Jun 2017 p. 3558</w:t>
      </w:r>
      <w:r>
        <w:noBreakHyphen/>
        <w:t>9.]</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in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in Gazette 25 Jun 1996 p. 2412</w:t>
      </w:r>
      <w:r>
        <w:noBreakHyphen/>
        <w:t>13; amended in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in Gazette 25 Jun 1996 p. 2913</w:t>
      </w:r>
      <w:r>
        <w:noBreakHyphen/>
        <w:t>14; amended in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in Gazette 3 May 2013 p. 1826-9; amended in Gazette 30 Jun 2017 p. 3559.]</w:t>
      </w:r>
    </w:p>
    <w:p>
      <w:pPr>
        <w:pStyle w:val="CentredBaseLine"/>
        <w:jc w:val="center"/>
      </w:pPr>
    </w:p>
    <w:p>
      <w:pPr>
        <w:pStyle w:val="yEdnotesection"/>
      </w:pPr>
      <w:r>
        <w:t>[Forms 2 and 3 deleted in Gazette 30 Jun 2017 p. 3559.]</w:t>
      </w:r>
    </w:p>
    <w:p>
      <w:pPr>
        <w:pStyle w:val="yEdnotesection"/>
      </w:pPr>
      <w:r>
        <w:t>[Form 4 deleted in Gazette 3 May 2013 p. 1830.]</w:t>
      </w:r>
    </w:p>
    <w:p>
      <w:pPr>
        <w:pStyle w:val="yEdnotesection"/>
      </w:pPr>
      <w:r>
        <w:t>[Form 5 deleted in Gazette 30 Jun 2017 p. 3559.]</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in Gazette 22 Sep 2006 p. 4128; amended in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 amended in Gazette 24 May 2011 p. 1895; 3 May 2013 p. 1831.]</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79" w:name="_Toc485990141"/>
      <w:bookmarkStart w:id="80" w:name="_Toc485990211"/>
      <w:bookmarkStart w:id="81" w:name="_Toc486588450"/>
      <w:bookmarkStart w:id="82" w:name="_Toc486588695"/>
      <w:r>
        <w:rPr>
          <w:rStyle w:val="CharSchNo"/>
        </w:rPr>
        <w:t>Schedule 5</w:t>
      </w:r>
      <w:r>
        <w:rPr>
          <w:rStyle w:val="CharSDivNo"/>
        </w:rPr>
        <w:t> </w:t>
      </w:r>
      <w:r>
        <w:t>—</w:t>
      </w:r>
      <w:r>
        <w:rPr>
          <w:rStyle w:val="CharSDivText"/>
        </w:rPr>
        <w:t> </w:t>
      </w:r>
      <w:r>
        <w:rPr>
          <w:rStyle w:val="CharSchText"/>
        </w:rPr>
        <w:t>Prescribed offences and modified penalties</w:t>
      </w:r>
      <w:bookmarkEnd w:id="79"/>
      <w:bookmarkEnd w:id="80"/>
      <w:bookmarkEnd w:id="81"/>
      <w:bookmarkEnd w:id="82"/>
    </w:p>
    <w:p>
      <w:pPr>
        <w:pStyle w:val="zyShoulderClause"/>
        <w:spacing w:after="120"/>
        <w:ind w:right="284"/>
      </w:pPr>
      <w:r>
        <w:t>[r. 13]</w:t>
      </w:r>
    </w:p>
    <w:p>
      <w:pPr>
        <w:pStyle w:val="yFootnoteheading"/>
        <w:spacing w:after="120"/>
      </w:pPr>
      <w:r>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Next/>
              <w:keepLines/>
              <w:spacing w:before="60"/>
            </w:pPr>
            <w:r>
              <w:t>s. 59F(2)</w:t>
            </w:r>
          </w:p>
        </w:tc>
        <w:tc>
          <w:tcPr>
            <w:tcW w:w="4820" w:type="dxa"/>
          </w:tcPr>
          <w:p>
            <w:pPr>
              <w:pStyle w:val="yTableNAm"/>
              <w:keepNext/>
              <w:keepLines/>
              <w:spacing w:before="60"/>
            </w:pPr>
            <w:r>
              <w:t>Property manager altering, removing or adding lock without consent</w:t>
            </w:r>
          </w:p>
        </w:tc>
        <w:tc>
          <w:tcPr>
            <w:tcW w:w="992" w:type="dxa"/>
          </w:tcPr>
          <w:p>
            <w:pPr>
              <w:pStyle w:val="yTableNAm"/>
              <w:keepNext/>
              <w:keepLines/>
              <w:spacing w:before="60"/>
            </w:pPr>
            <w:r>
              <w:br/>
              <w:t>$2 000</w:t>
            </w:r>
          </w:p>
        </w:tc>
      </w:tr>
      <w:tr>
        <w:trPr>
          <w:cantSplit/>
          <w:trHeight w:val="21"/>
        </w:trPr>
        <w:tc>
          <w:tcPr>
            <w:tcW w:w="1276" w:type="dxa"/>
          </w:tcPr>
          <w:p>
            <w:pPr>
              <w:pStyle w:val="yTableNAm"/>
              <w:keepNext/>
              <w:keepLines/>
              <w:spacing w:before="60"/>
            </w:pPr>
            <w:r>
              <w:t>s. 63(3)</w:t>
            </w:r>
          </w:p>
        </w:tc>
        <w:tc>
          <w:tcPr>
            <w:tcW w:w="4820" w:type="dxa"/>
          </w:tcPr>
          <w:p>
            <w:pPr>
              <w:pStyle w:val="yTableNAm"/>
              <w:keepNext/>
              <w:keepLines/>
              <w:spacing w:before="60"/>
            </w:pPr>
            <w:r>
              <w:t>Giving false or misleading notice of termination</w:t>
            </w:r>
          </w:p>
        </w:tc>
        <w:tc>
          <w:tcPr>
            <w:tcW w:w="992" w:type="dxa"/>
          </w:tcPr>
          <w:p>
            <w:pPr>
              <w:pStyle w:val="yTableNAm"/>
              <w:keepNext/>
              <w:keepLines/>
              <w:spacing w:before="60"/>
            </w:pPr>
            <w: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in Gazette 3 May 2013 p. 1832-5.]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pPr>
      <w:bookmarkStart w:id="83" w:name="_Toc485990142"/>
      <w:bookmarkStart w:id="84" w:name="_Toc485990212"/>
      <w:bookmarkStart w:id="85" w:name="_Toc486588451"/>
      <w:bookmarkStart w:id="86" w:name="_Toc486588696"/>
      <w:r>
        <w:t>Notes</w:t>
      </w:r>
      <w:bookmarkEnd w:id="83"/>
      <w:bookmarkEnd w:id="84"/>
      <w:bookmarkEnd w:id="85"/>
      <w:bookmarkEnd w:id="86"/>
    </w:p>
    <w:p>
      <w:pPr>
        <w:pStyle w:val="nSubsection"/>
      </w:pPr>
      <w:r>
        <w:rPr>
          <w:vertAlign w:val="superscript"/>
        </w:rPr>
        <w:t>1</w:t>
      </w:r>
      <w:r>
        <w:tab/>
        <w:t xml:space="preserve">This is a compilation of the </w:t>
      </w:r>
      <w:r>
        <w:rPr>
          <w:i/>
          <w:noProof/>
        </w:rPr>
        <w:t>Residential Tenancies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87" w:name="_Toc486588697"/>
      <w:r>
        <w:rPr>
          <w:snapToGrid w:val="0"/>
        </w:rPr>
        <w:t>Compilation table</w:t>
      </w:r>
      <w:bookmarkEnd w:id="8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rFonts w:ascii="Arial" w:hAnsi="Arial"/>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rFonts w:ascii="Arial" w:hAnsi="Arial"/>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c>
          <w:tcPr>
            <w:tcW w:w="3118" w:type="dxa"/>
            <w:tcBorders>
              <w:bottom w:val="single" w:sz="4" w:space="0" w:color="auto"/>
            </w:tcBorders>
          </w:tcPr>
          <w:p>
            <w:pPr>
              <w:pStyle w:val="nTable"/>
              <w:spacing w:after="40"/>
              <w:rPr>
                <w:i/>
              </w:rPr>
            </w:pPr>
            <w:r>
              <w:rPr>
                <w:i/>
              </w:rPr>
              <w:t>Residential Tenancies Amendment Regulations 2017</w:t>
            </w:r>
          </w:p>
        </w:tc>
        <w:tc>
          <w:tcPr>
            <w:tcW w:w="1276" w:type="dxa"/>
            <w:tcBorders>
              <w:bottom w:val="single" w:sz="4" w:space="0" w:color="auto"/>
            </w:tcBorders>
          </w:tcPr>
          <w:p>
            <w:pPr>
              <w:pStyle w:val="nTable"/>
              <w:spacing w:after="40"/>
            </w:pPr>
            <w:r>
              <w:t>30 Jun 2017 p. 3554</w:t>
            </w:r>
            <w:r>
              <w:noBreakHyphen/>
              <w:t>9</w:t>
            </w:r>
          </w:p>
        </w:tc>
        <w:tc>
          <w:tcPr>
            <w:tcW w:w="2693" w:type="dxa"/>
            <w:tcBorders>
              <w:bottom w:val="single" w:sz="4" w:space="0" w:color="auto"/>
            </w:tcBorders>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bl>
    <w:p>
      <w:pPr>
        <w:pStyle w:val="nSubsection"/>
        <w:spacing w:before="160"/>
        <w:rPr>
          <w:vertAlign w:val="superscript"/>
        </w:rPr>
      </w:pPr>
    </w:p>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89" w:name="_Toc485990144"/>
      <w:bookmarkStart w:id="90" w:name="_Toc485990214"/>
      <w:bookmarkStart w:id="91" w:name="_Toc486588453"/>
      <w:bookmarkStart w:id="92" w:name="_Toc486588698"/>
      <w:r>
        <w:rPr>
          <w:sz w:val="28"/>
        </w:rPr>
        <w:t>Defined terms</w:t>
      </w:r>
      <w:bookmarkEnd w:id="89"/>
      <w:bookmarkEnd w:id="90"/>
      <w:bookmarkEnd w:id="91"/>
      <w:bookmarkEnd w:id="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 5039</w:t>
      </w:r>
      <w:r>
        <w:noBreakHyphen/>
        <w:t>2008</w:t>
      </w:r>
      <w:r>
        <w:tab/>
        <w:t>12B(1)</w:t>
      </w:r>
    </w:p>
    <w:p>
      <w:pPr>
        <w:pStyle w:val="DefinedTerms"/>
      </w:pPr>
      <w:r>
        <w:t>bond holder</w:t>
      </w:r>
      <w:r>
        <w:tab/>
        <w:t>15(7)</w:t>
      </w:r>
    </w:p>
    <w:p>
      <w:pPr>
        <w:pStyle w:val="DefinedTerms"/>
      </w:pPr>
      <w:r>
        <w:t>commencement day</w:t>
      </w:r>
      <w:r>
        <w:tab/>
        <w:t>5A(1A)</w:t>
      </w:r>
    </w:p>
    <w:p>
      <w:pPr>
        <w:pStyle w:val="DefinedTerms"/>
      </w:pPr>
      <w:r>
        <w:t>deadlock</w:t>
      </w:r>
      <w:r>
        <w:tab/>
        <w:t>12B(1)</w:t>
      </w:r>
    </w:p>
    <w:p>
      <w:pPr>
        <w:pStyle w:val="DefinedTerms"/>
      </w:pPr>
      <w:r>
        <w:t>financially disadvantaged person</w:t>
      </w:r>
      <w:r>
        <w:tab/>
        <w:t>Sch. 3</w:t>
      </w:r>
    </w:p>
    <w:p>
      <w:pPr>
        <w:pStyle w:val="DefinedTerms"/>
      </w:pPr>
      <w:r>
        <w:t>Foyer Oxford</w:t>
      </w:r>
      <w:r>
        <w:tab/>
        <w:t>7D(1)</w:t>
      </w:r>
    </w:p>
    <w:p>
      <w:pPr>
        <w:pStyle w:val="DefinedTerms"/>
      </w:pPr>
      <w:r>
        <w:t>Government employee</w:t>
      </w:r>
      <w:r>
        <w:tab/>
        <w:t>5B(1)</w:t>
      </w:r>
    </w:p>
    <w:p>
      <w:pPr>
        <w:pStyle w:val="DefinedTerms"/>
      </w:pPr>
      <w:r>
        <w:t>Housing Authority</w:t>
      </w:r>
      <w:r>
        <w:tab/>
        <w:t>3A</w:t>
      </w:r>
    </w:p>
    <w:p>
      <w:pPr>
        <w:pStyle w:val="DefinedTerms"/>
      </w:pPr>
      <w:r>
        <w:t>housing management agreement</w:t>
      </w:r>
      <w:r>
        <w:tab/>
        <w:t>3A</w:t>
      </w:r>
    </w:p>
    <w:p>
      <w:pPr>
        <w:pStyle w:val="DefinedTerms"/>
      </w:pPr>
      <w:r>
        <w:t>person of Aboriginal descent</w:t>
      </w:r>
      <w:r>
        <w:tab/>
        <w:t>5AD(1)</w:t>
      </w:r>
    </w:p>
    <w:p>
      <w:pPr>
        <w:pStyle w:val="DefinedTerms"/>
      </w:pPr>
      <w:r>
        <w:t>premises</w:t>
      </w:r>
      <w:r>
        <w:tab/>
        <w:t>5AD(2)</w:t>
      </w:r>
    </w:p>
    <w:p>
      <w:pPr>
        <w:pStyle w:val="DefinedTerms"/>
      </w:pPr>
      <w:r>
        <w:t>Register of Heritage Places</w:t>
      </w:r>
      <w:r>
        <w:tab/>
        <w:t>7A(1)</w:t>
      </w:r>
    </w:p>
    <w:p>
      <w:pPr>
        <w:pStyle w:val="DefinedTerms"/>
      </w:pPr>
      <w:r>
        <w:t>relevant bank accepted bills rate</w:t>
      </w:r>
      <w:r>
        <w:tab/>
        <w:t>14(1)</w:t>
      </w:r>
    </w:p>
    <w:p>
      <w:pPr>
        <w:pStyle w:val="DefinedTerms"/>
      </w:pPr>
      <w:r>
        <w:t>retirement village</w:t>
      </w:r>
      <w:r>
        <w:tab/>
        <w:t>3(2)</w:t>
      </w:r>
    </w:p>
    <w:p>
      <w:pPr>
        <w:pStyle w:val="DefinedTerms"/>
      </w:pPr>
      <w:r>
        <w:t>rural land</w:t>
      </w:r>
      <w:r>
        <w:tab/>
        <w:t>7A(1)</w:t>
      </w:r>
    </w:p>
    <w:p>
      <w:pPr>
        <w:pStyle w:val="DefinedTerms"/>
      </w:pPr>
      <w:r>
        <w:t>security bond</w:t>
      </w:r>
      <w:r>
        <w:tab/>
        <w:t>15(7)</w:t>
      </w:r>
    </w:p>
    <w:p>
      <w:pPr>
        <w:pStyle w:val="DefinedTerms"/>
      </w:pPr>
      <w:r>
        <w:t>specified power</w:t>
      </w:r>
      <w:r>
        <w:tab/>
        <w:t>5(2), 5D(2)</w:t>
      </w:r>
    </w:p>
    <w:p>
      <w:pPr>
        <w:pStyle w:val="DefinedTerms"/>
      </w:pPr>
      <w:r>
        <w:t>St Thomas More College</w:t>
      </w:r>
      <w:r>
        <w:tab/>
        <w:t>5AAA(1)</w:t>
      </w:r>
    </w:p>
    <w:p>
      <w:pPr>
        <w:pStyle w:val="DefinedTerms"/>
      </w:pPr>
      <w:r>
        <w:t>Unclaimed Security Bond Account</w:t>
      </w:r>
      <w:r>
        <w:tab/>
        <w:t>15(7)</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74" w:name="Schedule"/>
    <w:bookmarkEnd w:id="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8" w:name="Compilation"/>
    <w:bookmarkEnd w:id="8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3" w:name="DefinedTerms"/>
    <w:bookmarkEnd w:id="93"/>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4" w:name="Coversheet"/>
    <w:bookmarkEnd w:id="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bordersDoNotSurroundHeader/>
  <w:bordersDoNotSurroundFooter/>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15074741"/>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http://www.commerce.wa.gov.au/ConsumerProtection" TargetMode="Externa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2.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A78203-722A-400D-946C-ED916E9BD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117</Pages>
  <Words>28500</Words>
  <Characters>142505</Characters>
  <Application>Microsoft Office Word</Application>
  <DocSecurity>0</DocSecurity>
  <Lines>4318</Lines>
  <Paragraphs>2310</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168695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1989 - 05-c0-00</dc:title>
  <dc:subject/>
  <dc:creator/>
  <cp:keywords/>
  <dc:description/>
  <cp:lastModifiedBy>svcMRProcess</cp:lastModifiedBy>
  <cp:revision>4</cp:revision>
  <cp:lastPrinted>2016-12-22T08:06:00Z</cp:lastPrinted>
  <dcterms:created xsi:type="dcterms:W3CDTF">2017-06-30T08:52:00Z</dcterms:created>
  <dcterms:modified xsi:type="dcterms:W3CDTF">2017-06-30T08:53:00Z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AsAtDate">
    <vt:lpwstr>03 Jul 2017</vt:lpwstr>
  </property>
  <property fmtid="{D5CDD505-2E9C-101B-9397-08002B2CF9AE}" pid="8" name="Suffix">
    <vt:lpwstr>05-c0-00</vt:lpwstr>
  </property>
  <property fmtid="{D5CDD505-2E9C-101B-9397-08002B2CF9AE}" pid="9" name="CommencementDate">
    <vt:lpwstr>20170703</vt:lpwstr>
  </property>
</Properties>
</file>