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Forest Management Regulations 1993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Forest Management Regulations 1993</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_Toc155067978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_Toc155067979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 xml:space="preserve">Limited application of regulations to persons exercising powers under </w:t>
      </w:r>
      <w:r>
        <w:rPr>
          <w:i/>
          <w:noProof/>
          <w:snapToGrid w:val="0"/>
          <w:szCs w:val="24"/>
        </w:rPr>
        <w:t>Bush Fires Act 1954</w:t>
      </w:r>
      <w:r>
        <w:rPr>
          <w:noProof/>
        </w:rPr>
        <w:tab/>
      </w:r>
      <w:r>
        <w:rPr>
          <w:noProof/>
        </w:rPr>
        <w:fldChar w:fldCharType="begin"/>
      </w:r>
      <w:r>
        <w:rPr>
          <w:noProof/>
        </w:rPr>
        <w:instrText xml:space="preserve"> PAGEREF _Toc155067980 \h </w:instrText>
      </w:r>
      <w:r>
        <w:rPr>
          <w:noProof/>
        </w:rPr>
      </w:r>
      <w:r>
        <w:rPr>
          <w:noProof/>
        </w:rPr>
        <w:fldChar w:fldCharType="separate"/>
      </w:r>
      <w:r>
        <w:rPr>
          <w:noProof/>
        </w:rPr>
        <w:t>4</w:t>
      </w:r>
      <w:r>
        <w:rPr>
          <w:noProof/>
        </w:rPr>
        <w:fldChar w:fldCharType="end"/>
      </w:r>
    </w:p>
    <w:p>
      <w:pPr>
        <w:pStyle w:val="TOC2"/>
        <w:tabs>
          <w:tab w:val="right" w:leader="dot" w:pos="7086"/>
        </w:tabs>
        <w:rPr>
          <w:b w:val="0"/>
          <w:noProof/>
          <w:sz w:val="24"/>
          <w:szCs w:val="24"/>
        </w:rPr>
      </w:pPr>
      <w:r>
        <w:rPr>
          <w:noProof/>
          <w:szCs w:val="30"/>
        </w:rPr>
        <w:t>Part 2 — Registration of timber workers</w:t>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_Toc155067982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Unregistered person not to engage in timber harvesting etc.</w:t>
      </w:r>
      <w:r>
        <w:rPr>
          <w:noProof/>
        </w:rPr>
        <w:tab/>
      </w:r>
      <w:r>
        <w:rPr>
          <w:noProof/>
        </w:rPr>
        <w:fldChar w:fldCharType="begin"/>
      </w:r>
      <w:r>
        <w:rPr>
          <w:noProof/>
        </w:rPr>
        <w:instrText xml:space="preserve"> PAGEREF _Toc155067983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Person not to employ unregistered person to engage in timber harvesting etc.</w:t>
      </w:r>
      <w:r>
        <w:rPr>
          <w:noProof/>
        </w:rPr>
        <w:tab/>
      </w:r>
      <w:r>
        <w:rPr>
          <w:noProof/>
        </w:rPr>
        <w:fldChar w:fldCharType="begin"/>
      </w:r>
      <w:r>
        <w:rPr>
          <w:noProof/>
        </w:rPr>
        <w:instrText xml:space="preserve"> PAGEREF _Toc155067984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Exceptions</w:t>
      </w:r>
      <w:r>
        <w:rPr>
          <w:noProof/>
        </w:rPr>
        <w:tab/>
      </w:r>
      <w:r>
        <w:rPr>
          <w:noProof/>
        </w:rPr>
        <w:fldChar w:fldCharType="begin"/>
      </w:r>
      <w:r>
        <w:rPr>
          <w:noProof/>
        </w:rPr>
        <w:instrText xml:space="preserve"> PAGEREF _Toc155067985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Application for registration</w:t>
      </w:r>
      <w:r>
        <w:rPr>
          <w:noProof/>
        </w:rPr>
        <w:tab/>
      </w:r>
      <w:r>
        <w:rPr>
          <w:noProof/>
        </w:rPr>
        <w:fldChar w:fldCharType="begin"/>
      </w:r>
      <w:r>
        <w:rPr>
          <w:noProof/>
        </w:rPr>
        <w:instrText xml:space="preserve"> PAGEREF _Toc155067986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Registration</w:t>
      </w:r>
      <w:r>
        <w:rPr>
          <w:noProof/>
        </w:rPr>
        <w:tab/>
      </w:r>
      <w:r>
        <w:rPr>
          <w:noProof/>
        </w:rPr>
        <w:fldChar w:fldCharType="begin"/>
      </w:r>
      <w:r>
        <w:rPr>
          <w:noProof/>
        </w:rPr>
        <w:instrText xml:space="preserve"> PAGEREF _Toc155067987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Duration of registration</w:t>
      </w:r>
      <w:r>
        <w:rPr>
          <w:noProof/>
        </w:rPr>
        <w:tab/>
      </w:r>
      <w:r>
        <w:rPr>
          <w:noProof/>
        </w:rPr>
        <w:fldChar w:fldCharType="begin"/>
      </w:r>
      <w:r>
        <w:rPr>
          <w:noProof/>
        </w:rPr>
        <w:instrText xml:space="preserve"> PAGEREF _Toc155067988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Renewal of registration</w:t>
      </w:r>
      <w:r>
        <w:rPr>
          <w:noProof/>
        </w:rPr>
        <w:tab/>
      </w:r>
      <w:r>
        <w:rPr>
          <w:noProof/>
        </w:rPr>
        <w:fldChar w:fldCharType="begin"/>
      </w:r>
      <w:r>
        <w:rPr>
          <w:noProof/>
        </w:rPr>
        <w:instrText xml:space="preserve"> PAGEREF _Toc155067989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Conditions</w:t>
      </w:r>
      <w:r>
        <w:rPr>
          <w:noProof/>
        </w:rPr>
        <w:tab/>
      </w:r>
      <w:r>
        <w:rPr>
          <w:noProof/>
        </w:rPr>
        <w:fldChar w:fldCharType="begin"/>
      </w:r>
      <w:r>
        <w:rPr>
          <w:noProof/>
        </w:rPr>
        <w:instrText xml:space="preserve"> PAGEREF _Toc155067990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Certificates of registration</w:t>
      </w:r>
      <w:r>
        <w:rPr>
          <w:noProof/>
        </w:rPr>
        <w:tab/>
      </w:r>
      <w:r>
        <w:rPr>
          <w:noProof/>
        </w:rPr>
        <w:fldChar w:fldCharType="begin"/>
      </w:r>
      <w:r>
        <w:rPr>
          <w:noProof/>
        </w:rPr>
        <w:instrText xml:space="preserve"> PAGEREF _Toc155067991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Register</w:t>
      </w:r>
      <w:r>
        <w:rPr>
          <w:noProof/>
        </w:rPr>
        <w:tab/>
      </w:r>
      <w:r>
        <w:rPr>
          <w:noProof/>
        </w:rPr>
        <w:fldChar w:fldCharType="begin"/>
      </w:r>
      <w:r>
        <w:rPr>
          <w:noProof/>
        </w:rPr>
        <w:instrText xml:space="preserve"> PAGEREF _Toc155067992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Production of certificate of registration</w:t>
      </w:r>
      <w:r>
        <w:rPr>
          <w:noProof/>
        </w:rPr>
        <w:tab/>
      </w:r>
      <w:r>
        <w:rPr>
          <w:noProof/>
        </w:rPr>
        <w:fldChar w:fldCharType="begin"/>
      </w:r>
      <w:r>
        <w:rPr>
          <w:noProof/>
        </w:rPr>
        <w:instrText xml:space="preserve"> PAGEREF _Toc155067993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Notification of change in particulars</w:t>
      </w:r>
      <w:r>
        <w:rPr>
          <w:noProof/>
        </w:rPr>
        <w:tab/>
      </w:r>
      <w:r>
        <w:rPr>
          <w:noProof/>
        </w:rPr>
        <w:fldChar w:fldCharType="begin"/>
      </w:r>
      <w:r>
        <w:rPr>
          <w:noProof/>
        </w:rPr>
        <w:instrText xml:space="preserve"> PAGEREF _Toc155067994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Executive Director may cancel, suspend, refuse to renew, etc. registration</w:t>
      </w:r>
      <w:r>
        <w:rPr>
          <w:noProof/>
        </w:rPr>
        <w:tab/>
      </w:r>
      <w:r>
        <w:rPr>
          <w:noProof/>
        </w:rPr>
        <w:fldChar w:fldCharType="begin"/>
      </w:r>
      <w:r>
        <w:rPr>
          <w:noProof/>
        </w:rPr>
        <w:instrText xml:space="preserve"> PAGEREF _Toc155067995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Return of certificate of registration</w:t>
      </w:r>
      <w:r>
        <w:rPr>
          <w:noProof/>
        </w:rPr>
        <w:tab/>
      </w:r>
      <w:r>
        <w:rPr>
          <w:noProof/>
        </w:rPr>
        <w:fldChar w:fldCharType="begin"/>
      </w:r>
      <w:r>
        <w:rPr>
          <w:noProof/>
        </w:rPr>
        <w:instrText xml:space="preserve"> PAGEREF _Toc155067996 \h </w:instrText>
      </w:r>
      <w:r>
        <w:rPr>
          <w:noProof/>
        </w:rPr>
      </w:r>
      <w:r>
        <w:rPr>
          <w:noProof/>
        </w:rPr>
        <w:fldChar w:fldCharType="separate"/>
      </w:r>
      <w:r>
        <w:rPr>
          <w:noProof/>
        </w:rPr>
        <w:t>11</w:t>
      </w:r>
      <w:r>
        <w:rPr>
          <w:noProof/>
        </w:rPr>
        <w:fldChar w:fldCharType="end"/>
      </w:r>
    </w:p>
    <w:p>
      <w:pPr>
        <w:pStyle w:val="TOC2"/>
        <w:tabs>
          <w:tab w:val="right" w:leader="dot" w:pos="7086"/>
        </w:tabs>
        <w:rPr>
          <w:b w:val="0"/>
          <w:noProof/>
          <w:sz w:val="24"/>
          <w:szCs w:val="24"/>
        </w:rPr>
      </w:pPr>
      <w:r>
        <w:rPr>
          <w:noProof/>
          <w:szCs w:val="30"/>
        </w:rPr>
        <w:lastRenderedPageBreak/>
        <w:t>Part 3 — General requirements relating to felling of trees in State forests and timber reserves</w:t>
      </w:r>
    </w:p>
    <w:p>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Felling of trees outside coupes generally prohibited</w:t>
      </w:r>
      <w:r>
        <w:rPr>
          <w:noProof/>
        </w:rPr>
        <w:tab/>
      </w:r>
      <w:r>
        <w:rPr>
          <w:noProof/>
        </w:rPr>
        <w:fldChar w:fldCharType="begin"/>
      </w:r>
      <w:r>
        <w:rPr>
          <w:noProof/>
        </w:rPr>
        <w:instrText xml:space="preserve"> PAGEREF _Toc155067998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Authorization to fell individual trees outside coupes</w:t>
      </w:r>
      <w:r>
        <w:rPr>
          <w:noProof/>
        </w:rPr>
        <w:tab/>
      </w:r>
      <w:r>
        <w:rPr>
          <w:noProof/>
        </w:rPr>
        <w:fldChar w:fldCharType="begin"/>
      </w:r>
      <w:r>
        <w:rPr>
          <w:noProof/>
        </w:rPr>
        <w:instrText xml:space="preserve"> PAGEREF _Toc155067999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Record to be made by forest officer of coupes etc. allocated</w:t>
      </w:r>
      <w:r>
        <w:rPr>
          <w:noProof/>
        </w:rPr>
        <w:tab/>
      </w:r>
      <w:r>
        <w:rPr>
          <w:noProof/>
        </w:rPr>
        <w:fldChar w:fldCharType="begin"/>
      </w:r>
      <w:r>
        <w:rPr>
          <w:noProof/>
        </w:rPr>
        <w:instrText xml:space="preserve"> PAGEREF _Toc155068000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Obstruction</w:t>
      </w:r>
      <w:r>
        <w:rPr>
          <w:noProof/>
        </w:rPr>
        <w:tab/>
      </w:r>
      <w:r>
        <w:rPr>
          <w:noProof/>
        </w:rPr>
        <w:fldChar w:fldCharType="begin"/>
      </w:r>
      <w:r>
        <w:rPr>
          <w:noProof/>
        </w:rPr>
        <w:instrText xml:space="preserve"> PAGEREF _Toc155068001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Damage to power lines etc.</w:t>
      </w:r>
      <w:r>
        <w:rPr>
          <w:noProof/>
        </w:rPr>
        <w:tab/>
      </w:r>
      <w:r>
        <w:rPr>
          <w:noProof/>
        </w:rPr>
        <w:fldChar w:fldCharType="begin"/>
      </w:r>
      <w:r>
        <w:rPr>
          <w:noProof/>
        </w:rPr>
        <w:instrText xml:space="preserve"> PAGEREF _Toc155068002 \h </w:instrText>
      </w:r>
      <w:r>
        <w:rPr>
          <w:noProof/>
        </w:rPr>
      </w:r>
      <w:r>
        <w:rPr>
          <w:noProof/>
        </w:rPr>
        <w:fldChar w:fldCharType="separate"/>
      </w:r>
      <w:r>
        <w:rPr>
          <w:noProof/>
        </w:rPr>
        <w:t>13</w:t>
      </w:r>
      <w:r>
        <w:rPr>
          <w:noProof/>
        </w:rPr>
        <w:fldChar w:fldCharType="end"/>
      </w:r>
    </w:p>
    <w:p>
      <w:pPr>
        <w:pStyle w:val="TOC2"/>
        <w:tabs>
          <w:tab w:val="right" w:leader="dot" w:pos="7086"/>
        </w:tabs>
        <w:rPr>
          <w:b w:val="0"/>
          <w:noProof/>
          <w:sz w:val="24"/>
          <w:szCs w:val="24"/>
        </w:rPr>
      </w:pPr>
      <w:r>
        <w:rPr>
          <w:noProof/>
          <w:szCs w:val="30"/>
        </w:rPr>
        <w:t>Part 4 — Identification codes</w:t>
      </w:r>
    </w:p>
    <w:p>
      <w:pPr>
        <w:pStyle w:val="TOC3"/>
        <w:rPr>
          <w:noProof/>
          <w:sz w:val="24"/>
          <w:szCs w:val="24"/>
        </w:rPr>
      </w:pPr>
      <w:r>
        <w:rPr>
          <w:noProof/>
          <w:szCs w:val="26"/>
        </w:rPr>
        <w:t>Division 1</w:t>
      </w:r>
      <w:r>
        <w:rPr>
          <w:noProof/>
          <w:snapToGrid w:val="0"/>
          <w:szCs w:val="26"/>
        </w:rPr>
        <w:t> — </w:t>
      </w:r>
      <w:r>
        <w:rPr>
          <w:noProof/>
          <w:szCs w:val="26"/>
        </w:rPr>
        <w:t>Identification of fellers</w:t>
      </w:r>
    </w:p>
    <w:p>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Person not to fell tree in State forest or timber reserve without identification code</w:t>
      </w:r>
      <w:r>
        <w:rPr>
          <w:noProof/>
        </w:rPr>
        <w:tab/>
      </w:r>
      <w:r>
        <w:rPr>
          <w:noProof/>
        </w:rPr>
        <w:fldChar w:fldCharType="begin"/>
      </w:r>
      <w:r>
        <w:rPr>
          <w:noProof/>
        </w:rPr>
        <w:instrText xml:space="preserve"> PAGEREF _Toc155068005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Application for feller’s identification code</w:t>
      </w:r>
      <w:r>
        <w:rPr>
          <w:noProof/>
        </w:rPr>
        <w:tab/>
      </w:r>
      <w:r>
        <w:rPr>
          <w:noProof/>
        </w:rPr>
        <w:fldChar w:fldCharType="begin"/>
      </w:r>
      <w:r>
        <w:rPr>
          <w:noProof/>
        </w:rPr>
        <w:instrText xml:space="preserve"> PAGEREF _Toc155068006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Registration of feller’s identification code</w:t>
      </w:r>
      <w:r>
        <w:rPr>
          <w:noProof/>
        </w:rPr>
        <w:tab/>
      </w:r>
      <w:r>
        <w:rPr>
          <w:noProof/>
        </w:rPr>
        <w:fldChar w:fldCharType="begin"/>
      </w:r>
      <w:r>
        <w:rPr>
          <w:noProof/>
        </w:rPr>
        <w:instrText xml:space="preserve"> PAGEREF _Toc155068007 \h </w:instrText>
      </w:r>
      <w:r>
        <w:rPr>
          <w:noProof/>
        </w:rPr>
      </w:r>
      <w:r>
        <w:rPr>
          <w:noProof/>
        </w:rPr>
        <w:fldChar w:fldCharType="separate"/>
      </w:r>
      <w:r>
        <w:rPr>
          <w:noProof/>
        </w:rPr>
        <w:t>14</w:t>
      </w:r>
      <w:r>
        <w:rPr>
          <w:noProof/>
        </w:rPr>
        <w:fldChar w:fldCharType="end"/>
      </w:r>
    </w:p>
    <w:p>
      <w:pPr>
        <w:pStyle w:val="TOC3"/>
        <w:rPr>
          <w:noProof/>
          <w:sz w:val="24"/>
          <w:szCs w:val="24"/>
        </w:rPr>
      </w:pPr>
      <w:r>
        <w:rPr>
          <w:noProof/>
          <w:szCs w:val="26"/>
        </w:rPr>
        <w:t>Division 2</w:t>
      </w:r>
      <w:r>
        <w:rPr>
          <w:noProof/>
          <w:snapToGrid w:val="0"/>
          <w:szCs w:val="26"/>
        </w:rPr>
        <w:t> — </w:t>
      </w:r>
      <w:r>
        <w:rPr>
          <w:noProof/>
          <w:szCs w:val="26"/>
        </w:rPr>
        <w:t>Identification of log timber removed from private land</w:t>
      </w:r>
    </w:p>
    <w:p>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Log timber removed from private land to be identified</w:t>
      </w:r>
      <w:r>
        <w:rPr>
          <w:noProof/>
        </w:rPr>
        <w:tab/>
      </w:r>
      <w:r>
        <w:rPr>
          <w:noProof/>
        </w:rPr>
        <w:fldChar w:fldCharType="begin"/>
      </w:r>
      <w:r>
        <w:rPr>
          <w:noProof/>
        </w:rPr>
        <w:instrText xml:space="preserve"> PAGEREF _Toc155068009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Application for owner’s identification code</w:t>
      </w:r>
      <w:r>
        <w:rPr>
          <w:noProof/>
        </w:rPr>
        <w:tab/>
      </w:r>
      <w:r>
        <w:rPr>
          <w:noProof/>
        </w:rPr>
        <w:fldChar w:fldCharType="begin"/>
      </w:r>
      <w:r>
        <w:rPr>
          <w:noProof/>
        </w:rPr>
        <w:instrText xml:space="preserve"> PAGEREF _Toc155068010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29</w:t>
      </w:r>
      <w:r>
        <w:rPr>
          <w:noProof/>
          <w:snapToGrid w:val="0"/>
          <w:szCs w:val="24"/>
        </w:rPr>
        <w:t>.</w:t>
      </w:r>
      <w:r>
        <w:rPr>
          <w:noProof/>
          <w:sz w:val="24"/>
          <w:szCs w:val="24"/>
        </w:rPr>
        <w:tab/>
      </w:r>
      <w:r>
        <w:rPr>
          <w:noProof/>
          <w:snapToGrid w:val="0"/>
          <w:szCs w:val="24"/>
        </w:rPr>
        <w:t>Registration of owner’s identification code</w:t>
      </w:r>
      <w:r>
        <w:rPr>
          <w:noProof/>
        </w:rPr>
        <w:tab/>
      </w:r>
      <w:r>
        <w:rPr>
          <w:noProof/>
        </w:rPr>
        <w:fldChar w:fldCharType="begin"/>
      </w:r>
      <w:r>
        <w:rPr>
          <w:noProof/>
        </w:rPr>
        <w:instrText xml:space="preserve"> PAGEREF _Toc155068011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Alteration, etc. of owner’s identification code prohibited</w:t>
      </w:r>
      <w:r>
        <w:rPr>
          <w:noProof/>
        </w:rPr>
        <w:tab/>
      </w:r>
      <w:r>
        <w:rPr>
          <w:noProof/>
        </w:rPr>
        <w:fldChar w:fldCharType="begin"/>
      </w:r>
      <w:r>
        <w:rPr>
          <w:noProof/>
        </w:rPr>
        <w:instrText xml:space="preserve"> PAGEREF _Toc155068012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Use of incorrect owner’s identification code prohibited</w:t>
      </w:r>
      <w:r>
        <w:rPr>
          <w:noProof/>
        </w:rPr>
        <w:tab/>
      </w:r>
      <w:r>
        <w:rPr>
          <w:noProof/>
        </w:rPr>
        <w:fldChar w:fldCharType="begin"/>
      </w:r>
      <w:r>
        <w:rPr>
          <w:noProof/>
        </w:rPr>
        <w:instrText xml:space="preserve"> PAGEREF _Toc155068013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Marking of owner’s identification code on State forest timber prohibited</w:t>
      </w:r>
      <w:r>
        <w:rPr>
          <w:noProof/>
        </w:rPr>
        <w:tab/>
      </w:r>
      <w:r>
        <w:rPr>
          <w:noProof/>
        </w:rPr>
        <w:fldChar w:fldCharType="begin"/>
      </w:r>
      <w:r>
        <w:rPr>
          <w:noProof/>
        </w:rPr>
        <w:instrText xml:space="preserve"> PAGEREF _Toc155068014 \h </w:instrText>
      </w:r>
      <w:r>
        <w:rPr>
          <w:noProof/>
        </w:rPr>
      </w:r>
      <w:r>
        <w:rPr>
          <w:noProof/>
        </w:rPr>
        <w:fldChar w:fldCharType="separate"/>
      </w:r>
      <w:r>
        <w:rPr>
          <w:noProof/>
        </w:rPr>
        <w:t>17</w:t>
      </w:r>
      <w:r>
        <w:rPr>
          <w:noProof/>
        </w:rPr>
        <w:fldChar w:fldCharType="end"/>
      </w:r>
    </w:p>
    <w:p>
      <w:pPr>
        <w:pStyle w:val="TOC3"/>
        <w:rPr>
          <w:noProof/>
          <w:sz w:val="24"/>
          <w:szCs w:val="24"/>
        </w:rPr>
      </w:pPr>
      <w:r>
        <w:rPr>
          <w:noProof/>
          <w:szCs w:val="26"/>
        </w:rPr>
        <w:t>Division 3</w:t>
      </w:r>
      <w:r>
        <w:rPr>
          <w:noProof/>
          <w:snapToGrid w:val="0"/>
          <w:szCs w:val="26"/>
        </w:rPr>
        <w:t> — </w:t>
      </w:r>
      <w:r>
        <w:rPr>
          <w:noProof/>
          <w:szCs w:val="26"/>
        </w:rPr>
        <w:t>General</w:t>
      </w:r>
    </w:p>
    <w:p>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Identification codes not transferable</w:t>
      </w:r>
      <w:r>
        <w:rPr>
          <w:noProof/>
        </w:rPr>
        <w:tab/>
      </w:r>
      <w:r>
        <w:rPr>
          <w:noProof/>
        </w:rPr>
        <w:fldChar w:fldCharType="begin"/>
      </w:r>
      <w:r>
        <w:rPr>
          <w:noProof/>
        </w:rPr>
        <w:instrText xml:space="preserve"> PAGEREF _Toc155068016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Register of identification codes</w:t>
      </w:r>
      <w:r>
        <w:rPr>
          <w:noProof/>
        </w:rPr>
        <w:tab/>
      </w:r>
      <w:r>
        <w:rPr>
          <w:noProof/>
        </w:rPr>
        <w:fldChar w:fldCharType="begin"/>
      </w:r>
      <w:r>
        <w:rPr>
          <w:noProof/>
        </w:rPr>
        <w:instrText xml:space="preserve"> PAGEREF _Toc155068017 \h </w:instrText>
      </w:r>
      <w:r>
        <w:rPr>
          <w:noProof/>
        </w:rPr>
      </w:r>
      <w:r>
        <w:rPr>
          <w:noProof/>
        </w:rPr>
        <w:fldChar w:fldCharType="separate"/>
      </w:r>
      <w:r>
        <w:rPr>
          <w:noProof/>
        </w:rPr>
        <w:t>17</w:t>
      </w:r>
      <w:r>
        <w:rPr>
          <w:noProof/>
        </w:rPr>
        <w:fldChar w:fldCharType="end"/>
      </w:r>
    </w:p>
    <w:p>
      <w:pPr>
        <w:pStyle w:val="TOC2"/>
        <w:tabs>
          <w:tab w:val="right" w:leader="dot" w:pos="7086"/>
        </w:tabs>
        <w:rPr>
          <w:b w:val="0"/>
          <w:noProof/>
          <w:sz w:val="24"/>
          <w:szCs w:val="24"/>
        </w:rPr>
      </w:pPr>
      <w:r>
        <w:rPr>
          <w:noProof/>
          <w:szCs w:val="30"/>
        </w:rPr>
        <w:t>Part 5 — Log delivery notes</w:t>
      </w:r>
    </w:p>
    <w:p>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Log timber not to be removed from State forest or timber reserve unless log delivery note completed</w:t>
      </w:r>
      <w:r>
        <w:rPr>
          <w:noProof/>
        </w:rPr>
        <w:tab/>
      </w:r>
      <w:r>
        <w:rPr>
          <w:noProof/>
        </w:rPr>
        <w:fldChar w:fldCharType="begin"/>
      </w:r>
      <w:r>
        <w:rPr>
          <w:noProof/>
        </w:rPr>
        <w:instrText xml:space="preserve"> PAGEREF _Toc155068019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Information required in log delivery note</w:t>
      </w:r>
      <w:r>
        <w:rPr>
          <w:noProof/>
        </w:rPr>
        <w:tab/>
      </w:r>
      <w:r>
        <w:rPr>
          <w:noProof/>
        </w:rPr>
        <w:fldChar w:fldCharType="begin"/>
      </w:r>
      <w:r>
        <w:rPr>
          <w:noProof/>
        </w:rPr>
        <w:instrText xml:space="preserve"> PAGEREF _Toc155068020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37</w:t>
      </w:r>
      <w:r>
        <w:rPr>
          <w:noProof/>
          <w:snapToGrid w:val="0"/>
          <w:szCs w:val="24"/>
        </w:rPr>
        <w:t>.</w:t>
      </w:r>
      <w:r>
        <w:rPr>
          <w:noProof/>
          <w:sz w:val="24"/>
          <w:szCs w:val="24"/>
        </w:rPr>
        <w:tab/>
      </w:r>
      <w:r>
        <w:rPr>
          <w:noProof/>
          <w:snapToGrid w:val="0"/>
          <w:szCs w:val="24"/>
        </w:rPr>
        <w:t>One log delivery note may be used for multiple logs</w:t>
      </w:r>
      <w:r>
        <w:rPr>
          <w:noProof/>
        </w:rPr>
        <w:tab/>
      </w:r>
      <w:r>
        <w:rPr>
          <w:noProof/>
        </w:rPr>
        <w:fldChar w:fldCharType="begin"/>
      </w:r>
      <w:r>
        <w:rPr>
          <w:noProof/>
        </w:rPr>
        <w:instrText xml:space="preserve"> PAGEREF _Toc155068021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Copies to be made of log delivery note</w:t>
      </w:r>
      <w:r>
        <w:rPr>
          <w:noProof/>
        </w:rPr>
        <w:tab/>
      </w:r>
      <w:r>
        <w:rPr>
          <w:noProof/>
        </w:rPr>
        <w:fldChar w:fldCharType="begin"/>
      </w:r>
      <w:r>
        <w:rPr>
          <w:noProof/>
        </w:rPr>
        <w:instrText xml:space="preserve"> PAGEREF _Toc155068022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39</w:t>
      </w:r>
      <w:r>
        <w:rPr>
          <w:noProof/>
          <w:snapToGrid w:val="0"/>
          <w:szCs w:val="24"/>
        </w:rPr>
        <w:t>.</w:t>
      </w:r>
      <w:r>
        <w:rPr>
          <w:noProof/>
          <w:sz w:val="24"/>
          <w:szCs w:val="24"/>
        </w:rPr>
        <w:tab/>
      </w:r>
      <w:r>
        <w:rPr>
          <w:noProof/>
          <w:snapToGrid w:val="0"/>
          <w:szCs w:val="24"/>
        </w:rPr>
        <w:t>Issue and form of log delivery notes</w:t>
      </w:r>
      <w:r>
        <w:rPr>
          <w:noProof/>
        </w:rPr>
        <w:tab/>
      </w:r>
      <w:r>
        <w:rPr>
          <w:noProof/>
        </w:rPr>
        <w:fldChar w:fldCharType="begin"/>
      </w:r>
      <w:r>
        <w:rPr>
          <w:noProof/>
        </w:rPr>
        <w:instrText xml:space="preserve"> PAGEREF _Toc155068023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40</w:t>
      </w:r>
      <w:r>
        <w:rPr>
          <w:noProof/>
          <w:snapToGrid w:val="0"/>
          <w:szCs w:val="24"/>
        </w:rPr>
        <w:t>.</w:t>
      </w:r>
      <w:r>
        <w:rPr>
          <w:noProof/>
          <w:sz w:val="24"/>
          <w:szCs w:val="24"/>
        </w:rPr>
        <w:tab/>
      </w:r>
      <w:r>
        <w:rPr>
          <w:noProof/>
          <w:snapToGrid w:val="0"/>
          <w:szCs w:val="24"/>
        </w:rPr>
        <w:t>Return of unused log delivery notes</w:t>
      </w:r>
      <w:r>
        <w:rPr>
          <w:noProof/>
        </w:rPr>
        <w:tab/>
      </w:r>
      <w:r>
        <w:rPr>
          <w:noProof/>
        </w:rPr>
        <w:fldChar w:fldCharType="begin"/>
      </w:r>
      <w:r>
        <w:rPr>
          <w:noProof/>
        </w:rPr>
        <w:instrText xml:space="preserve"> PAGEREF _Toc155068024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41</w:t>
      </w:r>
      <w:r>
        <w:rPr>
          <w:noProof/>
          <w:snapToGrid w:val="0"/>
          <w:szCs w:val="24"/>
        </w:rPr>
        <w:t>.</w:t>
      </w:r>
      <w:r>
        <w:rPr>
          <w:noProof/>
          <w:sz w:val="24"/>
          <w:szCs w:val="24"/>
        </w:rPr>
        <w:tab/>
      </w:r>
      <w:r>
        <w:rPr>
          <w:noProof/>
          <w:snapToGrid w:val="0"/>
          <w:szCs w:val="24"/>
        </w:rPr>
        <w:t>Destruction of log delivery notes prohibited</w:t>
      </w:r>
      <w:r>
        <w:rPr>
          <w:noProof/>
        </w:rPr>
        <w:tab/>
      </w:r>
      <w:r>
        <w:rPr>
          <w:noProof/>
        </w:rPr>
        <w:fldChar w:fldCharType="begin"/>
      </w:r>
      <w:r>
        <w:rPr>
          <w:noProof/>
        </w:rPr>
        <w:instrText xml:space="preserve"> PAGEREF _Toc155068025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42</w:t>
      </w:r>
      <w:r>
        <w:rPr>
          <w:noProof/>
          <w:snapToGrid w:val="0"/>
          <w:szCs w:val="24"/>
        </w:rPr>
        <w:t>.</w:t>
      </w:r>
      <w:r>
        <w:rPr>
          <w:noProof/>
          <w:sz w:val="24"/>
          <w:szCs w:val="24"/>
        </w:rPr>
        <w:tab/>
      </w:r>
      <w:r>
        <w:rPr>
          <w:noProof/>
          <w:snapToGrid w:val="0"/>
          <w:szCs w:val="24"/>
        </w:rPr>
        <w:t>Requirement to return, or account for, log delivery notes</w:t>
      </w:r>
      <w:r>
        <w:rPr>
          <w:noProof/>
        </w:rPr>
        <w:tab/>
      </w:r>
      <w:r>
        <w:rPr>
          <w:noProof/>
        </w:rPr>
        <w:fldChar w:fldCharType="begin"/>
      </w:r>
      <w:r>
        <w:rPr>
          <w:noProof/>
        </w:rPr>
        <w:instrText xml:space="preserve"> PAGEREF _Toc155068026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43</w:t>
      </w:r>
      <w:r>
        <w:rPr>
          <w:noProof/>
          <w:snapToGrid w:val="0"/>
          <w:szCs w:val="24"/>
        </w:rPr>
        <w:t>.</w:t>
      </w:r>
      <w:r>
        <w:rPr>
          <w:noProof/>
          <w:sz w:val="24"/>
          <w:szCs w:val="24"/>
        </w:rPr>
        <w:tab/>
      </w:r>
      <w:r>
        <w:rPr>
          <w:noProof/>
          <w:snapToGrid w:val="0"/>
          <w:szCs w:val="24"/>
        </w:rPr>
        <w:t>False statements</w:t>
      </w:r>
      <w:r>
        <w:rPr>
          <w:noProof/>
        </w:rPr>
        <w:tab/>
      </w:r>
      <w:r>
        <w:rPr>
          <w:noProof/>
        </w:rPr>
        <w:fldChar w:fldCharType="begin"/>
      </w:r>
      <w:r>
        <w:rPr>
          <w:noProof/>
        </w:rPr>
        <w:instrText xml:space="preserve"> PAGEREF _Toc155068027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44</w:t>
      </w:r>
      <w:r>
        <w:rPr>
          <w:noProof/>
          <w:snapToGrid w:val="0"/>
          <w:szCs w:val="24"/>
        </w:rPr>
        <w:t>.</w:t>
      </w:r>
      <w:r>
        <w:rPr>
          <w:noProof/>
          <w:sz w:val="24"/>
          <w:szCs w:val="24"/>
        </w:rPr>
        <w:tab/>
      </w:r>
      <w:r>
        <w:rPr>
          <w:noProof/>
          <w:snapToGrid w:val="0"/>
          <w:szCs w:val="24"/>
        </w:rPr>
        <w:t>Alteration, etc. of log delivery notes prohibited</w:t>
      </w:r>
      <w:r>
        <w:rPr>
          <w:noProof/>
        </w:rPr>
        <w:tab/>
      </w:r>
      <w:r>
        <w:rPr>
          <w:noProof/>
        </w:rPr>
        <w:fldChar w:fldCharType="begin"/>
      </w:r>
      <w:r>
        <w:rPr>
          <w:noProof/>
        </w:rPr>
        <w:instrText xml:space="preserve"> PAGEREF _Toc155068028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45</w:t>
      </w:r>
      <w:r>
        <w:rPr>
          <w:noProof/>
          <w:snapToGrid w:val="0"/>
          <w:szCs w:val="24"/>
        </w:rPr>
        <w:t>.</w:t>
      </w:r>
      <w:r>
        <w:rPr>
          <w:noProof/>
          <w:sz w:val="24"/>
          <w:szCs w:val="24"/>
        </w:rPr>
        <w:tab/>
      </w:r>
      <w:r>
        <w:rPr>
          <w:noProof/>
          <w:snapToGrid w:val="0"/>
          <w:szCs w:val="24"/>
        </w:rPr>
        <w:t>Log delivery notes to be carried in vehicle</w:t>
      </w:r>
      <w:r>
        <w:rPr>
          <w:noProof/>
        </w:rPr>
        <w:tab/>
      </w:r>
      <w:r>
        <w:rPr>
          <w:noProof/>
        </w:rPr>
        <w:fldChar w:fldCharType="begin"/>
      </w:r>
      <w:r>
        <w:rPr>
          <w:noProof/>
        </w:rPr>
        <w:instrText xml:space="preserve"> PAGEREF _Toc155068029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46</w:t>
      </w:r>
      <w:r>
        <w:rPr>
          <w:noProof/>
          <w:snapToGrid w:val="0"/>
          <w:szCs w:val="24"/>
        </w:rPr>
        <w:t>.</w:t>
      </w:r>
      <w:r>
        <w:rPr>
          <w:noProof/>
          <w:sz w:val="24"/>
          <w:szCs w:val="24"/>
        </w:rPr>
        <w:tab/>
      </w:r>
      <w:r>
        <w:rPr>
          <w:noProof/>
          <w:snapToGrid w:val="0"/>
          <w:szCs w:val="24"/>
        </w:rPr>
        <w:t>Driver of loaded vehicle to produce log delivery note</w:t>
      </w:r>
      <w:r>
        <w:rPr>
          <w:noProof/>
        </w:rPr>
        <w:tab/>
      </w:r>
      <w:r>
        <w:rPr>
          <w:noProof/>
        </w:rPr>
        <w:fldChar w:fldCharType="begin"/>
      </w:r>
      <w:r>
        <w:rPr>
          <w:noProof/>
        </w:rPr>
        <w:instrText xml:space="preserve"> PAGEREF _Toc155068030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47</w:t>
      </w:r>
      <w:r>
        <w:rPr>
          <w:noProof/>
          <w:snapToGrid w:val="0"/>
          <w:szCs w:val="24"/>
        </w:rPr>
        <w:t>.</w:t>
      </w:r>
      <w:r>
        <w:rPr>
          <w:noProof/>
          <w:sz w:val="24"/>
          <w:szCs w:val="24"/>
        </w:rPr>
        <w:tab/>
      </w:r>
      <w:r>
        <w:rPr>
          <w:noProof/>
          <w:snapToGrid w:val="0"/>
          <w:szCs w:val="24"/>
        </w:rPr>
        <w:t>Timber to be delivered to person and place specified in log delivery note</w:t>
      </w:r>
      <w:r>
        <w:rPr>
          <w:noProof/>
        </w:rPr>
        <w:tab/>
      </w:r>
      <w:r>
        <w:rPr>
          <w:noProof/>
        </w:rPr>
        <w:fldChar w:fldCharType="begin"/>
      </w:r>
      <w:r>
        <w:rPr>
          <w:noProof/>
        </w:rPr>
        <w:instrText xml:space="preserve"> PAGEREF _Toc155068031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48</w:t>
      </w:r>
      <w:r>
        <w:rPr>
          <w:noProof/>
          <w:snapToGrid w:val="0"/>
          <w:szCs w:val="24"/>
        </w:rPr>
        <w:t>.</w:t>
      </w:r>
      <w:r>
        <w:rPr>
          <w:noProof/>
          <w:sz w:val="24"/>
          <w:szCs w:val="24"/>
        </w:rPr>
        <w:tab/>
      </w:r>
      <w:r>
        <w:rPr>
          <w:noProof/>
          <w:snapToGrid w:val="0"/>
          <w:szCs w:val="24"/>
        </w:rPr>
        <w:t>Log delivery note to be delivered with timber</w:t>
      </w:r>
      <w:r>
        <w:rPr>
          <w:noProof/>
        </w:rPr>
        <w:tab/>
      </w:r>
      <w:r>
        <w:rPr>
          <w:noProof/>
        </w:rPr>
        <w:fldChar w:fldCharType="begin"/>
      </w:r>
      <w:r>
        <w:rPr>
          <w:noProof/>
        </w:rPr>
        <w:instrText xml:space="preserve"> PAGEREF _Toc155068032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49</w:t>
      </w:r>
      <w:r>
        <w:rPr>
          <w:noProof/>
          <w:snapToGrid w:val="0"/>
          <w:szCs w:val="24"/>
        </w:rPr>
        <w:t>.</w:t>
      </w:r>
      <w:r>
        <w:rPr>
          <w:noProof/>
          <w:sz w:val="24"/>
          <w:szCs w:val="24"/>
        </w:rPr>
        <w:tab/>
      </w:r>
      <w:r>
        <w:rPr>
          <w:noProof/>
          <w:snapToGrid w:val="0"/>
          <w:szCs w:val="24"/>
        </w:rPr>
        <w:t>Minimum objective for checking of log delivery notes in the field</w:t>
      </w:r>
      <w:r>
        <w:rPr>
          <w:noProof/>
        </w:rPr>
        <w:tab/>
      </w:r>
      <w:r>
        <w:rPr>
          <w:noProof/>
        </w:rPr>
        <w:fldChar w:fldCharType="begin"/>
      </w:r>
      <w:r>
        <w:rPr>
          <w:noProof/>
        </w:rPr>
        <w:instrText xml:space="preserve"> PAGEREF _Toc155068033 \h </w:instrText>
      </w:r>
      <w:r>
        <w:rPr>
          <w:noProof/>
        </w:rPr>
      </w:r>
      <w:r>
        <w:rPr>
          <w:noProof/>
        </w:rPr>
        <w:fldChar w:fldCharType="separate"/>
      </w:r>
      <w:r>
        <w:rPr>
          <w:noProof/>
        </w:rPr>
        <w:t>23</w:t>
      </w:r>
      <w:r>
        <w:rPr>
          <w:noProof/>
        </w:rPr>
        <w:fldChar w:fldCharType="end"/>
      </w:r>
    </w:p>
    <w:p>
      <w:pPr>
        <w:pStyle w:val="TOC2"/>
        <w:tabs>
          <w:tab w:val="right" w:leader="dot" w:pos="7086"/>
        </w:tabs>
        <w:rPr>
          <w:b w:val="0"/>
          <w:noProof/>
          <w:sz w:val="24"/>
          <w:szCs w:val="24"/>
        </w:rPr>
      </w:pPr>
      <w:r>
        <w:rPr>
          <w:noProof/>
          <w:szCs w:val="30"/>
        </w:rPr>
        <w:t>Part 6 — Specific requirements relating to sawmills</w:t>
      </w:r>
    </w:p>
    <w:p>
      <w:pPr>
        <w:pStyle w:val="TOC4"/>
        <w:tabs>
          <w:tab w:val="left" w:pos="1701"/>
        </w:tabs>
        <w:rPr>
          <w:noProof/>
          <w:sz w:val="24"/>
          <w:szCs w:val="24"/>
        </w:rPr>
      </w:pPr>
      <w:r>
        <w:rPr>
          <w:noProof/>
          <w:szCs w:val="24"/>
        </w:rPr>
        <w:t>50</w:t>
      </w:r>
      <w:r>
        <w:rPr>
          <w:noProof/>
          <w:snapToGrid w:val="0"/>
          <w:szCs w:val="24"/>
        </w:rPr>
        <w:t>.</w:t>
      </w:r>
      <w:r>
        <w:rPr>
          <w:noProof/>
          <w:sz w:val="24"/>
          <w:szCs w:val="24"/>
        </w:rPr>
        <w:tab/>
      </w:r>
      <w:r>
        <w:rPr>
          <w:noProof/>
          <w:snapToGrid w:val="0"/>
          <w:szCs w:val="24"/>
        </w:rPr>
        <w:t>Log timber from State forest or timber reserve not to be received at sawmill without log delivery note</w:t>
      </w:r>
      <w:r>
        <w:rPr>
          <w:noProof/>
        </w:rPr>
        <w:tab/>
      </w:r>
      <w:r>
        <w:rPr>
          <w:noProof/>
        </w:rPr>
        <w:fldChar w:fldCharType="begin"/>
      </w:r>
      <w:r>
        <w:rPr>
          <w:noProof/>
        </w:rPr>
        <w:instrText xml:space="preserve"> PAGEREF _Toc155068035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51</w:t>
      </w:r>
      <w:r>
        <w:rPr>
          <w:noProof/>
          <w:snapToGrid w:val="0"/>
          <w:szCs w:val="24"/>
        </w:rPr>
        <w:t>.</w:t>
      </w:r>
      <w:r>
        <w:rPr>
          <w:noProof/>
          <w:sz w:val="24"/>
          <w:szCs w:val="24"/>
        </w:rPr>
        <w:tab/>
      </w:r>
      <w:r>
        <w:rPr>
          <w:noProof/>
          <w:snapToGrid w:val="0"/>
          <w:szCs w:val="24"/>
        </w:rPr>
        <w:t>Log delivery note to be signed at sawmill</w:t>
      </w:r>
      <w:r>
        <w:rPr>
          <w:noProof/>
        </w:rPr>
        <w:tab/>
      </w:r>
      <w:r>
        <w:rPr>
          <w:noProof/>
        </w:rPr>
        <w:fldChar w:fldCharType="begin"/>
      </w:r>
      <w:r>
        <w:rPr>
          <w:noProof/>
        </w:rPr>
        <w:instrText xml:space="preserve"> PAGEREF _Toc155068036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52</w:t>
      </w:r>
      <w:r>
        <w:rPr>
          <w:noProof/>
          <w:snapToGrid w:val="0"/>
          <w:szCs w:val="24"/>
        </w:rPr>
        <w:t>.</w:t>
      </w:r>
      <w:r>
        <w:rPr>
          <w:noProof/>
          <w:sz w:val="24"/>
          <w:szCs w:val="24"/>
        </w:rPr>
        <w:tab/>
      </w:r>
      <w:r>
        <w:rPr>
          <w:noProof/>
          <w:snapToGrid w:val="0"/>
          <w:szCs w:val="24"/>
        </w:rPr>
        <w:t>Original of log delivery note to be delivered to Executive Director within 3 days</w:t>
      </w:r>
      <w:r>
        <w:rPr>
          <w:noProof/>
        </w:rPr>
        <w:tab/>
      </w:r>
      <w:r>
        <w:rPr>
          <w:noProof/>
        </w:rPr>
        <w:fldChar w:fldCharType="begin"/>
      </w:r>
      <w:r>
        <w:rPr>
          <w:noProof/>
        </w:rPr>
        <w:instrText xml:space="preserve"> PAGEREF _Toc155068037 \h </w:instrText>
      </w:r>
      <w:r>
        <w:rPr>
          <w:noProof/>
        </w:rPr>
      </w:r>
      <w:r>
        <w:rPr>
          <w:noProof/>
        </w:rPr>
        <w:fldChar w:fldCharType="separate"/>
      </w:r>
      <w:r>
        <w:rPr>
          <w:noProof/>
        </w:rPr>
        <w:t>24</w:t>
      </w:r>
      <w:r>
        <w:rPr>
          <w:noProof/>
        </w:rPr>
        <w:fldChar w:fldCharType="end"/>
      </w:r>
    </w:p>
    <w:p>
      <w:pPr>
        <w:pStyle w:val="TOC2"/>
        <w:tabs>
          <w:tab w:val="right" w:leader="dot" w:pos="7086"/>
        </w:tabs>
        <w:rPr>
          <w:b w:val="0"/>
          <w:noProof/>
          <w:sz w:val="24"/>
          <w:szCs w:val="24"/>
        </w:rPr>
      </w:pPr>
      <w:r>
        <w:rPr>
          <w:noProof/>
          <w:szCs w:val="30"/>
        </w:rPr>
        <w:t>Part 7 — Determination of log timber quantity</w:t>
      </w:r>
    </w:p>
    <w:p>
      <w:pPr>
        <w:pStyle w:val="TOC4"/>
        <w:tabs>
          <w:tab w:val="left" w:pos="1701"/>
        </w:tabs>
        <w:rPr>
          <w:noProof/>
          <w:sz w:val="24"/>
          <w:szCs w:val="24"/>
        </w:rPr>
      </w:pPr>
      <w:r>
        <w:rPr>
          <w:noProof/>
          <w:szCs w:val="24"/>
        </w:rPr>
        <w:t>53</w:t>
      </w:r>
      <w:r>
        <w:rPr>
          <w:noProof/>
          <w:snapToGrid w:val="0"/>
          <w:szCs w:val="24"/>
        </w:rPr>
        <w:t>.</w:t>
      </w:r>
      <w:r>
        <w:rPr>
          <w:noProof/>
          <w:sz w:val="24"/>
          <w:szCs w:val="24"/>
        </w:rPr>
        <w:tab/>
      </w:r>
      <w:r>
        <w:rPr>
          <w:noProof/>
          <w:snapToGrid w:val="0"/>
          <w:szCs w:val="24"/>
        </w:rPr>
        <w:t>Quantity to be immediately entered in log delivery note</w:t>
      </w:r>
      <w:r>
        <w:rPr>
          <w:noProof/>
        </w:rPr>
        <w:tab/>
      </w:r>
      <w:r>
        <w:rPr>
          <w:noProof/>
        </w:rPr>
        <w:fldChar w:fldCharType="begin"/>
      </w:r>
      <w:r>
        <w:rPr>
          <w:noProof/>
        </w:rPr>
        <w:instrText xml:space="preserve"> PAGEREF _Toc155068039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54</w:t>
      </w:r>
      <w:r>
        <w:rPr>
          <w:noProof/>
          <w:snapToGrid w:val="0"/>
          <w:szCs w:val="24"/>
        </w:rPr>
        <w:t>.</w:t>
      </w:r>
      <w:r>
        <w:rPr>
          <w:noProof/>
          <w:sz w:val="24"/>
          <w:szCs w:val="24"/>
        </w:rPr>
        <w:tab/>
      </w:r>
      <w:r>
        <w:rPr>
          <w:noProof/>
          <w:snapToGrid w:val="0"/>
          <w:szCs w:val="24"/>
        </w:rPr>
        <w:t>Incorrect quantity not to be entered in log delivery note</w:t>
      </w:r>
      <w:r>
        <w:rPr>
          <w:noProof/>
        </w:rPr>
        <w:tab/>
      </w:r>
      <w:r>
        <w:rPr>
          <w:noProof/>
        </w:rPr>
        <w:fldChar w:fldCharType="begin"/>
      </w:r>
      <w:r>
        <w:rPr>
          <w:noProof/>
        </w:rPr>
        <w:instrText xml:space="preserve"> PAGEREF _Toc155068040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55</w:t>
      </w:r>
      <w:r>
        <w:rPr>
          <w:noProof/>
          <w:snapToGrid w:val="0"/>
          <w:szCs w:val="24"/>
        </w:rPr>
        <w:t>.</w:t>
      </w:r>
      <w:r>
        <w:rPr>
          <w:noProof/>
          <w:sz w:val="24"/>
          <w:szCs w:val="24"/>
        </w:rPr>
        <w:tab/>
      </w:r>
      <w:r>
        <w:rPr>
          <w:noProof/>
          <w:snapToGrid w:val="0"/>
          <w:szCs w:val="24"/>
        </w:rPr>
        <w:t>Unquantified timber not to be stored or processed at sawmill</w:t>
      </w:r>
      <w:r>
        <w:rPr>
          <w:noProof/>
        </w:rPr>
        <w:tab/>
      </w:r>
      <w:r>
        <w:rPr>
          <w:noProof/>
        </w:rPr>
        <w:fldChar w:fldCharType="begin"/>
      </w:r>
      <w:r>
        <w:rPr>
          <w:noProof/>
        </w:rPr>
        <w:instrText xml:space="preserve"> PAGEREF _Toc155068041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56</w:t>
      </w:r>
      <w:r>
        <w:rPr>
          <w:noProof/>
          <w:snapToGrid w:val="0"/>
          <w:szCs w:val="24"/>
        </w:rPr>
        <w:t>.</w:t>
      </w:r>
      <w:r>
        <w:rPr>
          <w:noProof/>
          <w:sz w:val="24"/>
          <w:szCs w:val="24"/>
        </w:rPr>
        <w:tab/>
      </w:r>
      <w:r>
        <w:rPr>
          <w:noProof/>
          <w:snapToGrid w:val="0"/>
          <w:szCs w:val="24"/>
        </w:rPr>
        <w:t>Method of determining quantity</w:t>
      </w:r>
      <w:r>
        <w:rPr>
          <w:noProof/>
        </w:rPr>
        <w:tab/>
      </w:r>
      <w:r>
        <w:rPr>
          <w:noProof/>
        </w:rPr>
        <w:fldChar w:fldCharType="begin"/>
      </w:r>
      <w:r>
        <w:rPr>
          <w:noProof/>
        </w:rPr>
        <w:instrText xml:space="preserve"> PAGEREF _Toc155068042 \h </w:instrText>
      </w:r>
      <w:r>
        <w:rPr>
          <w:noProof/>
        </w:rPr>
      </w:r>
      <w:r>
        <w:rPr>
          <w:noProof/>
        </w:rPr>
        <w:fldChar w:fldCharType="separate"/>
      </w:r>
      <w:r>
        <w:rPr>
          <w:noProof/>
        </w:rPr>
        <w:t>26</w:t>
      </w:r>
      <w:r>
        <w:rPr>
          <w:noProof/>
        </w:rPr>
        <w:fldChar w:fldCharType="end"/>
      </w:r>
    </w:p>
    <w:p>
      <w:pPr>
        <w:pStyle w:val="TOC2"/>
        <w:tabs>
          <w:tab w:val="right" w:leader="dot" w:pos="7086"/>
        </w:tabs>
        <w:rPr>
          <w:b w:val="0"/>
          <w:noProof/>
          <w:sz w:val="24"/>
          <w:szCs w:val="24"/>
        </w:rPr>
      </w:pPr>
      <w:r>
        <w:rPr>
          <w:noProof/>
          <w:szCs w:val="30"/>
        </w:rPr>
        <w:t>Part 8 — Log timber receival records</w:t>
      </w:r>
    </w:p>
    <w:p>
      <w:pPr>
        <w:pStyle w:val="TOC4"/>
        <w:tabs>
          <w:tab w:val="left" w:pos="1701"/>
        </w:tabs>
        <w:rPr>
          <w:noProof/>
          <w:sz w:val="24"/>
          <w:szCs w:val="24"/>
        </w:rPr>
      </w:pPr>
      <w:r>
        <w:rPr>
          <w:noProof/>
          <w:szCs w:val="24"/>
        </w:rPr>
        <w:t>57</w:t>
      </w:r>
      <w:r>
        <w:rPr>
          <w:noProof/>
          <w:snapToGrid w:val="0"/>
          <w:szCs w:val="24"/>
        </w:rPr>
        <w:t>.</w:t>
      </w:r>
      <w:r>
        <w:rPr>
          <w:noProof/>
          <w:sz w:val="24"/>
          <w:szCs w:val="24"/>
        </w:rPr>
        <w:tab/>
      </w:r>
      <w:r>
        <w:rPr>
          <w:noProof/>
          <w:snapToGrid w:val="0"/>
          <w:szCs w:val="24"/>
        </w:rPr>
        <w:t>Record of log timber receivals to be made</w:t>
      </w:r>
      <w:r>
        <w:rPr>
          <w:noProof/>
        </w:rPr>
        <w:tab/>
      </w:r>
      <w:r>
        <w:rPr>
          <w:noProof/>
        </w:rPr>
        <w:fldChar w:fldCharType="begin"/>
      </w:r>
      <w:r>
        <w:rPr>
          <w:noProof/>
        </w:rPr>
        <w:instrText xml:space="preserve"> PAGEREF _Toc155068044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58</w:t>
      </w:r>
      <w:r>
        <w:rPr>
          <w:noProof/>
          <w:snapToGrid w:val="0"/>
          <w:szCs w:val="24"/>
        </w:rPr>
        <w:t>.</w:t>
      </w:r>
      <w:r>
        <w:rPr>
          <w:noProof/>
          <w:sz w:val="24"/>
          <w:szCs w:val="24"/>
        </w:rPr>
        <w:tab/>
      </w:r>
      <w:r>
        <w:rPr>
          <w:noProof/>
          <w:snapToGrid w:val="0"/>
          <w:szCs w:val="24"/>
        </w:rPr>
        <w:t>Executive Director to supply forms</w:t>
      </w:r>
      <w:r>
        <w:rPr>
          <w:noProof/>
        </w:rPr>
        <w:tab/>
      </w:r>
      <w:r>
        <w:rPr>
          <w:noProof/>
        </w:rPr>
        <w:fldChar w:fldCharType="begin"/>
      </w:r>
      <w:r>
        <w:rPr>
          <w:noProof/>
        </w:rPr>
        <w:instrText xml:space="preserve"> PAGEREF _Toc155068045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59</w:t>
      </w:r>
      <w:r>
        <w:rPr>
          <w:noProof/>
          <w:snapToGrid w:val="0"/>
          <w:szCs w:val="24"/>
        </w:rPr>
        <w:t>.</w:t>
      </w:r>
      <w:r>
        <w:rPr>
          <w:noProof/>
          <w:sz w:val="24"/>
          <w:szCs w:val="24"/>
        </w:rPr>
        <w:tab/>
      </w:r>
      <w:r>
        <w:rPr>
          <w:noProof/>
          <w:snapToGrid w:val="0"/>
          <w:szCs w:val="24"/>
        </w:rPr>
        <w:t>Copy of records to be kept for 2 years</w:t>
      </w:r>
      <w:r>
        <w:rPr>
          <w:noProof/>
        </w:rPr>
        <w:tab/>
      </w:r>
      <w:r>
        <w:rPr>
          <w:noProof/>
        </w:rPr>
        <w:fldChar w:fldCharType="begin"/>
      </w:r>
      <w:r>
        <w:rPr>
          <w:noProof/>
        </w:rPr>
        <w:instrText xml:space="preserve"> PAGEREF _Toc155068046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60</w:t>
      </w:r>
      <w:r>
        <w:rPr>
          <w:noProof/>
          <w:snapToGrid w:val="0"/>
          <w:szCs w:val="24"/>
        </w:rPr>
        <w:t>.</w:t>
      </w:r>
      <w:r>
        <w:rPr>
          <w:noProof/>
          <w:sz w:val="24"/>
          <w:szCs w:val="24"/>
        </w:rPr>
        <w:tab/>
      </w:r>
      <w:r>
        <w:rPr>
          <w:noProof/>
          <w:snapToGrid w:val="0"/>
          <w:szCs w:val="24"/>
        </w:rPr>
        <w:t>Alteration, etc. of receival records prohibited</w:t>
      </w:r>
      <w:r>
        <w:rPr>
          <w:noProof/>
        </w:rPr>
        <w:tab/>
      </w:r>
      <w:r>
        <w:rPr>
          <w:noProof/>
        </w:rPr>
        <w:fldChar w:fldCharType="begin"/>
      </w:r>
      <w:r>
        <w:rPr>
          <w:noProof/>
        </w:rPr>
        <w:instrText xml:space="preserve"> PAGEREF _Toc155068047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61</w:t>
      </w:r>
      <w:r>
        <w:rPr>
          <w:noProof/>
          <w:snapToGrid w:val="0"/>
          <w:szCs w:val="24"/>
        </w:rPr>
        <w:t>.</w:t>
      </w:r>
      <w:r>
        <w:rPr>
          <w:noProof/>
          <w:sz w:val="24"/>
          <w:szCs w:val="24"/>
        </w:rPr>
        <w:tab/>
      </w:r>
      <w:r>
        <w:rPr>
          <w:noProof/>
          <w:snapToGrid w:val="0"/>
          <w:szCs w:val="24"/>
        </w:rPr>
        <w:t>Removal of records prohibited</w:t>
      </w:r>
      <w:r>
        <w:rPr>
          <w:noProof/>
        </w:rPr>
        <w:tab/>
      </w:r>
      <w:r>
        <w:rPr>
          <w:noProof/>
        </w:rPr>
        <w:fldChar w:fldCharType="begin"/>
      </w:r>
      <w:r>
        <w:rPr>
          <w:noProof/>
        </w:rPr>
        <w:instrText xml:space="preserve"> PAGEREF _Toc155068048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62</w:t>
      </w:r>
      <w:r>
        <w:rPr>
          <w:noProof/>
          <w:snapToGrid w:val="0"/>
          <w:szCs w:val="24"/>
        </w:rPr>
        <w:t>.</w:t>
      </w:r>
      <w:r>
        <w:rPr>
          <w:noProof/>
          <w:sz w:val="24"/>
          <w:szCs w:val="24"/>
        </w:rPr>
        <w:tab/>
      </w:r>
      <w:r>
        <w:rPr>
          <w:noProof/>
          <w:snapToGrid w:val="0"/>
          <w:szCs w:val="24"/>
        </w:rPr>
        <w:t>Receival records to be delivered at the end of the month</w:t>
      </w:r>
      <w:r>
        <w:rPr>
          <w:noProof/>
        </w:rPr>
        <w:tab/>
      </w:r>
      <w:r>
        <w:rPr>
          <w:noProof/>
        </w:rPr>
        <w:fldChar w:fldCharType="begin"/>
      </w:r>
      <w:r>
        <w:rPr>
          <w:noProof/>
        </w:rPr>
        <w:instrText xml:space="preserve"> PAGEREF _Toc155068049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63</w:t>
      </w:r>
      <w:r>
        <w:rPr>
          <w:noProof/>
          <w:snapToGrid w:val="0"/>
          <w:szCs w:val="24"/>
        </w:rPr>
        <w:t>.</w:t>
      </w:r>
      <w:r>
        <w:rPr>
          <w:noProof/>
          <w:sz w:val="24"/>
          <w:szCs w:val="24"/>
        </w:rPr>
        <w:tab/>
      </w:r>
      <w:r>
        <w:rPr>
          <w:noProof/>
          <w:snapToGrid w:val="0"/>
          <w:szCs w:val="24"/>
        </w:rPr>
        <w:t>False entries</w:t>
      </w:r>
      <w:r>
        <w:rPr>
          <w:noProof/>
        </w:rPr>
        <w:tab/>
      </w:r>
      <w:r>
        <w:rPr>
          <w:noProof/>
        </w:rPr>
        <w:fldChar w:fldCharType="begin"/>
      </w:r>
      <w:r>
        <w:rPr>
          <w:noProof/>
        </w:rPr>
        <w:instrText xml:space="preserve"> PAGEREF _Toc155068050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64</w:t>
      </w:r>
      <w:r>
        <w:rPr>
          <w:noProof/>
          <w:snapToGrid w:val="0"/>
          <w:szCs w:val="24"/>
        </w:rPr>
        <w:t>.</w:t>
      </w:r>
      <w:r>
        <w:rPr>
          <w:noProof/>
          <w:sz w:val="24"/>
          <w:szCs w:val="24"/>
        </w:rPr>
        <w:tab/>
      </w:r>
      <w:r>
        <w:rPr>
          <w:noProof/>
          <w:snapToGrid w:val="0"/>
          <w:szCs w:val="24"/>
        </w:rPr>
        <w:t>Forest officer to make record of sawmill inspection or enquiry</w:t>
      </w:r>
      <w:r>
        <w:rPr>
          <w:noProof/>
        </w:rPr>
        <w:tab/>
      </w:r>
      <w:r>
        <w:rPr>
          <w:noProof/>
        </w:rPr>
        <w:fldChar w:fldCharType="begin"/>
      </w:r>
      <w:r>
        <w:rPr>
          <w:noProof/>
        </w:rPr>
        <w:instrText xml:space="preserve"> PAGEREF _Toc155068051 \h </w:instrText>
      </w:r>
      <w:r>
        <w:rPr>
          <w:noProof/>
        </w:rPr>
      </w:r>
      <w:r>
        <w:rPr>
          <w:noProof/>
        </w:rPr>
        <w:fldChar w:fldCharType="separate"/>
      </w:r>
      <w:r>
        <w:rPr>
          <w:noProof/>
        </w:rPr>
        <w:t>28</w:t>
      </w:r>
      <w:r>
        <w:rPr>
          <w:noProof/>
        </w:rPr>
        <w:fldChar w:fldCharType="end"/>
      </w:r>
    </w:p>
    <w:p>
      <w:pPr>
        <w:pStyle w:val="TOC2"/>
        <w:tabs>
          <w:tab w:val="right" w:leader="dot" w:pos="7086"/>
        </w:tabs>
        <w:rPr>
          <w:b w:val="0"/>
          <w:noProof/>
          <w:sz w:val="24"/>
          <w:szCs w:val="24"/>
        </w:rPr>
      </w:pPr>
      <w:r>
        <w:rPr>
          <w:noProof/>
          <w:szCs w:val="30"/>
        </w:rPr>
        <w:t>Part 9 — Sale of forest produce by auction or tender</w:t>
      </w:r>
    </w:p>
    <w:p>
      <w:pPr>
        <w:pStyle w:val="TOC4"/>
        <w:tabs>
          <w:tab w:val="left" w:pos="1701"/>
        </w:tabs>
        <w:rPr>
          <w:noProof/>
          <w:sz w:val="24"/>
          <w:szCs w:val="24"/>
        </w:rPr>
      </w:pPr>
      <w:r>
        <w:rPr>
          <w:noProof/>
          <w:szCs w:val="24"/>
        </w:rPr>
        <w:t>65</w:t>
      </w:r>
      <w:r>
        <w:rPr>
          <w:noProof/>
          <w:snapToGrid w:val="0"/>
          <w:szCs w:val="24"/>
        </w:rPr>
        <w:t>.</w:t>
      </w:r>
      <w:r>
        <w:rPr>
          <w:noProof/>
          <w:sz w:val="24"/>
          <w:szCs w:val="24"/>
        </w:rPr>
        <w:tab/>
      </w:r>
      <w:r>
        <w:rPr>
          <w:noProof/>
          <w:snapToGrid w:val="0"/>
          <w:szCs w:val="24"/>
        </w:rPr>
        <w:t>Sale of forest produce by auction or tender</w:t>
      </w:r>
      <w:r>
        <w:rPr>
          <w:noProof/>
        </w:rPr>
        <w:tab/>
      </w:r>
      <w:r>
        <w:rPr>
          <w:noProof/>
        </w:rPr>
        <w:fldChar w:fldCharType="begin"/>
      </w:r>
      <w:r>
        <w:rPr>
          <w:noProof/>
        </w:rPr>
        <w:instrText xml:space="preserve"> PAGEREF _Toc155068053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66</w:t>
      </w:r>
      <w:r>
        <w:rPr>
          <w:noProof/>
          <w:snapToGrid w:val="0"/>
          <w:szCs w:val="24"/>
        </w:rPr>
        <w:t>.</w:t>
      </w:r>
      <w:r>
        <w:rPr>
          <w:noProof/>
          <w:sz w:val="24"/>
          <w:szCs w:val="24"/>
        </w:rPr>
        <w:tab/>
      </w:r>
      <w:r>
        <w:rPr>
          <w:noProof/>
          <w:snapToGrid w:val="0"/>
          <w:szCs w:val="24"/>
        </w:rPr>
        <w:t>Advertisement of sale by auction or tender</w:t>
      </w:r>
      <w:r>
        <w:rPr>
          <w:noProof/>
        </w:rPr>
        <w:tab/>
      </w:r>
      <w:r>
        <w:rPr>
          <w:noProof/>
        </w:rPr>
        <w:fldChar w:fldCharType="begin"/>
      </w:r>
      <w:r>
        <w:rPr>
          <w:noProof/>
        </w:rPr>
        <w:instrText xml:space="preserve"> PAGEREF _Toc155068054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67</w:t>
      </w:r>
      <w:r>
        <w:rPr>
          <w:noProof/>
          <w:snapToGrid w:val="0"/>
          <w:szCs w:val="24"/>
        </w:rPr>
        <w:t>.</w:t>
      </w:r>
      <w:r>
        <w:rPr>
          <w:noProof/>
          <w:sz w:val="24"/>
          <w:szCs w:val="24"/>
        </w:rPr>
        <w:tab/>
      </w:r>
      <w:r>
        <w:rPr>
          <w:noProof/>
          <w:snapToGrid w:val="0"/>
          <w:szCs w:val="24"/>
        </w:rPr>
        <w:t>Notification of results of public auction or sale by tender</w:t>
      </w:r>
      <w:r>
        <w:rPr>
          <w:noProof/>
        </w:rPr>
        <w:tab/>
      </w:r>
      <w:r>
        <w:rPr>
          <w:noProof/>
        </w:rPr>
        <w:fldChar w:fldCharType="begin"/>
      </w:r>
      <w:r>
        <w:rPr>
          <w:noProof/>
        </w:rPr>
        <w:instrText xml:space="preserve"> PAGEREF _Toc155068055 \h </w:instrText>
      </w:r>
      <w:r>
        <w:rPr>
          <w:noProof/>
        </w:rPr>
      </w:r>
      <w:r>
        <w:rPr>
          <w:noProof/>
        </w:rPr>
        <w:fldChar w:fldCharType="separate"/>
      </w:r>
      <w:r>
        <w:rPr>
          <w:noProof/>
        </w:rPr>
        <w:t>30</w:t>
      </w:r>
      <w:r>
        <w:rPr>
          <w:noProof/>
        </w:rPr>
        <w:fldChar w:fldCharType="end"/>
      </w:r>
    </w:p>
    <w:p>
      <w:pPr>
        <w:pStyle w:val="TOC2"/>
        <w:tabs>
          <w:tab w:val="right" w:leader="dot" w:pos="7086"/>
        </w:tabs>
        <w:rPr>
          <w:b w:val="0"/>
          <w:noProof/>
          <w:sz w:val="24"/>
          <w:szCs w:val="24"/>
        </w:rPr>
      </w:pPr>
      <w:r>
        <w:rPr>
          <w:noProof/>
          <w:szCs w:val="30"/>
        </w:rPr>
        <w:t>Part 10 — Forest produce licences</w:t>
      </w:r>
    </w:p>
    <w:p>
      <w:pPr>
        <w:pStyle w:val="TOC4"/>
        <w:tabs>
          <w:tab w:val="left" w:pos="1701"/>
        </w:tabs>
        <w:rPr>
          <w:noProof/>
          <w:sz w:val="24"/>
          <w:szCs w:val="24"/>
        </w:rPr>
      </w:pPr>
      <w:r>
        <w:rPr>
          <w:noProof/>
          <w:szCs w:val="24"/>
        </w:rPr>
        <w:t>68</w:t>
      </w:r>
      <w:r>
        <w:rPr>
          <w:noProof/>
          <w:snapToGrid w:val="0"/>
          <w:szCs w:val="24"/>
        </w:rPr>
        <w:t>.</w:t>
      </w:r>
      <w:r>
        <w:rPr>
          <w:noProof/>
          <w:sz w:val="24"/>
          <w:szCs w:val="24"/>
        </w:rPr>
        <w:tab/>
      </w:r>
      <w:r>
        <w:rPr>
          <w:noProof/>
          <w:snapToGrid w:val="0"/>
          <w:szCs w:val="24"/>
        </w:rPr>
        <w:t>Application</w:t>
      </w:r>
      <w:r>
        <w:rPr>
          <w:noProof/>
        </w:rPr>
        <w:tab/>
      </w:r>
      <w:r>
        <w:rPr>
          <w:noProof/>
        </w:rPr>
        <w:fldChar w:fldCharType="begin"/>
      </w:r>
      <w:r>
        <w:rPr>
          <w:noProof/>
        </w:rPr>
        <w:instrText xml:space="preserve"> PAGEREF _Toc155068057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69</w:t>
      </w:r>
      <w:r>
        <w:rPr>
          <w:noProof/>
          <w:snapToGrid w:val="0"/>
          <w:szCs w:val="24"/>
        </w:rPr>
        <w:t>.</w:t>
      </w:r>
      <w:r>
        <w:rPr>
          <w:noProof/>
          <w:sz w:val="24"/>
          <w:szCs w:val="24"/>
        </w:rPr>
        <w:tab/>
      </w:r>
      <w:r>
        <w:rPr>
          <w:noProof/>
          <w:snapToGrid w:val="0"/>
          <w:szCs w:val="24"/>
        </w:rPr>
        <w:t>Form of forest produce licence</w:t>
      </w:r>
      <w:r>
        <w:rPr>
          <w:noProof/>
        </w:rPr>
        <w:tab/>
      </w:r>
      <w:r>
        <w:rPr>
          <w:noProof/>
        </w:rPr>
        <w:fldChar w:fldCharType="begin"/>
      </w:r>
      <w:r>
        <w:rPr>
          <w:noProof/>
        </w:rPr>
        <w:instrText xml:space="preserve"> PAGEREF _Toc155068058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70</w:t>
      </w:r>
      <w:r>
        <w:rPr>
          <w:noProof/>
          <w:snapToGrid w:val="0"/>
          <w:szCs w:val="24"/>
        </w:rPr>
        <w:t>.</w:t>
      </w:r>
      <w:r>
        <w:rPr>
          <w:noProof/>
          <w:sz w:val="24"/>
          <w:szCs w:val="24"/>
        </w:rPr>
        <w:tab/>
      </w:r>
      <w:r>
        <w:rPr>
          <w:noProof/>
          <w:snapToGrid w:val="0"/>
          <w:szCs w:val="24"/>
        </w:rPr>
        <w:t>Forest produce licence does not authorize felling of trees etc.</w:t>
      </w:r>
      <w:r>
        <w:rPr>
          <w:noProof/>
        </w:rPr>
        <w:tab/>
      </w:r>
      <w:r>
        <w:rPr>
          <w:noProof/>
        </w:rPr>
        <w:fldChar w:fldCharType="begin"/>
      </w:r>
      <w:r>
        <w:rPr>
          <w:noProof/>
        </w:rPr>
        <w:instrText xml:space="preserve"> PAGEREF _Toc155068059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71</w:t>
      </w:r>
      <w:r>
        <w:rPr>
          <w:noProof/>
          <w:snapToGrid w:val="0"/>
          <w:szCs w:val="24"/>
        </w:rPr>
        <w:t>.</w:t>
      </w:r>
      <w:r>
        <w:rPr>
          <w:noProof/>
          <w:sz w:val="24"/>
          <w:szCs w:val="24"/>
        </w:rPr>
        <w:tab/>
      </w:r>
      <w:r>
        <w:rPr>
          <w:noProof/>
          <w:snapToGrid w:val="0"/>
          <w:szCs w:val="24"/>
        </w:rPr>
        <w:t>Production of forest produce licence</w:t>
      </w:r>
      <w:r>
        <w:rPr>
          <w:noProof/>
        </w:rPr>
        <w:tab/>
      </w:r>
      <w:r>
        <w:rPr>
          <w:noProof/>
        </w:rPr>
        <w:fldChar w:fldCharType="begin"/>
      </w:r>
      <w:r>
        <w:rPr>
          <w:noProof/>
        </w:rPr>
        <w:instrText xml:space="preserve"> PAGEREF _Toc155068060 \h </w:instrText>
      </w:r>
      <w:r>
        <w:rPr>
          <w:noProof/>
        </w:rPr>
      </w:r>
      <w:r>
        <w:rPr>
          <w:noProof/>
        </w:rPr>
        <w:fldChar w:fldCharType="separate"/>
      </w:r>
      <w:r>
        <w:rPr>
          <w:noProof/>
        </w:rPr>
        <w:t>31</w:t>
      </w:r>
      <w:r>
        <w:rPr>
          <w:noProof/>
        </w:rPr>
        <w:fldChar w:fldCharType="end"/>
      </w:r>
    </w:p>
    <w:p>
      <w:pPr>
        <w:pStyle w:val="TOC2"/>
        <w:tabs>
          <w:tab w:val="right" w:leader="dot" w:pos="7086"/>
        </w:tabs>
        <w:rPr>
          <w:b w:val="0"/>
          <w:noProof/>
          <w:sz w:val="24"/>
          <w:szCs w:val="24"/>
        </w:rPr>
      </w:pPr>
      <w:r>
        <w:rPr>
          <w:noProof/>
          <w:szCs w:val="30"/>
        </w:rPr>
        <w:t>Part 11 — Permits for apiary sites</w:t>
      </w:r>
    </w:p>
    <w:p>
      <w:pPr>
        <w:pStyle w:val="TOC4"/>
        <w:tabs>
          <w:tab w:val="left" w:pos="1701"/>
        </w:tabs>
        <w:rPr>
          <w:noProof/>
          <w:sz w:val="24"/>
          <w:szCs w:val="24"/>
        </w:rPr>
      </w:pPr>
      <w:r>
        <w:rPr>
          <w:noProof/>
          <w:szCs w:val="24"/>
        </w:rPr>
        <w:t>72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_Toc155068062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73</w:t>
      </w:r>
      <w:r>
        <w:rPr>
          <w:noProof/>
          <w:snapToGrid w:val="0"/>
          <w:szCs w:val="24"/>
        </w:rPr>
        <w:t>.</w:t>
      </w:r>
      <w:r>
        <w:rPr>
          <w:noProof/>
          <w:sz w:val="24"/>
          <w:szCs w:val="24"/>
        </w:rPr>
        <w:tab/>
      </w:r>
      <w:r>
        <w:rPr>
          <w:noProof/>
          <w:snapToGrid w:val="0"/>
          <w:szCs w:val="24"/>
        </w:rPr>
        <w:t>Executive Director may grant apiary site permit</w:t>
      </w:r>
      <w:r>
        <w:rPr>
          <w:noProof/>
        </w:rPr>
        <w:tab/>
      </w:r>
      <w:r>
        <w:rPr>
          <w:noProof/>
        </w:rPr>
        <w:fldChar w:fldCharType="begin"/>
      </w:r>
      <w:r>
        <w:rPr>
          <w:noProof/>
        </w:rPr>
        <w:instrText xml:space="preserve"> PAGEREF _Toc155068063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74</w:t>
      </w:r>
      <w:r>
        <w:rPr>
          <w:noProof/>
          <w:snapToGrid w:val="0"/>
          <w:szCs w:val="24"/>
        </w:rPr>
        <w:t>.</w:t>
      </w:r>
      <w:r>
        <w:rPr>
          <w:noProof/>
          <w:sz w:val="24"/>
          <w:szCs w:val="24"/>
        </w:rPr>
        <w:tab/>
      </w:r>
      <w:r>
        <w:rPr>
          <w:noProof/>
          <w:snapToGrid w:val="0"/>
          <w:szCs w:val="24"/>
        </w:rPr>
        <w:t>Duration of permits</w:t>
      </w:r>
      <w:r>
        <w:rPr>
          <w:noProof/>
        </w:rPr>
        <w:tab/>
      </w:r>
      <w:r>
        <w:rPr>
          <w:noProof/>
        </w:rPr>
        <w:fldChar w:fldCharType="begin"/>
      </w:r>
      <w:r>
        <w:rPr>
          <w:noProof/>
        </w:rPr>
        <w:instrText xml:space="preserve"> PAGEREF _Toc155068064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75</w:t>
      </w:r>
      <w:r>
        <w:rPr>
          <w:noProof/>
          <w:snapToGrid w:val="0"/>
          <w:szCs w:val="24"/>
        </w:rPr>
        <w:t>.</w:t>
      </w:r>
      <w:r>
        <w:rPr>
          <w:noProof/>
          <w:sz w:val="24"/>
          <w:szCs w:val="24"/>
        </w:rPr>
        <w:tab/>
      </w:r>
      <w:r>
        <w:rPr>
          <w:noProof/>
          <w:snapToGrid w:val="0"/>
          <w:szCs w:val="24"/>
        </w:rPr>
        <w:t>No building</w:t>
      </w:r>
      <w:r>
        <w:rPr>
          <w:noProof/>
        </w:rPr>
        <w:tab/>
      </w:r>
      <w:r>
        <w:rPr>
          <w:noProof/>
        </w:rPr>
        <w:fldChar w:fldCharType="begin"/>
      </w:r>
      <w:r>
        <w:rPr>
          <w:noProof/>
        </w:rPr>
        <w:instrText xml:space="preserve"> PAGEREF _Toc155068065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76</w:t>
      </w:r>
      <w:r>
        <w:rPr>
          <w:noProof/>
          <w:snapToGrid w:val="0"/>
          <w:szCs w:val="24"/>
        </w:rPr>
        <w:t>.</w:t>
      </w:r>
      <w:r>
        <w:rPr>
          <w:noProof/>
          <w:sz w:val="24"/>
          <w:szCs w:val="24"/>
        </w:rPr>
        <w:tab/>
      </w:r>
      <w:r>
        <w:rPr>
          <w:noProof/>
          <w:snapToGrid w:val="0"/>
          <w:szCs w:val="24"/>
        </w:rPr>
        <w:t>Exercise of rights conferred by a permit</w:t>
      </w:r>
      <w:r>
        <w:rPr>
          <w:noProof/>
        </w:rPr>
        <w:tab/>
      </w:r>
      <w:r>
        <w:rPr>
          <w:noProof/>
        </w:rPr>
        <w:fldChar w:fldCharType="begin"/>
      </w:r>
      <w:r>
        <w:rPr>
          <w:noProof/>
        </w:rPr>
        <w:instrText xml:space="preserve"> PAGEREF _Toc155068066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76A</w:t>
      </w:r>
      <w:r>
        <w:rPr>
          <w:noProof/>
          <w:snapToGrid w:val="0"/>
          <w:szCs w:val="24"/>
        </w:rPr>
        <w:t>.</w:t>
      </w:r>
      <w:r>
        <w:rPr>
          <w:noProof/>
          <w:sz w:val="24"/>
          <w:szCs w:val="24"/>
        </w:rPr>
        <w:tab/>
      </w:r>
      <w:r>
        <w:rPr>
          <w:noProof/>
          <w:snapToGrid w:val="0"/>
          <w:szCs w:val="24"/>
        </w:rPr>
        <w:t>Transfer of a permit</w:t>
      </w:r>
      <w:r>
        <w:rPr>
          <w:noProof/>
        </w:rPr>
        <w:tab/>
      </w:r>
      <w:r>
        <w:rPr>
          <w:noProof/>
        </w:rPr>
        <w:fldChar w:fldCharType="begin"/>
      </w:r>
      <w:r>
        <w:rPr>
          <w:noProof/>
        </w:rPr>
        <w:instrText xml:space="preserve"> PAGEREF _Toc155068067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76B</w:t>
      </w:r>
      <w:r>
        <w:rPr>
          <w:noProof/>
          <w:snapToGrid w:val="0"/>
          <w:szCs w:val="24"/>
        </w:rPr>
        <w:t>.</w:t>
      </w:r>
      <w:r>
        <w:rPr>
          <w:noProof/>
          <w:sz w:val="24"/>
          <w:szCs w:val="24"/>
        </w:rPr>
        <w:tab/>
      </w:r>
      <w:r>
        <w:rPr>
          <w:noProof/>
          <w:snapToGrid w:val="0"/>
          <w:szCs w:val="24"/>
        </w:rPr>
        <w:t>Variation of a permit to change an apiary site</w:t>
      </w:r>
      <w:r>
        <w:rPr>
          <w:noProof/>
        </w:rPr>
        <w:tab/>
      </w:r>
      <w:r>
        <w:rPr>
          <w:noProof/>
        </w:rPr>
        <w:fldChar w:fldCharType="begin"/>
      </w:r>
      <w:r>
        <w:rPr>
          <w:noProof/>
        </w:rPr>
        <w:instrText xml:space="preserve"> PAGEREF _Toc155068068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77</w:t>
      </w:r>
      <w:r>
        <w:rPr>
          <w:noProof/>
          <w:snapToGrid w:val="0"/>
          <w:szCs w:val="24"/>
        </w:rPr>
        <w:t>.</w:t>
      </w:r>
      <w:r>
        <w:rPr>
          <w:noProof/>
          <w:sz w:val="24"/>
          <w:szCs w:val="24"/>
        </w:rPr>
        <w:tab/>
      </w:r>
      <w:r>
        <w:rPr>
          <w:noProof/>
          <w:snapToGrid w:val="0"/>
          <w:szCs w:val="24"/>
        </w:rPr>
        <w:t>Damage to forest etc.</w:t>
      </w:r>
      <w:r>
        <w:rPr>
          <w:noProof/>
        </w:rPr>
        <w:tab/>
      </w:r>
      <w:r>
        <w:rPr>
          <w:noProof/>
        </w:rPr>
        <w:fldChar w:fldCharType="begin"/>
      </w:r>
      <w:r>
        <w:rPr>
          <w:noProof/>
        </w:rPr>
        <w:instrText xml:space="preserve"> PAGEREF _Toc155068069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78</w:t>
      </w:r>
      <w:r>
        <w:rPr>
          <w:noProof/>
          <w:snapToGrid w:val="0"/>
          <w:szCs w:val="24"/>
        </w:rPr>
        <w:t>.</w:t>
      </w:r>
      <w:r>
        <w:rPr>
          <w:noProof/>
          <w:sz w:val="24"/>
          <w:szCs w:val="24"/>
        </w:rPr>
        <w:tab/>
      </w:r>
      <w:r>
        <w:rPr>
          <w:noProof/>
          <w:snapToGrid w:val="0"/>
          <w:szCs w:val="24"/>
        </w:rPr>
        <w:t>Forestry operations not affected</w:t>
      </w:r>
      <w:r>
        <w:rPr>
          <w:noProof/>
        </w:rPr>
        <w:tab/>
      </w:r>
      <w:r>
        <w:rPr>
          <w:noProof/>
        </w:rPr>
        <w:fldChar w:fldCharType="begin"/>
      </w:r>
      <w:r>
        <w:rPr>
          <w:noProof/>
        </w:rPr>
        <w:instrText xml:space="preserve"> PAGEREF _Toc155068070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79</w:t>
      </w:r>
      <w:r>
        <w:rPr>
          <w:noProof/>
          <w:snapToGrid w:val="0"/>
          <w:szCs w:val="24"/>
        </w:rPr>
        <w:t>.</w:t>
      </w:r>
      <w:r>
        <w:rPr>
          <w:noProof/>
          <w:sz w:val="24"/>
          <w:szCs w:val="24"/>
        </w:rPr>
        <w:tab/>
      </w:r>
      <w:r>
        <w:rPr>
          <w:noProof/>
          <w:snapToGrid w:val="0"/>
          <w:szCs w:val="24"/>
        </w:rPr>
        <w:t>Particular conditions</w:t>
      </w:r>
      <w:r>
        <w:rPr>
          <w:noProof/>
        </w:rPr>
        <w:tab/>
      </w:r>
      <w:r>
        <w:rPr>
          <w:noProof/>
        </w:rPr>
        <w:fldChar w:fldCharType="begin"/>
      </w:r>
      <w:r>
        <w:rPr>
          <w:noProof/>
        </w:rPr>
        <w:instrText xml:space="preserve"> PAGEREF _Toc155068071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80</w:t>
      </w:r>
      <w:r>
        <w:rPr>
          <w:noProof/>
          <w:snapToGrid w:val="0"/>
          <w:szCs w:val="24"/>
        </w:rPr>
        <w:t>.</w:t>
      </w:r>
      <w:r>
        <w:rPr>
          <w:noProof/>
          <w:sz w:val="24"/>
          <w:szCs w:val="24"/>
        </w:rPr>
        <w:tab/>
      </w:r>
      <w:r>
        <w:rPr>
          <w:noProof/>
          <w:snapToGrid w:val="0"/>
          <w:szCs w:val="24"/>
        </w:rPr>
        <w:t>Cancellation in particular cases</w:t>
      </w:r>
      <w:r>
        <w:rPr>
          <w:noProof/>
        </w:rPr>
        <w:tab/>
      </w:r>
      <w:r>
        <w:rPr>
          <w:noProof/>
        </w:rPr>
        <w:fldChar w:fldCharType="begin"/>
      </w:r>
      <w:r>
        <w:rPr>
          <w:noProof/>
        </w:rPr>
        <w:instrText xml:space="preserve"> PAGEREF _Toc155068072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81</w:t>
      </w:r>
      <w:r>
        <w:rPr>
          <w:noProof/>
          <w:snapToGrid w:val="0"/>
          <w:szCs w:val="24"/>
        </w:rPr>
        <w:t>.</w:t>
      </w:r>
      <w:r>
        <w:rPr>
          <w:noProof/>
          <w:sz w:val="24"/>
          <w:szCs w:val="24"/>
        </w:rPr>
        <w:tab/>
      </w:r>
      <w:r>
        <w:rPr>
          <w:noProof/>
          <w:snapToGrid w:val="0"/>
          <w:szCs w:val="24"/>
        </w:rPr>
        <w:t>Forfeiture</w:t>
      </w:r>
      <w:r>
        <w:rPr>
          <w:noProof/>
        </w:rPr>
        <w:tab/>
      </w:r>
      <w:r>
        <w:rPr>
          <w:noProof/>
        </w:rPr>
        <w:fldChar w:fldCharType="begin"/>
      </w:r>
      <w:r>
        <w:rPr>
          <w:noProof/>
        </w:rPr>
        <w:instrText xml:space="preserve"> PAGEREF _Toc155068073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82</w:t>
      </w:r>
      <w:r>
        <w:rPr>
          <w:noProof/>
          <w:snapToGrid w:val="0"/>
          <w:szCs w:val="24"/>
        </w:rPr>
        <w:t>.</w:t>
      </w:r>
      <w:r>
        <w:rPr>
          <w:noProof/>
          <w:sz w:val="24"/>
          <w:szCs w:val="24"/>
        </w:rPr>
        <w:tab/>
      </w:r>
      <w:r>
        <w:rPr>
          <w:noProof/>
          <w:snapToGrid w:val="0"/>
          <w:szCs w:val="24"/>
        </w:rPr>
        <w:t>Rent payable for permit</w:t>
      </w:r>
      <w:r>
        <w:rPr>
          <w:noProof/>
        </w:rPr>
        <w:tab/>
      </w:r>
      <w:r>
        <w:rPr>
          <w:noProof/>
        </w:rPr>
        <w:fldChar w:fldCharType="begin"/>
      </w:r>
      <w:r>
        <w:rPr>
          <w:noProof/>
        </w:rPr>
        <w:instrText xml:space="preserve"> PAGEREF _Toc155068074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83</w:t>
      </w:r>
      <w:r>
        <w:rPr>
          <w:noProof/>
          <w:snapToGrid w:val="0"/>
          <w:szCs w:val="24"/>
        </w:rPr>
        <w:t>.</w:t>
      </w:r>
      <w:r>
        <w:rPr>
          <w:noProof/>
          <w:sz w:val="24"/>
          <w:szCs w:val="24"/>
        </w:rPr>
        <w:tab/>
      </w:r>
      <w:r>
        <w:rPr>
          <w:noProof/>
          <w:snapToGrid w:val="0"/>
          <w:szCs w:val="24"/>
        </w:rPr>
        <w:t>Permit not to be granted within 3 kilometres of other apiary site</w:t>
      </w:r>
      <w:r>
        <w:rPr>
          <w:noProof/>
        </w:rPr>
        <w:tab/>
      </w:r>
      <w:r>
        <w:rPr>
          <w:noProof/>
        </w:rPr>
        <w:fldChar w:fldCharType="begin"/>
      </w:r>
      <w:r>
        <w:rPr>
          <w:noProof/>
        </w:rPr>
        <w:instrText xml:space="preserve"> PAGEREF _Toc155068075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84</w:t>
      </w:r>
      <w:r>
        <w:rPr>
          <w:noProof/>
          <w:snapToGrid w:val="0"/>
          <w:szCs w:val="24"/>
        </w:rPr>
        <w:t>.</w:t>
      </w:r>
      <w:r>
        <w:rPr>
          <w:noProof/>
          <w:sz w:val="24"/>
          <w:szCs w:val="24"/>
        </w:rPr>
        <w:tab/>
      </w:r>
      <w:r>
        <w:rPr>
          <w:noProof/>
          <w:snapToGrid w:val="0"/>
          <w:szCs w:val="24"/>
        </w:rPr>
        <w:t>Deposit</w:t>
      </w:r>
      <w:r>
        <w:rPr>
          <w:noProof/>
        </w:rPr>
        <w:tab/>
      </w:r>
      <w:r>
        <w:rPr>
          <w:noProof/>
        </w:rPr>
        <w:fldChar w:fldCharType="begin"/>
      </w:r>
      <w:r>
        <w:rPr>
          <w:noProof/>
        </w:rPr>
        <w:instrText xml:space="preserve"> PAGEREF _Toc155068076 \h </w:instrText>
      </w:r>
      <w:r>
        <w:rPr>
          <w:noProof/>
        </w:rPr>
      </w:r>
      <w:r>
        <w:rPr>
          <w:noProof/>
        </w:rPr>
        <w:fldChar w:fldCharType="separate"/>
      </w:r>
      <w:r>
        <w:rPr>
          <w:noProof/>
        </w:rPr>
        <w:t>37</w:t>
      </w:r>
      <w:r>
        <w:rPr>
          <w:noProof/>
        </w:rPr>
        <w:fldChar w:fldCharType="end"/>
      </w:r>
    </w:p>
    <w:p>
      <w:pPr>
        <w:pStyle w:val="TOC4"/>
        <w:tabs>
          <w:tab w:val="left" w:pos="1701"/>
        </w:tabs>
        <w:rPr>
          <w:noProof/>
          <w:sz w:val="24"/>
          <w:szCs w:val="24"/>
        </w:rPr>
      </w:pPr>
      <w:r>
        <w:rPr>
          <w:noProof/>
          <w:szCs w:val="24"/>
        </w:rPr>
        <w:t>85</w:t>
      </w:r>
      <w:r>
        <w:rPr>
          <w:noProof/>
          <w:snapToGrid w:val="0"/>
          <w:szCs w:val="24"/>
        </w:rPr>
        <w:t>.</w:t>
      </w:r>
      <w:r>
        <w:rPr>
          <w:noProof/>
          <w:sz w:val="24"/>
          <w:szCs w:val="24"/>
        </w:rPr>
        <w:tab/>
      </w:r>
      <w:r>
        <w:rPr>
          <w:noProof/>
          <w:snapToGrid w:val="0"/>
          <w:szCs w:val="24"/>
        </w:rPr>
        <w:t>Production of apiary site permits</w:t>
      </w:r>
      <w:r>
        <w:rPr>
          <w:noProof/>
        </w:rPr>
        <w:tab/>
      </w:r>
      <w:r>
        <w:rPr>
          <w:noProof/>
        </w:rPr>
        <w:fldChar w:fldCharType="begin"/>
      </w:r>
      <w:r>
        <w:rPr>
          <w:noProof/>
        </w:rPr>
        <w:instrText xml:space="preserve"> PAGEREF _Toc155068077 \h </w:instrText>
      </w:r>
      <w:r>
        <w:rPr>
          <w:noProof/>
        </w:rPr>
      </w:r>
      <w:r>
        <w:rPr>
          <w:noProof/>
        </w:rPr>
        <w:fldChar w:fldCharType="separate"/>
      </w:r>
      <w:r>
        <w:rPr>
          <w:noProof/>
        </w:rPr>
        <w:t>37</w:t>
      </w:r>
      <w:r>
        <w:rPr>
          <w:noProof/>
        </w:rPr>
        <w:fldChar w:fldCharType="end"/>
      </w:r>
    </w:p>
    <w:p>
      <w:pPr>
        <w:pStyle w:val="TOC2"/>
        <w:tabs>
          <w:tab w:val="right" w:leader="dot" w:pos="7086"/>
        </w:tabs>
        <w:rPr>
          <w:b w:val="0"/>
          <w:noProof/>
          <w:sz w:val="24"/>
          <w:szCs w:val="24"/>
        </w:rPr>
      </w:pPr>
      <w:r>
        <w:rPr>
          <w:noProof/>
          <w:szCs w:val="30"/>
        </w:rPr>
        <w:t>Part 13 — Fire prevention</w:t>
      </w:r>
    </w:p>
    <w:p>
      <w:pPr>
        <w:pStyle w:val="TOC4"/>
        <w:tabs>
          <w:tab w:val="left" w:pos="1701"/>
        </w:tabs>
        <w:rPr>
          <w:noProof/>
          <w:sz w:val="24"/>
          <w:szCs w:val="24"/>
        </w:rPr>
      </w:pPr>
      <w:r>
        <w:rPr>
          <w:noProof/>
          <w:szCs w:val="24"/>
        </w:rPr>
        <w:t>89</w:t>
      </w:r>
      <w:r>
        <w:rPr>
          <w:noProof/>
          <w:snapToGrid w:val="0"/>
          <w:szCs w:val="24"/>
        </w:rPr>
        <w:t>.</w:t>
      </w:r>
      <w:r>
        <w:rPr>
          <w:noProof/>
          <w:sz w:val="24"/>
          <w:szCs w:val="24"/>
        </w:rPr>
        <w:tab/>
      </w:r>
      <w:r>
        <w:rPr>
          <w:noProof/>
          <w:snapToGrid w:val="0"/>
          <w:szCs w:val="24"/>
        </w:rPr>
        <w:t>Ban on activity where fire risk</w:t>
      </w:r>
      <w:r>
        <w:rPr>
          <w:noProof/>
        </w:rPr>
        <w:tab/>
      </w:r>
      <w:r>
        <w:rPr>
          <w:noProof/>
        </w:rPr>
        <w:fldChar w:fldCharType="begin"/>
      </w:r>
      <w:r>
        <w:rPr>
          <w:noProof/>
        </w:rPr>
        <w:instrText xml:space="preserve"> PAGEREF _Toc155068079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91</w:t>
      </w:r>
      <w:r>
        <w:rPr>
          <w:noProof/>
          <w:snapToGrid w:val="0"/>
          <w:szCs w:val="24"/>
        </w:rPr>
        <w:t>.</w:t>
      </w:r>
      <w:r>
        <w:rPr>
          <w:noProof/>
          <w:sz w:val="24"/>
          <w:szCs w:val="24"/>
        </w:rPr>
        <w:tab/>
      </w:r>
      <w:r>
        <w:rPr>
          <w:noProof/>
          <w:snapToGrid w:val="0"/>
          <w:szCs w:val="24"/>
        </w:rPr>
        <w:t>Fire lookout towers and trees</w:t>
      </w:r>
      <w:r>
        <w:rPr>
          <w:noProof/>
        </w:rPr>
        <w:tab/>
      </w:r>
      <w:r>
        <w:rPr>
          <w:noProof/>
        </w:rPr>
        <w:fldChar w:fldCharType="begin"/>
      </w:r>
      <w:r>
        <w:rPr>
          <w:noProof/>
        </w:rPr>
        <w:instrText xml:space="preserve"> PAGEREF _Toc155068080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92</w:t>
      </w:r>
      <w:r>
        <w:rPr>
          <w:noProof/>
          <w:snapToGrid w:val="0"/>
          <w:szCs w:val="24"/>
        </w:rPr>
        <w:t>.</w:t>
      </w:r>
      <w:r>
        <w:rPr>
          <w:noProof/>
          <w:sz w:val="24"/>
          <w:szCs w:val="24"/>
        </w:rPr>
        <w:tab/>
      </w:r>
      <w:r>
        <w:rPr>
          <w:noProof/>
          <w:snapToGrid w:val="0"/>
          <w:szCs w:val="24"/>
        </w:rPr>
        <w:t>Prescribed rate of remuneration for assistance in fire fighting</w:t>
      </w:r>
      <w:r>
        <w:rPr>
          <w:noProof/>
        </w:rPr>
        <w:tab/>
      </w:r>
      <w:r>
        <w:rPr>
          <w:noProof/>
        </w:rPr>
        <w:fldChar w:fldCharType="begin"/>
      </w:r>
      <w:r>
        <w:rPr>
          <w:noProof/>
        </w:rPr>
        <w:instrText xml:space="preserve"> PAGEREF _Toc155068081 \h </w:instrText>
      </w:r>
      <w:r>
        <w:rPr>
          <w:noProof/>
        </w:rPr>
      </w:r>
      <w:r>
        <w:rPr>
          <w:noProof/>
        </w:rPr>
        <w:fldChar w:fldCharType="separate"/>
      </w:r>
      <w:r>
        <w:rPr>
          <w:noProof/>
        </w:rPr>
        <w:t>39</w:t>
      </w:r>
      <w:r>
        <w:rPr>
          <w:noProof/>
        </w:rPr>
        <w:fldChar w:fldCharType="end"/>
      </w:r>
    </w:p>
    <w:p>
      <w:pPr>
        <w:pStyle w:val="TOC2"/>
        <w:tabs>
          <w:tab w:val="right" w:leader="dot" w:pos="7086"/>
        </w:tabs>
        <w:rPr>
          <w:b w:val="0"/>
          <w:noProof/>
          <w:sz w:val="24"/>
          <w:szCs w:val="24"/>
        </w:rPr>
      </w:pPr>
      <w:r>
        <w:rPr>
          <w:noProof/>
          <w:szCs w:val="30"/>
        </w:rPr>
        <w:t>Part 14 — Marking out of mining tenements in State forests and timber reserves</w:t>
      </w:r>
    </w:p>
    <w:p>
      <w:pPr>
        <w:pStyle w:val="TOC4"/>
        <w:tabs>
          <w:tab w:val="left" w:pos="1701"/>
        </w:tabs>
        <w:rPr>
          <w:noProof/>
          <w:sz w:val="24"/>
          <w:szCs w:val="24"/>
        </w:rPr>
      </w:pPr>
      <w:r>
        <w:rPr>
          <w:noProof/>
          <w:szCs w:val="24"/>
        </w:rPr>
        <w:t>93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_Toc155068083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zCs w:val="24"/>
        </w:rPr>
        <w:t>94</w:t>
      </w:r>
      <w:r>
        <w:rPr>
          <w:noProof/>
          <w:snapToGrid w:val="0"/>
          <w:szCs w:val="24"/>
        </w:rPr>
        <w:t>.</w:t>
      </w:r>
      <w:r>
        <w:rPr>
          <w:noProof/>
          <w:sz w:val="24"/>
          <w:szCs w:val="24"/>
        </w:rPr>
        <w:tab/>
      </w:r>
      <w:r>
        <w:rPr>
          <w:noProof/>
          <w:snapToGrid w:val="0"/>
          <w:szCs w:val="24"/>
        </w:rPr>
        <w:t>Prescribed conditions and limitations</w:t>
      </w:r>
      <w:r>
        <w:rPr>
          <w:noProof/>
        </w:rPr>
        <w:tab/>
      </w:r>
      <w:r>
        <w:rPr>
          <w:noProof/>
        </w:rPr>
        <w:fldChar w:fldCharType="begin"/>
      </w:r>
      <w:r>
        <w:rPr>
          <w:noProof/>
        </w:rPr>
        <w:instrText xml:space="preserve"> PAGEREF _Toc155068084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zCs w:val="24"/>
        </w:rPr>
        <w:t>95</w:t>
      </w:r>
      <w:r>
        <w:rPr>
          <w:noProof/>
          <w:snapToGrid w:val="0"/>
          <w:szCs w:val="24"/>
        </w:rPr>
        <w:t>.</w:t>
      </w:r>
      <w:r>
        <w:rPr>
          <w:noProof/>
          <w:sz w:val="24"/>
          <w:szCs w:val="24"/>
        </w:rPr>
        <w:tab/>
      </w:r>
      <w:r>
        <w:rPr>
          <w:noProof/>
          <w:snapToGrid w:val="0"/>
          <w:szCs w:val="24"/>
        </w:rPr>
        <w:t>Conditions upon entering State forest or timber reserve</w:t>
      </w:r>
      <w:r>
        <w:rPr>
          <w:noProof/>
        </w:rPr>
        <w:tab/>
      </w:r>
      <w:r>
        <w:rPr>
          <w:noProof/>
        </w:rPr>
        <w:fldChar w:fldCharType="begin"/>
      </w:r>
      <w:r>
        <w:rPr>
          <w:noProof/>
        </w:rPr>
        <w:instrText xml:space="preserve"> PAGEREF _Toc155068085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zCs w:val="24"/>
        </w:rPr>
        <w:t>96</w:t>
      </w:r>
      <w:r>
        <w:rPr>
          <w:noProof/>
          <w:snapToGrid w:val="0"/>
          <w:szCs w:val="24"/>
        </w:rPr>
        <w:t>.</w:t>
      </w:r>
      <w:r>
        <w:rPr>
          <w:noProof/>
          <w:sz w:val="24"/>
          <w:szCs w:val="24"/>
        </w:rPr>
        <w:tab/>
      </w:r>
      <w:r>
        <w:rPr>
          <w:noProof/>
          <w:snapToGrid w:val="0"/>
          <w:szCs w:val="24"/>
        </w:rPr>
        <w:t>Person not to make camp, fuel depot etc. in State forest or timber reserve</w:t>
      </w:r>
      <w:r>
        <w:rPr>
          <w:noProof/>
        </w:rPr>
        <w:tab/>
      </w:r>
      <w:r>
        <w:rPr>
          <w:noProof/>
        </w:rPr>
        <w:fldChar w:fldCharType="begin"/>
      </w:r>
      <w:r>
        <w:rPr>
          <w:noProof/>
        </w:rPr>
        <w:instrText xml:space="preserve"> PAGEREF _Toc155068086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97</w:t>
      </w:r>
      <w:r>
        <w:rPr>
          <w:noProof/>
          <w:snapToGrid w:val="0"/>
          <w:szCs w:val="24"/>
        </w:rPr>
        <w:t>.</w:t>
      </w:r>
      <w:r>
        <w:rPr>
          <w:noProof/>
          <w:sz w:val="24"/>
          <w:szCs w:val="24"/>
        </w:rPr>
        <w:tab/>
      </w:r>
      <w:r>
        <w:rPr>
          <w:noProof/>
          <w:snapToGrid w:val="0"/>
          <w:szCs w:val="24"/>
        </w:rPr>
        <w:t>Part 16 not affected</w:t>
      </w:r>
      <w:r>
        <w:rPr>
          <w:noProof/>
        </w:rPr>
        <w:tab/>
      </w:r>
      <w:r>
        <w:rPr>
          <w:noProof/>
        </w:rPr>
        <w:fldChar w:fldCharType="begin"/>
      </w:r>
      <w:r>
        <w:rPr>
          <w:noProof/>
        </w:rPr>
        <w:instrText xml:space="preserve"> PAGEREF _Toc155068087 \h </w:instrText>
      </w:r>
      <w:r>
        <w:rPr>
          <w:noProof/>
        </w:rPr>
      </w:r>
      <w:r>
        <w:rPr>
          <w:noProof/>
        </w:rPr>
        <w:fldChar w:fldCharType="separate"/>
      </w:r>
      <w:r>
        <w:rPr>
          <w:noProof/>
        </w:rPr>
        <w:t>41</w:t>
      </w:r>
      <w:r>
        <w:rPr>
          <w:noProof/>
        </w:rPr>
        <w:fldChar w:fldCharType="end"/>
      </w:r>
    </w:p>
    <w:p>
      <w:pPr>
        <w:pStyle w:val="TOC2"/>
        <w:tabs>
          <w:tab w:val="right" w:leader="dot" w:pos="7086"/>
        </w:tabs>
        <w:rPr>
          <w:b w:val="0"/>
          <w:noProof/>
          <w:sz w:val="24"/>
          <w:szCs w:val="24"/>
        </w:rPr>
      </w:pPr>
      <w:r>
        <w:rPr>
          <w:noProof/>
          <w:szCs w:val="30"/>
        </w:rPr>
        <w:t>Part 15 — Collection of firewood</w:t>
      </w:r>
    </w:p>
    <w:p>
      <w:pPr>
        <w:pStyle w:val="TOC4"/>
        <w:tabs>
          <w:tab w:val="left" w:pos="1701"/>
        </w:tabs>
        <w:rPr>
          <w:noProof/>
          <w:sz w:val="24"/>
          <w:szCs w:val="24"/>
        </w:rPr>
      </w:pPr>
      <w:r>
        <w:rPr>
          <w:noProof/>
          <w:szCs w:val="24"/>
        </w:rPr>
        <w:t>98</w:t>
      </w:r>
      <w:r>
        <w:rPr>
          <w:noProof/>
          <w:snapToGrid w:val="0"/>
          <w:szCs w:val="24"/>
        </w:rPr>
        <w:t>.</w:t>
      </w:r>
      <w:r>
        <w:rPr>
          <w:noProof/>
          <w:sz w:val="24"/>
          <w:szCs w:val="24"/>
        </w:rPr>
        <w:tab/>
      </w:r>
      <w:r>
        <w:rPr>
          <w:noProof/>
          <w:snapToGrid w:val="0"/>
          <w:szCs w:val="24"/>
        </w:rPr>
        <w:t>Designation of public firewood areas</w:t>
      </w:r>
      <w:r>
        <w:rPr>
          <w:noProof/>
        </w:rPr>
        <w:tab/>
      </w:r>
      <w:r>
        <w:rPr>
          <w:noProof/>
        </w:rPr>
        <w:fldChar w:fldCharType="begin"/>
      </w:r>
      <w:r>
        <w:rPr>
          <w:noProof/>
        </w:rPr>
        <w:instrText xml:space="preserve"> PAGEREF _Toc155068089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99</w:t>
      </w:r>
      <w:r>
        <w:rPr>
          <w:noProof/>
          <w:snapToGrid w:val="0"/>
          <w:szCs w:val="24"/>
        </w:rPr>
        <w:t>.</w:t>
      </w:r>
      <w:r>
        <w:rPr>
          <w:noProof/>
          <w:sz w:val="24"/>
          <w:szCs w:val="24"/>
        </w:rPr>
        <w:tab/>
      </w:r>
      <w:r>
        <w:rPr>
          <w:noProof/>
          <w:snapToGrid w:val="0"/>
          <w:szCs w:val="24"/>
        </w:rPr>
        <w:t>Removal of firewood from public firewood areas</w:t>
      </w:r>
      <w:r>
        <w:rPr>
          <w:noProof/>
        </w:rPr>
        <w:tab/>
      </w:r>
      <w:r>
        <w:rPr>
          <w:noProof/>
        </w:rPr>
        <w:fldChar w:fldCharType="begin"/>
      </w:r>
      <w:r>
        <w:rPr>
          <w:noProof/>
        </w:rPr>
        <w:instrText xml:space="preserve"> PAGEREF _Toc155068090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100</w:t>
      </w:r>
      <w:r>
        <w:rPr>
          <w:noProof/>
          <w:snapToGrid w:val="0"/>
          <w:szCs w:val="24"/>
        </w:rPr>
        <w:t>.</w:t>
      </w:r>
      <w:r>
        <w:rPr>
          <w:noProof/>
          <w:sz w:val="24"/>
          <w:szCs w:val="24"/>
        </w:rPr>
        <w:tab/>
      </w:r>
      <w:r>
        <w:rPr>
          <w:noProof/>
          <w:snapToGrid w:val="0"/>
          <w:szCs w:val="24"/>
        </w:rPr>
        <w:t>Payment for removal of firewood</w:t>
      </w:r>
      <w:r>
        <w:rPr>
          <w:noProof/>
        </w:rPr>
        <w:tab/>
      </w:r>
      <w:r>
        <w:rPr>
          <w:noProof/>
        </w:rPr>
        <w:fldChar w:fldCharType="begin"/>
      </w:r>
      <w:r>
        <w:rPr>
          <w:noProof/>
        </w:rPr>
        <w:instrText xml:space="preserve"> PAGEREF _Toc155068091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101</w:t>
      </w:r>
      <w:r>
        <w:rPr>
          <w:noProof/>
          <w:snapToGrid w:val="0"/>
          <w:szCs w:val="24"/>
        </w:rPr>
        <w:t>.</w:t>
      </w:r>
      <w:r>
        <w:rPr>
          <w:noProof/>
          <w:sz w:val="24"/>
          <w:szCs w:val="24"/>
        </w:rPr>
        <w:tab/>
      </w:r>
      <w:r>
        <w:rPr>
          <w:noProof/>
          <w:snapToGrid w:val="0"/>
          <w:szCs w:val="24"/>
        </w:rPr>
        <w:t>Restrictions on removal of firewood from public firewood areas</w:t>
      </w:r>
      <w:r>
        <w:rPr>
          <w:noProof/>
        </w:rPr>
        <w:tab/>
      </w:r>
      <w:r>
        <w:rPr>
          <w:noProof/>
        </w:rPr>
        <w:fldChar w:fldCharType="begin"/>
      </w:r>
      <w:r>
        <w:rPr>
          <w:noProof/>
        </w:rPr>
        <w:instrText xml:space="preserve"> PAGEREF _Toc155068092 \h </w:instrText>
      </w:r>
      <w:r>
        <w:rPr>
          <w:noProof/>
        </w:rPr>
      </w:r>
      <w:r>
        <w:rPr>
          <w:noProof/>
        </w:rPr>
        <w:fldChar w:fldCharType="separate"/>
      </w:r>
      <w:r>
        <w:rPr>
          <w:noProof/>
        </w:rPr>
        <w:t>43</w:t>
      </w:r>
      <w:r>
        <w:rPr>
          <w:noProof/>
        </w:rPr>
        <w:fldChar w:fldCharType="end"/>
      </w:r>
    </w:p>
    <w:p>
      <w:pPr>
        <w:pStyle w:val="TOC4"/>
        <w:tabs>
          <w:tab w:val="left" w:pos="1701"/>
        </w:tabs>
        <w:rPr>
          <w:noProof/>
          <w:sz w:val="24"/>
          <w:szCs w:val="24"/>
        </w:rPr>
      </w:pPr>
      <w:r>
        <w:rPr>
          <w:noProof/>
          <w:szCs w:val="24"/>
        </w:rPr>
        <w:t>102</w:t>
      </w:r>
      <w:r>
        <w:rPr>
          <w:noProof/>
          <w:snapToGrid w:val="0"/>
          <w:szCs w:val="24"/>
        </w:rPr>
        <w:t>.</w:t>
      </w:r>
      <w:r>
        <w:rPr>
          <w:noProof/>
          <w:sz w:val="24"/>
          <w:szCs w:val="24"/>
        </w:rPr>
        <w:tab/>
      </w:r>
      <w:r>
        <w:rPr>
          <w:noProof/>
          <w:snapToGrid w:val="0"/>
          <w:szCs w:val="24"/>
        </w:rPr>
        <w:t>Direction to leave public firewood area</w:t>
      </w:r>
      <w:r>
        <w:rPr>
          <w:noProof/>
        </w:rPr>
        <w:tab/>
      </w:r>
      <w:r>
        <w:rPr>
          <w:noProof/>
        </w:rPr>
        <w:fldChar w:fldCharType="begin"/>
      </w:r>
      <w:r>
        <w:rPr>
          <w:noProof/>
        </w:rPr>
        <w:instrText xml:space="preserve"> PAGEREF _Toc155068093 \h </w:instrText>
      </w:r>
      <w:r>
        <w:rPr>
          <w:noProof/>
        </w:rPr>
      </w:r>
      <w:r>
        <w:rPr>
          <w:noProof/>
        </w:rPr>
        <w:fldChar w:fldCharType="separate"/>
      </w:r>
      <w:r>
        <w:rPr>
          <w:noProof/>
        </w:rPr>
        <w:t>43</w:t>
      </w:r>
      <w:r>
        <w:rPr>
          <w:noProof/>
        </w:rPr>
        <w:fldChar w:fldCharType="end"/>
      </w:r>
    </w:p>
    <w:p>
      <w:pPr>
        <w:pStyle w:val="TOC2"/>
        <w:tabs>
          <w:tab w:val="right" w:leader="dot" w:pos="7086"/>
        </w:tabs>
        <w:rPr>
          <w:b w:val="0"/>
          <w:noProof/>
          <w:sz w:val="24"/>
          <w:szCs w:val="24"/>
        </w:rPr>
      </w:pPr>
      <w:r>
        <w:rPr>
          <w:noProof/>
          <w:szCs w:val="30"/>
        </w:rPr>
        <w:t>Part 16 — Control and eradication of forest diseases</w:t>
      </w:r>
    </w:p>
    <w:p>
      <w:pPr>
        <w:pStyle w:val="TOC4"/>
        <w:tabs>
          <w:tab w:val="left" w:pos="1701"/>
        </w:tabs>
        <w:rPr>
          <w:noProof/>
          <w:sz w:val="24"/>
          <w:szCs w:val="24"/>
        </w:rPr>
      </w:pPr>
      <w:r>
        <w:rPr>
          <w:noProof/>
          <w:szCs w:val="24"/>
        </w:rPr>
        <w:t>104</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_Toc155068095 \h </w:instrText>
      </w:r>
      <w:r>
        <w:rPr>
          <w:noProof/>
        </w:rPr>
      </w:r>
      <w:r>
        <w:rPr>
          <w:noProof/>
        </w:rPr>
        <w:fldChar w:fldCharType="separate"/>
      </w:r>
      <w:r>
        <w:rPr>
          <w:noProof/>
        </w:rPr>
        <w:t>45</w:t>
      </w:r>
      <w:r>
        <w:rPr>
          <w:noProof/>
        </w:rPr>
        <w:fldChar w:fldCharType="end"/>
      </w:r>
    </w:p>
    <w:p>
      <w:pPr>
        <w:pStyle w:val="TOC4"/>
        <w:tabs>
          <w:tab w:val="left" w:pos="1701"/>
        </w:tabs>
        <w:rPr>
          <w:noProof/>
          <w:sz w:val="24"/>
          <w:szCs w:val="24"/>
        </w:rPr>
      </w:pPr>
      <w:r>
        <w:rPr>
          <w:noProof/>
          <w:szCs w:val="24"/>
        </w:rPr>
        <w:t>105</w:t>
      </w:r>
      <w:r>
        <w:rPr>
          <w:noProof/>
          <w:snapToGrid w:val="0"/>
          <w:szCs w:val="24"/>
        </w:rPr>
        <w:t>.</w:t>
      </w:r>
      <w:r>
        <w:rPr>
          <w:noProof/>
          <w:sz w:val="24"/>
          <w:szCs w:val="24"/>
        </w:rPr>
        <w:tab/>
      </w:r>
      <w:r>
        <w:rPr>
          <w:noProof/>
          <w:snapToGrid w:val="0"/>
          <w:szCs w:val="24"/>
        </w:rPr>
        <w:t>Application to other Parts</w:t>
      </w:r>
      <w:r>
        <w:rPr>
          <w:noProof/>
        </w:rPr>
        <w:tab/>
      </w:r>
      <w:r>
        <w:rPr>
          <w:noProof/>
        </w:rPr>
        <w:fldChar w:fldCharType="begin"/>
      </w:r>
      <w:r>
        <w:rPr>
          <w:noProof/>
        </w:rPr>
        <w:instrText xml:space="preserve"> PAGEREF _Toc155068096 \h </w:instrText>
      </w:r>
      <w:r>
        <w:rPr>
          <w:noProof/>
        </w:rPr>
      </w:r>
      <w:r>
        <w:rPr>
          <w:noProof/>
        </w:rPr>
        <w:fldChar w:fldCharType="separate"/>
      </w:r>
      <w:r>
        <w:rPr>
          <w:noProof/>
        </w:rPr>
        <w:t>45</w:t>
      </w:r>
      <w:r>
        <w:rPr>
          <w:noProof/>
        </w:rPr>
        <w:fldChar w:fldCharType="end"/>
      </w:r>
    </w:p>
    <w:p>
      <w:pPr>
        <w:pStyle w:val="TOC4"/>
        <w:tabs>
          <w:tab w:val="left" w:pos="1701"/>
        </w:tabs>
        <w:rPr>
          <w:noProof/>
          <w:sz w:val="24"/>
          <w:szCs w:val="24"/>
        </w:rPr>
      </w:pPr>
      <w:r>
        <w:rPr>
          <w:noProof/>
          <w:szCs w:val="24"/>
        </w:rPr>
        <w:t>106</w:t>
      </w:r>
      <w:r>
        <w:rPr>
          <w:noProof/>
          <w:snapToGrid w:val="0"/>
          <w:szCs w:val="24"/>
        </w:rPr>
        <w:t>.</w:t>
      </w:r>
      <w:r>
        <w:rPr>
          <w:noProof/>
          <w:sz w:val="24"/>
          <w:szCs w:val="24"/>
        </w:rPr>
        <w:tab/>
      </w:r>
      <w:r>
        <w:rPr>
          <w:noProof/>
          <w:snapToGrid w:val="0"/>
          <w:szCs w:val="24"/>
        </w:rPr>
        <w:t>Written authorization</w:t>
      </w:r>
      <w:r>
        <w:rPr>
          <w:noProof/>
        </w:rPr>
        <w:tab/>
      </w:r>
      <w:r>
        <w:rPr>
          <w:noProof/>
        </w:rPr>
        <w:fldChar w:fldCharType="begin"/>
      </w:r>
      <w:r>
        <w:rPr>
          <w:noProof/>
        </w:rPr>
        <w:instrText xml:space="preserve"> PAGEREF _Toc155068097 \h </w:instrText>
      </w:r>
      <w:r>
        <w:rPr>
          <w:noProof/>
        </w:rPr>
      </w:r>
      <w:r>
        <w:rPr>
          <w:noProof/>
        </w:rPr>
        <w:fldChar w:fldCharType="separate"/>
      </w:r>
      <w:r>
        <w:rPr>
          <w:noProof/>
        </w:rPr>
        <w:t>45</w:t>
      </w:r>
      <w:r>
        <w:rPr>
          <w:noProof/>
        </w:rPr>
        <w:fldChar w:fldCharType="end"/>
      </w:r>
    </w:p>
    <w:p>
      <w:pPr>
        <w:pStyle w:val="TOC4"/>
        <w:tabs>
          <w:tab w:val="left" w:pos="1701"/>
        </w:tabs>
        <w:rPr>
          <w:noProof/>
          <w:sz w:val="24"/>
          <w:szCs w:val="24"/>
        </w:rPr>
      </w:pPr>
      <w:r>
        <w:rPr>
          <w:noProof/>
          <w:szCs w:val="24"/>
        </w:rPr>
        <w:t>107</w:t>
      </w:r>
      <w:r>
        <w:rPr>
          <w:noProof/>
          <w:snapToGrid w:val="0"/>
          <w:szCs w:val="24"/>
        </w:rPr>
        <w:t>.</w:t>
      </w:r>
      <w:r>
        <w:rPr>
          <w:noProof/>
          <w:sz w:val="24"/>
          <w:szCs w:val="24"/>
        </w:rPr>
        <w:tab/>
      </w:r>
      <w:r>
        <w:rPr>
          <w:noProof/>
          <w:snapToGrid w:val="0"/>
          <w:szCs w:val="24"/>
        </w:rPr>
        <w:t>Verbal authorization may be given in emergency</w:t>
      </w:r>
      <w:r>
        <w:rPr>
          <w:noProof/>
        </w:rPr>
        <w:tab/>
      </w:r>
      <w:r>
        <w:rPr>
          <w:noProof/>
        </w:rPr>
        <w:fldChar w:fldCharType="begin"/>
      </w:r>
      <w:r>
        <w:rPr>
          <w:noProof/>
        </w:rPr>
        <w:instrText xml:space="preserve"> PAGEREF _Toc155068098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108</w:t>
      </w:r>
      <w:r>
        <w:rPr>
          <w:noProof/>
          <w:snapToGrid w:val="0"/>
          <w:szCs w:val="24"/>
        </w:rPr>
        <w:t>.</w:t>
      </w:r>
      <w:r>
        <w:rPr>
          <w:noProof/>
          <w:sz w:val="24"/>
          <w:szCs w:val="24"/>
        </w:rPr>
        <w:tab/>
      </w:r>
      <w:r>
        <w:rPr>
          <w:noProof/>
          <w:snapToGrid w:val="0"/>
          <w:szCs w:val="24"/>
        </w:rPr>
        <w:t>Entry, use or movement of a potential carrier in a risk area without authorization or contrary to condition</w:t>
      </w:r>
      <w:r>
        <w:rPr>
          <w:noProof/>
        </w:rPr>
        <w:tab/>
      </w:r>
      <w:r>
        <w:rPr>
          <w:noProof/>
        </w:rPr>
        <w:fldChar w:fldCharType="begin"/>
      </w:r>
      <w:r>
        <w:rPr>
          <w:noProof/>
        </w:rPr>
        <w:instrText xml:space="preserve"> PAGEREF _Toc155068099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109</w:t>
      </w:r>
      <w:r>
        <w:rPr>
          <w:noProof/>
          <w:snapToGrid w:val="0"/>
          <w:szCs w:val="24"/>
        </w:rPr>
        <w:t>.</w:t>
      </w:r>
      <w:r>
        <w:rPr>
          <w:noProof/>
          <w:sz w:val="24"/>
          <w:szCs w:val="24"/>
        </w:rPr>
        <w:tab/>
      </w:r>
      <w:r>
        <w:rPr>
          <w:noProof/>
          <w:snapToGrid w:val="0"/>
          <w:szCs w:val="24"/>
        </w:rPr>
        <w:t>Entry, use or movement of a potential carrier in a risk area or disease area contrary to instruction or direction</w:t>
      </w:r>
      <w:r>
        <w:rPr>
          <w:noProof/>
        </w:rPr>
        <w:tab/>
      </w:r>
      <w:r>
        <w:rPr>
          <w:noProof/>
        </w:rPr>
        <w:fldChar w:fldCharType="begin"/>
      </w:r>
      <w:r>
        <w:rPr>
          <w:noProof/>
        </w:rPr>
        <w:instrText xml:space="preserve"> PAGEREF _Toc155068100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110</w:t>
      </w:r>
      <w:r>
        <w:rPr>
          <w:noProof/>
          <w:snapToGrid w:val="0"/>
          <w:szCs w:val="24"/>
        </w:rPr>
        <w:t>.</w:t>
      </w:r>
      <w:r>
        <w:rPr>
          <w:noProof/>
          <w:sz w:val="24"/>
          <w:szCs w:val="24"/>
        </w:rPr>
        <w:tab/>
      </w:r>
      <w:r>
        <w:rPr>
          <w:noProof/>
          <w:snapToGrid w:val="0"/>
          <w:szCs w:val="24"/>
        </w:rPr>
        <w:t>Erection of signposts and barricades</w:t>
      </w:r>
      <w:r>
        <w:rPr>
          <w:noProof/>
        </w:rPr>
        <w:tab/>
      </w:r>
      <w:r>
        <w:rPr>
          <w:noProof/>
        </w:rPr>
        <w:fldChar w:fldCharType="begin"/>
      </w:r>
      <w:r>
        <w:rPr>
          <w:noProof/>
        </w:rPr>
        <w:instrText xml:space="preserve"> PAGEREF _Toc155068101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111</w:t>
      </w:r>
      <w:r>
        <w:rPr>
          <w:noProof/>
          <w:snapToGrid w:val="0"/>
          <w:szCs w:val="24"/>
        </w:rPr>
        <w:t>.</w:t>
      </w:r>
      <w:r>
        <w:rPr>
          <w:noProof/>
          <w:sz w:val="24"/>
          <w:szCs w:val="24"/>
        </w:rPr>
        <w:tab/>
      </w:r>
      <w:r>
        <w:rPr>
          <w:noProof/>
          <w:snapToGrid w:val="0"/>
          <w:szCs w:val="24"/>
        </w:rPr>
        <w:t>Written authorization to be carried and produced upon request</w:t>
      </w:r>
      <w:r>
        <w:rPr>
          <w:noProof/>
        </w:rPr>
        <w:tab/>
      </w:r>
      <w:r>
        <w:rPr>
          <w:noProof/>
        </w:rPr>
        <w:fldChar w:fldCharType="begin"/>
      </w:r>
      <w:r>
        <w:rPr>
          <w:noProof/>
        </w:rPr>
        <w:instrText xml:space="preserve"> PAGEREF _Toc155068102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112</w:t>
      </w:r>
      <w:r>
        <w:rPr>
          <w:noProof/>
          <w:snapToGrid w:val="0"/>
          <w:szCs w:val="24"/>
        </w:rPr>
        <w:t>.</w:t>
      </w:r>
      <w:r>
        <w:rPr>
          <w:noProof/>
          <w:sz w:val="24"/>
          <w:szCs w:val="24"/>
        </w:rPr>
        <w:tab/>
      </w:r>
      <w:r>
        <w:rPr>
          <w:noProof/>
          <w:snapToGrid w:val="0"/>
          <w:szCs w:val="24"/>
        </w:rPr>
        <w:t>Written authorization to terminate on breach of condition</w:t>
      </w:r>
      <w:r>
        <w:rPr>
          <w:noProof/>
        </w:rPr>
        <w:tab/>
      </w:r>
      <w:r>
        <w:rPr>
          <w:noProof/>
        </w:rPr>
        <w:fldChar w:fldCharType="begin"/>
      </w:r>
      <w:r>
        <w:rPr>
          <w:noProof/>
        </w:rPr>
        <w:instrText xml:space="preserve"> PAGEREF _Toc155068103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113</w:t>
      </w:r>
      <w:r>
        <w:rPr>
          <w:noProof/>
          <w:snapToGrid w:val="0"/>
          <w:szCs w:val="24"/>
        </w:rPr>
        <w:t>.</w:t>
      </w:r>
      <w:r>
        <w:rPr>
          <w:noProof/>
          <w:sz w:val="24"/>
          <w:szCs w:val="24"/>
        </w:rPr>
        <w:tab/>
      </w:r>
      <w:r>
        <w:rPr>
          <w:noProof/>
          <w:snapToGrid w:val="0"/>
          <w:szCs w:val="24"/>
        </w:rPr>
        <w:t>Person to provide information upon request</w:t>
      </w:r>
      <w:r>
        <w:rPr>
          <w:noProof/>
        </w:rPr>
        <w:tab/>
      </w:r>
      <w:r>
        <w:rPr>
          <w:noProof/>
        </w:rPr>
        <w:fldChar w:fldCharType="begin"/>
      </w:r>
      <w:r>
        <w:rPr>
          <w:noProof/>
        </w:rPr>
        <w:instrText xml:space="preserve"> PAGEREF _Toc155068104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114</w:t>
      </w:r>
      <w:r>
        <w:rPr>
          <w:noProof/>
          <w:snapToGrid w:val="0"/>
          <w:szCs w:val="24"/>
        </w:rPr>
        <w:t>.</w:t>
      </w:r>
      <w:r>
        <w:rPr>
          <w:noProof/>
          <w:sz w:val="24"/>
          <w:szCs w:val="24"/>
        </w:rPr>
        <w:tab/>
      </w:r>
      <w:r>
        <w:rPr>
          <w:noProof/>
          <w:snapToGrid w:val="0"/>
          <w:szCs w:val="24"/>
        </w:rPr>
        <w:t>Authorized person may stop and examine potential carrier</w:t>
      </w:r>
      <w:r>
        <w:rPr>
          <w:noProof/>
        </w:rPr>
        <w:tab/>
      </w:r>
      <w:r>
        <w:rPr>
          <w:noProof/>
        </w:rPr>
        <w:fldChar w:fldCharType="begin"/>
      </w:r>
      <w:r>
        <w:rPr>
          <w:noProof/>
        </w:rPr>
        <w:instrText xml:space="preserve"> PAGEREF _Toc155068105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115</w:t>
      </w:r>
      <w:r>
        <w:rPr>
          <w:noProof/>
          <w:snapToGrid w:val="0"/>
          <w:szCs w:val="24"/>
        </w:rPr>
        <w:t>.</w:t>
      </w:r>
      <w:r>
        <w:rPr>
          <w:noProof/>
          <w:sz w:val="24"/>
          <w:szCs w:val="24"/>
        </w:rPr>
        <w:tab/>
      </w:r>
      <w:r>
        <w:rPr>
          <w:noProof/>
          <w:snapToGrid w:val="0"/>
          <w:szCs w:val="24"/>
        </w:rPr>
        <w:t>Authorized person may direct carrier to a quarantine station</w:t>
      </w:r>
      <w:r>
        <w:rPr>
          <w:noProof/>
        </w:rPr>
        <w:tab/>
      </w:r>
      <w:r>
        <w:rPr>
          <w:noProof/>
        </w:rPr>
        <w:fldChar w:fldCharType="begin"/>
      </w:r>
      <w:r>
        <w:rPr>
          <w:noProof/>
        </w:rPr>
        <w:instrText xml:space="preserve"> PAGEREF _Toc155068106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116</w:t>
      </w:r>
      <w:r>
        <w:rPr>
          <w:noProof/>
          <w:snapToGrid w:val="0"/>
          <w:szCs w:val="24"/>
        </w:rPr>
        <w:t>.</w:t>
      </w:r>
      <w:r>
        <w:rPr>
          <w:noProof/>
          <w:sz w:val="24"/>
          <w:szCs w:val="24"/>
        </w:rPr>
        <w:tab/>
      </w:r>
      <w:r>
        <w:rPr>
          <w:noProof/>
          <w:snapToGrid w:val="0"/>
          <w:szCs w:val="24"/>
        </w:rPr>
        <w:t>Authorized person may direct a person to clean and disinfect carrier</w:t>
      </w:r>
      <w:r>
        <w:rPr>
          <w:noProof/>
        </w:rPr>
        <w:tab/>
      </w:r>
      <w:r>
        <w:rPr>
          <w:noProof/>
        </w:rPr>
        <w:fldChar w:fldCharType="begin"/>
      </w:r>
      <w:r>
        <w:rPr>
          <w:noProof/>
        </w:rPr>
        <w:instrText xml:space="preserve"> PAGEREF _Toc155068107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117</w:t>
      </w:r>
      <w:r>
        <w:rPr>
          <w:noProof/>
          <w:snapToGrid w:val="0"/>
          <w:szCs w:val="24"/>
        </w:rPr>
        <w:t>.</w:t>
      </w:r>
      <w:r>
        <w:rPr>
          <w:noProof/>
          <w:sz w:val="24"/>
          <w:szCs w:val="24"/>
        </w:rPr>
        <w:tab/>
      </w:r>
      <w:r>
        <w:rPr>
          <w:noProof/>
          <w:snapToGrid w:val="0"/>
          <w:szCs w:val="24"/>
        </w:rPr>
        <w:t>Establishment and maintenance of quarantine stations</w:t>
      </w:r>
      <w:r>
        <w:rPr>
          <w:noProof/>
        </w:rPr>
        <w:tab/>
      </w:r>
      <w:r>
        <w:rPr>
          <w:noProof/>
        </w:rPr>
        <w:fldChar w:fldCharType="begin"/>
      </w:r>
      <w:r>
        <w:rPr>
          <w:noProof/>
        </w:rPr>
        <w:instrText xml:space="preserve"> PAGEREF _Toc155068108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118</w:t>
      </w:r>
      <w:r>
        <w:rPr>
          <w:noProof/>
          <w:snapToGrid w:val="0"/>
          <w:szCs w:val="24"/>
        </w:rPr>
        <w:t>.</w:t>
      </w:r>
      <w:r>
        <w:rPr>
          <w:noProof/>
          <w:sz w:val="24"/>
          <w:szCs w:val="24"/>
        </w:rPr>
        <w:tab/>
      </w:r>
      <w:r>
        <w:rPr>
          <w:noProof/>
          <w:snapToGrid w:val="0"/>
          <w:szCs w:val="24"/>
        </w:rPr>
        <w:t>Period of treatment or quarantine</w:t>
      </w:r>
      <w:r>
        <w:rPr>
          <w:noProof/>
        </w:rPr>
        <w:tab/>
      </w:r>
      <w:r>
        <w:rPr>
          <w:noProof/>
        </w:rPr>
        <w:fldChar w:fldCharType="begin"/>
      </w:r>
      <w:r>
        <w:rPr>
          <w:noProof/>
        </w:rPr>
        <w:instrText xml:space="preserve"> PAGEREF _Toc155068109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119</w:t>
      </w:r>
      <w:r>
        <w:rPr>
          <w:noProof/>
          <w:snapToGrid w:val="0"/>
          <w:szCs w:val="24"/>
        </w:rPr>
        <w:t>.</w:t>
      </w:r>
      <w:r>
        <w:rPr>
          <w:noProof/>
          <w:sz w:val="24"/>
          <w:szCs w:val="24"/>
        </w:rPr>
        <w:tab/>
      </w:r>
      <w:r>
        <w:rPr>
          <w:noProof/>
          <w:snapToGrid w:val="0"/>
          <w:szCs w:val="24"/>
        </w:rPr>
        <w:t>Cleansing and disinfecting to be carried out in accordance with directions</w:t>
      </w:r>
      <w:r>
        <w:rPr>
          <w:noProof/>
        </w:rPr>
        <w:tab/>
      </w:r>
      <w:r>
        <w:rPr>
          <w:noProof/>
        </w:rPr>
        <w:fldChar w:fldCharType="begin"/>
      </w:r>
      <w:r>
        <w:rPr>
          <w:noProof/>
        </w:rPr>
        <w:instrText xml:space="preserve"> PAGEREF _Toc155068110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120</w:t>
      </w:r>
      <w:r>
        <w:rPr>
          <w:noProof/>
          <w:snapToGrid w:val="0"/>
          <w:szCs w:val="24"/>
        </w:rPr>
        <w:t>.</w:t>
      </w:r>
      <w:r>
        <w:rPr>
          <w:noProof/>
          <w:sz w:val="24"/>
          <w:szCs w:val="24"/>
        </w:rPr>
        <w:tab/>
      </w:r>
      <w:r>
        <w:rPr>
          <w:noProof/>
          <w:snapToGrid w:val="0"/>
          <w:szCs w:val="24"/>
        </w:rPr>
        <w:t>Owner to provide information as to person in charge of carrier</w:t>
      </w:r>
      <w:r>
        <w:rPr>
          <w:noProof/>
        </w:rPr>
        <w:tab/>
      </w:r>
      <w:r>
        <w:rPr>
          <w:noProof/>
        </w:rPr>
        <w:fldChar w:fldCharType="begin"/>
      </w:r>
      <w:r>
        <w:rPr>
          <w:noProof/>
        </w:rPr>
        <w:instrText xml:space="preserve"> PAGEREF _Toc155068111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121</w:t>
      </w:r>
      <w:r>
        <w:rPr>
          <w:noProof/>
          <w:snapToGrid w:val="0"/>
          <w:szCs w:val="24"/>
        </w:rPr>
        <w:t>.</w:t>
      </w:r>
      <w:r>
        <w:rPr>
          <w:noProof/>
          <w:sz w:val="24"/>
          <w:szCs w:val="24"/>
        </w:rPr>
        <w:tab/>
      </w:r>
      <w:r>
        <w:rPr>
          <w:noProof/>
          <w:snapToGrid w:val="0"/>
          <w:szCs w:val="24"/>
        </w:rPr>
        <w:t>Authorized person may detain, control or remove carrier</w:t>
      </w:r>
      <w:r>
        <w:rPr>
          <w:noProof/>
        </w:rPr>
        <w:tab/>
      </w:r>
      <w:r>
        <w:rPr>
          <w:noProof/>
        </w:rPr>
        <w:fldChar w:fldCharType="begin"/>
      </w:r>
      <w:r>
        <w:rPr>
          <w:noProof/>
        </w:rPr>
        <w:instrText xml:space="preserve"> PAGEREF _Toc155068112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122</w:t>
      </w:r>
      <w:r>
        <w:rPr>
          <w:noProof/>
          <w:snapToGrid w:val="0"/>
          <w:szCs w:val="24"/>
        </w:rPr>
        <w:t>.</w:t>
      </w:r>
      <w:r>
        <w:rPr>
          <w:noProof/>
          <w:sz w:val="24"/>
          <w:szCs w:val="24"/>
        </w:rPr>
        <w:tab/>
      </w:r>
      <w:r>
        <w:rPr>
          <w:noProof/>
          <w:snapToGrid w:val="0"/>
          <w:szCs w:val="24"/>
        </w:rPr>
        <w:t>Authorized person may remove person from risk area</w:t>
      </w:r>
      <w:r>
        <w:rPr>
          <w:noProof/>
        </w:rPr>
        <w:tab/>
      </w:r>
      <w:r>
        <w:rPr>
          <w:noProof/>
        </w:rPr>
        <w:fldChar w:fldCharType="begin"/>
      </w:r>
      <w:r>
        <w:rPr>
          <w:noProof/>
        </w:rPr>
        <w:instrText xml:space="preserve"> PAGEREF _Toc155068113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123</w:t>
      </w:r>
      <w:r>
        <w:rPr>
          <w:noProof/>
          <w:snapToGrid w:val="0"/>
          <w:szCs w:val="24"/>
        </w:rPr>
        <w:t>.</w:t>
      </w:r>
      <w:r>
        <w:rPr>
          <w:noProof/>
          <w:sz w:val="24"/>
          <w:szCs w:val="24"/>
        </w:rPr>
        <w:tab/>
      </w:r>
      <w:r>
        <w:rPr>
          <w:noProof/>
          <w:snapToGrid w:val="0"/>
          <w:szCs w:val="24"/>
        </w:rPr>
        <w:t>Person in risk area or disease area to give name and address upon request</w:t>
      </w:r>
      <w:r>
        <w:rPr>
          <w:noProof/>
        </w:rPr>
        <w:tab/>
      </w:r>
      <w:r>
        <w:rPr>
          <w:noProof/>
        </w:rPr>
        <w:fldChar w:fldCharType="begin"/>
      </w:r>
      <w:r>
        <w:rPr>
          <w:noProof/>
        </w:rPr>
        <w:instrText xml:space="preserve"> PAGEREF _Toc155068114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124</w:t>
      </w:r>
      <w:r>
        <w:rPr>
          <w:noProof/>
          <w:snapToGrid w:val="0"/>
          <w:szCs w:val="24"/>
        </w:rPr>
        <w:t>.</w:t>
      </w:r>
      <w:r>
        <w:rPr>
          <w:noProof/>
          <w:sz w:val="24"/>
          <w:szCs w:val="24"/>
        </w:rPr>
        <w:tab/>
      </w:r>
      <w:r>
        <w:rPr>
          <w:noProof/>
          <w:snapToGrid w:val="0"/>
          <w:szCs w:val="24"/>
        </w:rPr>
        <w:t>Driver of potential carrier to comply with request to stop, signpost etc.</w:t>
      </w:r>
      <w:r>
        <w:rPr>
          <w:noProof/>
        </w:rPr>
        <w:tab/>
      </w:r>
      <w:r>
        <w:rPr>
          <w:noProof/>
        </w:rPr>
        <w:fldChar w:fldCharType="begin"/>
      </w:r>
      <w:r>
        <w:rPr>
          <w:noProof/>
        </w:rPr>
        <w:instrText xml:space="preserve"> PAGEREF _Toc155068115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125</w:t>
      </w:r>
      <w:r>
        <w:rPr>
          <w:noProof/>
          <w:snapToGrid w:val="0"/>
          <w:szCs w:val="24"/>
        </w:rPr>
        <w:t>.</w:t>
      </w:r>
      <w:r>
        <w:rPr>
          <w:noProof/>
          <w:sz w:val="24"/>
          <w:szCs w:val="24"/>
        </w:rPr>
        <w:tab/>
      </w:r>
      <w:r>
        <w:rPr>
          <w:noProof/>
          <w:snapToGrid w:val="0"/>
          <w:szCs w:val="24"/>
        </w:rPr>
        <w:t>Person not to obstruct, hinder etc. authorized person</w:t>
      </w:r>
      <w:r>
        <w:rPr>
          <w:noProof/>
        </w:rPr>
        <w:tab/>
      </w:r>
      <w:r>
        <w:rPr>
          <w:noProof/>
        </w:rPr>
        <w:fldChar w:fldCharType="begin"/>
      </w:r>
      <w:r>
        <w:rPr>
          <w:noProof/>
        </w:rPr>
        <w:instrText xml:space="preserve"> PAGEREF _Toc155068116 \h </w:instrText>
      </w:r>
      <w:r>
        <w:rPr>
          <w:noProof/>
        </w:rPr>
      </w:r>
      <w:r>
        <w:rPr>
          <w:noProof/>
        </w:rPr>
        <w:fldChar w:fldCharType="separate"/>
      </w:r>
      <w:r>
        <w:rPr>
          <w:noProof/>
        </w:rPr>
        <w:t>52</w:t>
      </w:r>
      <w:r>
        <w:rPr>
          <w:noProof/>
        </w:rPr>
        <w:fldChar w:fldCharType="end"/>
      </w:r>
    </w:p>
    <w:p>
      <w:pPr>
        <w:pStyle w:val="TOC2"/>
        <w:tabs>
          <w:tab w:val="right" w:leader="dot" w:pos="7086"/>
        </w:tabs>
        <w:rPr>
          <w:b w:val="0"/>
          <w:noProof/>
          <w:sz w:val="24"/>
          <w:szCs w:val="24"/>
        </w:rPr>
      </w:pPr>
      <w:r>
        <w:rPr>
          <w:noProof/>
          <w:szCs w:val="30"/>
        </w:rPr>
        <w:t>Part 17 — Powers of forest officers</w:t>
      </w:r>
    </w:p>
    <w:p>
      <w:pPr>
        <w:pStyle w:val="TOC4"/>
        <w:tabs>
          <w:tab w:val="left" w:pos="1701"/>
        </w:tabs>
        <w:rPr>
          <w:noProof/>
          <w:sz w:val="24"/>
          <w:szCs w:val="24"/>
        </w:rPr>
      </w:pPr>
      <w:r>
        <w:rPr>
          <w:noProof/>
          <w:szCs w:val="24"/>
        </w:rPr>
        <w:t>126</w:t>
      </w:r>
      <w:r>
        <w:rPr>
          <w:noProof/>
          <w:snapToGrid w:val="0"/>
          <w:szCs w:val="24"/>
        </w:rPr>
        <w:t>.</w:t>
      </w:r>
      <w:r>
        <w:rPr>
          <w:noProof/>
          <w:sz w:val="24"/>
          <w:szCs w:val="24"/>
        </w:rPr>
        <w:tab/>
      </w:r>
      <w:r>
        <w:rPr>
          <w:noProof/>
          <w:snapToGrid w:val="0"/>
          <w:szCs w:val="24"/>
        </w:rPr>
        <w:t>Forest officer may stop and detain vehicles</w:t>
      </w:r>
      <w:r>
        <w:rPr>
          <w:noProof/>
        </w:rPr>
        <w:tab/>
      </w:r>
      <w:r>
        <w:rPr>
          <w:noProof/>
        </w:rPr>
        <w:fldChar w:fldCharType="begin"/>
      </w:r>
      <w:r>
        <w:rPr>
          <w:noProof/>
        </w:rPr>
        <w:instrText xml:space="preserve"> PAGEREF _Toc155068118 \h </w:instrText>
      </w:r>
      <w:r>
        <w:rPr>
          <w:noProof/>
        </w:rPr>
      </w:r>
      <w:r>
        <w:rPr>
          <w:noProof/>
        </w:rPr>
        <w:fldChar w:fldCharType="separate"/>
      </w:r>
      <w:r>
        <w:rPr>
          <w:noProof/>
        </w:rPr>
        <w:t>53</w:t>
      </w:r>
      <w:r>
        <w:rPr>
          <w:noProof/>
        </w:rPr>
        <w:fldChar w:fldCharType="end"/>
      </w:r>
    </w:p>
    <w:p>
      <w:pPr>
        <w:pStyle w:val="TOC4"/>
        <w:tabs>
          <w:tab w:val="left" w:pos="1701"/>
        </w:tabs>
        <w:rPr>
          <w:noProof/>
          <w:sz w:val="24"/>
          <w:szCs w:val="24"/>
        </w:rPr>
      </w:pPr>
      <w:r>
        <w:rPr>
          <w:noProof/>
          <w:szCs w:val="24"/>
        </w:rPr>
        <w:t>127</w:t>
      </w:r>
      <w:r>
        <w:rPr>
          <w:noProof/>
          <w:snapToGrid w:val="0"/>
          <w:szCs w:val="24"/>
        </w:rPr>
        <w:t>.</w:t>
      </w:r>
      <w:r>
        <w:rPr>
          <w:noProof/>
          <w:sz w:val="24"/>
          <w:szCs w:val="24"/>
        </w:rPr>
        <w:tab/>
      </w:r>
      <w:r>
        <w:rPr>
          <w:noProof/>
          <w:snapToGrid w:val="0"/>
          <w:szCs w:val="24"/>
        </w:rPr>
        <w:t>Directions as to forest route</w:t>
      </w:r>
      <w:r>
        <w:rPr>
          <w:noProof/>
        </w:rPr>
        <w:tab/>
      </w:r>
      <w:r>
        <w:rPr>
          <w:noProof/>
        </w:rPr>
        <w:fldChar w:fldCharType="begin"/>
      </w:r>
      <w:r>
        <w:rPr>
          <w:noProof/>
        </w:rPr>
        <w:instrText xml:space="preserve"> PAGEREF _Toc155068119 \h </w:instrText>
      </w:r>
      <w:r>
        <w:rPr>
          <w:noProof/>
        </w:rPr>
      </w:r>
      <w:r>
        <w:rPr>
          <w:noProof/>
        </w:rPr>
        <w:fldChar w:fldCharType="separate"/>
      </w:r>
      <w:r>
        <w:rPr>
          <w:noProof/>
        </w:rPr>
        <w:t>53</w:t>
      </w:r>
      <w:r>
        <w:rPr>
          <w:noProof/>
        </w:rPr>
        <w:fldChar w:fldCharType="end"/>
      </w:r>
    </w:p>
    <w:p>
      <w:pPr>
        <w:pStyle w:val="TOC4"/>
        <w:tabs>
          <w:tab w:val="left" w:pos="1701"/>
        </w:tabs>
        <w:rPr>
          <w:noProof/>
          <w:sz w:val="24"/>
          <w:szCs w:val="24"/>
        </w:rPr>
      </w:pPr>
      <w:r>
        <w:rPr>
          <w:noProof/>
          <w:szCs w:val="24"/>
        </w:rPr>
        <w:t>128</w:t>
      </w:r>
      <w:r>
        <w:rPr>
          <w:noProof/>
          <w:snapToGrid w:val="0"/>
          <w:szCs w:val="24"/>
        </w:rPr>
        <w:t>.</w:t>
      </w:r>
      <w:r>
        <w:rPr>
          <w:noProof/>
          <w:sz w:val="24"/>
          <w:szCs w:val="24"/>
        </w:rPr>
        <w:tab/>
      </w:r>
      <w:r>
        <w:rPr>
          <w:noProof/>
          <w:snapToGrid w:val="0"/>
          <w:szCs w:val="24"/>
        </w:rPr>
        <w:t>Seized forest produce</w:t>
      </w:r>
      <w:r>
        <w:rPr>
          <w:noProof/>
        </w:rPr>
        <w:tab/>
      </w:r>
      <w:r>
        <w:rPr>
          <w:noProof/>
        </w:rPr>
        <w:fldChar w:fldCharType="begin"/>
      </w:r>
      <w:r>
        <w:rPr>
          <w:noProof/>
        </w:rPr>
        <w:instrText xml:space="preserve"> PAGEREF _Toc155068120 \h </w:instrText>
      </w:r>
      <w:r>
        <w:rPr>
          <w:noProof/>
        </w:rPr>
      </w:r>
      <w:r>
        <w:rPr>
          <w:noProof/>
        </w:rPr>
        <w:fldChar w:fldCharType="separate"/>
      </w:r>
      <w:r>
        <w:rPr>
          <w:noProof/>
        </w:rPr>
        <w:t>53</w:t>
      </w:r>
      <w:r>
        <w:rPr>
          <w:noProof/>
        </w:rPr>
        <w:fldChar w:fldCharType="end"/>
      </w:r>
    </w:p>
    <w:p>
      <w:pPr>
        <w:pStyle w:val="TOC2"/>
        <w:tabs>
          <w:tab w:val="right" w:leader="dot" w:pos="7086"/>
        </w:tabs>
        <w:rPr>
          <w:b w:val="0"/>
          <w:noProof/>
          <w:sz w:val="24"/>
          <w:szCs w:val="24"/>
        </w:rPr>
      </w:pPr>
      <w:r>
        <w:rPr>
          <w:noProof/>
          <w:szCs w:val="30"/>
        </w:rPr>
        <w:t>Part 18 — Miscellaneous</w:t>
      </w:r>
    </w:p>
    <w:p>
      <w:pPr>
        <w:pStyle w:val="TOC4"/>
        <w:tabs>
          <w:tab w:val="left" w:pos="1701"/>
        </w:tabs>
        <w:rPr>
          <w:noProof/>
          <w:sz w:val="24"/>
          <w:szCs w:val="24"/>
        </w:rPr>
      </w:pPr>
      <w:r>
        <w:rPr>
          <w:noProof/>
          <w:szCs w:val="24"/>
        </w:rPr>
        <w:t>129</w:t>
      </w:r>
      <w:r>
        <w:rPr>
          <w:noProof/>
          <w:snapToGrid w:val="0"/>
          <w:szCs w:val="24"/>
        </w:rPr>
        <w:t>.</w:t>
      </w:r>
      <w:r>
        <w:rPr>
          <w:noProof/>
          <w:sz w:val="24"/>
          <w:szCs w:val="24"/>
        </w:rPr>
        <w:tab/>
      </w:r>
      <w:r>
        <w:rPr>
          <w:noProof/>
          <w:snapToGrid w:val="0"/>
          <w:szCs w:val="24"/>
        </w:rPr>
        <w:t>Statistical information to be provided</w:t>
      </w:r>
      <w:r>
        <w:rPr>
          <w:noProof/>
        </w:rPr>
        <w:tab/>
      </w:r>
      <w:r>
        <w:rPr>
          <w:noProof/>
        </w:rPr>
        <w:fldChar w:fldCharType="begin"/>
      </w:r>
      <w:r>
        <w:rPr>
          <w:noProof/>
        </w:rPr>
        <w:instrText xml:space="preserve"> PAGEREF _Toc155068122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130</w:t>
      </w:r>
      <w:r>
        <w:rPr>
          <w:noProof/>
          <w:snapToGrid w:val="0"/>
          <w:szCs w:val="24"/>
        </w:rPr>
        <w:t>.</w:t>
      </w:r>
      <w:r>
        <w:rPr>
          <w:noProof/>
          <w:sz w:val="24"/>
          <w:szCs w:val="24"/>
        </w:rPr>
        <w:tab/>
      </w:r>
      <w:r>
        <w:rPr>
          <w:noProof/>
          <w:snapToGrid w:val="0"/>
          <w:szCs w:val="24"/>
        </w:rPr>
        <w:t>False or misleading information</w:t>
      </w:r>
      <w:r>
        <w:rPr>
          <w:noProof/>
        </w:rPr>
        <w:tab/>
      </w:r>
      <w:r>
        <w:rPr>
          <w:noProof/>
        </w:rPr>
        <w:fldChar w:fldCharType="begin"/>
      </w:r>
      <w:r>
        <w:rPr>
          <w:noProof/>
        </w:rPr>
        <w:instrText xml:space="preserve"> PAGEREF _Toc155068123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135</w:t>
      </w:r>
      <w:r>
        <w:rPr>
          <w:noProof/>
          <w:snapToGrid w:val="0"/>
          <w:szCs w:val="24"/>
        </w:rPr>
        <w:t>.</w:t>
      </w:r>
      <w:r>
        <w:rPr>
          <w:noProof/>
          <w:sz w:val="24"/>
          <w:szCs w:val="24"/>
        </w:rPr>
        <w:tab/>
      </w:r>
      <w:r>
        <w:rPr>
          <w:noProof/>
          <w:snapToGrid w:val="0"/>
          <w:szCs w:val="24"/>
        </w:rPr>
        <w:t>Damage to other forest produce to be minimized</w:t>
      </w:r>
      <w:r>
        <w:rPr>
          <w:noProof/>
        </w:rPr>
        <w:tab/>
      </w:r>
      <w:r>
        <w:rPr>
          <w:noProof/>
        </w:rPr>
        <w:fldChar w:fldCharType="begin"/>
      </w:r>
      <w:r>
        <w:rPr>
          <w:noProof/>
        </w:rPr>
        <w:instrText xml:space="preserve"> PAGEREF _Toc155068124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136</w:t>
      </w:r>
      <w:r>
        <w:rPr>
          <w:noProof/>
          <w:snapToGrid w:val="0"/>
          <w:szCs w:val="24"/>
        </w:rPr>
        <w:t>.</w:t>
      </w:r>
      <w:r>
        <w:rPr>
          <w:noProof/>
          <w:sz w:val="24"/>
          <w:szCs w:val="24"/>
        </w:rPr>
        <w:tab/>
      </w:r>
      <w:r>
        <w:rPr>
          <w:noProof/>
          <w:snapToGrid w:val="0"/>
          <w:szCs w:val="24"/>
        </w:rPr>
        <w:t>Person not to interfere with seized forest produce</w:t>
      </w:r>
      <w:r>
        <w:rPr>
          <w:noProof/>
        </w:rPr>
        <w:tab/>
      </w:r>
      <w:r>
        <w:rPr>
          <w:noProof/>
        </w:rPr>
        <w:fldChar w:fldCharType="begin"/>
      </w:r>
      <w:r>
        <w:rPr>
          <w:noProof/>
        </w:rPr>
        <w:instrText xml:space="preserve"> PAGEREF _Toc155068125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137</w:t>
      </w:r>
      <w:r>
        <w:rPr>
          <w:noProof/>
          <w:snapToGrid w:val="0"/>
          <w:szCs w:val="24"/>
        </w:rPr>
        <w:t>.</w:t>
      </w:r>
      <w:r>
        <w:rPr>
          <w:noProof/>
          <w:sz w:val="24"/>
          <w:szCs w:val="24"/>
        </w:rPr>
        <w:tab/>
      </w:r>
      <w:r>
        <w:rPr>
          <w:noProof/>
          <w:snapToGrid w:val="0"/>
          <w:szCs w:val="24"/>
        </w:rPr>
        <w:t>Damage to tables and other facilities</w:t>
      </w:r>
      <w:r>
        <w:rPr>
          <w:noProof/>
        </w:rPr>
        <w:tab/>
      </w:r>
      <w:r>
        <w:rPr>
          <w:noProof/>
        </w:rPr>
        <w:fldChar w:fldCharType="begin"/>
      </w:r>
      <w:r>
        <w:rPr>
          <w:noProof/>
        </w:rPr>
        <w:instrText xml:space="preserve"> PAGEREF _Toc155068126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138</w:t>
      </w:r>
      <w:r>
        <w:rPr>
          <w:noProof/>
          <w:snapToGrid w:val="0"/>
          <w:szCs w:val="24"/>
        </w:rPr>
        <w:t>.</w:t>
      </w:r>
      <w:r>
        <w:rPr>
          <w:noProof/>
          <w:sz w:val="24"/>
          <w:szCs w:val="24"/>
        </w:rPr>
        <w:tab/>
      </w:r>
      <w:r>
        <w:rPr>
          <w:noProof/>
          <w:snapToGrid w:val="0"/>
          <w:szCs w:val="24"/>
        </w:rPr>
        <w:t>Export karri timber to be marked</w:t>
      </w:r>
      <w:r>
        <w:rPr>
          <w:noProof/>
        </w:rPr>
        <w:tab/>
      </w:r>
      <w:r>
        <w:rPr>
          <w:noProof/>
        </w:rPr>
        <w:fldChar w:fldCharType="begin"/>
      </w:r>
      <w:r>
        <w:rPr>
          <w:noProof/>
        </w:rPr>
        <w:instrText xml:space="preserve"> PAGEREF _Toc155068127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139</w:t>
      </w:r>
      <w:r>
        <w:rPr>
          <w:noProof/>
          <w:snapToGrid w:val="0"/>
          <w:szCs w:val="24"/>
        </w:rPr>
        <w:t>.</w:t>
      </w:r>
      <w:r>
        <w:rPr>
          <w:noProof/>
          <w:sz w:val="24"/>
          <w:szCs w:val="24"/>
        </w:rPr>
        <w:tab/>
      </w:r>
      <w:r>
        <w:rPr>
          <w:noProof/>
          <w:snapToGrid w:val="0"/>
          <w:szCs w:val="24"/>
        </w:rPr>
        <w:t>Marks used by forest officers</w:t>
      </w:r>
      <w:r>
        <w:rPr>
          <w:noProof/>
        </w:rPr>
        <w:tab/>
      </w:r>
      <w:r>
        <w:rPr>
          <w:noProof/>
        </w:rPr>
        <w:fldChar w:fldCharType="begin"/>
      </w:r>
      <w:r>
        <w:rPr>
          <w:noProof/>
        </w:rPr>
        <w:instrText xml:space="preserve"> PAGEREF _Toc155068128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140</w:t>
      </w:r>
      <w:r>
        <w:rPr>
          <w:noProof/>
          <w:snapToGrid w:val="0"/>
          <w:szCs w:val="24"/>
        </w:rPr>
        <w:t>.</w:t>
      </w:r>
      <w:r>
        <w:rPr>
          <w:noProof/>
          <w:sz w:val="24"/>
          <w:szCs w:val="24"/>
        </w:rPr>
        <w:tab/>
      </w:r>
      <w:r>
        <w:rPr>
          <w:noProof/>
          <w:snapToGrid w:val="0"/>
          <w:szCs w:val="24"/>
        </w:rPr>
        <w:t>Tape etc. not to be affixed to timber</w:t>
      </w:r>
      <w:r>
        <w:rPr>
          <w:noProof/>
        </w:rPr>
        <w:tab/>
      </w:r>
      <w:r>
        <w:rPr>
          <w:noProof/>
        </w:rPr>
        <w:fldChar w:fldCharType="begin"/>
      </w:r>
      <w:r>
        <w:rPr>
          <w:noProof/>
        </w:rPr>
        <w:instrText xml:space="preserve"> PAGEREF _Toc155068129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141</w:t>
      </w:r>
      <w:r>
        <w:rPr>
          <w:noProof/>
          <w:snapToGrid w:val="0"/>
          <w:szCs w:val="24"/>
        </w:rPr>
        <w:t>.</w:t>
      </w:r>
      <w:r>
        <w:rPr>
          <w:noProof/>
          <w:sz w:val="24"/>
          <w:szCs w:val="24"/>
        </w:rPr>
        <w:tab/>
      </w:r>
      <w:r>
        <w:rPr>
          <w:noProof/>
          <w:snapToGrid w:val="0"/>
          <w:szCs w:val="24"/>
        </w:rPr>
        <w:t>Prescribed maximum penalty for failure to comply with condition</w:t>
      </w:r>
      <w:r>
        <w:rPr>
          <w:noProof/>
        </w:rPr>
        <w:tab/>
      </w:r>
      <w:r>
        <w:rPr>
          <w:noProof/>
        </w:rPr>
        <w:fldChar w:fldCharType="begin"/>
      </w:r>
      <w:r>
        <w:rPr>
          <w:noProof/>
        </w:rPr>
        <w:instrText xml:space="preserve"> PAGEREF _Toc155068130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142</w:t>
      </w:r>
      <w:r>
        <w:rPr>
          <w:noProof/>
          <w:snapToGrid w:val="0"/>
          <w:szCs w:val="24"/>
        </w:rPr>
        <w:t>.</w:t>
      </w:r>
      <w:r>
        <w:rPr>
          <w:noProof/>
          <w:sz w:val="24"/>
          <w:szCs w:val="24"/>
        </w:rPr>
        <w:tab/>
      </w:r>
      <w:r>
        <w:rPr>
          <w:noProof/>
          <w:snapToGrid w:val="0"/>
          <w:szCs w:val="24"/>
        </w:rPr>
        <w:t>Prescribed royalties for timber taken on mining tenement for mining purposes</w:t>
      </w:r>
      <w:r>
        <w:rPr>
          <w:noProof/>
        </w:rPr>
        <w:tab/>
      </w:r>
      <w:r>
        <w:rPr>
          <w:noProof/>
        </w:rPr>
        <w:fldChar w:fldCharType="begin"/>
      </w:r>
      <w:r>
        <w:rPr>
          <w:noProof/>
        </w:rPr>
        <w:instrText xml:space="preserve"> PAGEREF _Toc155068131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143</w:t>
      </w:r>
      <w:r>
        <w:rPr>
          <w:noProof/>
          <w:snapToGrid w:val="0"/>
          <w:szCs w:val="24"/>
        </w:rPr>
        <w:t>.</w:t>
      </w:r>
      <w:r>
        <w:rPr>
          <w:noProof/>
          <w:sz w:val="24"/>
          <w:szCs w:val="24"/>
        </w:rPr>
        <w:tab/>
      </w:r>
      <w:r>
        <w:rPr>
          <w:noProof/>
          <w:snapToGrid w:val="0"/>
          <w:szCs w:val="24"/>
        </w:rPr>
        <w:t>Rent payable for sawmill site</w:t>
      </w:r>
      <w:r>
        <w:rPr>
          <w:noProof/>
        </w:rPr>
        <w:tab/>
      </w:r>
      <w:r>
        <w:rPr>
          <w:noProof/>
        </w:rPr>
        <w:fldChar w:fldCharType="begin"/>
      </w:r>
      <w:r>
        <w:rPr>
          <w:noProof/>
        </w:rPr>
        <w:instrText xml:space="preserve"> PAGEREF _Toc155068132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144</w:t>
      </w:r>
      <w:r>
        <w:rPr>
          <w:noProof/>
          <w:snapToGrid w:val="0"/>
          <w:szCs w:val="24"/>
        </w:rPr>
        <w:t>.</w:t>
      </w:r>
      <w:r>
        <w:rPr>
          <w:noProof/>
          <w:sz w:val="24"/>
          <w:szCs w:val="24"/>
        </w:rPr>
        <w:tab/>
      </w:r>
      <w:r>
        <w:rPr>
          <w:noProof/>
          <w:snapToGrid w:val="0"/>
          <w:szCs w:val="24"/>
        </w:rPr>
        <w:t>False documents, statements, etc.</w:t>
      </w:r>
      <w:r>
        <w:rPr>
          <w:noProof/>
        </w:rPr>
        <w:tab/>
      </w:r>
      <w:r>
        <w:rPr>
          <w:noProof/>
        </w:rPr>
        <w:fldChar w:fldCharType="begin"/>
      </w:r>
      <w:r>
        <w:rPr>
          <w:noProof/>
        </w:rPr>
        <w:instrText xml:space="preserve"> PAGEREF _Toc155068133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145</w:t>
      </w:r>
      <w:r>
        <w:rPr>
          <w:noProof/>
          <w:snapToGrid w:val="0"/>
          <w:szCs w:val="24"/>
        </w:rPr>
        <w:t>.</w:t>
      </w:r>
      <w:r>
        <w:rPr>
          <w:noProof/>
          <w:sz w:val="24"/>
          <w:szCs w:val="24"/>
        </w:rPr>
        <w:tab/>
      </w:r>
      <w:r>
        <w:rPr>
          <w:noProof/>
          <w:snapToGrid w:val="0"/>
          <w:szCs w:val="24"/>
        </w:rPr>
        <w:t>Form of register</w:t>
      </w:r>
      <w:r>
        <w:rPr>
          <w:noProof/>
        </w:rPr>
        <w:tab/>
      </w:r>
      <w:r>
        <w:rPr>
          <w:noProof/>
        </w:rPr>
        <w:fldChar w:fldCharType="begin"/>
      </w:r>
      <w:r>
        <w:rPr>
          <w:noProof/>
        </w:rPr>
        <w:instrText xml:space="preserve"> PAGEREF _Toc155068134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146</w:t>
      </w:r>
      <w:r>
        <w:rPr>
          <w:noProof/>
          <w:snapToGrid w:val="0"/>
          <w:szCs w:val="24"/>
        </w:rPr>
        <w:t>.</w:t>
      </w:r>
      <w:r>
        <w:rPr>
          <w:noProof/>
          <w:sz w:val="24"/>
          <w:szCs w:val="24"/>
        </w:rPr>
        <w:tab/>
      </w:r>
      <w:r>
        <w:rPr>
          <w:noProof/>
          <w:snapToGrid w:val="0"/>
          <w:szCs w:val="24"/>
        </w:rPr>
        <w:t>Amendment of register</w:t>
      </w:r>
      <w:r>
        <w:rPr>
          <w:noProof/>
        </w:rPr>
        <w:tab/>
      </w:r>
      <w:r>
        <w:rPr>
          <w:noProof/>
        </w:rPr>
        <w:fldChar w:fldCharType="begin"/>
      </w:r>
      <w:r>
        <w:rPr>
          <w:noProof/>
        </w:rPr>
        <w:instrText xml:space="preserve"> PAGEREF _Toc155068135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147</w:t>
      </w:r>
      <w:r>
        <w:rPr>
          <w:noProof/>
          <w:snapToGrid w:val="0"/>
          <w:szCs w:val="24"/>
        </w:rPr>
        <w:t>.</w:t>
      </w:r>
      <w:r>
        <w:rPr>
          <w:noProof/>
          <w:sz w:val="24"/>
          <w:szCs w:val="24"/>
        </w:rPr>
        <w:tab/>
      </w:r>
      <w:r>
        <w:rPr>
          <w:noProof/>
          <w:snapToGrid w:val="0"/>
          <w:szCs w:val="24"/>
        </w:rPr>
        <w:t>Extracts from register</w:t>
      </w:r>
      <w:r>
        <w:rPr>
          <w:noProof/>
        </w:rPr>
        <w:tab/>
      </w:r>
      <w:r>
        <w:rPr>
          <w:noProof/>
        </w:rPr>
        <w:fldChar w:fldCharType="begin"/>
      </w:r>
      <w:r>
        <w:rPr>
          <w:noProof/>
        </w:rPr>
        <w:instrText xml:space="preserve"> PAGEREF _Toc155068136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148</w:t>
      </w:r>
      <w:r>
        <w:rPr>
          <w:noProof/>
          <w:snapToGrid w:val="0"/>
          <w:szCs w:val="24"/>
        </w:rPr>
        <w:t>.</w:t>
      </w:r>
      <w:r>
        <w:rPr>
          <w:noProof/>
          <w:sz w:val="24"/>
          <w:szCs w:val="24"/>
        </w:rPr>
        <w:tab/>
      </w:r>
      <w:r>
        <w:rPr>
          <w:noProof/>
          <w:snapToGrid w:val="0"/>
          <w:szCs w:val="24"/>
        </w:rPr>
        <w:t>Information to be provided relating to specific permits, licences and contracts</w:t>
      </w:r>
      <w:r>
        <w:rPr>
          <w:noProof/>
        </w:rPr>
        <w:tab/>
      </w:r>
      <w:r>
        <w:rPr>
          <w:noProof/>
        </w:rPr>
        <w:fldChar w:fldCharType="begin"/>
      </w:r>
      <w:r>
        <w:rPr>
          <w:noProof/>
        </w:rPr>
        <w:instrText xml:space="preserve"> PAGEREF _Toc155068137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149</w:t>
      </w:r>
      <w:r>
        <w:rPr>
          <w:noProof/>
          <w:snapToGrid w:val="0"/>
          <w:szCs w:val="24"/>
        </w:rPr>
        <w:t>.</w:t>
      </w:r>
      <w:r>
        <w:rPr>
          <w:noProof/>
          <w:sz w:val="24"/>
          <w:szCs w:val="24"/>
        </w:rPr>
        <w:tab/>
      </w:r>
      <w:r>
        <w:rPr>
          <w:noProof/>
          <w:snapToGrid w:val="0"/>
          <w:szCs w:val="24"/>
        </w:rPr>
        <w:t>Information to be provided relating to general scale of royalties</w:t>
      </w:r>
      <w:r>
        <w:rPr>
          <w:noProof/>
        </w:rPr>
        <w:tab/>
      </w:r>
      <w:r>
        <w:rPr>
          <w:noProof/>
        </w:rPr>
        <w:fldChar w:fldCharType="begin"/>
      </w:r>
      <w:r>
        <w:rPr>
          <w:noProof/>
        </w:rPr>
        <w:instrText xml:space="preserve"> PAGEREF _Toc155068138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151</w:t>
      </w:r>
      <w:r>
        <w:rPr>
          <w:noProof/>
          <w:snapToGrid w:val="0"/>
          <w:szCs w:val="24"/>
        </w:rPr>
        <w:t>.</w:t>
      </w:r>
      <w:r>
        <w:rPr>
          <w:noProof/>
          <w:sz w:val="24"/>
          <w:szCs w:val="24"/>
        </w:rPr>
        <w:tab/>
      </w:r>
      <w:r>
        <w:rPr>
          <w:noProof/>
          <w:snapToGrid w:val="0"/>
          <w:szCs w:val="24"/>
        </w:rPr>
        <w:t>Miscellaneous fees</w:t>
      </w:r>
      <w:r>
        <w:rPr>
          <w:noProof/>
        </w:rPr>
        <w:tab/>
      </w:r>
      <w:r>
        <w:rPr>
          <w:noProof/>
        </w:rPr>
        <w:fldChar w:fldCharType="begin"/>
      </w:r>
      <w:r>
        <w:rPr>
          <w:noProof/>
        </w:rPr>
        <w:instrText xml:space="preserve"> PAGEREF _Toc155068139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152</w:t>
      </w:r>
      <w:r>
        <w:rPr>
          <w:noProof/>
          <w:snapToGrid w:val="0"/>
          <w:szCs w:val="24"/>
        </w:rPr>
        <w:t>.</w:t>
      </w:r>
      <w:r>
        <w:rPr>
          <w:noProof/>
          <w:sz w:val="24"/>
          <w:szCs w:val="24"/>
        </w:rPr>
        <w:tab/>
      </w:r>
      <w:r>
        <w:rPr>
          <w:noProof/>
          <w:snapToGrid w:val="0"/>
          <w:szCs w:val="24"/>
        </w:rPr>
        <w:t>Appeals</w:t>
      </w:r>
      <w:r>
        <w:rPr>
          <w:noProof/>
        </w:rPr>
        <w:tab/>
      </w:r>
      <w:r>
        <w:rPr>
          <w:noProof/>
        </w:rPr>
        <w:fldChar w:fldCharType="begin"/>
      </w:r>
      <w:r>
        <w:rPr>
          <w:noProof/>
        </w:rPr>
        <w:instrText xml:space="preserve"> PAGEREF _Toc155068140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153</w:t>
      </w:r>
      <w:r>
        <w:rPr>
          <w:noProof/>
          <w:snapToGrid w:val="0"/>
          <w:szCs w:val="24"/>
        </w:rPr>
        <w:t>.</w:t>
      </w:r>
      <w:r>
        <w:rPr>
          <w:noProof/>
          <w:sz w:val="24"/>
          <w:szCs w:val="24"/>
        </w:rPr>
        <w:tab/>
      </w:r>
      <w:r>
        <w:rPr>
          <w:noProof/>
          <w:snapToGrid w:val="0"/>
          <w:szCs w:val="24"/>
        </w:rPr>
        <w:t>Repeal</w:t>
      </w:r>
      <w:r>
        <w:rPr>
          <w:noProof/>
        </w:rPr>
        <w:tab/>
      </w:r>
      <w:r>
        <w:rPr>
          <w:noProof/>
        </w:rPr>
        <w:fldChar w:fldCharType="begin"/>
      </w:r>
      <w:r>
        <w:rPr>
          <w:noProof/>
        </w:rPr>
        <w:instrText xml:space="preserve"> PAGEREF _Toc155068141 \h </w:instrText>
      </w:r>
      <w:r>
        <w:rPr>
          <w:noProof/>
        </w:rPr>
      </w:r>
      <w:r>
        <w:rPr>
          <w:noProof/>
        </w:rPr>
        <w:fldChar w:fldCharType="separate"/>
      </w:r>
      <w:r>
        <w:rPr>
          <w:noProof/>
        </w:rPr>
        <w:t>63</w:t>
      </w:r>
      <w:r>
        <w:rPr>
          <w:noProof/>
        </w:rPr>
        <w:fldChar w:fldCharType="end"/>
      </w:r>
    </w:p>
    <w:p>
      <w:pPr>
        <w:pStyle w:val="TOC4"/>
        <w:tabs>
          <w:tab w:val="left" w:pos="1701"/>
        </w:tabs>
        <w:rPr>
          <w:noProof/>
          <w:sz w:val="24"/>
          <w:szCs w:val="24"/>
        </w:rPr>
      </w:pPr>
      <w:r>
        <w:rPr>
          <w:noProof/>
          <w:szCs w:val="24"/>
        </w:rPr>
        <w:t>154</w:t>
      </w:r>
      <w:r>
        <w:rPr>
          <w:noProof/>
          <w:snapToGrid w:val="0"/>
          <w:szCs w:val="24"/>
        </w:rPr>
        <w:t>.</w:t>
      </w:r>
      <w:r>
        <w:rPr>
          <w:noProof/>
          <w:sz w:val="24"/>
          <w:szCs w:val="24"/>
        </w:rPr>
        <w:tab/>
      </w:r>
      <w:r>
        <w:rPr>
          <w:noProof/>
          <w:snapToGrid w:val="0"/>
          <w:szCs w:val="24"/>
        </w:rPr>
        <w:t>Transitional</w:t>
      </w:r>
      <w:r>
        <w:rPr>
          <w:noProof/>
        </w:rPr>
        <w:tab/>
      </w:r>
      <w:r>
        <w:rPr>
          <w:noProof/>
        </w:rPr>
        <w:fldChar w:fldCharType="begin"/>
      </w:r>
      <w:r>
        <w:rPr>
          <w:noProof/>
        </w:rPr>
        <w:instrText xml:space="preserve"> PAGEREF _Toc155068142 \h </w:instrText>
      </w:r>
      <w:r>
        <w:rPr>
          <w:noProof/>
        </w:rPr>
      </w:r>
      <w:r>
        <w:rPr>
          <w:noProof/>
        </w:rPr>
        <w:fldChar w:fldCharType="separate"/>
      </w:r>
      <w:r>
        <w:rPr>
          <w:noProof/>
        </w:rPr>
        <w:t>63</w:t>
      </w:r>
      <w:r>
        <w:rPr>
          <w:noProof/>
        </w:rPr>
        <w:fldChar w:fldCharType="end"/>
      </w:r>
    </w:p>
    <w:p>
      <w:pPr>
        <w:pStyle w:val="TOC5"/>
        <w:rPr>
          <w:b w:val="0"/>
          <w:noProof/>
          <w:sz w:val="24"/>
          <w:szCs w:val="24"/>
        </w:rPr>
      </w:pPr>
      <w:r>
        <w:rPr>
          <w:noProof/>
          <w:szCs w:val="28"/>
        </w:rPr>
        <w:t>Schedule 1</w:t>
      </w:r>
      <w:r>
        <w:rPr>
          <w:noProof/>
        </w:rPr>
        <w:tab/>
      </w:r>
      <w:r>
        <w:rPr>
          <w:noProof/>
        </w:rPr>
        <w:fldChar w:fldCharType="begin"/>
      </w:r>
      <w:r>
        <w:rPr>
          <w:noProof/>
        </w:rPr>
        <w:instrText xml:space="preserve"> PAGEREF _Toc155068143 \h </w:instrText>
      </w:r>
      <w:r>
        <w:rPr>
          <w:noProof/>
        </w:rPr>
      </w:r>
      <w:r>
        <w:rPr>
          <w:noProof/>
        </w:rPr>
        <w:fldChar w:fldCharType="separate"/>
      </w:r>
      <w:r>
        <w:rPr>
          <w:noProof/>
        </w:rPr>
        <w:t>64</w:t>
      </w:r>
      <w:r>
        <w:rPr>
          <w:noProof/>
        </w:rPr>
        <w:fldChar w:fldCharType="end"/>
      </w:r>
    </w:p>
    <w:p>
      <w:pPr>
        <w:pStyle w:val="TOC7"/>
        <w:rPr>
          <w:noProof/>
          <w:sz w:val="24"/>
          <w:szCs w:val="24"/>
        </w:rPr>
      </w:pPr>
      <w:r>
        <w:rPr>
          <w:noProof/>
          <w:szCs w:val="28"/>
        </w:rPr>
        <w:t>Part A — Determination of volume of hardwood log timber by individual log measurement</w:t>
      </w:r>
      <w:r>
        <w:rPr>
          <w:noProof/>
        </w:rPr>
        <w:tab/>
      </w:r>
      <w:r>
        <w:rPr>
          <w:noProof/>
        </w:rPr>
        <w:fldChar w:fldCharType="begin"/>
      </w:r>
      <w:r>
        <w:rPr>
          <w:noProof/>
        </w:rPr>
        <w:instrText xml:space="preserve"> PAGEREF _Toc155068144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napToGrid w:val="0"/>
          <w:szCs w:val="22"/>
        </w:rPr>
        <w:t>1.</w:t>
      </w:r>
      <w:r>
        <w:rPr>
          <w:noProof/>
          <w:sz w:val="24"/>
          <w:szCs w:val="24"/>
        </w:rPr>
        <w:tab/>
      </w:r>
      <w:r>
        <w:rPr>
          <w:noProof/>
          <w:snapToGrid w:val="0"/>
          <w:szCs w:val="22"/>
        </w:rPr>
        <w:t>Length measurement</w:t>
      </w:r>
      <w:r>
        <w:rPr>
          <w:noProof/>
        </w:rPr>
        <w:tab/>
      </w:r>
      <w:r>
        <w:rPr>
          <w:noProof/>
        </w:rPr>
        <w:fldChar w:fldCharType="begin"/>
      </w:r>
      <w:r>
        <w:rPr>
          <w:noProof/>
        </w:rPr>
        <w:instrText xml:space="preserve"> PAGEREF _Toc155068145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napToGrid w:val="0"/>
          <w:szCs w:val="22"/>
        </w:rPr>
        <w:t>2.</w:t>
      </w:r>
      <w:r>
        <w:rPr>
          <w:noProof/>
          <w:sz w:val="24"/>
          <w:szCs w:val="24"/>
        </w:rPr>
        <w:tab/>
      </w:r>
      <w:r>
        <w:rPr>
          <w:noProof/>
          <w:snapToGrid w:val="0"/>
          <w:szCs w:val="22"/>
        </w:rPr>
        <w:t>Diameter measurement</w:t>
      </w:r>
      <w:r>
        <w:rPr>
          <w:noProof/>
        </w:rPr>
        <w:tab/>
      </w:r>
      <w:r>
        <w:rPr>
          <w:noProof/>
        </w:rPr>
        <w:fldChar w:fldCharType="begin"/>
      </w:r>
      <w:r>
        <w:rPr>
          <w:noProof/>
        </w:rPr>
        <w:instrText xml:space="preserve"> PAGEREF _Toc155068146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napToGrid w:val="0"/>
          <w:szCs w:val="22"/>
        </w:rPr>
        <w:t>3.</w:t>
      </w:r>
      <w:r>
        <w:rPr>
          <w:noProof/>
          <w:sz w:val="24"/>
          <w:szCs w:val="24"/>
        </w:rPr>
        <w:tab/>
      </w:r>
      <w:r>
        <w:rPr>
          <w:noProof/>
          <w:snapToGrid w:val="0"/>
          <w:szCs w:val="22"/>
        </w:rPr>
        <w:t>Calculation of volume</w:t>
      </w:r>
      <w:r>
        <w:rPr>
          <w:noProof/>
        </w:rPr>
        <w:tab/>
      </w:r>
      <w:r>
        <w:rPr>
          <w:noProof/>
        </w:rPr>
        <w:fldChar w:fldCharType="begin"/>
      </w:r>
      <w:r>
        <w:rPr>
          <w:noProof/>
        </w:rPr>
        <w:instrText xml:space="preserve"> PAGEREF _Toc155068147 \h </w:instrText>
      </w:r>
      <w:r>
        <w:rPr>
          <w:noProof/>
        </w:rPr>
      </w:r>
      <w:r>
        <w:rPr>
          <w:noProof/>
        </w:rPr>
        <w:fldChar w:fldCharType="separate"/>
      </w:r>
      <w:r>
        <w:rPr>
          <w:noProof/>
        </w:rPr>
        <w:t>65</w:t>
      </w:r>
      <w:r>
        <w:rPr>
          <w:noProof/>
        </w:rPr>
        <w:fldChar w:fldCharType="end"/>
      </w:r>
    </w:p>
    <w:p>
      <w:pPr>
        <w:pStyle w:val="TOC4"/>
        <w:tabs>
          <w:tab w:val="left" w:pos="1701"/>
        </w:tabs>
        <w:rPr>
          <w:noProof/>
          <w:sz w:val="24"/>
          <w:szCs w:val="24"/>
        </w:rPr>
      </w:pPr>
      <w:r>
        <w:rPr>
          <w:noProof/>
          <w:snapToGrid w:val="0"/>
          <w:szCs w:val="22"/>
        </w:rPr>
        <w:t>4.</w:t>
      </w:r>
      <w:r>
        <w:rPr>
          <w:noProof/>
          <w:sz w:val="24"/>
          <w:szCs w:val="24"/>
        </w:rPr>
        <w:tab/>
      </w:r>
      <w:r>
        <w:rPr>
          <w:noProof/>
          <w:snapToGrid w:val="0"/>
          <w:szCs w:val="22"/>
        </w:rPr>
        <w:t>Measurement of logs halved along their length</w:t>
      </w:r>
      <w:r>
        <w:rPr>
          <w:noProof/>
        </w:rPr>
        <w:tab/>
      </w:r>
      <w:r>
        <w:rPr>
          <w:noProof/>
        </w:rPr>
        <w:fldChar w:fldCharType="begin"/>
      </w:r>
      <w:r>
        <w:rPr>
          <w:noProof/>
        </w:rPr>
        <w:instrText xml:space="preserve"> PAGEREF _Toc155068148 \h </w:instrText>
      </w:r>
      <w:r>
        <w:rPr>
          <w:noProof/>
        </w:rPr>
      </w:r>
      <w:r>
        <w:rPr>
          <w:noProof/>
        </w:rPr>
        <w:fldChar w:fldCharType="separate"/>
      </w:r>
      <w:r>
        <w:rPr>
          <w:noProof/>
        </w:rPr>
        <w:t>66</w:t>
      </w:r>
      <w:r>
        <w:rPr>
          <w:noProof/>
        </w:rPr>
        <w:fldChar w:fldCharType="end"/>
      </w:r>
    </w:p>
    <w:p>
      <w:pPr>
        <w:pStyle w:val="TOC7"/>
        <w:rPr>
          <w:noProof/>
          <w:sz w:val="24"/>
          <w:szCs w:val="24"/>
        </w:rPr>
      </w:pPr>
      <w:r>
        <w:rPr>
          <w:noProof/>
          <w:szCs w:val="28"/>
        </w:rPr>
        <w:t>Part B — Determination of volume of softwood log timber by individual log measurement</w:t>
      </w:r>
      <w:r>
        <w:rPr>
          <w:noProof/>
        </w:rPr>
        <w:tab/>
      </w:r>
      <w:r>
        <w:rPr>
          <w:noProof/>
        </w:rPr>
        <w:fldChar w:fldCharType="begin"/>
      </w:r>
      <w:r>
        <w:rPr>
          <w:noProof/>
        </w:rPr>
        <w:instrText xml:space="preserve"> PAGEREF _Toc155068149 \h </w:instrText>
      </w:r>
      <w:r>
        <w:rPr>
          <w:noProof/>
        </w:rPr>
      </w:r>
      <w:r>
        <w:rPr>
          <w:noProof/>
        </w:rPr>
        <w:fldChar w:fldCharType="separate"/>
      </w:r>
      <w:r>
        <w:rPr>
          <w:noProof/>
        </w:rPr>
        <w:t>66</w:t>
      </w:r>
      <w:r>
        <w:rPr>
          <w:noProof/>
        </w:rPr>
        <w:fldChar w:fldCharType="end"/>
      </w:r>
    </w:p>
    <w:p>
      <w:pPr>
        <w:pStyle w:val="TOC4"/>
        <w:tabs>
          <w:tab w:val="left" w:pos="1701"/>
        </w:tabs>
        <w:rPr>
          <w:noProof/>
          <w:sz w:val="24"/>
          <w:szCs w:val="24"/>
        </w:rPr>
      </w:pPr>
      <w:r>
        <w:rPr>
          <w:noProof/>
          <w:snapToGrid w:val="0"/>
          <w:szCs w:val="22"/>
        </w:rPr>
        <w:t>1.</w:t>
      </w:r>
      <w:r>
        <w:rPr>
          <w:noProof/>
          <w:sz w:val="24"/>
          <w:szCs w:val="24"/>
        </w:rPr>
        <w:tab/>
      </w:r>
      <w:r>
        <w:rPr>
          <w:noProof/>
          <w:snapToGrid w:val="0"/>
          <w:szCs w:val="22"/>
        </w:rPr>
        <w:t>Length measurement</w:t>
      </w:r>
      <w:r>
        <w:rPr>
          <w:noProof/>
        </w:rPr>
        <w:tab/>
      </w:r>
      <w:r>
        <w:rPr>
          <w:noProof/>
        </w:rPr>
        <w:fldChar w:fldCharType="begin"/>
      </w:r>
      <w:r>
        <w:rPr>
          <w:noProof/>
        </w:rPr>
        <w:instrText xml:space="preserve"> PAGEREF _Toc155068150 \h </w:instrText>
      </w:r>
      <w:r>
        <w:rPr>
          <w:noProof/>
        </w:rPr>
      </w:r>
      <w:r>
        <w:rPr>
          <w:noProof/>
        </w:rPr>
        <w:fldChar w:fldCharType="separate"/>
      </w:r>
      <w:r>
        <w:rPr>
          <w:noProof/>
        </w:rPr>
        <w:t>66</w:t>
      </w:r>
      <w:r>
        <w:rPr>
          <w:noProof/>
        </w:rPr>
        <w:fldChar w:fldCharType="end"/>
      </w:r>
    </w:p>
    <w:p>
      <w:pPr>
        <w:pStyle w:val="TOC4"/>
        <w:tabs>
          <w:tab w:val="left" w:pos="1701"/>
        </w:tabs>
        <w:rPr>
          <w:noProof/>
          <w:sz w:val="24"/>
          <w:szCs w:val="24"/>
        </w:rPr>
      </w:pPr>
      <w:r>
        <w:rPr>
          <w:noProof/>
          <w:snapToGrid w:val="0"/>
          <w:szCs w:val="22"/>
        </w:rPr>
        <w:t>2.</w:t>
      </w:r>
      <w:r>
        <w:rPr>
          <w:noProof/>
          <w:sz w:val="24"/>
          <w:szCs w:val="24"/>
        </w:rPr>
        <w:tab/>
      </w:r>
      <w:r>
        <w:rPr>
          <w:noProof/>
          <w:snapToGrid w:val="0"/>
          <w:szCs w:val="22"/>
        </w:rPr>
        <w:t>Diameter measurement</w:t>
      </w:r>
      <w:r>
        <w:rPr>
          <w:noProof/>
        </w:rPr>
        <w:tab/>
      </w:r>
      <w:r>
        <w:rPr>
          <w:noProof/>
        </w:rPr>
        <w:fldChar w:fldCharType="begin"/>
      </w:r>
      <w:r>
        <w:rPr>
          <w:noProof/>
        </w:rPr>
        <w:instrText xml:space="preserve"> PAGEREF _Toc155068151 \h </w:instrText>
      </w:r>
      <w:r>
        <w:rPr>
          <w:noProof/>
        </w:rPr>
      </w:r>
      <w:r>
        <w:rPr>
          <w:noProof/>
        </w:rPr>
        <w:fldChar w:fldCharType="separate"/>
      </w:r>
      <w:r>
        <w:rPr>
          <w:noProof/>
        </w:rPr>
        <w:t>67</w:t>
      </w:r>
      <w:r>
        <w:rPr>
          <w:noProof/>
        </w:rPr>
        <w:fldChar w:fldCharType="end"/>
      </w:r>
    </w:p>
    <w:p>
      <w:pPr>
        <w:pStyle w:val="TOC4"/>
        <w:tabs>
          <w:tab w:val="left" w:pos="1701"/>
        </w:tabs>
        <w:rPr>
          <w:noProof/>
          <w:sz w:val="24"/>
          <w:szCs w:val="24"/>
        </w:rPr>
      </w:pPr>
      <w:r>
        <w:rPr>
          <w:noProof/>
          <w:snapToGrid w:val="0"/>
          <w:szCs w:val="22"/>
        </w:rPr>
        <w:t>3.</w:t>
      </w:r>
      <w:r>
        <w:rPr>
          <w:noProof/>
          <w:sz w:val="24"/>
          <w:szCs w:val="24"/>
        </w:rPr>
        <w:tab/>
      </w:r>
      <w:r>
        <w:rPr>
          <w:noProof/>
          <w:snapToGrid w:val="0"/>
          <w:szCs w:val="22"/>
        </w:rPr>
        <w:t>Calculation of volume</w:t>
      </w:r>
      <w:r>
        <w:rPr>
          <w:noProof/>
        </w:rPr>
        <w:tab/>
      </w:r>
      <w:r>
        <w:rPr>
          <w:noProof/>
        </w:rPr>
        <w:fldChar w:fldCharType="begin"/>
      </w:r>
      <w:r>
        <w:rPr>
          <w:noProof/>
        </w:rPr>
        <w:instrText xml:space="preserve"> PAGEREF _Toc155068152 \h </w:instrText>
      </w:r>
      <w:r>
        <w:rPr>
          <w:noProof/>
        </w:rPr>
      </w:r>
      <w:r>
        <w:rPr>
          <w:noProof/>
        </w:rPr>
        <w:fldChar w:fldCharType="separate"/>
      </w:r>
      <w:r>
        <w:rPr>
          <w:noProof/>
        </w:rPr>
        <w:t>67</w:t>
      </w:r>
      <w:r>
        <w:rPr>
          <w:noProof/>
        </w:rPr>
        <w:fldChar w:fldCharType="end"/>
      </w:r>
    </w:p>
    <w:p>
      <w:pPr>
        <w:pStyle w:val="TOC7"/>
        <w:rPr>
          <w:noProof/>
          <w:sz w:val="24"/>
          <w:szCs w:val="24"/>
        </w:rPr>
      </w:pPr>
      <w:r>
        <w:rPr>
          <w:noProof/>
          <w:szCs w:val="28"/>
        </w:rPr>
        <w:t>Part C — Determination of quantity of log timber by weighing</w:t>
      </w:r>
      <w:r>
        <w:rPr>
          <w:noProof/>
        </w:rPr>
        <w:tab/>
      </w:r>
      <w:r>
        <w:rPr>
          <w:noProof/>
        </w:rPr>
        <w:fldChar w:fldCharType="begin"/>
      </w:r>
      <w:r>
        <w:rPr>
          <w:noProof/>
        </w:rPr>
        <w:instrText xml:space="preserve"> PAGEREF _Toc155068153 \h </w:instrText>
      </w:r>
      <w:r>
        <w:rPr>
          <w:noProof/>
        </w:rPr>
      </w:r>
      <w:r>
        <w:rPr>
          <w:noProof/>
        </w:rPr>
        <w:fldChar w:fldCharType="separate"/>
      </w:r>
      <w:r>
        <w:rPr>
          <w:noProof/>
        </w:rPr>
        <w:t>67</w:t>
      </w:r>
      <w:r>
        <w:rPr>
          <w:noProof/>
        </w:rPr>
        <w:fldChar w:fldCharType="end"/>
      </w:r>
    </w:p>
    <w:p>
      <w:pPr>
        <w:pStyle w:val="TOC4"/>
        <w:tabs>
          <w:tab w:val="left" w:pos="1701"/>
        </w:tabs>
        <w:rPr>
          <w:noProof/>
          <w:sz w:val="24"/>
          <w:szCs w:val="24"/>
        </w:rPr>
      </w:pPr>
      <w:r>
        <w:rPr>
          <w:noProof/>
          <w:snapToGrid w:val="0"/>
          <w:szCs w:val="22"/>
        </w:rPr>
        <w:t>1.</w:t>
      </w:r>
      <w:r>
        <w:rPr>
          <w:noProof/>
          <w:sz w:val="24"/>
          <w:szCs w:val="24"/>
        </w:rPr>
        <w:tab/>
      </w:r>
      <w:r>
        <w:rPr>
          <w:noProof/>
          <w:snapToGrid w:val="0"/>
          <w:szCs w:val="22"/>
        </w:rPr>
        <w:t>Equipment</w:t>
      </w:r>
      <w:r>
        <w:rPr>
          <w:noProof/>
        </w:rPr>
        <w:tab/>
      </w:r>
      <w:r>
        <w:rPr>
          <w:noProof/>
        </w:rPr>
        <w:fldChar w:fldCharType="begin"/>
      </w:r>
      <w:r>
        <w:rPr>
          <w:noProof/>
        </w:rPr>
        <w:instrText xml:space="preserve"> PAGEREF _Toc155068154 \h </w:instrText>
      </w:r>
      <w:r>
        <w:rPr>
          <w:noProof/>
        </w:rPr>
      </w:r>
      <w:r>
        <w:rPr>
          <w:noProof/>
        </w:rPr>
        <w:fldChar w:fldCharType="separate"/>
      </w:r>
      <w:r>
        <w:rPr>
          <w:noProof/>
        </w:rPr>
        <w:t>68</w:t>
      </w:r>
      <w:r>
        <w:rPr>
          <w:noProof/>
        </w:rPr>
        <w:fldChar w:fldCharType="end"/>
      </w:r>
    </w:p>
    <w:p>
      <w:pPr>
        <w:pStyle w:val="TOC4"/>
        <w:tabs>
          <w:tab w:val="left" w:pos="1701"/>
        </w:tabs>
        <w:rPr>
          <w:noProof/>
          <w:sz w:val="24"/>
          <w:szCs w:val="24"/>
        </w:rPr>
      </w:pPr>
      <w:r>
        <w:rPr>
          <w:noProof/>
          <w:snapToGrid w:val="0"/>
          <w:szCs w:val="22"/>
        </w:rPr>
        <w:t>2.</w:t>
      </w:r>
      <w:r>
        <w:rPr>
          <w:noProof/>
          <w:sz w:val="24"/>
          <w:szCs w:val="24"/>
        </w:rPr>
        <w:tab/>
      </w:r>
      <w:r>
        <w:rPr>
          <w:noProof/>
          <w:snapToGrid w:val="0"/>
          <w:szCs w:val="22"/>
        </w:rPr>
        <w:t>Printer requirements</w:t>
      </w:r>
      <w:r>
        <w:rPr>
          <w:noProof/>
        </w:rPr>
        <w:tab/>
      </w:r>
      <w:r>
        <w:rPr>
          <w:noProof/>
        </w:rPr>
        <w:fldChar w:fldCharType="begin"/>
      </w:r>
      <w:r>
        <w:rPr>
          <w:noProof/>
        </w:rPr>
        <w:instrText xml:space="preserve"> PAGEREF _Toc155068155 \h </w:instrText>
      </w:r>
      <w:r>
        <w:rPr>
          <w:noProof/>
        </w:rPr>
      </w:r>
      <w:r>
        <w:rPr>
          <w:noProof/>
        </w:rPr>
        <w:fldChar w:fldCharType="separate"/>
      </w:r>
      <w:r>
        <w:rPr>
          <w:noProof/>
        </w:rPr>
        <w:t>68</w:t>
      </w:r>
      <w:r>
        <w:rPr>
          <w:noProof/>
        </w:rPr>
        <w:fldChar w:fldCharType="end"/>
      </w:r>
    </w:p>
    <w:p>
      <w:pPr>
        <w:pStyle w:val="TOC4"/>
        <w:tabs>
          <w:tab w:val="left" w:pos="1701"/>
        </w:tabs>
        <w:rPr>
          <w:noProof/>
          <w:sz w:val="24"/>
          <w:szCs w:val="24"/>
        </w:rPr>
      </w:pPr>
      <w:r>
        <w:rPr>
          <w:noProof/>
          <w:snapToGrid w:val="0"/>
          <w:szCs w:val="22"/>
        </w:rPr>
        <w:t>3.</w:t>
      </w:r>
      <w:r>
        <w:rPr>
          <w:noProof/>
          <w:sz w:val="24"/>
          <w:szCs w:val="24"/>
        </w:rPr>
        <w:tab/>
      </w:r>
      <w:r>
        <w:rPr>
          <w:noProof/>
          <w:snapToGrid w:val="0"/>
          <w:szCs w:val="22"/>
        </w:rPr>
        <w:t>Weighing procedure at an “on site” weighbridge</w:t>
      </w:r>
      <w:r>
        <w:rPr>
          <w:noProof/>
        </w:rPr>
        <w:tab/>
      </w:r>
      <w:r>
        <w:rPr>
          <w:noProof/>
        </w:rPr>
        <w:fldChar w:fldCharType="begin"/>
      </w:r>
      <w:r>
        <w:rPr>
          <w:noProof/>
        </w:rPr>
        <w:instrText xml:space="preserve"> PAGEREF _Toc155068156 \h </w:instrText>
      </w:r>
      <w:r>
        <w:rPr>
          <w:noProof/>
        </w:rPr>
      </w:r>
      <w:r>
        <w:rPr>
          <w:noProof/>
        </w:rPr>
        <w:fldChar w:fldCharType="separate"/>
      </w:r>
      <w:r>
        <w:rPr>
          <w:noProof/>
        </w:rPr>
        <w:t>68</w:t>
      </w:r>
      <w:r>
        <w:rPr>
          <w:noProof/>
        </w:rPr>
        <w:fldChar w:fldCharType="end"/>
      </w:r>
    </w:p>
    <w:p>
      <w:pPr>
        <w:pStyle w:val="TOC4"/>
        <w:tabs>
          <w:tab w:val="left" w:pos="1701"/>
        </w:tabs>
        <w:rPr>
          <w:noProof/>
          <w:sz w:val="24"/>
          <w:szCs w:val="24"/>
        </w:rPr>
      </w:pPr>
      <w:r>
        <w:rPr>
          <w:noProof/>
          <w:snapToGrid w:val="0"/>
          <w:szCs w:val="22"/>
        </w:rPr>
        <w:t>4.</w:t>
      </w:r>
      <w:r>
        <w:rPr>
          <w:noProof/>
          <w:sz w:val="24"/>
          <w:szCs w:val="24"/>
        </w:rPr>
        <w:tab/>
      </w:r>
      <w:r>
        <w:rPr>
          <w:noProof/>
          <w:snapToGrid w:val="0"/>
          <w:szCs w:val="22"/>
        </w:rPr>
        <w:t>Weighing procedure at an “off site” weighbridge</w:t>
      </w:r>
      <w:r>
        <w:rPr>
          <w:noProof/>
        </w:rPr>
        <w:tab/>
      </w:r>
      <w:r>
        <w:rPr>
          <w:noProof/>
        </w:rPr>
        <w:fldChar w:fldCharType="begin"/>
      </w:r>
      <w:r>
        <w:rPr>
          <w:noProof/>
        </w:rPr>
        <w:instrText xml:space="preserve"> PAGEREF _Toc155068157 \h </w:instrText>
      </w:r>
      <w:r>
        <w:rPr>
          <w:noProof/>
        </w:rPr>
      </w:r>
      <w:r>
        <w:rPr>
          <w:noProof/>
        </w:rPr>
        <w:fldChar w:fldCharType="separate"/>
      </w:r>
      <w:r>
        <w:rPr>
          <w:noProof/>
        </w:rPr>
        <w:t>68</w:t>
      </w:r>
      <w:r>
        <w:rPr>
          <w:noProof/>
        </w:rPr>
        <w:fldChar w:fldCharType="end"/>
      </w:r>
    </w:p>
    <w:p>
      <w:pPr>
        <w:pStyle w:val="TOC4"/>
        <w:rPr>
          <w:noProof/>
          <w:sz w:val="24"/>
          <w:szCs w:val="24"/>
        </w:rPr>
      </w:pPr>
      <w:r>
        <w:rPr>
          <w:noProof/>
          <w:snapToGrid w:val="0"/>
          <w:szCs w:val="22"/>
        </w:rPr>
        <w:t>Procedure on breakdown of weighing equipment</w:t>
      </w:r>
      <w:r>
        <w:rPr>
          <w:noProof/>
        </w:rPr>
        <w:tab/>
      </w:r>
      <w:r>
        <w:rPr>
          <w:noProof/>
        </w:rPr>
        <w:fldChar w:fldCharType="begin"/>
      </w:r>
      <w:r>
        <w:rPr>
          <w:noProof/>
        </w:rPr>
        <w:instrText xml:space="preserve"> PAGEREF _Toc155068158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napToGrid w:val="0"/>
          <w:szCs w:val="22"/>
        </w:rPr>
        <w:t>6.</w:t>
      </w:r>
      <w:r>
        <w:rPr>
          <w:noProof/>
          <w:sz w:val="24"/>
          <w:szCs w:val="24"/>
        </w:rPr>
        <w:tab/>
      </w:r>
      <w:r>
        <w:rPr>
          <w:noProof/>
          <w:snapToGrid w:val="0"/>
          <w:szCs w:val="22"/>
        </w:rPr>
        <w:t>Procedure where vehicle and trailer cannot be weighed together</w:t>
      </w:r>
      <w:r>
        <w:rPr>
          <w:noProof/>
        </w:rPr>
        <w:tab/>
      </w:r>
      <w:r>
        <w:rPr>
          <w:noProof/>
        </w:rPr>
        <w:fldChar w:fldCharType="begin"/>
      </w:r>
      <w:r>
        <w:rPr>
          <w:noProof/>
        </w:rPr>
        <w:instrText xml:space="preserve"> PAGEREF _Toc155068159 \h </w:instrText>
      </w:r>
      <w:r>
        <w:rPr>
          <w:noProof/>
        </w:rPr>
      </w:r>
      <w:r>
        <w:rPr>
          <w:noProof/>
        </w:rPr>
        <w:fldChar w:fldCharType="separate"/>
      </w:r>
      <w:r>
        <w:rPr>
          <w:noProof/>
        </w:rPr>
        <w:t>70</w:t>
      </w:r>
      <w:r>
        <w:rPr>
          <w:noProof/>
        </w:rPr>
        <w:fldChar w:fldCharType="end"/>
      </w:r>
    </w:p>
    <w:p>
      <w:pPr>
        <w:pStyle w:val="TOC7"/>
        <w:rPr>
          <w:noProof/>
          <w:sz w:val="24"/>
          <w:szCs w:val="24"/>
        </w:rPr>
      </w:pPr>
      <w:r>
        <w:rPr>
          <w:noProof/>
          <w:szCs w:val="28"/>
        </w:rPr>
        <w:t>Part D — Determination of volume of log timber by bin measure</w:t>
      </w:r>
      <w:r>
        <w:rPr>
          <w:noProof/>
        </w:rPr>
        <w:tab/>
      </w:r>
      <w:r>
        <w:rPr>
          <w:noProof/>
        </w:rPr>
        <w:fldChar w:fldCharType="begin"/>
      </w:r>
      <w:r>
        <w:rPr>
          <w:noProof/>
        </w:rPr>
        <w:instrText xml:space="preserve"> PAGEREF _Toc155068160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napToGrid w:val="0"/>
          <w:szCs w:val="22"/>
        </w:rPr>
        <w:t>1.</w:t>
      </w:r>
      <w:r>
        <w:rPr>
          <w:noProof/>
          <w:sz w:val="24"/>
          <w:szCs w:val="24"/>
        </w:rPr>
        <w:tab/>
      </w:r>
      <w:r>
        <w:rPr>
          <w:noProof/>
          <w:snapToGrid w:val="0"/>
          <w:szCs w:val="22"/>
        </w:rPr>
        <w:t>Length of timber</w:t>
      </w:r>
      <w:r>
        <w:rPr>
          <w:noProof/>
        </w:rPr>
        <w:tab/>
      </w:r>
      <w:r>
        <w:rPr>
          <w:noProof/>
        </w:rPr>
        <w:fldChar w:fldCharType="begin"/>
      </w:r>
      <w:r>
        <w:rPr>
          <w:noProof/>
        </w:rPr>
        <w:instrText xml:space="preserve"> PAGEREF _Toc155068161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napToGrid w:val="0"/>
          <w:szCs w:val="22"/>
        </w:rPr>
        <w:t>2.</w:t>
      </w:r>
      <w:r>
        <w:rPr>
          <w:noProof/>
          <w:sz w:val="24"/>
          <w:szCs w:val="24"/>
        </w:rPr>
        <w:tab/>
      </w:r>
      <w:r>
        <w:rPr>
          <w:noProof/>
          <w:snapToGrid w:val="0"/>
          <w:szCs w:val="22"/>
        </w:rPr>
        <w:t>Height of load</w:t>
      </w:r>
      <w:r>
        <w:rPr>
          <w:noProof/>
        </w:rPr>
        <w:tab/>
      </w:r>
      <w:r>
        <w:rPr>
          <w:noProof/>
        </w:rPr>
        <w:fldChar w:fldCharType="begin"/>
      </w:r>
      <w:r>
        <w:rPr>
          <w:noProof/>
        </w:rPr>
        <w:instrText xml:space="preserve"> PAGEREF _Toc155068162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napToGrid w:val="0"/>
          <w:szCs w:val="22"/>
        </w:rPr>
        <w:t>3.</w:t>
      </w:r>
      <w:r>
        <w:rPr>
          <w:noProof/>
          <w:sz w:val="24"/>
          <w:szCs w:val="24"/>
        </w:rPr>
        <w:tab/>
      </w:r>
      <w:r>
        <w:rPr>
          <w:noProof/>
          <w:snapToGrid w:val="0"/>
          <w:szCs w:val="22"/>
        </w:rPr>
        <w:t>Width of load</w:t>
      </w:r>
      <w:r>
        <w:rPr>
          <w:noProof/>
        </w:rPr>
        <w:tab/>
      </w:r>
      <w:r>
        <w:rPr>
          <w:noProof/>
        </w:rPr>
        <w:fldChar w:fldCharType="begin"/>
      </w:r>
      <w:r>
        <w:rPr>
          <w:noProof/>
        </w:rPr>
        <w:instrText xml:space="preserve"> PAGEREF _Toc155068163 \h </w:instrText>
      </w:r>
      <w:r>
        <w:rPr>
          <w:noProof/>
        </w:rPr>
      </w:r>
      <w:r>
        <w:rPr>
          <w:noProof/>
        </w:rPr>
        <w:fldChar w:fldCharType="separate"/>
      </w:r>
      <w:r>
        <w:rPr>
          <w:noProof/>
        </w:rPr>
        <w:t>71</w:t>
      </w:r>
      <w:r>
        <w:rPr>
          <w:noProof/>
        </w:rPr>
        <w:fldChar w:fldCharType="end"/>
      </w:r>
    </w:p>
    <w:p>
      <w:pPr>
        <w:pStyle w:val="TOC4"/>
        <w:tabs>
          <w:tab w:val="left" w:pos="1701"/>
        </w:tabs>
        <w:rPr>
          <w:noProof/>
          <w:sz w:val="24"/>
          <w:szCs w:val="24"/>
        </w:rPr>
      </w:pPr>
      <w:r>
        <w:rPr>
          <w:noProof/>
          <w:snapToGrid w:val="0"/>
          <w:szCs w:val="22"/>
        </w:rPr>
        <w:t>4.</w:t>
      </w:r>
      <w:r>
        <w:rPr>
          <w:noProof/>
          <w:sz w:val="24"/>
          <w:szCs w:val="24"/>
        </w:rPr>
        <w:tab/>
      </w:r>
      <w:r>
        <w:rPr>
          <w:noProof/>
          <w:snapToGrid w:val="0"/>
          <w:szCs w:val="22"/>
        </w:rPr>
        <w:t>Stacking of timber</w:t>
      </w:r>
      <w:r>
        <w:rPr>
          <w:noProof/>
        </w:rPr>
        <w:tab/>
      </w:r>
      <w:r>
        <w:rPr>
          <w:noProof/>
        </w:rPr>
        <w:fldChar w:fldCharType="begin"/>
      </w:r>
      <w:r>
        <w:rPr>
          <w:noProof/>
        </w:rPr>
        <w:instrText xml:space="preserve"> PAGEREF _Toc155068164 \h </w:instrText>
      </w:r>
      <w:r>
        <w:rPr>
          <w:noProof/>
        </w:rPr>
      </w:r>
      <w:r>
        <w:rPr>
          <w:noProof/>
        </w:rPr>
        <w:fldChar w:fldCharType="separate"/>
      </w:r>
      <w:r>
        <w:rPr>
          <w:noProof/>
        </w:rPr>
        <w:t>71</w:t>
      </w:r>
      <w:r>
        <w:rPr>
          <w:noProof/>
        </w:rPr>
        <w:fldChar w:fldCharType="end"/>
      </w:r>
    </w:p>
    <w:p>
      <w:pPr>
        <w:pStyle w:val="TOC4"/>
        <w:tabs>
          <w:tab w:val="left" w:pos="1701"/>
        </w:tabs>
        <w:rPr>
          <w:noProof/>
          <w:sz w:val="24"/>
          <w:szCs w:val="24"/>
        </w:rPr>
      </w:pPr>
      <w:r>
        <w:rPr>
          <w:noProof/>
          <w:snapToGrid w:val="0"/>
          <w:szCs w:val="22"/>
        </w:rPr>
        <w:t>5.</w:t>
      </w:r>
      <w:r>
        <w:rPr>
          <w:noProof/>
          <w:sz w:val="24"/>
          <w:szCs w:val="24"/>
        </w:rPr>
        <w:tab/>
      </w:r>
      <w:r>
        <w:rPr>
          <w:noProof/>
          <w:snapToGrid w:val="0"/>
          <w:szCs w:val="22"/>
        </w:rPr>
        <w:t>Miscellaneous</w:t>
      </w:r>
      <w:r>
        <w:rPr>
          <w:noProof/>
        </w:rPr>
        <w:tab/>
      </w:r>
      <w:r>
        <w:rPr>
          <w:noProof/>
        </w:rPr>
        <w:fldChar w:fldCharType="begin"/>
      </w:r>
      <w:r>
        <w:rPr>
          <w:noProof/>
        </w:rPr>
        <w:instrText xml:space="preserve"> PAGEREF _Toc155068165 \h </w:instrText>
      </w:r>
      <w:r>
        <w:rPr>
          <w:noProof/>
        </w:rPr>
      </w:r>
      <w:r>
        <w:rPr>
          <w:noProof/>
        </w:rPr>
        <w:fldChar w:fldCharType="separate"/>
      </w:r>
      <w:r>
        <w:rPr>
          <w:noProof/>
        </w:rPr>
        <w:t>71</w:t>
      </w:r>
      <w:r>
        <w:rPr>
          <w:noProof/>
        </w:rPr>
        <w:fldChar w:fldCharType="end"/>
      </w:r>
    </w:p>
    <w:p>
      <w:pPr>
        <w:pStyle w:val="TOC4"/>
        <w:tabs>
          <w:tab w:val="left" w:pos="1701"/>
        </w:tabs>
        <w:rPr>
          <w:noProof/>
          <w:sz w:val="24"/>
          <w:szCs w:val="24"/>
        </w:rPr>
      </w:pPr>
      <w:r>
        <w:rPr>
          <w:noProof/>
          <w:snapToGrid w:val="0"/>
          <w:szCs w:val="22"/>
        </w:rPr>
        <w:t>6.</w:t>
      </w:r>
      <w:r>
        <w:rPr>
          <w:noProof/>
          <w:sz w:val="24"/>
          <w:szCs w:val="24"/>
        </w:rPr>
        <w:tab/>
      </w:r>
      <w:r>
        <w:rPr>
          <w:noProof/>
          <w:snapToGrid w:val="0"/>
          <w:szCs w:val="22"/>
        </w:rPr>
        <w:t>Calculation of volume</w:t>
      </w:r>
      <w:r>
        <w:rPr>
          <w:noProof/>
        </w:rPr>
        <w:tab/>
      </w:r>
      <w:r>
        <w:rPr>
          <w:noProof/>
        </w:rPr>
        <w:fldChar w:fldCharType="begin"/>
      </w:r>
      <w:r>
        <w:rPr>
          <w:noProof/>
        </w:rPr>
        <w:instrText xml:space="preserve"> PAGEREF _Toc155068166 \h </w:instrText>
      </w:r>
      <w:r>
        <w:rPr>
          <w:noProof/>
        </w:rPr>
      </w:r>
      <w:r>
        <w:rPr>
          <w:noProof/>
        </w:rPr>
        <w:fldChar w:fldCharType="separate"/>
      </w:r>
      <w:r>
        <w:rPr>
          <w:noProof/>
        </w:rPr>
        <w:t>71</w:t>
      </w:r>
      <w:r>
        <w:rPr>
          <w:noProof/>
        </w:rPr>
        <w:fldChar w:fldCharType="end"/>
      </w:r>
    </w:p>
    <w:p>
      <w:pPr>
        <w:pStyle w:val="TOC7"/>
        <w:rPr>
          <w:noProof/>
          <w:sz w:val="24"/>
          <w:szCs w:val="24"/>
        </w:rPr>
      </w:pPr>
      <w:r>
        <w:rPr>
          <w:noProof/>
          <w:szCs w:val="28"/>
        </w:rPr>
        <w:t>Part E — Determination of volume of log timber by infra red log scanner</w:t>
      </w:r>
      <w:r>
        <w:rPr>
          <w:noProof/>
        </w:rPr>
        <w:tab/>
      </w:r>
      <w:r>
        <w:rPr>
          <w:noProof/>
        </w:rPr>
        <w:fldChar w:fldCharType="begin"/>
      </w:r>
      <w:r>
        <w:rPr>
          <w:noProof/>
        </w:rPr>
        <w:instrText xml:space="preserve"> PAGEREF _Toc155068167 \h </w:instrText>
      </w:r>
      <w:r>
        <w:rPr>
          <w:noProof/>
        </w:rPr>
      </w:r>
      <w:r>
        <w:rPr>
          <w:noProof/>
        </w:rPr>
        <w:fldChar w:fldCharType="separate"/>
      </w:r>
      <w:r>
        <w:rPr>
          <w:noProof/>
        </w:rPr>
        <w:t>71</w:t>
      </w:r>
      <w:r>
        <w:rPr>
          <w:noProof/>
        </w:rPr>
        <w:fldChar w:fldCharType="end"/>
      </w:r>
    </w:p>
    <w:p>
      <w:pPr>
        <w:pStyle w:val="TOC4"/>
        <w:tabs>
          <w:tab w:val="left" w:pos="1701"/>
        </w:tabs>
        <w:rPr>
          <w:noProof/>
          <w:sz w:val="24"/>
          <w:szCs w:val="24"/>
        </w:rPr>
      </w:pPr>
      <w:r>
        <w:rPr>
          <w:noProof/>
          <w:snapToGrid w:val="0"/>
          <w:szCs w:val="22"/>
        </w:rPr>
        <w:t>1.</w:t>
      </w:r>
      <w:r>
        <w:rPr>
          <w:noProof/>
          <w:sz w:val="24"/>
          <w:szCs w:val="24"/>
        </w:rPr>
        <w:tab/>
      </w:r>
      <w:r>
        <w:rPr>
          <w:noProof/>
          <w:snapToGrid w:val="0"/>
          <w:szCs w:val="22"/>
        </w:rPr>
        <w:t>Interpretation</w:t>
      </w:r>
      <w:r>
        <w:rPr>
          <w:noProof/>
        </w:rPr>
        <w:tab/>
      </w:r>
      <w:r>
        <w:rPr>
          <w:noProof/>
        </w:rPr>
        <w:fldChar w:fldCharType="begin"/>
      </w:r>
      <w:r>
        <w:rPr>
          <w:noProof/>
        </w:rPr>
        <w:instrText xml:space="preserve"> PAGEREF _Toc155068168 \h </w:instrText>
      </w:r>
      <w:r>
        <w:rPr>
          <w:noProof/>
        </w:rPr>
      </w:r>
      <w:r>
        <w:rPr>
          <w:noProof/>
        </w:rPr>
        <w:fldChar w:fldCharType="separate"/>
      </w:r>
      <w:r>
        <w:rPr>
          <w:noProof/>
        </w:rPr>
        <w:t>71</w:t>
      </w:r>
      <w:r>
        <w:rPr>
          <w:noProof/>
        </w:rPr>
        <w:fldChar w:fldCharType="end"/>
      </w:r>
    </w:p>
    <w:p>
      <w:pPr>
        <w:pStyle w:val="TOC4"/>
        <w:tabs>
          <w:tab w:val="left" w:pos="1701"/>
        </w:tabs>
        <w:rPr>
          <w:noProof/>
          <w:sz w:val="24"/>
          <w:szCs w:val="24"/>
        </w:rPr>
      </w:pPr>
      <w:r>
        <w:rPr>
          <w:noProof/>
          <w:snapToGrid w:val="0"/>
          <w:szCs w:val="22"/>
        </w:rPr>
        <w:t>2.</w:t>
      </w:r>
      <w:r>
        <w:rPr>
          <w:noProof/>
          <w:sz w:val="24"/>
          <w:szCs w:val="24"/>
        </w:rPr>
        <w:tab/>
      </w:r>
      <w:r>
        <w:rPr>
          <w:noProof/>
          <w:snapToGrid w:val="0"/>
          <w:szCs w:val="22"/>
        </w:rPr>
        <w:t>Equipment to be approved by the Executive Director</w:t>
      </w:r>
      <w:r>
        <w:rPr>
          <w:noProof/>
        </w:rPr>
        <w:tab/>
      </w:r>
      <w:r>
        <w:rPr>
          <w:noProof/>
        </w:rPr>
        <w:fldChar w:fldCharType="begin"/>
      </w:r>
      <w:r>
        <w:rPr>
          <w:noProof/>
        </w:rPr>
        <w:instrText xml:space="preserve"> PAGEREF _Toc155068169 \h </w:instrText>
      </w:r>
      <w:r>
        <w:rPr>
          <w:noProof/>
        </w:rPr>
      </w:r>
      <w:r>
        <w:rPr>
          <w:noProof/>
        </w:rPr>
        <w:fldChar w:fldCharType="separate"/>
      </w:r>
      <w:r>
        <w:rPr>
          <w:noProof/>
        </w:rPr>
        <w:t>72</w:t>
      </w:r>
      <w:r>
        <w:rPr>
          <w:noProof/>
        </w:rPr>
        <w:fldChar w:fldCharType="end"/>
      </w:r>
    </w:p>
    <w:p>
      <w:pPr>
        <w:pStyle w:val="TOC4"/>
        <w:tabs>
          <w:tab w:val="left" w:pos="1701"/>
        </w:tabs>
        <w:rPr>
          <w:noProof/>
          <w:sz w:val="24"/>
          <w:szCs w:val="24"/>
        </w:rPr>
      </w:pPr>
      <w:r>
        <w:rPr>
          <w:noProof/>
          <w:snapToGrid w:val="0"/>
          <w:szCs w:val="22"/>
        </w:rPr>
        <w:t>3.</w:t>
      </w:r>
      <w:r>
        <w:rPr>
          <w:noProof/>
          <w:sz w:val="24"/>
          <w:szCs w:val="24"/>
        </w:rPr>
        <w:tab/>
      </w:r>
      <w:r>
        <w:rPr>
          <w:noProof/>
          <w:snapToGrid w:val="0"/>
          <w:szCs w:val="22"/>
        </w:rPr>
        <w:t>Verification before each shift</w:t>
      </w:r>
      <w:r>
        <w:rPr>
          <w:noProof/>
        </w:rPr>
        <w:tab/>
      </w:r>
      <w:r>
        <w:rPr>
          <w:noProof/>
        </w:rPr>
        <w:fldChar w:fldCharType="begin"/>
      </w:r>
      <w:r>
        <w:rPr>
          <w:noProof/>
        </w:rPr>
        <w:instrText xml:space="preserve"> PAGEREF _Toc155068170 \h </w:instrText>
      </w:r>
      <w:r>
        <w:rPr>
          <w:noProof/>
        </w:rPr>
      </w:r>
      <w:r>
        <w:rPr>
          <w:noProof/>
        </w:rPr>
        <w:fldChar w:fldCharType="separate"/>
      </w:r>
      <w:r>
        <w:rPr>
          <w:noProof/>
        </w:rPr>
        <w:t>72</w:t>
      </w:r>
      <w:r>
        <w:rPr>
          <w:noProof/>
        </w:rPr>
        <w:fldChar w:fldCharType="end"/>
      </w:r>
    </w:p>
    <w:p>
      <w:pPr>
        <w:pStyle w:val="TOC4"/>
        <w:tabs>
          <w:tab w:val="left" w:pos="1701"/>
        </w:tabs>
        <w:rPr>
          <w:noProof/>
          <w:sz w:val="24"/>
          <w:szCs w:val="24"/>
        </w:rPr>
      </w:pPr>
      <w:r>
        <w:rPr>
          <w:noProof/>
          <w:snapToGrid w:val="0"/>
          <w:szCs w:val="22"/>
        </w:rPr>
        <w:t>4.</w:t>
      </w:r>
      <w:r>
        <w:rPr>
          <w:noProof/>
          <w:sz w:val="24"/>
          <w:szCs w:val="24"/>
        </w:rPr>
        <w:tab/>
      </w:r>
      <w:r>
        <w:rPr>
          <w:noProof/>
          <w:snapToGrid w:val="0"/>
          <w:szCs w:val="22"/>
        </w:rPr>
        <w:t>Verification after interruption</w:t>
      </w:r>
      <w:r>
        <w:rPr>
          <w:noProof/>
        </w:rPr>
        <w:tab/>
      </w:r>
      <w:r>
        <w:rPr>
          <w:noProof/>
        </w:rPr>
        <w:fldChar w:fldCharType="begin"/>
      </w:r>
      <w:r>
        <w:rPr>
          <w:noProof/>
        </w:rPr>
        <w:instrText xml:space="preserve"> PAGEREF _Toc155068171 \h </w:instrText>
      </w:r>
      <w:r>
        <w:rPr>
          <w:noProof/>
        </w:rPr>
      </w:r>
      <w:r>
        <w:rPr>
          <w:noProof/>
        </w:rPr>
        <w:fldChar w:fldCharType="separate"/>
      </w:r>
      <w:r>
        <w:rPr>
          <w:noProof/>
        </w:rPr>
        <w:t>72</w:t>
      </w:r>
      <w:r>
        <w:rPr>
          <w:noProof/>
        </w:rPr>
        <w:fldChar w:fldCharType="end"/>
      </w:r>
    </w:p>
    <w:p>
      <w:pPr>
        <w:pStyle w:val="TOC4"/>
        <w:tabs>
          <w:tab w:val="left" w:pos="1701"/>
        </w:tabs>
        <w:rPr>
          <w:noProof/>
          <w:sz w:val="24"/>
          <w:szCs w:val="24"/>
        </w:rPr>
      </w:pPr>
      <w:r>
        <w:rPr>
          <w:noProof/>
          <w:snapToGrid w:val="0"/>
          <w:szCs w:val="22"/>
        </w:rPr>
        <w:t>5.</w:t>
      </w:r>
      <w:r>
        <w:rPr>
          <w:noProof/>
          <w:sz w:val="24"/>
          <w:szCs w:val="24"/>
        </w:rPr>
        <w:tab/>
      </w:r>
      <w:r>
        <w:rPr>
          <w:noProof/>
          <w:snapToGrid w:val="0"/>
          <w:szCs w:val="22"/>
        </w:rPr>
        <w:t>Measurement verification test</w:t>
      </w:r>
      <w:r>
        <w:rPr>
          <w:noProof/>
        </w:rPr>
        <w:tab/>
      </w:r>
      <w:r>
        <w:rPr>
          <w:noProof/>
        </w:rPr>
        <w:fldChar w:fldCharType="begin"/>
      </w:r>
      <w:r>
        <w:rPr>
          <w:noProof/>
        </w:rPr>
        <w:instrText xml:space="preserve"> PAGEREF _Toc155068172 \h </w:instrText>
      </w:r>
      <w:r>
        <w:rPr>
          <w:noProof/>
        </w:rPr>
      </w:r>
      <w:r>
        <w:rPr>
          <w:noProof/>
        </w:rPr>
        <w:fldChar w:fldCharType="separate"/>
      </w:r>
      <w:r>
        <w:rPr>
          <w:noProof/>
        </w:rPr>
        <w:t>73</w:t>
      </w:r>
      <w:r>
        <w:rPr>
          <w:noProof/>
        </w:rPr>
        <w:fldChar w:fldCharType="end"/>
      </w:r>
    </w:p>
    <w:p>
      <w:pPr>
        <w:pStyle w:val="TOC4"/>
        <w:tabs>
          <w:tab w:val="left" w:pos="1701"/>
        </w:tabs>
        <w:rPr>
          <w:noProof/>
          <w:sz w:val="24"/>
          <w:szCs w:val="24"/>
        </w:rPr>
      </w:pPr>
      <w:r>
        <w:rPr>
          <w:noProof/>
          <w:snapToGrid w:val="0"/>
          <w:szCs w:val="22"/>
        </w:rPr>
        <w:t>6.</w:t>
      </w:r>
      <w:r>
        <w:rPr>
          <w:noProof/>
          <w:sz w:val="24"/>
          <w:szCs w:val="24"/>
        </w:rPr>
        <w:tab/>
      </w:r>
      <w:r>
        <w:rPr>
          <w:noProof/>
          <w:snapToGrid w:val="0"/>
          <w:szCs w:val="22"/>
        </w:rPr>
        <w:t>Approval of test object</w:t>
      </w:r>
      <w:r>
        <w:rPr>
          <w:noProof/>
        </w:rPr>
        <w:tab/>
      </w:r>
      <w:r>
        <w:rPr>
          <w:noProof/>
        </w:rPr>
        <w:fldChar w:fldCharType="begin"/>
      </w:r>
      <w:r>
        <w:rPr>
          <w:noProof/>
        </w:rPr>
        <w:instrText xml:space="preserve"> PAGEREF _Toc155068173 \h </w:instrText>
      </w:r>
      <w:r>
        <w:rPr>
          <w:noProof/>
        </w:rPr>
      </w:r>
      <w:r>
        <w:rPr>
          <w:noProof/>
        </w:rPr>
        <w:fldChar w:fldCharType="separate"/>
      </w:r>
      <w:r>
        <w:rPr>
          <w:noProof/>
        </w:rPr>
        <w:t>73</w:t>
      </w:r>
      <w:r>
        <w:rPr>
          <w:noProof/>
        </w:rPr>
        <w:fldChar w:fldCharType="end"/>
      </w:r>
    </w:p>
    <w:p>
      <w:pPr>
        <w:pStyle w:val="TOC4"/>
        <w:tabs>
          <w:tab w:val="left" w:pos="1701"/>
        </w:tabs>
        <w:rPr>
          <w:noProof/>
          <w:sz w:val="24"/>
          <w:szCs w:val="24"/>
        </w:rPr>
      </w:pPr>
      <w:r>
        <w:rPr>
          <w:noProof/>
          <w:snapToGrid w:val="0"/>
          <w:szCs w:val="22"/>
        </w:rPr>
        <w:t>7.</w:t>
      </w:r>
      <w:r>
        <w:rPr>
          <w:noProof/>
          <w:sz w:val="24"/>
          <w:szCs w:val="24"/>
        </w:rPr>
        <w:tab/>
      </w:r>
      <w:r>
        <w:rPr>
          <w:noProof/>
          <w:snapToGrid w:val="0"/>
          <w:szCs w:val="22"/>
        </w:rPr>
        <w:t>Verification tolerance limits</w:t>
      </w:r>
      <w:r>
        <w:rPr>
          <w:noProof/>
        </w:rPr>
        <w:tab/>
      </w:r>
      <w:r>
        <w:rPr>
          <w:noProof/>
        </w:rPr>
        <w:fldChar w:fldCharType="begin"/>
      </w:r>
      <w:r>
        <w:rPr>
          <w:noProof/>
        </w:rPr>
        <w:instrText xml:space="preserve"> PAGEREF _Toc155068174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napToGrid w:val="0"/>
          <w:szCs w:val="22"/>
        </w:rPr>
        <w:t>8.</w:t>
      </w:r>
      <w:r>
        <w:rPr>
          <w:noProof/>
          <w:sz w:val="24"/>
          <w:szCs w:val="24"/>
        </w:rPr>
        <w:tab/>
      </w:r>
      <w:r>
        <w:rPr>
          <w:noProof/>
          <w:snapToGrid w:val="0"/>
          <w:szCs w:val="22"/>
        </w:rPr>
        <w:t>Procedure where verification tolerance limits not met</w:t>
      </w:r>
      <w:r>
        <w:rPr>
          <w:noProof/>
        </w:rPr>
        <w:tab/>
      </w:r>
      <w:r>
        <w:rPr>
          <w:noProof/>
        </w:rPr>
        <w:fldChar w:fldCharType="begin"/>
      </w:r>
      <w:r>
        <w:rPr>
          <w:noProof/>
        </w:rPr>
        <w:instrText xml:space="preserve"> PAGEREF _Toc155068175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napToGrid w:val="0"/>
          <w:szCs w:val="22"/>
        </w:rPr>
        <w:t>9.</w:t>
      </w:r>
      <w:r>
        <w:rPr>
          <w:noProof/>
          <w:sz w:val="24"/>
          <w:szCs w:val="24"/>
        </w:rPr>
        <w:tab/>
      </w:r>
      <w:r>
        <w:rPr>
          <w:noProof/>
          <w:snapToGrid w:val="0"/>
          <w:szCs w:val="22"/>
        </w:rPr>
        <w:t>Processing of log timber</w:t>
      </w:r>
      <w:r>
        <w:rPr>
          <w:noProof/>
        </w:rPr>
        <w:tab/>
      </w:r>
      <w:r>
        <w:rPr>
          <w:noProof/>
        </w:rPr>
        <w:fldChar w:fldCharType="begin"/>
      </w:r>
      <w:r>
        <w:rPr>
          <w:noProof/>
        </w:rPr>
        <w:instrText xml:space="preserve"> PAGEREF _Toc155068176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napToGrid w:val="0"/>
          <w:szCs w:val="22"/>
        </w:rPr>
        <w:t>10.</w:t>
      </w:r>
      <w:r>
        <w:rPr>
          <w:noProof/>
          <w:sz w:val="24"/>
          <w:szCs w:val="24"/>
        </w:rPr>
        <w:tab/>
      </w:r>
      <w:r>
        <w:rPr>
          <w:noProof/>
          <w:snapToGrid w:val="0"/>
          <w:szCs w:val="22"/>
        </w:rPr>
        <w:t>Procedure for marking and separation of load of log timber on intake deck</w:t>
      </w:r>
      <w:r>
        <w:rPr>
          <w:noProof/>
        </w:rPr>
        <w:tab/>
      </w:r>
      <w:r>
        <w:rPr>
          <w:noProof/>
        </w:rPr>
        <w:fldChar w:fldCharType="begin"/>
      </w:r>
      <w:r>
        <w:rPr>
          <w:noProof/>
        </w:rPr>
        <w:instrText xml:space="preserve"> PAGEREF _Toc155068177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napToGrid w:val="0"/>
          <w:szCs w:val="22"/>
        </w:rPr>
        <w:t>11.</w:t>
      </w:r>
      <w:r>
        <w:rPr>
          <w:noProof/>
          <w:sz w:val="24"/>
          <w:szCs w:val="24"/>
        </w:rPr>
        <w:tab/>
      </w:r>
      <w:r>
        <w:rPr>
          <w:noProof/>
          <w:snapToGrid w:val="0"/>
          <w:szCs w:val="22"/>
        </w:rPr>
        <w:t>Procedure for sorting a load of log timber</w:t>
      </w:r>
      <w:r>
        <w:rPr>
          <w:noProof/>
        </w:rPr>
        <w:tab/>
      </w:r>
      <w:r>
        <w:rPr>
          <w:noProof/>
        </w:rPr>
        <w:fldChar w:fldCharType="begin"/>
      </w:r>
      <w:r>
        <w:rPr>
          <w:noProof/>
        </w:rPr>
        <w:instrText xml:space="preserve"> PAGEREF _Toc155068178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napToGrid w:val="0"/>
          <w:szCs w:val="22"/>
        </w:rPr>
        <w:t>12.</w:t>
      </w:r>
      <w:r>
        <w:rPr>
          <w:noProof/>
          <w:sz w:val="24"/>
          <w:szCs w:val="24"/>
        </w:rPr>
        <w:tab/>
      </w:r>
      <w:r>
        <w:rPr>
          <w:noProof/>
          <w:snapToGrid w:val="0"/>
          <w:szCs w:val="22"/>
        </w:rPr>
        <w:t>Procedure where load of log timber at a temporary storage site not processed by log scanner</w:t>
      </w:r>
      <w:r>
        <w:rPr>
          <w:noProof/>
        </w:rPr>
        <w:tab/>
      </w:r>
      <w:r>
        <w:rPr>
          <w:noProof/>
        </w:rPr>
        <w:fldChar w:fldCharType="begin"/>
      </w:r>
      <w:r>
        <w:rPr>
          <w:noProof/>
        </w:rPr>
        <w:instrText xml:space="preserve"> PAGEREF _Toc155068179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napToGrid w:val="0"/>
          <w:szCs w:val="22"/>
        </w:rPr>
        <w:t>13.</w:t>
      </w:r>
      <w:r>
        <w:rPr>
          <w:noProof/>
          <w:sz w:val="24"/>
          <w:szCs w:val="24"/>
        </w:rPr>
        <w:tab/>
      </w:r>
      <w:r>
        <w:rPr>
          <w:noProof/>
          <w:snapToGrid w:val="0"/>
          <w:szCs w:val="22"/>
        </w:rPr>
        <w:t>Notification of breakdown of log scanner or scanner computer</w:t>
      </w:r>
      <w:r>
        <w:rPr>
          <w:noProof/>
        </w:rPr>
        <w:tab/>
      </w:r>
      <w:r>
        <w:rPr>
          <w:noProof/>
        </w:rPr>
        <w:fldChar w:fldCharType="begin"/>
      </w:r>
      <w:r>
        <w:rPr>
          <w:noProof/>
        </w:rPr>
        <w:instrText xml:space="preserve"> PAGEREF _Toc155068180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napToGrid w:val="0"/>
          <w:szCs w:val="22"/>
        </w:rPr>
        <w:t>14.</w:t>
      </w:r>
      <w:r>
        <w:rPr>
          <w:noProof/>
          <w:sz w:val="24"/>
          <w:szCs w:val="24"/>
        </w:rPr>
        <w:tab/>
      </w:r>
      <w:r>
        <w:rPr>
          <w:noProof/>
          <w:snapToGrid w:val="0"/>
          <w:szCs w:val="22"/>
        </w:rPr>
        <w:t>Procedure where load of log timber received after breakdown of log scanner or scanner computer</w:t>
      </w:r>
      <w:r>
        <w:rPr>
          <w:noProof/>
        </w:rPr>
        <w:tab/>
      </w:r>
      <w:r>
        <w:rPr>
          <w:noProof/>
        </w:rPr>
        <w:fldChar w:fldCharType="begin"/>
      </w:r>
      <w:r>
        <w:rPr>
          <w:noProof/>
        </w:rPr>
        <w:instrText xml:space="preserve"> PAGEREF _Toc155068181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napToGrid w:val="0"/>
          <w:szCs w:val="22"/>
        </w:rPr>
        <w:t>15.</w:t>
      </w:r>
      <w:r>
        <w:rPr>
          <w:noProof/>
          <w:sz w:val="24"/>
          <w:szCs w:val="24"/>
        </w:rPr>
        <w:tab/>
      </w:r>
      <w:r>
        <w:rPr>
          <w:noProof/>
          <w:snapToGrid w:val="0"/>
          <w:szCs w:val="22"/>
        </w:rPr>
        <w:t>Procedure where load of log timber received before breakdown of log scanner or scanner computer and not processed</w:t>
      </w:r>
      <w:r>
        <w:rPr>
          <w:noProof/>
        </w:rPr>
        <w:tab/>
      </w:r>
      <w:r>
        <w:rPr>
          <w:noProof/>
        </w:rPr>
        <w:fldChar w:fldCharType="begin"/>
      </w:r>
      <w:r>
        <w:rPr>
          <w:noProof/>
        </w:rPr>
        <w:instrText xml:space="preserve"> PAGEREF _Toc155068182 \h </w:instrText>
      </w:r>
      <w:r>
        <w:rPr>
          <w:noProof/>
        </w:rPr>
      </w:r>
      <w:r>
        <w:rPr>
          <w:noProof/>
        </w:rPr>
        <w:fldChar w:fldCharType="separate"/>
      </w:r>
      <w:r>
        <w:rPr>
          <w:noProof/>
        </w:rPr>
        <w:t>76</w:t>
      </w:r>
      <w:r>
        <w:rPr>
          <w:noProof/>
        </w:rPr>
        <w:fldChar w:fldCharType="end"/>
      </w:r>
    </w:p>
    <w:p>
      <w:pPr>
        <w:pStyle w:val="TOC4"/>
        <w:tabs>
          <w:tab w:val="left" w:pos="1701"/>
        </w:tabs>
        <w:rPr>
          <w:noProof/>
          <w:sz w:val="24"/>
          <w:szCs w:val="24"/>
        </w:rPr>
      </w:pPr>
      <w:r>
        <w:rPr>
          <w:noProof/>
          <w:snapToGrid w:val="0"/>
          <w:szCs w:val="22"/>
        </w:rPr>
        <w:t>16.</w:t>
      </w:r>
      <w:r>
        <w:rPr>
          <w:noProof/>
          <w:sz w:val="24"/>
          <w:szCs w:val="24"/>
        </w:rPr>
        <w:tab/>
      </w:r>
      <w:r>
        <w:rPr>
          <w:noProof/>
          <w:snapToGrid w:val="0"/>
          <w:szCs w:val="22"/>
        </w:rPr>
        <w:t>Check on number of logs in a load</w:t>
      </w:r>
      <w:r>
        <w:rPr>
          <w:noProof/>
        </w:rPr>
        <w:tab/>
      </w:r>
      <w:r>
        <w:rPr>
          <w:noProof/>
        </w:rPr>
        <w:fldChar w:fldCharType="begin"/>
      </w:r>
      <w:r>
        <w:rPr>
          <w:noProof/>
        </w:rPr>
        <w:instrText xml:space="preserve"> PAGEREF _Toc155068183 \h </w:instrText>
      </w:r>
      <w:r>
        <w:rPr>
          <w:noProof/>
        </w:rPr>
      </w:r>
      <w:r>
        <w:rPr>
          <w:noProof/>
        </w:rPr>
        <w:fldChar w:fldCharType="separate"/>
      </w:r>
      <w:r>
        <w:rPr>
          <w:noProof/>
        </w:rPr>
        <w:t>76</w:t>
      </w:r>
      <w:r>
        <w:rPr>
          <w:noProof/>
        </w:rPr>
        <w:fldChar w:fldCharType="end"/>
      </w:r>
    </w:p>
    <w:p>
      <w:pPr>
        <w:pStyle w:val="TOC4"/>
        <w:tabs>
          <w:tab w:val="left" w:pos="1701"/>
        </w:tabs>
        <w:rPr>
          <w:noProof/>
          <w:sz w:val="24"/>
          <w:szCs w:val="24"/>
        </w:rPr>
      </w:pPr>
      <w:r>
        <w:rPr>
          <w:noProof/>
          <w:snapToGrid w:val="0"/>
          <w:szCs w:val="22"/>
        </w:rPr>
        <w:t>17.</w:t>
      </w:r>
      <w:r>
        <w:rPr>
          <w:noProof/>
          <w:sz w:val="24"/>
          <w:szCs w:val="24"/>
        </w:rPr>
        <w:tab/>
      </w:r>
      <w:r>
        <w:rPr>
          <w:noProof/>
          <w:snapToGrid w:val="0"/>
          <w:szCs w:val="22"/>
        </w:rPr>
        <w:t>Daily report of log delivery</w:t>
      </w:r>
      <w:r>
        <w:rPr>
          <w:noProof/>
        </w:rPr>
        <w:tab/>
      </w:r>
      <w:r>
        <w:rPr>
          <w:noProof/>
        </w:rPr>
        <w:fldChar w:fldCharType="begin"/>
      </w:r>
      <w:r>
        <w:rPr>
          <w:noProof/>
        </w:rPr>
        <w:instrText xml:space="preserve"> PAGEREF _Toc155068184 \h </w:instrText>
      </w:r>
      <w:r>
        <w:rPr>
          <w:noProof/>
        </w:rPr>
      </w:r>
      <w:r>
        <w:rPr>
          <w:noProof/>
        </w:rPr>
        <w:fldChar w:fldCharType="separate"/>
      </w:r>
      <w:r>
        <w:rPr>
          <w:noProof/>
        </w:rPr>
        <w:t>76</w:t>
      </w:r>
      <w:r>
        <w:rPr>
          <w:noProof/>
        </w:rPr>
        <w:fldChar w:fldCharType="end"/>
      </w:r>
    </w:p>
    <w:p>
      <w:pPr>
        <w:pStyle w:val="TOC4"/>
        <w:tabs>
          <w:tab w:val="left" w:pos="1701"/>
        </w:tabs>
        <w:rPr>
          <w:noProof/>
          <w:sz w:val="24"/>
          <w:szCs w:val="24"/>
        </w:rPr>
      </w:pPr>
      <w:r>
        <w:rPr>
          <w:noProof/>
          <w:snapToGrid w:val="0"/>
          <w:szCs w:val="22"/>
        </w:rPr>
        <w:t>18.</w:t>
      </w:r>
      <w:r>
        <w:rPr>
          <w:noProof/>
          <w:sz w:val="24"/>
          <w:szCs w:val="24"/>
        </w:rPr>
        <w:tab/>
      </w:r>
      <w:r>
        <w:rPr>
          <w:noProof/>
          <w:snapToGrid w:val="0"/>
          <w:szCs w:val="22"/>
        </w:rPr>
        <w:t>Arrangement of daily report</w:t>
      </w:r>
      <w:r>
        <w:rPr>
          <w:noProof/>
        </w:rPr>
        <w:tab/>
      </w:r>
      <w:r>
        <w:rPr>
          <w:noProof/>
        </w:rPr>
        <w:fldChar w:fldCharType="begin"/>
      </w:r>
      <w:r>
        <w:rPr>
          <w:noProof/>
        </w:rPr>
        <w:instrText xml:space="preserve"> PAGEREF _Toc155068185 \h </w:instrText>
      </w:r>
      <w:r>
        <w:rPr>
          <w:noProof/>
        </w:rPr>
      </w:r>
      <w:r>
        <w:rPr>
          <w:noProof/>
        </w:rPr>
        <w:fldChar w:fldCharType="separate"/>
      </w:r>
      <w:r>
        <w:rPr>
          <w:noProof/>
        </w:rPr>
        <w:t>77</w:t>
      </w:r>
      <w:r>
        <w:rPr>
          <w:noProof/>
        </w:rPr>
        <w:fldChar w:fldCharType="end"/>
      </w:r>
    </w:p>
    <w:p>
      <w:pPr>
        <w:pStyle w:val="TOC5"/>
        <w:rPr>
          <w:b w:val="0"/>
          <w:noProof/>
          <w:sz w:val="24"/>
          <w:szCs w:val="24"/>
        </w:rPr>
      </w:pPr>
      <w:r>
        <w:rPr>
          <w:noProof/>
          <w:szCs w:val="28"/>
        </w:rPr>
        <w:t>Schedule 2</w:t>
      </w:r>
      <w:r>
        <w:rPr>
          <w:noProof/>
        </w:rPr>
        <w:tab/>
      </w:r>
      <w:r>
        <w:rPr>
          <w:noProof/>
        </w:rPr>
        <w:fldChar w:fldCharType="begin"/>
      </w:r>
      <w:r>
        <w:rPr>
          <w:noProof/>
        </w:rPr>
        <w:instrText xml:space="preserve"> PAGEREF _Toc155068186 \h </w:instrText>
      </w:r>
      <w:r>
        <w:rPr>
          <w:noProof/>
        </w:rPr>
      </w:r>
      <w:r>
        <w:rPr>
          <w:noProof/>
        </w:rPr>
        <w:fldChar w:fldCharType="separate"/>
      </w:r>
      <w:r>
        <w:rPr>
          <w:noProof/>
        </w:rPr>
        <w:t>78</w:t>
      </w:r>
      <w:r>
        <w:rPr>
          <w:noProof/>
        </w:rPr>
        <w:fldChar w:fldCharType="end"/>
      </w:r>
    </w:p>
    <w:p>
      <w:pPr>
        <w:pStyle w:val="TOC7"/>
        <w:rPr>
          <w:noProof/>
          <w:sz w:val="24"/>
          <w:szCs w:val="24"/>
        </w:rPr>
      </w:pPr>
      <w:r>
        <w:rPr>
          <w:noProof/>
          <w:szCs w:val="28"/>
        </w:rPr>
        <w:t>Forms</w:t>
      </w:r>
      <w:r>
        <w:rPr>
          <w:noProof/>
        </w:rPr>
        <w:tab/>
      </w:r>
      <w:r>
        <w:rPr>
          <w:noProof/>
        </w:rPr>
        <w:fldChar w:fldCharType="begin"/>
      </w:r>
      <w:r>
        <w:rPr>
          <w:noProof/>
        </w:rPr>
        <w:instrText xml:space="preserve"> PAGEREF _Toc155068187 \h </w:instrText>
      </w:r>
      <w:r>
        <w:rPr>
          <w:noProof/>
        </w:rPr>
      </w:r>
      <w:r>
        <w:rPr>
          <w:noProof/>
        </w:rPr>
        <w:fldChar w:fldCharType="separate"/>
      </w:r>
      <w:r>
        <w:rPr>
          <w:noProof/>
        </w:rPr>
        <w:t>78</w:t>
      </w:r>
      <w:r>
        <w:rPr>
          <w:noProof/>
        </w:rPr>
        <w:fldChar w:fldCharType="end"/>
      </w:r>
    </w:p>
    <w:p>
      <w:pPr>
        <w:pStyle w:val="TOC5"/>
        <w:rPr>
          <w:b w:val="0"/>
          <w:noProof/>
          <w:sz w:val="24"/>
          <w:szCs w:val="24"/>
        </w:rPr>
      </w:pPr>
      <w:r>
        <w:rPr>
          <w:noProof/>
          <w:szCs w:val="28"/>
        </w:rPr>
        <w:t>Schedule 3</w:t>
      </w:r>
      <w:r>
        <w:rPr>
          <w:noProof/>
        </w:rPr>
        <w:tab/>
      </w:r>
      <w:r>
        <w:rPr>
          <w:noProof/>
        </w:rPr>
        <w:fldChar w:fldCharType="begin"/>
      </w:r>
      <w:r>
        <w:rPr>
          <w:noProof/>
        </w:rPr>
        <w:instrText xml:space="preserve"> PAGEREF _Toc155068188 \h </w:instrText>
      </w:r>
      <w:r>
        <w:rPr>
          <w:noProof/>
        </w:rPr>
      </w:r>
      <w:r>
        <w:rPr>
          <w:noProof/>
        </w:rPr>
        <w:fldChar w:fldCharType="separate"/>
      </w:r>
      <w:r>
        <w:rPr>
          <w:noProof/>
        </w:rPr>
        <w:t>85</w:t>
      </w:r>
      <w:r>
        <w:rPr>
          <w:noProof/>
        </w:rPr>
        <w:fldChar w:fldCharType="end"/>
      </w:r>
    </w:p>
    <w:p>
      <w:pPr>
        <w:pStyle w:val="TOC7"/>
        <w:rPr>
          <w:noProof/>
          <w:sz w:val="24"/>
          <w:szCs w:val="24"/>
        </w:rPr>
      </w:pPr>
      <w:r>
        <w:rPr>
          <w:noProof/>
          <w:szCs w:val="28"/>
        </w:rPr>
        <w:t>Prescribed royalties for timber taken on mining tenement for mining purposes</w:t>
      </w:r>
      <w:r>
        <w:rPr>
          <w:noProof/>
        </w:rPr>
        <w:tab/>
      </w:r>
      <w:r>
        <w:rPr>
          <w:noProof/>
        </w:rPr>
        <w:fldChar w:fldCharType="begin"/>
      </w:r>
      <w:r>
        <w:rPr>
          <w:noProof/>
        </w:rPr>
        <w:instrText xml:space="preserve"> PAGEREF _Toc155068189 \h </w:instrText>
      </w:r>
      <w:r>
        <w:rPr>
          <w:noProof/>
        </w:rPr>
      </w:r>
      <w:r>
        <w:rPr>
          <w:noProof/>
        </w:rPr>
        <w:fldChar w:fldCharType="separate"/>
      </w:r>
      <w:r>
        <w:rPr>
          <w:noProof/>
        </w:rPr>
        <w:t>85</w:t>
      </w:r>
      <w:r>
        <w:rPr>
          <w:noProof/>
        </w:rPr>
        <w:fldChar w:fldCharType="end"/>
      </w:r>
    </w:p>
    <w:p>
      <w:pPr>
        <w:pStyle w:val="TOC5"/>
        <w:rPr>
          <w:b w:val="0"/>
          <w:noProof/>
          <w:sz w:val="24"/>
          <w:szCs w:val="24"/>
        </w:rPr>
      </w:pPr>
      <w:r>
        <w:rPr>
          <w:noProof/>
          <w:szCs w:val="28"/>
        </w:rPr>
        <w:t>Schedule 5</w:t>
      </w:r>
      <w:r>
        <w:rPr>
          <w:noProof/>
        </w:rPr>
        <w:tab/>
      </w:r>
      <w:r>
        <w:rPr>
          <w:noProof/>
        </w:rPr>
        <w:fldChar w:fldCharType="begin"/>
      </w:r>
      <w:r>
        <w:rPr>
          <w:noProof/>
        </w:rPr>
        <w:instrText xml:space="preserve"> PAGEREF _Toc155068190 \h </w:instrText>
      </w:r>
      <w:r>
        <w:rPr>
          <w:noProof/>
        </w:rPr>
      </w:r>
      <w:r>
        <w:rPr>
          <w:noProof/>
        </w:rPr>
        <w:fldChar w:fldCharType="separate"/>
      </w:r>
      <w:r>
        <w:rPr>
          <w:noProof/>
        </w:rPr>
        <w:t>86</w:t>
      </w:r>
      <w:r>
        <w:rPr>
          <w:noProof/>
        </w:rPr>
        <w:fldChar w:fldCharType="end"/>
      </w:r>
    </w:p>
    <w:p>
      <w:pPr>
        <w:pStyle w:val="TOC7"/>
        <w:rPr>
          <w:noProof/>
          <w:sz w:val="24"/>
          <w:szCs w:val="24"/>
        </w:rPr>
      </w:pPr>
      <w:r>
        <w:rPr>
          <w:noProof/>
          <w:szCs w:val="28"/>
        </w:rPr>
        <w:t>Miscellaneous Fees</w:t>
      </w:r>
      <w:r>
        <w:rPr>
          <w:noProof/>
        </w:rPr>
        <w:tab/>
      </w:r>
      <w:r>
        <w:rPr>
          <w:noProof/>
        </w:rPr>
        <w:fldChar w:fldCharType="begin"/>
      </w:r>
      <w:r>
        <w:rPr>
          <w:noProof/>
        </w:rPr>
        <w:instrText xml:space="preserve"> PAGEREF _Toc155068191 \h </w:instrText>
      </w:r>
      <w:r>
        <w:rPr>
          <w:noProof/>
        </w:rPr>
      </w:r>
      <w:r>
        <w:rPr>
          <w:noProof/>
        </w:rPr>
        <w:fldChar w:fldCharType="separate"/>
      </w:r>
      <w:r>
        <w:rPr>
          <w:noProof/>
        </w:rPr>
        <w:t>86</w:t>
      </w:r>
      <w:r>
        <w:rPr>
          <w:noProof/>
        </w:rPr>
        <w:fldChar w:fldCharType="end"/>
      </w:r>
    </w:p>
    <w:p>
      <w:pPr>
        <w:pStyle w:val="TOC5"/>
        <w:rPr>
          <w:b w:val="0"/>
          <w:noProof/>
          <w:sz w:val="24"/>
          <w:szCs w:val="24"/>
        </w:rPr>
      </w:pPr>
      <w:r>
        <w:rPr>
          <w:noProof/>
          <w:szCs w:val="28"/>
        </w:rPr>
        <w:t>Schedule 6</w:t>
      </w:r>
      <w:r>
        <w:rPr>
          <w:noProof/>
        </w:rPr>
        <w:tab/>
      </w:r>
      <w:r>
        <w:rPr>
          <w:noProof/>
        </w:rPr>
        <w:fldChar w:fldCharType="begin"/>
      </w:r>
      <w:r>
        <w:rPr>
          <w:noProof/>
        </w:rPr>
        <w:instrText xml:space="preserve"> PAGEREF _Toc155068192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napToGrid w:val="0"/>
          <w:szCs w:val="22"/>
        </w:rPr>
        <w:t>1.</w:t>
      </w:r>
      <w:r>
        <w:rPr>
          <w:noProof/>
          <w:sz w:val="24"/>
          <w:szCs w:val="24"/>
        </w:rPr>
        <w:tab/>
      </w:r>
      <w:r>
        <w:rPr>
          <w:noProof/>
          <w:snapToGrid w:val="0"/>
          <w:szCs w:val="22"/>
        </w:rPr>
        <w:t>Time allowed for timber workers to comply with regulation 5</w:t>
      </w:r>
      <w:r>
        <w:rPr>
          <w:noProof/>
        </w:rPr>
        <w:tab/>
      </w:r>
      <w:r>
        <w:rPr>
          <w:noProof/>
        </w:rPr>
        <w:fldChar w:fldCharType="begin"/>
      </w:r>
      <w:r>
        <w:rPr>
          <w:noProof/>
        </w:rPr>
        <w:instrText xml:space="preserve"> PAGEREF _Toc155068193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napToGrid w:val="0"/>
          <w:szCs w:val="22"/>
        </w:rPr>
        <w:t>2.</w:t>
      </w:r>
      <w:r>
        <w:rPr>
          <w:noProof/>
          <w:sz w:val="24"/>
          <w:szCs w:val="24"/>
        </w:rPr>
        <w:tab/>
      </w:r>
      <w:r>
        <w:rPr>
          <w:noProof/>
          <w:snapToGrid w:val="0"/>
          <w:szCs w:val="22"/>
        </w:rPr>
        <w:t>Time allowed for employers etc. to comply with regulation 6</w:t>
      </w:r>
      <w:r>
        <w:rPr>
          <w:noProof/>
        </w:rPr>
        <w:tab/>
      </w:r>
      <w:r>
        <w:rPr>
          <w:noProof/>
        </w:rPr>
        <w:fldChar w:fldCharType="begin"/>
      </w:r>
      <w:r>
        <w:rPr>
          <w:noProof/>
        </w:rPr>
        <w:instrText xml:space="preserve"> PAGEREF _Toc155068194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napToGrid w:val="0"/>
          <w:szCs w:val="22"/>
        </w:rPr>
        <w:t>3.</w:t>
      </w:r>
      <w:r>
        <w:rPr>
          <w:noProof/>
          <w:sz w:val="24"/>
          <w:szCs w:val="24"/>
        </w:rPr>
        <w:tab/>
      </w:r>
      <w:r>
        <w:rPr>
          <w:noProof/>
          <w:snapToGrid w:val="0"/>
          <w:szCs w:val="22"/>
        </w:rPr>
        <w:t>Time allowed for fellers to comply with regulation 24</w:t>
      </w:r>
      <w:r>
        <w:rPr>
          <w:noProof/>
        </w:rPr>
        <w:tab/>
      </w:r>
      <w:r>
        <w:rPr>
          <w:noProof/>
        </w:rPr>
        <w:fldChar w:fldCharType="begin"/>
      </w:r>
      <w:r>
        <w:rPr>
          <w:noProof/>
        </w:rPr>
        <w:instrText xml:space="preserve"> PAGEREF _Toc155068195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napToGrid w:val="0"/>
          <w:szCs w:val="22"/>
        </w:rPr>
        <w:t>4.</w:t>
      </w:r>
      <w:r>
        <w:rPr>
          <w:noProof/>
          <w:sz w:val="24"/>
          <w:szCs w:val="24"/>
        </w:rPr>
        <w:tab/>
      </w:r>
      <w:r>
        <w:rPr>
          <w:noProof/>
          <w:snapToGrid w:val="0"/>
          <w:szCs w:val="22"/>
        </w:rPr>
        <w:t>Apiary site licences and temporary and annual apiary site permits to continue to operate</w:t>
      </w:r>
      <w:r>
        <w:rPr>
          <w:noProof/>
        </w:rPr>
        <w:tab/>
      </w:r>
      <w:r>
        <w:rPr>
          <w:noProof/>
        </w:rPr>
        <w:fldChar w:fldCharType="begin"/>
      </w:r>
      <w:r>
        <w:rPr>
          <w:noProof/>
        </w:rPr>
        <w:instrText xml:space="preserve"> PAGEREF _Toc155068196 \h </w:instrText>
      </w:r>
      <w:r>
        <w:rPr>
          <w:noProof/>
        </w:rPr>
      </w:r>
      <w:r>
        <w:rPr>
          <w:noProof/>
        </w:rPr>
        <w:fldChar w:fldCharType="separate"/>
      </w:r>
      <w:r>
        <w:rPr>
          <w:noProof/>
        </w:rPr>
        <w:t>88</w:t>
      </w:r>
      <w:r>
        <w:rPr>
          <w:noProof/>
        </w:rPr>
        <w:fldChar w:fldCharType="end"/>
      </w:r>
    </w:p>
    <w:p>
      <w:pPr>
        <w:pStyle w:val="TOC4"/>
        <w:tabs>
          <w:tab w:val="left" w:pos="1701"/>
        </w:tabs>
        <w:rPr>
          <w:noProof/>
          <w:sz w:val="24"/>
          <w:szCs w:val="24"/>
        </w:rPr>
      </w:pPr>
      <w:r>
        <w:rPr>
          <w:noProof/>
          <w:snapToGrid w:val="0"/>
          <w:szCs w:val="22"/>
        </w:rPr>
        <w:t>5.</w:t>
      </w:r>
      <w:r>
        <w:rPr>
          <w:noProof/>
          <w:sz w:val="24"/>
          <w:szCs w:val="24"/>
        </w:rPr>
        <w:tab/>
      </w:r>
      <w:r>
        <w:rPr>
          <w:noProof/>
          <w:snapToGrid w:val="0"/>
          <w:szCs w:val="22"/>
        </w:rPr>
        <w:t>Authorization to continue to have effect</w:t>
      </w:r>
      <w:r>
        <w:rPr>
          <w:noProof/>
        </w:rPr>
        <w:tab/>
      </w:r>
      <w:r>
        <w:rPr>
          <w:noProof/>
        </w:rPr>
        <w:fldChar w:fldCharType="begin"/>
      </w:r>
      <w:r>
        <w:rPr>
          <w:noProof/>
        </w:rPr>
        <w:instrText xml:space="preserve"> PAGEREF _Toc155068197 \h </w:instrText>
      </w:r>
      <w:r>
        <w:rPr>
          <w:noProof/>
        </w:rPr>
      </w:r>
      <w:r>
        <w:rPr>
          <w:noProof/>
        </w:rPr>
        <w:fldChar w:fldCharType="separate"/>
      </w:r>
      <w:r>
        <w:rPr>
          <w:noProof/>
        </w:rPr>
        <w:t>88</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_Toc155068199 \h </w:instrText>
      </w:r>
      <w:r>
        <w:rPr>
          <w:noProof/>
        </w:rPr>
      </w:r>
      <w:r>
        <w:rPr>
          <w:noProof/>
        </w:rPr>
        <w:fldChar w:fldCharType="separate"/>
      </w:r>
      <w:r>
        <w:rPr>
          <w:noProof/>
        </w:rPr>
        <w:t>89</w:t>
      </w:r>
      <w:r>
        <w:rPr>
          <w:noProof/>
        </w:rP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Conservation and Land Management Act 1984</w:t>
      </w:r>
    </w:p>
    <w:p>
      <w:pPr>
        <w:pStyle w:val="NameofActReg"/>
      </w:pPr>
      <w:r>
        <w:t>Forest Management Regulations 1993</w:t>
      </w:r>
    </w:p>
    <w:p>
      <w:pPr>
        <w:pStyle w:val="Heading2"/>
        <w:pageBreakBefore w:val="0"/>
      </w:pPr>
      <w:bookmarkStart w:id="1" w:name="_Toc154984311"/>
      <w:bookmarkStart w:id="2" w:name="_Toc155067116"/>
      <w:bookmarkStart w:id="3" w:name="_Toc155067977"/>
      <w:r>
        <w:rPr>
          <w:rStyle w:val="CharPartNo"/>
        </w:rPr>
        <w:t>Part 1</w:t>
      </w:r>
      <w:r>
        <w:rPr>
          <w:rStyle w:val="CharDivNo"/>
        </w:rPr>
        <w:t> </w:t>
      </w:r>
      <w:r>
        <w:t>—</w:t>
      </w:r>
      <w:r>
        <w:rPr>
          <w:rStyle w:val="CharDivText"/>
        </w:rPr>
        <w:t> </w:t>
      </w:r>
      <w:r>
        <w:rPr>
          <w:rStyle w:val="CharPartText"/>
        </w:rPr>
        <w:t>Preliminary</w:t>
      </w:r>
      <w:bookmarkEnd w:id="1"/>
      <w:bookmarkEnd w:id="2"/>
      <w:bookmarkEnd w:id="3"/>
      <w:r>
        <w:rPr>
          <w:rStyle w:val="CharPartText"/>
        </w:rPr>
        <w:t xml:space="preserve"> </w:t>
      </w:r>
    </w:p>
    <w:p>
      <w:pPr>
        <w:pStyle w:val="Heading5"/>
        <w:rPr>
          <w:snapToGrid w:val="0"/>
        </w:rPr>
      </w:pPr>
      <w:bookmarkStart w:id="4" w:name="_Toc438372737"/>
      <w:bookmarkStart w:id="5" w:name="_Toc8187885"/>
      <w:bookmarkStart w:id="6" w:name="_Toc155067978"/>
      <w:r>
        <w:rPr>
          <w:rStyle w:val="CharSectno"/>
        </w:rPr>
        <w:t>1</w:t>
      </w:r>
      <w:r>
        <w:rPr>
          <w:snapToGrid w:val="0"/>
        </w:rPr>
        <w:t>.</w:t>
      </w:r>
      <w:r>
        <w:rPr>
          <w:snapToGrid w:val="0"/>
        </w:rPr>
        <w:tab/>
        <w:t>Citation</w:t>
      </w:r>
      <w:bookmarkEnd w:id="4"/>
      <w:bookmarkEnd w:id="5"/>
      <w:bookmarkEnd w:id="6"/>
    </w:p>
    <w:p>
      <w:pPr>
        <w:pStyle w:val="Subsection"/>
        <w:rPr>
          <w:snapToGrid w:val="0"/>
        </w:rPr>
      </w:pPr>
      <w:r>
        <w:rPr>
          <w:snapToGrid w:val="0"/>
        </w:rPr>
        <w:tab/>
      </w:r>
      <w:r>
        <w:rPr>
          <w:snapToGrid w:val="0"/>
        </w:rPr>
        <w:tab/>
        <w:t xml:space="preserve">These regulations may be cited as the </w:t>
      </w:r>
      <w:r>
        <w:rPr>
          <w:i/>
          <w:snapToGrid w:val="0"/>
        </w:rPr>
        <w:t>Forest Management Regulations 1993</w:t>
      </w:r>
      <w:r>
        <w:rPr>
          <w:snapToGrid w:val="0"/>
          <w:vertAlign w:val="superscript"/>
        </w:rPr>
        <w:t xml:space="preserve"> 1</w:t>
      </w:r>
      <w:r>
        <w:rPr>
          <w:snapToGrid w:val="0"/>
        </w:rPr>
        <w:t>.</w:t>
      </w:r>
    </w:p>
    <w:p>
      <w:pPr>
        <w:pStyle w:val="Heading5"/>
        <w:rPr>
          <w:snapToGrid w:val="0"/>
        </w:rPr>
      </w:pPr>
      <w:bookmarkStart w:id="7" w:name="_Toc438372738"/>
      <w:bookmarkStart w:id="8" w:name="_Toc8187886"/>
      <w:bookmarkStart w:id="9" w:name="_Toc155067979"/>
      <w:r>
        <w:rPr>
          <w:rStyle w:val="CharSectno"/>
        </w:rPr>
        <w:t>2</w:t>
      </w:r>
      <w:r>
        <w:rPr>
          <w:snapToGrid w:val="0"/>
        </w:rPr>
        <w:t>.</w:t>
      </w:r>
      <w:r>
        <w:rPr>
          <w:snapToGrid w:val="0"/>
        </w:rPr>
        <w:tab/>
        <w:t>Interpretation</w:t>
      </w:r>
      <w:bookmarkEnd w:id="7"/>
      <w:bookmarkEnd w:id="8"/>
      <w:bookmarkEnd w:id="9"/>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apiary site permit</w:t>
      </w:r>
      <w:r>
        <w:t xml:space="preserve"> means a permit referred to in regulation 73(1);</w:t>
      </w:r>
    </w:p>
    <w:p>
      <w:pPr>
        <w:pStyle w:val="Defstart"/>
      </w:pPr>
      <w:r>
        <w:rPr>
          <w:b/>
        </w:rPr>
        <w:tab/>
      </w:r>
      <w:r>
        <w:rPr>
          <w:rStyle w:val="CharDefText"/>
        </w:rPr>
        <w:t>bush landing</w:t>
      </w:r>
      <w:r>
        <w:t>, in relation to log timber, means the place in a State forest or timber reserve where the timber is first loaded onto a vehicle for transport or removal after the timber has been felled;</w:t>
      </w:r>
    </w:p>
    <w:p>
      <w:pPr>
        <w:pStyle w:val="Defstart"/>
      </w:pPr>
      <w:r>
        <w:rPr>
          <w:b/>
        </w:rPr>
        <w:tab/>
      </w:r>
      <w:r>
        <w:rPr>
          <w:rStyle w:val="CharDefText"/>
        </w:rPr>
        <w:t>buyer</w:t>
      </w:r>
      <w:r>
        <w:t>, in relation to log timber, means the buyer of that timber under a contract of sale;</w:t>
      </w:r>
    </w:p>
    <w:p>
      <w:pPr>
        <w:pStyle w:val="Defstart"/>
      </w:pPr>
      <w:r>
        <w:rPr>
          <w:b/>
        </w:rPr>
        <w:tab/>
      </w:r>
      <w:r>
        <w:rPr>
          <w:rStyle w:val="CharDefText"/>
        </w:rPr>
        <w:t>contract of sale</w:t>
      </w:r>
      <w:r>
        <w:t xml:space="preserve"> means a contract under section 88(1)(b)(i) of the Act in which the Executive Director contracts with any person for the sale of forest produce on or from Crown land;</w:t>
      </w:r>
    </w:p>
    <w:p>
      <w:pPr>
        <w:pStyle w:val="Defstart"/>
      </w:pPr>
      <w:r>
        <w:rPr>
          <w:b/>
        </w:rPr>
        <w:tab/>
      </w:r>
      <w:r>
        <w:rPr>
          <w:rStyle w:val="CharDefText"/>
        </w:rPr>
        <w:t>contract to harvest and deliver</w:t>
      </w:r>
      <w:r>
        <w:t xml:space="preserve"> means a contract under section 88(1)(b)(ii) of the Act in which the Executive Director contracts with any person for that person to harvest log timber on Crown land and to deliver that timber to the buyer;</w:t>
      </w:r>
    </w:p>
    <w:p>
      <w:pPr>
        <w:pStyle w:val="Defstart"/>
      </w:pPr>
      <w:r>
        <w:rPr>
          <w:b/>
        </w:rPr>
        <w:tab/>
      </w:r>
      <w:r>
        <w:rPr>
          <w:rStyle w:val="CharDefText"/>
        </w:rPr>
        <w:t>contractor</w:t>
      </w:r>
      <w:r>
        <w:t>, in relation to a contract to harvest and deliver, means the person contracting with the Executive Director under that contract;</w:t>
      </w:r>
    </w:p>
    <w:p>
      <w:pPr>
        <w:pStyle w:val="Defstart"/>
      </w:pPr>
      <w:r>
        <w:rPr>
          <w:b/>
        </w:rPr>
        <w:tab/>
      </w:r>
      <w:r>
        <w:rPr>
          <w:rStyle w:val="CharDefText"/>
        </w:rPr>
        <w:t>coupe</w:t>
      </w:r>
      <w:r>
        <w:t xml:space="preserve"> means an area in a State forest or timber reserve that is set aside for the purpose of logging in a logging plan;</w:t>
      </w:r>
    </w:p>
    <w:p>
      <w:pPr>
        <w:pStyle w:val="Defstart"/>
      </w:pPr>
      <w:r>
        <w:rPr>
          <w:b/>
        </w:rPr>
        <w:tab/>
      </w:r>
      <w:r>
        <w:rPr>
          <w:rStyle w:val="CharDefText"/>
        </w:rPr>
        <w:t>Crown land</w:t>
      </w:r>
      <w:r>
        <w:t xml:space="preserve"> has the same meaning as in section 87 of the Act;</w:t>
      </w:r>
    </w:p>
    <w:p>
      <w:pPr>
        <w:pStyle w:val="Defstart"/>
      </w:pPr>
      <w:r>
        <w:rPr>
          <w:b/>
        </w:rPr>
        <w:tab/>
      </w:r>
      <w:r>
        <w:rPr>
          <w:rStyle w:val="CharDefText"/>
        </w:rPr>
        <w:t>district</w:t>
      </w:r>
      <w:r>
        <w:t xml:space="preserve"> means a district designated by the Executive Director for the administrative purposes of the Department;</w:t>
      </w:r>
    </w:p>
    <w:p>
      <w:pPr>
        <w:pStyle w:val="Defstart"/>
      </w:pPr>
      <w:r>
        <w:rPr>
          <w:b/>
        </w:rPr>
        <w:tab/>
      </w:r>
      <w:r>
        <w:rPr>
          <w:rStyle w:val="CharDefText"/>
        </w:rPr>
        <w:t>fell</w:t>
      </w:r>
      <w:r>
        <w:t xml:space="preserve"> includes fell by machine;</w:t>
      </w:r>
    </w:p>
    <w:p>
      <w:pPr>
        <w:pStyle w:val="Defstart"/>
      </w:pPr>
      <w:r>
        <w:rPr>
          <w:b/>
        </w:rPr>
        <w:tab/>
      </w:r>
      <w:r>
        <w:rPr>
          <w:rStyle w:val="CharDefText"/>
        </w:rPr>
        <w:t>feller’s identification code</w:t>
      </w:r>
      <w:r>
        <w:t xml:space="preserve"> means an identification code registered in respect of a feller under regulation 26;</w:t>
      </w:r>
    </w:p>
    <w:p>
      <w:pPr>
        <w:pStyle w:val="Defstart"/>
      </w:pPr>
      <w:r>
        <w:rPr>
          <w:b/>
        </w:rPr>
        <w:tab/>
      </w:r>
      <w:r>
        <w:rPr>
          <w:rStyle w:val="CharDefText"/>
        </w:rPr>
        <w:t>forest produce licence</w:t>
      </w:r>
      <w:r>
        <w:t xml:space="preserve"> means a licence granted by the Executive Director under section 88(1)(a) of the Act to take forest produce on or from Crown land;</w:t>
      </w:r>
    </w:p>
    <w:p>
      <w:pPr>
        <w:pStyle w:val="Defstart"/>
      </w:pPr>
      <w:r>
        <w:rPr>
          <w:b/>
        </w:rPr>
        <w:tab/>
      </w:r>
      <w:r>
        <w:rPr>
          <w:rStyle w:val="CharDefText"/>
        </w:rPr>
        <w:t>log delivery note</w:t>
      </w:r>
      <w:r>
        <w:t xml:space="preserve"> means a log delivery note referred to in Part 5;</w:t>
      </w:r>
    </w:p>
    <w:p>
      <w:pPr>
        <w:pStyle w:val="Defstart"/>
      </w:pPr>
      <w:r>
        <w:rPr>
          <w:b/>
        </w:rPr>
        <w:tab/>
      </w:r>
      <w:r>
        <w:rPr>
          <w:rStyle w:val="CharDefText"/>
        </w:rPr>
        <w:t>logging plan</w:t>
      </w:r>
      <w:r>
        <w:t xml:space="preserve"> means a plan formulated by the Department for the logging of timber in State forests and timber reserves in a district;</w:t>
      </w:r>
    </w:p>
    <w:p>
      <w:pPr>
        <w:pStyle w:val="Defstart"/>
      </w:pPr>
      <w:r>
        <w:rPr>
          <w:b/>
        </w:rPr>
        <w:tab/>
      </w:r>
      <w:r>
        <w:rPr>
          <w:rStyle w:val="CharDefText"/>
        </w:rPr>
        <w:t>manager</w:t>
      </w:r>
      <w:r>
        <w:t>, in relation to a sawmill, means a person having the immediate charge and direction of operations at a sawmill;</w:t>
      </w:r>
    </w:p>
    <w:p>
      <w:pPr>
        <w:pStyle w:val="Defstart"/>
      </w:pPr>
      <w:r>
        <w:rPr>
          <w:b/>
        </w:rPr>
        <w:tab/>
      </w:r>
      <w:r>
        <w:rPr>
          <w:rStyle w:val="CharDefText"/>
        </w:rPr>
        <w:t>owner</w:t>
      </w:r>
      <w:r>
        <w:t>, in relation to private land, means any person who is registered as the proprietor of an estate in fee simple in that land;</w:t>
      </w:r>
    </w:p>
    <w:p>
      <w:pPr>
        <w:pStyle w:val="Defstart"/>
      </w:pPr>
      <w:r>
        <w:rPr>
          <w:b/>
        </w:rPr>
        <w:tab/>
      </w:r>
      <w:r>
        <w:rPr>
          <w:rStyle w:val="CharDefText"/>
        </w:rPr>
        <w:t>owner</w:t>
      </w:r>
      <w:r>
        <w:t>, in relation to a sawmill, means any person who is the proprietor, lessee or occupier of the sawmill and includes a person in occupation under contract with the owner or under a subcontract;</w:t>
      </w:r>
    </w:p>
    <w:p>
      <w:pPr>
        <w:pStyle w:val="Defstart"/>
      </w:pPr>
      <w:r>
        <w:rPr>
          <w:b/>
        </w:rPr>
        <w:tab/>
      </w:r>
      <w:r>
        <w:rPr>
          <w:rStyle w:val="CharDefText"/>
        </w:rPr>
        <w:t>owner’s identification code</w:t>
      </w:r>
      <w:r>
        <w:t xml:space="preserve"> means an identification code registered in respect of the owner or owners of private land under regulation 29;</w:t>
      </w:r>
    </w:p>
    <w:p>
      <w:pPr>
        <w:pStyle w:val="Defstart"/>
      </w:pPr>
      <w:r>
        <w:rPr>
          <w:b/>
        </w:rPr>
        <w:tab/>
      </w:r>
      <w:r>
        <w:rPr>
          <w:rStyle w:val="CharDefText"/>
        </w:rPr>
        <w:t>permit</w:t>
      </w:r>
      <w:r>
        <w:t xml:space="preserve"> means a permit granted by the Executive Director under section 88(1)(a) of the Act to take forest produce on or from Crown land;</w:t>
      </w:r>
    </w:p>
    <w:p>
      <w:pPr>
        <w:pStyle w:val="Defstart"/>
      </w:pPr>
      <w:r>
        <w:rPr>
          <w:b/>
        </w:rPr>
        <w:tab/>
      </w:r>
      <w:r>
        <w:rPr>
          <w:rStyle w:val="CharDefText"/>
        </w:rPr>
        <w:t>private land</w:t>
      </w:r>
      <w:r>
        <w:t xml:space="preserve"> means land other than public land;</w:t>
      </w:r>
    </w:p>
    <w:p>
      <w:pPr>
        <w:pStyle w:val="Defstart"/>
      </w:pPr>
      <w:r>
        <w:rPr>
          <w:b/>
        </w:rPr>
        <w:tab/>
      </w:r>
      <w:r>
        <w:rPr>
          <w:rStyle w:val="CharDefText"/>
        </w:rPr>
        <w:t>product type</w:t>
      </w:r>
      <w:r>
        <w:t>, in relation to log timber, means the description, classification and grade (being a description, classification and grade specified in a log delivery note) assigned to that log timber in the log delivery note for the timber;</w:t>
      </w:r>
    </w:p>
    <w:p>
      <w:pPr>
        <w:pStyle w:val="Defstart"/>
      </w:pPr>
      <w:r>
        <w:rPr>
          <w:b/>
        </w:rPr>
        <w:tab/>
      </w:r>
      <w:r>
        <w:rPr>
          <w:rStyle w:val="CharDefText"/>
        </w:rPr>
        <w:t>public land</w:t>
      </w:r>
      <w:r>
        <w:t xml:space="preserve"> has the same meaning as in section 81 of the Act;</w:t>
      </w:r>
    </w:p>
    <w:p>
      <w:pPr>
        <w:pStyle w:val="Defstart"/>
      </w:pPr>
      <w:r>
        <w:rPr>
          <w:b/>
        </w:rPr>
        <w:tab/>
      </w:r>
      <w:r>
        <w:rPr>
          <w:rStyle w:val="CharDefText"/>
        </w:rPr>
        <w:t>receival record</w:t>
      </w:r>
      <w:r>
        <w:t xml:space="preserve"> means a record referred to in Part 8;</w:t>
      </w:r>
    </w:p>
    <w:p>
      <w:pPr>
        <w:pStyle w:val="Defstart"/>
      </w:pPr>
      <w:r>
        <w:tab/>
      </w:r>
      <w:r>
        <w:rPr>
          <w:rStyle w:val="CharDefText"/>
        </w:rPr>
        <w:t>repealed Act</w:t>
      </w:r>
      <w:r>
        <w:t xml:space="preserve"> means the </w:t>
      </w:r>
      <w:r>
        <w:rPr>
          <w:i/>
        </w:rPr>
        <w:t>Forests Act 1918</w:t>
      </w:r>
      <w:r>
        <w:t xml:space="preserve"> repealed by section 147 of the </w:t>
      </w:r>
      <w:r>
        <w:rPr>
          <w:i/>
        </w:rPr>
        <w:t>Conservation and Land Management Act 1984</w:t>
      </w:r>
      <w:r>
        <w:t>;</w:t>
      </w:r>
    </w:p>
    <w:p>
      <w:pPr>
        <w:pStyle w:val="Defstart"/>
        <w:keepNext/>
      </w:pPr>
      <w:r>
        <w:rPr>
          <w:b/>
        </w:rPr>
        <w:tab/>
      </w:r>
      <w:r>
        <w:rPr>
          <w:rStyle w:val="CharDefText"/>
        </w:rPr>
        <w:t>repealed regulations</w:t>
      </w:r>
      <w:r>
        <w:t xml:space="preserve"> means — </w:t>
      </w:r>
    </w:p>
    <w:p>
      <w:pPr>
        <w:pStyle w:val="Defpara"/>
      </w:pPr>
      <w:r>
        <w:tab/>
        <w:t>(a)</w:t>
      </w:r>
      <w:r>
        <w:tab/>
        <w:t xml:space="preserve">the </w:t>
      </w:r>
      <w:r>
        <w:rPr>
          <w:i/>
        </w:rPr>
        <w:t>Forest Regulations 1957</w:t>
      </w:r>
      <w:r>
        <w:t xml:space="preserve"> repealed by regulation 153(1); or</w:t>
      </w:r>
    </w:p>
    <w:p>
      <w:pPr>
        <w:pStyle w:val="Defpara"/>
      </w:pPr>
      <w:r>
        <w:tab/>
        <w:t>(b)</w:t>
      </w:r>
      <w:r>
        <w:tab/>
        <w:t xml:space="preserve">the </w:t>
      </w:r>
      <w:r>
        <w:rPr>
          <w:i/>
        </w:rPr>
        <w:t xml:space="preserve">Forest Diseases Regulations 1975 </w:t>
      </w:r>
      <w:r>
        <w:t xml:space="preserve">repealed by regulation 153(2); </w:t>
      </w:r>
    </w:p>
    <w:p>
      <w:pPr>
        <w:pStyle w:val="Defstart"/>
      </w:pPr>
      <w:r>
        <w:tab/>
      </w:r>
      <w:r>
        <w:rPr>
          <w:rStyle w:val="CharDefText"/>
        </w:rPr>
        <w:t>sawmill</w:t>
      </w:r>
      <w:r>
        <w:t xml:space="preserve"> means a sawmill registered under the </w:t>
      </w:r>
      <w:r>
        <w:rPr>
          <w:i/>
        </w:rPr>
        <w:t>Timber Industry Regulation Act 1926</w:t>
      </w:r>
      <w:r>
        <w:t xml:space="preserve"> and includes any land or buildings in the vicinity of the sawmill that are used for the storage of log timber or for other purposes ancillary to the use of the sawmill;</w:t>
      </w:r>
    </w:p>
    <w:p>
      <w:pPr>
        <w:pStyle w:val="Defstart"/>
      </w:pPr>
      <w:r>
        <w:rPr>
          <w:b/>
        </w:rPr>
        <w:tab/>
      </w:r>
      <w:r>
        <w:rPr>
          <w:rStyle w:val="CharDefText"/>
        </w:rPr>
        <w:t>softwood</w:t>
      </w:r>
      <w:r>
        <w:t xml:space="preserve"> means timber of the class </w:t>
      </w:r>
      <w:r>
        <w:rPr>
          <w:i/>
        </w:rPr>
        <w:t>Coniferae</w:t>
      </w:r>
      <w:r>
        <w:t xml:space="preserve"> (Conifers);</w:t>
      </w:r>
    </w:p>
    <w:p>
      <w:pPr>
        <w:pStyle w:val="Defstart"/>
      </w:pPr>
      <w:r>
        <w:rPr>
          <w:b/>
        </w:rPr>
        <w:tab/>
      </w:r>
      <w:r>
        <w:rPr>
          <w:rStyle w:val="CharDefText"/>
        </w:rPr>
        <w:t>State forest</w:t>
      </w:r>
      <w:r>
        <w:t xml:space="preserve"> includes land to which section 131 of the Act applies;</w:t>
      </w:r>
    </w:p>
    <w:p>
      <w:pPr>
        <w:pStyle w:val="Defstart"/>
      </w:pPr>
      <w:r>
        <w:rPr>
          <w:b/>
        </w:rPr>
        <w:tab/>
      </w:r>
      <w:r>
        <w:rPr>
          <w:rStyle w:val="CharDefText"/>
        </w:rPr>
        <w:t>timber harvesting</w:t>
      </w:r>
      <w:r>
        <w:t xml:space="preserve"> means the felling, trimming, docking, splitting, debarking, extracting, sorting or loading of timber and includes the supervision of any of those activities;</w:t>
      </w:r>
    </w:p>
    <w:p>
      <w:pPr>
        <w:pStyle w:val="Defstart"/>
      </w:pPr>
      <w:r>
        <w:rPr>
          <w:b/>
        </w:rPr>
        <w:tab/>
      </w:r>
      <w:r>
        <w:rPr>
          <w:rStyle w:val="CharDefText"/>
        </w:rPr>
        <w:t>tree</w:t>
      </w:r>
      <w:r>
        <w:t xml:space="preserve"> includes a tree that is dead provided the tree is still standing;</w:t>
      </w:r>
    </w:p>
    <w:p>
      <w:pPr>
        <w:pStyle w:val="Defstart"/>
      </w:pPr>
      <w:r>
        <w:rPr>
          <w:b/>
        </w:rPr>
        <w:tab/>
      </w:r>
      <w:r>
        <w:rPr>
          <w:rStyle w:val="CharDefText"/>
        </w:rPr>
        <w:t>working day</w:t>
      </w:r>
      <w:r>
        <w:t xml:space="preserve"> means a day other than a Saturday, Sunday, public service holiday or a bank holiday or public holiday (either throughout the State or in the part of the State relevant to the event, act or thing concerned).</w:t>
      </w:r>
    </w:p>
    <w:p>
      <w:pPr>
        <w:pStyle w:val="Footnotesection"/>
      </w:pPr>
      <w:r>
        <w:tab/>
        <w:t xml:space="preserve">[Regulation 2 amended in Gazette 29 March 1996 p.1505; 21 April 1998 p.2113; 3 May 2002 p.2294.] </w:t>
      </w:r>
    </w:p>
    <w:p>
      <w:pPr>
        <w:pStyle w:val="Heading5"/>
        <w:rPr>
          <w:snapToGrid w:val="0"/>
        </w:rPr>
      </w:pPr>
      <w:bookmarkStart w:id="10" w:name="_Toc438372739"/>
      <w:bookmarkStart w:id="11" w:name="_Toc8187887"/>
      <w:bookmarkStart w:id="12" w:name="_Toc155067980"/>
      <w:r>
        <w:rPr>
          <w:rStyle w:val="CharSectno"/>
        </w:rPr>
        <w:t>3</w:t>
      </w:r>
      <w:r>
        <w:rPr>
          <w:snapToGrid w:val="0"/>
        </w:rPr>
        <w:t>.</w:t>
      </w:r>
      <w:r>
        <w:rPr>
          <w:snapToGrid w:val="0"/>
        </w:rPr>
        <w:tab/>
        <w:t xml:space="preserve">Limited application of regulations to persons exercising powers under </w:t>
      </w:r>
      <w:r>
        <w:rPr>
          <w:i/>
          <w:snapToGrid w:val="0"/>
        </w:rPr>
        <w:t>Bush Fires Act 1954</w:t>
      </w:r>
      <w:bookmarkEnd w:id="10"/>
      <w:bookmarkEnd w:id="11"/>
      <w:bookmarkEnd w:id="12"/>
      <w:r>
        <w:rPr>
          <w:snapToGrid w:val="0"/>
        </w:rPr>
        <w:t xml:space="preserve"> </w:t>
      </w:r>
    </w:p>
    <w:p>
      <w:pPr>
        <w:pStyle w:val="Subsection"/>
        <w:rPr>
          <w:snapToGrid w:val="0"/>
        </w:rPr>
      </w:pPr>
      <w:r>
        <w:rPr>
          <w:snapToGrid w:val="0"/>
        </w:rPr>
        <w:tab/>
      </w:r>
      <w:r>
        <w:rPr>
          <w:snapToGrid w:val="0"/>
        </w:rPr>
        <w:tab/>
        <w:t xml:space="preserve">These regulations, other than Part 16, do not apply to, or in relation to, a person exercising any power or performing any function or duty under the </w:t>
      </w:r>
      <w:r>
        <w:rPr>
          <w:i/>
          <w:snapToGrid w:val="0"/>
        </w:rPr>
        <w:t>Bush Fires Act 1954</w:t>
      </w:r>
      <w:r>
        <w:rPr>
          <w:snapToGrid w:val="0"/>
        </w:rPr>
        <w:t>.</w:t>
      </w:r>
    </w:p>
    <w:p>
      <w:pPr>
        <w:pStyle w:val="Heading2"/>
      </w:pPr>
      <w:bookmarkStart w:id="13" w:name="_Toc154984315"/>
      <w:bookmarkStart w:id="14" w:name="_Toc155067120"/>
      <w:bookmarkStart w:id="15" w:name="_Toc155067981"/>
      <w:r>
        <w:rPr>
          <w:rStyle w:val="CharPartNo"/>
        </w:rPr>
        <w:t>Part 2</w:t>
      </w:r>
      <w:r>
        <w:rPr>
          <w:rStyle w:val="CharDivNo"/>
        </w:rPr>
        <w:t> </w:t>
      </w:r>
      <w:r>
        <w:t>—</w:t>
      </w:r>
      <w:r>
        <w:rPr>
          <w:rStyle w:val="CharDivText"/>
        </w:rPr>
        <w:t> </w:t>
      </w:r>
      <w:r>
        <w:rPr>
          <w:rStyle w:val="CharPartText"/>
        </w:rPr>
        <w:t>Registration of timber workers</w:t>
      </w:r>
      <w:bookmarkEnd w:id="13"/>
      <w:bookmarkEnd w:id="14"/>
      <w:bookmarkEnd w:id="15"/>
      <w:r>
        <w:rPr>
          <w:rStyle w:val="CharPartText"/>
        </w:rPr>
        <w:t xml:space="preserve"> </w:t>
      </w:r>
    </w:p>
    <w:p>
      <w:pPr>
        <w:pStyle w:val="Heading5"/>
        <w:rPr>
          <w:snapToGrid w:val="0"/>
        </w:rPr>
      </w:pPr>
      <w:bookmarkStart w:id="16" w:name="_Toc438372740"/>
      <w:bookmarkStart w:id="17" w:name="_Toc8187888"/>
      <w:bookmarkStart w:id="18" w:name="_Toc155067982"/>
      <w:r>
        <w:rPr>
          <w:rStyle w:val="CharSectno"/>
        </w:rPr>
        <w:t>4</w:t>
      </w:r>
      <w:r>
        <w:rPr>
          <w:snapToGrid w:val="0"/>
        </w:rPr>
        <w:t>.</w:t>
      </w:r>
      <w:r>
        <w:rPr>
          <w:snapToGrid w:val="0"/>
        </w:rPr>
        <w:tab/>
        <w:t>Interpretation</w:t>
      </w:r>
      <w:bookmarkEnd w:id="16"/>
      <w:bookmarkEnd w:id="17"/>
      <w:bookmarkEnd w:id="18"/>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certificate of registration</w:t>
      </w:r>
      <w:r>
        <w:t xml:space="preserve"> means a certificate of registration issued under regulation 13;</w:t>
      </w:r>
    </w:p>
    <w:p>
      <w:pPr>
        <w:pStyle w:val="Defstart"/>
      </w:pPr>
      <w:r>
        <w:rPr>
          <w:b/>
        </w:rPr>
        <w:tab/>
      </w:r>
      <w:r>
        <w:rPr>
          <w:rStyle w:val="CharDefText"/>
        </w:rPr>
        <w:t>registration</w:t>
      </w:r>
      <w:r>
        <w:t xml:space="preserve"> means registration under this Part as a timber worker.</w:t>
      </w:r>
    </w:p>
    <w:p>
      <w:pPr>
        <w:pStyle w:val="Heading5"/>
        <w:rPr>
          <w:snapToGrid w:val="0"/>
        </w:rPr>
      </w:pPr>
      <w:bookmarkStart w:id="19" w:name="_Toc438372741"/>
      <w:bookmarkStart w:id="20" w:name="_Toc8187889"/>
      <w:bookmarkStart w:id="21" w:name="_Toc155067983"/>
      <w:r>
        <w:rPr>
          <w:rStyle w:val="CharSectno"/>
        </w:rPr>
        <w:t>5</w:t>
      </w:r>
      <w:r>
        <w:rPr>
          <w:snapToGrid w:val="0"/>
        </w:rPr>
        <w:t>.</w:t>
      </w:r>
      <w:r>
        <w:rPr>
          <w:snapToGrid w:val="0"/>
        </w:rPr>
        <w:tab/>
        <w:t>Unregistered person not to engage in timber harvesting etc.</w:t>
      </w:r>
      <w:bookmarkEnd w:id="19"/>
      <w:bookmarkEnd w:id="20"/>
      <w:bookmarkEnd w:id="21"/>
      <w:r>
        <w:rPr>
          <w:snapToGrid w:val="0"/>
        </w:rPr>
        <w:t xml:space="preserve"> </w:t>
      </w:r>
    </w:p>
    <w:p>
      <w:pPr>
        <w:pStyle w:val="Subsection"/>
        <w:rPr>
          <w:snapToGrid w:val="0"/>
        </w:rPr>
      </w:pPr>
      <w:r>
        <w:rPr>
          <w:snapToGrid w:val="0"/>
        </w:rPr>
        <w:tab/>
      </w:r>
      <w:r>
        <w:rPr>
          <w:snapToGrid w:val="0"/>
        </w:rPr>
        <w:tab/>
        <w:t>Except as provided in regulation 7, a person shall not engage — </w:t>
      </w:r>
    </w:p>
    <w:p>
      <w:pPr>
        <w:pStyle w:val="Indenta"/>
        <w:rPr>
          <w:snapToGrid w:val="0"/>
        </w:rPr>
      </w:pPr>
      <w:r>
        <w:rPr>
          <w:snapToGrid w:val="0"/>
        </w:rPr>
        <w:tab/>
        <w:t>(a)</w:t>
      </w:r>
      <w:r>
        <w:rPr>
          <w:snapToGrid w:val="0"/>
        </w:rPr>
        <w:tab/>
        <w:t>in timber harvesting in a State forest or timber reserve; or</w:t>
      </w:r>
    </w:p>
    <w:p>
      <w:pPr>
        <w:pStyle w:val="Indenta"/>
        <w:rPr>
          <w:snapToGrid w:val="0"/>
        </w:rPr>
      </w:pPr>
      <w:r>
        <w:rPr>
          <w:snapToGrid w:val="0"/>
        </w:rPr>
        <w:tab/>
        <w:t>(b)</w:t>
      </w:r>
      <w:r>
        <w:rPr>
          <w:snapToGrid w:val="0"/>
        </w:rPr>
        <w:tab/>
        <w:t>in the transport of log timber harvested in a State forest or timber reserve,</w:t>
      </w:r>
    </w:p>
    <w:p>
      <w:pPr>
        <w:pStyle w:val="Subsection"/>
        <w:rPr>
          <w:snapToGrid w:val="0"/>
        </w:rPr>
      </w:pPr>
      <w:r>
        <w:rPr>
          <w:snapToGrid w:val="0"/>
        </w:rPr>
        <w:tab/>
      </w:r>
      <w:r>
        <w:rPr>
          <w:snapToGrid w:val="0"/>
        </w:rPr>
        <w:tab/>
        <w:t>unless that person is registered under this Part as a timber worker.</w:t>
      </w:r>
    </w:p>
    <w:p>
      <w:pPr>
        <w:pStyle w:val="Penstart"/>
        <w:rPr>
          <w:snapToGrid w:val="0"/>
        </w:rPr>
      </w:pPr>
      <w:r>
        <w:rPr>
          <w:snapToGrid w:val="0"/>
        </w:rPr>
        <w:tab/>
        <w:t>Penalty: $2 000.</w:t>
      </w:r>
    </w:p>
    <w:p>
      <w:pPr>
        <w:pStyle w:val="Heading5"/>
        <w:rPr>
          <w:snapToGrid w:val="0"/>
        </w:rPr>
      </w:pPr>
      <w:bookmarkStart w:id="22" w:name="_Toc438372742"/>
      <w:bookmarkStart w:id="23" w:name="_Toc8187890"/>
      <w:bookmarkStart w:id="24" w:name="_Toc155067984"/>
      <w:r>
        <w:rPr>
          <w:rStyle w:val="CharSectno"/>
        </w:rPr>
        <w:t>6</w:t>
      </w:r>
      <w:r>
        <w:rPr>
          <w:snapToGrid w:val="0"/>
        </w:rPr>
        <w:t>.</w:t>
      </w:r>
      <w:r>
        <w:rPr>
          <w:snapToGrid w:val="0"/>
        </w:rPr>
        <w:tab/>
        <w:t>Person not to employ unregistered person to engage in timber harvesting etc.</w:t>
      </w:r>
      <w:bookmarkEnd w:id="22"/>
      <w:bookmarkEnd w:id="23"/>
      <w:bookmarkEnd w:id="24"/>
      <w:r>
        <w:rPr>
          <w:snapToGrid w:val="0"/>
        </w:rPr>
        <w:t xml:space="preserve"> </w:t>
      </w:r>
    </w:p>
    <w:p>
      <w:pPr>
        <w:pStyle w:val="Subsection"/>
        <w:rPr>
          <w:snapToGrid w:val="0"/>
        </w:rPr>
      </w:pPr>
      <w:r>
        <w:rPr>
          <w:snapToGrid w:val="0"/>
        </w:rPr>
        <w:tab/>
      </w:r>
      <w:r>
        <w:rPr>
          <w:snapToGrid w:val="0"/>
        </w:rPr>
        <w:tab/>
        <w:t>Except as provided in regulation 7, a person shall not employ or remunerate a person to engage — </w:t>
      </w:r>
    </w:p>
    <w:p>
      <w:pPr>
        <w:pStyle w:val="Indenta"/>
        <w:rPr>
          <w:snapToGrid w:val="0"/>
        </w:rPr>
      </w:pPr>
      <w:r>
        <w:rPr>
          <w:snapToGrid w:val="0"/>
        </w:rPr>
        <w:tab/>
        <w:t>(a)</w:t>
      </w:r>
      <w:r>
        <w:rPr>
          <w:snapToGrid w:val="0"/>
        </w:rPr>
        <w:tab/>
        <w:t>in timber harvesting in a State forest or timber reserve; or</w:t>
      </w:r>
    </w:p>
    <w:p>
      <w:pPr>
        <w:pStyle w:val="Indenta"/>
        <w:rPr>
          <w:snapToGrid w:val="0"/>
        </w:rPr>
      </w:pPr>
      <w:r>
        <w:rPr>
          <w:snapToGrid w:val="0"/>
        </w:rPr>
        <w:tab/>
        <w:t>(b)</w:t>
      </w:r>
      <w:r>
        <w:rPr>
          <w:snapToGrid w:val="0"/>
        </w:rPr>
        <w:tab/>
        <w:t>in the transport of log timber harvested in a State forest or timber reserve,</w:t>
      </w:r>
    </w:p>
    <w:p>
      <w:pPr>
        <w:pStyle w:val="Subsection"/>
        <w:rPr>
          <w:snapToGrid w:val="0"/>
        </w:rPr>
      </w:pPr>
      <w:r>
        <w:rPr>
          <w:snapToGrid w:val="0"/>
        </w:rPr>
        <w:tab/>
      </w:r>
      <w:r>
        <w:rPr>
          <w:snapToGrid w:val="0"/>
        </w:rPr>
        <w:tab/>
        <w:t>unless the second</w:t>
      </w:r>
      <w:r>
        <w:rPr>
          <w:snapToGrid w:val="0"/>
        </w:rPr>
        <w:noBreakHyphen/>
        <w:t>mentioned person is registered under this Part as a timber worker.</w:t>
      </w:r>
    </w:p>
    <w:p>
      <w:pPr>
        <w:pStyle w:val="Penstart"/>
        <w:rPr>
          <w:snapToGrid w:val="0"/>
        </w:rPr>
      </w:pPr>
      <w:r>
        <w:rPr>
          <w:snapToGrid w:val="0"/>
        </w:rPr>
        <w:tab/>
        <w:t>Penalty: $2 000.</w:t>
      </w:r>
    </w:p>
    <w:p>
      <w:pPr>
        <w:pStyle w:val="Heading5"/>
        <w:rPr>
          <w:snapToGrid w:val="0"/>
        </w:rPr>
      </w:pPr>
      <w:bookmarkStart w:id="25" w:name="_Toc438372743"/>
      <w:bookmarkStart w:id="26" w:name="_Toc8187891"/>
      <w:bookmarkStart w:id="27" w:name="_Toc155067985"/>
      <w:r>
        <w:rPr>
          <w:rStyle w:val="CharSectno"/>
        </w:rPr>
        <w:t>7</w:t>
      </w:r>
      <w:r>
        <w:rPr>
          <w:snapToGrid w:val="0"/>
        </w:rPr>
        <w:t>.</w:t>
      </w:r>
      <w:r>
        <w:rPr>
          <w:snapToGrid w:val="0"/>
        </w:rPr>
        <w:tab/>
        <w:t>Exceptions</w:t>
      </w:r>
      <w:bookmarkEnd w:id="25"/>
      <w:bookmarkEnd w:id="26"/>
      <w:bookmarkEnd w:id="27"/>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takes forest produce from a State forest or timber reserve pursuant to a forest produce licence;</w:t>
      </w:r>
    </w:p>
    <w:p>
      <w:pPr>
        <w:pStyle w:val="Indenta"/>
        <w:rPr>
          <w:snapToGrid w:val="0"/>
        </w:rPr>
      </w:pPr>
      <w:r>
        <w:rPr>
          <w:snapToGrid w:val="0"/>
        </w:rPr>
        <w:tab/>
        <w:t>(b)</w:t>
      </w:r>
      <w:r>
        <w:rPr>
          <w:snapToGrid w:val="0"/>
        </w:rPr>
        <w:tab/>
        <w:t>removes firewood from a State forest or timber reserve in accordance with Part 15; or</w:t>
      </w:r>
    </w:p>
    <w:p>
      <w:pPr>
        <w:pStyle w:val="Indenta"/>
        <w:rPr>
          <w:snapToGrid w:val="0"/>
        </w:rPr>
      </w:pPr>
      <w:r>
        <w:rPr>
          <w:snapToGrid w:val="0"/>
        </w:rPr>
        <w:tab/>
        <w:t>(c)</w:t>
      </w:r>
      <w:r>
        <w:rPr>
          <w:snapToGrid w:val="0"/>
        </w:rPr>
        <w:tab/>
        <w:t>transports forest produce referred to in paragraph (a) or firewood referred to in paragraph (b),</w:t>
      </w:r>
    </w:p>
    <w:p>
      <w:pPr>
        <w:pStyle w:val="Subsection"/>
        <w:rPr>
          <w:snapToGrid w:val="0"/>
        </w:rPr>
      </w:pPr>
      <w:r>
        <w:rPr>
          <w:snapToGrid w:val="0"/>
        </w:rPr>
        <w:tab/>
      </w:r>
      <w:r>
        <w:rPr>
          <w:snapToGrid w:val="0"/>
        </w:rPr>
        <w:tab/>
        <w:t>is not, by reason only of that activity, required to be registered under this Part as a timber worker.</w:t>
      </w:r>
    </w:p>
    <w:p>
      <w:pPr>
        <w:pStyle w:val="Heading5"/>
        <w:rPr>
          <w:snapToGrid w:val="0"/>
        </w:rPr>
      </w:pPr>
      <w:bookmarkStart w:id="28" w:name="_Toc438372744"/>
      <w:bookmarkStart w:id="29" w:name="_Toc8187892"/>
      <w:bookmarkStart w:id="30" w:name="_Toc155067986"/>
      <w:r>
        <w:rPr>
          <w:rStyle w:val="CharSectno"/>
        </w:rPr>
        <w:t>8</w:t>
      </w:r>
      <w:r>
        <w:rPr>
          <w:snapToGrid w:val="0"/>
        </w:rPr>
        <w:t>.</w:t>
      </w:r>
      <w:r>
        <w:rPr>
          <w:snapToGrid w:val="0"/>
        </w:rPr>
        <w:tab/>
        <w:t>Application for registration</w:t>
      </w:r>
      <w:bookmarkEnd w:id="28"/>
      <w:bookmarkEnd w:id="29"/>
      <w:bookmarkEnd w:id="30"/>
      <w:r>
        <w:rPr>
          <w:snapToGrid w:val="0"/>
        </w:rPr>
        <w:t xml:space="preserve"> </w:t>
      </w:r>
    </w:p>
    <w:p>
      <w:pPr>
        <w:pStyle w:val="Subsection"/>
        <w:rPr>
          <w:snapToGrid w:val="0"/>
        </w:rPr>
      </w:pPr>
      <w:r>
        <w:rPr>
          <w:snapToGrid w:val="0"/>
        </w:rPr>
        <w:tab/>
        <w:t>(1)</w:t>
      </w:r>
      <w:r>
        <w:rPr>
          <w:snapToGrid w:val="0"/>
        </w:rPr>
        <w:tab/>
        <w:t>An application for registration shall — </w:t>
      </w:r>
    </w:p>
    <w:p>
      <w:pPr>
        <w:pStyle w:val="Indenta"/>
        <w:rPr>
          <w:snapToGrid w:val="0"/>
        </w:rPr>
      </w:pPr>
      <w:r>
        <w:rPr>
          <w:snapToGrid w:val="0"/>
        </w:rPr>
        <w:tab/>
        <w:t>(a)</w:t>
      </w:r>
      <w:r>
        <w:rPr>
          <w:snapToGrid w:val="0"/>
        </w:rPr>
        <w:tab/>
        <w:t>be made to the Executive Director in a form approved by the Executive Director; and</w:t>
      </w:r>
    </w:p>
    <w:p>
      <w:pPr>
        <w:pStyle w:val="Indenta"/>
        <w:rPr>
          <w:snapToGrid w:val="0"/>
        </w:rPr>
      </w:pPr>
      <w:r>
        <w:rPr>
          <w:snapToGrid w:val="0"/>
        </w:rPr>
        <w:tab/>
        <w:t>(b)</w:t>
      </w:r>
      <w:r>
        <w:rPr>
          <w:snapToGrid w:val="0"/>
        </w:rPr>
        <w:tab/>
        <w:t>be accompanied by documentary evidence of any qualification held by the applicant that relates to timber harvesting or the transport of timber.</w:t>
      </w:r>
    </w:p>
    <w:p>
      <w:pPr>
        <w:pStyle w:val="Subsection"/>
        <w:rPr>
          <w:snapToGrid w:val="0"/>
        </w:rPr>
      </w:pPr>
      <w:r>
        <w:rPr>
          <w:snapToGrid w:val="0"/>
        </w:rPr>
        <w:tab/>
        <w:t>(2)</w:t>
      </w:r>
      <w:r>
        <w:rPr>
          <w:snapToGrid w:val="0"/>
        </w:rPr>
        <w:tab/>
        <w:t>The applicant shall provide the Executive Director with such further information as the Executive Director requires in any particular case.</w:t>
      </w:r>
    </w:p>
    <w:p>
      <w:pPr>
        <w:pStyle w:val="Subsection"/>
        <w:rPr>
          <w:snapToGrid w:val="0"/>
        </w:rPr>
      </w:pPr>
      <w:r>
        <w:rPr>
          <w:snapToGrid w:val="0"/>
        </w:rPr>
        <w:tab/>
        <w:t>(3)</w:t>
      </w:r>
      <w:r>
        <w:rPr>
          <w:snapToGrid w:val="0"/>
        </w:rPr>
        <w:tab/>
        <w:t>An application for registration may be delivered to — </w:t>
      </w:r>
    </w:p>
    <w:p>
      <w:pPr>
        <w:pStyle w:val="Indenta"/>
        <w:rPr>
          <w:snapToGrid w:val="0"/>
        </w:rPr>
      </w:pPr>
      <w:r>
        <w:rPr>
          <w:snapToGrid w:val="0"/>
        </w:rPr>
        <w:tab/>
        <w:t>(a)</w:t>
      </w:r>
      <w:r>
        <w:rPr>
          <w:snapToGrid w:val="0"/>
        </w:rPr>
        <w:tab/>
        <w:t>the Executive Director; or</w:t>
      </w:r>
    </w:p>
    <w:p>
      <w:pPr>
        <w:pStyle w:val="Indenta"/>
        <w:rPr>
          <w:snapToGrid w:val="0"/>
        </w:rPr>
      </w:pPr>
      <w:r>
        <w:rPr>
          <w:snapToGrid w:val="0"/>
        </w:rPr>
        <w:tab/>
        <w:t>(b)</w:t>
      </w:r>
      <w:r>
        <w:rPr>
          <w:snapToGrid w:val="0"/>
        </w:rPr>
        <w:tab/>
        <w:t>the forest officer in charge of a district in which the applicant intends to work.</w:t>
      </w:r>
    </w:p>
    <w:p>
      <w:pPr>
        <w:pStyle w:val="Heading5"/>
        <w:rPr>
          <w:snapToGrid w:val="0"/>
        </w:rPr>
      </w:pPr>
      <w:bookmarkStart w:id="31" w:name="_Toc438372745"/>
      <w:bookmarkStart w:id="32" w:name="_Toc8187893"/>
      <w:bookmarkStart w:id="33" w:name="_Toc155067987"/>
      <w:r>
        <w:rPr>
          <w:rStyle w:val="CharSectno"/>
        </w:rPr>
        <w:t>9</w:t>
      </w:r>
      <w:r>
        <w:rPr>
          <w:snapToGrid w:val="0"/>
        </w:rPr>
        <w:t>.</w:t>
      </w:r>
      <w:r>
        <w:rPr>
          <w:snapToGrid w:val="0"/>
        </w:rPr>
        <w:tab/>
        <w:t>Registration</w:t>
      </w:r>
      <w:bookmarkEnd w:id="31"/>
      <w:bookmarkEnd w:id="32"/>
      <w:bookmarkEnd w:id="33"/>
      <w:r>
        <w:rPr>
          <w:snapToGrid w:val="0"/>
        </w:rPr>
        <w:t xml:space="preserve"> </w:t>
      </w:r>
    </w:p>
    <w:p>
      <w:pPr>
        <w:pStyle w:val="Subsection"/>
        <w:rPr>
          <w:snapToGrid w:val="0"/>
        </w:rPr>
      </w:pPr>
      <w:r>
        <w:rPr>
          <w:snapToGrid w:val="0"/>
        </w:rPr>
        <w:tab/>
        <w:t>(1)</w:t>
      </w:r>
      <w:r>
        <w:rPr>
          <w:snapToGrid w:val="0"/>
        </w:rPr>
        <w:tab/>
        <w:t>Subject to subregulations (2) and (3), the Executive Director shall, on payment of the fee specified in item 1 of Schedule 5, register the applicant under this Part as a timber worker.</w:t>
      </w:r>
    </w:p>
    <w:p>
      <w:pPr>
        <w:pStyle w:val="Subsection"/>
        <w:rPr>
          <w:snapToGrid w:val="0"/>
        </w:rPr>
      </w:pPr>
      <w:r>
        <w:rPr>
          <w:snapToGrid w:val="0"/>
        </w:rPr>
        <w:tab/>
        <w:t>(2)</w:t>
      </w:r>
      <w:r>
        <w:rPr>
          <w:snapToGrid w:val="0"/>
        </w:rPr>
        <w:tab/>
        <w:t>The Executive Director may refuse an application for registration on the grounds that — </w:t>
      </w:r>
    </w:p>
    <w:p>
      <w:pPr>
        <w:pStyle w:val="Indenta"/>
        <w:rPr>
          <w:snapToGrid w:val="0"/>
        </w:rPr>
      </w:pPr>
      <w:r>
        <w:rPr>
          <w:snapToGrid w:val="0"/>
        </w:rPr>
        <w:tab/>
        <w:t>(a)</w:t>
      </w:r>
      <w:r>
        <w:rPr>
          <w:snapToGrid w:val="0"/>
        </w:rPr>
        <w:tab/>
        <w:t>the applicant has been convicted of an offence against the Act, the repealed Act, these regulations or the repealed regulations;</w:t>
      </w:r>
    </w:p>
    <w:p>
      <w:pPr>
        <w:pStyle w:val="Indenta"/>
        <w:rPr>
          <w:snapToGrid w:val="0"/>
        </w:rPr>
      </w:pPr>
      <w:r>
        <w:rPr>
          <w:snapToGrid w:val="0"/>
        </w:rPr>
        <w:tab/>
        <w:t>(b)</w:t>
      </w:r>
      <w:r>
        <w:rPr>
          <w:snapToGrid w:val="0"/>
        </w:rPr>
        <w:tab/>
        <w:t>the applicant’s registration is suspended or, the applicant has previously been registered as a timber worker under these regulations and the Executive Director cancelled or refused to renew that registration under regulation 17;</w:t>
      </w:r>
    </w:p>
    <w:p>
      <w:pPr>
        <w:pStyle w:val="Indenta"/>
        <w:rPr>
          <w:snapToGrid w:val="0"/>
        </w:rPr>
      </w:pPr>
      <w:r>
        <w:rPr>
          <w:snapToGrid w:val="0"/>
        </w:rPr>
        <w:tab/>
        <w:t>(c)</w:t>
      </w:r>
      <w:r>
        <w:rPr>
          <w:snapToGrid w:val="0"/>
        </w:rPr>
        <w:tab/>
        <w:t>the applicant has been convicted of an offence, other than an offence referred to in paragraph (a), that relates to timber harvesting or the transport of timber;</w:t>
      </w:r>
    </w:p>
    <w:p>
      <w:pPr>
        <w:pStyle w:val="Indenta"/>
        <w:rPr>
          <w:snapToGrid w:val="0"/>
        </w:rPr>
      </w:pPr>
      <w:r>
        <w:rPr>
          <w:snapToGrid w:val="0"/>
        </w:rPr>
        <w:tab/>
        <w:t>(d)</w:t>
      </w:r>
      <w:r>
        <w:rPr>
          <w:snapToGrid w:val="0"/>
        </w:rPr>
        <w:tab/>
        <w:t>the application contains or is accompanied by information that is false or misleading in a material particular.</w:t>
      </w:r>
    </w:p>
    <w:p>
      <w:pPr>
        <w:pStyle w:val="Subsection"/>
        <w:rPr>
          <w:snapToGrid w:val="0"/>
        </w:rPr>
      </w:pPr>
      <w:r>
        <w:rPr>
          <w:snapToGrid w:val="0"/>
        </w:rPr>
        <w:tab/>
        <w:t>(3)</w:t>
      </w:r>
      <w:r>
        <w:rPr>
          <w:snapToGrid w:val="0"/>
        </w:rPr>
        <w:tab/>
        <w:t>The Executive Director shall not register a person other than a natural person as a timber worker under this Part.</w:t>
      </w:r>
    </w:p>
    <w:p>
      <w:pPr>
        <w:pStyle w:val="Heading5"/>
        <w:rPr>
          <w:snapToGrid w:val="0"/>
        </w:rPr>
      </w:pPr>
      <w:bookmarkStart w:id="34" w:name="_Toc438372746"/>
      <w:bookmarkStart w:id="35" w:name="_Toc8187894"/>
      <w:bookmarkStart w:id="36" w:name="_Toc155067988"/>
      <w:r>
        <w:rPr>
          <w:rStyle w:val="CharSectno"/>
        </w:rPr>
        <w:t>10</w:t>
      </w:r>
      <w:r>
        <w:rPr>
          <w:snapToGrid w:val="0"/>
        </w:rPr>
        <w:t>.</w:t>
      </w:r>
      <w:r>
        <w:rPr>
          <w:snapToGrid w:val="0"/>
        </w:rPr>
        <w:tab/>
        <w:t>Duration of registration</w:t>
      </w:r>
      <w:bookmarkEnd w:id="34"/>
      <w:bookmarkEnd w:id="35"/>
      <w:bookmarkEnd w:id="36"/>
      <w:r>
        <w:rPr>
          <w:snapToGrid w:val="0"/>
        </w:rPr>
        <w:t xml:space="preserve"> </w:t>
      </w:r>
    </w:p>
    <w:p>
      <w:pPr>
        <w:pStyle w:val="Subsection"/>
        <w:rPr>
          <w:snapToGrid w:val="0"/>
        </w:rPr>
      </w:pPr>
      <w:r>
        <w:rPr>
          <w:snapToGrid w:val="0"/>
        </w:rPr>
        <w:tab/>
      </w:r>
      <w:r>
        <w:rPr>
          <w:snapToGrid w:val="0"/>
        </w:rPr>
        <w:tab/>
        <w:t>Subject to these regulations, registration is valid for a period of 3 years from the day on which registration is effected.</w:t>
      </w:r>
    </w:p>
    <w:p>
      <w:pPr>
        <w:pStyle w:val="Footnotesection"/>
      </w:pPr>
      <w:r>
        <w:tab/>
        <w:t>[Regulation 10 amended in Gazette 28 April 1995 p.1459.]</w:t>
      </w:r>
    </w:p>
    <w:p>
      <w:pPr>
        <w:pStyle w:val="Heading5"/>
        <w:rPr>
          <w:snapToGrid w:val="0"/>
        </w:rPr>
      </w:pPr>
      <w:bookmarkStart w:id="37" w:name="_Toc438372747"/>
      <w:bookmarkStart w:id="38" w:name="_Toc8187895"/>
      <w:bookmarkStart w:id="39" w:name="_Toc155067989"/>
      <w:r>
        <w:rPr>
          <w:rStyle w:val="CharSectno"/>
        </w:rPr>
        <w:t>11</w:t>
      </w:r>
      <w:r>
        <w:rPr>
          <w:snapToGrid w:val="0"/>
        </w:rPr>
        <w:t>.</w:t>
      </w:r>
      <w:r>
        <w:rPr>
          <w:snapToGrid w:val="0"/>
        </w:rPr>
        <w:tab/>
        <w:t>Renewal of registration</w:t>
      </w:r>
      <w:bookmarkEnd w:id="37"/>
      <w:bookmarkEnd w:id="38"/>
      <w:bookmarkEnd w:id="39"/>
      <w:r>
        <w:rPr>
          <w:snapToGrid w:val="0"/>
        </w:rPr>
        <w:t xml:space="preserve"> </w:t>
      </w:r>
    </w:p>
    <w:p>
      <w:pPr>
        <w:pStyle w:val="Subsection"/>
        <w:rPr>
          <w:snapToGrid w:val="0"/>
        </w:rPr>
      </w:pPr>
      <w:r>
        <w:rPr>
          <w:snapToGrid w:val="0"/>
        </w:rPr>
        <w:tab/>
      </w:r>
      <w:r>
        <w:rPr>
          <w:snapToGrid w:val="0"/>
        </w:rPr>
        <w:tab/>
        <w:t>Subject to regulation 17, the Executive Director may, on payment of the fee specified in item 2 of Schedule 5, renew the registration of any person for a further period of 3 years.</w:t>
      </w:r>
    </w:p>
    <w:p>
      <w:pPr>
        <w:pStyle w:val="Footnotesection"/>
      </w:pPr>
      <w:r>
        <w:tab/>
        <w:t>[Regulation 11 amended in Gazette 28 April 1995 p.1460.]</w:t>
      </w:r>
    </w:p>
    <w:p>
      <w:pPr>
        <w:pStyle w:val="Heading5"/>
        <w:rPr>
          <w:snapToGrid w:val="0"/>
        </w:rPr>
      </w:pPr>
      <w:bookmarkStart w:id="40" w:name="_Toc438372748"/>
      <w:bookmarkStart w:id="41" w:name="_Toc8187896"/>
      <w:bookmarkStart w:id="42" w:name="_Toc155067990"/>
      <w:r>
        <w:rPr>
          <w:rStyle w:val="CharSectno"/>
        </w:rPr>
        <w:t>12</w:t>
      </w:r>
      <w:r>
        <w:rPr>
          <w:snapToGrid w:val="0"/>
        </w:rPr>
        <w:t>.</w:t>
      </w:r>
      <w:r>
        <w:rPr>
          <w:snapToGrid w:val="0"/>
        </w:rPr>
        <w:tab/>
        <w:t>Conditions</w:t>
      </w:r>
      <w:bookmarkEnd w:id="40"/>
      <w:bookmarkEnd w:id="41"/>
      <w:bookmarkEnd w:id="42"/>
      <w:r>
        <w:rPr>
          <w:snapToGrid w:val="0"/>
        </w:rPr>
        <w:t xml:space="preserve"> </w:t>
      </w:r>
    </w:p>
    <w:p>
      <w:pPr>
        <w:pStyle w:val="Subsection"/>
        <w:rPr>
          <w:snapToGrid w:val="0"/>
        </w:rPr>
      </w:pPr>
      <w:r>
        <w:rPr>
          <w:snapToGrid w:val="0"/>
        </w:rPr>
        <w:tab/>
        <w:t>(1)</w:t>
      </w:r>
      <w:r>
        <w:rPr>
          <w:snapToGrid w:val="0"/>
        </w:rPr>
        <w:tab/>
        <w:t>The Executive Director may impose such conditions or restrictions upon the grant or renewal of registration as the Executive Director thinks fit, and may at any time by notice in writing vary or add to any such conditions or restrictions.</w:t>
      </w:r>
    </w:p>
    <w:p>
      <w:pPr>
        <w:pStyle w:val="Subsection"/>
        <w:rPr>
          <w:snapToGrid w:val="0"/>
        </w:rPr>
      </w:pPr>
      <w:r>
        <w:rPr>
          <w:snapToGrid w:val="0"/>
        </w:rPr>
        <w:tab/>
        <w:t>(2)</w:t>
      </w:r>
      <w:r>
        <w:rPr>
          <w:snapToGrid w:val="0"/>
        </w:rPr>
        <w:tab/>
        <w:t>Without limiting subregulation (1), a condition or restriction imposed under that subregulation may limit the type of work that a person may perform in a State forest or timber reserve.</w:t>
      </w:r>
    </w:p>
    <w:p>
      <w:pPr>
        <w:pStyle w:val="Subsection"/>
        <w:rPr>
          <w:snapToGrid w:val="0"/>
        </w:rPr>
      </w:pPr>
      <w:r>
        <w:rPr>
          <w:snapToGrid w:val="0"/>
        </w:rPr>
        <w:tab/>
        <w:t>(3)</w:t>
      </w:r>
      <w:r>
        <w:rPr>
          <w:snapToGrid w:val="0"/>
        </w:rPr>
        <w:tab/>
        <w:t>A person who is registered under this Part as a timber worker shall not contravene a condition or restriction imposed in relation to that registration under subregulation (1).</w:t>
      </w:r>
    </w:p>
    <w:p>
      <w:pPr>
        <w:pStyle w:val="Penstart"/>
        <w:rPr>
          <w:snapToGrid w:val="0"/>
        </w:rPr>
      </w:pPr>
      <w:r>
        <w:rPr>
          <w:snapToGrid w:val="0"/>
        </w:rPr>
        <w:tab/>
        <w:t>Penalty: $2 000.</w:t>
      </w:r>
    </w:p>
    <w:p>
      <w:pPr>
        <w:pStyle w:val="Heading5"/>
        <w:rPr>
          <w:snapToGrid w:val="0"/>
        </w:rPr>
      </w:pPr>
      <w:bookmarkStart w:id="43" w:name="_Toc438372749"/>
      <w:bookmarkStart w:id="44" w:name="_Toc8187897"/>
      <w:bookmarkStart w:id="45" w:name="_Toc155067991"/>
      <w:r>
        <w:rPr>
          <w:rStyle w:val="CharSectno"/>
        </w:rPr>
        <w:t>13</w:t>
      </w:r>
      <w:r>
        <w:rPr>
          <w:snapToGrid w:val="0"/>
        </w:rPr>
        <w:t>.</w:t>
      </w:r>
      <w:r>
        <w:rPr>
          <w:snapToGrid w:val="0"/>
        </w:rPr>
        <w:tab/>
        <w:t>Certificates of registration</w:t>
      </w:r>
      <w:bookmarkEnd w:id="43"/>
      <w:bookmarkEnd w:id="44"/>
      <w:bookmarkEnd w:id="45"/>
      <w:r>
        <w:rPr>
          <w:snapToGrid w:val="0"/>
        </w:rPr>
        <w:t xml:space="preserve"> </w:t>
      </w:r>
    </w:p>
    <w:p>
      <w:pPr>
        <w:pStyle w:val="Subsection"/>
        <w:rPr>
          <w:snapToGrid w:val="0"/>
        </w:rPr>
      </w:pPr>
      <w:r>
        <w:rPr>
          <w:snapToGrid w:val="0"/>
        </w:rPr>
        <w:tab/>
        <w:t>(1)</w:t>
      </w:r>
      <w:r>
        <w:rPr>
          <w:snapToGrid w:val="0"/>
        </w:rPr>
        <w:tab/>
        <w:t>The Executive Director shall on the grant or renewal of registration issue a certificate of registration to the applicant.</w:t>
      </w:r>
    </w:p>
    <w:p>
      <w:pPr>
        <w:pStyle w:val="Subsection"/>
        <w:rPr>
          <w:snapToGrid w:val="0"/>
        </w:rPr>
      </w:pPr>
      <w:r>
        <w:rPr>
          <w:snapToGrid w:val="0"/>
        </w:rPr>
        <w:tab/>
        <w:t>(2)</w:t>
      </w:r>
      <w:r>
        <w:rPr>
          <w:snapToGrid w:val="0"/>
        </w:rPr>
        <w:tab/>
        <w:t>The Executive Director shall endorse on the certificate of registration — </w:t>
      </w:r>
    </w:p>
    <w:p>
      <w:pPr>
        <w:pStyle w:val="Indenta"/>
        <w:rPr>
          <w:snapToGrid w:val="0"/>
        </w:rPr>
      </w:pPr>
      <w:r>
        <w:rPr>
          <w:snapToGrid w:val="0"/>
        </w:rPr>
        <w:tab/>
        <w:t>(a)</w:t>
      </w:r>
      <w:r>
        <w:rPr>
          <w:snapToGrid w:val="0"/>
        </w:rPr>
        <w:tab/>
        <w:t>the name and address of the person being registered;</w:t>
      </w:r>
    </w:p>
    <w:p>
      <w:pPr>
        <w:pStyle w:val="Indenta"/>
        <w:rPr>
          <w:snapToGrid w:val="0"/>
        </w:rPr>
      </w:pPr>
      <w:r>
        <w:rPr>
          <w:snapToGrid w:val="0"/>
        </w:rPr>
        <w:tab/>
        <w:t>(b)</w:t>
      </w:r>
      <w:r>
        <w:rPr>
          <w:snapToGrid w:val="0"/>
        </w:rPr>
        <w:tab/>
        <w:t>the name and address of the person’s employer (if any);</w:t>
      </w:r>
    </w:p>
    <w:p>
      <w:pPr>
        <w:pStyle w:val="Indenta"/>
        <w:rPr>
          <w:snapToGrid w:val="0"/>
        </w:rPr>
      </w:pPr>
      <w:r>
        <w:rPr>
          <w:snapToGrid w:val="0"/>
        </w:rPr>
        <w:tab/>
        <w:t>(c)</w:t>
      </w:r>
      <w:r>
        <w:rPr>
          <w:snapToGrid w:val="0"/>
        </w:rPr>
        <w:tab/>
        <w:t>any relevant qualifications held by the person;</w:t>
      </w:r>
    </w:p>
    <w:p>
      <w:pPr>
        <w:pStyle w:val="Indenta"/>
        <w:rPr>
          <w:snapToGrid w:val="0"/>
        </w:rPr>
      </w:pPr>
      <w:r>
        <w:rPr>
          <w:snapToGrid w:val="0"/>
        </w:rPr>
        <w:tab/>
        <w:t>(d)</w:t>
      </w:r>
      <w:r>
        <w:rPr>
          <w:snapToGrid w:val="0"/>
        </w:rPr>
        <w:tab/>
        <w:t>any conditions or restrictions imposed in relation to the registration;</w:t>
      </w:r>
    </w:p>
    <w:p>
      <w:pPr>
        <w:pStyle w:val="Indenta"/>
        <w:rPr>
          <w:snapToGrid w:val="0"/>
        </w:rPr>
      </w:pPr>
      <w:r>
        <w:rPr>
          <w:snapToGrid w:val="0"/>
        </w:rPr>
        <w:tab/>
        <w:t>(e)</w:t>
      </w:r>
      <w:r>
        <w:rPr>
          <w:snapToGrid w:val="0"/>
        </w:rPr>
        <w:tab/>
        <w:t>such other information as the Executive Director thinks fit.</w:t>
      </w:r>
    </w:p>
    <w:p>
      <w:pPr>
        <w:pStyle w:val="Heading5"/>
        <w:rPr>
          <w:snapToGrid w:val="0"/>
        </w:rPr>
      </w:pPr>
      <w:bookmarkStart w:id="46" w:name="_Toc438372750"/>
      <w:bookmarkStart w:id="47" w:name="_Toc8187898"/>
      <w:bookmarkStart w:id="48" w:name="_Toc155067992"/>
      <w:r>
        <w:rPr>
          <w:rStyle w:val="CharSectno"/>
        </w:rPr>
        <w:t>14</w:t>
      </w:r>
      <w:r>
        <w:rPr>
          <w:snapToGrid w:val="0"/>
        </w:rPr>
        <w:t>.</w:t>
      </w:r>
      <w:r>
        <w:rPr>
          <w:snapToGrid w:val="0"/>
        </w:rPr>
        <w:tab/>
        <w:t>Register</w:t>
      </w:r>
      <w:bookmarkEnd w:id="46"/>
      <w:bookmarkEnd w:id="47"/>
      <w:bookmarkEnd w:id="48"/>
      <w:r>
        <w:rPr>
          <w:snapToGrid w:val="0"/>
        </w:rPr>
        <w:t xml:space="preserve"> </w:t>
      </w:r>
    </w:p>
    <w:p>
      <w:pPr>
        <w:pStyle w:val="Subsection"/>
        <w:rPr>
          <w:snapToGrid w:val="0"/>
        </w:rPr>
      </w:pPr>
      <w:r>
        <w:rPr>
          <w:snapToGrid w:val="0"/>
        </w:rPr>
        <w:tab/>
      </w:r>
      <w:r>
        <w:rPr>
          <w:snapToGrid w:val="0"/>
        </w:rPr>
        <w:tab/>
        <w:t>The Executive Director shall cause to be compiled and maintained a register of all persons who are registered under this Part showing in respect of each person — </w:t>
      </w:r>
    </w:p>
    <w:p>
      <w:pPr>
        <w:pStyle w:val="Indenta"/>
        <w:rPr>
          <w:snapToGrid w:val="0"/>
        </w:rPr>
      </w:pPr>
      <w:r>
        <w:rPr>
          <w:snapToGrid w:val="0"/>
        </w:rPr>
        <w:tab/>
        <w:t>(a)</w:t>
      </w:r>
      <w:r>
        <w:rPr>
          <w:snapToGrid w:val="0"/>
        </w:rPr>
        <w:tab/>
        <w:t>the name and address of the person;</w:t>
      </w:r>
    </w:p>
    <w:p>
      <w:pPr>
        <w:pStyle w:val="Indenta"/>
        <w:rPr>
          <w:snapToGrid w:val="0"/>
        </w:rPr>
      </w:pPr>
      <w:r>
        <w:rPr>
          <w:snapToGrid w:val="0"/>
        </w:rPr>
        <w:tab/>
        <w:t>(b)</w:t>
      </w:r>
      <w:r>
        <w:rPr>
          <w:snapToGrid w:val="0"/>
        </w:rPr>
        <w:tab/>
        <w:t>the date of birth of the person;</w:t>
      </w:r>
    </w:p>
    <w:p>
      <w:pPr>
        <w:pStyle w:val="Indenta"/>
        <w:rPr>
          <w:snapToGrid w:val="0"/>
        </w:rPr>
      </w:pPr>
      <w:r>
        <w:rPr>
          <w:snapToGrid w:val="0"/>
        </w:rPr>
        <w:tab/>
        <w:t>(c)</w:t>
      </w:r>
      <w:r>
        <w:rPr>
          <w:snapToGrid w:val="0"/>
        </w:rPr>
        <w:tab/>
        <w:t>particulars of any relevant qualifications held by the person;</w:t>
      </w:r>
    </w:p>
    <w:p>
      <w:pPr>
        <w:pStyle w:val="Indenta"/>
        <w:rPr>
          <w:snapToGrid w:val="0"/>
        </w:rPr>
      </w:pPr>
      <w:r>
        <w:rPr>
          <w:snapToGrid w:val="0"/>
        </w:rPr>
        <w:tab/>
        <w:t>(d)</w:t>
      </w:r>
      <w:r>
        <w:rPr>
          <w:snapToGrid w:val="0"/>
        </w:rPr>
        <w:tab/>
        <w:t>the name and address of the person’s employer;</w:t>
      </w:r>
    </w:p>
    <w:p>
      <w:pPr>
        <w:pStyle w:val="Indenta"/>
        <w:rPr>
          <w:snapToGrid w:val="0"/>
        </w:rPr>
      </w:pPr>
      <w:r>
        <w:rPr>
          <w:snapToGrid w:val="0"/>
        </w:rPr>
        <w:tab/>
        <w:t>(e)</w:t>
      </w:r>
      <w:r>
        <w:rPr>
          <w:snapToGrid w:val="0"/>
        </w:rPr>
        <w:tab/>
        <w:t>any conditions or restrictions imposed by the Executive Director in relation to the person’s registration;</w:t>
      </w:r>
    </w:p>
    <w:p>
      <w:pPr>
        <w:pStyle w:val="Indenta"/>
        <w:rPr>
          <w:snapToGrid w:val="0"/>
        </w:rPr>
      </w:pPr>
      <w:r>
        <w:rPr>
          <w:snapToGrid w:val="0"/>
        </w:rPr>
        <w:tab/>
        <w:t>(f)</w:t>
      </w:r>
      <w:r>
        <w:rPr>
          <w:snapToGrid w:val="0"/>
        </w:rPr>
        <w:tab/>
        <w:t>the date on which the person was registered and the date on which the person’s registration was last renewed;</w:t>
      </w:r>
    </w:p>
    <w:p>
      <w:pPr>
        <w:pStyle w:val="Indenta"/>
        <w:rPr>
          <w:snapToGrid w:val="0"/>
        </w:rPr>
      </w:pPr>
      <w:r>
        <w:rPr>
          <w:snapToGrid w:val="0"/>
        </w:rPr>
        <w:tab/>
        <w:t>(g)</w:t>
      </w:r>
      <w:r>
        <w:rPr>
          <w:snapToGrid w:val="0"/>
        </w:rPr>
        <w:tab/>
        <w:t>such other information as the Executive Director determines to be relevant.</w:t>
      </w:r>
    </w:p>
    <w:p>
      <w:pPr>
        <w:pStyle w:val="Heading5"/>
        <w:rPr>
          <w:snapToGrid w:val="0"/>
        </w:rPr>
      </w:pPr>
      <w:bookmarkStart w:id="49" w:name="_Toc438372751"/>
      <w:bookmarkStart w:id="50" w:name="_Toc8187899"/>
      <w:bookmarkStart w:id="51" w:name="_Toc155067993"/>
      <w:r>
        <w:rPr>
          <w:rStyle w:val="CharSectno"/>
        </w:rPr>
        <w:t>15</w:t>
      </w:r>
      <w:r>
        <w:rPr>
          <w:snapToGrid w:val="0"/>
        </w:rPr>
        <w:t>.</w:t>
      </w:r>
      <w:r>
        <w:rPr>
          <w:snapToGrid w:val="0"/>
        </w:rPr>
        <w:tab/>
        <w:t>Production of certificate of registration</w:t>
      </w:r>
      <w:bookmarkEnd w:id="49"/>
      <w:bookmarkEnd w:id="50"/>
      <w:bookmarkEnd w:id="51"/>
      <w:r>
        <w:rPr>
          <w:snapToGrid w:val="0"/>
        </w:rPr>
        <w:t xml:space="preserve"> </w:t>
      </w:r>
    </w:p>
    <w:p>
      <w:pPr>
        <w:pStyle w:val="Subsection"/>
        <w:rPr>
          <w:snapToGrid w:val="0"/>
        </w:rPr>
      </w:pPr>
      <w:r>
        <w:rPr>
          <w:snapToGrid w:val="0"/>
        </w:rPr>
        <w:tab/>
      </w:r>
      <w:r>
        <w:rPr>
          <w:snapToGrid w:val="0"/>
        </w:rPr>
        <w:tab/>
        <w:t>A person registered under this Part as a timber worker shall — </w:t>
      </w:r>
    </w:p>
    <w:p>
      <w:pPr>
        <w:pStyle w:val="Indenta"/>
        <w:rPr>
          <w:snapToGrid w:val="0"/>
        </w:rPr>
      </w:pPr>
      <w:r>
        <w:rPr>
          <w:snapToGrid w:val="0"/>
        </w:rPr>
        <w:tab/>
        <w:t>(a)</w:t>
      </w:r>
      <w:r>
        <w:rPr>
          <w:snapToGrid w:val="0"/>
        </w:rPr>
        <w:tab/>
        <w:t xml:space="preserve">carry his or her certificate of registration or a copy of that certificate of registration at all times while engaged in timber harvesting in a State forest or timber reserve or in the transport of log timber harvested in a State forest or timber reserve; and </w:t>
      </w:r>
    </w:p>
    <w:p>
      <w:pPr>
        <w:pStyle w:val="Indenta"/>
        <w:rPr>
          <w:snapToGrid w:val="0"/>
        </w:rPr>
      </w:pPr>
      <w:r>
        <w:rPr>
          <w:snapToGrid w:val="0"/>
        </w:rPr>
        <w:tab/>
        <w:t>(b)</w:t>
      </w:r>
      <w:r>
        <w:rPr>
          <w:snapToGrid w:val="0"/>
        </w:rPr>
        <w:tab/>
        <w:t>when required to do so by a forest officer or a conservation and land management officer, produce for inspection his or her certificate of registration or a copy of that certificate of registration to the officer.</w:t>
      </w:r>
    </w:p>
    <w:p>
      <w:pPr>
        <w:pStyle w:val="Penstart"/>
        <w:rPr>
          <w:snapToGrid w:val="0"/>
        </w:rPr>
      </w:pPr>
      <w:r>
        <w:rPr>
          <w:snapToGrid w:val="0"/>
        </w:rPr>
        <w:tab/>
        <w:t>Penalty: $100.</w:t>
      </w:r>
    </w:p>
    <w:p>
      <w:pPr>
        <w:pStyle w:val="Heading5"/>
        <w:rPr>
          <w:snapToGrid w:val="0"/>
        </w:rPr>
      </w:pPr>
      <w:bookmarkStart w:id="52" w:name="_Toc438372752"/>
      <w:bookmarkStart w:id="53" w:name="_Toc8187900"/>
      <w:bookmarkStart w:id="54" w:name="_Toc155067994"/>
      <w:r>
        <w:rPr>
          <w:rStyle w:val="CharSectno"/>
        </w:rPr>
        <w:t>16</w:t>
      </w:r>
      <w:r>
        <w:rPr>
          <w:snapToGrid w:val="0"/>
        </w:rPr>
        <w:t>.</w:t>
      </w:r>
      <w:r>
        <w:rPr>
          <w:snapToGrid w:val="0"/>
        </w:rPr>
        <w:tab/>
        <w:t>Notification of change in particulars</w:t>
      </w:r>
      <w:bookmarkEnd w:id="52"/>
      <w:bookmarkEnd w:id="53"/>
      <w:bookmarkEnd w:id="54"/>
      <w:r>
        <w:rPr>
          <w:snapToGrid w:val="0"/>
        </w:rPr>
        <w:t xml:space="preserve"> </w:t>
      </w:r>
    </w:p>
    <w:p>
      <w:pPr>
        <w:pStyle w:val="Subsection"/>
        <w:rPr>
          <w:snapToGrid w:val="0"/>
        </w:rPr>
      </w:pPr>
      <w:r>
        <w:rPr>
          <w:snapToGrid w:val="0"/>
        </w:rPr>
        <w:tab/>
        <w:t>(1)</w:t>
      </w:r>
      <w:r>
        <w:rPr>
          <w:snapToGrid w:val="0"/>
        </w:rPr>
        <w:tab/>
        <w:t>A person registered under this Part as a timber worker shall notify the Executive Director in writing of any change — </w:t>
      </w:r>
    </w:p>
    <w:p>
      <w:pPr>
        <w:pStyle w:val="Indenta"/>
        <w:rPr>
          <w:snapToGrid w:val="0"/>
        </w:rPr>
      </w:pPr>
      <w:r>
        <w:rPr>
          <w:snapToGrid w:val="0"/>
        </w:rPr>
        <w:tab/>
        <w:t>(a)</w:t>
      </w:r>
      <w:r>
        <w:rPr>
          <w:snapToGrid w:val="0"/>
        </w:rPr>
        <w:tab/>
        <w:t>in the qualifications held by the person;</w:t>
      </w:r>
    </w:p>
    <w:p>
      <w:pPr>
        <w:pStyle w:val="Indenta"/>
        <w:rPr>
          <w:snapToGrid w:val="0"/>
        </w:rPr>
      </w:pPr>
      <w:r>
        <w:rPr>
          <w:snapToGrid w:val="0"/>
        </w:rPr>
        <w:tab/>
        <w:t>(b)</w:t>
      </w:r>
      <w:r>
        <w:rPr>
          <w:snapToGrid w:val="0"/>
        </w:rPr>
        <w:tab/>
        <w:t>of employer of that person,</w:t>
      </w:r>
    </w:p>
    <w:p>
      <w:pPr>
        <w:pStyle w:val="Subsection"/>
        <w:rPr>
          <w:snapToGrid w:val="0"/>
        </w:rPr>
      </w:pPr>
      <w:r>
        <w:rPr>
          <w:snapToGrid w:val="0"/>
        </w:rPr>
        <w:tab/>
      </w:r>
      <w:r>
        <w:rPr>
          <w:snapToGrid w:val="0"/>
        </w:rPr>
        <w:tab/>
        <w:t>relevant to the person engaging in timber harvesting or the transport of timber, as soon as practicable after that change takes place.</w:t>
      </w:r>
    </w:p>
    <w:p>
      <w:pPr>
        <w:pStyle w:val="Penstart"/>
        <w:rPr>
          <w:snapToGrid w:val="0"/>
        </w:rPr>
      </w:pPr>
      <w:r>
        <w:rPr>
          <w:snapToGrid w:val="0"/>
        </w:rPr>
        <w:tab/>
        <w:t>Penalty: $100.</w:t>
      </w:r>
    </w:p>
    <w:p>
      <w:pPr>
        <w:pStyle w:val="Subsection"/>
        <w:rPr>
          <w:snapToGrid w:val="0"/>
        </w:rPr>
      </w:pPr>
      <w:r>
        <w:rPr>
          <w:snapToGrid w:val="0"/>
        </w:rPr>
        <w:tab/>
        <w:t>(2)</w:t>
      </w:r>
      <w:r>
        <w:rPr>
          <w:snapToGrid w:val="0"/>
        </w:rPr>
        <w:tab/>
        <w:t>The Executive Director shall cause — </w:t>
      </w:r>
    </w:p>
    <w:p>
      <w:pPr>
        <w:pStyle w:val="Indenta"/>
        <w:rPr>
          <w:snapToGrid w:val="0"/>
        </w:rPr>
      </w:pPr>
      <w:r>
        <w:rPr>
          <w:snapToGrid w:val="0"/>
        </w:rPr>
        <w:tab/>
        <w:t>(a)</w:t>
      </w:r>
      <w:r>
        <w:rPr>
          <w:snapToGrid w:val="0"/>
        </w:rPr>
        <w:tab/>
        <w:t>to be entered in the register; and</w:t>
      </w:r>
    </w:p>
    <w:p>
      <w:pPr>
        <w:pStyle w:val="Indenta"/>
        <w:rPr>
          <w:snapToGrid w:val="0"/>
        </w:rPr>
      </w:pPr>
      <w:r>
        <w:rPr>
          <w:snapToGrid w:val="0"/>
        </w:rPr>
        <w:tab/>
        <w:t>(b)</w:t>
      </w:r>
      <w:r>
        <w:rPr>
          <w:snapToGrid w:val="0"/>
        </w:rPr>
        <w:tab/>
        <w:t>to be endorsed on the relevant certificate of registration,</w:t>
      </w:r>
    </w:p>
    <w:p>
      <w:pPr>
        <w:pStyle w:val="Subsection"/>
        <w:rPr>
          <w:snapToGrid w:val="0"/>
        </w:rPr>
      </w:pPr>
      <w:r>
        <w:rPr>
          <w:snapToGrid w:val="0"/>
        </w:rPr>
        <w:tab/>
      </w:r>
      <w:r>
        <w:rPr>
          <w:snapToGrid w:val="0"/>
        </w:rPr>
        <w:tab/>
        <w:t>details of any change notified to the Executive Director under subregulation (1).</w:t>
      </w:r>
    </w:p>
    <w:p>
      <w:pPr>
        <w:pStyle w:val="Heading5"/>
        <w:rPr>
          <w:snapToGrid w:val="0"/>
        </w:rPr>
      </w:pPr>
      <w:bookmarkStart w:id="55" w:name="_Toc438372753"/>
      <w:bookmarkStart w:id="56" w:name="_Toc8187901"/>
      <w:bookmarkStart w:id="57" w:name="_Toc155067995"/>
      <w:r>
        <w:rPr>
          <w:rStyle w:val="CharSectno"/>
        </w:rPr>
        <w:t>17</w:t>
      </w:r>
      <w:r>
        <w:rPr>
          <w:snapToGrid w:val="0"/>
        </w:rPr>
        <w:t>.</w:t>
      </w:r>
      <w:r>
        <w:rPr>
          <w:snapToGrid w:val="0"/>
        </w:rPr>
        <w:tab/>
        <w:t>Executive Director may cancel, suspend, refuse to renew, etc. registration</w:t>
      </w:r>
      <w:bookmarkEnd w:id="55"/>
      <w:bookmarkEnd w:id="56"/>
      <w:bookmarkEnd w:id="57"/>
      <w:r>
        <w:rPr>
          <w:snapToGrid w:val="0"/>
        </w:rPr>
        <w:t xml:space="preserve"> </w:t>
      </w:r>
    </w:p>
    <w:p>
      <w:pPr>
        <w:pStyle w:val="Subsection"/>
        <w:rPr>
          <w:snapToGrid w:val="0"/>
        </w:rPr>
      </w:pPr>
      <w:r>
        <w:rPr>
          <w:snapToGrid w:val="0"/>
        </w:rPr>
        <w:tab/>
        <w:t>(1)</w:t>
      </w:r>
      <w:r>
        <w:rPr>
          <w:snapToGrid w:val="0"/>
        </w:rPr>
        <w:tab/>
        <w:t>Subject to this regulation, the Executive Director may cancel, suspend for any period, or refuse to renew, the registration of any person on the grounds that — </w:t>
      </w:r>
    </w:p>
    <w:p>
      <w:pPr>
        <w:pStyle w:val="Indenta"/>
        <w:rPr>
          <w:snapToGrid w:val="0"/>
        </w:rPr>
      </w:pPr>
      <w:r>
        <w:rPr>
          <w:snapToGrid w:val="0"/>
        </w:rPr>
        <w:tab/>
        <w:t>(a)</w:t>
      </w:r>
      <w:r>
        <w:rPr>
          <w:snapToGrid w:val="0"/>
        </w:rPr>
        <w:tab/>
        <w:t>the person has been convicted of an offence against the Act, these regulations or the repealed regulations;</w:t>
      </w:r>
    </w:p>
    <w:p>
      <w:pPr>
        <w:pStyle w:val="Indenta"/>
        <w:rPr>
          <w:snapToGrid w:val="0"/>
        </w:rPr>
      </w:pPr>
      <w:r>
        <w:rPr>
          <w:snapToGrid w:val="0"/>
        </w:rPr>
        <w:tab/>
        <w:t>(b)</w:t>
      </w:r>
      <w:r>
        <w:rPr>
          <w:snapToGrid w:val="0"/>
        </w:rPr>
        <w:tab/>
        <w:t>the person has contravened a condition or restriction imposed in relation to that registration; or</w:t>
      </w:r>
    </w:p>
    <w:p>
      <w:pPr>
        <w:pStyle w:val="Indenta"/>
        <w:rPr>
          <w:snapToGrid w:val="0"/>
        </w:rPr>
      </w:pPr>
      <w:r>
        <w:rPr>
          <w:snapToGrid w:val="0"/>
        </w:rPr>
        <w:tab/>
        <w:t>(c)</w:t>
      </w:r>
      <w:r>
        <w:rPr>
          <w:snapToGrid w:val="0"/>
        </w:rPr>
        <w:tab/>
        <w:t>the registration was obtained by fraud or misrepresentation.</w:t>
      </w:r>
    </w:p>
    <w:p>
      <w:pPr>
        <w:pStyle w:val="Subsection"/>
        <w:rPr>
          <w:snapToGrid w:val="0"/>
        </w:rPr>
      </w:pPr>
      <w:r>
        <w:rPr>
          <w:snapToGrid w:val="0"/>
        </w:rPr>
        <w:tab/>
        <w:t>(2)</w:t>
      </w:r>
      <w:r>
        <w:rPr>
          <w:snapToGrid w:val="0"/>
        </w:rPr>
        <w:tab/>
        <w:t>If the Executive Director proposes to cancel, suspend, or refuse to renew the registration of a person, the Executive Director shall give to the person notice in writing of the proposal and the Executive Director’s reasons for the proposal.</w:t>
      </w:r>
    </w:p>
    <w:p>
      <w:pPr>
        <w:pStyle w:val="Subsection"/>
        <w:rPr>
          <w:snapToGrid w:val="0"/>
        </w:rPr>
      </w:pPr>
      <w:r>
        <w:rPr>
          <w:snapToGrid w:val="0"/>
        </w:rPr>
        <w:tab/>
        <w:t>(3)</w:t>
      </w:r>
      <w:r>
        <w:rPr>
          <w:snapToGrid w:val="0"/>
        </w:rPr>
        <w:tab/>
        <w:t>A notice given under subregulation (2) shall state that within 21 days after the notice being given, the person to whom it is given may make representations in writing to the Executive Director concerning the matter, and the Executive Director shall not determine the matter without considering any representations received within that period of 21 days.</w:t>
      </w:r>
    </w:p>
    <w:p>
      <w:pPr>
        <w:pStyle w:val="Subsection"/>
        <w:rPr>
          <w:snapToGrid w:val="0"/>
        </w:rPr>
      </w:pPr>
      <w:r>
        <w:rPr>
          <w:snapToGrid w:val="0"/>
        </w:rPr>
        <w:tab/>
        <w:t>(3a)</w:t>
      </w:r>
      <w:r>
        <w:rPr>
          <w:snapToGrid w:val="0"/>
        </w:rPr>
        <w:tab/>
        <w:t>If the Executive Director proposes to cancel, suspend, or refuse to renew the registration of a person, the Executive Director shall give to the person’s employer notice in writing of the proposal.</w:t>
      </w:r>
    </w:p>
    <w:p>
      <w:pPr>
        <w:pStyle w:val="Subsection"/>
        <w:rPr>
          <w:snapToGrid w:val="0"/>
        </w:rPr>
      </w:pPr>
      <w:r>
        <w:rPr>
          <w:snapToGrid w:val="0"/>
        </w:rPr>
        <w:tab/>
        <w:t>(4)</w:t>
      </w:r>
      <w:r>
        <w:rPr>
          <w:snapToGrid w:val="0"/>
        </w:rPr>
        <w:tab/>
        <w:t>If the Executive Director cancels, suspends, or refuses to renew, the registration of a person under this regulation, the Executive Director shall give to the person and to the person’s employer notice in writing of the cancellation, suspension or refusal to renew.</w:t>
      </w:r>
    </w:p>
    <w:p>
      <w:pPr>
        <w:pStyle w:val="Subsection"/>
        <w:rPr>
          <w:snapToGrid w:val="0"/>
        </w:rPr>
      </w:pPr>
      <w:r>
        <w:rPr>
          <w:snapToGrid w:val="0"/>
        </w:rPr>
        <w:tab/>
        <w:t>(5)</w:t>
      </w:r>
      <w:r>
        <w:rPr>
          <w:snapToGrid w:val="0"/>
        </w:rPr>
        <w:tab/>
        <w:t>Nothing in this regulation affects any contractual right that the Executive Director or a forest officer may exercise under a contract to harvest and deliver.</w:t>
      </w:r>
    </w:p>
    <w:p>
      <w:pPr>
        <w:pStyle w:val="Footnotesection"/>
      </w:pPr>
      <w:r>
        <w:tab/>
        <w:t>[Regulation 17 amended in Gazette 28 April 1995 p.1460.]</w:t>
      </w:r>
    </w:p>
    <w:p>
      <w:pPr>
        <w:pStyle w:val="Heading5"/>
        <w:rPr>
          <w:snapToGrid w:val="0"/>
        </w:rPr>
      </w:pPr>
      <w:bookmarkStart w:id="58" w:name="_Toc438372754"/>
      <w:bookmarkStart w:id="59" w:name="_Toc8187902"/>
      <w:bookmarkStart w:id="60" w:name="_Toc155067996"/>
      <w:r>
        <w:rPr>
          <w:rStyle w:val="CharSectno"/>
        </w:rPr>
        <w:t>18</w:t>
      </w:r>
      <w:r>
        <w:rPr>
          <w:snapToGrid w:val="0"/>
        </w:rPr>
        <w:t>.</w:t>
      </w:r>
      <w:r>
        <w:rPr>
          <w:snapToGrid w:val="0"/>
        </w:rPr>
        <w:tab/>
        <w:t>Return of certificate of registration</w:t>
      </w:r>
      <w:bookmarkEnd w:id="58"/>
      <w:bookmarkEnd w:id="59"/>
      <w:bookmarkEnd w:id="60"/>
      <w:r>
        <w:rPr>
          <w:snapToGrid w:val="0"/>
        </w:rPr>
        <w:t xml:space="preserve"> </w:t>
      </w:r>
    </w:p>
    <w:p>
      <w:pPr>
        <w:pStyle w:val="Subsection"/>
        <w:rPr>
          <w:snapToGrid w:val="0"/>
        </w:rPr>
      </w:pPr>
      <w:r>
        <w:rPr>
          <w:snapToGrid w:val="0"/>
        </w:rPr>
        <w:tab/>
        <w:t>(1)</w:t>
      </w:r>
      <w:r>
        <w:rPr>
          <w:snapToGrid w:val="0"/>
        </w:rPr>
        <w:tab/>
        <w:t>The Executive Director may require the holder of a certificate of registration to return the certificate to the Executive Director where — </w:t>
      </w:r>
    </w:p>
    <w:p>
      <w:pPr>
        <w:pStyle w:val="Indenta"/>
        <w:rPr>
          <w:snapToGrid w:val="0"/>
        </w:rPr>
      </w:pPr>
      <w:r>
        <w:rPr>
          <w:snapToGrid w:val="0"/>
        </w:rPr>
        <w:tab/>
        <w:t>(a)</w:t>
      </w:r>
      <w:r>
        <w:rPr>
          <w:snapToGrid w:val="0"/>
        </w:rPr>
        <w:tab/>
        <w:t>the person’s registration has been cancelled, suspended or has not been renewed;</w:t>
      </w:r>
    </w:p>
    <w:p>
      <w:pPr>
        <w:pStyle w:val="Indenta"/>
        <w:rPr>
          <w:snapToGrid w:val="0"/>
        </w:rPr>
      </w:pPr>
      <w:r>
        <w:rPr>
          <w:snapToGrid w:val="0"/>
        </w:rPr>
        <w:tab/>
        <w:t>(b)</w:t>
      </w:r>
      <w:r>
        <w:rPr>
          <w:snapToGrid w:val="0"/>
        </w:rPr>
        <w:tab/>
        <w:t>the Executive Director is required by these regulations to endorse any matter on the certificate.</w:t>
      </w:r>
    </w:p>
    <w:p>
      <w:pPr>
        <w:pStyle w:val="Subsection"/>
        <w:rPr>
          <w:snapToGrid w:val="0"/>
        </w:rPr>
      </w:pPr>
      <w:r>
        <w:rPr>
          <w:snapToGrid w:val="0"/>
        </w:rPr>
        <w:tab/>
        <w:t>(2)</w:t>
      </w:r>
      <w:r>
        <w:rPr>
          <w:snapToGrid w:val="0"/>
        </w:rPr>
        <w:tab/>
        <w:t>A person shall, as soon as practicable after being required to do so under subregulation (1), return his or her certificate to the Executive Director.</w:t>
      </w:r>
    </w:p>
    <w:p>
      <w:pPr>
        <w:pStyle w:val="Penstart"/>
        <w:rPr>
          <w:snapToGrid w:val="0"/>
        </w:rPr>
      </w:pPr>
      <w:r>
        <w:rPr>
          <w:snapToGrid w:val="0"/>
        </w:rPr>
        <w:tab/>
        <w:t>Penalty: $100.</w:t>
      </w:r>
    </w:p>
    <w:p>
      <w:pPr>
        <w:pStyle w:val="Heading2"/>
      </w:pPr>
      <w:bookmarkStart w:id="61" w:name="_Toc154984331"/>
      <w:bookmarkStart w:id="62" w:name="_Toc155067136"/>
      <w:bookmarkStart w:id="63" w:name="_Toc155067997"/>
      <w:r>
        <w:rPr>
          <w:rStyle w:val="CharPartNo"/>
        </w:rPr>
        <w:t>Part 3</w:t>
      </w:r>
      <w:r>
        <w:rPr>
          <w:rStyle w:val="CharDivNo"/>
        </w:rPr>
        <w:t> </w:t>
      </w:r>
      <w:r>
        <w:t>—</w:t>
      </w:r>
      <w:r>
        <w:rPr>
          <w:rStyle w:val="CharDivText"/>
        </w:rPr>
        <w:t> </w:t>
      </w:r>
      <w:r>
        <w:rPr>
          <w:rStyle w:val="CharPartText"/>
        </w:rPr>
        <w:t>General requirements relating to felling of trees in State forests and timber reserves</w:t>
      </w:r>
      <w:bookmarkEnd w:id="61"/>
      <w:bookmarkEnd w:id="62"/>
      <w:bookmarkEnd w:id="63"/>
      <w:r>
        <w:rPr>
          <w:rStyle w:val="CharPartText"/>
        </w:rPr>
        <w:t xml:space="preserve"> </w:t>
      </w:r>
    </w:p>
    <w:p>
      <w:pPr>
        <w:pStyle w:val="Heading5"/>
        <w:spacing w:before="260"/>
        <w:rPr>
          <w:snapToGrid w:val="0"/>
        </w:rPr>
      </w:pPr>
      <w:bookmarkStart w:id="64" w:name="_Toc438372755"/>
      <w:bookmarkStart w:id="65" w:name="_Toc8187903"/>
      <w:bookmarkStart w:id="66" w:name="_Toc155067998"/>
      <w:r>
        <w:rPr>
          <w:rStyle w:val="CharSectno"/>
        </w:rPr>
        <w:t>19</w:t>
      </w:r>
      <w:r>
        <w:rPr>
          <w:snapToGrid w:val="0"/>
        </w:rPr>
        <w:t>.</w:t>
      </w:r>
      <w:r>
        <w:rPr>
          <w:snapToGrid w:val="0"/>
        </w:rPr>
        <w:tab/>
        <w:t>Felling of trees outside coupes generally prohibited</w:t>
      </w:r>
      <w:bookmarkEnd w:id="64"/>
      <w:bookmarkEnd w:id="65"/>
      <w:bookmarkEnd w:id="66"/>
      <w:r>
        <w:rPr>
          <w:snapToGrid w:val="0"/>
        </w:rPr>
        <w:t xml:space="preserve"> </w:t>
      </w:r>
    </w:p>
    <w:p>
      <w:pPr>
        <w:pStyle w:val="Subsection"/>
        <w:rPr>
          <w:snapToGrid w:val="0"/>
        </w:rPr>
      </w:pPr>
      <w:r>
        <w:rPr>
          <w:snapToGrid w:val="0"/>
        </w:rPr>
        <w:tab/>
        <w:t>(1)</w:t>
      </w:r>
      <w:r>
        <w:rPr>
          <w:snapToGrid w:val="0"/>
        </w:rPr>
        <w:tab/>
        <w:t>Except as provided in regulation 20, a person shall not fell any tree in a State forest or timber reserve unless — </w:t>
      </w:r>
    </w:p>
    <w:p>
      <w:pPr>
        <w:pStyle w:val="Indenta"/>
        <w:rPr>
          <w:snapToGrid w:val="0"/>
        </w:rPr>
      </w:pPr>
      <w:r>
        <w:rPr>
          <w:snapToGrid w:val="0"/>
        </w:rPr>
        <w:tab/>
        <w:t>(a)</w:t>
      </w:r>
      <w:r>
        <w:rPr>
          <w:snapToGrid w:val="0"/>
        </w:rPr>
        <w:tab/>
        <w:t>the tree is in a coupe allocated in writing to the person for that purpose by the forest officer in charge of the district in which the tree is located; and</w:t>
      </w:r>
    </w:p>
    <w:p>
      <w:pPr>
        <w:pStyle w:val="Indenta"/>
        <w:rPr>
          <w:snapToGrid w:val="0"/>
        </w:rPr>
      </w:pPr>
      <w:r>
        <w:rPr>
          <w:snapToGrid w:val="0"/>
        </w:rPr>
        <w:tab/>
        <w:t>(b)</w:t>
      </w:r>
      <w:r>
        <w:rPr>
          <w:snapToGrid w:val="0"/>
        </w:rPr>
        <w:tab/>
        <w:t>the tree has not been designated for retention.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For the purposes of subregulation (1)(b), a tree in a coupe has been designated for retention if — </w:t>
      </w:r>
    </w:p>
    <w:p>
      <w:pPr>
        <w:pStyle w:val="Indenta"/>
        <w:rPr>
          <w:snapToGrid w:val="0"/>
        </w:rPr>
      </w:pPr>
      <w:r>
        <w:rPr>
          <w:snapToGrid w:val="0"/>
        </w:rPr>
        <w:tab/>
        <w:t>(a)</w:t>
      </w:r>
      <w:r>
        <w:rPr>
          <w:snapToGrid w:val="0"/>
        </w:rPr>
        <w:tab/>
        <w:t>the trees in the coupe that are to be felled have been individually marked by a forest officer and the relevant tree is not so marked; or</w:t>
      </w:r>
    </w:p>
    <w:p>
      <w:pPr>
        <w:pStyle w:val="Indenta"/>
        <w:rPr>
          <w:snapToGrid w:val="0"/>
        </w:rPr>
      </w:pPr>
      <w:r>
        <w:rPr>
          <w:snapToGrid w:val="0"/>
        </w:rPr>
        <w:tab/>
        <w:t>(b)</w:t>
      </w:r>
      <w:r>
        <w:rPr>
          <w:snapToGrid w:val="0"/>
        </w:rPr>
        <w:tab/>
        <w:t>the trees in the coupe that are to be retained have been individually marked by a forest officer and the relevant tree is so marked.</w:t>
      </w:r>
    </w:p>
    <w:p>
      <w:pPr>
        <w:pStyle w:val="Heading5"/>
        <w:spacing w:before="260"/>
        <w:rPr>
          <w:snapToGrid w:val="0"/>
        </w:rPr>
      </w:pPr>
      <w:bookmarkStart w:id="67" w:name="_Toc438372756"/>
      <w:bookmarkStart w:id="68" w:name="_Toc8187904"/>
      <w:bookmarkStart w:id="69" w:name="_Toc155067999"/>
      <w:r>
        <w:rPr>
          <w:rStyle w:val="CharSectno"/>
        </w:rPr>
        <w:t>20</w:t>
      </w:r>
      <w:r>
        <w:rPr>
          <w:snapToGrid w:val="0"/>
        </w:rPr>
        <w:t>.</w:t>
      </w:r>
      <w:r>
        <w:rPr>
          <w:snapToGrid w:val="0"/>
        </w:rPr>
        <w:tab/>
        <w:t>Authorization to fell individual trees outside coupes</w:t>
      </w:r>
      <w:bookmarkEnd w:id="67"/>
      <w:bookmarkEnd w:id="68"/>
      <w:bookmarkEnd w:id="69"/>
      <w:r>
        <w:rPr>
          <w:snapToGrid w:val="0"/>
        </w:rPr>
        <w:t xml:space="preserve"> </w:t>
      </w:r>
    </w:p>
    <w:p>
      <w:pPr>
        <w:pStyle w:val="Subsection"/>
        <w:rPr>
          <w:snapToGrid w:val="0"/>
        </w:rPr>
      </w:pPr>
      <w:r>
        <w:rPr>
          <w:snapToGrid w:val="0"/>
        </w:rPr>
        <w:tab/>
      </w:r>
      <w:r>
        <w:rPr>
          <w:snapToGrid w:val="0"/>
        </w:rPr>
        <w:tab/>
        <w:t>Notwithstanding regulation 19, a person may fell a tree in a State forest or timber reserve that is not in a coupe if — </w:t>
      </w:r>
    </w:p>
    <w:p>
      <w:pPr>
        <w:pStyle w:val="Indenta"/>
        <w:rPr>
          <w:snapToGrid w:val="0"/>
        </w:rPr>
      </w:pPr>
      <w:r>
        <w:rPr>
          <w:snapToGrid w:val="0"/>
        </w:rPr>
        <w:tab/>
        <w:t>(a)</w:t>
      </w:r>
      <w:r>
        <w:rPr>
          <w:snapToGrid w:val="0"/>
        </w:rPr>
        <w:tab/>
        <w:t>the forest officer in charge of the district in which the tree is located has specifically authorized the felling of the tree by that person; and</w:t>
      </w:r>
    </w:p>
    <w:p>
      <w:pPr>
        <w:pStyle w:val="Indenta"/>
        <w:rPr>
          <w:snapToGrid w:val="0"/>
        </w:rPr>
      </w:pPr>
      <w:r>
        <w:rPr>
          <w:snapToGrid w:val="0"/>
        </w:rPr>
        <w:tab/>
        <w:t>(b)</w:t>
      </w:r>
      <w:r>
        <w:rPr>
          <w:snapToGrid w:val="0"/>
        </w:rPr>
        <w:tab/>
        <w:t>the tree has been marked by a forest officer with a mark referred to in regulation 139(d) to identify the tree.</w:t>
      </w:r>
    </w:p>
    <w:p>
      <w:pPr>
        <w:pStyle w:val="Heading5"/>
        <w:spacing w:before="260"/>
        <w:rPr>
          <w:snapToGrid w:val="0"/>
        </w:rPr>
      </w:pPr>
      <w:bookmarkStart w:id="70" w:name="_Toc438372757"/>
      <w:bookmarkStart w:id="71" w:name="_Toc8187905"/>
      <w:bookmarkStart w:id="72" w:name="_Toc155068000"/>
      <w:r>
        <w:rPr>
          <w:rStyle w:val="CharSectno"/>
        </w:rPr>
        <w:t>21</w:t>
      </w:r>
      <w:r>
        <w:rPr>
          <w:snapToGrid w:val="0"/>
        </w:rPr>
        <w:t>.</w:t>
      </w:r>
      <w:r>
        <w:rPr>
          <w:snapToGrid w:val="0"/>
        </w:rPr>
        <w:tab/>
        <w:t>Record to be made by forest officer of coupes etc. allocated</w:t>
      </w:r>
      <w:bookmarkEnd w:id="70"/>
      <w:bookmarkEnd w:id="71"/>
      <w:bookmarkEnd w:id="72"/>
      <w:r>
        <w:rPr>
          <w:snapToGrid w:val="0"/>
        </w:rPr>
        <w:t xml:space="preserve"> </w:t>
      </w:r>
    </w:p>
    <w:p>
      <w:pPr>
        <w:pStyle w:val="Subsection"/>
        <w:keepNext/>
        <w:keepLines/>
        <w:spacing w:before="120"/>
        <w:rPr>
          <w:snapToGrid w:val="0"/>
        </w:rPr>
      </w:pPr>
      <w:r>
        <w:rPr>
          <w:snapToGrid w:val="0"/>
        </w:rPr>
        <w:tab/>
      </w:r>
      <w:r>
        <w:rPr>
          <w:snapToGrid w:val="0"/>
        </w:rPr>
        <w:tab/>
        <w:t>The forest officer in charge of a district shall ensure that a record is made in writing of — </w:t>
      </w:r>
    </w:p>
    <w:p>
      <w:pPr>
        <w:pStyle w:val="Indenta"/>
        <w:rPr>
          <w:snapToGrid w:val="0"/>
        </w:rPr>
      </w:pPr>
      <w:r>
        <w:rPr>
          <w:snapToGrid w:val="0"/>
        </w:rPr>
        <w:tab/>
        <w:t>(a)</w:t>
      </w:r>
      <w:r>
        <w:rPr>
          <w:snapToGrid w:val="0"/>
        </w:rPr>
        <w:tab/>
        <w:t>every coupe allocated to a person for the purpose of felling in the district;</w:t>
      </w:r>
    </w:p>
    <w:p>
      <w:pPr>
        <w:pStyle w:val="Indenta"/>
        <w:rPr>
          <w:snapToGrid w:val="0"/>
        </w:rPr>
      </w:pPr>
      <w:r>
        <w:rPr>
          <w:snapToGrid w:val="0"/>
        </w:rPr>
        <w:tab/>
        <w:t>(b)</w:t>
      </w:r>
      <w:r>
        <w:rPr>
          <w:snapToGrid w:val="0"/>
        </w:rPr>
        <w:tab/>
        <w:t>every authorization that is given to fell a tree in a State forest or timber reserve in the district that does not form part of a coupe,</w:t>
      </w:r>
    </w:p>
    <w:p>
      <w:pPr>
        <w:pStyle w:val="Subsection"/>
        <w:keepNext/>
        <w:keepLines/>
        <w:spacing w:before="120"/>
        <w:rPr>
          <w:snapToGrid w:val="0"/>
        </w:rPr>
      </w:pPr>
      <w:r>
        <w:rPr>
          <w:snapToGrid w:val="0"/>
        </w:rPr>
        <w:tab/>
      </w:r>
      <w:r>
        <w:rPr>
          <w:snapToGrid w:val="0"/>
        </w:rPr>
        <w:tab/>
        <w:t>and the record shall include details of — </w:t>
      </w:r>
    </w:p>
    <w:p>
      <w:pPr>
        <w:pStyle w:val="Indenta"/>
        <w:rPr>
          <w:snapToGrid w:val="0"/>
        </w:rPr>
      </w:pPr>
      <w:r>
        <w:rPr>
          <w:snapToGrid w:val="0"/>
        </w:rPr>
        <w:tab/>
        <w:t>(c)</w:t>
      </w:r>
      <w:r>
        <w:rPr>
          <w:snapToGrid w:val="0"/>
        </w:rPr>
        <w:tab/>
        <w:t>the location of the coupe or tree;</w:t>
      </w:r>
    </w:p>
    <w:p>
      <w:pPr>
        <w:pStyle w:val="Indenta"/>
        <w:rPr>
          <w:snapToGrid w:val="0"/>
        </w:rPr>
      </w:pPr>
      <w:r>
        <w:rPr>
          <w:snapToGrid w:val="0"/>
        </w:rPr>
        <w:tab/>
        <w:t>(d)</w:t>
      </w:r>
      <w:r>
        <w:rPr>
          <w:snapToGrid w:val="0"/>
        </w:rPr>
        <w:tab/>
        <w:t>the person to whom the coupe is allocated or who is authorized to fell the tree; and</w:t>
      </w:r>
    </w:p>
    <w:p>
      <w:pPr>
        <w:pStyle w:val="Indenta"/>
        <w:rPr>
          <w:snapToGrid w:val="0"/>
        </w:rPr>
      </w:pPr>
      <w:r>
        <w:rPr>
          <w:snapToGrid w:val="0"/>
        </w:rPr>
        <w:tab/>
        <w:t>(e)</w:t>
      </w:r>
      <w:r>
        <w:rPr>
          <w:snapToGrid w:val="0"/>
        </w:rPr>
        <w:tab/>
        <w:t>the date of the allocation or authorization.</w:t>
      </w:r>
    </w:p>
    <w:p>
      <w:pPr>
        <w:pStyle w:val="Heading5"/>
        <w:rPr>
          <w:snapToGrid w:val="0"/>
        </w:rPr>
      </w:pPr>
      <w:bookmarkStart w:id="73" w:name="_Toc438372758"/>
      <w:bookmarkStart w:id="74" w:name="_Toc8187906"/>
      <w:bookmarkStart w:id="75" w:name="_Toc155068001"/>
      <w:r>
        <w:rPr>
          <w:rStyle w:val="CharSectno"/>
        </w:rPr>
        <w:t>22</w:t>
      </w:r>
      <w:r>
        <w:rPr>
          <w:snapToGrid w:val="0"/>
        </w:rPr>
        <w:t>.</w:t>
      </w:r>
      <w:r>
        <w:rPr>
          <w:snapToGrid w:val="0"/>
        </w:rPr>
        <w:tab/>
        <w:t>Obstruction</w:t>
      </w:r>
      <w:bookmarkEnd w:id="73"/>
      <w:bookmarkEnd w:id="74"/>
      <w:bookmarkEnd w:id="75"/>
      <w:r>
        <w:rPr>
          <w:snapToGrid w:val="0"/>
        </w:rPr>
        <w:t xml:space="preserve"> </w:t>
      </w:r>
    </w:p>
    <w:p>
      <w:pPr>
        <w:pStyle w:val="Subsection"/>
        <w:keepNext/>
        <w:keepLines/>
        <w:spacing w:before="120"/>
        <w:rPr>
          <w:snapToGrid w:val="0"/>
        </w:rPr>
      </w:pPr>
      <w:r>
        <w:rPr>
          <w:snapToGrid w:val="0"/>
        </w:rPr>
        <w:tab/>
        <w:t>(1)</w:t>
      </w:r>
      <w:r>
        <w:rPr>
          <w:snapToGrid w:val="0"/>
        </w:rPr>
        <w:tab/>
        <w:t>A person shall not cause a railway, road, track or watercourse to be obstructed by the felling of a tree in a State forest or timber reserve.</w:t>
      </w:r>
    </w:p>
    <w:p>
      <w:pPr>
        <w:pStyle w:val="Penstart"/>
        <w:rPr>
          <w:snapToGrid w:val="0"/>
        </w:rPr>
      </w:pPr>
      <w:r>
        <w:rPr>
          <w:snapToGrid w:val="0"/>
        </w:rPr>
        <w:tab/>
        <w:t>Penalty: $2 000.</w:t>
      </w:r>
    </w:p>
    <w:p>
      <w:pPr>
        <w:pStyle w:val="Subsection"/>
        <w:keepNext/>
        <w:keepLines/>
        <w:spacing w:before="120"/>
        <w:rPr>
          <w:snapToGrid w:val="0"/>
        </w:rPr>
      </w:pPr>
      <w:r>
        <w:rPr>
          <w:snapToGrid w:val="0"/>
        </w:rPr>
        <w:tab/>
        <w:t>(2)</w:t>
      </w:r>
      <w:r>
        <w:rPr>
          <w:snapToGrid w:val="0"/>
        </w:rPr>
        <w:tab/>
        <w:t>A person who contravenes subregulation (1) is, in addition to any penalty incurred under that subregulation, liable to pay to the Executive Director a sum equal to the cost of removing the obstruction.</w:t>
      </w:r>
    </w:p>
    <w:p>
      <w:pPr>
        <w:pStyle w:val="Subsection"/>
        <w:keepNext/>
        <w:keepLines/>
        <w:spacing w:before="120"/>
        <w:rPr>
          <w:snapToGrid w:val="0"/>
        </w:rPr>
      </w:pPr>
      <w:r>
        <w:rPr>
          <w:snapToGrid w:val="0"/>
        </w:rPr>
        <w:tab/>
        <w:t>(3)</w:t>
      </w:r>
      <w:r>
        <w:rPr>
          <w:snapToGrid w:val="0"/>
        </w:rPr>
        <w:tab/>
        <w:t>A sum referred to in subregulation (2) is a debt due to the Executive Director and is recoverable in a court of competent jurisdiction.</w:t>
      </w:r>
    </w:p>
    <w:p>
      <w:pPr>
        <w:pStyle w:val="Heading5"/>
        <w:rPr>
          <w:snapToGrid w:val="0"/>
        </w:rPr>
      </w:pPr>
      <w:bookmarkStart w:id="76" w:name="_Toc438372759"/>
      <w:bookmarkStart w:id="77" w:name="_Toc8187907"/>
      <w:bookmarkStart w:id="78" w:name="_Toc155068002"/>
      <w:r>
        <w:rPr>
          <w:rStyle w:val="CharSectno"/>
        </w:rPr>
        <w:t>23</w:t>
      </w:r>
      <w:r>
        <w:rPr>
          <w:snapToGrid w:val="0"/>
        </w:rPr>
        <w:t>.</w:t>
      </w:r>
      <w:r>
        <w:rPr>
          <w:snapToGrid w:val="0"/>
        </w:rPr>
        <w:tab/>
        <w:t>Damage to power lines etc.</w:t>
      </w:r>
      <w:bookmarkEnd w:id="76"/>
      <w:bookmarkEnd w:id="77"/>
      <w:bookmarkEnd w:id="78"/>
      <w:r>
        <w:rPr>
          <w:snapToGrid w:val="0"/>
        </w:rPr>
        <w:t xml:space="preserve"> </w:t>
      </w:r>
    </w:p>
    <w:p>
      <w:pPr>
        <w:pStyle w:val="Subsection"/>
        <w:keepNext/>
        <w:keepLines/>
        <w:spacing w:before="120"/>
        <w:rPr>
          <w:snapToGrid w:val="0"/>
        </w:rPr>
      </w:pPr>
      <w:r>
        <w:rPr>
          <w:snapToGrid w:val="0"/>
        </w:rPr>
        <w:tab/>
      </w:r>
      <w:r>
        <w:rPr>
          <w:snapToGrid w:val="0"/>
        </w:rPr>
        <w:tab/>
        <w:t>A person shall not cause damage to a power line, pipe line or telephone line by the felling of a tree in a State forest or timber reserve.</w:t>
      </w:r>
    </w:p>
    <w:p>
      <w:pPr>
        <w:pStyle w:val="Penstart"/>
        <w:rPr>
          <w:snapToGrid w:val="0"/>
        </w:rPr>
      </w:pPr>
      <w:r>
        <w:rPr>
          <w:snapToGrid w:val="0"/>
        </w:rPr>
        <w:tab/>
        <w:t>Penalty: $2 000.</w:t>
      </w:r>
    </w:p>
    <w:p>
      <w:pPr>
        <w:pStyle w:val="Heading2"/>
      </w:pPr>
      <w:bookmarkStart w:id="79" w:name="_Toc154984337"/>
      <w:bookmarkStart w:id="80" w:name="_Toc155067142"/>
      <w:bookmarkStart w:id="81" w:name="_Toc155068003"/>
      <w:r>
        <w:rPr>
          <w:rStyle w:val="CharPartNo"/>
        </w:rPr>
        <w:t>Part 4</w:t>
      </w:r>
      <w:r>
        <w:t> — </w:t>
      </w:r>
      <w:r>
        <w:rPr>
          <w:rStyle w:val="CharPartText"/>
        </w:rPr>
        <w:t>Identification codes</w:t>
      </w:r>
      <w:bookmarkEnd w:id="79"/>
      <w:bookmarkEnd w:id="80"/>
      <w:bookmarkEnd w:id="81"/>
      <w:r>
        <w:rPr>
          <w:rStyle w:val="CharPartText"/>
        </w:rPr>
        <w:t xml:space="preserve"> </w:t>
      </w:r>
    </w:p>
    <w:p>
      <w:pPr>
        <w:pStyle w:val="Heading3"/>
        <w:rPr>
          <w:snapToGrid w:val="0"/>
        </w:rPr>
      </w:pPr>
      <w:bookmarkStart w:id="82" w:name="_Toc154984338"/>
      <w:bookmarkStart w:id="83" w:name="_Toc155067143"/>
      <w:bookmarkStart w:id="84" w:name="_Toc155068004"/>
      <w:r>
        <w:rPr>
          <w:rStyle w:val="CharDivNo"/>
        </w:rPr>
        <w:t>Division 1</w:t>
      </w:r>
      <w:r>
        <w:rPr>
          <w:snapToGrid w:val="0"/>
        </w:rPr>
        <w:t> — </w:t>
      </w:r>
      <w:r>
        <w:rPr>
          <w:rStyle w:val="CharDivText"/>
        </w:rPr>
        <w:t>Identification of fellers</w:t>
      </w:r>
      <w:bookmarkEnd w:id="82"/>
      <w:bookmarkEnd w:id="83"/>
      <w:bookmarkEnd w:id="84"/>
      <w:r>
        <w:rPr>
          <w:rStyle w:val="CharDivText"/>
        </w:rPr>
        <w:t xml:space="preserve"> </w:t>
      </w:r>
    </w:p>
    <w:p>
      <w:pPr>
        <w:pStyle w:val="Heading5"/>
        <w:rPr>
          <w:snapToGrid w:val="0"/>
        </w:rPr>
      </w:pPr>
      <w:bookmarkStart w:id="85" w:name="_Toc438372760"/>
      <w:bookmarkStart w:id="86" w:name="_Toc8187908"/>
      <w:bookmarkStart w:id="87" w:name="_Toc155068005"/>
      <w:r>
        <w:rPr>
          <w:rStyle w:val="CharSectno"/>
        </w:rPr>
        <w:t>24</w:t>
      </w:r>
      <w:r>
        <w:rPr>
          <w:snapToGrid w:val="0"/>
        </w:rPr>
        <w:t>.</w:t>
      </w:r>
      <w:r>
        <w:rPr>
          <w:snapToGrid w:val="0"/>
        </w:rPr>
        <w:tab/>
        <w:t>Person not to fell tree in State forest or timber reserve without identification code</w:t>
      </w:r>
      <w:bookmarkEnd w:id="85"/>
      <w:bookmarkEnd w:id="86"/>
      <w:bookmarkEnd w:id="87"/>
      <w:r>
        <w:rPr>
          <w:snapToGrid w:val="0"/>
        </w:rPr>
        <w:t xml:space="preserve"> </w:t>
      </w:r>
    </w:p>
    <w:p>
      <w:pPr>
        <w:pStyle w:val="Subsection"/>
        <w:rPr>
          <w:snapToGrid w:val="0"/>
        </w:rPr>
      </w:pPr>
      <w:r>
        <w:rPr>
          <w:snapToGrid w:val="0"/>
        </w:rPr>
        <w:tab/>
      </w:r>
      <w:r>
        <w:rPr>
          <w:snapToGrid w:val="0"/>
        </w:rPr>
        <w:tab/>
        <w:t>A person shall not fell a tree in a State forest or timber reserve unless a feller’s identification code has been registered in respect of that person under regulation 26.</w:t>
      </w:r>
    </w:p>
    <w:p>
      <w:pPr>
        <w:pStyle w:val="Penstart"/>
        <w:rPr>
          <w:snapToGrid w:val="0"/>
        </w:rPr>
      </w:pPr>
      <w:r>
        <w:rPr>
          <w:snapToGrid w:val="0"/>
        </w:rPr>
        <w:tab/>
        <w:t>Penalty: $2 000.</w:t>
      </w:r>
    </w:p>
    <w:p>
      <w:pPr>
        <w:pStyle w:val="Heading5"/>
        <w:rPr>
          <w:snapToGrid w:val="0"/>
        </w:rPr>
      </w:pPr>
      <w:bookmarkStart w:id="88" w:name="_Toc438372761"/>
      <w:bookmarkStart w:id="89" w:name="_Toc8187909"/>
      <w:bookmarkStart w:id="90" w:name="_Toc155068006"/>
      <w:r>
        <w:rPr>
          <w:rStyle w:val="CharSectno"/>
        </w:rPr>
        <w:t>25</w:t>
      </w:r>
      <w:r>
        <w:rPr>
          <w:snapToGrid w:val="0"/>
        </w:rPr>
        <w:t>.</w:t>
      </w:r>
      <w:r>
        <w:rPr>
          <w:snapToGrid w:val="0"/>
        </w:rPr>
        <w:tab/>
        <w:t>Application for feller’s identification code</w:t>
      </w:r>
      <w:bookmarkEnd w:id="88"/>
      <w:bookmarkEnd w:id="89"/>
      <w:bookmarkEnd w:id="90"/>
      <w:r>
        <w:rPr>
          <w:snapToGrid w:val="0"/>
        </w:rPr>
        <w:t xml:space="preserve"> </w:t>
      </w:r>
    </w:p>
    <w:p>
      <w:pPr>
        <w:pStyle w:val="Subsection"/>
        <w:rPr>
          <w:snapToGrid w:val="0"/>
        </w:rPr>
      </w:pPr>
      <w:r>
        <w:rPr>
          <w:snapToGrid w:val="0"/>
        </w:rPr>
        <w:tab/>
        <w:t>(1)</w:t>
      </w:r>
      <w:r>
        <w:rPr>
          <w:snapToGrid w:val="0"/>
        </w:rPr>
        <w:tab/>
        <w:t>An application for a feller’s identification code shall — </w:t>
      </w:r>
    </w:p>
    <w:p>
      <w:pPr>
        <w:pStyle w:val="Indenta"/>
        <w:rPr>
          <w:snapToGrid w:val="0"/>
        </w:rPr>
      </w:pPr>
      <w:r>
        <w:rPr>
          <w:snapToGrid w:val="0"/>
        </w:rPr>
        <w:tab/>
        <w:t>(a)</w:t>
      </w:r>
      <w:r>
        <w:rPr>
          <w:snapToGrid w:val="0"/>
        </w:rPr>
        <w:tab/>
        <w:t>be made to the Executive Director in a form approved by the Executive Director; and</w:t>
      </w:r>
    </w:p>
    <w:p>
      <w:pPr>
        <w:pStyle w:val="Indenta"/>
        <w:rPr>
          <w:snapToGrid w:val="0"/>
        </w:rPr>
      </w:pPr>
      <w:r>
        <w:rPr>
          <w:snapToGrid w:val="0"/>
        </w:rPr>
        <w:tab/>
        <w:t>(b)</w:t>
      </w:r>
      <w:r>
        <w:rPr>
          <w:snapToGrid w:val="0"/>
        </w:rPr>
        <w:tab/>
        <w:t>be accompanied by documentary evidence of any matter that the Executive Director considers necessary in relation to such an application.</w:t>
      </w:r>
    </w:p>
    <w:p>
      <w:pPr>
        <w:pStyle w:val="Subsection"/>
        <w:rPr>
          <w:snapToGrid w:val="0"/>
        </w:rPr>
      </w:pPr>
      <w:r>
        <w:rPr>
          <w:snapToGrid w:val="0"/>
        </w:rPr>
        <w:tab/>
        <w:t>(2)</w:t>
      </w:r>
      <w:r>
        <w:rPr>
          <w:snapToGrid w:val="0"/>
        </w:rPr>
        <w:tab/>
        <w:t>The applicant shall provide the Executive Director with such further information as the Executive Director requires in any particular case.</w:t>
      </w:r>
    </w:p>
    <w:p>
      <w:pPr>
        <w:pStyle w:val="Heading5"/>
        <w:rPr>
          <w:snapToGrid w:val="0"/>
        </w:rPr>
      </w:pPr>
      <w:bookmarkStart w:id="91" w:name="_Toc438372762"/>
      <w:bookmarkStart w:id="92" w:name="_Toc8187910"/>
      <w:bookmarkStart w:id="93" w:name="_Toc155068007"/>
      <w:r>
        <w:rPr>
          <w:rStyle w:val="CharSectno"/>
        </w:rPr>
        <w:t>26</w:t>
      </w:r>
      <w:r>
        <w:rPr>
          <w:snapToGrid w:val="0"/>
        </w:rPr>
        <w:t>.</w:t>
      </w:r>
      <w:r>
        <w:rPr>
          <w:snapToGrid w:val="0"/>
        </w:rPr>
        <w:tab/>
        <w:t>Registration of feller’s identification code</w:t>
      </w:r>
      <w:bookmarkEnd w:id="91"/>
      <w:bookmarkEnd w:id="92"/>
      <w:bookmarkEnd w:id="93"/>
      <w:r>
        <w:rPr>
          <w:snapToGrid w:val="0"/>
        </w:rPr>
        <w:t xml:space="preserve"> </w:t>
      </w:r>
    </w:p>
    <w:p>
      <w:pPr>
        <w:pStyle w:val="Subsection"/>
        <w:rPr>
          <w:snapToGrid w:val="0"/>
        </w:rPr>
      </w:pPr>
      <w:r>
        <w:rPr>
          <w:snapToGrid w:val="0"/>
        </w:rPr>
        <w:tab/>
        <w:t>(1)</w:t>
      </w:r>
      <w:r>
        <w:rPr>
          <w:snapToGrid w:val="0"/>
        </w:rPr>
        <w:tab/>
        <w:t>The Executive Director shall on being satisfied that an applicant — </w:t>
      </w:r>
    </w:p>
    <w:p>
      <w:pPr>
        <w:pStyle w:val="Indenta"/>
        <w:rPr>
          <w:snapToGrid w:val="0"/>
        </w:rPr>
      </w:pPr>
      <w:r>
        <w:rPr>
          <w:snapToGrid w:val="0"/>
        </w:rPr>
        <w:tab/>
        <w:t>(a)</w:t>
      </w:r>
      <w:r>
        <w:rPr>
          <w:snapToGrid w:val="0"/>
        </w:rPr>
        <w:tab/>
        <w:t>intends to fell trees in a State forest or timber reserve; and</w:t>
      </w:r>
    </w:p>
    <w:p>
      <w:pPr>
        <w:pStyle w:val="Indenta"/>
        <w:rPr>
          <w:snapToGrid w:val="0"/>
        </w:rPr>
      </w:pPr>
      <w:r>
        <w:rPr>
          <w:snapToGrid w:val="0"/>
        </w:rPr>
        <w:tab/>
        <w:t>(b)</w:t>
      </w:r>
      <w:r>
        <w:rPr>
          <w:snapToGrid w:val="0"/>
        </w:rPr>
        <w:tab/>
        <w:t>is qualified to fell trees,</w:t>
      </w:r>
    </w:p>
    <w:p>
      <w:pPr>
        <w:pStyle w:val="Subsection"/>
        <w:rPr>
          <w:snapToGrid w:val="0"/>
        </w:rPr>
      </w:pPr>
      <w:r>
        <w:rPr>
          <w:snapToGrid w:val="0"/>
        </w:rPr>
        <w:tab/>
      </w:r>
      <w:r>
        <w:rPr>
          <w:snapToGrid w:val="0"/>
        </w:rPr>
        <w:tab/>
        <w:t>register an identification code in respect of the applicant.</w:t>
      </w:r>
    </w:p>
    <w:p>
      <w:pPr>
        <w:pStyle w:val="Subsection"/>
        <w:rPr>
          <w:snapToGrid w:val="0"/>
        </w:rPr>
      </w:pPr>
      <w:r>
        <w:rPr>
          <w:snapToGrid w:val="0"/>
        </w:rPr>
        <w:tab/>
        <w:t>(2)</w:t>
      </w:r>
      <w:r>
        <w:rPr>
          <w:snapToGrid w:val="0"/>
        </w:rPr>
        <w:tab/>
        <w:t>The Executive Director shall — </w:t>
      </w:r>
    </w:p>
    <w:p>
      <w:pPr>
        <w:pStyle w:val="Indenta"/>
        <w:rPr>
          <w:snapToGrid w:val="0"/>
        </w:rPr>
      </w:pPr>
      <w:r>
        <w:rPr>
          <w:snapToGrid w:val="0"/>
        </w:rPr>
        <w:tab/>
        <w:t>(a)</w:t>
      </w:r>
      <w:r>
        <w:rPr>
          <w:snapToGrid w:val="0"/>
        </w:rPr>
        <w:tab/>
        <w:t>determine the identification code that is to be registered in respect of the applicant; and</w:t>
      </w:r>
    </w:p>
    <w:p>
      <w:pPr>
        <w:pStyle w:val="Indenta"/>
        <w:rPr>
          <w:snapToGrid w:val="0"/>
        </w:rPr>
      </w:pPr>
      <w:r>
        <w:rPr>
          <w:snapToGrid w:val="0"/>
        </w:rPr>
        <w:tab/>
        <w:t>(b)</w:t>
      </w:r>
      <w:r>
        <w:rPr>
          <w:snapToGrid w:val="0"/>
        </w:rPr>
        <w:tab/>
        <w:t>allocate a different identification code to each applicant.</w:t>
      </w:r>
    </w:p>
    <w:p>
      <w:pPr>
        <w:pStyle w:val="Subsection"/>
        <w:rPr>
          <w:snapToGrid w:val="0"/>
        </w:rPr>
      </w:pPr>
      <w:r>
        <w:rPr>
          <w:snapToGrid w:val="0"/>
        </w:rPr>
        <w:tab/>
        <w:t>(3)</w:t>
      </w:r>
      <w:r>
        <w:rPr>
          <w:snapToGrid w:val="0"/>
        </w:rPr>
        <w:tab/>
        <w:t>The Executive Director shall not register an identification code in respect of a person other than a natural person.</w:t>
      </w:r>
    </w:p>
    <w:p>
      <w:pPr>
        <w:pStyle w:val="Heading3"/>
        <w:rPr>
          <w:snapToGrid w:val="0"/>
        </w:rPr>
      </w:pPr>
      <w:bookmarkStart w:id="94" w:name="_Toc154984342"/>
      <w:bookmarkStart w:id="95" w:name="_Toc155067147"/>
      <w:bookmarkStart w:id="96" w:name="_Toc155068008"/>
      <w:r>
        <w:rPr>
          <w:rStyle w:val="CharDivNo"/>
        </w:rPr>
        <w:t>Division 2</w:t>
      </w:r>
      <w:r>
        <w:rPr>
          <w:snapToGrid w:val="0"/>
        </w:rPr>
        <w:t> — </w:t>
      </w:r>
      <w:r>
        <w:rPr>
          <w:rStyle w:val="CharDivText"/>
        </w:rPr>
        <w:t>Identification of log timber removed from private land</w:t>
      </w:r>
      <w:bookmarkEnd w:id="94"/>
      <w:bookmarkEnd w:id="95"/>
      <w:bookmarkEnd w:id="96"/>
      <w:r>
        <w:rPr>
          <w:rStyle w:val="CharDivText"/>
        </w:rPr>
        <w:t xml:space="preserve"> </w:t>
      </w:r>
    </w:p>
    <w:p>
      <w:pPr>
        <w:pStyle w:val="Heading5"/>
        <w:rPr>
          <w:snapToGrid w:val="0"/>
        </w:rPr>
      </w:pPr>
      <w:bookmarkStart w:id="97" w:name="_Toc438372763"/>
      <w:bookmarkStart w:id="98" w:name="_Toc8187911"/>
      <w:bookmarkStart w:id="99" w:name="_Toc155068009"/>
      <w:r>
        <w:rPr>
          <w:rStyle w:val="CharSectno"/>
        </w:rPr>
        <w:t>27</w:t>
      </w:r>
      <w:r>
        <w:rPr>
          <w:snapToGrid w:val="0"/>
        </w:rPr>
        <w:t>.</w:t>
      </w:r>
      <w:r>
        <w:rPr>
          <w:snapToGrid w:val="0"/>
        </w:rPr>
        <w:tab/>
        <w:t>Log timber removed from private land to be identified</w:t>
      </w:r>
      <w:bookmarkEnd w:id="97"/>
      <w:bookmarkEnd w:id="98"/>
      <w:bookmarkEnd w:id="99"/>
      <w:r>
        <w:rPr>
          <w:snapToGrid w:val="0"/>
        </w:rPr>
        <w:t xml:space="preserve"> </w:t>
      </w:r>
    </w:p>
    <w:p>
      <w:pPr>
        <w:pStyle w:val="Subsection"/>
        <w:rPr>
          <w:snapToGrid w:val="0"/>
        </w:rPr>
      </w:pPr>
      <w:r>
        <w:rPr>
          <w:snapToGrid w:val="0"/>
        </w:rPr>
        <w:tab/>
      </w:r>
      <w:r>
        <w:rPr>
          <w:snapToGrid w:val="0"/>
        </w:rPr>
        <w:tab/>
        <w:t>A person shall not cause or permit log timber that has been felled on private land to be removed from that land for the purpose of processing at a sawmill unless the log timber is distinctly marked, branded or otherwise identified with an identification code registered under regulation 29 in respect of the owner or owners of that land.</w:t>
      </w:r>
    </w:p>
    <w:p>
      <w:pPr>
        <w:pStyle w:val="Penstart"/>
        <w:rPr>
          <w:snapToGrid w:val="0"/>
        </w:rPr>
      </w:pPr>
      <w:r>
        <w:rPr>
          <w:snapToGrid w:val="0"/>
        </w:rPr>
        <w:tab/>
        <w:t>Penalty: $2 000.</w:t>
      </w:r>
    </w:p>
    <w:p>
      <w:pPr>
        <w:pStyle w:val="Heading5"/>
        <w:rPr>
          <w:snapToGrid w:val="0"/>
        </w:rPr>
      </w:pPr>
      <w:bookmarkStart w:id="100" w:name="_Toc438372764"/>
      <w:bookmarkStart w:id="101" w:name="_Toc8187912"/>
      <w:bookmarkStart w:id="102" w:name="_Toc155068010"/>
      <w:r>
        <w:rPr>
          <w:rStyle w:val="CharSectno"/>
        </w:rPr>
        <w:t>28</w:t>
      </w:r>
      <w:r>
        <w:rPr>
          <w:snapToGrid w:val="0"/>
        </w:rPr>
        <w:t>.</w:t>
      </w:r>
      <w:r>
        <w:rPr>
          <w:snapToGrid w:val="0"/>
        </w:rPr>
        <w:tab/>
        <w:t>Application for owner’s identification code</w:t>
      </w:r>
      <w:bookmarkEnd w:id="100"/>
      <w:bookmarkEnd w:id="101"/>
      <w:bookmarkEnd w:id="102"/>
      <w:r>
        <w:rPr>
          <w:snapToGrid w:val="0"/>
        </w:rPr>
        <w:t xml:space="preserve"> </w:t>
      </w:r>
    </w:p>
    <w:p>
      <w:pPr>
        <w:pStyle w:val="Subsection"/>
        <w:rPr>
          <w:snapToGrid w:val="0"/>
        </w:rPr>
      </w:pPr>
      <w:r>
        <w:rPr>
          <w:snapToGrid w:val="0"/>
        </w:rPr>
        <w:tab/>
        <w:t>(1)</w:t>
      </w:r>
      <w:r>
        <w:rPr>
          <w:snapToGrid w:val="0"/>
        </w:rPr>
        <w:tab/>
        <w:t>An application for an owner’s identification code may be made by an owner or occupier of private land or by any other person who intends to remove log timber from that land for the purpose of processing at a sawmill.</w:t>
      </w:r>
    </w:p>
    <w:p>
      <w:pPr>
        <w:pStyle w:val="Subsection"/>
        <w:rPr>
          <w:snapToGrid w:val="0"/>
        </w:rPr>
      </w:pPr>
      <w:r>
        <w:rPr>
          <w:snapToGrid w:val="0"/>
        </w:rPr>
        <w:tab/>
        <w:t>(2)</w:t>
      </w:r>
      <w:r>
        <w:rPr>
          <w:snapToGrid w:val="0"/>
        </w:rPr>
        <w:tab/>
        <w:t>An application for an owner’s identification code shall — </w:t>
      </w:r>
    </w:p>
    <w:p>
      <w:pPr>
        <w:pStyle w:val="Indenta"/>
        <w:rPr>
          <w:snapToGrid w:val="0"/>
        </w:rPr>
      </w:pPr>
      <w:r>
        <w:rPr>
          <w:snapToGrid w:val="0"/>
        </w:rPr>
        <w:tab/>
        <w:t>(a)</w:t>
      </w:r>
      <w:r>
        <w:rPr>
          <w:snapToGrid w:val="0"/>
        </w:rPr>
        <w:tab/>
        <w:t>be made to the Executive Director in a form approved by the Executive Director; and</w:t>
      </w:r>
    </w:p>
    <w:p>
      <w:pPr>
        <w:pStyle w:val="Indenta"/>
        <w:rPr>
          <w:snapToGrid w:val="0"/>
        </w:rPr>
      </w:pPr>
      <w:r>
        <w:rPr>
          <w:snapToGrid w:val="0"/>
        </w:rPr>
        <w:tab/>
        <w:t>(b)</w:t>
      </w:r>
      <w:r>
        <w:rPr>
          <w:snapToGrid w:val="0"/>
        </w:rPr>
        <w:tab/>
        <w:t>be accompanied by documentary evidence of any matter that the Executive Director considers necessary in relation to such an application.</w:t>
      </w:r>
    </w:p>
    <w:p>
      <w:pPr>
        <w:pStyle w:val="Subsection"/>
        <w:rPr>
          <w:snapToGrid w:val="0"/>
        </w:rPr>
      </w:pPr>
      <w:r>
        <w:rPr>
          <w:snapToGrid w:val="0"/>
        </w:rPr>
        <w:tab/>
        <w:t>(3)</w:t>
      </w:r>
      <w:r>
        <w:rPr>
          <w:snapToGrid w:val="0"/>
        </w:rPr>
        <w:tab/>
        <w:t>An applicant shall provide the Executive Director with such further information as the Executive Director requires in any particular case.</w:t>
      </w:r>
    </w:p>
    <w:p>
      <w:pPr>
        <w:pStyle w:val="Heading5"/>
        <w:rPr>
          <w:snapToGrid w:val="0"/>
        </w:rPr>
      </w:pPr>
      <w:bookmarkStart w:id="103" w:name="_Toc438372765"/>
      <w:bookmarkStart w:id="104" w:name="_Toc8187913"/>
      <w:bookmarkStart w:id="105" w:name="_Toc155068011"/>
      <w:r>
        <w:rPr>
          <w:rStyle w:val="CharSectno"/>
        </w:rPr>
        <w:t>29</w:t>
      </w:r>
      <w:r>
        <w:rPr>
          <w:snapToGrid w:val="0"/>
        </w:rPr>
        <w:t>.</w:t>
      </w:r>
      <w:r>
        <w:rPr>
          <w:snapToGrid w:val="0"/>
        </w:rPr>
        <w:tab/>
        <w:t>Registration of owner’s identification code</w:t>
      </w:r>
      <w:bookmarkEnd w:id="103"/>
      <w:bookmarkEnd w:id="104"/>
      <w:bookmarkEnd w:id="105"/>
      <w:r>
        <w:rPr>
          <w:snapToGrid w:val="0"/>
        </w:rPr>
        <w:t xml:space="preserve"> </w:t>
      </w:r>
    </w:p>
    <w:p>
      <w:pPr>
        <w:pStyle w:val="Subsection"/>
        <w:keepNext/>
        <w:rPr>
          <w:snapToGrid w:val="0"/>
        </w:rPr>
      </w:pPr>
      <w:r>
        <w:rPr>
          <w:snapToGrid w:val="0"/>
        </w:rPr>
        <w:tab/>
        <w:t>(1)</w:t>
      </w:r>
      <w:r>
        <w:rPr>
          <w:snapToGrid w:val="0"/>
        </w:rPr>
        <w:tab/>
        <w:t>The Executive Director shall on being satisfied — </w:t>
      </w:r>
    </w:p>
    <w:p>
      <w:pPr>
        <w:pStyle w:val="Indenta"/>
        <w:rPr>
          <w:snapToGrid w:val="0"/>
        </w:rPr>
      </w:pPr>
      <w:r>
        <w:rPr>
          <w:snapToGrid w:val="0"/>
        </w:rPr>
        <w:tab/>
        <w:t>(a)</w:t>
      </w:r>
      <w:r>
        <w:rPr>
          <w:snapToGrid w:val="0"/>
        </w:rPr>
        <w:tab/>
        <w:t>as to the identity of the owner or owners of any private land; and</w:t>
      </w:r>
    </w:p>
    <w:p>
      <w:pPr>
        <w:pStyle w:val="Indenta"/>
        <w:rPr>
          <w:snapToGrid w:val="0"/>
        </w:rPr>
      </w:pPr>
      <w:r>
        <w:rPr>
          <w:snapToGrid w:val="0"/>
        </w:rPr>
        <w:tab/>
        <w:t>(b)</w:t>
      </w:r>
      <w:r>
        <w:rPr>
          <w:snapToGrid w:val="0"/>
        </w:rPr>
        <w:tab/>
        <w:t>that the applicant is the owner or occupier of that land or some other person who intends to remove log timber from that land for the purpose of processing at a sawmill,</w:t>
      </w:r>
    </w:p>
    <w:p>
      <w:pPr>
        <w:pStyle w:val="Subsection"/>
        <w:rPr>
          <w:snapToGrid w:val="0"/>
        </w:rPr>
      </w:pPr>
      <w:r>
        <w:rPr>
          <w:snapToGrid w:val="0"/>
        </w:rPr>
        <w:tab/>
      </w:r>
      <w:r>
        <w:rPr>
          <w:snapToGrid w:val="0"/>
        </w:rPr>
        <w:tab/>
        <w:t>and upon payment of the fee specified in item 3 of Schedule 5, register an identification code in respect of the owner or owners of the land.</w:t>
      </w:r>
    </w:p>
    <w:p>
      <w:pPr>
        <w:pStyle w:val="Subsection"/>
        <w:rPr>
          <w:snapToGrid w:val="0"/>
        </w:rPr>
      </w:pPr>
      <w:r>
        <w:rPr>
          <w:snapToGrid w:val="0"/>
        </w:rPr>
        <w:tab/>
        <w:t>(2)</w:t>
      </w:r>
      <w:r>
        <w:rPr>
          <w:snapToGrid w:val="0"/>
        </w:rPr>
        <w:tab/>
        <w:t>The Executive Director shall — </w:t>
      </w:r>
    </w:p>
    <w:p>
      <w:pPr>
        <w:pStyle w:val="Indenta"/>
        <w:rPr>
          <w:snapToGrid w:val="0"/>
        </w:rPr>
      </w:pPr>
      <w:r>
        <w:rPr>
          <w:snapToGrid w:val="0"/>
        </w:rPr>
        <w:tab/>
        <w:t>(a)</w:t>
      </w:r>
      <w:r>
        <w:rPr>
          <w:snapToGrid w:val="0"/>
        </w:rPr>
        <w:tab/>
        <w:t>determine the identification code that is to be registered in respect of the owner or owners of private land; and</w:t>
      </w:r>
    </w:p>
    <w:p>
      <w:pPr>
        <w:pStyle w:val="Indenta"/>
        <w:rPr>
          <w:snapToGrid w:val="0"/>
        </w:rPr>
      </w:pPr>
      <w:r>
        <w:rPr>
          <w:snapToGrid w:val="0"/>
        </w:rPr>
        <w:tab/>
        <w:t>(b)</w:t>
      </w:r>
      <w:r>
        <w:rPr>
          <w:snapToGrid w:val="0"/>
        </w:rPr>
        <w:tab/>
        <w:t>allocate a different identification code in respect of each different owner or each different combination of owners (as the case may be) of private land.</w:t>
      </w:r>
    </w:p>
    <w:p>
      <w:pPr>
        <w:pStyle w:val="Heading5"/>
        <w:rPr>
          <w:snapToGrid w:val="0"/>
        </w:rPr>
      </w:pPr>
      <w:bookmarkStart w:id="106" w:name="_Toc438372766"/>
      <w:bookmarkStart w:id="107" w:name="_Toc8187914"/>
      <w:bookmarkStart w:id="108" w:name="_Toc155068012"/>
      <w:r>
        <w:rPr>
          <w:rStyle w:val="CharSectno"/>
        </w:rPr>
        <w:t>30</w:t>
      </w:r>
      <w:r>
        <w:rPr>
          <w:snapToGrid w:val="0"/>
        </w:rPr>
        <w:t>.</w:t>
      </w:r>
      <w:r>
        <w:rPr>
          <w:snapToGrid w:val="0"/>
        </w:rPr>
        <w:tab/>
        <w:t>Alteration, etc. of owner’s identification code prohibited</w:t>
      </w:r>
      <w:bookmarkEnd w:id="106"/>
      <w:bookmarkEnd w:id="107"/>
      <w:bookmarkEnd w:id="108"/>
      <w:r>
        <w:rPr>
          <w:snapToGrid w:val="0"/>
        </w:rPr>
        <w:t xml:space="preserve"> </w:t>
      </w:r>
    </w:p>
    <w:p>
      <w:pPr>
        <w:pStyle w:val="Subsection"/>
        <w:rPr>
          <w:snapToGrid w:val="0"/>
        </w:rPr>
      </w:pPr>
      <w:r>
        <w:rPr>
          <w:snapToGrid w:val="0"/>
        </w:rPr>
        <w:tab/>
      </w:r>
      <w:r>
        <w:rPr>
          <w:snapToGrid w:val="0"/>
        </w:rPr>
        <w:tab/>
        <w:t>A person shall not alter, obliterate, erase or deface an owner’s identification code that is marked or branded on any log timber unless authorized in writing to do so by the Executive Director or a forest officer.</w:t>
      </w:r>
    </w:p>
    <w:p>
      <w:pPr>
        <w:pStyle w:val="Penstart"/>
        <w:rPr>
          <w:snapToGrid w:val="0"/>
        </w:rPr>
      </w:pPr>
      <w:r>
        <w:rPr>
          <w:snapToGrid w:val="0"/>
        </w:rPr>
        <w:tab/>
        <w:t>Penalty: $2 000.</w:t>
      </w:r>
    </w:p>
    <w:p>
      <w:pPr>
        <w:pStyle w:val="Heading5"/>
        <w:rPr>
          <w:snapToGrid w:val="0"/>
        </w:rPr>
      </w:pPr>
      <w:bookmarkStart w:id="109" w:name="_Toc438372767"/>
      <w:bookmarkStart w:id="110" w:name="_Toc8187915"/>
      <w:bookmarkStart w:id="111" w:name="_Toc155068013"/>
      <w:r>
        <w:rPr>
          <w:rStyle w:val="CharSectno"/>
        </w:rPr>
        <w:t>31</w:t>
      </w:r>
      <w:r>
        <w:rPr>
          <w:snapToGrid w:val="0"/>
        </w:rPr>
        <w:t>.</w:t>
      </w:r>
      <w:r>
        <w:rPr>
          <w:snapToGrid w:val="0"/>
        </w:rPr>
        <w:tab/>
        <w:t>Use of incorrect owner’s identification code prohibited</w:t>
      </w:r>
      <w:bookmarkEnd w:id="109"/>
      <w:bookmarkEnd w:id="110"/>
      <w:bookmarkEnd w:id="111"/>
      <w:r>
        <w:rPr>
          <w:snapToGrid w:val="0"/>
        </w:rPr>
        <w:t xml:space="preserve"> </w:t>
      </w:r>
    </w:p>
    <w:p>
      <w:pPr>
        <w:pStyle w:val="Subsection"/>
        <w:rPr>
          <w:snapToGrid w:val="0"/>
        </w:rPr>
      </w:pPr>
      <w:r>
        <w:rPr>
          <w:snapToGrid w:val="0"/>
        </w:rPr>
        <w:tab/>
      </w:r>
      <w:r>
        <w:rPr>
          <w:snapToGrid w:val="0"/>
        </w:rPr>
        <w:tab/>
        <w:t>A person shall not mark or brand any timber felled on private land with an owner’s identification code registered in respect of a person or persons other than the owner or owners of that land.</w:t>
      </w:r>
    </w:p>
    <w:p>
      <w:pPr>
        <w:pStyle w:val="Penstart"/>
        <w:rPr>
          <w:snapToGrid w:val="0"/>
        </w:rPr>
      </w:pPr>
      <w:r>
        <w:rPr>
          <w:snapToGrid w:val="0"/>
        </w:rPr>
        <w:tab/>
        <w:t>Penalty: $2 000.</w:t>
      </w:r>
    </w:p>
    <w:p>
      <w:pPr>
        <w:pStyle w:val="Heading5"/>
        <w:rPr>
          <w:snapToGrid w:val="0"/>
        </w:rPr>
      </w:pPr>
      <w:bookmarkStart w:id="112" w:name="_Toc438372768"/>
      <w:bookmarkStart w:id="113" w:name="_Toc8187916"/>
      <w:bookmarkStart w:id="114" w:name="_Toc155068014"/>
      <w:r>
        <w:rPr>
          <w:rStyle w:val="CharSectno"/>
        </w:rPr>
        <w:t>32</w:t>
      </w:r>
      <w:r>
        <w:rPr>
          <w:snapToGrid w:val="0"/>
        </w:rPr>
        <w:t>.</w:t>
      </w:r>
      <w:r>
        <w:rPr>
          <w:snapToGrid w:val="0"/>
        </w:rPr>
        <w:tab/>
        <w:t>Marking of owner’s identification code on State forest timber prohibited</w:t>
      </w:r>
      <w:bookmarkEnd w:id="112"/>
      <w:bookmarkEnd w:id="113"/>
      <w:bookmarkEnd w:id="114"/>
      <w:r>
        <w:rPr>
          <w:snapToGrid w:val="0"/>
        </w:rPr>
        <w:t xml:space="preserve"> </w:t>
      </w:r>
    </w:p>
    <w:p>
      <w:pPr>
        <w:pStyle w:val="Subsection"/>
        <w:rPr>
          <w:snapToGrid w:val="0"/>
        </w:rPr>
      </w:pPr>
      <w:r>
        <w:rPr>
          <w:snapToGrid w:val="0"/>
        </w:rPr>
        <w:tab/>
      </w:r>
      <w:r>
        <w:rPr>
          <w:snapToGrid w:val="0"/>
        </w:rPr>
        <w:tab/>
        <w:t>A person shall not mark or brand an owner’s identification code on timber felled in a State forest or timber reserve.</w:t>
      </w:r>
    </w:p>
    <w:p>
      <w:pPr>
        <w:pStyle w:val="Penstart"/>
        <w:rPr>
          <w:snapToGrid w:val="0"/>
        </w:rPr>
      </w:pPr>
      <w:r>
        <w:rPr>
          <w:snapToGrid w:val="0"/>
        </w:rPr>
        <w:tab/>
        <w:t>Penalty: $2 000.</w:t>
      </w:r>
    </w:p>
    <w:p>
      <w:pPr>
        <w:pStyle w:val="Heading3"/>
        <w:rPr>
          <w:snapToGrid w:val="0"/>
        </w:rPr>
      </w:pPr>
      <w:bookmarkStart w:id="115" w:name="_Toc154984349"/>
      <w:bookmarkStart w:id="116" w:name="_Toc155067154"/>
      <w:bookmarkStart w:id="117" w:name="_Toc155068015"/>
      <w:r>
        <w:rPr>
          <w:rStyle w:val="CharDivNo"/>
        </w:rPr>
        <w:t>Division 3</w:t>
      </w:r>
      <w:r>
        <w:rPr>
          <w:snapToGrid w:val="0"/>
        </w:rPr>
        <w:t> — </w:t>
      </w:r>
      <w:r>
        <w:rPr>
          <w:rStyle w:val="CharDivText"/>
        </w:rPr>
        <w:t>General</w:t>
      </w:r>
      <w:bookmarkEnd w:id="115"/>
      <w:bookmarkEnd w:id="116"/>
      <w:bookmarkEnd w:id="117"/>
      <w:r>
        <w:rPr>
          <w:rStyle w:val="CharDivText"/>
        </w:rPr>
        <w:t xml:space="preserve"> </w:t>
      </w:r>
    </w:p>
    <w:p>
      <w:pPr>
        <w:pStyle w:val="Heading5"/>
        <w:rPr>
          <w:snapToGrid w:val="0"/>
        </w:rPr>
      </w:pPr>
      <w:bookmarkStart w:id="118" w:name="_Toc438372769"/>
      <w:bookmarkStart w:id="119" w:name="_Toc8187917"/>
      <w:bookmarkStart w:id="120" w:name="_Toc155068016"/>
      <w:r>
        <w:rPr>
          <w:rStyle w:val="CharSectno"/>
        </w:rPr>
        <w:t>33</w:t>
      </w:r>
      <w:r>
        <w:rPr>
          <w:snapToGrid w:val="0"/>
        </w:rPr>
        <w:t>.</w:t>
      </w:r>
      <w:r>
        <w:rPr>
          <w:snapToGrid w:val="0"/>
        </w:rPr>
        <w:tab/>
        <w:t>Identification codes not transferable</w:t>
      </w:r>
      <w:bookmarkEnd w:id="118"/>
      <w:bookmarkEnd w:id="119"/>
      <w:bookmarkEnd w:id="120"/>
      <w:r>
        <w:rPr>
          <w:snapToGrid w:val="0"/>
        </w:rPr>
        <w:t xml:space="preserve"> </w:t>
      </w:r>
    </w:p>
    <w:p>
      <w:pPr>
        <w:pStyle w:val="Subsection"/>
        <w:rPr>
          <w:snapToGrid w:val="0"/>
        </w:rPr>
      </w:pPr>
      <w:r>
        <w:rPr>
          <w:snapToGrid w:val="0"/>
        </w:rPr>
        <w:tab/>
      </w:r>
      <w:r>
        <w:rPr>
          <w:snapToGrid w:val="0"/>
        </w:rPr>
        <w:tab/>
        <w:t>An identification code registered under this Part is not transferable.</w:t>
      </w:r>
    </w:p>
    <w:p>
      <w:pPr>
        <w:pStyle w:val="Heading5"/>
        <w:rPr>
          <w:snapToGrid w:val="0"/>
        </w:rPr>
      </w:pPr>
      <w:bookmarkStart w:id="121" w:name="_Toc438372770"/>
      <w:bookmarkStart w:id="122" w:name="_Toc8187918"/>
      <w:bookmarkStart w:id="123" w:name="_Toc155068017"/>
      <w:r>
        <w:rPr>
          <w:rStyle w:val="CharSectno"/>
        </w:rPr>
        <w:t>34</w:t>
      </w:r>
      <w:r>
        <w:rPr>
          <w:snapToGrid w:val="0"/>
        </w:rPr>
        <w:t>.</w:t>
      </w:r>
      <w:r>
        <w:rPr>
          <w:snapToGrid w:val="0"/>
        </w:rPr>
        <w:tab/>
        <w:t>Register of identification codes</w:t>
      </w:r>
      <w:bookmarkEnd w:id="121"/>
      <w:bookmarkEnd w:id="122"/>
      <w:bookmarkEnd w:id="123"/>
      <w:r>
        <w:rPr>
          <w:snapToGrid w:val="0"/>
        </w:rPr>
        <w:t xml:space="preserve"> </w:t>
      </w:r>
    </w:p>
    <w:p>
      <w:pPr>
        <w:pStyle w:val="Subsection"/>
        <w:rPr>
          <w:snapToGrid w:val="0"/>
        </w:rPr>
      </w:pPr>
      <w:r>
        <w:rPr>
          <w:snapToGrid w:val="0"/>
        </w:rPr>
        <w:tab/>
      </w:r>
      <w:r>
        <w:rPr>
          <w:snapToGrid w:val="0"/>
        </w:rPr>
        <w:tab/>
        <w:t>The Executive Director shall cause to be compiled and maintained a register showing in respect of each identification code registered under this Part — </w:t>
      </w:r>
    </w:p>
    <w:p>
      <w:pPr>
        <w:pStyle w:val="Indenta"/>
        <w:rPr>
          <w:snapToGrid w:val="0"/>
        </w:rPr>
      </w:pPr>
      <w:r>
        <w:rPr>
          <w:snapToGrid w:val="0"/>
        </w:rPr>
        <w:tab/>
        <w:t>(a)</w:t>
      </w:r>
      <w:r>
        <w:rPr>
          <w:snapToGrid w:val="0"/>
        </w:rPr>
        <w:tab/>
        <w:t>the name and address of the person or persons to whom the identification code is allocated;</w:t>
      </w:r>
    </w:p>
    <w:p>
      <w:pPr>
        <w:pStyle w:val="Indenta"/>
        <w:rPr>
          <w:snapToGrid w:val="0"/>
        </w:rPr>
      </w:pPr>
      <w:r>
        <w:rPr>
          <w:snapToGrid w:val="0"/>
        </w:rPr>
        <w:tab/>
        <w:t>(b)</w:t>
      </w:r>
      <w:r>
        <w:rPr>
          <w:snapToGrid w:val="0"/>
        </w:rPr>
        <w:tab/>
        <w:t>such other information as the Executive Director determines to be relevant.</w:t>
      </w:r>
    </w:p>
    <w:p>
      <w:pPr>
        <w:pStyle w:val="Heading2"/>
      </w:pPr>
      <w:bookmarkStart w:id="124" w:name="_Toc154984352"/>
      <w:bookmarkStart w:id="125" w:name="_Toc155067157"/>
      <w:bookmarkStart w:id="126" w:name="_Toc155068018"/>
      <w:r>
        <w:rPr>
          <w:rStyle w:val="CharPartNo"/>
        </w:rPr>
        <w:t>Part 5</w:t>
      </w:r>
      <w:r>
        <w:rPr>
          <w:rStyle w:val="CharDivNo"/>
        </w:rPr>
        <w:t> </w:t>
      </w:r>
      <w:r>
        <w:t>—</w:t>
      </w:r>
      <w:r>
        <w:rPr>
          <w:rStyle w:val="CharDivText"/>
        </w:rPr>
        <w:t> </w:t>
      </w:r>
      <w:r>
        <w:rPr>
          <w:rStyle w:val="CharPartText"/>
        </w:rPr>
        <w:t>Log delivery notes</w:t>
      </w:r>
      <w:bookmarkEnd w:id="124"/>
      <w:bookmarkEnd w:id="125"/>
      <w:bookmarkEnd w:id="126"/>
      <w:r>
        <w:rPr>
          <w:rStyle w:val="CharPartText"/>
        </w:rPr>
        <w:t xml:space="preserve"> </w:t>
      </w:r>
    </w:p>
    <w:p>
      <w:pPr>
        <w:pStyle w:val="Heading5"/>
        <w:rPr>
          <w:snapToGrid w:val="0"/>
        </w:rPr>
      </w:pPr>
      <w:bookmarkStart w:id="127" w:name="_Toc438372771"/>
      <w:bookmarkStart w:id="128" w:name="_Toc8187919"/>
      <w:bookmarkStart w:id="129" w:name="_Toc155068019"/>
      <w:r>
        <w:rPr>
          <w:rStyle w:val="CharSectno"/>
        </w:rPr>
        <w:t>35</w:t>
      </w:r>
      <w:r>
        <w:rPr>
          <w:snapToGrid w:val="0"/>
        </w:rPr>
        <w:t>.</w:t>
      </w:r>
      <w:r>
        <w:rPr>
          <w:snapToGrid w:val="0"/>
        </w:rPr>
        <w:tab/>
        <w:t>Log timber not to be removed from State forest or timber reserve unless log delivery note completed</w:t>
      </w:r>
      <w:bookmarkEnd w:id="127"/>
      <w:bookmarkEnd w:id="128"/>
      <w:bookmarkEnd w:id="129"/>
      <w:r>
        <w:rPr>
          <w:snapToGrid w:val="0"/>
        </w:rPr>
        <w:t xml:space="preserve"> </w:t>
      </w:r>
    </w:p>
    <w:p>
      <w:pPr>
        <w:pStyle w:val="Subsection"/>
        <w:rPr>
          <w:snapToGrid w:val="0"/>
        </w:rPr>
      </w:pPr>
      <w:r>
        <w:rPr>
          <w:snapToGrid w:val="0"/>
        </w:rPr>
        <w:tab/>
        <w:t>(1)</w:t>
      </w:r>
      <w:r>
        <w:rPr>
          <w:snapToGrid w:val="0"/>
        </w:rPr>
        <w:tab/>
        <w:t>Except as provided in subregulation (2), a person shall not remove log timber that has been felled in a State forest or timber reserve from — </w:t>
      </w:r>
    </w:p>
    <w:p>
      <w:pPr>
        <w:pStyle w:val="Indenta"/>
        <w:rPr>
          <w:snapToGrid w:val="0"/>
        </w:rPr>
      </w:pPr>
      <w:r>
        <w:rPr>
          <w:snapToGrid w:val="0"/>
        </w:rPr>
        <w:tab/>
        <w:t>(a)</w:t>
      </w:r>
      <w:r>
        <w:rPr>
          <w:snapToGrid w:val="0"/>
        </w:rPr>
        <w:tab/>
        <w:t>a bush landing; or</w:t>
      </w:r>
    </w:p>
    <w:p>
      <w:pPr>
        <w:pStyle w:val="Indenta"/>
        <w:rPr>
          <w:snapToGrid w:val="0"/>
        </w:rPr>
      </w:pPr>
      <w:r>
        <w:rPr>
          <w:snapToGrid w:val="0"/>
        </w:rPr>
        <w:tab/>
        <w:t>(b)</w:t>
      </w:r>
      <w:r>
        <w:rPr>
          <w:snapToGrid w:val="0"/>
        </w:rPr>
        <w:tab/>
        <w:t>any other place in a State forest or timber reserve,</w:t>
      </w:r>
    </w:p>
    <w:p>
      <w:pPr>
        <w:pStyle w:val="Subsection"/>
        <w:rPr>
          <w:snapToGrid w:val="0"/>
        </w:rPr>
      </w:pPr>
      <w:r>
        <w:rPr>
          <w:snapToGrid w:val="0"/>
        </w:rPr>
        <w:tab/>
      </w:r>
      <w:r>
        <w:rPr>
          <w:snapToGrid w:val="0"/>
        </w:rPr>
        <w:tab/>
        <w:t>unless a log delivery note has been completed in accordance with this Part in respect of that timber.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Subregulation (1) does not apply to or in relation to — </w:t>
      </w:r>
    </w:p>
    <w:p>
      <w:pPr>
        <w:pStyle w:val="Indenta"/>
        <w:rPr>
          <w:snapToGrid w:val="0"/>
        </w:rPr>
      </w:pPr>
      <w:r>
        <w:rPr>
          <w:snapToGrid w:val="0"/>
        </w:rPr>
        <w:tab/>
        <w:t>(a)</w:t>
      </w:r>
      <w:r>
        <w:rPr>
          <w:snapToGrid w:val="0"/>
        </w:rPr>
        <w:tab/>
        <w:t>the removal of log timber from the place where the timber has been felled to a bush landing; or</w:t>
      </w:r>
    </w:p>
    <w:p>
      <w:pPr>
        <w:pStyle w:val="Indenta"/>
        <w:rPr>
          <w:snapToGrid w:val="0"/>
        </w:rPr>
      </w:pPr>
      <w:r>
        <w:rPr>
          <w:snapToGrid w:val="0"/>
        </w:rPr>
        <w:tab/>
        <w:t>(b)</w:t>
      </w:r>
      <w:r>
        <w:rPr>
          <w:snapToGrid w:val="0"/>
        </w:rPr>
        <w:tab/>
        <w:t>the removal of log timber that has been taken pursuant to a forest produce licence or in accordance with Part 15.</w:t>
      </w:r>
    </w:p>
    <w:p>
      <w:pPr>
        <w:pStyle w:val="Heading5"/>
        <w:rPr>
          <w:snapToGrid w:val="0"/>
        </w:rPr>
      </w:pPr>
      <w:bookmarkStart w:id="130" w:name="_Toc438372772"/>
      <w:bookmarkStart w:id="131" w:name="_Toc8187920"/>
      <w:bookmarkStart w:id="132" w:name="_Toc155068020"/>
      <w:r>
        <w:rPr>
          <w:rStyle w:val="CharSectno"/>
        </w:rPr>
        <w:t>36</w:t>
      </w:r>
      <w:r>
        <w:rPr>
          <w:snapToGrid w:val="0"/>
        </w:rPr>
        <w:t>.</w:t>
      </w:r>
      <w:r>
        <w:rPr>
          <w:snapToGrid w:val="0"/>
        </w:rPr>
        <w:tab/>
        <w:t>Information required in log delivery note</w:t>
      </w:r>
      <w:bookmarkEnd w:id="130"/>
      <w:bookmarkEnd w:id="131"/>
      <w:bookmarkEnd w:id="132"/>
      <w:r>
        <w:rPr>
          <w:snapToGrid w:val="0"/>
        </w:rPr>
        <w:t xml:space="preserve"> </w:t>
      </w:r>
    </w:p>
    <w:p>
      <w:pPr>
        <w:pStyle w:val="Subsection"/>
        <w:rPr>
          <w:snapToGrid w:val="0"/>
        </w:rPr>
      </w:pPr>
      <w:r>
        <w:rPr>
          <w:snapToGrid w:val="0"/>
        </w:rPr>
        <w:tab/>
      </w:r>
      <w:r>
        <w:rPr>
          <w:snapToGrid w:val="0"/>
        </w:rPr>
        <w:tab/>
        <w:t>A log delivery note shall contain the following information written in indelible pencil or indelible ink — </w:t>
      </w:r>
    </w:p>
    <w:p>
      <w:pPr>
        <w:pStyle w:val="Indenta"/>
        <w:rPr>
          <w:snapToGrid w:val="0"/>
        </w:rPr>
      </w:pPr>
      <w:r>
        <w:rPr>
          <w:snapToGrid w:val="0"/>
        </w:rPr>
        <w:tab/>
        <w:t>(a)</w:t>
      </w:r>
      <w:r>
        <w:rPr>
          <w:snapToGrid w:val="0"/>
        </w:rPr>
        <w:tab/>
        <w:t>the date of removal of the log timber;</w:t>
      </w:r>
    </w:p>
    <w:p>
      <w:pPr>
        <w:pStyle w:val="Indenta"/>
        <w:rPr>
          <w:snapToGrid w:val="0"/>
        </w:rPr>
      </w:pPr>
      <w:r>
        <w:rPr>
          <w:snapToGrid w:val="0"/>
        </w:rPr>
        <w:tab/>
        <w:t>(b)</w:t>
      </w:r>
      <w:r>
        <w:rPr>
          <w:snapToGrid w:val="0"/>
        </w:rPr>
        <w:tab/>
        <w:t>the name of the person to whom the log timber is to be delivered;</w:t>
      </w:r>
    </w:p>
    <w:p>
      <w:pPr>
        <w:pStyle w:val="Indenta"/>
        <w:rPr>
          <w:snapToGrid w:val="0"/>
        </w:rPr>
      </w:pPr>
      <w:r>
        <w:rPr>
          <w:snapToGrid w:val="0"/>
        </w:rPr>
        <w:tab/>
        <w:t>(c)</w:t>
      </w:r>
      <w:r>
        <w:rPr>
          <w:snapToGrid w:val="0"/>
        </w:rPr>
        <w:tab/>
        <w:t>the address of the place to which the log timber is to be delivered;</w:t>
      </w:r>
    </w:p>
    <w:p>
      <w:pPr>
        <w:pStyle w:val="Indenta"/>
        <w:rPr>
          <w:snapToGrid w:val="0"/>
        </w:rPr>
      </w:pPr>
      <w:r>
        <w:rPr>
          <w:snapToGrid w:val="0"/>
        </w:rPr>
        <w:tab/>
        <w:t>(d)</w:t>
      </w:r>
      <w:r>
        <w:rPr>
          <w:snapToGrid w:val="0"/>
        </w:rPr>
        <w:tab/>
        <w:t>the species, description, classification and grade of the log timber (being a species, description, classification and grade specified in the log delivery note);</w:t>
      </w:r>
    </w:p>
    <w:p>
      <w:pPr>
        <w:pStyle w:val="Indenta"/>
        <w:rPr>
          <w:snapToGrid w:val="0"/>
        </w:rPr>
      </w:pPr>
      <w:r>
        <w:rPr>
          <w:snapToGrid w:val="0"/>
        </w:rPr>
        <w:tab/>
        <w:t>(e)</w:t>
      </w:r>
      <w:r>
        <w:rPr>
          <w:snapToGrid w:val="0"/>
        </w:rPr>
        <w:tab/>
        <w:t>details of the location where the log timber was felled;</w:t>
      </w:r>
    </w:p>
    <w:p>
      <w:pPr>
        <w:pStyle w:val="Indenta"/>
        <w:rPr>
          <w:snapToGrid w:val="0"/>
        </w:rPr>
      </w:pPr>
      <w:r>
        <w:rPr>
          <w:snapToGrid w:val="0"/>
        </w:rPr>
        <w:tab/>
        <w:t>(f)</w:t>
      </w:r>
      <w:r>
        <w:rPr>
          <w:snapToGrid w:val="0"/>
        </w:rPr>
        <w:tab/>
        <w:t>if each log of timber is to be measured individually, the number of logs on the load;</w:t>
      </w:r>
    </w:p>
    <w:p>
      <w:pPr>
        <w:pStyle w:val="Indenta"/>
        <w:rPr>
          <w:snapToGrid w:val="0"/>
        </w:rPr>
      </w:pPr>
      <w:r>
        <w:rPr>
          <w:snapToGrid w:val="0"/>
        </w:rPr>
        <w:tab/>
        <w:t>(g)</w:t>
      </w:r>
      <w:r>
        <w:rPr>
          <w:snapToGrid w:val="0"/>
        </w:rPr>
        <w:tab/>
        <w:t>if the log timber is being removed under a contract to harvest and deliver, the name of the contractor and details of the contract;</w:t>
      </w:r>
    </w:p>
    <w:p>
      <w:pPr>
        <w:pStyle w:val="Indenta"/>
        <w:rPr>
          <w:snapToGrid w:val="0"/>
        </w:rPr>
      </w:pPr>
      <w:r>
        <w:rPr>
          <w:snapToGrid w:val="0"/>
        </w:rPr>
        <w:tab/>
        <w:t>(h)</w:t>
      </w:r>
      <w:r>
        <w:rPr>
          <w:snapToGrid w:val="0"/>
        </w:rPr>
        <w:tab/>
        <w:t xml:space="preserve">the feller’s identification code of the feller of the timber; </w:t>
      </w:r>
    </w:p>
    <w:p>
      <w:pPr>
        <w:pStyle w:val="Indenta"/>
        <w:rPr>
          <w:snapToGrid w:val="0"/>
        </w:rPr>
      </w:pPr>
      <w:r>
        <w:rPr>
          <w:snapToGrid w:val="0"/>
        </w:rPr>
        <w:tab/>
        <w:t>(i)</w:t>
      </w:r>
      <w:r>
        <w:rPr>
          <w:snapToGrid w:val="0"/>
        </w:rPr>
        <w:tab/>
        <w:t>the registration number of the vehicle on which the log timber is to be transported; and</w:t>
      </w:r>
    </w:p>
    <w:p>
      <w:pPr>
        <w:pStyle w:val="Indenta"/>
        <w:rPr>
          <w:snapToGrid w:val="0"/>
        </w:rPr>
      </w:pPr>
      <w:r>
        <w:rPr>
          <w:snapToGrid w:val="0"/>
        </w:rPr>
        <w:tab/>
        <w:t>(j)</w:t>
      </w:r>
      <w:r>
        <w:rPr>
          <w:snapToGrid w:val="0"/>
        </w:rPr>
        <w:tab/>
        <w:t>the signature of the driver of the vehicle transporting the log timber and, where that person did not load the timber onto the vehicle, the signature of the person or of each of the persons who loaded the timber onto the vehicle.</w:t>
      </w:r>
    </w:p>
    <w:p>
      <w:pPr>
        <w:pStyle w:val="Heading5"/>
        <w:rPr>
          <w:snapToGrid w:val="0"/>
        </w:rPr>
      </w:pPr>
      <w:bookmarkStart w:id="133" w:name="_Toc438372773"/>
      <w:bookmarkStart w:id="134" w:name="_Toc8187921"/>
      <w:bookmarkStart w:id="135" w:name="_Toc155068021"/>
      <w:r>
        <w:rPr>
          <w:rStyle w:val="CharSectno"/>
        </w:rPr>
        <w:t>37</w:t>
      </w:r>
      <w:r>
        <w:rPr>
          <w:snapToGrid w:val="0"/>
        </w:rPr>
        <w:t>.</w:t>
      </w:r>
      <w:r>
        <w:rPr>
          <w:snapToGrid w:val="0"/>
        </w:rPr>
        <w:tab/>
        <w:t>One log delivery note may be used for multiple logs</w:t>
      </w:r>
      <w:bookmarkEnd w:id="133"/>
      <w:bookmarkEnd w:id="134"/>
      <w:bookmarkEnd w:id="135"/>
      <w:r>
        <w:rPr>
          <w:snapToGrid w:val="0"/>
        </w:rPr>
        <w:t xml:space="preserve"> </w:t>
      </w:r>
    </w:p>
    <w:p>
      <w:pPr>
        <w:pStyle w:val="Subsection"/>
        <w:rPr>
          <w:snapToGrid w:val="0"/>
        </w:rPr>
      </w:pPr>
      <w:r>
        <w:rPr>
          <w:snapToGrid w:val="0"/>
        </w:rPr>
        <w:tab/>
      </w:r>
      <w:r>
        <w:rPr>
          <w:snapToGrid w:val="0"/>
        </w:rPr>
        <w:tab/>
        <w:t>One log delivery note may be completed in respect of 2 or more logs of timber in a load if the timber — </w:t>
      </w:r>
    </w:p>
    <w:p>
      <w:pPr>
        <w:pStyle w:val="Indenta"/>
        <w:rPr>
          <w:snapToGrid w:val="0"/>
        </w:rPr>
      </w:pPr>
      <w:r>
        <w:rPr>
          <w:snapToGrid w:val="0"/>
        </w:rPr>
        <w:tab/>
        <w:t>(a)</w:t>
      </w:r>
      <w:r>
        <w:rPr>
          <w:snapToGrid w:val="0"/>
        </w:rPr>
        <w:tab/>
        <w:t>is of the same description, classification and grade (being a description, classification and grade specified in a log delivery note);</w:t>
      </w:r>
    </w:p>
    <w:p>
      <w:pPr>
        <w:pStyle w:val="Indenta"/>
        <w:rPr>
          <w:snapToGrid w:val="0"/>
        </w:rPr>
      </w:pPr>
      <w:r>
        <w:rPr>
          <w:snapToGrid w:val="0"/>
        </w:rPr>
        <w:tab/>
        <w:t>(b)</w:t>
      </w:r>
      <w:r>
        <w:rPr>
          <w:snapToGrid w:val="0"/>
        </w:rPr>
        <w:tab/>
        <w:t>has the same destination; and</w:t>
      </w:r>
    </w:p>
    <w:p>
      <w:pPr>
        <w:pStyle w:val="Indenta"/>
        <w:rPr>
          <w:snapToGrid w:val="0"/>
        </w:rPr>
      </w:pPr>
      <w:r>
        <w:rPr>
          <w:snapToGrid w:val="0"/>
        </w:rPr>
        <w:tab/>
        <w:t>(c)</w:t>
      </w:r>
      <w:r>
        <w:rPr>
          <w:snapToGrid w:val="0"/>
        </w:rPr>
        <w:tab/>
        <w:t>in the case of timber that is to be quantified by weighing, is to be weighed simultaneously,</w:t>
      </w:r>
    </w:p>
    <w:p>
      <w:pPr>
        <w:pStyle w:val="Subsection"/>
        <w:rPr>
          <w:snapToGrid w:val="0"/>
        </w:rPr>
      </w:pPr>
      <w:r>
        <w:rPr>
          <w:snapToGrid w:val="0"/>
        </w:rPr>
        <w:tab/>
      </w:r>
      <w:r>
        <w:rPr>
          <w:snapToGrid w:val="0"/>
        </w:rPr>
        <w:tab/>
        <w:t>but in any other case a log delivery note shall be completed in respect of each log of timber in the load.</w:t>
      </w:r>
    </w:p>
    <w:p>
      <w:pPr>
        <w:pStyle w:val="Heading5"/>
        <w:rPr>
          <w:snapToGrid w:val="0"/>
        </w:rPr>
      </w:pPr>
      <w:bookmarkStart w:id="136" w:name="_Toc438372774"/>
      <w:bookmarkStart w:id="137" w:name="_Toc8187922"/>
      <w:bookmarkStart w:id="138" w:name="_Toc155068022"/>
      <w:r>
        <w:rPr>
          <w:rStyle w:val="CharSectno"/>
        </w:rPr>
        <w:t>38</w:t>
      </w:r>
      <w:r>
        <w:rPr>
          <w:snapToGrid w:val="0"/>
        </w:rPr>
        <w:t>.</w:t>
      </w:r>
      <w:r>
        <w:rPr>
          <w:snapToGrid w:val="0"/>
        </w:rPr>
        <w:tab/>
        <w:t>Copies to be made of log delivery note</w:t>
      </w:r>
      <w:bookmarkEnd w:id="136"/>
      <w:bookmarkEnd w:id="137"/>
      <w:bookmarkEnd w:id="138"/>
      <w:r>
        <w:rPr>
          <w:snapToGrid w:val="0"/>
        </w:rPr>
        <w:t xml:space="preserve"> </w:t>
      </w:r>
    </w:p>
    <w:p>
      <w:pPr>
        <w:pStyle w:val="Subsection"/>
        <w:rPr>
          <w:snapToGrid w:val="0"/>
        </w:rPr>
      </w:pPr>
      <w:r>
        <w:rPr>
          <w:snapToGrid w:val="0"/>
        </w:rPr>
        <w:tab/>
      </w:r>
      <w:r>
        <w:rPr>
          <w:snapToGrid w:val="0"/>
        </w:rPr>
        <w:tab/>
        <w:t>A person completing a log delivery note shall ensure that 3 carbon copies are made of the log delivery note.</w:t>
      </w:r>
    </w:p>
    <w:p>
      <w:pPr>
        <w:pStyle w:val="Penstart"/>
        <w:rPr>
          <w:snapToGrid w:val="0"/>
        </w:rPr>
      </w:pPr>
      <w:r>
        <w:rPr>
          <w:snapToGrid w:val="0"/>
        </w:rPr>
        <w:tab/>
        <w:t>Penalty: $1 000.</w:t>
      </w:r>
    </w:p>
    <w:p>
      <w:pPr>
        <w:pStyle w:val="Heading5"/>
        <w:rPr>
          <w:snapToGrid w:val="0"/>
        </w:rPr>
      </w:pPr>
      <w:bookmarkStart w:id="139" w:name="_Toc438372775"/>
      <w:bookmarkStart w:id="140" w:name="_Toc8187923"/>
      <w:bookmarkStart w:id="141" w:name="_Toc155068023"/>
      <w:r>
        <w:rPr>
          <w:rStyle w:val="CharSectno"/>
        </w:rPr>
        <w:t>39</w:t>
      </w:r>
      <w:r>
        <w:rPr>
          <w:snapToGrid w:val="0"/>
        </w:rPr>
        <w:t>.</w:t>
      </w:r>
      <w:r>
        <w:rPr>
          <w:snapToGrid w:val="0"/>
        </w:rPr>
        <w:tab/>
        <w:t>Issue and form of log delivery notes</w:t>
      </w:r>
      <w:bookmarkEnd w:id="139"/>
      <w:bookmarkEnd w:id="140"/>
      <w:bookmarkEnd w:id="141"/>
      <w:r>
        <w:rPr>
          <w:snapToGrid w:val="0"/>
        </w:rPr>
        <w:t xml:space="preserve"> </w:t>
      </w:r>
    </w:p>
    <w:p>
      <w:pPr>
        <w:pStyle w:val="Subsection"/>
        <w:rPr>
          <w:snapToGrid w:val="0"/>
        </w:rPr>
      </w:pPr>
      <w:r>
        <w:rPr>
          <w:snapToGrid w:val="0"/>
        </w:rPr>
        <w:tab/>
        <w:t>(1)</w:t>
      </w:r>
      <w:r>
        <w:rPr>
          <w:snapToGrid w:val="0"/>
        </w:rPr>
        <w:tab/>
        <w:t>The Executive Director is responsible for the issue and supply of books of log delivery notes.</w:t>
      </w:r>
    </w:p>
    <w:p>
      <w:pPr>
        <w:pStyle w:val="Subsection"/>
        <w:rPr>
          <w:snapToGrid w:val="0"/>
        </w:rPr>
      </w:pPr>
      <w:r>
        <w:rPr>
          <w:snapToGrid w:val="0"/>
        </w:rPr>
        <w:tab/>
        <w:t>(2)</w:t>
      </w:r>
      <w:r>
        <w:rPr>
          <w:snapToGrid w:val="0"/>
        </w:rPr>
        <w:tab/>
        <w:t>Upon the issue of a book of log delivery notes the Executive Director may require the recipient to sign a receipt for the book.</w:t>
      </w:r>
    </w:p>
    <w:p>
      <w:pPr>
        <w:pStyle w:val="Subsection"/>
        <w:rPr>
          <w:snapToGrid w:val="0"/>
        </w:rPr>
      </w:pPr>
      <w:r>
        <w:rPr>
          <w:snapToGrid w:val="0"/>
        </w:rPr>
        <w:tab/>
        <w:t>(3)</w:t>
      </w:r>
      <w:r>
        <w:rPr>
          <w:snapToGrid w:val="0"/>
        </w:rPr>
        <w:tab/>
        <w:t>A person shall not use a form of log delivery note other than a form supplied by the Executive Director.</w:t>
      </w:r>
    </w:p>
    <w:p>
      <w:pPr>
        <w:pStyle w:val="Penstart"/>
        <w:rPr>
          <w:snapToGrid w:val="0"/>
        </w:rPr>
      </w:pPr>
      <w:r>
        <w:rPr>
          <w:snapToGrid w:val="0"/>
        </w:rPr>
        <w:tab/>
        <w:t>Penalty: $50.</w:t>
      </w:r>
    </w:p>
    <w:p>
      <w:pPr>
        <w:pStyle w:val="Heading5"/>
        <w:rPr>
          <w:snapToGrid w:val="0"/>
        </w:rPr>
      </w:pPr>
      <w:bookmarkStart w:id="142" w:name="_Toc438372776"/>
      <w:bookmarkStart w:id="143" w:name="_Toc8187924"/>
      <w:bookmarkStart w:id="144" w:name="_Toc155068024"/>
      <w:r>
        <w:rPr>
          <w:rStyle w:val="CharSectno"/>
        </w:rPr>
        <w:t>40</w:t>
      </w:r>
      <w:r>
        <w:rPr>
          <w:snapToGrid w:val="0"/>
        </w:rPr>
        <w:t>.</w:t>
      </w:r>
      <w:r>
        <w:rPr>
          <w:snapToGrid w:val="0"/>
        </w:rPr>
        <w:tab/>
        <w:t>Return of unused log delivery notes</w:t>
      </w:r>
      <w:bookmarkEnd w:id="142"/>
      <w:bookmarkEnd w:id="143"/>
      <w:bookmarkEnd w:id="144"/>
      <w:r>
        <w:rPr>
          <w:snapToGrid w:val="0"/>
        </w:rPr>
        <w:t xml:space="preserve"> </w:t>
      </w:r>
    </w:p>
    <w:p>
      <w:pPr>
        <w:pStyle w:val="Subsection"/>
        <w:rPr>
          <w:snapToGrid w:val="0"/>
        </w:rPr>
      </w:pPr>
      <w:r>
        <w:rPr>
          <w:snapToGrid w:val="0"/>
        </w:rPr>
        <w:tab/>
      </w:r>
      <w:r>
        <w:rPr>
          <w:snapToGrid w:val="0"/>
        </w:rPr>
        <w:tab/>
        <w:t>A person to whom a book of log delivery notes has been issued by the Executive Director shall, as soon as practicable after the expiration of 12 months from the day on which the book was issued, return to the Executive Director any log delivery note in the book that has not been used.</w:t>
      </w:r>
    </w:p>
    <w:p>
      <w:pPr>
        <w:pStyle w:val="Penstart"/>
        <w:rPr>
          <w:snapToGrid w:val="0"/>
        </w:rPr>
      </w:pPr>
      <w:r>
        <w:rPr>
          <w:snapToGrid w:val="0"/>
        </w:rPr>
        <w:tab/>
        <w:t>Penalty: $1 000.</w:t>
      </w:r>
    </w:p>
    <w:p>
      <w:pPr>
        <w:pStyle w:val="Heading5"/>
        <w:rPr>
          <w:snapToGrid w:val="0"/>
        </w:rPr>
      </w:pPr>
      <w:bookmarkStart w:id="145" w:name="_Toc438372777"/>
      <w:bookmarkStart w:id="146" w:name="_Toc8187925"/>
      <w:bookmarkStart w:id="147" w:name="_Toc155068025"/>
      <w:r>
        <w:rPr>
          <w:rStyle w:val="CharSectno"/>
        </w:rPr>
        <w:t>41</w:t>
      </w:r>
      <w:r>
        <w:rPr>
          <w:snapToGrid w:val="0"/>
        </w:rPr>
        <w:t>.</w:t>
      </w:r>
      <w:r>
        <w:rPr>
          <w:snapToGrid w:val="0"/>
        </w:rPr>
        <w:tab/>
        <w:t>Destruction of log delivery notes prohibited</w:t>
      </w:r>
      <w:bookmarkEnd w:id="145"/>
      <w:bookmarkEnd w:id="146"/>
      <w:bookmarkEnd w:id="147"/>
      <w:r>
        <w:rPr>
          <w:snapToGrid w:val="0"/>
        </w:rPr>
        <w:t xml:space="preserve"> </w:t>
      </w:r>
    </w:p>
    <w:p>
      <w:pPr>
        <w:pStyle w:val="Subsection"/>
        <w:rPr>
          <w:snapToGrid w:val="0"/>
        </w:rPr>
      </w:pPr>
      <w:r>
        <w:rPr>
          <w:snapToGrid w:val="0"/>
        </w:rPr>
        <w:tab/>
      </w:r>
      <w:r>
        <w:rPr>
          <w:snapToGrid w:val="0"/>
        </w:rPr>
        <w:tab/>
        <w:t>A person shall not destroy a log delivery note, whether completed, partially completed or unused, unless authorized in writing to do so by the Executive Director.</w:t>
      </w:r>
    </w:p>
    <w:p>
      <w:pPr>
        <w:pStyle w:val="Penstart"/>
        <w:rPr>
          <w:snapToGrid w:val="0"/>
        </w:rPr>
      </w:pPr>
      <w:r>
        <w:rPr>
          <w:snapToGrid w:val="0"/>
        </w:rPr>
        <w:tab/>
        <w:t>Penalty: $1 000.</w:t>
      </w:r>
    </w:p>
    <w:p>
      <w:pPr>
        <w:pStyle w:val="Heading5"/>
        <w:rPr>
          <w:snapToGrid w:val="0"/>
        </w:rPr>
      </w:pPr>
      <w:bookmarkStart w:id="148" w:name="_Toc438372778"/>
      <w:bookmarkStart w:id="149" w:name="_Toc8187926"/>
      <w:bookmarkStart w:id="150" w:name="_Toc155068026"/>
      <w:r>
        <w:rPr>
          <w:rStyle w:val="CharSectno"/>
        </w:rPr>
        <w:t>42</w:t>
      </w:r>
      <w:r>
        <w:rPr>
          <w:snapToGrid w:val="0"/>
        </w:rPr>
        <w:t>.</w:t>
      </w:r>
      <w:r>
        <w:rPr>
          <w:snapToGrid w:val="0"/>
        </w:rPr>
        <w:tab/>
        <w:t>Requirement to return, or account for, log delivery notes</w:t>
      </w:r>
      <w:bookmarkEnd w:id="148"/>
      <w:bookmarkEnd w:id="149"/>
      <w:bookmarkEnd w:id="150"/>
      <w:r>
        <w:rPr>
          <w:snapToGrid w:val="0"/>
        </w:rPr>
        <w:t xml:space="preserve"> </w:t>
      </w:r>
    </w:p>
    <w:p>
      <w:pPr>
        <w:pStyle w:val="Subsection"/>
        <w:rPr>
          <w:snapToGrid w:val="0"/>
        </w:rPr>
      </w:pPr>
      <w:r>
        <w:rPr>
          <w:snapToGrid w:val="0"/>
        </w:rPr>
        <w:tab/>
      </w:r>
      <w:r>
        <w:rPr>
          <w:snapToGrid w:val="0"/>
        </w:rPr>
        <w:tab/>
        <w:t>Notwithstanding regulation 40, a person to whom a book of log delivery notes has been issued by the Executive Director, when required by the Executive Director by notice in writing — </w:t>
      </w:r>
    </w:p>
    <w:p>
      <w:pPr>
        <w:pStyle w:val="Indenta"/>
        <w:rPr>
          <w:snapToGrid w:val="0"/>
        </w:rPr>
      </w:pPr>
      <w:r>
        <w:rPr>
          <w:snapToGrid w:val="0"/>
        </w:rPr>
        <w:tab/>
        <w:t>(a)</w:t>
      </w:r>
      <w:r>
        <w:rPr>
          <w:snapToGrid w:val="0"/>
        </w:rPr>
        <w:tab/>
        <w:t>to return the book or any log delivery note in the book to the Executive Director, shall not refuse or fail to do so within a period specified in the notice; or</w:t>
      </w:r>
    </w:p>
    <w:p>
      <w:pPr>
        <w:pStyle w:val="Indenta"/>
        <w:rPr>
          <w:snapToGrid w:val="0"/>
        </w:rPr>
      </w:pPr>
      <w:r>
        <w:rPr>
          <w:snapToGrid w:val="0"/>
        </w:rPr>
        <w:tab/>
        <w:t>(b)</w:t>
      </w:r>
      <w:r>
        <w:rPr>
          <w:snapToGrid w:val="0"/>
        </w:rPr>
        <w:tab/>
        <w:t>to account for the whereabouts of the book or any log delivery note in the book, shall not refuse or fail to do so within a period specified in the notice or give a false account of the whereabouts of the book or log delivery note.</w:t>
      </w:r>
    </w:p>
    <w:p>
      <w:pPr>
        <w:pStyle w:val="Penstart"/>
        <w:rPr>
          <w:snapToGrid w:val="0"/>
        </w:rPr>
      </w:pPr>
      <w:r>
        <w:rPr>
          <w:snapToGrid w:val="0"/>
        </w:rPr>
        <w:tab/>
        <w:t>Penalty: $2 000.</w:t>
      </w:r>
    </w:p>
    <w:p>
      <w:pPr>
        <w:pStyle w:val="Heading5"/>
        <w:rPr>
          <w:snapToGrid w:val="0"/>
        </w:rPr>
      </w:pPr>
      <w:bookmarkStart w:id="151" w:name="_Toc438372779"/>
      <w:bookmarkStart w:id="152" w:name="_Toc8187927"/>
      <w:bookmarkStart w:id="153" w:name="_Toc155068027"/>
      <w:r>
        <w:rPr>
          <w:rStyle w:val="CharSectno"/>
        </w:rPr>
        <w:t>43</w:t>
      </w:r>
      <w:r>
        <w:rPr>
          <w:snapToGrid w:val="0"/>
        </w:rPr>
        <w:t>.</w:t>
      </w:r>
      <w:r>
        <w:rPr>
          <w:snapToGrid w:val="0"/>
        </w:rPr>
        <w:tab/>
        <w:t>False statements</w:t>
      </w:r>
      <w:bookmarkEnd w:id="151"/>
      <w:bookmarkEnd w:id="152"/>
      <w:bookmarkEnd w:id="153"/>
      <w:r>
        <w:rPr>
          <w:snapToGrid w:val="0"/>
        </w:rPr>
        <w:t xml:space="preserve"> </w:t>
      </w:r>
    </w:p>
    <w:p>
      <w:pPr>
        <w:pStyle w:val="Subsection"/>
        <w:rPr>
          <w:snapToGrid w:val="0"/>
        </w:rPr>
      </w:pPr>
      <w:r>
        <w:rPr>
          <w:snapToGrid w:val="0"/>
        </w:rPr>
        <w:tab/>
      </w:r>
      <w:r>
        <w:rPr>
          <w:snapToGrid w:val="0"/>
        </w:rPr>
        <w:tab/>
        <w:t>A person shall not make any statement or provide any information in a log delivery note that is false or misleading in a material particular.</w:t>
      </w:r>
    </w:p>
    <w:p>
      <w:pPr>
        <w:pStyle w:val="Penstart"/>
        <w:rPr>
          <w:snapToGrid w:val="0"/>
        </w:rPr>
      </w:pPr>
      <w:r>
        <w:rPr>
          <w:snapToGrid w:val="0"/>
        </w:rPr>
        <w:tab/>
        <w:t>Penalty: $2 000.</w:t>
      </w:r>
    </w:p>
    <w:p>
      <w:pPr>
        <w:pStyle w:val="Heading5"/>
        <w:rPr>
          <w:snapToGrid w:val="0"/>
        </w:rPr>
      </w:pPr>
      <w:bookmarkStart w:id="154" w:name="_Toc438372780"/>
      <w:bookmarkStart w:id="155" w:name="_Toc8187928"/>
      <w:bookmarkStart w:id="156" w:name="_Toc155068028"/>
      <w:r>
        <w:rPr>
          <w:rStyle w:val="CharSectno"/>
        </w:rPr>
        <w:t>44</w:t>
      </w:r>
      <w:r>
        <w:rPr>
          <w:snapToGrid w:val="0"/>
        </w:rPr>
        <w:t>.</w:t>
      </w:r>
      <w:r>
        <w:rPr>
          <w:snapToGrid w:val="0"/>
        </w:rPr>
        <w:tab/>
        <w:t>Alteration, etc. of log delivery notes prohibited</w:t>
      </w:r>
      <w:bookmarkEnd w:id="154"/>
      <w:bookmarkEnd w:id="155"/>
      <w:bookmarkEnd w:id="156"/>
      <w:r>
        <w:rPr>
          <w:snapToGrid w:val="0"/>
        </w:rPr>
        <w:t xml:space="preserve"> </w:t>
      </w:r>
    </w:p>
    <w:p>
      <w:pPr>
        <w:pStyle w:val="Subsection"/>
        <w:rPr>
          <w:snapToGrid w:val="0"/>
        </w:rPr>
      </w:pPr>
      <w:r>
        <w:rPr>
          <w:snapToGrid w:val="0"/>
        </w:rPr>
        <w:tab/>
      </w:r>
      <w:r>
        <w:rPr>
          <w:snapToGrid w:val="0"/>
        </w:rPr>
        <w:tab/>
        <w:t>A person shall not alter or obliterate any statement or information entered in a log delivery note unless, in the case of an alteration, the alteration is — </w:t>
      </w:r>
    </w:p>
    <w:p>
      <w:pPr>
        <w:pStyle w:val="Indenta"/>
        <w:rPr>
          <w:snapToGrid w:val="0"/>
        </w:rPr>
      </w:pPr>
      <w:r>
        <w:rPr>
          <w:snapToGrid w:val="0"/>
        </w:rPr>
        <w:tab/>
        <w:t>(a)</w:t>
      </w:r>
      <w:r>
        <w:rPr>
          <w:snapToGrid w:val="0"/>
        </w:rPr>
        <w:tab/>
        <w:t xml:space="preserve">made for the purpose of correcting a </w:t>
      </w:r>
      <w:r>
        <w:rPr>
          <w:i/>
          <w:snapToGrid w:val="0"/>
        </w:rPr>
        <w:t>bona fide</w:t>
      </w:r>
      <w:r>
        <w:rPr>
          <w:snapToGrid w:val="0"/>
        </w:rPr>
        <w:t xml:space="preserve"> mistake as soon as practicable after the mistake is discovered;</w:t>
      </w:r>
    </w:p>
    <w:p>
      <w:pPr>
        <w:pStyle w:val="Indenta"/>
        <w:rPr>
          <w:snapToGrid w:val="0"/>
        </w:rPr>
      </w:pPr>
      <w:r>
        <w:rPr>
          <w:snapToGrid w:val="0"/>
        </w:rPr>
        <w:tab/>
        <w:t>(b)</w:t>
      </w:r>
      <w:r>
        <w:rPr>
          <w:snapToGrid w:val="0"/>
        </w:rPr>
        <w:tab/>
        <w:t>made in such a manner as to leave the statement or information that is altered legible; and</w:t>
      </w:r>
    </w:p>
    <w:p>
      <w:pPr>
        <w:pStyle w:val="Indenta"/>
        <w:rPr>
          <w:snapToGrid w:val="0"/>
        </w:rPr>
      </w:pPr>
      <w:r>
        <w:rPr>
          <w:snapToGrid w:val="0"/>
        </w:rPr>
        <w:tab/>
        <w:t>(c)</w:t>
      </w:r>
      <w:r>
        <w:rPr>
          <w:snapToGrid w:val="0"/>
        </w:rPr>
        <w:tab/>
        <w:t>initialled by the person making the alteration immediately after the alteration is made.</w:t>
      </w:r>
    </w:p>
    <w:p>
      <w:pPr>
        <w:pStyle w:val="Penstart"/>
        <w:rPr>
          <w:snapToGrid w:val="0"/>
        </w:rPr>
      </w:pPr>
      <w:r>
        <w:rPr>
          <w:snapToGrid w:val="0"/>
        </w:rPr>
        <w:tab/>
        <w:t>Penalty: $2 000.</w:t>
      </w:r>
    </w:p>
    <w:p>
      <w:pPr>
        <w:pStyle w:val="Heading5"/>
        <w:rPr>
          <w:snapToGrid w:val="0"/>
        </w:rPr>
      </w:pPr>
      <w:bookmarkStart w:id="157" w:name="_Toc438372781"/>
      <w:bookmarkStart w:id="158" w:name="_Toc8187929"/>
      <w:bookmarkStart w:id="159" w:name="_Toc155068029"/>
      <w:r>
        <w:rPr>
          <w:rStyle w:val="CharSectno"/>
        </w:rPr>
        <w:t>45</w:t>
      </w:r>
      <w:r>
        <w:rPr>
          <w:snapToGrid w:val="0"/>
        </w:rPr>
        <w:t>.</w:t>
      </w:r>
      <w:r>
        <w:rPr>
          <w:snapToGrid w:val="0"/>
        </w:rPr>
        <w:tab/>
        <w:t>Log delivery notes to be carried in vehicle</w:t>
      </w:r>
      <w:bookmarkEnd w:id="157"/>
      <w:bookmarkEnd w:id="158"/>
      <w:bookmarkEnd w:id="159"/>
      <w:r>
        <w:rPr>
          <w:snapToGrid w:val="0"/>
        </w:rPr>
        <w:t xml:space="preserve"> </w:t>
      </w:r>
    </w:p>
    <w:p>
      <w:pPr>
        <w:pStyle w:val="Subsection"/>
        <w:rPr>
          <w:snapToGrid w:val="0"/>
        </w:rPr>
      </w:pPr>
      <w:r>
        <w:rPr>
          <w:snapToGrid w:val="0"/>
        </w:rPr>
        <w:tab/>
      </w:r>
      <w:r>
        <w:rPr>
          <w:snapToGrid w:val="0"/>
        </w:rPr>
        <w:tab/>
        <w:t>The driver of any vehicle carrying log timber for which a log delivery note is required under this Part shall ensure that at all times during the transportation of the timber, the original and 3 copies of the log delivery note duly completed in respect of that timber are carried in the vehicle.</w:t>
      </w:r>
    </w:p>
    <w:p>
      <w:pPr>
        <w:pStyle w:val="Penstart"/>
        <w:rPr>
          <w:snapToGrid w:val="0"/>
        </w:rPr>
      </w:pPr>
      <w:r>
        <w:rPr>
          <w:snapToGrid w:val="0"/>
        </w:rPr>
        <w:tab/>
        <w:t>Penalty: $2 000.</w:t>
      </w:r>
    </w:p>
    <w:p>
      <w:pPr>
        <w:pStyle w:val="Heading5"/>
        <w:rPr>
          <w:snapToGrid w:val="0"/>
        </w:rPr>
      </w:pPr>
      <w:bookmarkStart w:id="160" w:name="_Toc438372782"/>
      <w:bookmarkStart w:id="161" w:name="_Toc8187930"/>
      <w:bookmarkStart w:id="162" w:name="_Toc155068030"/>
      <w:r>
        <w:rPr>
          <w:rStyle w:val="CharSectno"/>
        </w:rPr>
        <w:t>46</w:t>
      </w:r>
      <w:r>
        <w:rPr>
          <w:snapToGrid w:val="0"/>
        </w:rPr>
        <w:t>.</w:t>
      </w:r>
      <w:r>
        <w:rPr>
          <w:snapToGrid w:val="0"/>
        </w:rPr>
        <w:tab/>
        <w:t>Driver of loaded vehicle to produce log delivery note</w:t>
      </w:r>
      <w:bookmarkEnd w:id="160"/>
      <w:bookmarkEnd w:id="161"/>
      <w:bookmarkEnd w:id="162"/>
      <w:r>
        <w:rPr>
          <w:snapToGrid w:val="0"/>
        </w:rPr>
        <w:t xml:space="preserve"> </w:t>
      </w:r>
    </w:p>
    <w:p>
      <w:pPr>
        <w:pStyle w:val="Subsection"/>
        <w:rPr>
          <w:snapToGrid w:val="0"/>
        </w:rPr>
      </w:pPr>
      <w:r>
        <w:rPr>
          <w:snapToGrid w:val="0"/>
        </w:rPr>
        <w:tab/>
        <w:t>(1)</w:t>
      </w:r>
      <w:r>
        <w:rPr>
          <w:snapToGrid w:val="0"/>
        </w:rPr>
        <w:tab/>
        <w:t>A forest officer or a conservation and land management officer may require the driver of any vehicle carrying log timber — </w:t>
      </w:r>
    </w:p>
    <w:p>
      <w:pPr>
        <w:pStyle w:val="Indenta"/>
        <w:rPr>
          <w:snapToGrid w:val="0"/>
        </w:rPr>
      </w:pPr>
      <w:r>
        <w:rPr>
          <w:snapToGrid w:val="0"/>
        </w:rPr>
        <w:tab/>
        <w:t>(a)</w:t>
      </w:r>
      <w:r>
        <w:rPr>
          <w:snapToGrid w:val="0"/>
        </w:rPr>
        <w:tab/>
        <w:t>in a State forest or timber reserve; or</w:t>
      </w:r>
    </w:p>
    <w:p>
      <w:pPr>
        <w:pStyle w:val="Indenta"/>
        <w:keepNext/>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produce for inspection any log delivery notes completed in respect of the timber that are in the possession of the driver.</w:t>
      </w:r>
    </w:p>
    <w:p>
      <w:pPr>
        <w:pStyle w:val="Subsection"/>
        <w:rPr>
          <w:snapToGrid w:val="0"/>
        </w:rPr>
      </w:pPr>
      <w:r>
        <w:rPr>
          <w:snapToGrid w:val="0"/>
        </w:rPr>
        <w:tab/>
        <w:t>(2)</w:t>
      </w:r>
      <w:r>
        <w:rPr>
          <w:snapToGrid w:val="0"/>
        </w:rPr>
        <w:tab/>
        <w:t>The driver of a vehicle shall comply with a requirement made under subregulation (1).</w:t>
      </w:r>
    </w:p>
    <w:p>
      <w:pPr>
        <w:pStyle w:val="Penstart"/>
        <w:rPr>
          <w:snapToGrid w:val="0"/>
        </w:rPr>
      </w:pPr>
      <w:r>
        <w:rPr>
          <w:snapToGrid w:val="0"/>
        </w:rPr>
        <w:tab/>
        <w:t>Penalty: $2 000.</w:t>
      </w:r>
    </w:p>
    <w:p>
      <w:pPr>
        <w:pStyle w:val="Subsection"/>
        <w:rPr>
          <w:snapToGrid w:val="0"/>
        </w:rPr>
      </w:pPr>
      <w:r>
        <w:rPr>
          <w:snapToGrid w:val="0"/>
        </w:rPr>
        <w:tab/>
        <w:t>(3)</w:t>
      </w:r>
      <w:r>
        <w:rPr>
          <w:snapToGrid w:val="0"/>
        </w:rPr>
        <w:tab/>
        <w:t>A forest officer or a conservation and land management officer (as the case may be) shall sign any log delivery note produced to the forest officer or conservation and land management officer under this regulation and shall endorse on the log delivery note the date and place at which the inspection took place.</w:t>
      </w:r>
    </w:p>
    <w:p>
      <w:pPr>
        <w:pStyle w:val="Heading5"/>
        <w:rPr>
          <w:snapToGrid w:val="0"/>
        </w:rPr>
      </w:pPr>
      <w:bookmarkStart w:id="163" w:name="_Toc438372783"/>
      <w:bookmarkStart w:id="164" w:name="_Toc8187931"/>
      <w:bookmarkStart w:id="165" w:name="_Toc155068031"/>
      <w:r>
        <w:rPr>
          <w:rStyle w:val="CharSectno"/>
        </w:rPr>
        <w:t>47</w:t>
      </w:r>
      <w:r>
        <w:rPr>
          <w:snapToGrid w:val="0"/>
        </w:rPr>
        <w:t>.</w:t>
      </w:r>
      <w:r>
        <w:rPr>
          <w:snapToGrid w:val="0"/>
        </w:rPr>
        <w:tab/>
        <w:t>Timber to be delivered to person and place specified in log delivery note</w:t>
      </w:r>
      <w:bookmarkEnd w:id="163"/>
      <w:bookmarkEnd w:id="164"/>
      <w:bookmarkEnd w:id="165"/>
      <w:r>
        <w:rPr>
          <w:snapToGrid w:val="0"/>
        </w:rPr>
        <w:t xml:space="preserve"> </w:t>
      </w:r>
    </w:p>
    <w:p>
      <w:pPr>
        <w:pStyle w:val="Subsection"/>
        <w:rPr>
          <w:snapToGrid w:val="0"/>
        </w:rPr>
      </w:pPr>
      <w:r>
        <w:rPr>
          <w:snapToGrid w:val="0"/>
        </w:rPr>
        <w:tab/>
      </w:r>
      <w:r>
        <w:rPr>
          <w:snapToGrid w:val="0"/>
        </w:rPr>
        <w:tab/>
        <w:t>A person shall not deliver any log timber for which a log delivery note is required under this Part to — </w:t>
      </w:r>
    </w:p>
    <w:p>
      <w:pPr>
        <w:pStyle w:val="Indenta"/>
        <w:rPr>
          <w:snapToGrid w:val="0"/>
        </w:rPr>
      </w:pPr>
      <w:r>
        <w:rPr>
          <w:snapToGrid w:val="0"/>
        </w:rPr>
        <w:tab/>
        <w:t>(a)</w:t>
      </w:r>
      <w:r>
        <w:rPr>
          <w:snapToGrid w:val="0"/>
        </w:rPr>
        <w:tab/>
        <w:t>a person other than the person specified in the log delivery note for that timber as being the person to whom the log timber is to be delivered; or</w:t>
      </w:r>
    </w:p>
    <w:p>
      <w:pPr>
        <w:pStyle w:val="Indenta"/>
        <w:rPr>
          <w:snapToGrid w:val="0"/>
        </w:rPr>
      </w:pPr>
      <w:r>
        <w:rPr>
          <w:snapToGrid w:val="0"/>
        </w:rPr>
        <w:tab/>
        <w:t>(b)</w:t>
      </w:r>
      <w:r>
        <w:rPr>
          <w:snapToGrid w:val="0"/>
        </w:rPr>
        <w:tab/>
        <w:t>a place other than the place specified in the log delivery note for that timber as being the place to which the log timber is to be delivered.</w:t>
      </w:r>
    </w:p>
    <w:p>
      <w:pPr>
        <w:pStyle w:val="Penstart"/>
        <w:rPr>
          <w:snapToGrid w:val="0"/>
        </w:rPr>
      </w:pPr>
      <w:r>
        <w:rPr>
          <w:snapToGrid w:val="0"/>
        </w:rPr>
        <w:tab/>
        <w:t>Penalty: $2 000.</w:t>
      </w:r>
    </w:p>
    <w:p>
      <w:pPr>
        <w:pStyle w:val="Heading5"/>
        <w:rPr>
          <w:snapToGrid w:val="0"/>
        </w:rPr>
      </w:pPr>
      <w:bookmarkStart w:id="166" w:name="_Toc438372784"/>
      <w:bookmarkStart w:id="167" w:name="_Toc8187932"/>
      <w:bookmarkStart w:id="168" w:name="_Toc155068032"/>
      <w:r>
        <w:rPr>
          <w:rStyle w:val="CharSectno"/>
        </w:rPr>
        <w:t>48</w:t>
      </w:r>
      <w:r>
        <w:rPr>
          <w:snapToGrid w:val="0"/>
        </w:rPr>
        <w:t>.</w:t>
      </w:r>
      <w:r>
        <w:rPr>
          <w:snapToGrid w:val="0"/>
        </w:rPr>
        <w:tab/>
        <w:t>Log delivery note to be delivered with timber</w:t>
      </w:r>
      <w:bookmarkEnd w:id="166"/>
      <w:bookmarkEnd w:id="167"/>
      <w:bookmarkEnd w:id="168"/>
      <w:r>
        <w:rPr>
          <w:snapToGrid w:val="0"/>
        </w:rPr>
        <w:t xml:space="preserve"> </w:t>
      </w:r>
    </w:p>
    <w:p>
      <w:pPr>
        <w:pStyle w:val="Subsection"/>
        <w:rPr>
          <w:snapToGrid w:val="0"/>
        </w:rPr>
      </w:pPr>
      <w:r>
        <w:rPr>
          <w:snapToGrid w:val="0"/>
        </w:rPr>
        <w:tab/>
      </w:r>
      <w:r>
        <w:rPr>
          <w:snapToGrid w:val="0"/>
        </w:rPr>
        <w:tab/>
        <w:t>Where log timber is delivered to any person, the driver of the vehicle carrying the timber shall ensure that the original of any log delivery note completed in respect of that timber is delivered to that person with the timber.</w:t>
      </w:r>
    </w:p>
    <w:p>
      <w:pPr>
        <w:pStyle w:val="Penstart"/>
        <w:rPr>
          <w:snapToGrid w:val="0"/>
        </w:rPr>
      </w:pPr>
      <w:r>
        <w:rPr>
          <w:snapToGrid w:val="0"/>
        </w:rPr>
        <w:tab/>
        <w:t>Penalty: $2 000.</w:t>
      </w:r>
    </w:p>
    <w:p>
      <w:pPr>
        <w:pStyle w:val="Heading5"/>
        <w:rPr>
          <w:snapToGrid w:val="0"/>
        </w:rPr>
      </w:pPr>
      <w:bookmarkStart w:id="169" w:name="_Toc438372785"/>
      <w:bookmarkStart w:id="170" w:name="_Toc8187933"/>
      <w:bookmarkStart w:id="171" w:name="_Toc155068033"/>
      <w:r>
        <w:rPr>
          <w:rStyle w:val="CharSectno"/>
        </w:rPr>
        <w:t>49</w:t>
      </w:r>
      <w:r>
        <w:rPr>
          <w:snapToGrid w:val="0"/>
        </w:rPr>
        <w:t>.</w:t>
      </w:r>
      <w:r>
        <w:rPr>
          <w:snapToGrid w:val="0"/>
        </w:rPr>
        <w:tab/>
        <w:t>Minimum objective for checking of log delivery notes in the field</w:t>
      </w:r>
      <w:bookmarkEnd w:id="169"/>
      <w:bookmarkEnd w:id="170"/>
      <w:bookmarkEnd w:id="171"/>
      <w:r>
        <w:rPr>
          <w:snapToGrid w:val="0"/>
        </w:rPr>
        <w:t xml:space="preserve"> </w:t>
      </w:r>
    </w:p>
    <w:p>
      <w:pPr>
        <w:pStyle w:val="Subsection"/>
        <w:rPr>
          <w:snapToGrid w:val="0"/>
        </w:rPr>
      </w:pPr>
      <w:r>
        <w:rPr>
          <w:snapToGrid w:val="0"/>
        </w:rPr>
        <w:tab/>
      </w:r>
      <w:r>
        <w:rPr>
          <w:snapToGrid w:val="0"/>
        </w:rPr>
        <w:tab/>
        <w:t>The Executive Director shall endeavour to ensure that, in any calendar month, not less than 5% of log delivery notes completed in respect of log timber removed from State forests and timber reserves during that month are checked by forest officers against the timber either — </w:t>
      </w:r>
    </w:p>
    <w:p>
      <w:pPr>
        <w:pStyle w:val="Indenta"/>
        <w:rPr>
          <w:snapToGrid w:val="0"/>
        </w:rPr>
      </w:pPr>
      <w:r>
        <w:rPr>
          <w:snapToGrid w:val="0"/>
        </w:rPr>
        <w:tab/>
        <w:t>(a)</w:t>
      </w:r>
      <w:r>
        <w:rPr>
          <w:snapToGrid w:val="0"/>
        </w:rPr>
        <w:tab/>
        <w:t>before the timber is removed from the State forest or timber reserve;</w:t>
      </w:r>
    </w:p>
    <w:p>
      <w:pPr>
        <w:pStyle w:val="Indenta"/>
        <w:rPr>
          <w:snapToGrid w:val="0"/>
        </w:rPr>
      </w:pPr>
      <w:r>
        <w:rPr>
          <w:snapToGrid w:val="0"/>
        </w:rPr>
        <w:tab/>
        <w:t>(b)</w:t>
      </w:r>
      <w:r>
        <w:rPr>
          <w:snapToGrid w:val="0"/>
        </w:rPr>
        <w:tab/>
      </w:r>
      <w:r>
        <w:rPr>
          <w:i/>
          <w:snapToGrid w:val="0"/>
        </w:rPr>
        <w:t>en route</w:t>
      </w:r>
      <w:r>
        <w:rPr>
          <w:snapToGrid w:val="0"/>
        </w:rPr>
        <w:t xml:space="preserve"> to the buyer of that timber; or</w:t>
      </w:r>
    </w:p>
    <w:p>
      <w:pPr>
        <w:pStyle w:val="Indenta"/>
        <w:rPr>
          <w:snapToGrid w:val="0"/>
        </w:rPr>
      </w:pPr>
      <w:r>
        <w:rPr>
          <w:snapToGrid w:val="0"/>
        </w:rPr>
        <w:tab/>
        <w:t>(c)</w:t>
      </w:r>
      <w:r>
        <w:rPr>
          <w:snapToGrid w:val="0"/>
        </w:rPr>
        <w:tab/>
        <w:t>at the sawmill where the timber is to be processed,</w:t>
      </w:r>
    </w:p>
    <w:p>
      <w:pPr>
        <w:pStyle w:val="Subsection"/>
        <w:rPr>
          <w:snapToGrid w:val="0"/>
        </w:rPr>
      </w:pPr>
      <w:r>
        <w:rPr>
          <w:snapToGrid w:val="0"/>
        </w:rPr>
        <w:tab/>
      </w:r>
      <w:r>
        <w:rPr>
          <w:snapToGrid w:val="0"/>
        </w:rPr>
        <w:tab/>
        <w:t>to ensure that the log delivery notes have been accurately completed.</w:t>
      </w:r>
    </w:p>
    <w:p>
      <w:pPr>
        <w:pStyle w:val="Heading2"/>
      </w:pPr>
      <w:bookmarkStart w:id="172" w:name="_Toc154984368"/>
      <w:bookmarkStart w:id="173" w:name="_Toc155067173"/>
      <w:bookmarkStart w:id="174" w:name="_Toc155068034"/>
      <w:r>
        <w:rPr>
          <w:rStyle w:val="CharPartNo"/>
        </w:rPr>
        <w:t>Part 6</w:t>
      </w:r>
      <w:r>
        <w:rPr>
          <w:rStyle w:val="CharDivNo"/>
        </w:rPr>
        <w:t> </w:t>
      </w:r>
      <w:r>
        <w:t>—</w:t>
      </w:r>
      <w:r>
        <w:rPr>
          <w:rStyle w:val="CharDivText"/>
        </w:rPr>
        <w:t> </w:t>
      </w:r>
      <w:r>
        <w:rPr>
          <w:rStyle w:val="CharPartText"/>
        </w:rPr>
        <w:t>Specific requirements relating to sawmills</w:t>
      </w:r>
      <w:bookmarkEnd w:id="172"/>
      <w:bookmarkEnd w:id="173"/>
      <w:bookmarkEnd w:id="174"/>
      <w:r>
        <w:rPr>
          <w:rStyle w:val="CharPartText"/>
        </w:rPr>
        <w:t xml:space="preserve"> </w:t>
      </w:r>
    </w:p>
    <w:p>
      <w:pPr>
        <w:pStyle w:val="Heading5"/>
        <w:rPr>
          <w:snapToGrid w:val="0"/>
        </w:rPr>
      </w:pPr>
      <w:bookmarkStart w:id="175" w:name="_Toc438372786"/>
      <w:bookmarkStart w:id="176" w:name="_Toc8187934"/>
      <w:bookmarkStart w:id="177" w:name="_Toc155068035"/>
      <w:r>
        <w:rPr>
          <w:rStyle w:val="CharSectno"/>
        </w:rPr>
        <w:t>50</w:t>
      </w:r>
      <w:r>
        <w:rPr>
          <w:snapToGrid w:val="0"/>
        </w:rPr>
        <w:t>.</w:t>
      </w:r>
      <w:r>
        <w:rPr>
          <w:snapToGrid w:val="0"/>
        </w:rPr>
        <w:tab/>
        <w:t>Log timber from State forest or timber reserve not to be received at sawmill without log delivery note</w:t>
      </w:r>
      <w:bookmarkEnd w:id="175"/>
      <w:bookmarkEnd w:id="176"/>
      <w:bookmarkEnd w:id="177"/>
      <w:r>
        <w:rPr>
          <w:snapToGrid w:val="0"/>
        </w:rPr>
        <w:t xml:space="preserve"> </w:t>
      </w:r>
    </w:p>
    <w:p>
      <w:pPr>
        <w:pStyle w:val="Subsection"/>
        <w:rPr>
          <w:snapToGrid w:val="0"/>
        </w:rPr>
      </w:pPr>
      <w:r>
        <w:rPr>
          <w:snapToGrid w:val="0"/>
        </w:rPr>
        <w:tab/>
      </w:r>
      <w:r>
        <w:rPr>
          <w:snapToGrid w:val="0"/>
        </w:rPr>
        <w:tab/>
        <w:t>The owner and the manager of a sawmill shall ensure that log timber that has been felled in a State forest or timber reserve is not received at the sawmill unless the log timber is accompanied by a log delivery note duly completed in respect of that timber.</w:t>
      </w:r>
    </w:p>
    <w:p>
      <w:pPr>
        <w:pStyle w:val="Penstart"/>
        <w:rPr>
          <w:snapToGrid w:val="0"/>
        </w:rPr>
      </w:pPr>
      <w:r>
        <w:rPr>
          <w:snapToGrid w:val="0"/>
        </w:rPr>
        <w:tab/>
        <w:t>Penalty: $2 000.</w:t>
      </w:r>
    </w:p>
    <w:p>
      <w:pPr>
        <w:pStyle w:val="Heading5"/>
        <w:rPr>
          <w:snapToGrid w:val="0"/>
        </w:rPr>
      </w:pPr>
      <w:bookmarkStart w:id="178" w:name="_Toc438372787"/>
      <w:bookmarkStart w:id="179" w:name="_Toc8187935"/>
      <w:bookmarkStart w:id="180" w:name="_Toc155068036"/>
      <w:r>
        <w:rPr>
          <w:rStyle w:val="CharSectno"/>
        </w:rPr>
        <w:t>51</w:t>
      </w:r>
      <w:r>
        <w:rPr>
          <w:snapToGrid w:val="0"/>
        </w:rPr>
        <w:t>.</w:t>
      </w:r>
      <w:r>
        <w:rPr>
          <w:snapToGrid w:val="0"/>
        </w:rPr>
        <w:tab/>
        <w:t>Log delivery note to be signed at sawmill</w:t>
      </w:r>
      <w:bookmarkEnd w:id="178"/>
      <w:bookmarkEnd w:id="179"/>
      <w:bookmarkEnd w:id="180"/>
      <w:r>
        <w:rPr>
          <w:snapToGrid w:val="0"/>
        </w:rPr>
        <w:t xml:space="preserve"> </w:t>
      </w:r>
    </w:p>
    <w:p>
      <w:pPr>
        <w:pStyle w:val="Subsection"/>
        <w:rPr>
          <w:snapToGrid w:val="0"/>
        </w:rPr>
      </w:pPr>
      <w:r>
        <w:rPr>
          <w:snapToGrid w:val="0"/>
        </w:rPr>
        <w:tab/>
      </w:r>
      <w:r>
        <w:rPr>
          <w:snapToGrid w:val="0"/>
        </w:rPr>
        <w:tab/>
        <w:t>The owner and the manager of a sawmill shall ensure that when any log timber that has been felled in a State forest or timber reserve is received at the sawmill — </w:t>
      </w:r>
    </w:p>
    <w:p>
      <w:pPr>
        <w:pStyle w:val="Indenta"/>
        <w:rPr>
          <w:snapToGrid w:val="0"/>
        </w:rPr>
      </w:pPr>
      <w:r>
        <w:rPr>
          <w:snapToGrid w:val="0"/>
        </w:rPr>
        <w:tab/>
        <w:t>(a)</w:t>
      </w:r>
      <w:r>
        <w:rPr>
          <w:snapToGrid w:val="0"/>
        </w:rPr>
        <w:tab/>
        <w:t>the log delivery note completed in respect of, and accompanying, that timber is immediately signed by a person employed at the sawmill; and</w:t>
      </w:r>
    </w:p>
    <w:p>
      <w:pPr>
        <w:pStyle w:val="Indenta"/>
        <w:rPr>
          <w:snapToGrid w:val="0"/>
        </w:rPr>
      </w:pPr>
      <w:r>
        <w:rPr>
          <w:snapToGrid w:val="0"/>
        </w:rPr>
        <w:tab/>
        <w:t>(b)</w:t>
      </w:r>
      <w:r>
        <w:rPr>
          <w:snapToGrid w:val="0"/>
        </w:rPr>
        <w:tab/>
        <w:t>the date and time of receipt is immediately written by the person on the log delivery note.</w:t>
      </w:r>
    </w:p>
    <w:p>
      <w:pPr>
        <w:pStyle w:val="Penstart"/>
        <w:rPr>
          <w:snapToGrid w:val="0"/>
        </w:rPr>
      </w:pPr>
      <w:r>
        <w:rPr>
          <w:snapToGrid w:val="0"/>
        </w:rPr>
        <w:tab/>
        <w:t>Penalty: $2 000.</w:t>
      </w:r>
    </w:p>
    <w:p>
      <w:pPr>
        <w:pStyle w:val="Footnotesection"/>
      </w:pPr>
      <w:r>
        <w:tab/>
        <w:t xml:space="preserve">[Regulation 51 amended in Gazette 28 April 1995 p.1460.] </w:t>
      </w:r>
    </w:p>
    <w:p>
      <w:pPr>
        <w:pStyle w:val="Heading5"/>
        <w:rPr>
          <w:snapToGrid w:val="0"/>
        </w:rPr>
      </w:pPr>
      <w:bookmarkStart w:id="181" w:name="_Toc438372788"/>
      <w:bookmarkStart w:id="182" w:name="_Toc8187936"/>
      <w:bookmarkStart w:id="183" w:name="_Toc155068037"/>
      <w:r>
        <w:rPr>
          <w:rStyle w:val="CharSectno"/>
        </w:rPr>
        <w:t>52</w:t>
      </w:r>
      <w:r>
        <w:rPr>
          <w:snapToGrid w:val="0"/>
        </w:rPr>
        <w:t>.</w:t>
      </w:r>
      <w:r>
        <w:rPr>
          <w:snapToGrid w:val="0"/>
        </w:rPr>
        <w:tab/>
        <w:t>Original of log delivery note to be delivered to Executive Director within 3 days</w:t>
      </w:r>
      <w:bookmarkEnd w:id="181"/>
      <w:bookmarkEnd w:id="182"/>
      <w:bookmarkEnd w:id="183"/>
      <w:r>
        <w:rPr>
          <w:snapToGrid w:val="0"/>
        </w:rPr>
        <w:t xml:space="preserve"> </w:t>
      </w:r>
    </w:p>
    <w:p>
      <w:pPr>
        <w:pStyle w:val="Subsection"/>
        <w:rPr>
          <w:snapToGrid w:val="0"/>
        </w:rPr>
      </w:pPr>
      <w:r>
        <w:rPr>
          <w:snapToGrid w:val="0"/>
        </w:rPr>
        <w:tab/>
      </w:r>
      <w:r>
        <w:rPr>
          <w:snapToGrid w:val="0"/>
        </w:rPr>
        <w:tab/>
        <w:t>The owner and the manager of a sawmill shall ensure that where the original of any completed log delivery note is received at the sawmill, the log delivery note is delivered to the Executive Director or a forest officer within 3 working days from the day on which the delivery note is received at the sawmill.</w:t>
      </w:r>
    </w:p>
    <w:p>
      <w:pPr>
        <w:pStyle w:val="Penstart"/>
        <w:rPr>
          <w:snapToGrid w:val="0"/>
        </w:rPr>
      </w:pPr>
      <w:r>
        <w:rPr>
          <w:snapToGrid w:val="0"/>
        </w:rPr>
        <w:tab/>
        <w:t>Penalty: $2 000.</w:t>
      </w:r>
    </w:p>
    <w:p>
      <w:pPr>
        <w:pStyle w:val="Heading2"/>
      </w:pPr>
      <w:bookmarkStart w:id="184" w:name="_Toc154984372"/>
      <w:bookmarkStart w:id="185" w:name="_Toc155067177"/>
      <w:bookmarkStart w:id="186" w:name="_Toc155068038"/>
      <w:r>
        <w:rPr>
          <w:rStyle w:val="CharPartNo"/>
        </w:rPr>
        <w:t>Part 7</w:t>
      </w:r>
      <w:r>
        <w:rPr>
          <w:rStyle w:val="CharDivNo"/>
        </w:rPr>
        <w:t> </w:t>
      </w:r>
      <w:r>
        <w:t>—</w:t>
      </w:r>
      <w:r>
        <w:rPr>
          <w:rStyle w:val="CharDivText"/>
        </w:rPr>
        <w:t> </w:t>
      </w:r>
      <w:r>
        <w:rPr>
          <w:rStyle w:val="CharPartText"/>
        </w:rPr>
        <w:t>Determination of log timber quantity</w:t>
      </w:r>
      <w:bookmarkEnd w:id="184"/>
      <w:bookmarkEnd w:id="185"/>
      <w:bookmarkEnd w:id="186"/>
      <w:r>
        <w:rPr>
          <w:rStyle w:val="CharPartText"/>
        </w:rPr>
        <w:t xml:space="preserve"> </w:t>
      </w:r>
    </w:p>
    <w:p>
      <w:pPr>
        <w:pStyle w:val="Heading5"/>
        <w:rPr>
          <w:snapToGrid w:val="0"/>
        </w:rPr>
      </w:pPr>
      <w:bookmarkStart w:id="187" w:name="_Toc438372789"/>
      <w:bookmarkStart w:id="188" w:name="_Toc8187937"/>
      <w:bookmarkStart w:id="189" w:name="_Toc155068039"/>
      <w:r>
        <w:rPr>
          <w:rStyle w:val="CharSectno"/>
        </w:rPr>
        <w:t>53</w:t>
      </w:r>
      <w:r>
        <w:rPr>
          <w:snapToGrid w:val="0"/>
        </w:rPr>
        <w:t>.</w:t>
      </w:r>
      <w:r>
        <w:rPr>
          <w:snapToGrid w:val="0"/>
        </w:rPr>
        <w:tab/>
        <w:t>Quantity to be immediately entered in log delivery note</w:t>
      </w:r>
      <w:bookmarkEnd w:id="187"/>
      <w:bookmarkEnd w:id="188"/>
      <w:bookmarkEnd w:id="189"/>
      <w:r>
        <w:rPr>
          <w:snapToGrid w:val="0"/>
        </w:rPr>
        <w:t xml:space="preserve"> </w:t>
      </w:r>
    </w:p>
    <w:p>
      <w:pPr>
        <w:pStyle w:val="Subsection"/>
        <w:rPr>
          <w:snapToGrid w:val="0"/>
        </w:rPr>
      </w:pPr>
      <w:r>
        <w:rPr>
          <w:snapToGrid w:val="0"/>
        </w:rPr>
        <w:tab/>
      </w:r>
      <w:r>
        <w:rPr>
          <w:snapToGrid w:val="0"/>
        </w:rPr>
        <w:tab/>
        <w:t>A person who determines the quantity of any log timber that has been felled in a State forest or timber reserve shall immediately — </w:t>
      </w:r>
    </w:p>
    <w:p>
      <w:pPr>
        <w:pStyle w:val="Indenta"/>
        <w:rPr>
          <w:snapToGrid w:val="0"/>
        </w:rPr>
      </w:pPr>
      <w:r>
        <w:rPr>
          <w:snapToGrid w:val="0"/>
        </w:rPr>
        <w:tab/>
        <w:t>(a)</w:t>
      </w:r>
      <w:r>
        <w:rPr>
          <w:snapToGrid w:val="0"/>
        </w:rPr>
        <w:tab/>
        <w:t>record that quantity in; or</w:t>
      </w:r>
    </w:p>
    <w:p>
      <w:pPr>
        <w:pStyle w:val="Indenta"/>
        <w:rPr>
          <w:snapToGrid w:val="0"/>
        </w:rPr>
      </w:pPr>
      <w:r>
        <w:rPr>
          <w:snapToGrid w:val="0"/>
        </w:rPr>
        <w:tab/>
        <w:t>(b)</w:t>
      </w:r>
      <w:r>
        <w:rPr>
          <w:snapToGrid w:val="0"/>
        </w:rPr>
        <w:tab/>
        <w:t>where it is printed on a weighbridge ticket or some other form, attach that ticket or form to,</w:t>
      </w:r>
    </w:p>
    <w:p>
      <w:pPr>
        <w:pStyle w:val="Subsection"/>
        <w:rPr>
          <w:snapToGrid w:val="0"/>
        </w:rPr>
      </w:pPr>
      <w:r>
        <w:rPr>
          <w:snapToGrid w:val="0"/>
        </w:rPr>
        <w:tab/>
      </w:r>
      <w:r>
        <w:rPr>
          <w:snapToGrid w:val="0"/>
        </w:rPr>
        <w:tab/>
        <w:t>the log delivery note completed in respect of that timber.</w:t>
      </w:r>
    </w:p>
    <w:p>
      <w:pPr>
        <w:pStyle w:val="Penstart"/>
        <w:rPr>
          <w:snapToGrid w:val="0"/>
        </w:rPr>
      </w:pPr>
      <w:r>
        <w:rPr>
          <w:snapToGrid w:val="0"/>
        </w:rPr>
        <w:tab/>
        <w:t>Penalty: $2 000.</w:t>
      </w:r>
    </w:p>
    <w:p>
      <w:pPr>
        <w:pStyle w:val="Heading5"/>
        <w:rPr>
          <w:snapToGrid w:val="0"/>
        </w:rPr>
      </w:pPr>
      <w:bookmarkStart w:id="190" w:name="_Toc438372790"/>
      <w:bookmarkStart w:id="191" w:name="_Toc8187938"/>
      <w:bookmarkStart w:id="192" w:name="_Toc155068040"/>
      <w:r>
        <w:rPr>
          <w:rStyle w:val="CharSectno"/>
        </w:rPr>
        <w:t>54</w:t>
      </w:r>
      <w:r>
        <w:rPr>
          <w:snapToGrid w:val="0"/>
        </w:rPr>
        <w:t>.</w:t>
      </w:r>
      <w:r>
        <w:rPr>
          <w:snapToGrid w:val="0"/>
        </w:rPr>
        <w:tab/>
        <w:t>Incorrect quantity not to be entered in log delivery note</w:t>
      </w:r>
      <w:bookmarkEnd w:id="190"/>
      <w:bookmarkEnd w:id="191"/>
      <w:bookmarkEnd w:id="192"/>
      <w:r>
        <w:rPr>
          <w:snapToGrid w:val="0"/>
        </w:rPr>
        <w:t xml:space="preserve"> </w:t>
      </w:r>
    </w:p>
    <w:p>
      <w:pPr>
        <w:pStyle w:val="Subsection"/>
        <w:rPr>
          <w:snapToGrid w:val="0"/>
        </w:rPr>
      </w:pPr>
      <w:r>
        <w:rPr>
          <w:snapToGrid w:val="0"/>
        </w:rPr>
        <w:tab/>
      </w:r>
      <w:r>
        <w:rPr>
          <w:snapToGrid w:val="0"/>
        </w:rPr>
        <w:tab/>
        <w:t>A person shall not enter in, or attach to, a log delivery note for any log timber that has been felled in a State forest or timber reserve, an incorrect statement of the quantity determined in respect of that timber.</w:t>
      </w:r>
    </w:p>
    <w:p>
      <w:pPr>
        <w:pStyle w:val="Penstart"/>
        <w:rPr>
          <w:snapToGrid w:val="0"/>
        </w:rPr>
      </w:pPr>
      <w:r>
        <w:rPr>
          <w:snapToGrid w:val="0"/>
        </w:rPr>
        <w:tab/>
        <w:t>Penalty: $2 000.</w:t>
      </w:r>
    </w:p>
    <w:p>
      <w:pPr>
        <w:pStyle w:val="Heading5"/>
        <w:rPr>
          <w:snapToGrid w:val="0"/>
        </w:rPr>
      </w:pPr>
      <w:bookmarkStart w:id="193" w:name="_Toc438372791"/>
      <w:bookmarkStart w:id="194" w:name="_Toc8187939"/>
      <w:bookmarkStart w:id="195" w:name="_Toc155068041"/>
      <w:r>
        <w:rPr>
          <w:rStyle w:val="CharSectno"/>
        </w:rPr>
        <w:t>55</w:t>
      </w:r>
      <w:r>
        <w:rPr>
          <w:snapToGrid w:val="0"/>
        </w:rPr>
        <w:t>.</w:t>
      </w:r>
      <w:r>
        <w:rPr>
          <w:snapToGrid w:val="0"/>
        </w:rPr>
        <w:tab/>
        <w:t>Unquantified timber not to be stored or processed at sawmill</w:t>
      </w:r>
      <w:bookmarkEnd w:id="193"/>
      <w:bookmarkEnd w:id="194"/>
      <w:bookmarkEnd w:id="195"/>
      <w:r>
        <w:rPr>
          <w:snapToGrid w:val="0"/>
        </w:rPr>
        <w:t xml:space="preserve"> </w:t>
      </w:r>
    </w:p>
    <w:p>
      <w:pPr>
        <w:pStyle w:val="Subsection"/>
        <w:rPr>
          <w:snapToGrid w:val="0"/>
        </w:rPr>
      </w:pPr>
      <w:r>
        <w:rPr>
          <w:snapToGrid w:val="0"/>
        </w:rPr>
        <w:tab/>
      </w:r>
      <w:r>
        <w:rPr>
          <w:snapToGrid w:val="0"/>
        </w:rPr>
        <w:tab/>
        <w:t>The owner or manager of a sawmill shall not, without the authorization of the Executive Director, permit log timber that has been felled in a State forest or timber reserve to be stored or processed at the sawmill unless the quantity of the timber has been determined and — </w:t>
      </w:r>
    </w:p>
    <w:p>
      <w:pPr>
        <w:pStyle w:val="Indenta"/>
        <w:rPr>
          <w:snapToGrid w:val="0"/>
        </w:rPr>
      </w:pPr>
      <w:r>
        <w:rPr>
          <w:snapToGrid w:val="0"/>
        </w:rPr>
        <w:tab/>
        <w:t>(a)</w:t>
      </w:r>
      <w:r>
        <w:rPr>
          <w:snapToGrid w:val="0"/>
        </w:rPr>
        <w:tab/>
        <w:t>recorded in; or</w:t>
      </w:r>
    </w:p>
    <w:p>
      <w:pPr>
        <w:pStyle w:val="Indenta"/>
        <w:rPr>
          <w:snapToGrid w:val="0"/>
        </w:rPr>
      </w:pPr>
      <w:r>
        <w:rPr>
          <w:snapToGrid w:val="0"/>
        </w:rPr>
        <w:tab/>
        <w:t>(b)</w:t>
      </w:r>
      <w:r>
        <w:rPr>
          <w:snapToGrid w:val="0"/>
        </w:rPr>
        <w:tab/>
        <w:t>where the quantity is printed on a weighbridge ticket or some other form, the ticket or form attached to,</w:t>
      </w:r>
    </w:p>
    <w:p>
      <w:pPr>
        <w:pStyle w:val="Subsection"/>
        <w:rPr>
          <w:snapToGrid w:val="0"/>
        </w:rPr>
      </w:pPr>
      <w:r>
        <w:rPr>
          <w:snapToGrid w:val="0"/>
        </w:rPr>
        <w:tab/>
      </w:r>
      <w:r>
        <w:rPr>
          <w:snapToGrid w:val="0"/>
        </w:rPr>
        <w:tab/>
        <w:t>the log delivery note completed in respect of that timber.</w:t>
      </w:r>
    </w:p>
    <w:p>
      <w:pPr>
        <w:pStyle w:val="Penstart"/>
        <w:rPr>
          <w:snapToGrid w:val="0"/>
        </w:rPr>
      </w:pPr>
      <w:r>
        <w:rPr>
          <w:snapToGrid w:val="0"/>
        </w:rPr>
        <w:tab/>
        <w:t>Penalty: $2 000.</w:t>
      </w:r>
    </w:p>
    <w:p>
      <w:pPr>
        <w:pStyle w:val="Heading5"/>
        <w:rPr>
          <w:snapToGrid w:val="0"/>
        </w:rPr>
      </w:pPr>
      <w:bookmarkStart w:id="196" w:name="_Toc438372792"/>
      <w:bookmarkStart w:id="197" w:name="_Toc8187940"/>
      <w:bookmarkStart w:id="198" w:name="_Toc155068042"/>
      <w:r>
        <w:rPr>
          <w:rStyle w:val="CharSectno"/>
        </w:rPr>
        <w:t>56</w:t>
      </w:r>
      <w:r>
        <w:rPr>
          <w:snapToGrid w:val="0"/>
        </w:rPr>
        <w:t>.</w:t>
      </w:r>
      <w:r>
        <w:rPr>
          <w:snapToGrid w:val="0"/>
        </w:rPr>
        <w:tab/>
        <w:t>Method of determining quantity</w:t>
      </w:r>
      <w:bookmarkEnd w:id="196"/>
      <w:bookmarkEnd w:id="197"/>
      <w:bookmarkEnd w:id="198"/>
      <w:r>
        <w:rPr>
          <w:snapToGrid w:val="0"/>
        </w:rPr>
        <w:t xml:space="preserve"> </w:t>
      </w:r>
    </w:p>
    <w:p>
      <w:pPr>
        <w:pStyle w:val="Subsection"/>
        <w:rPr>
          <w:snapToGrid w:val="0"/>
        </w:rPr>
      </w:pPr>
      <w:r>
        <w:rPr>
          <w:snapToGrid w:val="0"/>
        </w:rPr>
        <w:tab/>
        <w:t>(1)</w:t>
      </w:r>
      <w:r>
        <w:rPr>
          <w:snapToGrid w:val="0"/>
        </w:rPr>
        <w:tab/>
        <w:t xml:space="preserve">In this regulation, </w:t>
      </w:r>
      <w:r>
        <w:rPr>
          <w:rStyle w:val="CharDefText"/>
        </w:rPr>
        <w:t>contract</w:t>
      </w:r>
      <w:r>
        <w:rPr>
          <w:snapToGrid w:val="0"/>
        </w:rPr>
        <w:t xml:space="preserve"> has the same meaning as in section 87 of the Act.</w:t>
      </w:r>
    </w:p>
    <w:p>
      <w:pPr>
        <w:pStyle w:val="Subsection"/>
        <w:rPr>
          <w:snapToGrid w:val="0"/>
        </w:rPr>
      </w:pPr>
      <w:r>
        <w:rPr>
          <w:snapToGrid w:val="0"/>
        </w:rPr>
        <w:tab/>
        <w:t>(2)</w:t>
      </w:r>
      <w:r>
        <w:rPr>
          <w:snapToGrid w:val="0"/>
        </w:rPr>
        <w:tab/>
        <w:t>Where for the purposes of a provision of a contract it is necessary for a quantity of log timber that has been felled in a State forest or timber reserve to be determined, the contract may provide that the determination is to be made, for the purposes of that provision, in accordance with the provisions of Part A, B, C, D or E of Schedule 1.</w:t>
      </w:r>
    </w:p>
    <w:p>
      <w:pPr>
        <w:pStyle w:val="Subsection"/>
        <w:rPr>
          <w:snapToGrid w:val="0"/>
        </w:rPr>
      </w:pPr>
      <w:r>
        <w:rPr>
          <w:snapToGrid w:val="0"/>
        </w:rPr>
        <w:tab/>
        <w:t>(3)</w:t>
      </w:r>
      <w:r>
        <w:rPr>
          <w:snapToGrid w:val="0"/>
        </w:rPr>
        <w:tab/>
        <w:t>A person who fails to comply with any provision of Part A, B, C, D or E of Schedule 1 that the person is required by a contract to comply with commits an offence.</w:t>
      </w:r>
    </w:p>
    <w:p>
      <w:pPr>
        <w:pStyle w:val="Penstart"/>
        <w:rPr>
          <w:snapToGrid w:val="0"/>
        </w:rPr>
      </w:pPr>
      <w:r>
        <w:rPr>
          <w:snapToGrid w:val="0"/>
        </w:rPr>
        <w:tab/>
        <w:t>Penalty: $2 000.</w:t>
      </w:r>
    </w:p>
    <w:p>
      <w:pPr>
        <w:pStyle w:val="Heading2"/>
      </w:pPr>
      <w:bookmarkStart w:id="199" w:name="_Toc154984377"/>
      <w:bookmarkStart w:id="200" w:name="_Toc155067182"/>
      <w:bookmarkStart w:id="201" w:name="_Toc155068043"/>
      <w:r>
        <w:rPr>
          <w:rStyle w:val="CharPartNo"/>
        </w:rPr>
        <w:t>Part 8</w:t>
      </w:r>
      <w:r>
        <w:rPr>
          <w:rStyle w:val="CharDivNo"/>
        </w:rPr>
        <w:t> </w:t>
      </w:r>
      <w:r>
        <w:t>—</w:t>
      </w:r>
      <w:r>
        <w:rPr>
          <w:rStyle w:val="CharDivText"/>
        </w:rPr>
        <w:t> </w:t>
      </w:r>
      <w:r>
        <w:rPr>
          <w:rStyle w:val="CharPartText"/>
        </w:rPr>
        <w:t>Log timber receival records</w:t>
      </w:r>
      <w:bookmarkEnd w:id="199"/>
      <w:bookmarkEnd w:id="200"/>
      <w:bookmarkEnd w:id="201"/>
      <w:r>
        <w:rPr>
          <w:rStyle w:val="CharPartText"/>
        </w:rPr>
        <w:t xml:space="preserve"> </w:t>
      </w:r>
    </w:p>
    <w:p>
      <w:pPr>
        <w:pStyle w:val="Heading5"/>
        <w:rPr>
          <w:snapToGrid w:val="0"/>
        </w:rPr>
      </w:pPr>
      <w:bookmarkStart w:id="202" w:name="_Toc438372793"/>
      <w:bookmarkStart w:id="203" w:name="_Toc8187941"/>
      <w:bookmarkStart w:id="204" w:name="_Toc155068044"/>
      <w:r>
        <w:rPr>
          <w:rStyle w:val="CharSectno"/>
        </w:rPr>
        <w:t>57</w:t>
      </w:r>
      <w:r>
        <w:rPr>
          <w:snapToGrid w:val="0"/>
        </w:rPr>
        <w:t>.</w:t>
      </w:r>
      <w:r>
        <w:rPr>
          <w:snapToGrid w:val="0"/>
        </w:rPr>
        <w:tab/>
        <w:t>Record of log timber receivals to be made</w:t>
      </w:r>
      <w:bookmarkEnd w:id="202"/>
      <w:bookmarkEnd w:id="203"/>
      <w:bookmarkEnd w:id="204"/>
      <w:r>
        <w:rPr>
          <w:snapToGrid w:val="0"/>
        </w:rPr>
        <w:t xml:space="preserve"> </w:t>
      </w:r>
    </w:p>
    <w:p>
      <w:pPr>
        <w:pStyle w:val="Subsection"/>
        <w:rPr>
          <w:snapToGrid w:val="0"/>
        </w:rPr>
      </w:pPr>
      <w:r>
        <w:rPr>
          <w:snapToGrid w:val="0"/>
        </w:rPr>
        <w:tab/>
      </w:r>
      <w:r>
        <w:rPr>
          <w:snapToGrid w:val="0"/>
        </w:rPr>
        <w:tab/>
        <w:t>The owner and the manager of a sawmill shall ensure that where any log timber felled in a State forest or timber reserve is received at the sawmill, a record is made, on the day on which the timber is received, of — </w:t>
      </w:r>
    </w:p>
    <w:p>
      <w:pPr>
        <w:pStyle w:val="Indenta"/>
        <w:rPr>
          <w:snapToGrid w:val="0"/>
        </w:rPr>
      </w:pPr>
      <w:r>
        <w:rPr>
          <w:snapToGrid w:val="0"/>
        </w:rPr>
        <w:tab/>
        <w:t>(a)</w:t>
      </w:r>
      <w:r>
        <w:rPr>
          <w:snapToGrid w:val="0"/>
        </w:rPr>
        <w:tab/>
        <w:t>the day on which the log timber was received;</w:t>
      </w:r>
    </w:p>
    <w:p>
      <w:pPr>
        <w:pStyle w:val="Indenta"/>
        <w:rPr>
          <w:snapToGrid w:val="0"/>
        </w:rPr>
      </w:pPr>
      <w:r>
        <w:rPr>
          <w:snapToGrid w:val="0"/>
        </w:rPr>
        <w:tab/>
        <w:t>(b)</w:t>
      </w:r>
      <w:r>
        <w:rPr>
          <w:snapToGrid w:val="0"/>
        </w:rPr>
        <w:tab/>
        <w:t>the species and product type of the log timber;</w:t>
      </w:r>
    </w:p>
    <w:p>
      <w:pPr>
        <w:pStyle w:val="Indenta"/>
        <w:rPr>
          <w:snapToGrid w:val="0"/>
        </w:rPr>
      </w:pPr>
      <w:r>
        <w:rPr>
          <w:snapToGrid w:val="0"/>
        </w:rPr>
        <w:tab/>
        <w:t>(c)</w:t>
      </w:r>
      <w:r>
        <w:rPr>
          <w:snapToGrid w:val="0"/>
        </w:rPr>
        <w:tab/>
        <w:t>the quantity of log timber received; and</w:t>
      </w:r>
    </w:p>
    <w:p>
      <w:pPr>
        <w:pStyle w:val="Indenta"/>
        <w:rPr>
          <w:snapToGrid w:val="0"/>
        </w:rPr>
      </w:pPr>
      <w:r>
        <w:rPr>
          <w:snapToGrid w:val="0"/>
        </w:rPr>
        <w:tab/>
        <w:t>(d)</w:t>
      </w:r>
      <w:r>
        <w:rPr>
          <w:snapToGrid w:val="0"/>
        </w:rPr>
        <w:tab/>
        <w:t>the number of the log delivery note completed in respect of that log timber.</w:t>
      </w:r>
    </w:p>
    <w:p>
      <w:pPr>
        <w:pStyle w:val="Penstart"/>
        <w:rPr>
          <w:snapToGrid w:val="0"/>
        </w:rPr>
      </w:pPr>
      <w:r>
        <w:rPr>
          <w:snapToGrid w:val="0"/>
        </w:rPr>
        <w:tab/>
        <w:t>Penalty: $2 000.</w:t>
      </w:r>
    </w:p>
    <w:p>
      <w:pPr>
        <w:pStyle w:val="Heading5"/>
        <w:rPr>
          <w:snapToGrid w:val="0"/>
        </w:rPr>
      </w:pPr>
      <w:bookmarkStart w:id="205" w:name="_Toc438372794"/>
      <w:bookmarkStart w:id="206" w:name="_Toc8187942"/>
      <w:bookmarkStart w:id="207" w:name="_Toc155068045"/>
      <w:r>
        <w:rPr>
          <w:rStyle w:val="CharSectno"/>
        </w:rPr>
        <w:t>58</w:t>
      </w:r>
      <w:r>
        <w:rPr>
          <w:snapToGrid w:val="0"/>
        </w:rPr>
        <w:t>.</w:t>
      </w:r>
      <w:r>
        <w:rPr>
          <w:snapToGrid w:val="0"/>
        </w:rPr>
        <w:tab/>
        <w:t>Executive Director to supply forms</w:t>
      </w:r>
      <w:bookmarkEnd w:id="205"/>
      <w:bookmarkEnd w:id="206"/>
      <w:bookmarkEnd w:id="207"/>
      <w:r>
        <w:rPr>
          <w:snapToGrid w:val="0"/>
        </w:rPr>
        <w:t xml:space="preserve"> </w:t>
      </w:r>
    </w:p>
    <w:p>
      <w:pPr>
        <w:pStyle w:val="Subsection"/>
        <w:rPr>
          <w:snapToGrid w:val="0"/>
        </w:rPr>
      </w:pPr>
      <w:r>
        <w:rPr>
          <w:snapToGrid w:val="0"/>
        </w:rPr>
        <w:tab/>
      </w:r>
      <w:r>
        <w:rPr>
          <w:snapToGrid w:val="0"/>
        </w:rPr>
        <w:tab/>
        <w:t>The Executive Director shall, upon request, provide the owner or manager of a sawmill with a book of forms in which to make a record referred to in regulation 57.</w:t>
      </w:r>
    </w:p>
    <w:p>
      <w:pPr>
        <w:pStyle w:val="Heading5"/>
        <w:rPr>
          <w:snapToGrid w:val="0"/>
        </w:rPr>
      </w:pPr>
      <w:bookmarkStart w:id="208" w:name="_Toc438372795"/>
      <w:bookmarkStart w:id="209" w:name="_Toc8187943"/>
      <w:bookmarkStart w:id="210" w:name="_Toc155068046"/>
      <w:r>
        <w:rPr>
          <w:rStyle w:val="CharSectno"/>
        </w:rPr>
        <w:t>59</w:t>
      </w:r>
      <w:r>
        <w:rPr>
          <w:snapToGrid w:val="0"/>
        </w:rPr>
        <w:t>.</w:t>
      </w:r>
      <w:r>
        <w:rPr>
          <w:snapToGrid w:val="0"/>
        </w:rPr>
        <w:tab/>
        <w:t>Copy of records to be kept for 2 years</w:t>
      </w:r>
      <w:bookmarkEnd w:id="208"/>
      <w:bookmarkEnd w:id="209"/>
      <w:bookmarkEnd w:id="210"/>
      <w:r>
        <w:rPr>
          <w:snapToGrid w:val="0"/>
        </w:rPr>
        <w:t xml:space="preserve"> </w:t>
      </w:r>
    </w:p>
    <w:p>
      <w:pPr>
        <w:pStyle w:val="Subsection"/>
        <w:rPr>
          <w:snapToGrid w:val="0"/>
        </w:rPr>
      </w:pPr>
      <w:r>
        <w:rPr>
          <w:snapToGrid w:val="0"/>
        </w:rPr>
        <w:tab/>
      </w:r>
      <w:r>
        <w:rPr>
          <w:snapToGrid w:val="0"/>
        </w:rPr>
        <w:tab/>
        <w:t xml:space="preserve">The owner of a sawmill shall cause a copy of every receival record made in respect of log timber received at the sawmill within the preceding 2 years to be kept at the sawmill or, where it is not practicable to keep copies at the sawmill, at some other place approved in writing by the Executive Director. </w:t>
      </w:r>
    </w:p>
    <w:p>
      <w:pPr>
        <w:pStyle w:val="Penstart"/>
        <w:rPr>
          <w:snapToGrid w:val="0"/>
        </w:rPr>
      </w:pPr>
      <w:r>
        <w:rPr>
          <w:snapToGrid w:val="0"/>
        </w:rPr>
        <w:tab/>
        <w:t>Penalty: $2 000.</w:t>
      </w:r>
    </w:p>
    <w:p>
      <w:pPr>
        <w:pStyle w:val="Heading5"/>
        <w:rPr>
          <w:snapToGrid w:val="0"/>
        </w:rPr>
      </w:pPr>
      <w:bookmarkStart w:id="211" w:name="_Toc438372796"/>
      <w:bookmarkStart w:id="212" w:name="_Toc8187944"/>
      <w:bookmarkStart w:id="213" w:name="_Toc155068047"/>
      <w:r>
        <w:rPr>
          <w:rStyle w:val="CharSectno"/>
        </w:rPr>
        <w:t>60</w:t>
      </w:r>
      <w:r>
        <w:rPr>
          <w:snapToGrid w:val="0"/>
        </w:rPr>
        <w:t>.</w:t>
      </w:r>
      <w:r>
        <w:rPr>
          <w:snapToGrid w:val="0"/>
        </w:rPr>
        <w:tab/>
        <w:t>Alteration, etc. of receival records prohibited</w:t>
      </w:r>
      <w:bookmarkEnd w:id="211"/>
      <w:bookmarkEnd w:id="212"/>
      <w:bookmarkEnd w:id="213"/>
      <w:r>
        <w:rPr>
          <w:snapToGrid w:val="0"/>
        </w:rPr>
        <w:t xml:space="preserve"> </w:t>
      </w:r>
    </w:p>
    <w:p>
      <w:pPr>
        <w:pStyle w:val="Subsection"/>
        <w:rPr>
          <w:snapToGrid w:val="0"/>
        </w:rPr>
      </w:pPr>
      <w:r>
        <w:rPr>
          <w:snapToGrid w:val="0"/>
        </w:rPr>
        <w:tab/>
      </w:r>
      <w:r>
        <w:rPr>
          <w:snapToGrid w:val="0"/>
        </w:rPr>
        <w:tab/>
        <w:t>A person shall not alter or obliterate any statement or information entered in a receival record unless, in the case of an alteration, the alteration is — </w:t>
      </w:r>
    </w:p>
    <w:p>
      <w:pPr>
        <w:pStyle w:val="Indenta"/>
        <w:rPr>
          <w:snapToGrid w:val="0"/>
        </w:rPr>
      </w:pPr>
      <w:r>
        <w:rPr>
          <w:snapToGrid w:val="0"/>
        </w:rPr>
        <w:tab/>
        <w:t>(a)</w:t>
      </w:r>
      <w:r>
        <w:rPr>
          <w:snapToGrid w:val="0"/>
        </w:rPr>
        <w:tab/>
        <w:t xml:space="preserve">made for the purpose of correcting a </w:t>
      </w:r>
      <w:r>
        <w:rPr>
          <w:i/>
          <w:snapToGrid w:val="0"/>
        </w:rPr>
        <w:t>bona fide</w:t>
      </w:r>
      <w:r>
        <w:rPr>
          <w:snapToGrid w:val="0"/>
        </w:rPr>
        <w:t xml:space="preserve"> mistake as soon as practicable after the mistake is discovered;</w:t>
      </w:r>
    </w:p>
    <w:p>
      <w:pPr>
        <w:pStyle w:val="Indenta"/>
        <w:rPr>
          <w:snapToGrid w:val="0"/>
        </w:rPr>
      </w:pPr>
      <w:r>
        <w:rPr>
          <w:snapToGrid w:val="0"/>
        </w:rPr>
        <w:tab/>
        <w:t>(b)</w:t>
      </w:r>
      <w:r>
        <w:rPr>
          <w:snapToGrid w:val="0"/>
        </w:rPr>
        <w:tab/>
        <w:t>made in such a manner as to leave the statement or information that is altered legible; and</w:t>
      </w:r>
    </w:p>
    <w:p>
      <w:pPr>
        <w:pStyle w:val="Indenta"/>
        <w:rPr>
          <w:snapToGrid w:val="0"/>
        </w:rPr>
      </w:pPr>
      <w:r>
        <w:rPr>
          <w:snapToGrid w:val="0"/>
        </w:rPr>
        <w:tab/>
        <w:t>(c)</w:t>
      </w:r>
      <w:r>
        <w:rPr>
          <w:snapToGrid w:val="0"/>
        </w:rPr>
        <w:tab/>
        <w:t>initialled by the person making the alteration as soon as practicable after the alteration is made.</w:t>
      </w:r>
    </w:p>
    <w:p>
      <w:pPr>
        <w:pStyle w:val="Penstart"/>
        <w:rPr>
          <w:snapToGrid w:val="0"/>
        </w:rPr>
      </w:pPr>
      <w:r>
        <w:rPr>
          <w:snapToGrid w:val="0"/>
        </w:rPr>
        <w:tab/>
        <w:t>Penalty: $2 000.</w:t>
      </w:r>
    </w:p>
    <w:p>
      <w:pPr>
        <w:pStyle w:val="Heading5"/>
        <w:rPr>
          <w:snapToGrid w:val="0"/>
        </w:rPr>
      </w:pPr>
      <w:bookmarkStart w:id="214" w:name="_Toc438372797"/>
      <w:bookmarkStart w:id="215" w:name="_Toc8187945"/>
      <w:bookmarkStart w:id="216" w:name="_Toc155068048"/>
      <w:r>
        <w:rPr>
          <w:rStyle w:val="CharSectno"/>
        </w:rPr>
        <w:t>61</w:t>
      </w:r>
      <w:r>
        <w:rPr>
          <w:snapToGrid w:val="0"/>
        </w:rPr>
        <w:t>.</w:t>
      </w:r>
      <w:r>
        <w:rPr>
          <w:snapToGrid w:val="0"/>
        </w:rPr>
        <w:tab/>
        <w:t>Removal of records prohibited</w:t>
      </w:r>
      <w:bookmarkEnd w:id="214"/>
      <w:bookmarkEnd w:id="215"/>
      <w:bookmarkEnd w:id="216"/>
      <w:r>
        <w:rPr>
          <w:snapToGrid w:val="0"/>
        </w:rPr>
        <w:t xml:space="preserve"> </w:t>
      </w:r>
    </w:p>
    <w:p>
      <w:pPr>
        <w:pStyle w:val="Subsection"/>
        <w:rPr>
          <w:snapToGrid w:val="0"/>
        </w:rPr>
      </w:pPr>
      <w:r>
        <w:rPr>
          <w:snapToGrid w:val="0"/>
        </w:rPr>
        <w:tab/>
      </w:r>
      <w:r>
        <w:rPr>
          <w:snapToGrid w:val="0"/>
        </w:rPr>
        <w:tab/>
        <w:t>Except for the purpose of complying with regulation 62, a person shall not remove any page or excise any portion of a page from a book of receival records.</w:t>
      </w:r>
    </w:p>
    <w:p>
      <w:pPr>
        <w:pStyle w:val="Penstart"/>
        <w:rPr>
          <w:snapToGrid w:val="0"/>
        </w:rPr>
      </w:pPr>
      <w:r>
        <w:rPr>
          <w:snapToGrid w:val="0"/>
        </w:rPr>
        <w:tab/>
        <w:t xml:space="preserve">Penalty: $2 000. </w:t>
      </w:r>
    </w:p>
    <w:p>
      <w:pPr>
        <w:pStyle w:val="Heading5"/>
        <w:rPr>
          <w:snapToGrid w:val="0"/>
        </w:rPr>
      </w:pPr>
      <w:bookmarkStart w:id="217" w:name="_Toc438372798"/>
      <w:bookmarkStart w:id="218" w:name="_Toc8187946"/>
      <w:bookmarkStart w:id="219" w:name="_Toc155068049"/>
      <w:r>
        <w:rPr>
          <w:rStyle w:val="CharSectno"/>
        </w:rPr>
        <w:t>62</w:t>
      </w:r>
      <w:r>
        <w:rPr>
          <w:snapToGrid w:val="0"/>
        </w:rPr>
        <w:t>.</w:t>
      </w:r>
      <w:r>
        <w:rPr>
          <w:snapToGrid w:val="0"/>
        </w:rPr>
        <w:tab/>
        <w:t>Receival records to be delivered at the end of the month</w:t>
      </w:r>
      <w:bookmarkEnd w:id="217"/>
      <w:bookmarkEnd w:id="218"/>
      <w:bookmarkEnd w:id="219"/>
    </w:p>
    <w:p>
      <w:pPr>
        <w:pStyle w:val="Subsection"/>
        <w:rPr>
          <w:snapToGrid w:val="0"/>
        </w:rPr>
      </w:pPr>
      <w:r>
        <w:rPr>
          <w:snapToGrid w:val="0"/>
        </w:rPr>
        <w:tab/>
      </w:r>
      <w:r>
        <w:rPr>
          <w:snapToGrid w:val="0"/>
        </w:rPr>
        <w:tab/>
        <w:t>The manager of a sawmill shall, within 3 working days from the end of each calendar month, cause to be delivered to the Executive Director or a forest officer the originals of all receival records that relate to log timber received during that month.</w:t>
      </w:r>
    </w:p>
    <w:p>
      <w:pPr>
        <w:pStyle w:val="Penstart"/>
        <w:rPr>
          <w:snapToGrid w:val="0"/>
        </w:rPr>
      </w:pPr>
      <w:r>
        <w:rPr>
          <w:snapToGrid w:val="0"/>
        </w:rPr>
        <w:tab/>
        <w:t>Penalty: $2 000.</w:t>
      </w:r>
    </w:p>
    <w:p>
      <w:pPr>
        <w:pStyle w:val="Heading5"/>
        <w:rPr>
          <w:snapToGrid w:val="0"/>
        </w:rPr>
      </w:pPr>
      <w:bookmarkStart w:id="220" w:name="_Toc438372799"/>
      <w:bookmarkStart w:id="221" w:name="_Toc8187947"/>
      <w:bookmarkStart w:id="222" w:name="_Toc155068050"/>
      <w:r>
        <w:rPr>
          <w:rStyle w:val="CharSectno"/>
        </w:rPr>
        <w:t>63</w:t>
      </w:r>
      <w:r>
        <w:rPr>
          <w:snapToGrid w:val="0"/>
        </w:rPr>
        <w:t>.</w:t>
      </w:r>
      <w:r>
        <w:rPr>
          <w:snapToGrid w:val="0"/>
        </w:rPr>
        <w:tab/>
        <w:t>False entries</w:t>
      </w:r>
      <w:bookmarkEnd w:id="220"/>
      <w:bookmarkEnd w:id="221"/>
      <w:bookmarkEnd w:id="222"/>
      <w:r>
        <w:rPr>
          <w:snapToGrid w:val="0"/>
        </w:rPr>
        <w:t xml:space="preserve"> </w:t>
      </w:r>
    </w:p>
    <w:p>
      <w:pPr>
        <w:pStyle w:val="Subsection"/>
        <w:rPr>
          <w:snapToGrid w:val="0"/>
        </w:rPr>
      </w:pPr>
      <w:r>
        <w:rPr>
          <w:snapToGrid w:val="0"/>
        </w:rPr>
        <w:tab/>
      </w:r>
      <w:r>
        <w:rPr>
          <w:snapToGrid w:val="0"/>
        </w:rPr>
        <w:tab/>
        <w:t>A person shall not make any entry in a receival record that is false or misleading in a material particular.</w:t>
      </w:r>
    </w:p>
    <w:p>
      <w:pPr>
        <w:pStyle w:val="Penstart"/>
        <w:rPr>
          <w:snapToGrid w:val="0"/>
        </w:rPr>
      </w:pPr>
      <w:r>
        <w:rPr>
          <w:snapToGrid w:val="0"/>
        </w:rPr>
        <w:tab/>
        <w:t>Penalty: $2 000.</w:t>
      </w:r>
    </w:p>
    <w:p>
      <w:pPr>
        <w:pStyle w:val="Heading5"/>
        <w:rPr>
          <w:snapToGrid w:val="0"/>
        </w:rPr>
      </w:pPr>
      <w:bookmarkStart w:id="223" w:name="_Toc438372800"/>
      <w:bookmarkStart w:id="224" w:name="_Toc8187948"/>
      <w:bookmarkStart w:id="225" w:name="_Toc155068051"/>
      <w:r>
        <w:rPr>
          <w:rStyle w:val="CharSectno"/>
        </w:rPr>
        <w:t>64</w:t>
      </w:r>
      <w:r>
        <w:rPr>
          <w:snapToGrid w:val="0"/>
        </w:rPr>
        <w:t>.</w:t>
      </w:r>
      <w:r>
        <w:rPr>
          <w:snapToGrid w:val="0"/>
        </w:rPr>
        <w:tab/>
        <w:t>Forest officer to make record of sawmill inspection or enquiry</w:t>
      </w:r>
      <w:bookmarkEnd w:id="223"/>
      <w:bookmarkEnd w:id="224"/>
      <w:bookmarkEnd w:id="225"/>
      <w:r>
        <w:rPr>
          <w:snapToGrid w:val="0"/>
        </w:rPr>
        <w:t xml:space="preserve"> </w:t>
      </w:r>
    </w:p>
    <w:p>
      <w:pPr>
        <w:pStyle w:val="Subsection"/>
        <w:rPr>
          <w:snapToGrid w:val="0"/>
        </w:rPr>
      </w:pPr>
      <w:r>
        <w:rPr>
          <w:snapToGrid w:val="0"/>
        </w:rPr>
        <w:tab/>
      </w:r>
      <w:r>
        <w:rPr>
          <w:snapToGrid w:val="0"/>
        </w:rPr>
        <w:tab/>
        <w:t>Where under section 119A of the Act, a forest officer enters any sawmill and conducts an inspection or enquiry, the forest officer shall make an entry in the receival record kept by the sawmill of — </w:t>
      </w:r>
    </w:p>
    <w:p>
      <w:pPr>
        <w:pStyle w:val="Indenta"/>
        <w:rPr>
          <w:snapToGrid w:val="0"/>
        </w:rPr>
      </w:pPr>
      <w:r>
        <w:rPr>
          <w:snapToGrid w:val="0"/>
        </w:rPr>
        <w:tab/>
        <w:t>(a)</w:t>
      </w:r>
      <w:r>
        <w:rPr>
          <w:snapToGrid w:val="0"/>
        </w:rPr>
        <w:tab/>
        <w:t>the date of the inspection or enquiry;</w:t>
      </w:r>
    </w:p>
    <w:p>
      <w:pPr>
        <w:pStyle w:val="Indenta"/>
        <w:rPr>
          <w:snapToGrid w:val="0"/>
        </w:rPr>
      </w:pPr>
      <w:r>
        <w:rPr>
          <w:snapToGrid w:val="0"/>
        </w:rPr>
        <w:tab/>
        <w:t>(b)</w:t>
      </w:r>
      <w:r>
        <w:rPr>
          <w:snapToGrid w:val="0"/>
        </w:rPr>
        <w:tab/>
        <w:t xml:space="preserve">the nature of the inspection or enquiry conducted; and </w:t>
      </w:r>
    </w:p>
    <w:p>
      <w:pPr>
        <w:pStyle w:val="Indenta"/>
        <w:rPr>
          <w:snapToGrid w:val="0"/>
        </w:rPr>
      </w:pPr>
      <w:r>
        <w:rPr>
          <w:snapToGrid w:val="0"/>
        </w:rPr>
        <w:tab/>
        <w:t>(c)</w:t>
      </w:r>
      <w:r>
        <w:rPr>
          <w:snapToGrid w:val="0"/>
        </w:rPr>
        <w:tab/>
        <w:t>the results of the inspection or enquiry.</w:t>
      </w:r>
    </w:p>
    <w:p>
      <w:pPr>
        <w:pStyle w:val="Heading2"/>
      </w:pPr>
      <w:bookmarkStart w:id="226" w:name="_Toc154984386"/>
      <w:bookmarkStart w:id="227" w:name="_Toc155067191"/>
      <w:bookmarkStart w:id="228" w:name="_Toc155068052"/>
      <w:r>
        <w:rPr>
          <w:rStyle w:val="CharPartNo"/>
        </w:rPr>
        <w:t>Part 9</w:t>
      </w:r>
      <w:r>
        <w:rPr>
          <w:rStyle w:val="CharDivNo"/>
        </w:rPr>
        <w:t> </w:t>
      </w:r>
      <w:r>
        <w:t>—</w:t>
      </w:r>
      <w:r>
        <w:rPr>
          <w:rStyle w:val="CharDivText"/>
        </w:rPr>
        <w:t> </w:t>
      </w:r>
      <w:r>
        <w:rPr>
          <w:rStyle w:val="CharPartText"/>
        </w:rPr>
        <w:t>Sale of forest produce by auction or tender</w:t>
      </w:r>
      <w:bookmarkEnd w:id="226"/>
      <w:bookmarkEnd w:id="227"/>
      <w:bookmarkEnd w:id="228"/>
      <w:r>
        <w:rPr>
          <w:rStyle w:val="CharPartText"/>
        </w:rPr>
        <w:t xml:space="preserve"> </w:t>
      </w:r>
    </w:p>
    <w:p>
      <w:pPr>
        <w:pStyle w:val="Heading5"/>
        <w:spacing w:before="180"/>
        <w:rPr>
          <w:snapToGrid w:val="0"/>
        </w:rPr>
      </w:pPr>
      <w:bookmarkStart w:id="229" w:name="_Toc438372801"/>
      <w:bookmarkStart w:id="230" w:name="_Toc8187949"/>
      <w:bookmarkStart w:id="231" w:name="_Toc155068053"/>
      <w:r>
        <w:rPr>
          <w:rStyle w:val="CharSectno"/>
        </w:rPr>
        <w:t>65</w:t>
      </w:r>
      <w:r>
        <w:rPr>
          <w:snapToGrid w:val="0"/>
        </w:rPr>
        <w:t>.</w:t>
      </w:r>
      <w:r>
        <w:rPr>
          <w:snapToGrid w:val="0"/>
        </w:rPr>
        <w:tab/>
        <w:t>Sale of forest produce by auction or tender</w:t>
      </w:r>
      <w:bookmarkEnd w:id="229"/>
      <w:bookmarkEnd w:id="230"/>
      <w:bookmarkEnd w:id="231"/>
      <w:r>
        <w:rPr>
          <w:snapToGrid w:val="0"/>
        </w:rPr>
        <w:t xml:space="preserve"> </w:t>
      </w:r>
    </w:p>
    <w:p>
      <w:pPr>
        <w:pStyle w:val="Subsection"/>
        <w:spacing w:before="120"/>
        <w:rPr>
          <w:snapToGrid w:val="0"/>
        </w:rPr>
      </w:pPr>
      <w:r>
        <w:rPr>
          <w:snapToGrid w:val="0"/>
        </w:rPr>
        <w:tab/>
        <w:t>(1)</w:t>
      </w:r>
      <w:r>
        <w:rPr>
          <w:snapToGrid w:val="0"/>
        </w:rPr>
        <w:tab/>
        <w:t>Where the royalties payable under a contract of sale, permit or forest produce licence are to be established by public auction or by tender, the public auction or sale by tender may be conducted in such manner as the Executive Director thinks fit.</w:t>
      </w:r>
    </w:p>
    <w:p>
      <w:pPr>
        <w:pStyle w:val="Subsection"/>
        <w:spacing w:before="120"/>
        <w:rPr>
          <w:snapToGrid w:val="0"/>
        </w:rPr>
      </w:pPr>
      <w:r>
        <w:rPr>
          <w:snapToGrid w:val="0"/>
        </w:rPr>
        <w:tab/>
        <w:t>(2)</w:t>
      </w:r>
      <w:r>
        <w:rPr>
          <w:snapToGrid w:val="0"/>
        </w:rPr>
        <w:tab/>
        <w:t>Without limiting the generality of subregulation (1), the Executive Director may — </w:t>
      </w:r>
    </w:p>
    <w:p>
      <w:pPr>
        <w:pStyle w:val="Indenta"/>
        <w:spacing w:before="60"/>
        <w:rPr>
          <w:snapToGrid w:val="0"/>
        </w:rPr>
      </w:pPr>
      <w:r>
        <w:rPr>
          <w:snapToGrid w:val="0"/>
        </w:rPr>
        <w:tab/>
        <w:t>(a)</w:t>
      </w:r>
      <w:r>
        <w:rPr>
          <w:snapToGrid w:val="0"/>
        </w:rPr>
        <w:tab/>
        <w:t>invite persons to register with the Executive Director as prospective bidders or tenderers;</w:t>
      </w:r>
    </w:p>
    <w:p>
      <w:pPr>
        <w:pStyle w:val="Indenta"/>
        <w:spacing w:before="60"/>
        <w:rPr>
          <w:snapToGrid w:val="0"/>
        </w:rPr>
      </w:pPr>
      <w:r>
        <w:rPr>
          <w:snapToGrid w:val="0"/>
        </w:rPr>
        <w:tab/>
        <w:t>(b)</w:t>
      </w:r>
      <w:r>
        <w:rPr>
          <w:snapToGrid w:val="0"/>
        </w:rPr>
        <w:tab/>
        <w:t>require tenders submitted to be accompanied by such information as the Executive Director thinks fit;</w:t>
      </w:r>
    </w:p>
    <w:p>
      <w:pPr>
        <w:pStyle w:val="Indenta"/>
        <w:spacing w:before="60"/>
        <w:rPr>
          <w:snapToGrid w:val="0"/>
        </w:rPr>
      </w:pPr>
      <w:r>
        <w:rPr>
          <w:snapToGrid w:val="0"/>
        </w:rPr>
        <w:tab/>
        <w:t>(c)</w:t>
      </w:r>
      <w:r>
        <w:rPr>
          <w:snapToGrid w:val="0"/>
        </w:rPr>
        <w:tab/>
        <w:t>require a deposit to be lodged with any tender;</w:t>
      </w:r>
    </w:p>
    <w:p>
      <w:pPr>
        <w:pStyle w:val="Indenta"/>
        <w:spacing w:before="60"/>
        <w:rPr>
          <w:snapToGrid w:val="0"/>
        </w:rPr>
      </w:pPr>
      <w:r>
        <w:rPr>
          <w:snapToGrid w:val="0"/>
        </w:rPr>
        <w:tab/>
        <w:t>(d)</w:t>
      </w:r>
      <w:r>
        <w:rPr>
          <w:snapToGrid w:val="0"/>
        </w:rPr>
        <w:tab/>
        <w:t>fix a reserve royalty for the forest produce;</w:t>
      </w:r>
    </w:p>
    <w:p>
      <w:pPr>
        <w:pStyle w:val="Indenta"/>
        <w:spacing w:before="60"/>
        <w:rPr>
          <w:snapToGrid w:val="0"/>
        </w:rPr>
      </w:pPr>
      <w:r>
        <w:rPr>
          <w:snapToGrid w:val="0"/>
        </w:rPr>
        <w:tab/>
        <w:t>(e)</w:t>
      </w:r>
      <w:r>
        <w:rPr>
          <w:snapToGrid w:val="0"/>
        </w:rPr>
        <w:tab/>
        <w:t>fix a minimum sale quantity for the forest produce;</w:t>
      </w:r>
    </w:p>
    <w:p>
      <w:pPr>
        <w:pStyle w:val="Indenta"/>
        <w:spacing w:before="60"/>
        <w:rPr>
          <w:snapToGrid w:val="0"/>
        </w:rPr>
      </w:pPr>
      <w:r>
        <w:rPr>
          <w:snapToGrid w:val="0"/>
        </w:rPr>
        <w:tab/>
        <w:t>(f)</w:t>
      </w:r>
      <w:r>
        <w:rPr>
          <w:snapToGrid w:val="0"/>
        </w:rPr>
        <w:tab/>
        <w:t>fix a date by which supply under the conditions of a contract of sale must commence;</w:t>
      </w:r>
    </w:p>
    <w:p>
      <w:pPr>
        <w:pStyle w:val="Indenta"/>
        <w:spacing w:before="60"/>
        <w:rPr>
          <w:snapToGrid w:val="0"/>
        </w:rPr>
      </w:pPr>
      <w:r>
        <w:rPr>
          <w:snapToGrid w:val="0"/>
        </w:rPr>
        <w:tab/>
        <w:t>(g)</w:t>
      </w:r>
      <w:r>
        <w:rPr>
          <w:snapToGrid w:val="0"/>
        </w:rPr>
        <w:tab/>
        <w:t>decline to accept the highest bid or tender; or</w:t>
      </w:r>
    </w:p>
    <w:p>
      <w:pPr>
        <w:pStyle w:val="Indenta"/>
        <w:spacing w:before="60"/>
        <w:rPr>
          <w:snapToGrid w:val="0"/>
        </w:rPr>
      </w:pPr>
      <w:r>
        <w:rPr>
          <w:snapToGrid w:val="0"/>
        </w:rPr>
        <w:tab/>
        <w:t>(h)</w:t>
      </w:r>
      <w:r>
        <w:rPr>
          <w:snapToGrid w:val="0"/>
        </w:rPr>
        <w:tab/>
        <w:t>accept any bid or tender subject to the provision of further information.</w:t>
      </w:r>
    </w:p>
    <w:p>
      <w:pPr>
        <w:pStyle w:val="Heading5"/>
        <w:spacing w:before="180"/>
        <w:rPr>
          <w:snapToGrid w:val="0"/>
        </w:rPr>
      </w:pPr>
      <w:bookmarkStart w:id="232" w:name="_Toc438372802"/>
      <w:bookmarkStart w:id="233" w:name="_Toc8187950"/>
      <w:bookmarkStart w:id="234" w:name="_Toc155068054"/>
      <w:r>
        <w:rPr>
          <w:rStyle w:val="CharSectno"/>
        </w:rPr>
        <w:t>66</w:t>
      </w:r>
      <w:r>
        <w:rPr>
          <w:snapToGrid w:val="0"/>
        </w:rPr>
        <w:t>.</w:t>
      </w:r>
      <w:r>
        <w:rPr>
          <w:snapToGrid w:val="0"/>
        </w:rPr>
        <w:tab/>
        <w:t>Advertisement of sale by auction or tender</w:t>
      </w:r>
      <w:bookmarkEnd w:id="232"/>
      <w:bookmarkEnd w:id="233"/>
      <w:bookmarkEnd w:id="234"/>
      <w:r>
        <w:rPr>
          <w:snapToGrid w:val="0"/>
        </w:rPr>
        <w:t xml:space="preserve"> </w:t>
      </w:r>
    </w:p>
    <w:p>
      <w:pPr>
        <w:pStyle w:val="Subsection"/>
        <w:spacing w:before="120"/>
        <w:rPr>
          <w:snapToGrid w:val="0"/>
        </w:rPr>
      </w:pPr>
      <w:r>
        <w:rPr>
          <w:snapToGrid w:val="0"/>
        </w:rPr>
        <w:tab/>
      </w:r>
      <w:r>
        <w:rPr>
          <w:snapToGrid w:val="0"/>
        </w:rPr>
        <w:tab/>
        <w:t>Where the royalties payable under a contract of sale, permit or forest produce licence are to be established by public auction or by tender, the Executive Director shall advertise the proposed auction or sale by tender — </w:t>
      </w:r>
    </w:p>
    <w:p>
      <w:pPr>
        <w:pStyle w:val="Indenta"/>
        <w:spacing w:before="60"/>
        <w:rPr>
          <w:snapToGrid w:val="0"/>
        </w:rPr>
      </w:pPr>
      <w:r>
        <w:rPr>
          <w:snapToGrid w:val="0"/>
        </w:rPr>
        <w:tab/>
        <w:t>(a)</w:t>
      </w:r>
      <w:r>
        <w:rPr>
          <w:snapToGrid w:val="0"/>
        </w:rPr>
        <w:tab/>
        <w:t>in at least 2 issues of a newspaper circulating generally in the State; and</w:t>
      </w:r>
    </w:p>
    <w:p>
      <w:pPr>
        <w:pStyle w:val="Indenta"/>
        <w:spacing w:before="60"/>
        <w:rPr>
          <w:snapToGrid w:val="0"/>
        </w:rPr>
      </w:pPr>
      <w:r>
        <w:rPr>
          <w:snapToGrid w:val="0"/>
        </w:rPr>
        <w:tab/>
        <w:t>(b)</w:t>
      </w:r>
      <w:r>
        <w:rPr>
          <w:snapToGrid w:val="0"/>
        </w:rPr>
        <w:tab/>
        <w:t>where practicable, in a newspaper circulating locally in the area from which the forest produce is to be taken,</w:t>
      </w:r>
    </w:p>
    <w:p>
      <w:pPr>
        <w:pStyle w:val="Subsection"/>
        <w:rPr>
          <w:snapToGrid w:val="0"/>
        </w:rPr>
      </w:pPr>
      <w:r>
        <w:rPr>
          <w:snapToGrid w:val="0"/>
        </w:rPr>
        <w:tab/>
      </w:r>
      <w:r>
        <w:rPr>
          <w:snapToGrid w:val="0"/>
        </w:rPr>
        <w:tab/>
        <w:t>not later than 30 days before the day of the auction or the closing day for acceptance of tenders.</w:t>
      </w:r>
    </w:p>
    <w:p>
      <w:pPr>
        <w:pStyle w:val="Heading5"/>
        <w:rPr>
          <w:snapToGrid w:val="0"/>
        </w:rPr>
      </w:pPr>
      <w:bookmarkStart w:id="235" w:name="_Toc438372803"/>
      <w:bookmarkStart w:id="236" w:name="_Toc8187951"/>
      <w:bookmarkStart w:id="237" w:name="_Toc155068055"/>
      <w:r>
        <w:rPr>
          <w:rStyle w:val="CharSectno"/>
        </w:rPr>
        <w:t>67</w:t>
      </w:r>
      <w:r>
        <w:rPr>
          <w:snapToGrid w:val="0"/>
        </w:rPr>
        <w:t>.</w:t>
      </w:r>
      <w:r>
        <w:rPr>
          <w:snapToGrid w:val="0"/>
        </w:rPr>
        <w:tab/>
        <w:t>Notification of results of public auction or sale by tender</w:t>
      </w:r>
      <w:bookmarkEnd w:id="235"/>
      <w:bookmarkEnd w:id="236"/>
      <w:bookmarkEnd w:id="237"/>
      <w:r>
        <w:rPr>
          <w:snapToGrid w:val="0"/>
        </w:rPr>
        <w:t xml:space="preserve"> </w:t>
      </w:r>
    </w:p>
    <w:p>
      <w:pPr>
        <w:pStyle w:val="Subsection"/>
        <w:rPr>
          <w:snapToGrid w:val="0"/>
        </w:rPr>
      </w:pPr>
      <w:r>
        <w:rPr>
          <w:snapToGrid w:val="0"/>
        </w:rPr>
        <w:tab/>
      </w:r>
      <w:r>
        <w:rPr>
          <w:snapToGrid w:val="0"/>
        </w:rPr>
        <w:tab/>
        <w:t>Where the royalties payable under a contract of sale, permit or forest produce licence have been established by public auction or tender, the Executive Director shall notify every bidder or tenderer (as the case may be) of the results of the public auction or sale by tender, including the accepted schedule of prices.</w:t>
      </w:r>
    </w:p>
    <w:p>
      <w:pPr>
        <w:pStyle w:val="Heading2"/>
      </w:pPr>
      <w:bookmarkStart w:id="238" w:name="_Toc154984390"/>
      <w:bookmarkStart w:id="239" w:name="_Toc155067195"/>
      <w:bookmarkStart w:id="240" w:name="_Toc155068056"/>
      <w:r>
        <w:rPr>
          <w:rStyle w:val="CharPartNo"/>
        </w:rPr>
        <w:t>Part 10</w:t>
      </w:r>
      <w:r>
        <w:rPr>
          <w:rStyle w:val="CharDivNo"/>
        </w:rPr>
        <w:t> </w:t>
      </w:r>
      <w:r>
        <w:t>—</w:t>
      </w:r>
      <w:r>
        <w:rPr>
          <w:rStyle w:val="CharDivText"/>
        </w:rPr>
        <w:t> </w:t>
      </w:r>
      <w:r>
        <w:rPr>
          <w:rStyle w:val="CharPartText"/>
        </w:rPr>
        <w:t>Forest produce licences</w:t>
      </w:r>
      <w:bookmarkEnd w:id="238"/>
      <w:bookmarkEnd w:id="239"/>
      <w:bookmarkEnd w:id="240"/>
      <w:r>
        <w:rPr>
          <w:rStyle w:val="CharPartText"/>
        </w:rPr>
        <w:t xml:space="preserve"> </w:t>
      </w:r>
    </w:p>
    <w:p>
      <w:pPr>
        <w:pStyle w:val="Heading5"/>
        <w:rPr>
          <w:snapToGrid w:val="0"/>
        </w:rPr>
      </w:pPr>
      <w:bookmarkStart w:id="241" w:name="_Toc438372804"/>
      <w:bookmarkStart w:id="242" w:name="_Toc8187952"/>
      <w:bookmarkStart w:id="243" w:name="_Toc155068057"/>
      <w:r>
        <w:rPr>
          <w:rStyle w:val="CharSectno"/>
        </w:rPr>
        <w:t>68</w:t>
      </w:r>
      <w:r>
        <w:rPr>
          <w:snapToGrid w:val="0"/>
        </w:rPr>
        <w:t>.</w:t>
      </w:r>
      <w:r>
        <w:rPr>
          <w:snapToGrid w:val="0"/>
        </w:rPr>
        <w:tab/>
        <w:t>Application</w:t>
      </w:r>
      <w:bookmarkEnd w:id="241"/>
      <w:bookmarkEnd w:id="242"/>
      <w:bookmarkEnd w:id="243"/>
      <w:r>
        <w:rPr>
          <w:snapToGrid w:val="0"/>
        </w:rPr>
        <w:t xml:space="preserve"> </w:t>
      </w:r>
    </w:p>
    <w:p>
      <w:pPr>
        <w:pStyle w:val="Subsection"/>
        <w:spacing w:before="120"/>
        <w:rPr>
          <w:snapToGrid w:val="0"/>
        </w:rPr>
      </w:pPr>
      <w:r>
        <w:rPr>
          <w:snapToGrid w:val="0"/>
        </w:rPr>
        <w:tab/>
      </w:r>
      <w:r>
        <w:rPr>
          <w:snapToGrid w:val="0"/>
        </w:rPr>
        <w:tab/>
        <w:t>This Part does not apply to, or in relation to, a forest produce licence to pull or remove sandalwood on or from Crown land.</w:t>
      </w:r>
    </w:p>
    <w:p>
      <w:pPr>
        <w:pStyle w:val="Heading5"/>
        <w:rPr>
          <w:snapToGrid w:val="0"/>
        </w:rPr>
      </w:pPr>
      <w:bookmarkStart w:id="244" w:name="_Toc438372805"/>
      <w:bookmarkStart w:id="245" w:name="_Toc8187953"/>
      <w:bookmarkStart w:id="246" w:name="_Toc155068058"/>
      <w:r>
        <w:rPr>
          <w:rStyle w:val="CharSectno"/>
        </w:rPr>
        <w:t>69</w:t>
      </w:r>
      <w:r>
        <w:rPr>
          <w:snapToGrid w:val="0"/>
        </w:rPr>
        <w:t>.</w:t>
      </w:r>
      <w:r>
        <w:rPr>
          <w:snapToGrid w:val="0"/>
        </w:rPr>
        <w:tab/>
        <w:t>Form of forest produce licence</w:t>
      </w:r>
      <w:bookmarkEnd w:id="244"/>
      <w:bookmarkEnd w:id="245"/>
      <w:bookmarkEnd w:id="246"/>
      <w:r>
        <w:rPr>
          <w:snapToGrid w:val="0"/>
        </w:rPr>
        <w:t xml:space="preserve"> </w:t>
      </w:r>
    </w:p>
    <w:p>
      <w:pPr>
        <w:pStyle w:val="Subsection"/>
        <w:spacing w:before="120"/>
        <w:rPr>
          <w:snapToGrid w:val="0"/>
        </w:rPr>
      </w:pPr>
      <w:r>
        <w:rPr>
          <w:snapToGrid w:val="0"/>
        </w:rPr>
        <w:tab/>
      </w:r>
      <w:r>
        <w:rPr>
          <w:snapToGrid w:val="0"/>
        </w:rPr>
        <w:tab/>
        <w:t>A forest produce licence shall be in the form of Form 1 in Schedule 2.</w:t>
      </w:r>
    </w:p>
    <w:p>
      <w:pPr>
        <w:pStyle w:val="Heading5"/>
        <w:rPr>
          <w:snapToGrid w:val="0"/>
        </w:rPr>
      </w:pPr>
      <w:bookmarkStart w:id="247" w:name="_Toc438372806"/>
      <w:bookmarkStart w:id="248" w:name="_Toc8187954"/>
      <w:bookmarkStart w:id="249" w:name="_Toc155068059"/>
      <w:r>
        <w:rPr>
          <w:rStyle w:val="CharSectno"/>
        </w:rPr>
        <w:t>70</w:t>
      </w:r>
      <w:r>
        <w:rPr>
          <w:snapToGrid w:val="0"/>
        </w:rPr>
        <w:t>.</w:t>
      </w:r>
      <w:r>
        <w:rPr>
          <w:snapToGrid w:val="0"/>
        </w:rPr>
        <w:tab/>
        <w:t>Forest produce licence does not authorize felling of trees etc.</w:t>
      </w:r>
      <w:bookmarkEnd w:id="247"/>
      <w:bookmarkEnd w:id="248"/>
      <w:bookmarkEnd w:id="249"/>
      <w:r>
        <w:rPr>
          <w:snapToGrid w:val="0"/>
        </w:rPr>
        <w:t xml:space="preserve"> </w:t>
      </w:r>
    </w:p>
    <w:p>
      <w:pPr>
        <w:pStyle w:val="Subsection"/>
        <w:spacing w:before="120"/>
        <w:rPr>
          <w:snapToGrid w:val="0"/>
        </w:rPr>
      </w:pPr>
      <w:r>
        <w:rPr>
          <w:snapToGrid w:val="0"/>
        </w:rPr>
        <w:tab/>
        <w:t>(1)</w:t>
      </w:r>
      <w:r>
        <w:rPr>
          <w:snapToGrid w:val="0"/>
        </w:rPr>
        <w:tab/>
        <w:t>A forest produce licence — </w:t>
      </w:r>
    </w:p>
    <w:p>
      <w:pPr>
        <w:pStyle w:val="Indenta"/>
        <w:rPr>
          <w:snapToGrid w:val="0"/>
        </w:rPr>
      </w:pPr>
      <w:r>
        <w:rPr>
          <w:snapToGrid w:val="0"/>
        </w:rPr>
        <w:tab/>
        <w:t>(a)</w:t>
      </w:r>
      <w:r>
        <w:rPr>
          <w:snapToGrid w:val="0"/>
        </w:rPr>
        <w:tab/>
        <w:t>does not authorize the felling of any tree;</w:t>
      </w:r>
    </w:p>
    <w:p>
      <w:pPr>
        <w:pStyle w:val="Indenta"/>
        <w:rPr>
          <w:snapToGrid w:val="0"/>
        </w:rPr>
      </w:pPr>
      <w:r>
        <w:rPr>
          <w:snapToGrid w:val="0"/>
        </w:rPr>
        <w:tab/>
        <w:t>(b)</w:t>
      </w:r>
      <w:r>
        <w:rPr>
          <w:snapToGrid w:val="0"/>
        </w:rPr>
        <w:tab/>
        <w:t>does not authorize the taking of any forest produce until the amount payable under the licence by way of royalty, stumpage or other charges has been paid;</w:t>
      </w:r>
    </w:p>
    <w:p>
      <w:pPr>
        <w:pStyle w:val="Indenta"/>
        <w:rPr>
          <w:snapToGrid w:val="0"/>
        </w:rPr>
      </w:pPr>
      <w:r>
        <w:rPr>
          <w:snapToGrid w:val="0"/>
        </w:rPr>
        <w:tab/>
        <w:t>(c)</w:t>
      </w:r>
      <w:r>
        <w:rPr>
          <w:snapToGrid w:val="0"/>
        </w:rPr>
        <w:tab/>
        <w:t>does not preclude the Department from carrying out managed burning operations on the land to which the licence relates during the period of the licence and the licensee is not entitled to compensation or damages for any loss or damage arising from such operations;</w:t>
      </w:r>
    </w:p>
    <w:p>
      <w:pPr>
        <w:pStyle w:val="Indenta"/>
        <w:rPr>
          <w:snapToGrid w:val="0"/>
        </w:rPr>
      </w:pPr>
      <w:r>
        <w:rPr>
          <w:snapToGrid w:val="0"/>
        </w:rPr>
        <w:tab/>
        <w:t>(d)</w:t>
      </w:r>
      <w:r>
        <w:rPr>
          <w:snapToGrid w:val="0"/>
        </w:rPr>
        <w:tab/>
        <w:t>is personal to the licensee and cannot be transferred to any other person, but the licensee may take forest produce under the licence with the assistance of a person or persons working directly under his or her supervision.</w:t>
      </w:r>
    </w:p>
    <w:p>
      <w:pPr>
        <w:pStyle w:val="Subsection"/>
        <w:spacing w:before="120"/>
        <w:rPr>
          <w:snapToGrid w:val="0"/>
        </w:rPr>
      </w:pPr>
      <w:r>
        <w:rPr>
          <w:snapToGrid w:val="0"/>
        </w:rPr>
        <w:tab/>
        <w:t>(2)</w:t>
      </w:r>
      <w:r>
        <w:rPr>
          <w:snapToGrid w:val="0"/>
        </w:rPr>
        <w:tab/>
        <w:t>Subregulation (1)(a) does not apply to, or in relation to, a forest produce licence granted before the commencement of these regulations.</w:t>
      </w:r>
    </w:p>
    <w:p>
      <w:pPr>
        <w:pStyle w:val="Heading5"/>
        <w:rPr>
          <w:snapToGrid w:val="0"/>
        </w:rPr>
      </w:pPr>
      <w:bookmarkStart w:id="250" w:name="_Toc438372807"/>
      <w:bookmarkStart w:id="251" w:name="_Toc8187955"/>
      <w:bookmarkStart w:id="252" w:name="_Toc155068060"/>
      <w:r>
        <w:rPr>
          <w:rStyle w:val="CharSectno"/>
        </w:rPr>
        <w:t>71</w:t>
      </w:r>
      <w:r>
        <w:rPr>
          <w:snapToGrid w:val="0"/>
        </w:rPr>
        <w:t>.</w:t>
      </w:r>
      <w:r>
        <w:rPr>
          <w:snapToGrid w:val="0"/>
        </w:rPr>
        <w:tab/>
        <w:t>Production of forest produce licence</w:t>
      </w:r>
      <w:bookmarkEnd w:id="250"/>
      <w:bookmarkEnd w:id="251"/>
      <w:bookmarkEnd w:id="252"/>
      <w:r>
        <w:rPr>
          <w:snapToGrid w:val="0"/>
        </w:rPr>
        <w:t xml:space="preserve"> </w:t>
      </w:r>
    </w:p>
    <w:p>
      <w:pPr>
        <w:pStyle w:val="Subsection"/>
        <w:spacing w:before="120"/>
        <w:rPr>
          <w:snapToGrid w:val="0"/>
        </w:rPr>
      </w:pPr>
      <w:r>
        <w:rPr>
          <w:snapToGrid w:val="0"/>
        </w:rPr>
        <w:tab/>
      </w:r>
      <w:r>
        <w:rPr>
          <w:snapToGrid w:val="0"/>
        </w:rPr>
        <w:tab/>
        <w:t>The holder of a forest produce licence shall — </w:t>
      </w:r>
    </w:p>
    <w:p>
      <w:pPr>
        <w:pStyle w:val="Indenta"/>
        <w:rPr>
          <w:snapToGrid w:val="0"/>
        </w:rPr>
      </w:pPr>
      <w:r>
        <w:rPr>
          <w:snapToGrid w:val="0"/>
        </w:rPr>
        <w:tab/>
        <w:t>(a)</w:t>
      </w:r>
      <w:r>
        <w:rPr>
          <w:snapToGrid w:val="0"/>
        </w:rPr>
        <w:tab/>
        <w:t>carry the licence or a copy of the licence at all times while taking or purporting to take forest produce pursuant to that licence; and</w:t>
      </w:r>
    </w:p>
    <w:p>
      <w:pPr>
        <w:pStyle w:val="Indenta"/>
        <w:rPr>
          <w:snapToGrid w:val="0"/>
        </w:rPr>
      </w:pPr>
      <w:r>
        <w:rPr>
          <w:snapToGrid w:val="0"/>
        </w:rPr>
        <w:tab/>
        <w:t>(b)</w:t>
      </w:r>
      <w:r>
        <w:rPr>
          <w:snapToGrid w:val="0"/>
        </w:rPr>
        <w:tab/>
        <w:t>when required to do so by a forest officer or a conservation and land management officer, produce for inspection the licence or copy of the licence to the officer.</w:t>
      </w:r>
    </w:p>
    <w:p>
      <w:pPr>
        <w:pStyle w:val="Penstart"/>
        <w:rPr>
          <w:snapToGrid w:val="0"/>
        </w:rPr>
      </w:pPr>
      <w:r>
        <w:rPr>
          <w:snapToGrid w:val="0"/>
        </w:rPr>
        <w:tab/>
        <w:t>Penalty: $500.</w:t>
      </w:r>
    </w:p>
    <w:p>
      <w:pPr>
        <w:pStyle w:val="Heading2"/>
      </w:pPr>
      <w:bookmarkStart w:id="253" w:name="_Toc154984395"/>
      <w:bookmarkStart w:id="254" w:name="_Toc155067200"/>
      <w:bookmarkStart w:id="255" w:name="_Toc155068061"/>
      <w:r>
        <w:rPr>
          <w:rStyle w:val="CharPartNo"/>
        </w:rPr>
        <w:t>Part 11</w:t>
      </w:r>
      <w:r>
        <w:rPr>
          <w:rStyle w:val="CharDivNo"/>
        </w:rPr>
        <w:t> </w:t>
      </w:r>
      <w:r>
        <w:t>—</w:t>
      </w:r>
      <w:r>
        <w:rPr>
          <w:rStyle w:val="CharDivText"/>
        </w:rPr>
        <w:t> </w:t>
      </w:r>
      <w:r>
        <w:rPr>
          <w:rStyle w:val="CharPartText"/>
        </w:rPr>
        <w:t>Permits for apiary sites</w:t>
      </w:r>
      <w:bookmarkEnd w:id="253"/>
      <w:bookmarkEnd w:id="254"/>
      <w:bookmarkEnd w:id="255"/>
      <w:r>
        <w:rPr>
          <w:rStyle w:val="CharPartText"/>
        </w:rPr>
        <w:t xml:space="preserve"> </w:t>
      </w:r>
    </w:p>
    <w:p>
      <w:pPr>
        <w:pStyle w:val="Heading5"/>
        <w:rPr>
          <w:snapToGrid w:val="0"/>
        </w:rPr>
      </w:pPr>
      <w:bookmarkStart w:id="256" w:name="_Toc438372808"/>
      <w:bookmarkStart w:id="257" w:name="_Toc8187956"/>
      <w:bookmarkStart w:id="258" w:name="_Toc155068062"/>
      <w:r>
        <w:rPr>
          <w:rStyle w:val="CharSectno"/>
        </w:rPr>
        <w:t>72</w:t>
      </w:r>
      <w:r>
        <w:rPr>
          <w:snapToGrid w:val="0"/>
        </w:rPr>
        <w:t>.</w:t>
      </w:r>
      <w:r>
        <w:rPr>
          <w:snapToGrid w:val="0"/>
        </w:rPr>
        <w:tab/>
        <w:t>Interpretation</w:t>
      </w:r>
      <w:bookmarkEnd w:id="256"/>
      <w:bookmarkEnd w:id="257"/>
      <w:bookmarkEnd w:id="258"/>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permit</w:t>
      </w:r>
      <w:r>
        <w:t xml:space="preserve"> means a permit referred to in regulation 73(1);</w:t>
      </w:r>
    </w:p>
    <w:p>
      <w:pPr>
        <w:pStyle w:val="Defstart"/>
      </w:pPr>
      <w:r>
        <w:rPr>
          <w:b/>
        </w:rPr>
        <w:tab/>
      </w:r>
      <w:r>
        <w:rPr>
          <w:rStyle w:val="CharDefText"/>
        </w:rPr>
        <w:t>south</w:t>
      </w:r>
      <w:r>
        <w:rPr>
          <w:rStyle w:val="CharDefText"/>
        </w:rPr>
        <w:noBreakHyphen/>
        <w:t>west zone</w:t>
      </w:r>
      <w:r>
        <w:t xml:space="preserve"> means those parts of the South West Division and Eucla Division of the State as defined under the </w:t>
      </w:r>
      <w:r>
        <w:rPr>
          <w:i/>
        </w:rPr>
        <w:t>Land Act 1933</w:t>
      </w:r>
      <w:r>
        <w:t xml:space="preserve"> </w:t>
      </w:r>
      <w:r>
        <w:rPr>
          <w:vertAlign w:val="superscript"/>
        </w:rPr>
        <w:t>2</w:t>
      </w:r>
      <w:r>
        <w:t xml:space="preserve"> that are within the area bordered blue in Department of Conservation and Land Management Plan No. 1730.</w:t>
      </w:r>
    </w:p>
    <w:p>
      <w:pPr>
        <w:pStyle w:val="Heading5"/>
        <w:rPr>
          <w:snapToGrid w:val="0"/>
        </w:rPr>
      </w:pPr>
      <w:bookmarkStart w:id="259" w:name="_Toc438372809"/>
      <w:bookmarkStart w:id="260" w:name="_Toc8187957"/>
      <w:bookmarkStart w:id="261" w:name="_Toc155068063"/>
      <w:r>
        <w:rPr>
          <w:rStyle w:val="CharSectno"/>
        </w:rPr>
        <w:t>73</w:t>
      </w:r>
      <w:r>
        <w:rPr>
          <w:snapToGrid w:val="0"/>
        </w:rPr>
        <w:t>.</w:t>
      </w:r>
      <w:r>
        <w:rPr>
          <w:snapToGrid w:val="0"/>
        </w:rPr>
        <w:tab/>
        <w:t>Executive Director may grant apiary site permit</w:t>
      </w:r>
      <w:bookmarkEnd w:id="259"/>
      <w:bookmarkEnd w:id="260"/>
      <w:bookmarkEnd w:id="261"/>
      <w:r>
        <w:rPr>
          <w:snapToGrid w:val="0"/>
        </w:rPr>
        <w:t xml:space="preserve"> </w:t>
      </w:r>
    </w:p>
    <w:p>
      <w:pPr>
        <w:pStyle w:val="Subsection"/>
        <w:rPr>
          <w:snapToGrid w:val="0"/>
        </w:rPr>
      </w:pPr>
      <w:r>
        <w:rPr>
          <w:snapToGrid w:val="0"/>
        </w:rPr>
        <w:tab/>
        <w:t>(1)</w:t>
      </w:r>
      <w:r>
        <w:rPr>
          <w:snapToGrid w:val="0"/>
        </w:rPr>
        <w:tab/>
        <w:t>Subject to regulation 83 the Executive Director may, upon an application in writing by a person, grant to the person a permit to occupy an area of Crown land not exceeding 1.25 hectares for the purpose of keeping an apiary.</w:t>
      </w:r>
    </w:p>
    <w:p>
      <w:pPr>
        <w:pStyle w:val="Ednotesubsection"/>
      </w:pPr>
      <w:r>
        <w:tab/>
        <w:t>[(2), (3)</w:t>
      </w:r>
      <w:r>
        <w:tab/>
        <w:t>deleted]</w:t>
      </w:r>
    </w:p>
    <w:p>
      <w:pPr>
        <w:pStyle w:val="Subsection"/>
        <w:rPr>
          <w:snapToGrid w:val="0"/>
        </w:rPr>
      </w:pPr>
      <w:r>
        <w:rPr>
          <w:snapToGrid w:val="0"/>
        </w:rPr>
        <w:tab/>
        <w:t>(4)</w:t>
      </w:r>
      <w:r>
        <w:rPr>
          <w:snapToGrid w:val="0"/>
        </w:rPr>
        <w:tab/>
        <w:t>A permit shall be in the form of Form 2 in Schedule 2.</w:t>
      </w:r>
    </w:p>
    <w:p>
      <w:pPr>
        <w:pStyle w:val="Footnotesection"/>
      </w:pPr>
      <w:r>
        <w:tab/>
        <w:t xml:space="preserve">[Regulation 73 amended in Gazette 21 April 1998 p.2113; 12 Aug 2003 p. 3658.] </w:t>
      </w:r>
    </w:p>
    <w:p>
      <w:pPr>
        <w:pStyle w:val="Heading5"/>
        <w:rPr>
          <w:snapToGrid w:val="0"/>
        </w:rPr>
      </w:pPr>
      <w:bookmarkStart w:id="262" w:name="_Toc438372810"/>
      <w:bookmarkStart w:id="263" w:name="_Toc8187958"/>
      <w:bookmarkStart w:id="264" w:name="_Toc155068064"/>
      <w:r>
        <w:rPr>
          <w:rStyle w:val="CharSectno"/>
        </w:rPr>
        <w:t>74</w:t>
      </w:r>
      <w:r>
        <w:rPr>
          <w:snapToGrid w:val="0"/>
        </w:rPr>
        <w:t>.</w:t>
      </w:r>
      <w:r>
        <w:rPr>
          <w:snapToGrid w:val="0"/>
        </w:rPr>
        <w:tab/>
        <w:t>Duration of permits</w:t>
      </w:r>
      <w:bookmarkEnd w:id="262"/>
      <w:bookmarkEnd w:id="263"/>
      <w:bookmarkEnd w:id="264"/>
      <w:r>
        <w:rPr>
          <w:snapToGrid w:val="0"/>
        </w:rPr>
        <w:t xml:space="preserve"> </w:t>
      </w:r>
    </w:p>
    <w:p>
      <w:pPr>
        <w:pStyle w:val="Subsection"/>
        <w:rPr>
          <w:snapToGrid w:val="0"/>
        </w:rPr>
      </w:pPr>
      <w:r>
        <w:rPr>
          <w:snapToGrid w:val="0"/>
        </w:rPr>
        <w:tab/>
        <w:t>(1)</w:t>
      </w:r>
      <w:r>
        <w:rPr>
          <w:snapToGrid w:val="0"/>
        </w:rPr>
        <w:tab/>
        <w:t>A permit shall, subject to these regulations, authorize occupation for — </w:t>
      </w:r>
    </w:p>
    <w:p>
      <w:pPr>
        <w:pStyle w:val="Indenta"/>
        <w:rPr>
          <w:snapToGrid w:val="0"/>
        </w:rPr>
      </w:pPr>
      <w:r>
        <w:rPr>
          <w:snapToGrid w:val="0"/>
        </w:rPr>
        <w:tab/>
        <w:t>(a)</w:t>
      </w:r>
      <w:r>
        <w:rPr>
          <w:snapToGrid w:val="0"/>
        </w:rPr>
        <w:tab/>
        <w:t xml:space="preserve">a period of not less than 12 months and not more than 5 years (an </w:t>
      </w:r>
      <w:r>
        <w:rPr>
          <w:rStyle w:val="CharDefText"/>
        </w:rPr>
        <w:t>extended permit</w:t>
      </w:r>
      <w:r>
        <w:rPr>
          <w:snapToGrid w:val="0"/>
        </w:rPr>
        <w:t>);</w:t>
      </w:r>
    </w:p>
    <w:p>
      <w:pPr>
        <w:pStyle w:val="Indenta"/>
        <w:rPr>
          <w:snapToGrid w:val="0"/>
        </w:rPr>
      </w:pPr>
      <w:r>
        <w:rPr>
          <w:snapToGrid w:val="0"/>
        </w:rPr>
        <w:tab/>
        <w:t>(b)</w:t>
      </w:r>
      <w:r>
        <w:rPr>
          <w:snapToGrid w:val="0"/>
        </w:rPr>
        <w:tab/>
        <w:t xml:space="preserve">a period of less than 6 months (a </w:t>
      </w:r>
      <w:r>
        <w:rPr>
          <w:rStyle w:val="CharDefText"/>
        </w:rPr>
        <w:t>limited permit</w:t>
      </w:r>
      <w:r>
        <w:rPr>
          <w:snapToGrid w:val="0"/>
        </w:rPr>
        <w:t>); or</w:t>
      </w:r>
    </w:p>
    <w:p>
      <w:pPr>
        <w:pStyle w:val="Indenta"/>
        <w:rPr>
          <w:snapToGrid w:val="0"/>
        </w:rPr>
      </w:pPr>
      <w:r>
        <w:rPr>
          <w:snapToGrid w:val="0"/>
        </w:rPr>
        <w:tab/>
        <w:t>(c)</w:t>
      </w:r>
      <w:r>
        <w:rPr>
          <w:snapToGrid w:val="0"/>
        </w:rPr>
        <w:tab/>
        <w:t>a period of 12 months or less ending on a specified day or on the 14th day after the permit</w:t>
      </w:r>
      <w:r>
        <w:rPr>
          <w:snapToGrid w:val="0"/>
        </w:rPr>
        <w:noBreakHyphen/>
        <w:t xml:space="preserve">holder is notified in writing by the Executive Director that an extended permit has been granted in respect of the site, whichever is the sooner (a </w:t>
      </w:r>
      <w:r>
        <w:rPr>
          <w:rStyle w:val="CharDefText"/>
        </w:rPr>
        <w:t>temporary permit</w:t>
      </w:r>
      <w:r>
        <w:rPr>
          <w:snapToGrid w:val="0"/>
        </w:rPr>
        <w:t>).</w:t>
      </w:r>
    </w:p>
    <w:p>
      <w:pPr>
        <w:pStyle w:val="Subsection"/>
        <w:rPr>
          <w:snapToGrid w:val="0"/>
        </w:rPr>
      </w:pPr>
      <w:r>
        <w:rPr>
          <w:snapToGrid w:val="0"/>
        </w:rPr>
        <w:tab/>
        <w:t>(2)</w:t>
      </w:r>
      <w:r>
        <w:rPr>
          <w:snapToGrid w:val="0"/>
        </w:rPr>
        <w:tab/>
        <w:t>An extended permit or a temporary permit may be renewed.</w:t>
      </w:r>
    </w:p>
    <w:p>
      <w:pPr>
        <w:pStyle w:val="Subsection"/>
        <w:rPr>
          <w:snapToGrid w:val="0"/>
        </w:rPr>
      </w:pPr>
      <w:r>
        <w:rPr>
          <w:snapToGrid w:val="0"/>
        </w:rPr>
        <w:tab/>
        <w:t>(3)</w:t>
      </w:r>
      <w:r>
        <w:rPr>
          <w:snapToGrid w:val="0"/>
        </w:rPr>
        <w:tab/>
        <w:t>A limited permit is not to be renewed.</w:t>
      </w:r>
    </w:p>
    <w:p>
      <w:pPr>
        <w:pStyle w:val="Heading5"/>
        <w:rPr>
          <w:snapToGrid w:val="0"/>
        </w:rPr>
      </w:pPr>
      <w:bookmarkStart w:id="265" w:name="_Toc438372811"/>
      <w:bookmarkStart w:id="266" w:name="_Toc8187959"/>
      <w:bookmarkStart w:id="267" w:name="_Toc155068065"/>
      <w:r>
        <w:rPr>
          <w:rStyle w:val="CharSectno"/>
        </w:rPr>
        <w:t>75</w:t>
      </w:r>
      <w:r>
        <w:rPr>
          <w:snapToGrid w:val="0"/>
        </w:rPr>
        <w:t>.</w:t>
      </w:r>
      <w:r>
        <w:rPr>
          <w:snapToGrid w:val="0"/>
        </w:rPr>
        <w:tab/>
        <w:t>No building</w:t>
      </w:r>
      <w:bookmarkEnd w:id="265"/>
      <w:bookmarkEnd w:id="266"/>
      <w:bookmarkEnd w:id="267"/>
      <w:r>
        <w:rPr>
          <w:snapToGrid w:val="0"/>
        </w:rPr>
        <w:t xml:space="preserve"> </w:t>
      </w:r>
    </w:p>
    <w:p>
      <w:pPr>
        <w:pStyle w:val="Subsection"/>
        <w:rPr>
          <w:snapToGrid w:val="0"/>
        </w:rPr>
      </w:pPr>
      <w:r>
        <w:rPr>
          <w:snapToGrid w:val="0"/>
        </w:rPr>
        <w:tab/>
      </w:r>
      <w:r>
        <w:rPr>
          <w:snapToGrid w:val="0"/>
        </w:rPr>
        <w:tab/>
        <w:t>No building shall be erected on an apiary site without the approval in writing of the Executive Director.</w:t>
      </w:r>
    </w:p>
    <w:p>
      <w:pPr>
        <w:pStyle w:val="Penstart"/>
        <w:rPr>
          <w:snapToGrid w:val="0"/>
        </w:rPr>
      </w:pPr>
      <w:r>
        <w:rPr>
          <w:snapToGrid w:val="0"/>
        </w:rPr>
        <w:tab/>
        <w:t>Penalty: $2 000.</w:t>
      </w:r>
    </w:p>
    <w:p>
      <w:pPr>
        <w:pStyle w:val="Heading5"/>
        <w:rPr>
          <w:snapToGrid w:val="0"/>
        </w:rPr>
      </w:pPr>
      <w:bookmarkStart w:id="268" w:name="_Toc438372812"/>
      <w:bookmarkStart w:id="269" w:name="_Toc8187960"/>
      <w:bookmarkStart w:id="270" w:name="_Toc155068066"/>
      <w:r>
        <w:rPr>
          <w:rStyle w:val="CharSectno"/>
        </w:rPr>
        <w:t>76</w:t>
      </w:r>
      <w:r>
        <w:rPr>
          <w:snapToGrid w:val="0"/>
        </w:rPr>
        <w:t>.</w:t>
      </w:r>
      <w:r>
        <w:rPr>
          <w:snapToGrid w:val="0"/>
        </w:rPr>
        <w:tab/>
        <w:t>Exercise of rights conferred by a permit</w:t>
      </w:r>
      <w:bookmarkEnd w:id="268"/>
      <w:bookmarkEnd w:id="269"/>
      <w:bookmarkEnd w:id="270"/>
      <w:r>
        <w:rPr>
          <w:snapToGrid w:val="0"/>
        </w:rPr>
        <w:t xml:space="preserve"> </w:t>
      </w:r>
    </w:p>
    <w:p>
      <w:pPr>
        <w:pStyle w:val="Subsection"/>
        <w:rPr>
          <w:snapToGrid w:val="0"/>
        </w:rPr>
      </w:pPr>
      <w:r>
        <w:rPr>
          <w:snapToGrid w:val="0"/>
        </w:rPr>
        <w:tab/>
      </w:r>
      <w:r>
        <w:rPr>
          <w:snapToGrid w:val="0"/>
        </w:rPr>
        <w:tab/>
        <w:t>A permit</w:t>
      </w:r>
      <w:r>
        <w:rPr>
          <w:snapToGrid w:val="0"/>
        </w:rPr>
        <w:noBreakHyphen/>
        <w:t>holder shall not exercise the rights conferred by the permit otherwise than in good faith for his or her own benefit.</w:t>
      </w:r>
    </w:p>
    <w:p>
      <w:pPr>
        <w:pStyle w:val="Footnotesection"/>
      </w:pPr>
      <w:r>
        <w:tab/>
        <w:t xml:space="preserve">[Regulation 76 inserted in Gazette 21 April 1998 p.2113.] </w:t>
      </w:r>
    </w:p>
    <w:p>
      <w:pPr>
        <w:pStyle w:val="Heading5"/>
        <w:rPr>
          <w:snapToGrid w:val="0"/>
        </w:rPr>
      </w:pPr>
      <w:bookmarkStart w:id="271" w:name="_Toc438372813"/>
      <w:bookmarkStart w:id="272" w:name="_Toc8187961"/>
      <w:bookmarkStart w:id="273" w:name="_Toc155068067"/>
      <w:r>
        <w:rPr>
          <w:rStyle w:val="CharSectno"/>
        </w:rPr>
        <w:t>76A</w:t>
      </w:r>
      <w:r>
        <w:rPr>
          <w:snapToGrid w:val="0"/>
        </w:rPr>
        <w:t>.</w:t>
      </w:r>
      <w:r>
        <w:rPr>
          <w:snapToGrid w:val="0"/>
        </w:rPr>
        <w:tab/>
        <w:t>Transfer of a permit</w:t>
      </w:r>
      <w:bookmarkEnd w:id="271"/>
      <w:bookmarkEnd w:id="272"/>
      <w:bookmarkEnd w:id="273"/>
      <w:r>
        <w:rPr>
          <w:snapToGrid w:val="0"/>
        </w:rPr>
        <w:t xml:space="preserve"> </w:t>
      </w:r>
    </w:p>
    <w:p>
      <w:pPr>
        <w:pStyle w:val="Subsection"/>
        <w:rPr>
          <w:snapToGrid w:val="0"/>
        </w:rPr>
      </w:pPr>
      <w:r>
        <w:rPr>
          <w:snapToGrid w:val="0"/>
        </w:rPr>
        <w:tab/>
      </w:r>
      <w:r>
        <w:rPr>
          <w:snapToGrid w:val="0"/>
        </w:rPr>
        <w:tab/>
        <w:t>The Executive Director may, upon an application in writing by a permit</w:t>
      </w:r>
      <w:r>
        <w:rPr>
          <w:snapToGrid w:val="0"/>
        </w:rPr>
        <w:noBreakHyphen/>
        <w:t>holder, transfer a permit to another person.</w:t>
      </w:r>
    </w:p>
    <w:p>
      <w:pPr>
        <w:pStyle w:val="Footnotesection"/>
      </w:pPr>
      <w:r>
        <w:tab/>
        <w:t xml:space="preserve">[Regulation 76A inserted in Gazette 21 April 1998 p.2113.] </w:t>
      </w:r>
    </w:p>
    <w:p>
      <w:pPr>
        <w:pStyle w:val="Heading5"/>
        <w:rPr>
          <w:snapToGrid w:val="0"/>
        </w:rPr>
      </w:pPr>
      <w:bookmarkStart w:id="274" w:name="_Toc438372814"/>
      <w:bookmarkStart w:id="275" w:name="_Toc8187962"/>
      <w:bookmarkStart w:id="276" w:name="_Toc155068068"/>
      <w:r>
        <w:rPr>
          <w:rStyle w:val="CharSectno"/>
        </w:rPr>
        <w:t>76B</w:t>
      </w:r>
      <w:r>
        <w:rPr>
          <w:snapToGrid w:val="0"/>
        </w:rPr>
        <w:t>.</w:t>
      </w:r>
      <w:r>
        <w:rPr>
          <w:snapToGrid w:val="0"/>
        </w:rPr>
        <w:tab/>
        <w:t>Variation of a permit to change an apiary site</w:t>
      </w:r>
      <w:bookmarkEnd w:id="274"/>
      <w:bookmarkEnd w:id="275"/>
      <w:bookmarkEnd w:id="276"/>
      <w:r>
        <w:rPr>
          <w:snapToGrid w:val="0"/>
        </w:rPr>
        <w:t xml:space="preserve"> </w:t>
      </w:r>
    </w:p>
    <w:p>
      <w:pPr>
        <w:pStyle w:val="Subsection"/>
        <w:rPr>
          <w:snapToGrid w:val="0"/>
        </w:rPr>
      </w:pPr>
      <w:r>
        <w:rPr>
          <w:snapToGrid w:val="0"/>
        </w:rPr>
        <w:tab/>
      </w:r>
      <w:r>
        <w:rPr>
          <w:snapToGrid w:val="0"/>
        </w:rPr>
        <w:tab/>
        <w:t>The Executive Director may, upon an application in writing by a permit</w:t>
      </w:r>
      <w:r>
        <w:rPr>
          <w:snapToGrid w:val="0"/>
        </w:rPr>
        <w:noBreakHyphen/>
        <w:t>holder, vary a permit so as to change the location of the area to which the permit applies.</w:t>
      </w:r>
    </w:p>
    <w:p>
      <w:pPr>
        <w:pStyle w:val="Footnotesection"/>
      </w:pPr>
      <w:r>
        <w:tab/>
        <w:t xml:space="preserve">[Regulation 76B inserted in Gazette 21 April 1998 p.2113.] </w:t>
      </w:r>
    </w:p>
    <w:p>
      <w:pPr>
        <w:pStyle w:val="Heading5"/>
        <w:rPr>
          <w:snapToGrid w:val="0"/>
        </w:rPr>
      </w:pPr>
      <w:bookmarkStart w:id="277" w:name="_Toc438372815"/>
      <w:bookmarkStart w:id="278" w:name="_Toc8187963"/>
      <w:bookmarkStart w:id="279" w:name="_Toc155068069"/>
      <w:r>
        <w:rPr>
          <w:rStyle w:val="CharSectno"/>
        </w:rPr>
        <w:t>77</w:t>
      </w:r>
      <w:r>
        <w:rPr>
          <w:snapToGrid w:val="0"/>
        </w:rPr>
        <w:t>.</w:t>
      </w:r>
      <w:r>
        <w:rPr>
          <w:snapToGrid w:val="0"/>
        </w:rPr>
        <w:tab/>
        <w:t>Damage to forest etc.</w:t>
      </w:r>
      <w:bookmarkEnd w:id="277"/>
      <w:bookmarkEnd w:id="278"/>
      <w:bookmarkEnd w:id="279"/>
      <w:r>
        <w:rPr>
          <w:snapToGrid w:val="0"/>
        </w:rPr>
        <w:t xml:space="preserve"> </w:t>
      </w:r>
    </w:p>
    <w:p>
      <w:pPr>
        <w:pStyle w:val="Subsection"/>
        <w:rPr>
          <w:snapToGrid w:val="0"/>
        </w:rPr>
      </w:pPr>
      <w:r>
        <w:rPr>
          <w:snapToGrid w:val="0"/>
        </w:rPr>
        <w:tab/>
      </w:r>
      <w:r>
        <w:rPr>
          <w:snapToGrid w:val="0"/>
        </w:rPr>
        <w:tab/>
        <w:t>A permit does not authorize the permit</w:t>
      </w:r>
      <w:r>
        <w:rPr>
          <w:snapToGrid w:val="0"/>
        </w:rPr>
        <w:noBreakHyphen/>
        <w:t>holder without the approval of the Executive Director — </w:t>
      </w:r>
    </w:p>
    <w:p>
      <w:pPr>
        <w:pStyle w:val="Indenta"/>
        <w:rPr>
          <w:snapToGrid w:val="0"/>
        </w:rPr>
      </w:pPr>
      <w:r>
        <w:rPr>
          <w:snapToGrid w:val="0"/>
        </w:rPr>
        <w:tab/>
        <w:t>(a)</w:t>
      </w:r>
      <w:r>
        <w:rPr>
          <w:snapToGrid w:val="0"/>
        </w:rPr>
        <w:tab/>
        <w:t>to fell, cut, or injure any tree or cut or remove any timber; or</w:t>
      </w:r>
    </w:p>
    <w:p>
      <w:pPr>
        <w:pStyle w:val="Indenta"/>
        <w:rPr>
          <w:snapToGrid w:val="0"/>
        </w:rPr>
      </w:pPr>
      <w:r>
        <w:rPr>
          <w:snapToGrid w:val="0"/>
        </w:rPr>
        <w:tab/>
        <w:t>(b)</w:t>
      </w:r>
      <w:r>
        <w:rPr>
          <w:snapToGrid w:val="0"/>
        </w:rPr>
        <w:tab/>
        <w:t>to damage or interfere with any fencing or other improvement on the site.</w:t>
      </w:r>
    </w:p>
    <w:p>
      <w:pPr>
        <w:pStyle w:val="Heading5"/>
        <w:rPr>
          <w:snapToGrid w:val="0"/>
        </w:rPr>
      </w:pPr>
      <w:bookmarkStart w:id="280" w:name="_Toc438372816"/>
      <w:bookmarkStart w:id="281" w:name="_Toc8187964"/>
      <w:bookmarkStart w:id="282" w:name="_Toc155068070"/>
      <w:r>
        <w:rPr>
          <w:rStyle w:val="CharSectno"/>
        </w:rPr>
        <w:t>78</w:t>
      </w:r>
      <w:r>
        <w:rPr>
          <w:snapToGrid w:val="0"/>
        </w:rPr>
        <w:t>.</w:t>
      </w:r>
      <w:r>
        <w:rPr>
          <w:snapToGrid w:val="0"/>
        </w:rPr>
        <w:tab/>
        <w:t>Forestry operations not affected</w:t>
      </w:r>
      <w:bookmarkEnd w:id="280"/>
      <w:bookmarkEnd w:id="281"/>
      <w:bookmarkEnd w:id="282"/>
      <w:r>
        <w:rPr>
          <w:snapToGrid w:val="0"/>
        </w:rPr>
        <w:t xml:space="preserve"> </w:t>
      </w:r>
    </w:p>
    <w:p>
      <w:pPr>
        <w:pStyle w:val="Subsection"/>
        <w:rPr>
          <w:snapToGrid w:val="0"/>
        </w:rPr>
      </w:pPr>
      <w:r>
        <w:rPr>
          <w:snapToGrid w:val="0"/>
        </w:rPr>
        <w:tab/>
        <w:t>(1)</w:t>
      </w:r>
      <w:r>
        <w:rPr>
          <w:snapToGrid w:val="0"/>
        </w:rPr>
        <w:tab/>
        <w:t>The fact that a permit is in force in respect of a site does not preclude — </w:t>
      </w:r>
    </w:p>
    <w:p>
      <w:pPr>
        <w:pStyle w:val="Indenta"/>
        <w:rPr>
          <w:snapToGrid w:val="0"/>
        </w:rPr>
      </w:pPr>
      <w:r>
        <w:rPr>
          <w:snapToGrid w:val="0"/>
        </w:rPr>
        <w:tab/>
        <w:t>(a)</w:t>
      </w:r>
      <w:r>
        <w:rPr>
          <w:snapToGrid w:val="0"/>
        </w:rPr>
        <w:tab/>
        <w:t>the felling, cutting and removal of timber and other forest produce from the site;</w:t>
      </w:r>
    </w:p>
    <w:p>
      <w:pPr>
        <w:pStyle w:val="Indenta"/>
        <w:rPr>
          <w:snapToGrid w:val="0"/>
        </w:rPr>
      </w:pPr>
      <w:r>
        <w:rPr>
          <w:snapToGrid w:val="0"/>
        </w:rPr>
        <w:tab/>
        <w:t>(b)</w:t>
      </w:r>
      <w:r>
        <w:rPr>
          <w:snapToGrid w:val="0"/>
        </w:rPr>
        <w:tab/>
        <w:t>the construction or maintenance of firebreaks by clearing, burning or any other method;</w:t>
      </w:r>
    </w:p>
    <w:p>
      <w:pPr>
        <w:pStyle w:val="Indenta"/>
        <w:rPr>
          <w:snapToGrid w:val="0"/>
        </w:rPr>
      </w:pPr>
      <w:r>
        <w:rPr>
          <w:snapToGrid w:val="0"/>
        </w:rPr>
        <w:tab/>
        <w:t>(c)</w:t>
      </w:r>
      <w:r>
        <w:rPr>
          <w:snapToGrid w:val="0"/>
        </w:rPr>
        <w:tab/>
        <w:t>the carrying out of managed burning operations by the Department on the site or elsewhere.</w:t>
      </w:r>
    </w:p>
    <w:p>
      <w:pPr>
        <w:pStyle w:val="Subsection"/>
        <w:rPr>
          <w:snapToGrid w:val="0"/>
        </w:rPr>
      </w:pPr>
      <w:r>
        <w:rPr>
          <w:snapToGrid w:val="0"/>
        </w:rPr>
        <w:tab/>
        <w:t>(2)</w:t>
      </w:r>
      <w:r>
        <w:rPr>
          <w:snapToGrid w:val="0"/>
        </w:rPr>
        <w:tab/>
        <w:t>The permit</w:t>
      </w:r>
      <w:r>
        <w:rPr>
          <w:snapToGrid w:val="0"/>
        </w:rPr>
        <w:noBreakHyphen/>
        <w:t>holder is not entitled to compensation, for any loss or damage arising from the carrying out of any such operations.</w:t>
      </w:r>
    </w:p>
    <w:p>
      <w:pPr>
        <w:pStyle w:val="Heading5"/>
        <w:rPr>
          <w:snapToGrid w:val="0"/>
        </w:rPr>
      </w:pPr>
      <w:bookmarkStart w:id="283" w:name="_Toc438372817"/>
      <w:bookmarkStart w:id="284" w:name="_Toc8187965"/>
      <w:bookmarkStart w:id="285" w:name="_Toc155068071"/>
      <w:r>
        <w:rPr>
          <w:rStyle w:val="CharSectno"/>
        </w:rPr>
        <w:t>79</w:t>
      </w:r>
      <w:r>
        <w:rPr>
          <w:snapToGrid w:val="0"/>
        </w:rPr>
        <w:t>.</w:t>
      </w:r>
      <w:r>
        <w:rPr>
          <w:snapToGrid w:val="0"/>
        </w:rPr>
        <w:tab/>
        <w:t>Particular conditions</w:t>
      </w:r>
      <w:bookmarkEnd w:id="283"/>
      <w:bookmarkEnd w:id="284"/>
      <w:bookmarkEnd w:id="285"/>
      <w:r>
        <w:rPr>
          <w:snapToGrid w:val="0"/>
        </w:rPr>
        <w:t xml:space="preserve"> </w:t>
      </w:r>
    </w:p>
    <w:p>
      <w:pPr>
        <w:pStyle w:val="Subsection"/>
        <w:rPr>
          <w:snapToGrid w:val="0"/>
        </w:rPr>
      </w:pPr>
      <w:r>
        <w:rPr>
          <w:snapToGrid w:val="0"/>
        </w:rPr>
        <w:tab/>
      </w:r>
      <w:r>
        <w:rPr>
          <w:snapToGrid w:val="0"/>
        </w:rPr>
        <w:tab/>
        <w:t>It is a condition of every permit that the permit</w:t>
      </w:r>
      <w:r>
        <w:rPr>
          <w:snapToGrid w:val="0"/>
        </w:rPr>
        <w:noBreakHyphen/>
        <w:t>holder must — </w:t>
      </w:r>
    </w:p>
    <w:p>
      <w:pPr>
        <w:pStyle w:val="Indenta"/>
        <w:rPr>
          <w:snapToGrid w:val="0"/>
        </w:rPr>
      </w:pPr>
      <w:r>
        <w:rPr>
          <w:snapToGrid w:val="0"/>
        </w:rPr>
        <w:tab/>
        <w:t>(a)</w:t>
      </w:r>
      <w:r>
        <w:rPr>
          <w:snapToGrid w:val="0"/>
        </w:rPr>
        <w:tab/>
        <w:t>immediately report any outbreak of fire on the site to the nearest forest officer;</w:t>
      </w:r>
    </w:p>
    <w:p>
      <w:pPr>
        <w:pStyle w:val="Indenta"/>
        <w:rPr>
          <w:snapToGrid w:val="0"/>
        </w:rPr>
      </w:pPr>
      <w:r>
        <w:rPr>
          <w:snapToGrid w:val="0"/>
        </w:rPr>
        <w:tab/>
        <w:t>(b)</w:t>
      </w:r>
      <w:r>
        <w:rPr>
          <w:snapToGrid w:val="0"/>
        </w:rPr>
        <w:tab/>
        <w:t>during the term of the permit co</w:t>
      </w:r>
      <w:r>
        <w:rPr>
          <w:snapToGrid w:val="0"/>
        </w:rPr>
        <w:noBreakHyphen/>
        <w:t>operate with officers of the Department in preventing and suppressing bush fires, and require his or her employees to do likewise;</w:t>
      </w:r>
    </w:p>
    <w:p>
      <w:pPr>
        <w:pStyle w:val="Indenta"/>
        <w:rPr>
          <w:snapToGrid w:val="0"/>
        </w:rPr>
      </w:pPr>
      <w:r>
        <w:rPr>
          <w:snapToGrid w:val="0"/>
        </w:rPr>
        <w:tab/>
        <w:t>(c)</w:t>
      </w:r>
      <w:r>
        <w:rPr>
          <w:snapToGrid w:val="0"/>
        </w:rPr>
        <w:tab/>
        <w:t>provide and maintain adequate water supplies for all apiary requirements on the site; and</w:t>
      </w:r>
    </w:p>
    <w:p>
      <w:pPr>
        <w:pStyle w:val="Indenta"/>
        <w:rPr>
          <w:snapToGrid w:val="0"/>
        </w:rPr>
      </w:pPr>
      <w:r>
        <w:rPr>
          <w:snapToGrid w:val="0"/>
        </w:rPr>
        <w:tab/>
        <w:t>(d)</w:t>
      </w:r>
      <w:r>
        <w:rPr>
          <w:snapToGrid w:val="0"/>
        </w:rPr>
        <w:tab/>
        <w:t>where the apiary site is within the South West Division, give prior notice to the forest officer in charge of the district before placing hives on the apiary site.</w:t>
      </w:r>
    </w:p>
    <w:p>
      <w:pPr>
        <w:pStyle w:val="Heading5"/>
        <w:rPr>
          <w:snapToGrid w:val="0"/>
        </w:rPr>
      </w:pPr>
      <w:bookmarkStart w:id="286" w:name="_Toc438372818"/>
      <w:bookmarkStart w:id="287" w:name="_Toc8187966"/>
      <w:bookmarkStart w:id="288" w:name="_Toc155068072"/>
      <w:r>
        <w:rPr>
          <w:rStyle w:val="CharSectno"/>
        </w:rPr>
        <w:t>80</w:t>
      </w:r>
      <w:r>
        <w:rPr>
          <w:snapToGrid w:val="0"/>
        </w:rPr>
        <w:t>.</w:t>
      </w:r>
      <w:r>
        <w:rPr>
          <w:snapToGrid w:val="0"/>
        </w:rPr>
        <w:tab/>
        <w:t>Cancellation in particular cases</w:t>
      </w:r>
      <w:bookmarkEnd w:id="286"/>
      <w:bookmarkEnd w:id="287"/>
      <w:bookmarkEnd w:id="288"/>
      <w:r>
        <w:rPr>
          <w:snapToGrid w:val="0"/>
        </w:rPr>
        <w:t xml:space="preserve"> </w:t>
      </w:r>
    </w:p>
    <w:p>
      <w:pPr>
        <w:pStyle w:val="Subsection"/>
        <w:spacing w:before="120"/>
        <w:rPr>
          <w:snapToGrid w:val="0"/>
        </w:rPr>
      </w:pPr>
      <w:r>
        <w:rPr>
          <w:snapToGrid w:val="0"/>
        </w:rPr>
        <w:tab/>
        <w:t>(1)</w:t>
      </w:r>
      <w:r>
        <w:rPr>
          <w:snapToGrid w:val="0"/>
        </w:rPr>
        <w:tab/>
        <w:t>The Executive Director may upon giving a permit</w:t>
      </w:r>
      <w:r>
        <w:rPr>
          <w:snapToGrid w:val="0"/>
        </w:rPr>
        <w:noBreakHyphen/>
        <w:t>holder one month’s notice in writing cancel the permit wholly or in part if the site is required for forestry purposes or any purpose of public utility or convenience or if in the opinion of the Executive Director the site is not being used to its best advantage.</w:t>
      </w:r>
    </w:p>
    <w:p>
      <w:pPr>
        <w:pStyle w:val="Subsection"/>
        <w:spacing w:before="120"/>
        <w:rPr>
          <w:snapToGrid w:val="0"/>
        </w:rPr>
      </w:pPr>
      <w:r>
        <w:rPr>
          <w:snapToGrid w:val="0"/>
        </w:rPr>
        <w:tab/>
        <w:t>(2)</w:t>
      </w:r>
      <w:r>
        <w:rPr>
          <w:snapToGrid w:val="0"/>
        </w:rPr>
        <w:tab/>
        <w:t xml:space="preserve">If a site is disposed of by the </w:t>
      </w:r>
      <w:r>
        <w:t xml:space="preserve">Minister for Lands referred to in the </w:t>
      </w:r>
      <w:r>
        <w:rPr>
          <w:i/>
        </w:rPr>
        <w:t>Land Administration Act 1997</w:t>
      </w:r>
      <w:r>
        <w:rPr>
          <w:iCs/>
        </w:rPr>
        <w:t xml:space="preserve"> section 7(1) </w:t>
      </w:r>
      <w:r>
        <w:rPr>
          <w:snapToGrid w:val="0"/>
        </w:rPr>
        <w:t>for settlement purposes the permit may be immediately cancelled by the Executive Director by notice in writing to the permit</w:t>
      </w:r>
      <w:r>
        <w:rPr>
          <w:snapToGrid w:val="0"/>
        </w:rPr>
        <w:noBreakHyphen/>
        <w:t>holder.</w:t>
      </w:r>
    </w:p>
    <w:p>
      <w:pPr>
        <w:pStyle w:val="Subsection"/>
        <w:spacing w:before="120"/>
        <w:rPr>
          <w:snapToGrid w:val="0"/>
        </w:rPr>
      </w:pPr>
      <w:r>
        <w:rPr>
          <w:snapToGrid w:val="0"/>
        </w:rPr>
        <w:tab/>
        <w:t>(3)</w:t>
      </w:r>
      <w:r>
        <w:rPr>
          <w:snapToGrid w:val="0"/>
        </w:rPr>
        <w:tab/>
        <w:t>No compensation is payable to the permit</w:t>
      </w:r>
      <w:r>
        <w:rPr>
          <w:snapToGrid w:val="0"/>
        </w:rPr>
        <w:noBreakHyphen/>
        <w:t>holder on the cancellation of a permit under this regulation but the permit</w:t>
      </w:r>
      <w:r>
        <w:rPr>
          <w:snapToGrid w:val="0"/>
        </w:rPr>
        <w:noBreakHyphen/>
        <w:t>holder is entitled to a refund of the rent paid that is attributable to the unexpired period of the permit.</w:t>
      </w:r>
    </w:p>
    <w:p>
      <w:pPr>
        <w:pStyle w:val="Footnotesection"/>
      </w:pPr>
      <w:r>
        <w:tab/>
        <w:t>[Regulation 80 amended in Gazette 22 Dec 2006 p. 5804.]</w:t>
      </w:r>
    </w:p>
    <w:p>
      <w:pPr>
        <w:pStyle w:val="Heading5"/>
        <w:rPr>
          <w:snapToGrid w:val="0"/>
        </w:rPr>
      </w:pPr>
      <w:bookmarkStart w:id="289" w:name="_Toc438372819"/>
      <w:bookmarkStart w:id="290" w:name="_Toc8187967"/>
      <w:bookmarkStart w:id="291" w:name="_Toc155068073"/>
      <w:r>
        <w:rPr>
          <w:rStyle w:val="CharSectno"/>
        </w:rPr>
        <w:t>81</w:t>
      </w:r>
      <w:r>
        <w:rPr>
          <w:snapToGrid w:val="0"/>
        </w:rPr>
        <w:t>.</w:t>
      </w:r>
      <w:r>
        <w:rPr>
          <w:snapToGrid w:val="0"/>
        </w:rPr>
        <w:tab/>
        <w:t>Forfeiture</w:t>
      </w:r>
      <w:bookmarkEnd w:id="289"/>
      <w:bookmarkEnd w:id="290"/>
      <w:bookmarkEnd w:id="291"/>
      <w:r>
        <w:rPr>
          <w:snapToGrid w:val="0"/>
        </w:rPr>
        <w:t xml:space="preserve"> </w:t>
      </w:r>
    </w:p>
    <w:p>
      <w:pPr>
        <w:pStyle w:val="Subsection"/>
        <w:spacing w:before="120"/>
        <w:rPr>
          <w:snapToGrid w:val="0"/>
        </w:rPr>
      </w:pPr>
      <w:r>
        <w:rPr>
          <w:snapToGrid w:val="0"/>
        </w:rPr>
        <w:tab/>
      </w:r>
      <w:r>
        <w:rPr>
          <w:snapToGrid w:val="0"/>
        </w:rPr>
        <w:tab/>
        <w:t>If a permit for a site is cancelled for breach or non</w:t>
      </w:r>
      <w:r>
        <w:rPr>
          <w:snapToGrid w:val="0"/>
        </w:rPr>
        <w:noBreakHyphen/>
        <w:t>observance of a condition, any improvements made by the permit</w:t>
      </w:r>
      <w:r>
        <w:rPr>
          <w:snapToGrid w:val="0"/>
        </w:rPr>
        <w:noBreakHyphen/>
        <w:t>holder to the site are forfeited to the Crown.</w:t>
      </w:r>
    </w:p>
    <w:p>
      <w:pPr>
        <w:pStyle w:val="Heading5"/>
        <w:rPr>
          <w:snapToGrid w:val="0"/>
        </w:rPr>
      </w:pPr>
      <w:bookmarkStart w:id="292" w:name="_Toc438372820"/>
      <w:bookmarkStart w:id="293" w:name="_Toc8187968"/>
      <w:bookmarkStart w:id="294" w:name="_Toc155068074"/>
      <w:r>
        <w:rPr>
          <w:rStyle w:val="CharSectno"/>
        </w:rPr>
        <w:t>82</w:t>
      </w:r>
      <w:r>
        <w:rPr>
          <w:snapToGrid w:val="0"/>
        </w:rPr>
        <w:t>.</w:t>
      </w:r>
      <w:r>
        <w:rPr>
          <w:snapToGrid w:val="0"/>
        </w:rPr>
        <w:tab/>
        <w:t>Rent payable for permit</w:t>
      </w:r>
      <w:bookmarkEnd w:id="292"/>
      <w:bookmarkEnd w:id="293"/>
      <w:bookmarkEnd w:id="294"/>
      <w:r>
        <w:rPr>
          <w:snapToGrid w:val="0"/>
        </w:rPr>
        <w:t xml:space="preserve"> </w:t>
      </w:r>
    </w:p>
    <w:p>
      <w:pPr>
        <w:pStyle w:val="Subsection"/>
        <w:spacing w:before="120"/>
        <w:rPr>
          <w:snapToGrid w:val="0"/>
        </w:rPr>
      </w:pPr>
      <w:r>
        <w:rPr>
          <w:snapToGrid w:val="0"/>
        </w:rPr>
        <w:tab/>
      </w:r>
      <w:r>
        <w:rPr>
          <w:snapToGrid w:val="0"/>
        </w:rPr>
        <w:tab/>
        <w:t>The rent payable for a permit is — </w:t>
      </w:r>
    </w:p>
    <w:p>
      <w:pPr>
        <w:pStyle w:val="Indenta"/>
        <w:rPr>
          <w:snapToGrid w:val="0"/>
        </w:rPr>
      </w:pPr>
      <w:r>
        <w:rPr>
          <w:snapToGrid w:val="0"/>
        </w:rPr>
        <w:tab/>
        <w:t>(a)</w:t>
      </w:r>
      <w:r>
        <w:rPr>
          <w:snapToGrid w:val="0"/>
        </w:rPr>
        <w:tab/>
        <w:t>for a site in the south</w:t>
      </w:r>
      <w:r>
        <w:rPr>
          <w:snapToGrid w:val="0"/>
        </w:rPr>
        <w:noBreakHyphen/>
        <w:t>west zone, $60.00 per annum per 1.25 hectares or part of that area;</w:t>
      </w:r>
    </w:p>
    <w:p>
      <w:pPr>
        <w:pStyle w:val="Indenta"/>
        <w:rPr>
          <w:snapToGrid w:val="0"/>
        </w:rPr>
      </w:pPr>
      <w:r>
        <w:rPr>
          <w:snapToGrid w:val="0"/>
        </w:rPr>
        <w:tab/>
        <w:t>(b)</w:t>
      </w:r>
      <w:r>
        <w:rPr>
          <w:snapToGrid w:val="0"/>
        </w:rPr>
        <w:tab/>
        <w:t>for a site outside the south</w:t>
      </w:r>
      <w:r>
        <w:rPr>
          <w:snapToGrid w:val="0"/>
        </w:rPr>
        <w:noBreakHyphen/>
        <w:t>west zone, $12.00 per annum per 1.25 hectares or part of that area,</w:t>
      </w:r>
    </w:p>
    <w:p>
      <w:pPr>
        <w:pStyle w:val="Subsection"/>
        <w:rPr>
          <w:snapToGrid w:val="0"/>
        </w:rPr>
      </w:pPr>
      <w:r>
        <w:rPr>
          <w:snapToGrid w:val="0"/>
        </w:rPr>
        <w:tab/>
      </w:r>
      <w:r>
        <w:rPr>
          <w:snapToGrid w:val="0"/>
        </w:rPr>
        <w:tab/>
        <w:t>and is payable in advance.</w:t>
      </w:r>
    </w:p>
    <w:p>
      <w:pPr>
        <w:pStyle w:val="Footnotesection"/>
      </w:pPr>
      <w:r>
        <w:tab/>
        <w:t xml:space="preserve">[Regulation 82 amended in Gazette 21 April 1998 p.2113.] </w:t>
      </w:r>
    </w:p>
    <w:p>
      <w:pPr>
        <w:pStyle w:val="Heading5"/>
        <w:rPr>
          <w:snapToGrid w:val="0"/>
        </w:rPr>
      </w:pPr>
      <w:bookmarkStart w:id="295" w:name="_Toc438372821"/>
      <w:bookmarkStart w:id="296" w:name="_Toc8187969"/>
      <w:bookmarkStart w:id="297" w:name="_Toc155068075"/>
      <w:r>
        <w:rPr>
          <w:rStyle w:val="CharSectno"/>
        </w:rPr>
        <w:t>83</w:t>
      </w:r>
      <w:r>
        <w:rPr>
          <w:snapToGrid w:val="0"/>
        </w:rPr>
        <w:t>.</w:t>
      </w:r>
      <w:r>
        <w:rPr>
          <w:snapToGrid w:val="0"/>
        </w:rPr>
        <w:tab/>
        <w:t>Permit not to be granted within 3 kilometres of other apiary site</w:t>
      </w:r>
      <w:bookmarkEnd w:id="295"/>
      <w:bookmarkEnd w:id="296"/>
      <w:bookmarkEnd w:id="297"/>
      <w:r>
        <w:rPr>
          <w:snapToGrid w:val="0"/>
        </w:rPr>
        <w:t xml:space="preserve"> </w:t>
      </w:r>
    </w:p>
    <w:p>
      <w:pPr>
        <w:pStyle w:val="Subsection"/>
        <w:rPr>
          <w:snapToGrid w:val="0"/>
        </w:rPr>
      </w:pPr>
      <w:r>
        <w:rPr>
          <w:snapToGrid w:val="0"/>
        </w:rPr>
        <w:tab/>
      </w:r>
      <w:r>
        <w:rPr>
          <w:snapToGrid w:val="0"/>
        </w:rPr>
        <w:tab/>
        <w:t>The Executive Director shall not grant a permit to a person for an apiary site where there is within 3 kilometres of the proposed site another apiary site for which a permit has been granted to any other person.</w:t>
      </w:r>
    </w:p>
    <w:p>
      <w:pPr>
        <w:pStyle w:val="Heading5"/>
        <w:rPr>
          <w:snapToGrid w:val="0"/>
        </w:rPr>
      </w:pPr>
      <w:bookmarkStart w:id="298" w:name="_Toc438372822"/>
      <w:bookmarkStart w:id="299" w:name="_Toc8187970"/>
      <w:bookmarkStart w:id="300" w:name="_Toc155068076"/>
      <w:r>
        <w:rPr>
          <w:rStyle w:val="CharSectno"/>
        </w:rPr>
        <w:t>84</w:t>
      </w:r>
      <w:r>
        <w:rPr>
          <w:snapToGrid w:val="0"/>
        </w:rPr>
        <w:t>.</w:t>
      </w:r>
      <w:r>
        <w:rPr>
          <w:snapToGrid w:val="0"/>
        </w:rPr>
        <w:tab/>
        <w:t>Deposit</w:t>
      </w:r>
      <w:bookmarkEnd w:id="298"/>
      <w:bookmarkEnd w:id="299"/>
      <w:bookmarkEnd w:id="300"/>
      <w:r>
        <w:rPr>
          <w:snapToGrid w:val="0"/>
        </w:rPr>
        <w:t xml:space="preserve"> </w:t>
      </w:r>
    </w:p>
    <w:p>
      <w:pPr>
        <w:pStyle w:val="Subsection"/>
        <w:rPr>
          <w:snapToGrid w:val="0"/>
        </w:rPr>
      </w:pPr>
      <w:r>
        <w:rPr>
          <w:snapToGrid w:val="0"/>
        </w:rPr>
        <w:tab/>
        <w:t>(1)</w:t>
      </w:r>
      <w:r>
        <w:rPr>
          <w:snapToGrid w:val="0"/>
        </w:rPr>
        <w:tab/>
        <w:t>The Executive Director may before granting a permit to a person, require the person to pay to the Executive Director a deposit not exceeding $40 as security for the observance by that person of any conditions or limitations attached to the permit.</w:t>
      </w:r>
    </w:p>
    <w:p>
      <w:pPr>
        <w:pStyle w:val="Subsection"/>
        <w:rPr>
          <w:snapToGrid w:val="0"/>
        </w:rPr>
      </w:pPr>
      <w:r>
        <w:rPr>
          <w:snapToGrid w:val="0"/>
        </w:rPr>
        <w:tab/>
        <w:t>(2)</w:t>
      </w:r>
      <w:r>
        <w:rPr>
          <w:snapToGrid w:val="0"/>
        </w:rPr>
        <w:tab/>
        <w:t>If the person referred to in subregulation (1) fails to comply with any condition or limitation attached to the permit, the deposit is forfeited to the Crown.</w:t>
      </w:r>
    </w:p>
    <w:p>
      <w:pPr>
        <w:pStyle w:val="Heading5"/>
        <w:rPr>
          <w:snapToGrid w:val="0"/>
        </w:rPr>
      </w:pPr>
      <w:bookmarkStart w:id="301" w:name="_Toc438372823"/>
      <w:bookmarkStart w:id="302" w:name="_Toc8187971"/>
      <w:bookmarkStart w:id="303" w:name="_Toc155068077"/>
      <w:r>
        <w:rPr>
          <w:rStyle w:val="CharSectno"/>
        </w:rPr>
        <w:t>85</w:t>
      </w:r>
      <w:r>
        <w:rPr>
          <w:snapToGrid w:val="0"/>
        </w:rPr>
        <w:t>.</w:t>
      </w:r>
      <w:r>
        <w:rPr>
          <w:snapToGrid w:val="0"/>
        </w:rPr>
        <w:tab/>
        <w:t>Production of apiary site permits</w:t>
      </w:r>
      <w:bookmarkEnd w:id="301"/>
      <w:bookmarkEnd w:id="302"/>
      <w:bookmarkEnd w:id="303"/>
      <w:r>
        <w:rPr>
          <w:snapToGrid w:val="0"/>
        </w:rPr>
        <w:t xml:space="preserve"> </w:t>
      </w:r>
    </w:p>
    <w:p>
      <w:pPr>
        <w:pStyle w:val="Subsection"/>
        <w:rPr>
          <w:snapToGrid w:val="0"/>
        </w:rPr>
      </w:pPr>
      <w:r>
        <w:rPr>
          <w:snapToGrid w:val="0"/>
        </w:rPr>
        <w:tab/>
      </w:r>
      <w:r>
        <w:rPr>
          <w:snapToGrid w:val="0"/>
        </w:rPr>
        <w:tab/>
        <w:t>A permit</w:t>
      </w:r>
      <w:r>
        <w:rPr>
          <w:snapToGrid w:val="0"/>
        </w:rPr>
        <w:noBreakHyphen/>
        <w:t>holder shall, as soon as practicable after being required to do so by a forest officer or a conservation and land management officer, produce for inspection his or her permit to the officer.</w:t>
      </w:r>
    </w:p>
    <w:p>
      <w:pPr>
        <w:pStyle w:val="Penstart"/>
        <w:rPr>
          <w:snapToGrid w:val="0"/>
        </w:rPr>
      </w:pPr>
      <w:r>
        <w:rPr>
          <w:snapToGrid w:val="0"/>
        </w:rPr>
        <w:tab/>
        <w:t>Penalty: $500.</w:t>
      </w:r>
    </w:p>
    <w:p>
      <w:pPr>
        <w:pStyle w:val="Ednotepart"/>
      </w:pPr>
      <w:r>
        <w:t>[Part 12  Deleted in Gazette 3 May 2002 p.2294.]</w:t>
      </w:r>
    </w:p>
    <w:p>
      <w:pPr>
        <w:pStyle w:val="Heading2"/>
      </w:pPr>
      <w:bookmarkStart w:id="304" w:name="_Toc154984412"/>
      <w:bookmarkStart w:id="305" w:name="_Toc155067217"/>
      <w:bookmarkStart w:id="306" w:name="_Toc155068078"/>
      <w:r>
        <w:rPr>
          <w:rStyle w:val="CharPartNo"/>
        </w:rPr>
        <w:t>Part 13</w:t>
      </w:r>
      <w:r>
        <w:rPr>
          <w:rStyle w:val="CharDivNo"/>
        </w:rPr>
        <w:t> </w:t>
      </w:r>
      <w:r>
        <w:t>—</w:t>
      </w:r>
      <w:r>
        <w:rPr>
          <w:rStyle w:val="CharDivText"/>
        </w:rPr>
        <w:t> </w:t>
      </w:r>
      <w:r>
        <w:rPr>
          <w:rStyle w:val="CharPartText"/>
        </w:rPr>
        <w:t>Fire prevention</w:t>
      </w:r>
      <w:bookmarkEnd w:id="304"/>
      <w:bookmarkEnd w:id="305"/>
      <w:bookmarkEnd w:id="306"/>
      <w:r>
        <w:rPr>
          <w:rStyle w:val="CharPartText"/>
        </w:rPr>
        <w:t xml:space="preserve"> </w:t>
      </w:r>
    </w:p>
    <w:p>
      <w:pPr>
        <w:pStyle w:val="Heading5"/>
        <w:rPr>
          <w:snapToGrid w:val="0"/>
        </w:rPr>
      </w:pPr>
      <w:bookmarkStart w:id="307" w:name="_Toc438372827"/>
      <w:bookmarkStart w:id="308" w:name="_Toc8187972"/>
      <w:bookmarkStart w:id="309" w:name="_Toc155068079"/>
      <w:r>
        <w:rPr>
          <w:rStyle w:val="CharSectno"/>
        </w:rPr>
        <w:t>89</w:t>
      </w:r>
      <w:r>
        <w:rPr>
          <w:snapToGrid w:val="0"/>
        </w:rPr>
        <w:t>.</w:t>
      </w:r>
      <w:r>
        <w:rPr>
          <w:snapToGrid w:val="0"/>
        </w:rPr>
        <w:tab/>
        <w:t>Ban on activity where fire risk</w:t>
      </w:r>
      <w:bookmarkEnd w:id="307"/>
      <w:bookmarkEnd w:id="308"/>
      <w:bookmarkEnd w:id="309"/>
      <w:r>
        <w:rPr>
          <w:snapToGrid w:val="0"/>
        </w:rPr>
        <w:t xml:space="preserve"> </w:t>
      </w:r>
    </w:p>
    <w:p>
      <w:pPr>
        <w:pStyle w:val="Subsection"/>
        <w:rPr>
          <w:snapToGrid w:val="0"/>
        </w:rPr>
      </w:pPr>
      <w:r>
        <w:rPr>
          <w:snapToGrid w:val="0"/>
        </w:rPr>
        <w:tab/>
        <w:t>(1)</w:t>
      </w:r>
      <w:r>
        <w:rPr>
          <w:snapToGrid w:val="0"/>
        </w:rPr>
        <w:tab/>
        <w:t>Where a forest officer considers that any activity being carried out or that may be carried out in a State forest or timber reserve under a forest produce licence, permit or contract to harvest and deliver constitutes or may constitute a fire risk to any part of that land, the forest officer may direct the holder of the licence or permit or the contractor — </w:t>
      </w:r>
    </w:p>
    <w:p>
      <w:pPr>
        <w:pStyle w:val="Indenta"/>
        <w:rPr>
          <w:snapToGrid w:val="0"/>
        </w:rPr>
      </w:pPr>
      <w:r>
        <w:rPr>
          <w:snapToGrid w:val="0"/>
        </w:rPr>
        <w:tab/>
        <w:t>(a)</w:t>
      </w:r>
      <w:r>
        <w:rPr>
          <w:snapToGrid w:val="0"/>
        </w:rPr>
        <w:tab/>
        <w:t>not to carry out the activity, or to immediately ensure that the activity is stopped and not to resume the activity (as the case may be), until further directed by the forest officer; and</w:t>
      </w:r>
    </w:p>
    <w:p>
      <w:pPr>
        <w:pStyle w:val="Indenta"/>
        <w:rPr>
          <w:snapToGrid w:val="0"/>
        </w:rPr>
      </w:pPr>
      <w:r>
        <w:rPr>
          <w:snapToGrid w:val="0"/>
        </w:rPr>
        <w:tab/>
        <w:t>(b)</w:t>
      </w:r>
      <w:r>
        <w:rPr>
          <w:snapToGrid w:val="0"/>
        </w:rPr>
        <w:tab/>
        <w:t>to cause a patrol to be maintained of the area where the activity was carried out for a period not exceeding 2 hours from the cessation of the activity.</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pPr>
      <w:bookmarkStart w:id="310" w:name="_Toc438372829"/>
      <w:r>
        <w:t>[</w:t>
      </w:r>
      <w:r>
        <w:rPr>
          <w:b/>
        </w:rPr>
        <w:t>90.</w:t>
      </w:r>
      <w:r>
        <w:rPr>
          <w:b/>
        </w:rPr>
        <w:tab/>
      </w:r>
      <w:r>
        <w:t>Deleted in Gazette 3 May 2002 p.2294.]</w:t>
      </w:r>
    </w:p>
    <w:p>
      <w:pPr>
        <w:pStyle w:val="Heading5"/>
        <w:rPr>
          <w:snapToGrid w:val="0"/>
        </w:rPr>
      </w:pPr>
      <w:bookmarkStart w:id="311" w:name="_Toc8187973"/>
      <w:bookmarkStart w:id="312" w:name="_Toc155068080"/>
      <w:r>
        <w:rPr>
          <w:rStyle w:val="CharSectno"/>
        </w:rPr>
        <w:t>91</w:t>
      </w:r>
      <w:r>
        <w:rPr>
          <w:snapToGrid w:val="0"/>
        </w:rPr>
        <w:t>.</w:t>
      </w:r>
      <w:r>
        <w:rPr>
          <w:snapToGrid w:val="0"/>
        </w:rPr>
        <w:tab/>
        <w:t>Fire lookout towers and trees</w:t>
      </w:r>
      <w:bookmarkEnd w:id="310"/>
      <w:bookmarkEnd w:id="311"/>
      <w:bookmarkEnd w:id="312"/>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enter the fenced off area surrounding any fire lookout tower or fire lookout tree;</w:t>
      </w:r>
    </w:p>
    <w:p>
      <w:pPr>
        <w:pStyle w:val="Indenta"/>
        <w:rPr>
          <w:snapToGrid w:val="0"/>
        </w:rPr>
      </w:pPr>
      <w:r>
        <w:rPr>
          <w:snapToGrid w:val="0"/>
        </w:rPr>
        <w:tab/>
        <w:t>(b)</w:t>
      </w:r>
      <w:r>
        <w:rPr>
          <w:snapToGrid w:val="0"/>
        </w:rPr>
        <w:tab/>
        <w:t>climb any fire lookout tower or fire lookout tree;</w:t>
      </w:r>
    </w:p>
    <w:p>
      <w:pPr>
        <w:pStyle w:val="Indenta"/>
        <w:rPr>
          <w:snapToGrid w:val="0"/>
        </w:rPr>
      </w:pPr>
      <w:r>
        <w:rPr>
          <w:snapToGrid w:val="0"/>
        </w:rPr>
        <w:tab/>
        <w:t>(c)</w:t>
      </w:r>
      <w:r>
        <w:rPr>
          <w:snapToGrid w:val="0"/>
        </w:rPr>
        <w:tab/>
        <w:t>destroy, cut into, deface or in any way damage any fire lookout tower or fire lookout tree or any equipment contained in, or attached to, such a tower or tree,</w:t>
      </w:r>
    </w:p>
    <w:p>
      <w:pPr>
        <w:pStyle w:val="Subsection"/>
        <w:rPr>
          <w:snapToGrid w:val="0"/>
        </w:rPr>
      </w:pPr>
      <w:r>
        <w:rPr>
          <w:snapToGrid w:val="0"/>
        </w:rPr>
        <w:tab/>
      </w:r>
      <w:r>
        <w:rPr>
          <w:snapToGrid w:val="0"/>
        </w:rPr>
        <w:tab/>
        <w:t>in a State forest or timber reserve, unless authorized to do so by the Executive Director or a forest officer.</w:t>
      </w:r>
    </w:p>
    <w:p>
      <w:pPr>
        <w:pStyle w:val="Penstart"/>
        <w:rPr>
          <w:snapToGrid w:val="0"/>
        </w:rPr>
      </w:pPr>
      <w:r>
        <w:rPr>
          <w:snapToGrid w:val="0"/>
        </w:rPr>
        <w:tab/>
        <w:t>Penalty: $2 000.</w:t>
      </w:r>
    </w:p>
    <w:p>
      <w:pPr>
        <w:pStyle w:val="Heading5"/>
        <w:rPr>
          <w:snapToGrid w:val="0"/>
        </w:rPr>
      </w:pPr>
      <w:bookmarkStart w:id="313" w:name="_Toc438372830"/>
      <w:bookmarkStart w:id="314" w:name="_Toc8187974"/>
      <w:bookmarkStart w:id="315" w:name="_Toc155068081"/>
      <w:r>
        <w:rPr>
          <w:rStyle w:val="CharSectno"/>
        </w:rPr>
        <w:t>92</w:t>
      </w:r>
      <w:r>
        <w:rPr>
          <w:snapToGrid w:val="0"/>
        </w:rPr>
        <w:t>.</w:t>
      </w:r>
      <w:r>
        <w:rPr>
          <w:snapToGrid w:val="0"/>
        </w:rPr>
        <w:tab/>
        <w:t>Prescribed rate of remuneration for assistance in fire fighting</w:t>
      </w:r>
      <w:bookmarkEnd w:id="313"/>
      <w:bookmarkEnd w:id="314"/>
      <w:bookmarkEnd w:id="315"/>
      <w:r>
        <w:rPr>
          <w:snapToGrid w:val="0"/>
        </w:rPr>
        <w:t xml:space="preserve"> </w:t>
      </w:r>
    </w:p>
    <w:p>
      <w:pPr>
        <w:pStyle w:val="Subsection"/>
        <w:rPr>
          <w:snapToGrid w:val="0"/>
        </w:rPr>
      </w:pPr>
      <w:r>
        <w:rPr>
          <w:snapToGrid w:val="0"/>
        </w:rPr>
        <w:tab/>
      </w:r>
      <w:r>
        <w:rPr>
          <w:snapToGrid w:val="0"/>
        </w:rPr>
        <w:tab/>
        <w:t>For the purposes of section 135(2) of the Act the prescribed rate of remuneration is the applicable rate set out in Schedule D to the Australian Workers’ Union Construction Maintenance and Services (WA Government) Award 1987.</w:t>
      </w:r>
    </w:p>
    <w:p>
      <w:pPr>
        <w:pStyle w:val="Heading2"/>
      </w:pPr>
      <w:bookmarkStart w:id="316" w:name="_Toc154984416"/>
      <w:bookmarkStart w:id="317" w:name="_Toc155067221"/>
      <w:bookmarkStart w:id="318" w:name="_Toc155068082"/>
      <w:r>
        <w:rPr>
          <w:rStyle w:val="CharPartNo"/>
        </w:rPr>
        <w:t>Part 14</w:t>
      </w:r>
      <w:r>
        <w:rPr>
          <w:rStyle w:val="CharDivNo"/>
        </w:rPr>
        <w:t> </w:t>
      </w:r>
      <w:r>
        <w:t>—</w:t>
      </w:r>
      <w:r>
        <w:rPr>
          <w:rStyle w:val="CharDivText"/>
        </w:rPr>
        <w:t> </w:t>
      </w:r>
      <w:r>
        <w:rPr>
          <w:rStyle w:val="CharPartText"/>
        </w:rPr>
        <w:t>Marking out of mining tenements in State forests and timber reserves</w:t>
      </w:r>
      <w:bookmarkEnd w:id="316"/>
      <w:bookmarkEnd w:id="317"/>
      <w:bookmarkEnd w:id="318"/>
    </w:p>
    <w:p>
      <w:pPr>
        <w:pStyle w:val="Heading5"/>
        <w:rPr>
          <w:snapToGrid w:val="0"/>
        </w:rPr>
      </w:pPr>
      <w:bookmarkStart w:id="319" w:name="_Toc438372831"/>
      <w:bookmarkStart w:id="320" w:name="_Toc8187975"/>
      <w:bookmarkStart w:id="321" w:name="_Toc155068083"/>
      <w:r>
        <w:rPr>
          <w:rStyle w:val="CharSectno"/>
        </w:rPr>
        <w:t>93</w:t>
      </w:r>
      <w:r>
        <w:rPr>
          <w:snapToGrid w:val="0"/>
        </w:rPr>
        <w:t>.</w:t>
      </w:r>
      <w:r>
        <w:rPr>
          <w:snapToGrid w:val="0"/>
        </w:rPr>
        <w:tab/>
        <w:t>Interpretation</w:t>
      </w:r>
      <w:bookmarkEnd w:id="319"/>
      <w:bookmarkEnd w:id="320"/>
      <w:bookmarkEnd w:id="321"/>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marking out</w:t>
      </w:r>
      <w:r>
        <w:t xml:space="preserve"> has the same meaning as in the </w:t>
      </w:r>
      <w:r>
        <w:rPr>
          <w:i/>
        </w:rPr>
        <w:t>Mining Act 1978</w:t>
      </w:r>
      <w:r>
        <w:t>;</w:t>
      </w:r>
    </w:p>
    <w:p>
      <w:pPr>
        <w:pStyle w:val="Defstart"/>
      </w:pPr>
      <w:r>
        <w:rPr>
          <w:b/>
        </w:rPr>
        <w:tab/>
      </w:r>
      <w:r>
        <w:rPr>
          <w:rStyle w:val="CharDefText"/>
        </w:rPr>
        <w:t>South West Division</w:t>
      </w:r>
      <w:r>
        <w:t xml:space="preserve"> has the same meaning as in the </w:t>
      </w:r>
      <w:r>
        <w:rPr>
          <w:i/>
        </w:rPr>
        <w:t>Land Act 1933</w:t>
      </w:r>
      <w:r>
        <w:t xml:space="preserve"> </w:t>
      </w:r>
      <w:r>
        <w:rPr>
          <w:vertAlign w:val="superscript"/>
        </w:rPr>
        <w:t>2</w:t>
      </w:r>
      <w:r>
        <w:t>.</w:t>
      </w:r>
    </w:p>
    <w:p>
      <w:pPr>
        <w:pStyle w:val="Heading5"/>
        <w:rPr>
          <w:snapToGrid w:val="0"/>
        </w:rPr>
      </w:pPr>
      <w:bookmarkStart w:id="322" w:name="_Toc438372832"/>
      <w:bookmarkStart w:id="323" w:name="_Toc8187976"/>
      <w:bookmarkStart w:id="324" w:name="_Toc155068084"/>
      <w:r>
        <w:rPr>
          <w:rStyle w:val="CharSectno"/>
        </w:rPr>
        <w:t>94</w:t>
      </w:r>
      <w:r>
        <w:rPr>
          <w:snapToGrid w:val="0"/>
        </w:rPr>
        <w:t>.</w:t>
      </w:r>
      <w:r>
        <w:rPr>
          <w:snapToGrid w:val="0"/>
        </w:rPr>
        <w:tab/>
        <w:t>Prescribed conditions and limitations</w:t>
      </w:r>
      <w:bookmarkEnd w:id="322"/>
      <w:bookmarkEnd w:id="323"/>
      <w:bookmarkEnd w:id="324"/>
      <w:r>
        <w:rPr>
          <w:snapToGrid w:val="0"/>
        </w:rPr>
        <w:t xml:space="preserve"> </w:t>
      </w:r>
    </w:p>
    <w:p>
      <w:pPr>
        <w:pStyle w:val="Subsection"/>
        <w:rPr>
          <w:snapToGrid w:val="0"/>
        </w:rPr>
      </w:pPr>
      <w:r>
        <w:rPr>
          <w:snapToGrid w:val="0"/>
        </w:rPr>
        <w:tab/>
      </w:r>
      <w:r>
        <w:rPr>
          <w:snapToGrid w:val="0"/>
        </w:rPr>
        <w:tab/>
        <w:t xml:space="preserve">For the purposes of section 26(2)(b) of the </w:t>
      </w:r>
      <w:r>
        <w:rPr>
          <w:i/>
          <w:snapToGrid w:val="0"/>
        </w:rPr>
        <w:t>Mining Act 1978</w:t>
      </w:r>
      <w:r>
        <w:rPr>
          <w:snapToGrid w:val="0"/>
        </w:rPr>
        <w:t xml:space="preserve"> the conditions and restrictions in regulations 95 and 96 are prescribed as being applicable to the marking out of mining tenements in State forests and timber reserves.</w:t>
      </w:r>
    </w:p>
    <w:p>
      <w:pPr>
        <w:pStyle w:val="Heading5"/>
        <w:rPr>
          <w:snapToGrid w:val="0"/>
        </w:rPr>
      </w:pPr>
      <w:bookmarkStart w:id="325" w:name="_Toc438372833"/>
      <w:bookmarkStart w:id="326" w:name="_Toc8187977"/>
      <w:bookmarkStart w:id="327" w:name="_Toc155068085"/>
      <w:r>
        <w:rPr>
          <w:rStyle w:val="CharSectno"/>
        </w:rPr>
        <w:t>95</w:t>
      </w:r>
      <w:r>
        <w:rPr>
          <w:snapToGrid w:val="0"/>
        </w:rPr>
        <w:t>.</w:t>
      </w:r>
      <w:r>
        <w:rPr>
          <w:snapToGrid w:val="0"/>
        </w:rPr>
        <w:tab/>
        <w:t>Conditions upon entering State forest or timber reserve</w:t>
      </w:r>
      <w:bookmarkEnd w:id="325"/>
      <w:bookmarkEnd w:id="326"/>
      <w:bookmarkEnd w:id="327"/>
      <w:r>
        <w:rPr>
          <w:snapToGrid w:val="0"/>
        </w:rPr>
        <w:t xml:space="preserve"> </w:t>
      </w:r>
    </w:p>
    <w:p>
      <w:pPr>
        <w:pStyle w:val="Subsection"/>
        <w:rPr>
          <w:snapToGrid w:val="0"/>
        </w:rPr>
      </w:pPr>
      <w:r>
        <w:rPr>
          <w:snapToGrid w:val="0"/>
        </w:rPr>
        <w:tab/>
      </w:r>
      <w:r>
        <w:rPr>
          <w:snapToGrid w:val="0"/>
        </w:rPr>
        <w:tab/>
        <w:t>A person who is within any State forest or timber reserve in the South West Division for the purpose of, or in connection with, marking out, shall ensure that — </w:t>
      </w:r>
    </w:p>
    <w:p>
      <w:pPr>
        <w:pStyle w:val="Indenta"/>
        <w:rPr>
          <w:snapToGrid w:val="0"/>
        </w:rPr>
      </w:pPr>
      <w:r>
        <w:rPr>
          <w:snapToGrid w:val="0"/>
        </w:rPr>
        <w:tab/>
        <w:t>(a)</w:t>
      </w:r>
      <w:r>
        <w:rPr>
          <w:snapToGrid w:val="0"/>
        </w:rPr>
        <w:tab/>
        <w:t>all reasonable precautions are taken to avoid unnecessary damage to any trees in the State forest or timber reserve;</w:t>
      </w:r>
    </w:p>
    <w:p>
      <w:pPr>
        <w:pStyle w:val="Indenta"/>
        <w:rPr>
          <w:snapToGrid w:val="0"/>
        </w:rPr>
      </w:pPr>
      <w:r>
        <w:rPr>
          <w:snapToGrid w:val="0"/>
        </w:rPr>
        <w:tab/>
        <w:t>(b)</w:t>
      </w:r>
      <w:r>
        <w:rPr>
          <w:snapToGrid w:val="0"/>
        </w:rPr>
        <w:tab/>
        <w:t>no trees in the State forest or timber reserve are felled, cut or removed except with the approval of a forest officer and in accordance with the terms of that approval;</w:t>
      </w:r>
    </w:p>
    <w:p>
      <w:pPr>
        <w:pStyle w:val="Indenta"/>
        <w:rPr>
          <w:snapToGrid w:val="0"/>
        </w:rPr>
      </w:pPr>
      <w:r>
        <w:rPr>
          <w:snapToGrid w:val="0"/>
        </w:rPr>
        <w:tab/>
        <w:t>(c)</w:t>
      </w:r>
      <w:r>
        <w:rPr>
          <w:snapToGrid w:val="0"/>
        </w:rPr>
        <w:tab/>
        <w:t>no excavation or other movement of earth, soil, or rock in the State forest or timber reserve is carried out, whether by hand tools or machinery except with the approval of a forest officer and in accordance with the terms of that approval;</w:t>
      </w:r>
    </w:p>
    <w:p>
      <w:pPr>
        <w:pStyle w:val="Indenta"/>
        <w:rPr>
          <w:snapToGrid w:val="0"/>
        </w:rPr>
      </w:pPr>
      <w:r>
        <w:rPr>
          <w:snapToGrid w:val="0"/>
        </w:rPr>
        <w:tab/>
        <w:t>(d)</w:t>
      </w:r>
      <w:r>
        <w:rPr>
          <w:snapToGrid w:val="0"/>
        </w:rPr>
        <w:tab/>
        <w:t>any vehicle used in connection with the marking out does not take a route through the State forest or timber reserve other than a route approved by a forest officer.</w:t>
      </w:r>
    </w:p>
    <w:p>
      <w:pPr>
        <w:pStyle w:val="Heading5"/>
        <w:rPr>
          <w:snapToGrid w:val="0"/>
        </w:rPr>
      </w:pPr>
      <w:bookmarkStart w:id="328" w:name="_Toc438372834"/>
      <w:bookmarkStart w:id="329" w:name="_Toc8187978"/>
      <w:bookmarkStart w:id="330" w:name="_Toc155068086"/>
      <w:r>
        <w:rPr>
          <w:rStyle w:val="CharSectno"/>
        </w:rPr>
        <w:t>96</w:t>
      </w:r>
      <w:r>
        <w:rPr>
          <w:snapToGrid w:val="0"/>
        </w:rPr>
        <w:t>.</w:t>
      </w:r>
      <w:r>
        <w:rPr>
          <w:snapToGrid w:val="0"/>
        </w:rPr>
        <w:tab/>
        <w:t>Person not to make camp, fuel depot etc. in State forest or timber reserve</w:t>
      </w:r>
      <w:bookmarkEnd w:id="328"/>
      <w:bookmarkEnd w:id="329"/>
      <w:bookmarkEnd w:id="330"/>
      <w:r>
        <w:rPr>
          <w:snapToGrid w:val="0"/>
        </w:rPr>
        <w:t xml:space="preserve"> </w:t>
      </w:r>
    </w:p>
    <w:p>
      <w:pPr>
        <w:pStyle w:val="Subsection"/>
        <w:rPr>
          <w:snapToGrid w:val="0"/>
        </w:rPr>
      </w:pPr>
      <w:r>
        <w:rPr>
          <w:snapToGrid w:val="0"/>
        </w:rPr>
        <w:tab/>
      </w:r>
      <w:r>
        <w:rPr>
          <w:snapToGrid w:val="0"/>
        </w:rPr>
        <w:tab/>
        <w:t>A person shall not, for the purpose of, or in connection with, marking out, establish any camp, fuel depot or parking area within any State forest or timber reserve in the South West Division.</w:t>
      </w:r>
    </w:p>
    <w:p>
      <w:pPr>
        <w:pStyle w:val="Heading5"/>
        <w:rPr>
          <w:snapToGrid w:val="0"/>
        </w:rPr>
      </w:pPr>
      <w:bookmarkStart w:id="331" w:name="_Toc438372835"/>
      <w:bookmarkStart w:id="332" w:name="_Toc8187979"/>
      <w:bookmarkStart w:id="333" w:name="_Toc155068087"/>
      <w:r>
        <w:rPr>
          <w:rStyle w:val="CharSectno"/>
        </w:rPr>
        <w:t>97</w:t>
      </w:r>
      <w:r>
        <w:rPr>
          <w:snapToGrid w:val="0"/>
        </w:rPr>
        <w:t>.</w:t>
      </w:r>
      <w:r>
        <w:rPr>
          <w:snapToGrid w:val="0"/>
        </w:rPr>
        <w:tab/>
        <w:t>Part 16 not affected</w:t>
      </w:r>
      <w:bookmarkEnd w:id="331"/>
      <w:bookmarkEnd w:id="332"/>
      <w:bookmarkEnd w:id="333"/>
      <w:r>
        <w:rPr>
          <w:snapToGrid w:val="0"/>
        </w:rPr>
        <w:t xml:space="preserve"> </w:t>
      </w:r>
    </w:p>
    <w:p>
      <w:pPr>
        <w:pStyle w:val="Subsection"/>
        <w:rPr>
          <w:snapToGrid w:val="0"/>
        </w:rPr>
      </w:pPr>
      <w:r>
        <w:rPr>
          <w:snapToGrid w:val="0"/>
        </w:rPr>
        <w:tab/>
      </w:r>
      <w:r>
        <w:rPr>
          <w:snapToGrid w:val="0"/>
        </w:rPr>
        <w:tab/>
        <w:t>The requirements in this Part are in addition to and do not derogate from the requirements in Part 16.</w:t>
      </w:r>
    </w:p>
    <w:p>
      <w:pPr>
        <w:pStyle w:val="Heading2"/>
      </w:pPr>
      <w:bookmarkStart w:id="334" w:name="_Toc154984422"/>
      <w:bookmarkStart w:id="335" w:name="_Toc155067227"/>
      <w:bookmarkStart w:id="336" w:name="_Toc155068088"/>
      <w:r>
        <w:rPr>
          <w:rStyle w:val="CharPartNo"/>
        </w:rPr>
        <w:t>Part 15</w:t>
      </w:r>
      <w:r>
        <w:rPr>
          <w:rStyle w:val="CharDivNo"/>
        </w:rPr>
        <w:t> </w:t>
      </w:r>
      <w:r>
        <w:t>—</w:t>
      </w:r>
      <w:r>
        <w:rPr>
          <w:rStyle w:val="CharDivText"/>
        </w:rPr>
        <w:t> </w:t>
      </w:r>
      <w:r>
        <w:rPr>
          <w:rStyle w:val="CharPartText"/>
        </w:rPr>
        <w:t>Collection of firewood</w:t>
      </w:r>
      <w:bookmarkEnd w:id="334"/>
      <w:bookmarkEnd w:id="335"/>
      <w:bookmarkEnd w:id="336"/>
      <w:r>
        <w:rPr>
          <w:rStyle w:val="CharPartText"/>
        </w:rPr>
        <w:t xml:space="preserve"> </w:t>
      </w:r>
    </w:p>
    <w:p>
      <w:pPr>
        <w:pStyle w:val="Heading5"/>
        <w:rPr>
          <w:snapToGrid w:val="0"/>
        </w:rPr>
      </w:pPr>
      <w:bookmarkStart w:id="337" w:name="_Toc438372836"/>
      <w:bookmarkStart w:id="338" w:name="_Toc8187980"/>
      <w:bookmarkStart w:id="339" w:name="_Toc155068089"/>
      <w:r>
        <w:rPr>
          <w:rStyle w:val="CharSectno"/>
        </w:rPr>
        <w:t>98</w:t>
      </w:r>
      <w:r>
        <w:rPr>
          <w:snapToGrid w:val="0"/>
        </w:rPr>
        <w:t>.</w:t>
      </w:r>
      <w:r>
        <w:rPr>
          <w:snapToGrid w:val="0"/>
        </w:rPr>
        <w:tab/>
        <w:t>Designation of public firewood areas</w:t>
      </w:r>
      <w:bookmarkEnd w:id="337"/>
      <w:bookmarkEnd w:id="338"/>
      <w:bookmarkEnd w:id="339"/>
      <w:r>
        <w:rPr>
          <w:snapToGrid w:val="0"/>
        </w:rPr>
        <w:t xml:space="preserve"> </w:t>
      </w:r>
    </w:p>
    <w:p>
      <w:pPr>
        <w:pStyle w:val="Subsection"/>
        <w:rPr>
          <w:snapToGrid w:val="0"/>
        </w:rPr>
      </w:pPr>
      <w:r>
        <w:rPr>
          <w:snapToGrid w:val="0"/>
        </w:rPr>
        <w:tab/>
        <w:t>(1)</w:t>
      </w:r>
      <w:r>
        <w:rPr>
          <w:snapToGrid w:val="0"/>
        </w:rPr>
        <w:tab/>
        <w:t xml:space="preserve">The Executive Director may by order published in the </w:t>
      </w:r>
      <w:r>
        <w:rPr>
          <w:i/>
          <w:snapToGrid w:val="0"/>
        </w:rPr>
        <w:t>Gazette</w:t>
      </w:r>
      <w:r>
        <w:rPr>
          <w:snapToGrid w:val="0"/>
        </w:rPr>
        <w:t xml:space="preserve">, set aside any area of State forest or timber reserve (in this Part referred to as a </w:t>
      </w:r>
      <w:r>
        <w:rPr>
          <w:rStyle w:val="CharDefText"/>
        </w:rPr>
        <w:t>public firewood area</w:t>
      </w:r>
      <w:r>
        <w:rPr>
          <w:snapToGrid w:val="0"/>
        </w:rPr>
        <w:t>) for the purposes of the collection of firewood by members of the public.</w:t>
      </w:r>
    </w:p>
    <w:p>
      <w:pPr>
        <w:pStyle w:val="Subsection"/>
        <w:rPr>
          <w:snapToGrid w:val="0"/>
        </w:rPr>
      </w:pPr>
      <w:r>
        <w:rPr>
          <w:snapToGrid w:val="0"/>
        </w:rPr>
        <w:tab/>
        <w:t>(2)</w:t>
      </w:r>
      <w:r>
        <w:rPr>
          <w:snapToGrid w:val="0"/>
        </w:rPr>
        <w:tab/>
        <w:t xml:space="preserve">The Executive Director may, by further order published in the </w:t>
      </w:r>
      <w:r>
        <w:rPr>
          <w:i/>
          <w:snapToGrid w:val="0"/>
        </w:rPr>
        <w:t>Gazette</w:t>
      </w:r>
      <w:r>
        <w:rPr>
          <w:snapToGrid w:val="0"/>
        </w:rPr>
        <w:t>, amend or revoke an order referred to in subregulation (1).</w:t>
      </w:r>
    </w:p>
    <w:p>
      <w:pPr>
        <w:pStyle w:val="Heading5"/>
        <w:rPr>
          <w:snapToGrid w:val="0"/>
        </w:rPr>
      </w:pPr>
      <w:bookmarkStart w:id="340" w:name="_Toc438372837"/>
      <w:bookmarkStart w:id="341" w:name="_Toc8187981"/>
      <w:bookmarkStart w:id="342" w:name="_Toc155068090"/>
      <w:r>
        <w:rPr>
          <w:rStyle w:val="CharSectno"/>
        </w:rPr>
        <w:t>99</w:t>
      </w:r>
      <w:r>
        <w:rPr>
          <w:snapToGrid w:val="0"/>
        </w:rPr>
        <w:t>.</w:t>
      </w:r>
      <w:r>
        <w:rPr>
          <w:snapToGrid w:val="0"/>
        </w:rPr>
        <w:tab/>
        <w:t>Removal of firewood from public firewood areas</w:t>
      </w:r>
      <w:bookmarkEnd w:id="340"/>
      <w:bookmarkEnd w:id="341"/>
      <w:bookmarkEnd w:id="342"/>
      <w:r>
        <w:rPr>
          <w:snapToGrid w:val="0"/>
        </w:rPr>
        <w:t xml:space="preserve"> </w:t>
      </w:r>
    </w:p>
    <w:p>
      <w:pPr>
        <w:pStyle w:val="Subsection"/>
        <w:rPr>
          <w:snapToGrid w:val="0"/>
        </w:rPr>
      </w:pPr>
      <w:r>
        <w:rPr>
          <w:snapToGrid w:val="0"/>
        </w:rPr>
        <w:tab/>
        <w:t>(1)</w:t>
      </w:r>
      <w:r>
        <w:rPr>
          <w:snapToGrid w:val="0"/>
        </w:rPr>
        <w:tab/>
        <w:t>Subject to this Part, any person may enter a public firewood area and remove any firewood from that area.</w:t>
      </w:r>
    </w:p>
    <w:p>
      <w:pPr>
        <w:pStyle w:val="Subsection"/>
        <w:rPr>
          <w:snapToGrid w:val="0"/>
        </w:rPr>
      </w:pPr>
      <w:r>
        <w:rPr>
          <w:snapToGrid w:val="0"/>
        </w:rPr>
        <w:tab/>
        <w:t>(2)</w:t>
      </w:r>
      <w:r>
        <w:rPr>
          <w:snapToGrid w:val="0"/>
        </w:rPr>
        <w:tab/>
        <w:t>Nothing in subregulation (1) shall be taken as authorizing any person — </w:t>
      </w:r>
    </w:p>
    <w:p>
      <w:pPr>
        <w:pStyle w:val="Indenta"/>
        <w:rPr>
          <w:snapToGrid w:val="0"/>
        </w:rPr>
      </w:pPr>
      <w:r>
        <w:rPr>
          <w:snapToGrid w:val="0"/>
        </w:rPr>
        <w:tab/>
        <w:t>(a)</w:t>
      </w:r>
      <w:r>
        <w:rPr>
          <w:snapToGrid w:val="0"/>
        </w:rPr>
        <w:tab/>
        <w:t>to fell, cut, injure or destroy any tree in a public firewood area; or</w:t>
      </w:r>
    </w:p>
    <w:p>
      <w:pPr>
        <w:pStyle w:val="Indenta"/>
        <w:rPr>
          <w:snapToGrid w:val="0"/>
        </w:rPr>
      </w:pPr>
      <w:r>
        <w:rPr>
          <w:snapToGrid w:val="0"/>
        </w:rPr>
        <w:tab/>
        <w:t>(b)</w:t>
      </w:r>
      <w:r>
        <w:rPr>
          <w:snapToGrid w:val="0"/>
        </w:rPr>
        <w:tab/>
        <w:t>to enter contrary to the provisions of Part 16 of these regulations any area that is declared to be a risk area or disease area under Part VII of the Act .</w:t>
      </w:r>
    </w:p>
    <w:p>
      <w:pPr>
        <w:pStyle w:val="Heading5"/>
        <w:rPr>
          <w:snapToGrid w:val="0"/>
        </w:rPr>
      </w:pPr>
      <w:bookmarkStart w:id="343" w:name="_Toc438372838"/>
      <w:bookmarkStart w:id="344" w:name="_Toc8187982"/>
      <w:bookmarkStart w:id="345" w:name="_Toc155068091"/>
      <w:r>
        <w:rPr>
          <w:rStyle w:val="CharSectno"/>
        </w:rPr>
        <w:t>100</w:t>
      </w:r>
      <w:r>
        <w:rPr>
          <w:snapToGrid w:val="0"/>
        </w:rPr>
        <w:t>.</w:t>
      </w:r>
      <w:r>
        <w:rPr>
          <w:snapToGrid w:val="0"/>
        </w:rPr>
        <w:tab/>
        <w:t>Payment for removal of firewood</w:t>
      </w:r>
      <w:bookmarkEnd w:id="343"/>
      <w:bookmarkEnd w:id="344"/>
      <w:bookmarkEnd w:id="345"/>
      <w:r>
        <w:rPr>
          <w:snapToGrid w:val="0"/>
        </w:rPr>
        <w:t xml:space="preserve"> </w:t>
      </w:r>
    </w:p>
    <w:p>
      <w:pPr>
        <w:pStyle w:val="Subsection"/>
        <w:rPr>
          <w:snapToGrid w:val="0"/>
        </w:rPr>
      </w:pPr>
      <w:r>
        <w:rPr>
          <w:snapToGrid w:val="0"/>
        </w:rPr>
        <w:tab/>
      </w:r>
      <w:r>
        <w:rPr>
          <w:snapToGrid w:val="0"/>
        </w:rPr>
        <w:tab/>
        <w:t>The following amounts, per tonne or part thereof, are payable in respect of the removal of firewood from a public firewood area that is designated in the order made under regulation 98 as being an area to which this regulation applies — </w:t>
      </w:r>
    </w:p>
    <w:p>
      <w:pPr>
        <w:pStyle w:val="Indenta"/>
        <w:rPr>
          <w:snapToGrid w:val="0"/>
        </w:rPr>
      </w:pPr>
      <w:r>
        <w:rPr>
          <w:snapToGrid w:val="0"/>
        </w:rPr>
        <w:tab/>
        <w:t>(a)</w:t>
      </w:r>
      <w:r>
        <w:rPr>
          <w:snapToGrid w:val="0"/>
        </w:rPr>
        <w:tab/>
        <w:t>between 1 November and 30 April in each year — $7.70;</w:t>
      </w:r>
    </w:p>
    <w:p>
      <w:pPr>
        <w:pStyle w:val="Indenta"/>
        <w:rPr>
          <w:snapToGrid w:val="0"/>
        </w:rPr>
      </w:pPr>
      <w:r>
        <w:rPr>
          <w:snapToGrid w:val="0"/>
        </w:rPr>
        <w:tab/>
        <w:t>(b)</w:t>
      </w:r>
      <w:r>
        <w:rPr>
          <w:snapToGrid w:val="0"/>
        </w:rPr>
        <w:tab/>
        <w:t>between 1 May and 31 October in each year — $15.40.</w:t>
      </w:r>
    </w:p>
    <w:p>
      <w:pPr>
        <w:pStyle w:val="Footnotesection"/>
      </w:pPr>
      <w:r>
        <w:tab/>
        <w:t xml:space="preserve">[Regulation 100 amended in Gazette 28 April 1995 p.1460; 30 June 2000 pp.3401-2.] </w:t>
      </w:r>
    </w:p>
    <w:p>
      <w:pPr>
        <w:pStyle w:val="Heading5"/>
        <w:rPr>
          <w:snapToGrid w:val="0"/>
        </w:rPr>
      </w:pPr>
      <w:bookmarkStart w:id="346" w:name="_Toc438372839"/>
      <w:bookmarkStart w:id="347" w:name="_Toc8187983"/>
      <w:bookmarkStart w:id="348" w:name="_Toc155068092"/>
      <w:r>
        <w:rPr>
          <w:rStyle w:val="CharSectno"/>
        </w:rPr>
        <w:t>101</w:t>
      </w:r>
      <w:r>
        <w:rPr>
          <w:snapToGrid w:val="0"/>
        </w:rPr>
        <w:t>.</w:t>
      </w:r>
      <w:r>
        <w:rPr>
          <w:snapToGrid w:val="0"/>
        </w:rPr>
        <w:tab/>
        <w:t>Restrictions on removal of firewood from public firewood areas</w:t>
      </w:r>
      <w:bookmarkEnd w:id="346"/>
      <w:bookmarkEnd w:id="347"/>
      <w:bookmarkEnd w:id="348"/>
      <w:r>
        <w:rPr>
          <w:snapToGrid w:val="0"/>
        </w:rPr>
        <w:t xml:space="preserve"> </w:t>
      </w:r>
    </w:p>
    <w:p>
      <w:pPr>
        <w:pStyle w:val="Subsection"/>
        <w:rPr>
          <w:snapToGrid w:val="0"/>
        </w:rPr>
      </w:pPr>
      <w:r>
        <w:rPr>
          <w:snapToGrid w:val="0"/>
        </w:rPr>
        <w:tab/>
        <w:t>(1)</w:t>
      </w:r>
      <w:r>
        <w:rPr>
          <w:snapToGrid w:val="0"/>
        </w:rPr>
        <w:tab/>
        <w:t>Except as provided in subregulation (3), a person shall not — </w:t>
      </w:r>
    </w:p>
    <w:p>
      <w:pPr>
        <w:pStyle w:val="Indenta"/>
        <w:rPr>
          <w:snapToGrid w:val="0"/>
        </w:rPr>
      </w:pPr>
      <w:r>
        <w:rPr>
          <w:snapToGrid w:val="0"/>
        </w:rPr>
        <w:tab/>
        <w:t>(a)</w:t>
      </w:r>
      <w:r>
        <w:rPr>
          <w:snapToGrid w:val="0"/>
        </w:rPr>
        <w:tab/>
        <w:t>remove more than one tonne of firewood from public firewood areas — </w:t>
      </w:r>
    </w:p>
    <w:p>
      <w:pPr>
        <w:pStyle w:val="Indenti"/>
        <w:rPr>
          <w:snapToGrid w:val="0"/>
        </w:rPr>
      </w:pPr>
      <w:r>
        <w:rPr>
          <w:snapToGrid w:val="0"/>
        </w:rPr>
        <w:tab/>
        <w:t>(i)</w:t>
      </w:r>
      <w:r>
        <w:rPr>
          <w:snapToGrid w:val="0"/>
        </w:rPr>
        <w:tab/>
        <w:t>in any 60 day period between 1 June and 30 September; or</w:t>
      </w:r>
    </w:p>
    <w:p>
      <w:pPr>
        <w:pStyle w:val="Indenti"/>
        <w:rPr>
          <w:snapToGrid w:val="0"/>
        </w:rPr>
      </w:pPr>
      <w:r>
        <w:rPr>
          <w:snapToGrid w:val="0"/>
        </w:rPr>
        <w:tab/>
        <w:t>(ii)</w:t>
      </w:r>
      <w:r>
        <w:rPr>
          <w:snapToGrid w:val="0"/>
        </w:rPr>
        <w:tab/>
        <w:t>on any one occasion between 1 October and 31 May; or</w:t>
      </w:r>
    </w:p>
    <w:p>
      <w:pPr>
        <w:pStyle w:val="Indenta"/>
        <w:rPr>
          <w:snapToGrid w:val="0"/>
        </w:rPr>
      </w:pPr>
      <w:r>
        <w:rPr>
          <w:snapToGrid w:val="0"/>
        </w:rPr>
        <w:tab/>
        <w:t>(b)</w:t>
      </w:r>
      <w:r>
        <w:rPr>
          <w:snapToGrid w:val="0"/>
        </w:rPr>
        <w:tab/>
        <w:t>sell firewood removed from a public firewood area.</w:t>
      </w:r>
    </w:p>
    <w:p>
      <w:pPr>
        <w:pStyle w:val="Penstart"/>
        <w:rPr>
          <w:snapToGrid w:val="0"/>
        </w:rPr>
      </w:pPr>
      <w:r>
        <w:rPr>
          <w:snapToGrid w:val="0"/>
        </w:rPr>
        <w:tab/>
        <w:t>Penalty: $2 000.</w:t>
      </w:r>
    </w:p>
    <w:p>
      <w:pPr>
        <w:pStyle w:val="Subsection"/>
        <w:rPr>
          <w:snapToGrid w:val="0"/>
        </w:rPr>
      </w:pPr>
      <w:r>
        <w:rPr>
          <w:snapToGrid w:val="0"/>
        </w:rPr>
        <w:tab/>
        <w:t>(2)</w:t>
      </w:r>
      <w:r>
        <w:rPr>
          <w:snapToGrid w:val="0"/>
        </w:rPr>
        <w:tab/>
        <w:t xml:space="preserve">In subregulation (1)(b), </w:t>
      </w:r>
      <w:r>
        <w:rPr>
          <w:rStyle w:val="CharDefText"/>
        </w:rPr>
        <w:t>sell</w:t>
      </w:r>
      <w:r>
        <w:rPr>
          <w:snapToGrid w:val="0"/>
        </w:rPr>
        <w:t xml:space="preserve"> includes barter, exchange, advertize or offer or expose for sale.</w:t>
      </w:r>
    </w:p>
    <w:p>
      <w:pPr>
        <w:pStyle w:val="Subsection"/>
        <w:rPr>
          <w:snapToGrid w:val="0"/>
        </w:rPr>
      </w:pPr>
      <w:r>
        <w:rPr>
          <w:snapToGrid w:val="0"/>
        </w:rPr>
        <w:tab/>
        <w:t>(3)</w:t>
      </w:r>
      <w:r>
        <w:rPr>
          <w:snapToGrid w:val="0"/>
        </w:rPr>
        <w:tab/>
        <w:t>This regulation does not apply to or in relation to firewood that is removed from a public firewood area pursuant to a forest produce licence, contract of sale or contract to harvest and deliver.</w:t>
      </w:r>
    </w:p>
    <w:p>
      <w:pPr>
        <w:pStyle w:val="Footnotesection"/>
      </w:pPr>
      <w:r>
        <w:tab/>
        <w:t>[Regulation 101 amended in Gazette 28 April 1995 p.1460; 23 January 1996 p.272; 28 May 1996 p.2204.]</w:t>
      </w:r>
    </w:p>
    <w:p>
      <w:pPr>
        <w:pStyle w:val="Heading5"/>
        <w:rPr>
          <w:snapToGrid w:val="0"/>
        </w:rPr>
      </w:pPr>
      <w:bookmarkStart w:id="349" w:name="_Toc438372840"/>
      <w:bookmarkStart w:id="350" w:name="_Toc8187984"/>
      <w:bookmarkStart w:id="351" w:name="_Toc155068093"/>
      <w:r>
        <w:rPr>
          <w:rStyle w:val="CharSectno"/>
        </w:rPr>
        <w:t>102</w:t>
      </w:r>
      <w:r>
        <w:rPr>
          <w:snapToGrid w:val="0"/>
        </w:rPr>
        <w:t>.</w:t>
      </w:r>
      <w:r>
        <w:rPr>
          <w:snapToGrid w:val="0"/>
        </w:rPr>
        <w:tab/>
        <w:t>Direction to leave public firewood area</w:t>
      </w:r>
      <w:bookmarkEnd w:id="349"/>
      <w:bookmarkEnd w:id="350"/>
      <w:bookmarkEnd w:id="351"/>
      <w:r>
        <w:rPr>
          <w:snapToGrid w:val="0"/>
        </w:rPr>
        <w:t xml:space="preserve"> </w:t>
      </w:r>
    </w:p>
    <w:p>
      <w:pPr>
        <w:pStyle w:val="Subsection"/>
        <w:rPr>
          <w:snapToGrid w:val="0"/>
        </w:rPr>
      </w:pPr>
      <w:r>
        <w:rPr>
          <w:snapToGrid w:val="0"/>
        </w:rPr>
        <w:tab/>
        <w:t>(1)</w:t>
      </w:r>
      <w:r>
        <w:rPr>
          <w:snapToGrid w:val="0"/>
        </w:rPr>
        <w:tab/>
        <w:t>A forest officer or a conservation and land management officer may direct a person to immediately leave a public firewood area where the forest officer or conservation and land management officer is of the opinion that — </w:t>
      </w:r>
    </w:p>
    <w:p>
      <w:pPr>
        <w:pStyle w:val="Indenta"/>
        <w:rPr>
          <w:snapToGrid w:val="0"/>
        </w:rPr>
      </w:pPr>
      <w:r>
        <w:rPr>
          <w:snapToGrid w:val="0"/>
        </w:rPr>
        <w:tab/>
        <w:t>(a)</w:t>
      </w:r>
      <w:r>
        <w:rPr>
          <w:snapToGrid w:val="0"/>
        </w:rPr>
        <w:tab/>
        <w:t>it is necessary in the interests of public safety;</w:t>
      </w:r>
    </w:p>
    <w:p>
      <w:pPr>
        <w:pStyle w:val="Indenta"/>
        <w:rPr>
          <w:snapToGrid w:val="0"/>
        </w:rPr>
      </w:pPr>
      <w:r>
        <w:rPr>
          <w:snapToGrid w:val="0"/>
        </w:rPr>
        <w:tab/>
        <w:t>(b)</w:t>
      </w:r>
      <w:r>
        <w:rPr>
          <w:snapToGrid w:val="0"/>
        </w:rPr>
        <w:tab/>
        <w:t>the person has failed or refused to pay an amount payable under regulation 100 or has otherwise contravened the Act or these regulations;</w:t>
      </w:r>
    </w:p>
    <w:p>
      <w:pPr>
        <w:pStyle w:val="Indenta"/>
        <w:keepNext/>
        <w:keepLines/>
        <w:rPr>
          <w:snapToGrid w:val="0"/>
        </w:rPr>
      </w:pPr>
      <w:r>
        <w:rPr>
          <w:snapToGrid w:val="0"/>
        </w:rPr>
        <w:tab/>
        <w:t>(c)</w:t>
      </w:r>
      <w:r>
        <w:rPr>
          <w:snapToGrid w:val="0"/>
        </w:rPr>
        <w:tab/>
        <w:t>the person is blocking the access of a forest officer, conservation and land management officer or any other officer of the Department or any other person using the area;</w:t>
      </w:r>
    </w:p>
    <w:p>
      <w:pPr>
        <w:pStyle w:val="Indenta"/>
        <w:rPr>
          <w:snapToGrid w:val="0"/>
        </w:rPr>
      </w:pPr>
      <w:r>
        <w:rPr>
          <w:snapToGrid w:val="0"/>
        </w:rPr>
        <w:tab/>
        <w:t>(d)</w:t>
      </w:r>
      <w:r>
        <w:rPr>
          <w:snapToGrid w:val="0"/>
        </w:rPr>
        <w:tab/>
        <w:t>for any other reason the presence of the person is adversely affecting the management of the area by the Department.</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pPr>
      <w:r>
        <w:t>[</w:t>
      </w:r>
      <w:r>
        <w:rPr>
          <w:b/>
        </w:rPr>
        <w:t>103.</w:t>
      </w:r>
      <w:r>
        <w:rPr>
          <w:b/>
        </w:rPr>
        <w:tab/>
      </w:r>
      <w:r>
        <w:t>Deleted in Gazette 3 May 2002 p.2294.]</w:t>
      </w:r>
    </w:p>
    <w:p>
      <w:pPr>
        <w:pStyle w:val="Heading2"/>
      </w:pPr>
      <w:bookmarkStart w:id="352" w:name="_Toc154984428"/>
      <w:bookmarkStart w:id="353" w:name="_Toc155067233"/>
      <w:bookmarkStart w:id="354" w:name="_Toc155068094"/>
      <w:r>
        <w:rPr>
          <w:rStyle w:val="CharPartNo"/>
        </w:rPr>
        <w:t>Part 16</w:t>
      </w:r>
      <w:r>
        <w:rPr>
          <w:rStyle w:val="CharDivNo"/>
        </w:rPr>
        <w:t> </w:t>
      </w:r>
      <w:r>
        <w:t>—</w:t>
      </w:r>
      <w:r>
        <w:rPr>
          <w:rStyle w:val="CharDivText"/>
        </w:rPr>
        <w:t> </w:t>
      </w:r>
      <w:r>
        <w:rPr>
          <w:rStyle w:val="CharPartText"/>
        </w:rPr>
        <w:t>Control and eradication of forest diseases</w:t>
      </w:r>
      <w:bookmarkEnd w:id="352"/>
      <w:bookmarkEnd w:id="353"/>
      <w:bookmarkEnd w:id="354"/>
      <w:r>
        <w:rPr>
          <w:rStyle w:val="CharPartText"/>
        </w:rPr>
        <w:t xml:space="preserve"> </w:t>
      </w:r>
    </w:p>
    <w:p>
      <w:pPr>
        <w:pStyle w:val="Heading5"/>
        <w:spacing w:before="180"/>
        <w:rPr>
          <w:snapToGrid w:val="0"/>
        </w:rPr>
      </w:pPr>
      <w:bookmarkStart w:id="355" w:name="_Toc438372842"/>
      <w:bookmarkStart w:id="356" w:name="_Toc8187985"/>
      <w:bookmarkStart w:id="357" w:name="_Toc155068095"/>
      <w:r>
        <w:rPr>
          <w:rStyle w:val="CharSectno"/>
        </w:rPr>
        <w:t>104</w:t>
      </w:r>
      <w:r>
        <w:rPr>
          <w:snapToGrid w:val="0"/>
        </w:rPr>
        <w:t>.</w:t>
      </w:r>
      <w:r>
        <w:rPr>
          <w:snapToGrid w:val="0"/>
        </w:rPr>
        <w:tab/>
        <w:t>Interpretation</w:t>
      </w:r>
      <w:bookmarkEnd w:id="355"/>
      <w:bookmarkEnd w:id="356"/>
      <w:bookmarkEnd w:id="357"/>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written authorization</w:t>
      </w:r>
      <w:r>
        <w:t xml:space="preserve"> means authorization given in writing under regulation 106.</w:t>
      </w:r>
    </w:p>
    <w:p>
      <w:pPr>
        <w:pStyle w:val="Heading5"/>
        <w:spacing w:before="180"/>
        <w:rPr>
          <w:snapToGrid w:val="0"/>
        </w:rPr>
      </w:pPr>
      <w:bookmarkStart w:id="358" w:name="_Toc438372843"/>
      <w:bookmarkStart w:id="359" w:name="_Toc8187986"/>
      <w:bookmarkStart w:id="360" w:name="_Toc155068096"/>
      <w:r>
        <w:rPr>
          <w:rStyle w:val="CharSectno"/>
        </w:rPr>
        <w:t>105</w:t>
      </w:r>
      <w:r>
        <w:rPr>
          <w:snapToGrid w:val="0"/>
        </w:rPr>
        <w:t>.</w:t>
      </w:r>
      <w:r>
        <w:rPr>
          <w:snapToGrid w:val="0"/>
        </w:rPr>
        <w:tab/>
        <w:t>Application to other Parts</w:t>
      </w:r>
      <w:bookmarkEnd w:id="358"/>
      <w:bookmarkEnd w:id="359"/>
      <w:bookmarkEnd w:id="360"/>
      <w:r>
        <w:rPr>
          <w:snapToGrid w:val="0"/>
        </w:rPr>
        <w:t xml:space="preserve"> </w:t>
      </w:r>
    </w:p>
    <w:p>
      <w:pPr>
        <w:pStyle w:val="Subsection"/>
        <w:rPr>
          <w:snapToGrid w:val="0"/>
        </w:rPr>
      </w:pPr>
      <w:r>
        <w:rPr>
          <w:snapToGrid w:val="0"/>
        </w:rPr>
        <w:tab/>
      </w:r>
      <w:r>
        <w:rPr>
          <w:snapToGrid w:val="0"/>
        </w:rPr>
        <w:tab/>
        <w:t>This Part operates and takes effect notwithstanding any other provision in these regulations.</w:t>
      </w:r>
    </w:p>
    <w:p>
      <w:pPr>
        <w:pStyle w:val="Heading5"/>
        <w:spacing w:before="180"/>
        <w:rPr>
          <w:snapToGrid w:val="0"/>
        </w:rPr>
      </w:pPr>
      <w:bookmarkStart w:id="361" w:name="_Toc438372844"/>
      <w:bookmarkStart w:id="362" w:name="_Toc8187987"/>
      <w:bookmarkStart w:id="363" w:name="_Toc155068097"/>
      <w:r>
        <w:rPr>
          <w:rStyle w:val="CharSectno"/>
        </w:rPr>
        <w:t>106</w:t>
      </w:r>
      <w:r>
        <w:rPr>
          <w:snapToGrid w:val="0"/>
        </w:rPr>
        <w:t>.</w:t>
      </w:r>
      <w:r>
        <w:rPr>
          <w:snapToGrid w:val="0"/>
        </w:rPr>
        <w:tab/>
        <w:t>Written authorization</w:t>
      </w:r>
      <w:bookmarkEnd w:id="361"/>
      <w:bookmarkEnd w:id="362"/>
      <w:bookmarkEnd w:id="363"/>
      <w:r>
        <w:rPr>
          <w:snapToGrid w:val="0"/>
        </w:rPr>
        <w:t xml:space="preserve"> </w:t>
      </w:r>
    </w:p>
    <w:p>
      <w:pPr>
        <w:pStyle w:val="Subsection"/>
        <w:rPr>
          <w:snapToGrid w:val="0"/>
        </w:rPr>
      </w:pPr>
      <w:r>
        <w:rPr>
          <w:snapToGrid w:val="0"/>
        </w:rPr>
        <w:tab/>
        <w:t>(1)</w:t>
      </w:r>
      <w:r>
        <w:rPr>
          <w:snapToGrid w:val="0"/>
        </w:rPr>
        <w:tab/>
        <w:t>An authorized person may in writing authorize —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Written authorization may be issued subject to such conditions as are specified in the authorization.</w:t>
      </w:r>
    </w:p>
    <w:p>
      <w:pPr>
        <w:pStyle w:val="Subsection"/>
        <w:rPr>
          <w:snapToGrid w:val="0"/>
        </w:rPr>
      </w:pPr>
      <w:r>
        <w:rPr>
          <w:snapToGrid w:val="0"/>
        </w:rPr>
        <w:tab/>
        <w:t>(3)</w:t>
      </w:r>
      <w:r>
        <w:rPr>
          <w:snapToGrid w:val="0"/>
        </w:rPr>
        <w:tab/>
        <w:t>An authorized person may at any time by written notice — </w:t>
      </w:r>
    </w:p>
    <w:p>
      <w:pPr>
        <w:pStyle w:val="Indenta"/>
        <w:rPr>
          <w:snapToGrid w:val="0"/>
        </w:rPr>
      </w:pPr>
      <w:r>
        <w:rPr>
          <w:snapToGrid w:val="0"/>
        </w:rPr>
        <w:tab/>
        <w:t>(a)</w:t>
      </w:r>
      <w:r>
        <w:rPr>
          <w:snapToGrid w:val="0"/>
        </w:rPr>
        <w:tab/>
        <w:t>revoke a written authorization;</w:t>
      </w:r>
    </w:p>
    <w:p>
      <w:pPr>
        <w:pStyle w:val="Indenta"/>
        <w:rPr>
          <w:snapToGrid w:val="0"/>
        </w:rPr>
      </w:pPr>
      <w:r>
        <w:rPr>
          <w:snapToGrid w:val="0"/>
        </w:rPr>
        <w:tab/>
        <w:t>(b)</w:t>
      </w:r>
      <w:r>
        <w:rPr>
          <w:snapToGrid w:val="0"/>
        </w:rPr>
        <w:tab/>
        <w:t>vary any condition specified in a written authorization or add a further condition to the authorization; or</w:t>
      </w:r>
    </w:p>
    <w:p>
      <w:pPr>
        <w:pStyle w:val="Indenta"/>
        <w:rPr>
          <w:snapToGrid w:val="0"/>
        </w:rPr>
      </w:pPr>
      <w:r>
        <w:rPr>
          <w:snapToGrid w:val="0"/>
        </w:rPr>
        <w:tab/>
        <w:t>(c)</w:t>
      </w:r>
      <w:r>
        <w:rPr>
          <w:snapToGrid w:val="0"/>
        </w:rPr>
        <w:tab/>
        <w:t>remove any condition specified in a written authorization.</w:t>
      </w:r>
    </w:p>
    <w:p>
      <w:pPr>
        <w:pStyle w:val="Subsection"/>
        <w:rPr>
          <w:snapToGrid w:val="0"/>
        </w:rPr>
      </w:pPr>
      <w:r>
        <w:rPr>
          <w:snapToGrid w:val="0"/>
        </w:rPr>
        <w:tab/>
        <w:t>(4)</w:t>
      </w:r>
      <w:r>
        <w:rPr>
          <w:snapToGrid w:val="0"/>
        </w:rPr>
        <w:tab/>
        <w:t>For the purposes of this Part — </w:t>
      </w:r>
    </w:p>
    <w:p>
      <w:pPr>
        <w:pStyle w:val="Indenta"/>
        <w:rPr>
          <w:snapToGrid w:val="0"/>
        </w:rPr>
      </w:pPr>
      <w:r>
        <w:rPr>
          <w:snapToGrid w:val="0"/>
        </w:rPr>
        <w:tab/>
        <w:t>(a)</w:t>
      </w:r>
      <w:r>
        <w:rPr>
          <w:snapToGrid w:val="0"/>
        </w:rPr>
        <w:tab/>
        <w:t>a condition that has been varied or added under subregulation (3)(b) shall be taken to have been specified accordingly in the authorization; and</w:t>
      </w:r>
    </w:p>
    <w:p>
      <w:pPr>
        <w:pStyle w:val="Indenta"/>
        <w:rPr>
          <w:snapToGrid w:val="0"/>
        </w:rPr>
      </w:pPr>
      <w:r>
        <w:rPr>
          <w:snapToGrid w:val="0"/>
        </w:rPr>
        <w:tab/>
        <w:t>(b)</w:t>
      </w:r>
      <w:r>
        <w:rPr>
          <w:snapToGrid w:val="0"/>
        </w:rPr>
        <w:tab/>
        <w:t>a condition that has been removed under subregulation (3)(c) shall be taken to no longer be a condition specified in the authorization.</w:t>
      </w:r>
    </w:p>
    <w:p>
      <w:pPr>
        <w:pStyle w:val="Heading5"/>
        <w:rPr>
          <w:snapToGrid w:val="0"/>
        </w:rPr>
      </w:pPr>
      <w:bookmarkStart w:id="364" w:name="_Toc438372845"/>
      <w:bookmarkStart w:id="365" w:name="_Toc8187988"/>
      <w:bookmarkStart w:id="366" w:name="_Toc155068098"/>
      <w:r>
        <w:rPr>
          <w:rStyle w:val="CharSectno"/>
        </w:rPr>
        <w:t>107</w:t>
      </w:r>
      <w:r>
        <w:rPr>
          <w:snapToGrid w:val="0"/>
        </w:rPr>
        <w:t>.</w:t>
      </w:r>
      <w:r>
        <w:rPr>
          <w:snapToGrid w:val="0"/>
        </w:rPr>
        <w:tab/>
        <w:t>Verbal authorization may be given in emergency</w:t>
      </w:r>
      <w:bookmarkEnd w:id="364"/>
      <w:bookmarkEnd w:id="365"/>
      <w:bookmarkEnd w:id="366"/>
      <w:r>
        <w:rPr>
          <w:snapToGrid w:val="0"/>
        </w:rPr>
        <w:t xml:space="preserve"> </w:t>
      </w:r>
    </w:p>
    <w:p>
      <w:pPr>
        <w:pStyle w:val="Subsection"/>
        <w:rPr>
          <w:snapToGrid w:val="0"/>
        </w:rPr>
      </w:pPr>
      <w:r>
        <w:rPr>
          <w:snapToGrid w:val="0"/>
        </w:rPr>
        <w:tab/>
        <w:t>(1)</w:t>
      </w:r>
      <w:r>
        <w:rPr>
          <w:snapToGrid w:val="0"/>
        </w:rPr>
        <w:tab/>
        <w:t>Subject to subregulations (2) and (3), an authorized person may verbally authorize —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An authorized person — </w:t>
      </w:r>
    </w:p>
    <w:p>
      <w:pPr>
        <w:pStyle w:val="Indenta"/>
        <w:rPr>
          <w:snapToGrid w:val="0"/>
        </w:rPr>
      </w:pPr>
      <w:r>
        <w:rPr>
          <w:snapToGrid w:val="0"/>
        </w:rPr>
        <w:tab/>
        <w:t>(a)</w:t>
      </w:r>
      <w:r>
        <w:rPr>
          <w:snapToGrid w:val="0"/>
        </w:rPr>
        <w:tab/>
        <w:t>shall only give verbal authorization in the event of an emergency where it is impracticable to give written authorization; and</w:t>
      </w:r>
    </w:p>
    <w:p>
      <w:pPr>
        <w:pStyle w:val="Indenta"/>
        <w:rPr>
          <w:snapToGrid w:val="0"/>
        </w:rPr>
      </w:pPr>
      <w:r>
        <w:rPr>
          <w:snapToGrid w:val="0"/>
        </w:rPr>
        <w:tab/>
        <w:t>(b)</w:t>
      </w:r>
      <w:r>
        <w:rPr>
          <w:snapToGrid w:val="0"/>
        </w:rPr>
        <w:tab/>
        <w:t>may at any time revoke the verbal authorization.</w:t>
      </w:r>
    </w:p>
    <w:p>
      <w:pPr>
        <w:pStyle w:val="Subsection"/>
        <w:rPr>
          <w:snapToGrid w:val="0"/>
        </w:rPr>
      </w:pPr>
      <w:r>
        <w:rPr>
          <w:snapToGrid w:val="0"/>
        </w:rPr>
        <w:tab/>
        <w:t>(3)</w:t>
      </w:r>
      <w:r>
        <w:rPr>
          <w:snapToGrid w:val="0"/>
        </w:rPr>
        <w:tab/>
        <w:t>Verbal authorization shall only have effect for such period as is necessary to deal with the emergency or until it is revoked, whichever is the sooner.</w:t>
      </w:r>
    </w:p>
    <w:p>
      <w:pPr>
        <w:pStyle w:val="Heading5"/>
        <w:rPr>
          <w:snapToGrid w:val="0"/>
        </w:rPr>
      </w:pPr>
      <w:bookmarkStart w:id="367" w:name="_Toc438372846"/>
      <w:bookmarkStart w:id="368" w:name="_Toc8187989"/>
      <w:bookmarkStart w:id="369" w:name="_Toc155068099"/>
      <w:r>
        <w:rPr>
          <w:rStyle w:val="CharSectno"/>
        </w:rPr>
        <w:t>108</w:t>
      </w:r>
      <w:r>
        <w:rPr>
          <w:snapToGrid w:val="0"/>
        </w:rPr>
        <w:t>.</w:t>
      </w:r>
      <w:r>
        <w:rPr>
          <w:snapToGrid w:val="0"/>
        </w:rPr>
        <w:tab/>
        <w:t>Entry, use or movement of a potential carrier in a risk area without authorization or contrary to condition</w:t>
      </w:r>
      <w:bookmarkEnd w:id="367"/>
      <w:bookmarkEnd w:id="368"/>
      <w:bookmarkEnd w:id="369"/>
      <w:r>
        <w:rPr>
          <w:snapToGrid w:val="0"/>
        </w:rPr>
        <w:t xml:space="preserve"> </w:t>
      </w:r>
    </w:p>
    <w:p>
      <w:pPr>
        <w:pStyle w:val="Subsection"/>
        <w:rPr>
          <w:snapToGrid w:val="0"/>
        </w:rPr>
      </w:pPr>
      <w:r>
        <w:rPr>
          <w:snapToGrid w:val="0"/>
        </w:rPr>
        <w:tab/>
      </w:r>
      <w:r>
        <w:rPr>
          <w:snapToGrid w:val="0"/>
        </w:rPr>
        <w:tab/>
        <w:t>Any person who takes a potential carrier into a risk area, or has, uses or moves a potential carrier in a risk area — </w:t>
      </w:r>
    </w:p>
    <w:p>
      <w:pPr>
        <w:pStyle w:val="Indenta"/>
        <w:rPr>
          <w:snapToGrid w:val="0"/>
        </w:rPr>
      </w:pPr>
      <w:r>
        <w:rPr>
          <w:snapToGrid w:val="0"/>
        </w:rPr>
        <w:tab/>
        <w:t>(a)</w:t>
      </w:r>
      <w:r>
        <w:rPr>
          <w:snapToGrid w:val="0"/>
        </w:rPr>
        <w:tab/>
        <w:t>without the authorization under regulation 106 or 107 of an authorized person; or</w:t>
      </w:r>
    </w:p>
    <w:p>
      <w:pPr>
        <w:pStyle w:val="Indenta"/>
        <w:rPr>
          <w:snapToGrid w:val="0"/>
        </w:rPr>
      </w:pPr>
      <w:r>
        <w:rPr>
          <w:snapToGrid w:val="0"/>
        </w:rPr>
        <w:tab/>
        <w:t>(b)</w:t>
      </w:r>
      <w:r>
        <w:rPr>
          <w:snapToGrid w:val="0"/>
        </w:rPr>
        <w:tab/>
        <w:t>contrary to any condition specified in a written authorization,</w:t>
      </w:r>
    </w:p>
    <w:p>
      <w:pPr>
        <w:pStyle w:val="Subsection"/>
        <w:rPr>
          <w:snapToGrid w:val="0"/>
        </w:rPr>
      </w:pPr>
      <w:r>
        <w:rPr>
          <w:snapToGrid w:val="0"/>
        </w:rPr>
        <w:tab/>
      </w:r>
      <w:r>
        <w:rPr>
          <w:snapToGrid w:val="0"/>
        </w:rPr>
        <w:tab/>
        <w:t>or who causes a potential carrier to be so taken, had, used or moved without such authority or contrary to such a condition, commits an offence.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370" w:name="_Toc438372847"/>
      <w:bookmarkStart w:id="371" w:name="_Toc8187990"/>
      <w:bookmarkStart w:id="372" w:name="_Toc155068100"/>
      <w:r>
        <w:rPr>
          <w:rStyle w:val="CharSectno"/>
        </w:rPr>
        <w:t>109</w:t>
      </w:r>
      <w:r>
        <w:rPr>
          <w:snapToGrid w:val="0"/>
        </w:rPr>
        <w:t>.</w:t>
      </w:r>
      <w:r>
        <w:rPr>
          <w:snapToGrid w:val="0"/>
        </w:rPr>
        <w:tab/>
        <w:t>Entry, use or movement of a potential carrier in a risk area or disease area contrary to instruction or direction</w:t>
      </w:r>
      <w:bookmarkEnd w:id="370"/>
      <w:bookmarkEnd w:id="371"/>
      <w:bookmarkEnd w:id="372"/>
      <w:r>
        <w:rPr>
          <w:snapToGrid w:val="0"/>
        </w:rPr>
        <w:t xml:space="preserve"> </w:t>
      </w:r>
    </w:p>
    <w:p>
      <w:pPr>
        <w:pStyle w:val="Subsection"/>
        <w:spacing w:before="120"/>
        <w:rPr>
          <w:snapToGrid w:val="0"/>
        </w:rPr>
      </w:pPr>
      <w:r>
        <w:rPr>
          <w:snapToGrid w:val="0"/>
        </w:rPr>
        <w:tab/>
      </w:r>
      <w:r>
        <w:rPr>
          <w:snapToGrid w:val="0"/>
        </w:rPr>
        <w:tab/>
        <w:t>Any person who takes a potential carrier into a risk area or disease area, or uses or moves a potential carrier in a risk area or disease area, contrary to any instruction or direction given by —</w:t>
      </w:r>
    </w:p>
    <w:p>
      <w:pPr>
        <w:pStyle w:val="Indenta"/>
        <w:rPr>
          <w:snapToGrid w:val="0"/>
          <w:spacing w:val="-4"/>
        </w:rPr>
      </w:pPr>
      <w:r>
        <w:rPr>
          <w:snapToGrid w:val="0"/>
          <w:spacing w:val="-4"/>
        </w:rPr>
        <w:tab/>
        <w:t>(a)</w:t>
      </w:r>
      <w:r>
        <w:rPr>
          <w:snapToGrid w:val="0"/>
          <w:spacing w:val="-4"/>
        </w:rPr>
        <w:tab/>
        <w:t>an authorized person in relation to that potential carrier; or</w:t>
      </w:r>
    </w:p>
    <w:p>
      <w:pPr>
        <w:pStyle w:val="Indenta"/>
        <w:rPr>
          <w:snapToGrid w:val="0"/>
        </w:rPr>
      </w:pPr>
      <w:r>
        <w:rPr>
          <w:snapToGrid w:val="0"/>
        </w:rPr>
        <w:tab/>
        <w:t>(b)</w:t>
      </w:r>
      <w:r>
        <w:rPr>
          <w:snapToGrid w:val="0"/>
        </w:rPr>
        <w:tab/>
        <w:t>the Executive Director in relation to potential carriers of that class by notice published in a newspaper circulating in that risk area or disease area,</w:t>
      </w:r>
    </w:p>
    <w:p>
      <w:pPr>
        <w:pStyle w:val="Subsection"/>
        <w:spacing w:before="120"/>
        <w:rPr>
          <w:snapToGrid w:val="0"/>
        </w:rPr>
      </w:pPr>
      <w:r>
        <w:rPr>
          <w:snapToGrid w:val="0"/>
        </w:rPr>
        <w:tab/>
      </w:r>
      <w:r>
        <w:rPr>
          <w:snapToGrid w:val="0"/>
        </w:rPr>
        <w:tab/>
        <w:t>or who causes a potential carrier to be so taken, used or moved contrary to any such direction or instruction, commits an offence.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373" w:name="_Toc438372848"/>
      <w:bookmarkStart w:id="374" w:name="_Toc8187991"/>
      <w:bookmarkStart w:id="375" w:name="_Toc155068101"/>
      <w:r>
        <w:rPr>
          <w:rStyle w:val="CharSectno"/>
        </w:rPr>
        <w:t>110</w:t>
      </w:r>
      <w:r>
        <w:rPr>
          <w:snapToGrid w:val="0"/>
        </w:rPr>
        <w:t>.</w:t>
      </w:r>
      <w:r>
        <w:rPr>
          <w:snapToGrid w:val="0"/>
        </w:rPr>
        <w:tab/>
        <w:t>Erection of signposts and barricades</w:t>
      </w:r>
      <w:bookmarkEnd w:id="373"/>
      <w:bookmarkEnd w:id="374"/>
      <w:bookmarkEnd w:id="375"/>
      <w:r>
        <w:rPr>
          <w:snapToGrid w:val="0"/>
        </w:rPr>
        <w:t xml:space="preserve"> </w:t>
      </w:r>
    </w:p>
    <w:p>
      <w:pPr>
        <w:pStyle w:val="Subsection"/>
        <w:spacing w:before="120"/>
        <w:rPr>
          <w:snapToGrid w:val="0"/>
        </w:rPr>
      </w:pPr>
      <w:r>
        <w:rPr>
          <w:snapToGrid w:val="0"/>
        </w:rPr>
        <w:tab/>
      </w:r>
      <w:r>
        <w:rPr>
          <w:snapToGrid w:val="0"/>
        </w:rPr>
        <w:tab/>
        <w:t>For the purposes of prohibiting, restricting or regulating the admission of potential carriers to a risk area or disease area, an authorized person may erect signposts or barricades, or both, on roads leading into that area.</w:t>
      </w:r>
    </w:p>
    <w:p>
      <w:pPr>
        <w:pStyle w:val="Heading5"/>
        <w:spacing w:before="180"/>
        <w:rPr>
          <w:snapToGrid w:val="0"/>
        </w:rPr>
      </w:pPr>
      <w:bookmarkStart w:id="376" w:name="_Toc438372849"/>
      <w:bookmarkStart w:id="377" w:name="_Toc8187992"/>
      <w:bookmarkStart w:id="378" w:name="_Toc155068102"/>
      <w:r>
        <w:rPr>
          <w:rStyle w:val="CharSectno"/>
        </w:rPr>
        <w:t>111</w:t>
      </w:r>
      <w:r>
        <w:rPr>
          <w:snapToGrid w:val="0"/>
        </w:rPr>
        <w:t>.</w:t>
      </w:r>
      <w:r>
        <w:rPr>
          <w:snapToGrid w:val="0"/>
        </w:rPr>
        <w:tab/>
        <w:t>Written authorization to be carried and produced upon request</w:t>
      </w:r>
      <w:bookmarkEnd w:id="376"/>
      <w:bookmarkEnd w:id="377"/>
      <w:bookmarkEnd w:id="378"/>
      <w:r>
        <w:rPr>
          <w:snapToGrid w:val="0"/>
        </w:rPr>
        <w:t xml:space="preserve"> </w:t>
      </w:r>
    </w:p>
    <w:p>
      <w:pPr>
        <w:pStyle w:val="Subsection"/>
        <w:spacing w:before="120"/>
        <w:rPr>
          <w:snapToGrid w:val="0"/>
        </w:rPr>
      </w:pPr>
      <w:r>
        <w:rPr>
          <w:snapToGrid w:val="0"/>
        </w:rPr>
        <w:tab/>
      </w:r>
      <w:r>
        <w:rPr>
          <w:snapToGrid w:val="0"/>
        </w:rPr>
        <w:tab/>
        <w:t>A person in charge of a potential carrier in a risk area shall carry any written authorization issued in respect of that potential carrier at all times when the potential carrier is being used, operated or moved in that area and shall produce that authorization when requested to do so by an authorized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379" w:name="_Toc438372850"/>
      <w:bookmarkStart w:id="380" w:name="_Toc8187993"/>
      <w:bookmarkStart w:id="381" w:name="_Toc155068103"/>
      <w:r>
        <w:rPr>
          <w:rStyle w:val="CharSectno"/>
        </w:rPr>
        <w:t>112</w:t>
      </w:r>
      <w:r>
        <w:rPr>
          <w:snapToGrid w:val="0"/>
        </w:rPr>
        <w:t>.</w:t>
      </w:r>
      <w:r>
        <w:rPr>
          <w:snapToGrid w:val="0"/>
        </w:rPr>
        <w:tab/>
        <w:t>Written authorization to terminate on breach of condition</w:t>
      </w:r>
      <w:bookmarkEnd w:id="379"/>
      <w:bookmarkEnd w:id="380"/>
      <w:bookmarkEnd w:id="381"/>
      <w:r>
        <w:rPr>
          <w:snapToGrid w:val="0"/>
        </w:rPr>
        <w:t xml:space="preserve"> </w:t>
      </w:r>
    </w:p>
    <w:p>
      <w:pPr>
        <w:pStyle w:val="Subsection"/>
        <w:spacing w:before="120"/>
        <w:rPr>
          <w:snapToGrid w:val="0"/>
        </w:rPr>
      </w:pPr>
      <w:r>
        <w:rPr>
          <w:snapToGrid w:val="0"/>
        </w:rPr>
        <w:tab/>
      </w:r>
      <w:r>
        <w:rPr>
          <w:snapToGrid w:val="0"/>
        </w:rPr>
        <w:tab/>
        <w:t>Without affecting the liability of any person for an offence under regulation 108(b), written authorization shall terminate immediately on the breach of any condition specified in that authorization.</w:t>
      </w:r>
    </w:p>
    <w:p>
      <w:pPr>
        <w:pStyle w:val="Heading5"/>
        <w:spacing w:before="180"/>
        <w:rPr>
          <w:snapToGrid w:val="0"/>
        </w:rPr>
      </w:pPr>
      <w:bookmarkStart w:id="382" w:name="_Toc438372851"/>
      <w:bookmarkStart w:id="383" w:name="_Toc8187994"/>
      <w:bookmarkStart w:id="384" w:name="_Toc155068104"/>
      <w:r>
        <w:rPr>
          <w:rStyle w:val="CharSectno"/>
        </w:rPr>
        <w:t>113</w:t>
      </w:r>
      <w:r>
        <w:rPr>
          <w:snapToGrid w:val="0"/>
        </w:rPr>
        <w:t>.</w:t>
      </w:r>
      <w:r>
        <w:rPr>
          <w:snapToGrid w:val="0"/>
        </w:rPr>
        <w:tab/>
        <w:t>Person to provide information upon request</w:t>
      </w:r>
      <w:bookmarkEnd w:id="382"/>
      <w:bookmarkEnd w:id="383"/>
      <w:bookmarkEnd w:id="384"/>
      <w:r>
        <w:rPr>
          <w:snapToGrid w:val="0"/>
        </w:rPr>
        <w:t xml:space="preserve"> </w:t>
      </w:r>
    </w:p>
    <w:p>
      <w:pPr>
        <w:pStyle w:val="Subsection"/>
        <w:spacing w:before="120"/>
        <w:rPr>
          <w:snapToGrid w:val="0"/>
        </w:rPr>
      </w:pPr>
      <w:r>
        <w:rPr>
          <w:snapToGrid w:val="0"/>
        </w:rPr>
        <w:tab/>
      </w:r>
      <w:r>
        <w:rPr>
          <w:snapToGrid w:val="0"/>
        </w:rPr>
        <w:tab/>
        <w:t>A person shall, when requested to do so by an authorized person, provide all information within that person’s power relating to any occurrence or suspected occurrence of a forest disease.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385" w:name="_Toc438372852"/>
      <w:bookmarkStart w:id="386" w:name="_Toc8187995"/>
      <w:bookmarkStart w:id="387" w:name="_Toc155068105"/>
      <w:r>
        <w:rPr>
          <w:rStyle w:val="CharSectno"/>
        </w:rPr>
        <w:t>114</w:t>
      </w:r>
      <w:r>
        <w:rPr>
          <w:snapToGrid w:val="0"/>
        </w:rPr>
        <w:t>.</w:t>
      </w:r>
      <w:r>
        <w:rPr>
          <w:snapToGrid w:val="0"/>
        </w:rPr>
        <w:tab/>
        <w:t>Authorized person may stop and examine potential carrier</w:t>
      </w:r>
      <w:bookmarkEnd w:id="385"/>
      <w:bookmarkEnd w:id="386"/>
      <w:bookmarkEnd w:id="387"/>
      <w:r>
        <w:rPr>
          <w:snapToGrid w:val="0"/>
        </w:rPr>
        <w:t xml:space="preserve"> </w:t>
      </w:r>
    </w:p>
    <w:p>
      <w:pPr>
        <w:pStyle w:val="Subsection"/>
        <w:spacing w:before="120"/>
        <w:rPr>
          <w:snapToGrid w:val="0"/>
        </w:rPr>
      </w:pPr>
      <w:r>
        <w:rPr>
          <w:snapToGrid w:val="0"/>
        </w:rPr>
        <w:tab/>
      </w:r>
      <w:r>
        <w:rPr>
          <w:snapToGrid w:val="0"/>
        </w:rPr>
        <w:tab/>
        <w:t>An authorized person may stop and examine any potential carrier to determine whether or not it is infected and may, for that purpose, erect signposts or barricades, or both, on roads — </w:t>
      </w:r>
    </w:p>
    <w:p>
      <w:pPr>
        <w:pStyle w:val="Indenta"/>
        <w:rPr>
          <w:snapToGrid w:val="0"/>
        </w:rPr>
      </w:pPr>
      <w:r>
        <w:rPr>
          <w:snapToGrid w:val="0"/>
        </w:rPr>
        <w:tab/>
        <w:t>(a)</w:t>
      </w:r>
      <w:r>
        <w:rPr>
          <w:snapToGrid w:val="0"/>
        </w:rPr>
        <w:tab/>
        <w:t>in or leading to a risk area; or</w:t>
      </w:r>
    </w:p>
    <w:p>
      <w:pPr>
        <w:pStyle w:val="Indenta"/>
        <w:rPr>
          <w:snapToGrid w:val="0"/>
        </w:rPr>
      </w:pPr>
      <w:r>
        <w:rPr>
          <w:snapToGrid w:val="0"/>
        </w:rPr>
        <w:tab/>
        <w:t>(b)</w:t>
      </w:r>
      <w:r>
        <w:rPr>
          <w:snapToGrid w:val="0"/>
        </w:rPr>
        <w:tab/>
        <w:t>in or leading out of a disease area.</w:t>
      </w:r>
    </w:p>
    <w:p>
      <w:pPr>
        <w:pStyle w:val="Heading5"/>
        <w:spacing w:before="180"/>
        <w:rPr>
          <w:snapToGrid w:val="0"/>
        </w:rPr>
      </w:pPr>
      <w:bookmarkStart w:id="388" w:name="_Toc438372853"/>
      <w:bookmarkStart w:id="389" w:name="_Toc8187996"/>
      <w:bookmarkStart w:id="390" w:name="_Toc155068106"/>
      <w:r>
        <w:rPr>
          <w:rStyle w:val="CharSectno"/>
        </w:rPr>
        <w:t>115</w:t>
      </w:r>
      <w:r>
        <w:rPr>
          <w:snapToGrid w:val="0"/>
        </w:rPr>
        <w:t>.</w:t>
      </w:r>
      <w:r>
        <w:rPr>
          <w:snapToGrid w:val="0"/>
        </w:rPr>
        <w:tab/>
        <w:t>Authorized person may direct carrier to a quarantine station</w:t>
      </w:r>
      <w:bookmarkEnd w:id="388"/>
      <w:bookmarkEnd w:id="389"/>
      <w:bookmarkEnd w:id="390"/>
      <w:r>
        <w:rPr>
          <w:snapToGrid w:val="0"/>
        </w:rPr>
        <w:t xml:space="preserve"> </w:t>
      </w:r>
    </w:p>
    <w:p>
      <w:pPr>
        <w:pStyle w:val="Subsection"/>
        <w:spacing w:before="120"/>
        <w:rPr>
          <w:snapToGrid w:val="0"/>
        </w:rPr>
      </w:pPr>
      <w:r>
        <w:rPr>
          <w:snapToGrid w:val="0"/>
        </w:rPr>
        <w:tab/>
      </w:r>
      <w:r>
        <w:rPr>
          <w:snapToGrid w:val="0"/>
        </w:rPr>
        <w:tab/>
        <w:t>An authorized person may direct a person in charge of an infected carrier or potential carrier entering a risk area or in or leaving a risk area to deliver that carrier to a quarantine station specified by the authorized person.</w:t>
      </w:r>
    </w:p>
    <w:p>
      <w:pPr>
        <w:pStyle w:val="Heading5"/>
        <w:keepNext w:val="0"/>
        <w:keepLines w:val="0"/>
        <w:spacing w:before="180"/>
        <w:rPr>
          <w:snapToGrid w:val="0"/>
        </w:rPr>
      </w:pPr>
      <w:bookmarkStart w:id="391" w:name="_Toc438372854"/>
      <w:bookmarkStart w:id="392" w:name="_Toc8187997"/>
      <w:bookmarkStart w:id="393" w:name="_Toc155068107"/>
      <w:r>
        <w:rPr>
          <w:rStyle w:val="CharSectno"/>
        </w:rPr>
        <w:t>116</w:t>
      </w:r>
      <w:r>
        <w:rPr>
          <w:snapToGrid w:val="0"/>
        </w:rPr>
        <w:t>.</w:t>
      </w:r>
      <w:r>
        <w:rPr>
          <w:snapToGrid w:val="0"/>
        </w:rPr>
        <w:tab/>
        <w:t>Authorized person may direct a person to clean and disinfect carrier</w:t>
      </w:r>
      <w:bookmarkEnd w:id="391"/>
      <w:bookmarkEnd w:id="392"/>
      <w:bookmarkEnd w:id="393"/>
      <w:r>
        <w:rPr>
          <w:snapToGrid w:val="0"/>
        </w:rPr>
        <w:t xml:space="preserve"> </w:t>
      </w:r>
    </w:p>
    <w:p>
      <w:pPr>
        <w:pStyle w:val="Subsection"/>
        <w:spacing w:before="120"/>
        <w:rPr>
          <w:snapToGrid w:val="0"/>
        </w:rPr>
      </w:pPr>
      <w:r>
        <w:rPr>
          <w:snapToGrid w:val="0"/>
        </w:rPr>
        <w:tab/>
      </w:r>
      <w:r>
        <w:rPr>
          <w:snapToGrid w:val="0"/>
        </w:rPr>
        <w:tab/>
        <w:t>An authorized person may direct a person in charge of an infected carrier or potential carrier entering or in a risk area or in or leaving a disease area to cleanse and disinfect that carrier.</w:t>
      </w:r>
    </w:p>
    <w:p>
      <w:pPr>
        <w:pStyle w:val="Heading5"/>
        <w:rPr>
          <w:snapToGrid w:val="0"/>
        </w:rPr>
      </w:pPr>
      <w:bookmarkStart w:id="394" w:name="_Toc438372855"/>
      <w:bookmarkStart w:id="395" w:name="_Toc8187998"/>
      <w:bookmarkStart w:id="396" w:name="_Toc155068108"/>
      <w:r>
        <w:rPr>
          <w:rStyle w:val="CharSectno"/>
        </w:rPr>
        <w:t>117</w:t>
      </w:r>
      <w:r>
        <w:rPr>
          <w:snapToGrid w:val="0"/>
        </w:rPr>
        <w:t>.</w:t>
      </w:r>
      <w:r>
        <w:rPr>
          <w:snapToGrid w:val="0"/>
        </w:rPr>
        <w:tab/>
        <w:t>Establishment and maintenance of quarantine stations</w:t>
      </w:r>
      <w:bookmarkEnd w:id="394"/>
      <w:bookmarkEnd w:id="395"/>
      <w:bookmarkEnd w:id="396"/>
      <w:r>
        <w:rPr>
          <w:snapToGrid w:val="0"/>
        </w:rPr>
        <w:t xml:space="preserve"> </w:t>
      </w:r>
    </w:p>
    <w:p>
      <w:pPr>
        <w:pStyle w:val="Subsection"/>
        <w:rPr>
          <w:snapToGrid w:val="0"/>
        </w:rPr>
      </w:pPr>
      <w:r>
        <w:rPr>
          <w:snapToGrid w:val="0"/>
        </w:rPr>
        <w:tab/>
      </w:r>
      <w:r>
        <w:rPr>
          <w:snapToGrid w:val="0"/>
        </w:rPr>
        <w:tab/>
        <w:t>The Executive Director may establish and maintain, or arrange for the establishment and maintenance of, quarantine stations or areas for the treatment of infected earth, soil or trees, or areas for the cleansing and disinfecting of infected carriers or potential carriers entering or in a risk area, or in or leaving a disease area.</w:t>
      </w:r>
    </w:p>
    <w:p>
      <w:pPr>
        <w:pStyle w:val="Heading5"/>
        <w:rPr>
          <w:snapToGrid w:val="0"/>
        </w:rPr>
      </w:pPr>
      <w:bookmarkStart w:id="397" w:name="_Toc438372856"/>
      <w:bookmarkStart w:id="398" w:name="_Toc8187999"/>
      <w:bookmarkStart w:id="399" w:name="_Toc155068109"/>
      <w:r>
        <w:rPr>
          <w:rStyle w:val="CharSectno"/>
        </w:rPr>
        <w:t>118</w:t>
      </w:r>
      <w:r>
        <w:rPr>
          <w:snapToGrid w:val="0"/>
        </w:rPr>
        <w:t>.</w:t>
      </w:r>
      <w:r>
        <w:rPr>
          <w:snapToGrid w:val="0"/>
        </w:rPr>
        <w:tab/>
        <w:t>Period of treatment or quarantine</w:t>
      </w:r>
      <w:bookmarkEnd w:id="397"/>
      <w:bookmarkEnd w:id="398"/>
      <w:bookmarkEnd w:id="399"/>
      <w:r>
        <w:rPr>
          <w:snapToGrid w:val="0"/>
        </w:rPr>
        <w:t xml:space="preserve"> </w:t>
      </w:r>
    </w:p>
    <w:p>
      <w:pPr>
        <w:pStyle w:val="Subsection"/>
        <w:rPr>
          <w:snapToGrid w:val="0"/>
        </w:rPr>
      </w:pPr>
      <w:r>
        <w:rPr>
          <w:snapToGrid w:val="0"/>
        </w:rPr>
        <w:tab/>
      </w:r>
      <w:r>
        <w:rPr>
          <w:snapToGrid w:val="0"/>
        </w:rPr>
        <w:tab/>
        <w:t>The period for which an infected carrier or potential carrier or infected earth, soil or trees shall be treated or kept in quarantine for the purposes of this Part shall be such period as an authorized person determines.</w:t>
      </w:r>
    </w:p>
    <w:p>
      <w:pPr>
        <w:pStyle w:val="Heading5"/>
        <w:rPr>
          <w:snapToGrid w:val="0"/>
        </w:rPr>
      </w:pPr>
      <w:bookmarkStart w:id="400" w:name="_Toc438372857"/>
      <w:bookmarkStart w:id="401" w:name="_Toc8188000"/>
      <w:bookmarkStart w:id="402" w:name="_Toc155068110"/>
      <w:r>
        <w:rPr>
          <w:rStyle w:val="CharSectno"/>
        </w:rPr>
        <w:t>119</w:t>
      </w:r>
      <w:r>
        <w:rPr>
          <w:snapToGrid w:val="0"/>
        </w:rPr>
        <w:t>.</w:t>
      </w:r>
      <w:r>
        <w:rPr>
          <w:snapToGrid w:val="0"/>
        </w:rPr>
        <w:tab/>
        <w:t>Cleansing and disinfecting to be carried out in accordance with directions</w:t>
      </w:r>
      <w:bookmarkEnd w:id="400"/>
      <w:bookmarkEnd w:id="401"/>
      <w:bookmarkEnd w:id="402"/>
      <w:r>
        <w:rPr>
          <w:snapToGrid w:val="0"/>
        </w:rPr>
        <w:t xml:space="preserve"> </w:t>
      </w:r>
    </w:p>
    <w:p>
      <w:pPr>
        <w:pStyle w:val="Subsection"/>
        <w:rPr>
          <w:snapToGrid w:val="0"/>
        </w:rPr>
      </w:pPr>
      <w:r>
        <w:rPr>
          <w:snapToGrid w:val="0"/>
        </w:rPr>
        <w:tab/>
      </w:r>
      <w:r>
        <w:rPr>
          <w:snapToGrid w:val="0"/>
        </w:rPr>
        <w:tab/>
        <w:t>Where under this Part, a person is directed to cleanse and disinfect an infected carrier or potential carrier that person shall carry out that cleansing and disinfecting — </w:t>
      </w:r>
    </w:p>
    <w:p>
      <w:pPr>
        <w:pStyle w:val="Indenta"/>
        <w:rPr>
          <w:snapToGrid w:val="0"/>
        </w:rPr>
      </w:pPr>
      <w:r>
        <w:rPr>
          <w:snapToGrid w:val="0"/>
        </w:rPr>
        <w:tab/>
        <w:t>(a)</w:t>
      </w:r>
      <w:r>
        <w:rPr>
          <w:snapToGrid w:val="0"/>
        </w:rPr>
        <w:tab/>
        <w:t>at a time and place and in such manner as is directed by an authorized person; and</w:t>
      </w:r>
    </w:p>
    <w:p>
      <w:pPr>
        <w:pStyle w:val="Indenta"/>
        <w:rPr>
          <w:snapToGrid w:val="0"/>
        </w:rPr>
      </w:pPr>
      <w:r>
        <w:rPr>
          <w:snapToGrid w:val="0"/>
        </w:rPr>
        <w:tab/>
        <w:t>(b)</w:t>
      </w:r>
      <w:r>
        <w:rPr>
          <w:snapToGrid w:val="0"/>
        </w:rPr>
        <w:tab/>
        <w:t>to the satisfaction of the authorized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403" w:name="_Toc438372858"/>
      <w:bookmarkStart w:id="404" w:name="_Toc8188001"/>
      <w:bookmarkStart w:id="405" w:name="_Toc155068111"/>
      <w:r>
        <w:rPr>
          <w:rStyle w:val="CharSectno"/>
        </w:rPr>
        <w:t>120</w:t>
      </w:r>
      <w:r>
        <w:rPr>
          <w:snapToGrid w:val="0"/>
        </w:rPr>
        <w:t>.</w:t>
      </w:r>
      <w:r>
        <w:rPr>
          <w:snapToGrid w:val="0"/>
        </w:rPr>
        <w:tab/>
        <w:t>Owner to provide information as to person in charge of carrier</w:t>
      </w:r>
      <w:bookmarkEnd w:id="403"/>
      <w:bookmarkEnd w:id="404"/>
      <w:bookmarkEnd w:id="405"/>
      <w:r>
        <w:rPr>
          <w:snapToGrid w:val="0"/>
        </w:rPr>
        <w:t xml:space="preserve"> </w:t>
      </w:r>
    </w:p>
    <w:p>
      <w:pPr>
        <w:pStyle w:val="Subsection"/>
        <w:rPr>
          <w:snapToGrid w:val="0"/>
        </w:rPr>
      </w:pPr>
      <w:r>
        <w:rPr>
          <w:snapToGrid w:val="0"/>
        </w:rPr>
        <w:tab/>
        <w:t>(1)</w:t>
      </w:r>
      <w:r>
        <w:rPr>
          <w:snapToGrid w:val="0"/>
        </w:rPr>
        <w:tab/>
        <w:t>The owner of a potential carrier shall, if required to do so by an authorized person, inform the authorized person of the identity and address of the person in charge of the potential carrier at the time when an offence relating to that potential carrier is alleged to have been committed against this Part.</w:t>
      </w:r>
    </w:p>
    <w:p>
      <w:pPr>
        <w:pStyle w:val="Subsection"/>
        <w:rPr>
          <w:snapToGrid w:val="0"/>
        </w:rPr>
      </w:pPr>
      <w:r>
        <w:rPr>
          <w:snapToGrid w:val="0"/>
        </w:rPr>
        <w:tab/>
        <w:t>(2)</w:t>
      </w:r>
      <w:r>
        <w:rPr>
          <w:snapToGrid w:val="0"/>
        </w:rPr>
        <w:tab/>
        <w:t>Where an offence against this Part is alleged to have been committed by the person in charge of a potential carrier and the owner of that potential carrier fails, within 14 days of being required by an authorized person to identify the person who was in charge of the potential carrier at the time the offence was alleged to have been committed, to — </w:t>
      </w:r>
    </w:p>
    <w:p>
      <w:pPr>
        <w:pStyle w:val="Indenta"/>
        <w:rPr>
          <w:snapToGrid w:val="0"/>
        </w:rPr>
      </w:pPr>
      <w:r>
        <w:rPr>
          <w:snapToGrid w:val="0"/>
        </w:rPr>
        <w:tab/>
        <w:t>(a)</w:t>
      </w:r>
      <w:r>
        <w:rPr>
          <w:snapToGrid w:val="0"/>
        </w:rPr>
        <w:tab/>
        <w:t>comply with that requirement; or</w:t>
      </w:r>
    </w:p>
    <w:p>
      <w:pPr>
        <w:pStyle w:val="Indenta"/>
        <w:rPr>
          <w:snapToGrid w:val="0"/>
        </w:rPr>
      </w:pPr>
      <w:r>
        <w:rPr>
          <w:snapToGrid w:val="0"/>
        </w:rPr>
        <w:tab/>
        <w:t>(b)</w:t>
      </w:r>
      <w:r>
        <w:rPr>
          <w:snapToGrid w:val="0"/>
        </w:rPr>
        <w:tab/>
        <w:t>furnish information to an authorized person from which an authorized person is satisfied that the potential carrier was stolen or being unlawfully used at the time of the alleged offence or that the owner could not reasonably have been aware of the identity of the person in charge of the potential carrier at that time,</w:t>
      </w:r>
    </w:p>
    <w:p>
      <w:pPr>
        <w:pStyle w:val="Subsection"/>
        <w:rPr>
          <w:snapToGrid w:val="0"/>
        </w:rPr>
      </w:pPr>
      <w:r>
        <w:rPr>
          <w:snapToGrid w:val="0"/>
        </w:rPr>
        <w:tab/>
      </w:r>
      <w:r>
        <w:rPr>
          <w:snapToGrid w:val="0"/>
        </w:rPr>
        <w:tab/>
        <w:t xml:space="preserve">the owner shall be deemed to be the person who committed that offence and shall then be liable to the penalty prescribed in respect of that offence. </w:t>
      </w:r>
    </w:p>
    <w:p>
      <w:pPr>
        <w:pStyle w:val="Heading5"/>
        <w:rPr>
          <w:snapToGrid w:val="0"/>
        </w:rPr>
      </w:pPr>
      <w:bookmarkStart w:id="406" w:name="_Toc438372859"/>
      <w:bookmarkStart w:id="407" w:name="_Toc8188002"/>
      <w:bookmarkStart w:id="408" w:name="_Toc155068112"/>
      <w:r>
        <w:rPr>
          <w:rStyle w:val="CharSectno"/>
        </w:rPr>
        <w:t>121</w:t>
      </w:r>
      <w:r>
        <w:rPr>
          <w:snapToGrid w:val="0"/>
        </w:rPr>
        <w:t>.</w:t>
      </w:r>
      <w:r>
        <w:rPr>
          <w:snapToGrid w:val="0"/>
        </w:rPr>
        <w:tab/>
        <w:t>Authorized person may detain, control or remove carrier</w:t>
      </w:r>
      <w:bookmarkEnd w:id="406"/>
      <w:bookmarkEnd w:id="407"/>
      <w:bookmarkEnd w:id="408"/>
      <w:r>
        <w:rPr>
          <w:snapToGrid w:val="0"/>
        </w:rPr>
        <w:t xml:space="preserve"> </w:t>
      </w:r>
    </w:p>
    <w:p>
      <w:pPr>
        <w:pStyle w:val="Subsection"/>
        <w:rPr>
          <w:snapToGrid w:val="0"/>
        </w:rPr>
      </w:pPr>
      <w:r>
        <w:rPr>
          <w:snapToGrid w:val="0"/>
        </w:rPr>
        <w:tab/>
      </w:r>
      <w:r>
        <w:rPr>
          <w:snapToGrid w:val="0"/>
        </w:rPr>
        <w:tab/>
        <w:t>An authorized person may detain, control the further movement of, or remove, a potential carrier that is in a risk area or disease area if — </w:t>
      </w:r>
    </w:p>
    <w:p>
      <w:pPr>
        <w:pStyle w:val="Indenta"/>
        <w:rPr>
          <w:snapToGrid w:val="0"/>
        </w:rPr>
      </w:pPr>
      <w:r>
        <w:rPr>
          <w:snapToGrid w:val="0"/>
        </w:rPr>
        <w:tab/>
        <w:t>(a)</w:t>
      </w:r>
      <w:r>
        <w:rPr>
          <w:snapToGrid w:val="0"/>
        </w:rPr>
        <w:tab/>
        <w:t>that potential carrier has been taken into, used, operated or moved in that area in contravention of a provision of this Part or in contravention of a condition specified in a written authorization;</w:t>
      </w:r>
    </w:p>
    <w:p>
      <w:pPr>
        <w:pStyle w:val="Indenta"/>
        <w:rPr>
          <w:snapToGrid w:val="0"/>
        </w:rPr>
      </w:pPr>
      <w:r>
        <w:rPr>
          <w:snapToGrid w:val="0"/>
        </w:rPr>
        <w:tab/>
        <w:t>(b)</w:t>
      </w:r>
      <w:r>
        <w:rPr>
          <w:snapToGrid w:val="0"/>
        </w:rPr>
        <w:tab/>
        <w:t>the person in charge of that potential carrier has refused or failed to comply with a direction given by an authorized person under this Part in relation to that potential carrier; or</w:t>
      </w:r>
    </w:p>
    <w:p>
      <w:pPr>
        <w:pStyle w:val="Indenta"/>
        <w:rPr>
          <w:snapToGrid w:val="0"/>
        </w:rPr>
      </w:pPr>
      <w:r>
        <w:rPr>
          <w:snapToGrid w:val="0"/>
        </w:rPr>
        <w:tab/>
        <w:t>(c)</w:t>
      </w:r>
      <w:r>
        <w:rPr>
          <w:snapToGrid w:val="0"/>
        </w:rPr>
        <w:tab/>
        <w:t>the authorized person considers that in the circumstances there will be a greater risk of the spread of infection if that potential carrier is not so detained, controlled or removed.</w:t>
      </w:r>
    </w:p>
    <w:p>
      <w:pPr>
        <w:pStyle w:val="Heading5"/>
        <w:rPr>
          <w:snapToGrid w:val="0"/>
        </w:rPr>
      </w:pPr>
      <w:bookmarkStart w:id="409" w:name="_Toc438372860"/>
      <w:bookmarkStart w:id="410" w:name="_Toc8188003"/>
      <w:bookmarkStart w:id="411" w:name="_Toc155068113"/>
      <w:r>
        <w:rPr>
          <w:rStyle w:val="CharSectno"/>
        </w:rPr>
        <w:t>122</w:t>
      </w:r>
      <w:r>
        <w:rPr>
          <w:snapToGrid w:val="0"/>
        </w:rPr>
        <w:t>.</w:t>
      </w:r>
      <w:r>
        <w:rPr>
          <w:snapToGrid w:val="0"/>
        </w:rPr>
        <w:tab/>
        <w:t>Authorized person may remove person from risk area</w:t>
      </w:r>
      <w:bookmarkEnd w:id="409"/>
      <w:bookmarkEnd w:id="410"/>
      <w:bookmarkEnd w:id="411"/>
      <w:r>
        <w:rPr>
          <w:snapToGrid w:val="0"/>
        </w:rPr>
        <w:t xml:space="preserve"> </w:t>
      </w:r>
    </w:p>
    <w:p>
      <w:pPr>
        <w:pStyle w:val="Subsection"/>
        <w:rPr>
          <w:snapToGrid w:val="0"/>
        </w:rPr>
      </w:pPr>
      <w:r>
        <w:rPr>
          <w:snapToGrid w:val="0"/>
        </w:rPr>
        <w:tab/>
      </w:r>
      <w:r>
        <w:rPr>
          <w:snapToGrid w:val="0"/>
        </w:rPr>
        <w:tab/>
        <w:t>An authorized person may remove from a risk area any person whom the authorized person reasonably suspects has contravened a provision of this Part or a condition specified in a written authorization.</w:t>
      </w:r>
    </w:p>
    <w:p>
      <w:pPr>
        <w:pStyle w:val="Heading5"/>
        <w:rPr>
          <w:snapToGrid w:val="0"/>
        </w:rPr>
      </w:pPr>
      <w:bookmarkStart w:id="412" w:name="_Toc438372861"/>
      <w:bookmarkStart w:id="413" w:name="_Toc8188004"/>
      <w:bookmarkStart w:id="414" w:name="_Toc155068114"/>
      <w:r>
        <w:rPr>
          <w:rStyle w:val="CharSectno"/>
        </w:rPr>
        <w:t>123</w:t>
      </w:r>
      <w:r>
        <w:rPr>
          <w:snapToGrid w:val="0"/>
        </w:rPr>
        <w:t>.</w:t>
      </w:r>
      <w:r>
        <w:rPr>
          <w:snapToGrid w:val="0"/>
        </w:rPr>
        <w:tab/>
        <w:t>Person in risk area or disease area to give name and address upon request</w:t>
      </w:r>
      <w:bookmarkEnd w:id="412"/>
      <w:bookmarkEnd w:id="413"/>
      <w:bookmarkEnd w:id="414"/>
      <w:r>
        <w:rPr>
          <w:snapToGrid w:val="0"/>
        </w:rPr>
        <w:t xml:space="preserve"> </w:t>
      </w:r>
    </w:p>
    <w:p>
      <w:pPr>
        <w:pStyle w:val="Subsection"/>
        <w:rPr>
          <w:snapToGrid w:val="0"/>
        </w:rPr>
      </w:pPr>
      <w:r>
        <w:rPr>
          <w:snapToGrid w:val="0"/>
        </w:rPr>
        <w:tab/>
      </w:r>
      <w:r>
        <w:rPr>
          <w:snapToGrid w:val="0"/>
        </w:rPr>
        <w:tab/>
        <w:t>Any person in a risk area or a disease area shall give his or her name and address when requested to do so by an authorized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415" w:name="_Toc438372862"/>
      <w:bookmarkStart w:id="416" w:name="_Toc8188005"/>
      <w:bookmarkStart w:id="417" w:name="_Toc155068115"/>
      <w:r>
        <w:rPr>
          <w:rStyle w:val="CharSectno"/>
        </w:rPr>
        <w:t>124</w:t>
      </w:r>
      <w:r>
        <w:rPr>
          <w:snapToGrid w:val="0"/>
        </w:rPr>
        <w:t>.</w:t>
      </w:r>
      <w:r>
        <w:rPr>
          <w:snapToGrid w:val="0"/>
        </w:rPr>
        <w:tab/>
        <w:t>Driver of potential carrier to comply with request to stop, signpost etc.</w:t>
      </w:r>
      <w:bookmarkEnd w:id="415"/>
      <w:bookmarkEnd w:id="416"/>
      <w:bookmarkEnd w:id="417"/>
      <w:r>
        <w:rPr>
          <w:snapToGrid w:val="0"/>
        </w:rPr>
        <w:t xml:space="preserve"> </w:t>
      </w:r>
    </w:p>
    <w:p>
      <w:pPr>
        <w:pStyle w:val="Subsection"/>
        <w:rPr>
          <w:snapToGrid w:val="0"/>
        </w:rPr>
      </w:pPr>
      <w:r>
        <w:rPr>
          <w:snapToGrid w:val="0"/>
        </w:rPr>
        <w:tab/>
      </w:r>
      <w:r>
        <w:rPr>
          <w:snapToGrid w:val="0"/>
        </w:rPr>
        <w:tab/>
        <w:t>A person driving or moving a potential carrier shall not — </w:t>
      </w:r>
    </w:p>
    <w:p>
      <w:pPr>
        <w:pStyle w:val="Indenta"/>
        <w:rPr>
          <w:snapToGrid w:val="0"/>
        </w:rPr>
      </w:pPr>
      <w:r>
        <w:rPr>
          <w:snapToGrid w:val="0"/>
        </w:rPr>
        <w:tab/>
        <w:t>(a)</w:t>
      </w:r>
      <w:r>
        <w:rPr>
          <w:snapToGrid w:val="0"/>
        </w:rPr>
        <w:tab/>
        <w:t>fail to stop that potential carrier when requested to do so by an authorized person;</w:t>
      </w:r>
    </w:p>
    <w:p>
      <w:pPr>
        <w:pStyle w:val="Indenta"/>
        <w:rPr>
          <w:snapToGrid w:val="0"/>
        </w:rPr>
      </w:pPr>
      <w:r>
        <w:rPr>
          <w:snapToGrid w:val="0"/>
        </w:rPr>
        <w:tab/>
        <w:t>(b)</w:t>
      </w:r>
      <w:r>
        <w:rPr>
          <w:snapToGrid w:val="0"/>
        </w:rPr>
        <w:tab/>
        <w:t>ignore or fail to comply with a signpost erected under this Part; or</w:t>
      </w:r>
    </w:p>
    <w:p>
      <w:pPr>
        <w:pStyle w:val="Indenta"/>
        <w:rPr>
          <w:snapToGrid w:val="0"/>
        </w:rPr>
      </w:pPr>
      <w:r>
        <w:rPr>
          <w:snapToGrid w:val="0"/>
        </w:rPr>
        <w:tab/>
        <w:t>(c)</w:t>
      </w:r>
      <w:r>
        <w:rPr>
          <w:snapToGrid w:val="0"/>
        </w:rPr>
        <w:tab/>
        <w:t>avoid or break through any barricade erected under this Part.</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418" w:name="_Toc438372863"/>
      <w:bookmarkStart w:id="419" w:name="_Toc8188006"/>
      <w:bookmarkStart w:id="420" w:name="_Toc155068116"/>
      <w:r>
        <w:rPr>
          <w:rStyle w:val="CharSectno"/>
        </w:rPr>
        <w:t>125</w:t>
      </w:r>
      <w:r>
        <w:rPr>
          <w:snapToGrid w:val="0"/>
        </w:rPr>
        <w:t>.</w:t>
      </w:r>
      <w:r>
        <w:rPr>
          <w:snapToGrid w:val="0"/>
        </w:rPr>
        <w:tab/>
        <w:t>Person not to obstruct, hinder etc. authorized person</w:t>
      </w:r>
      <w:bookmarkEnd w:id="418"/>
      <w:bookmarkEnd w:id="419"/>
      <w:bookmarkEnd w:id="420"/>
      <w:r>
        <w:rPr>
          <w:snapToGrid w:val="0"/>
        </w:rPr>
        <w:t xml:space="preserve"> </w:t>
      </w:r>
    </w:p>
    <w:p>
      <w:pPr>
        <w:pStyle w:val="Subsection"/>
        <w:keepNext/>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hinder or obstruct an authorized person exercising any power or performing any function conferred or imposed under this Part; or</w:t>
      </w:r>
    </w:p>
    <w:p>
      <w:pPr>
        <w:pStyle w:val="Indenta"/>
        <w:rPr>
          <w:snapToGrid w:val="0"/>
        </w:rPr>
      </w:pPr>
      <w:r>
        <w:rPr>
          <w:snapToGrid w:val="0"/>
        </w:rPr>
        <w:tab/>
        <w:t>(b)</w:t>
      </w:r>
      <w:r>
        <w:rPr>
          <w:snapToGrid w:val="0"/>
        </w:rPr>
        <w:tab/>
        <w:t>fail to comply with a direction given by an authorized person under this Part.</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2"/>
      </w:pPr>
      <w:bookmarkStart w:id="421" w:name="_Toc154984451"/>
      <w:bookmarkStart w:id="422" w:name="_Toc155067256"/>
      <w:bookmarkStart w:id="423" w:name="_Toc155068117"/>
      <w:r>
        <w:rPr>
          <w:rStyle w:val="CharPartNo"/>
        </w:rPr>
        <w:t>Part 17</w:t>
      </w:r>
      <w:r>
        <w:rPr>
          <w:rStyle w:val="CharDivNo"/>
        </w:rPr>
        <w:t> </w:t>
      </w:r>
      <w:r>
        <w:t>—</w:t>
      </w:r>
      <w:r>
        <w:rPr>
          <w:rStyle w:val="CharDivText"/>
        </w:rPr>
        <w:t> </w:t>
      </w:r>
      <w:r>
        <w:rPr>
          <w:rStyle w:val="CharPartText"/>
        </w:rPr>
        <w:t>Powers of forest officers</w:t>
      </w:r>
      <w:bookmarkEnd w:id="421"/>
      <w:bookmarkEnd w:id="422"/>
      <w:bookmarkEnd w:id="423"/>
    </w:p>
    <w:p>
      <w:pPr>
        <w:pStyle w:val="Heading5"/>
        <w:rPr>
          <w:snapToGrid w:val="0"/>
        </w:rPr>
      </w:pPr>
      <w:bookmarkStart w:id="424" w:name="_Toc438372864"/>
      <w:bookmarkStart w:id="425" w:name="_Toc8188007"/>
      <w:bookmarkStart w:id="426" w:name="_Toc155068118"/>
      <w:r>
        <w:rPr>
          <w:rStyle w:val="CharSectno"/>
        </w:rPr>
        <w:t>126</w:t>
      </w:r>
      <w:r>
        <w:rPr>
          <w:snapToGrid w:val="0"/>
        </w:rPr>
        <w:t>.</w:t>
      </w:r>
      <w:r>
        <w:rPr>
          <w:snapToGrid w:val="0"/>
        </w:rPr>
        <w:tab/>
        <w:t>Forest officer may stop and detain vehicles</w:t>
      </w:r>
      <w:bookmarkEnd w:id="424"/>
      <w:bookmarkEnd w:id="425"/>
      <w:bookmarkEnd w:id="426"/>
      <w:r>
        <w:rPr>
          <w:snapToGrid w:val="0"/>
        </w:rPr>
        <w:t xml:space="preserve"> </w:t>
      </w:r>
    </w:p>
    <w:p>
      <w:pPr>
        <w:pStyle w:val="Subsection"/>
        <w:rPr>
          <w:snapToGrid w:val="0"/>
        </w:rPr>
      </w:pPr>
      <w:r>
        <w:rPr>
          <w:snapToGrid w:val="0"/>
        </w:rPr>
        <w:tab/>
        <w:t>(1)</w:t>
      </w:r>
      <w:r>
        <w:rPr>
          <w:snapToGrid w:val="0"/>
        </w:rPr>
        <w:tab/>
        <w:t>A forest officer may direct the person in charge of any vehicle that is being used to transport forest produce or that the forest officer reasonably suspects is being used to transport forest produce — </w:t>
      </w:r>
    </w:p>
    <w:p>
      <w:pPr>
        <w:pStyle w:val="Indenta"/>
        <w:rPr>
          <w:snapToGrid w:val="0"/>
        </w:rPr>
      </w:pPr>
      <w:r>
        <w:rPr>
          <w:snapToGrid w:val="0"/>
        </w:rPr>
        <w:tab/>
        <w:t>(a)</w:t>
      </w:r>
      <w:r>
        <w:rPr>
          <w:snapToGrid w:val="0"/>
        </w:rPr>
        <w:tab/>
        <w:t>in a State forest or timber reserve; or</w:t>
      </w:r>
    </w:p>
    <w:p>
      <w:pPr>
        <w:pStyle w:val="Indenta"/>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stop the vehicle and may direct that person to move the vehicle to, and wait at, a place indicated by the forest officer.</w:t>
      </w:r>
    </w:p>
    <w:p>
      <w:pPr>
        <w:pStyle w:val="Subsection"/>
        <w:rPr>
          <w:snapToGrid w:val="0"/>
        </w:rPr>
      </w:pPr>
      <w:r>
        <w:rPr>
          <w:snapToGrid w:val="0"/>
        </w:rPr>
        <w:tab/>
        <w:t>(2)</w:t>
      </w:r>
      <w:r>
        <w:rPr>
          <w:snapToGrid w:val="0"/>
        </w:rPr>
        <w:tab/>
        <w:t>A person shall comply with a direction given to that person by a forest officer under subregulation (1).</w:t>
      </w:r>
    </w:p>
    <w:p>
      <w:pPr>
        <w:pStyle w:val="Penstart"/>
        <w:rPr>
          <w:snapToGrid w:val="0"/>
        </w:rPr>
      </w:pPr>
      <w:r>
        <w:rPr>
          <w:snapToGrid w:val="0"/>
        </w:rPr>
        <w:tab/>
        <w:t>Penalty: $2 000.</w:t>
      </w:r>
    </w:p>
    <w:p>
      <w:pPr>
        <w:pStyle w:val="Heading5"/>
        <w:rPr>
          <w:snapToGrid w:val="0"/>
        </w:rPr>
      </w:pPr>
      <w:bookmarkStart w:id="427" w:name="_Toc438372865"/>
      <w:bookmarkStart w:id="428" w:name="_Toc8188008"/>
      <w:bookmarkStart w:id="429" w:name="_Toc155068119"/>
      <w:r>
        <w:rPr>
          <w:rStyle w:val="CharSectno"/>
        </w:rPr>
        <w:t>127</w:t>
      </w:r>
      <w:r>
        <w:rPr>
          <w:snapToGrid w:val="0"/>
        </w:rPr>
        <w:t>.</w:t>
      </w:r>
      <w:r>
        <w:rPr>
          <w:snapToGrid w:val="0"/>
        </w:rPr>
        <w:tab/>
        <w:t>Directions as to forest route</w:t>
      </w:r>
      <w:bookmarkEnd w:id="427"/>
      <w:bookmarkEnd w:id="428"/>
      <w:bookmarkEnd w:id="429"/>
      <w:r>
        <w:rPr>
          <w:snapToGrid w:val="0"/>
        </w:rPr>
        <w:t xml:space="preserve"> </w:t>
      </w:r>
    </w:p>
    <w:p>
      <w:pPr>
        <w:pStyle w:val="Subsection"/>
        <w:rPr>
          <w:snapToGrid w:val="0"/>
        </w:rPr>
      </w:pPr>
      <w:r>
        <w:rPr>
          <w:snapToGrid w:val="0"/>
        </w:rPr>
        <w:tab/>
        <w:t>(1)</w:t>
      </w:r>
      <w:r>
        <w:rPr>
          <w:snapToGrid w:val="0"/>
        </w:rPr>
        <w:tab/>
        <w:t>A forest officer may give directions to a person as to the route to be followed for the movement of any forest produce in a State forest or timber reserve.</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Heading5"/>
        <w:rPr>
          <w:snapToGrid w:val="0"/>
        </w:rPr>
      </w:pPr>
      <w:bookmarkStart w:id="430" w:name="_Toc438372866"/>
      <w:bookmarkStart w:id="431" w:name="_Toc8188009"/>
      <w:bookmarkStart w:id="432" w:name="_Toc155068120"/>
      <w:r>
        <w:rPr>
          <w:rStyle w:val="CharSectno"/>
        </w:rPr>
        <w:t>128</w:t>
      </w:r>
      <w:r>
        <w:rPr>
          <w:snapToGrid w:val="0"/>
        </w:rPr>
        <w:t>.</w:t>
      </w:r>
      <w:r>
        <w:rPr>
          <w:snapToGrid w:val="0"/>
        </w:rPr>
        <w:tab/>
        <w:t>Seized forest produce</w:t>
      </w:r>
      <w:bookmarkEnd w:id="430"/>
      <w:bookmarkEnd w:id="431"/>
      <w:bookmarkEnd w:id="432"/>
      <w:r>
        <w:rPr>
          <w:snapToGrid w:val="0"/>
        </w:rPr>
        <w:t xml:space="preserve"> </w:t>
      </w:r>
    </w:p>
    <w:p>
      <w:pPr>
        <w:pStyle w:val="Subsection"/>
        <w:rPr>
          <w:snapToGrid w:val="0"/>
        </w:rPr>
      </w:pPr>
      <w:r>
        <w:rPr>
          <w:snapToGrid w:val="0"/>
        </w:rPr>
        <w:tab/>
        <w:t>(1)</w:t>
      </w:r>
      <w:r>
        <w:rPr>
          <w:snapToGrid w:val="0"/>
        </w:rPr>
        <w:tab/>
        <w:t>Where any forest produce is seized under the Act, a forest officer may direct the person in charge of any vehicle carrying the forest produce to transport the produce to a place indicated by the forest officer where it can be unloaded and held.</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part"/>
      </w:pPr>
      <w:r>
        <w:t>[Part 17A  Deleted in Gazette 3 May 2002 p.2294.]</w:t>
      </w:r>
    </w:p>
    <w:p>
      <w:pPr>
        <w:pStyle w:val="Heading2"/>
      </w:pPr>
      <w:bookmarkStart w:id="433" w:name="_Toc154984455"/>
      <w:bookmarkStart w:id="434" w:name="_Toc155067260"/>
      <w:bookmarkStart w:id="435" w:name="_Toc155068121"/>
      <w:r>
        <w:rPr>
          <w:rStyle w:val="CharPartNo"/>
        </w:rPr>
        <w:t>Part 18</w:t>
      </w:r>
      <w:r>
        <w:rPr>
          <w:rStyle w:val="CharDivNo"/>
        </w:rPr>
        <w:t> </w:t>
      </w:r>
      <w:r>
        <w:t>—</w:t>
      </w:r>
      <w:r>
        <w:rPr>
          <w:rStyle w:val="CharDivText"/>
        </w:rPr>
        <w:t> </w:t>
      </w:r>
      <w:r>
        <w:rPr>
          <w:rStyle w:val="CharPartText"/>
        </w:rPr>
        <w:t>Miscellaneous</w:t>
      </w:r>
      <w:bookmarkEnd w:id="433"/>
      <w:bookmarkEnd w:id="434"/>
      <w:bookmarkEnd w:id="435"/>
      <w:r>
        <w:rPr>
          <w:rStyle w:val="CharPartText"/>
        </w:rPr>
        <w:t xml:space="preserve"> </w:t>
      </w:r>
    </w:p>
    <w:p>
      <w:pPr>
        <w:pStyle w:val="Heading5"/>
        <w:rPr>
          <w:snapToGrid w:val="0"/>
        </w:rPr>
      </w:pPr>
      <w:bookmarkStart w:id="436" w:name="_Toc438372874"/>
      <w:bookmarkStart w:id="437" w:name="_Toc8188010"/>
      <w:bookmarkStart w:id="438" w:name="_Toc155068122"/>
      <w:r>
        <w:rPr>
          <w:rStyle w:val="CharSectno"/>
        </w:rPr>
        <w:t>129</w:t>
      </w:r>
      <w:r>
        <w:rPr>
          <w:snapToGrid w:val="0"/>
        </w:rPr>
        <w:t>.</w:t>
      </w:r>
      <w:r>
        <w:rPr>
          <w:snapToGrid w:val="0"/>
        </w:rPr>
        <w:tab/>
        <w:t>Statistical information to be provided</w:t>
      </w:r>
      <w:bookmarkEnd w:id="436"/>
      <w:bookmarkEnd w:id="437"/>
      <w:bookmarkEnd w:id="438"/>
      <w:r>
        <w:rPr>
          <w:snapToGrid w:val="0"/>
        </w:rPr>
        <w:t xml:space="preserve"> </w:t>
      </w:r>
    </w:p>
    <w:p>
      <w:pPr>
        <w:pStyle w:val="Subsection"/>
        <w:spacing w:before="120"/>
        <w:rPr>
          <w:snapToGrid w:val="0"/>
        </w:rPr>
      </w:pPr>
      <w:r>
        <w:rPr>
          <w:snapToGrid w:val="0"/>
        </w:rPr>
        <w:tab/>
        <w:t>(1)</w:t>
      </w:r>
      <w:r>
        <w:rPr>
          <w:snapToGrid w:val="0"/>
        </w:rPr>
        <w:tab/>
        <w:t xml:space="preserve">The Executive Director may in writing require — </w:t>
      </w:r>
    </w:p>
    <w:p>
      <w:pPr>
        <w:pStyle w:val="Indenta"/>
        <w:rPr>
          <w:snapToGrid w:val="0"/>
        </w:rPr>
      </w:pPr>
      <w:r>
        <w:rPr>
          <w:snapToGrid w:val="0"/>
        </w:rPr>
        <w:tab/>
        <w:t>(a)</w:t>
      </w:r>
      <w:r>
        <w:rPr>
          <w:snapToGrid w:val="0"/>
        </w:rPr>
        <w:tab/>
        <w:t>any person who engages in timber harvesting; or</w:t>
      </w:r>
    </w:p>
    <w:p>
      <w:pPr>
        <w:pStyle w:val="Indenta"/>
        <w:rPr>
          <w:snapToGrid w:val="0"/>
        </w:rPr>
      </w:pPr>
      <w:r>
        <w:rPr>
          <w:snapToGrid w:val="0"/>
        </w:rPr>
        <w:tab/>
        <w:t>(b)</w:t>
      </w:r>
      <w:r>
        <w:rPr>
          <w:snapToGrid w:val="0"/>
        </w:rPr>
        <w:tab/>
        <w:t>the owner of a sawmill,</w:t>
      </w:r>
    </w:p>
    <w:p>
      <w:pPr>
        <w:pStyle w:val="Subsection"/>
        <w:spacing w:before="120"/>
        <w:rPr>
          <w:snapToGrid w:val="0"/>
        </w:rPr>
      </w:pPr>
      <w:r>
        <w:rPr>
          <w:snapToGrid w:val="0"/>
        </w:rPr>
        <w:tab/>
      </w:r>
      <w:r>
        <w:rPr>
          <w:snapToGrid w:val="0"/>
        </w:rPr>
        <w:tab/>
        <w:t>to complete and return within 14 days a form approved by the Executive Director setting out statistical information relating to forest produce taken from State forest or timber reserves during a specified period and the destination of that forest produce.</w:t>
      </w:r>
    </w:p>
    <w:p>
      <w:pPr>
        <w:pStyle w:val="Subsection"/>
        <w:spacing w:before="120"/>
        <w:rPr>
          <w:snapToGrid w:val="0"/>
        </w:rPr>
      </w:pPr>
      <w:r>
        <w:rPr>
          <w:snapToGrid w:val="0"/>
        </w:rPr>
        <w:tab/>
        <w:t>(2)</w:t>
      </w:r>
      <w:r>
        <w:rPr>
          <w:snapToGrid w:val="0"/>
        </w:rPr>
        <w:tab/>
        <w:t>A person shall comply with a requirement made of that person under subregulation (1).</w:t>
      </w:r>
    </w:p>
    <w:p>
      <w:pPr>
        <w:pStyle w:val="Penstart"/>
        <w:rPr>
          <w:snapToGrid w:val="0"/>
        </w:rPr>
      </w:pPr>
      <w:r>
        <w:rPr>
          <w:snapToGrid w:val="0"/>
        </w:rPr>
        <w:tab/>
        <w:t>Penalty: $2 000.</w:t>
      </w:r>
    </w:p>
    <w:p>
      <w:pPr>
        <w:pStyle w:val="Heading5"/>
        <w:rPr>
          <w:snapToGrid w:val="0"/>
        </w:rPr>
      </w:pPr>
      <w:bookmarkStart w:id="439" w:name="_Toc438372875"/>
      <w:bookmarkStart w:id="440" w:name="_Toc8188011"/>
      <w:bookmarkStart w:id="441" w:name="_Toc155068123"/>
      <w:r>
        <w:rPr>
          <w:rStyle w:val="CharSectno"/>
        </w:rPr>
        <w:t>130</w:t>
      </w:r>
      <w:r>
        <w:rPr>
          <w:snapToGrid w:val="0"/>
        </w:rPr>
        <w:t>.</w:t>
      </w:r>
      <w:r>
        <w:rPr>
          <w:snapToGrid w:val="0"/>
        </w:rPr>
        <w:tab/>
        <w:t>False or misleading information</w:t>
      </w:r>
      <w:bookmarkEnd w:id="439"/>
      <w:bookmarkEnd w:id="440"/>
      <w:bookmarkEnd w:id="441"/>
      <w:r>
        <w:rPr>
          <w:snapToGrid w:val="0"/>
        </w:rPr>
        <w:t xml:space="preserve"> </w:t>
      </w:r>
    </w:p>
    <w:p>
      <w:pPr>
        <w:pStyle w:val="Subsection"/>
        <w:spacing w:before="120"/>
        <w:rPr>
          <w:snapToGrid w:val="0"/>
        </w:rPr>
      </w:pPr>
      <w:r>
        <w:rPr>
          <w:snapToGrid w:val="0"/>
        </w:rPr>
        <w:tab/>
      </w:r>
      <w:r>
        <w:rPr>
          <w:snapToGrid w:val="0"/>
        </w:rPr>
        <w:tab/>
        <w:t>A person shall not make any statement or provide any information in a form referred to in regulation 129 that is false or misleading in a material particular.</w:t>
      </w:r>
    </w:p>
    <w:p>
      <w:pPr>
        <w:pStyle w:val="Penstart"/>
        <w:rPr>
          <w:snapToGrid w:val="0"/>
        </w:rPr>
      </w:pPr>
      <w:r>
        <w:rPr>
          <w:snapToGrid w:val="0"/>
        </w:rPr>
        <w:tab/>
        <w:t>Penalty: $2 000.</w:t>
      </w:r>
    </w:p>
    <w:p>
      <w:pPr>
        <w:pStyle w:val="Ednotesection"/>
      </w:pPr>
      <w:bookmarkStart w:id="442" w:name="_Toc438372880"/>
      <w:r>
        <w:t>[</w:t>
      </w:r>
      <w:r>
        <w:rPr>
          <w:b/>
        </w:rPr>
        <w:t>131-134.</w:t>
      </w:r>
      <w:r>
        <w:rPr>
          <w:b/>
        </w:rPr>
        <w:tab/>
      </w:r>
      <w:r>
        <w:t>Deleted in Gazette 3 May 2002 p.2294.]</w:t>
      </w:r>
    </w:p>
    <w:p>
      <w:pPr>
        <w:pStyle w:val="Heading5"/>
        <w:rPr>
          <w:snapToGrid w:val="0"/>
        </w:rPr>
      </w:pPr>
      <w:bookmarkStart w:id="443" w:name="_Toc8188012"/>
      <w:bookmarkStart w:id="444" w:name="_Toc155068124"/>
      <w:r>
        <w:rPr>
          <w:rStyle w:val="CharSectno"/>
        </w:rPr>
        <w:t>135</w:t>
      </w:r>
      <w:r>
        <w:rPr>
          <w:snapToGrid w:val="0"/>
        </w:rPr>
        <w:t>.</w:t>
      </w:r>
      <w:r>
        <w:rPr>
          <w:snapToGrid w:val="0"/>
        </w:rPr>
        <w:tab/>
        <w:t>Damage to other forest produce to be minimized</w:t>
      </w:r>
      <w:bookmarkEnd w:id="442"/>
      <w:bookmarkEnd w:id="443"/>
      <w:bookmarkEnd w:id="444"/>
      <w:r>
        <w:rPr>
          <w:snapToGrid w:val="0"/>
        </w:rPr>
        <w:t xml:space="preserve"> </w:t>
      </w:r>
    </w:p>
    <w:p>
      <w:pPr>
        <w:pStyle w:val="Subsection"/>
        <w:rPr>
          <w:snapToGrid w:val="0"/>
        </w:rPr>
      </w:pPr>
      <w:r>
        <w:rPr>
          <w:snapToGrid w:val="0"/>
        </w:rPr>
        <w:tab/>
      </w:r>
      <w:r>
        <w:rPr>
          <w:snapToGrid w:val="0"/>
        </w:rPr>
        <w:tab/>
        <w:t>The holder of a forest produce licence, permit or contract to harvest and deliver shall ensure that where any forest produce is taken or removed from a State forest or timber reserve under the licence, permit or contract, damage to, and destruction of, other forest produce in the State forest or timber reserve is minimized.</w:t>
      </w:r>
    </w:p>
    <w:p>
      <w:pPr>
        <w:pStyle w:val="Penstart"/>
        <w:rPr>
          <w:snapToGrid w:val="0"/>
        </w:rPr>
      </w:pPr>
      <w:r>
        <w:rPr>
          <w:snapToGrid w:val="0"/>
        </w:rPr>
        <w:tab/>
        <w:t>Penalty: $2 000.</w:t>
      </w:r>
    </w:p>
    <w:p>
      <w:pPr>
        <w:pStyle w:val="Heading5"/>
        <w:rPr>
          <w:snapToGrid w:val="0"/>
        </w:rPr>
      </w:pPr>
      <w:bookmarkStart w:id="445" w:name="_Toc438372881"/>
      <w:bookmarkStart w:id="446" w:name="_Toc8188013"/>
      <w:bookmarkStart w:id="447" w:name="_Toc155068125"/>
      <w:r>
        <w:rPr>
          <w:rStyle w:val="CharSectno"/>
        </w:rPr>
        <w:t>136</w:t>
      </w:r>
      <w:r>
        <w:rPr>
          <w:snapToGrid w:val="0"/>
        </w:rPr>
        <w:t>.</w:t>
      </w:r>
      <w:r>
        <w:rPr>
          <w:snapToGrid w:val="0"/>
        </w:rPr>
        <w:tab/>
        <w:t>Person not to interfere with seized forest produce</w:t>
      </w:r>
      <w:bookmarkEnd w:id="445"/>
      <w:bookmarkEnd w:id="446"/>
      <w:bookmarkEnd w:id="447"/>
      <w:r>
        <w:rPr>
          <w:snapToGrid w:val="0"/>
        </w:rPr>
        <w:t xml:space="preserve"> </w:t>
      </w:r>
    </w:p>
    <w:p>
      <w:pPr>
        <w:pStyle w:val="Subsection"/>
        <w:rPr>
          <w:snapToGrid w:val="0"/>
        </w:rPr>
      </w:pPr>
      <w:r>
        <w:rPr>
          <w:snapToGrid w:val="0"/>
        </w:rPr>
        <w:tab/>
      </w:r>
      <w:r>
        <w:rPr>
          <w:snapToGrid w:val="0"/>
        </w:rPr>
        <w:tab/>
        <w:t>A person shall not destroy, cut, injure, remove or in any way interfere with any forest produce that has been seized under the Act unless authorized to do so by the Executive Director or a forest officer.</w:t>
      </w:r>
    </w:p>
    <w:p>
      <w:pPr>
        <w:pStyle w:val="Penstart"/>
        <w:rPr>
          <w:snapToGrid w:val="0"/>
        </w:rPr>
      </w:pPr>
      <w:r>
        <w:rPr>
          <w:snapToGrid w:val="0"/>
        </w:rPr>
        <w:tab/>
        <w:t>Penalty: $2 000.</w:t>
      </w:r>
    </w:p>
    <w:p>
      <w:pPr>
        <w:pStyle w:val="Heading5"/>
        <w:rPr>
          <w:snapToGrid w:val="0"/>
        </w:rPr>
      </w:pPr>
      <w:bookmarkStart w:id="448" w:name="_Toc438372882"/>
      <w:bookmarkStart w:id="449" w:name="_Toc8188014"/>
      <w:bookmarkStart w:id="450" w:name="_Toc155068126"/>
      <w:r>
        <w:rPr>
          <w:rStyle w:val="CharSectno"/>
        </w:rPr>
        <w:t>137</w:t>
      </w:r>
      <w:r>
        <w:rPr>
          <w:snapToGrid w:val="0"/>
        </w:rPr>
        <w:t>.</w:t>
      </w:r>
      <w:r>
        <w:rPr>
          <w:snapToGrid w:val="0"/>
        </w:rPr>
        <w:tab/>
        <w:t>Damage to tables and other facilities</w:t>
      </w:r>
      <w:bookmarkEnd w:id="448"/>
      <w:bookmarkEnd w:id="449"/>
      <w:bookmarkEnd w:id="450"/>
      <w:r>
        <w:rPr>
          <w:snapToGrid w:val="0"/>
        </w:rPr>
        <w:t xml:space="preserve"> </w:t>
      </w:r>
    </w:p>
    <w:p>
      <w:pPr>
        <w:pStyle w:val="Subsection"/>
        <w:rPr>
          <w:snapToGrid w:val="0"/>
        </w:rPr>
      </w:pPr>
      <w:r>
        <w:rPr>
          <w:snapToGrid w:val="0"/>
        </w:rPr>
        <w:tab/>
      </w:r>
      <w:r>
        <w:rPr>
          <w:snapToGrid w:val="0"/>
        </w:rPr>
        <w:tab/>
        <w:t>A person shall not destroy or damage any table, bench or other facility in a State forest or timber reserve unless authorized to do so by the Executive Director or a forest officer.</w:t>
      </w:r>
    </w:p>
    <w:p>
      <w:pPr>
        <w:pStyle w:val="Penstart"/>
        <w:rPr>
          <w:snapToGrid w:val="0"/>
        </w:rPr>
      </w:pPr>
      <w:r>
        <w:rPr>
          <w:snapToGrid w:val="0"/>
        </w:rPr>
        <w:tab/>
        <w:t>Penalty: $2 000.</w:t>
      </w:r>
    </w:p>
    <w:p>
      <w:pPr>
        <w:pStyle w:val="Ednotesection"/>
      </w:pPr>
      <w:r>
        <w:t>[</w:t>
      </w:r>
      <w:r>
        <w:rPr>
          <w:b/>
        </w:rPr>
        <w:t>137A.</w:t>
      </w:r>
      <w:r>
        <w:rPr>
          <w:b/>
        </w:rPr>
        <w:tab/>
      </w:r>
      <w:r>
        <w:t>Inserted in Gazette 18 August 1998 p.4447.  Disallowed 28 October 1998 (see Gazette 17 November 1998 p.6248).]</w:t>
      </w:r>
    </w:p>
    <w:p>
      <w:pPr>
        <w:pStyle w:val="Heading5"/>
        <w:rPr>
          <w:snapToGrid w:val="0"/>
        </w:rPr>
      </w:pPr>
      <w:bookmarkStart w:id="451" w:name="_Toc438372883"/>
      <w:bookmarkStart w:id="452" w:name="_Toc8188015"/>
      <w:bookmarkStart w:id="453" w:name="_Toc155068127"/>
      <w:r>
        <w:rPr>
          <w:rStyle w:val="CharSectno"/>
        </w:rPr>
        <w:t>138</w:t>
      </w:r>
      <w:r>
        <w:rPr>
          <w:snapToGrid w:val="0"/>
        </w:rPr>
        <w:t>.</w:t>
      </w:r>
      <w:r>
        <w:rPr>
          <w:snapToGrid w:val="0"/>
        </w:rPr>
        <w:tab/>
        <w:t>Export karri timber to be marked</w:t>
      </w:r>
      <w:bookmarkEnd w:id="451"/>
      <w:bookmarkEnd w:id="452"/>
      <w:bookmarkEnd w:id="453"/>
      <w:r>
        <w:rPr>
          <w:snapToGrid w:val="0"/>
        </w:rPr>
        <w:t xml:space="preserve"> </w:t>
      </w:r>
    </w:p>
    <w:p>
      <w:pPr>
        <w:pStyle w:val="Subsection"/>
        <w:rPr>
          <w:snapToGrid w:val="0"/>
        </w:rPr>
      </w:pPr>
      <w:r>
        <w:rPr>
          <w:snapToGrid w:val="0"/>
        </w:rPr>
        <w:tab/>
      </w:r>
      <w:r>
        <w:rPr>
          <w:snapToGrid w:val="0"/>
        </w:rPr>
        <w:tab/>
        <w:t>A person shall not export any karri timber (whether sawn, hewn or in log form) with an end section exceeding 0.015 square metres from the State unless the end of the timber is marked with a letter “K” that is not less than 25 mm in height.</w:t>
      </w:r>
    </w:p>
    <w:p>
      <w:pPr>
        <w:pStyle w:val="Penstart"/>
        <w:rPr>
          <w:snapToGrid w:val="0"/>
        </w:rPr>
      </w:pPr>
      <w:r>
        <w:rPr>
          <w:snapToGrid w:val="0"/>
        </w:rPr>
        <w:tab/>
        <w:t>Penalty: $2 000.</w:t>
      </w:r>
    </w:p>
    <w:p>
      <w:pPr>
        <w:pStyle w:val="Heading5"/>
        <w:rPr>
          <w:snapToGrid w:val="0"/>
        </w:rPr>
      </w:pPr>
      <w:bookmarkStart w:id="454" w:name="_Toc438372884"/>
      <w:bookmarkStart w:id="455" w:name="_Toc8188016"/>
      <w:bookmarkStart w:id="456" w:name="_Toc155068128"/>
      <w:r>
        <w:rPr>
          <w:rStyle w:val="CharSectno"/>
        </w:rPr>
        <w:t>139</w:t>
      </w:r>
      <w:r>
        <w:rPr>
          <w:snapToGrid w:val="0"/>
        </w:rPr>
        <w:t>.</w:t>
      </w:r>
      <w:r>
        <w:rPr>
          <w:snapToGrid w:val="0"/>
        </w:rPr>
        <w:tab/>
        <w:t>Marks used by forest officers</w:t>
      </w:r>
      <w:bookmarkEnd w:id="454"/>
      <w:bookmarkEnd w:id="455"/>
      <w:bookmarkEnd w:id="456"/>
      <w:r>
        <w:rPr>
          <w:snapToGrid w:val="0"/>
        </w:rPr>
        <w:t xml:space="preserve"> </w:t>
      </w:r>
    </w:p>
    <w:p>
      <w:pPr>
        <w:pStyle w:val="Subsection"/>
        <w:keepNext/>
        <w:rPr>
          <w:snapToGrid w:val="0"/>
        </w:rPr>
      </w:pPr>
      <w:r>
        <w:rPr>
          <w:snapToGrid w:val="0"/>
        </w:rPr>
        <w:tab/>
      </w:r>
      <w:r>
        <w:rPr>
          <w:snapToGrid w:val="0"/>
        </w:rPr>
        <w:tab/>
        <w:t>The following marks are marks used by forest officers — </w:t>
      </w:r>
    </w:p>
    <w:p>
      <w:pPr>
        <w:pStyle w:val="Indenta"/>
        <w:keepNext/>
        <w:rPr>
          <w:snapToGrid w:val="0"/>
        </w:rPr>
      </w:pPr>
      <w:r>
        <w:rPr>
          <w:snapToGrid w:val="0"/>
        </w:rPr>
        <w:tab/>
        <w:t>(a)</w:t>
      </w:r>
      <w:r>
        <w:rPr>
          <w:snapToGrid w:val="0"/>
        </w:rPr>
        <w:tab/>
        <w:t>to indicate that log timber inspected is in accordance with the appropriate specifications — </w:t>
      </w:r>
    </w:p>
    <w:p>
      <w:pPr>
        <w:pStyle w:val="Graphics"/>
        <w:tabs>
          <w:tab w:val="left" w:pos="3686"/>
        </w:tabs>
        <w:spacing w:before="160"/>
        <w:rPr>
          <w:snapToGrid w:val="0"/>
        </w:rPr>
      </w:pPr>
      <w:r>
        <w:rPr>
          <w:snapToGrid w:val="0"/>
        </w:rPr>
        <w:t xml:space="preserve"> </w:t>
      </w:r>
      <w:r>
        <w:rPr>
          <w:lang w:eastAsia="en-AU"/>
        </w:rPr>
        <w:drawing>
          <wp:inline distT="0" distB="0" distL="0" distR="0">
            <wp:extent cx="1644015" cy="1635125"/>
            <wp:effectExtent l="0" t="0" r="0" b="3175"/>
            <wp:docPr id="1" name="Picture 1" descr="For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est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44015" cy="1635125"/>
                    </a:xfrm>
                    <a:prstGeom prst="rect">
                      <a:avLst/>
                    </a:prstGeom>
                    <a:noFill/>
                    <a:ln>
                      <a:noFill/>
                    </a:ln>
                  </pic:spPr>
                </pic:pic>
              </a:graphicData>
            </a:graphic>
          </wp:inline>
        </w:drawing>
      </w:r>
      <w:r>
        <w:rPr>
          <w:snapToGrid w:val="0"/>
        </w:rPr>
        <w:tab/>
      </w:r>
      <w:bookmarkStart w:id="457" w:name="_MON_999324613"/>
      <w:bookmarkStart w:id="458" w:name="_MON_1001738011"/>
      <w:bookmarkStart w:id="459" w:name="_MON_1023864967"/>
      <w:bookmarkEnd w:id="457"/>
      <w:bookmarkEnd w:id="458"/>
      <w:bookmarkEnd w:id="459"/>
      <w:bookmarkStart w:id="460" w:name="_MON_999321052"/>
      <w:bookmarkEnd w:id="460"/>
      <w:r>
        <w:rPr>
          <w:snapToGrid w:val="0"/>
        </w:rPr>
        <w:object w:dxaOrig="2626" w:dyaOrig="26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35.75pt" o:ole="" fillcolor="window">
            <v:imagedata r:id="rId20" o:title=""/>
          </v:shape>
          <o:OLEObject Type="Embed" ProgID="Word.Picture.8" ShapeID="_x0000_i1025" DrawAspect="Content" ObjectID="_1643721494" r:id="rId21"/>
        </w:object>
      </w:r>
    </w:p>
    <w:p>
      <w:pPr>
        <w:pStyle w:val="Graphics"/>
        <w:tabs>
          <w:tab w:val="left" w:pos="3686"/>
        </w:tabs>
        <w:spacing w:before="160"/>
        <w:rPr>
          <w:snapToGrid w:val="0"/>
        </w:rPr>
      </w:pPr>
      <w:r>
        <w:rPr>
          <w:lang w:eastAsia="en-AU"/>
        </w:rPr>
        <w:drawing>
          <wp:inline distT="0" distB="0" distL="0" distR="0">
            <wp:extent cx="1582420" cy="1573530"/>
            <wp:effectExtent l="0" t="0" r="0" b="7620"/>
            <wp:docPr id="3" name="Picture 3"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est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2420" cy="1573530"/>
                    </a:xfrm>
                    <a:prstGeom prst="rect">
                      <a:avLst/>
                    </a:prstGeom>
                    <a:noFill/>
                    <a:ln>
                      <a:noFill/>
                    </a:ln>
                  </pic:spPr>
                </pic:pic>
              </a:graphicData>
            </a:graphic>
          </wp:inline>
        </w:drawing>
      </w:r>
      <w:r>
        <w:rPr>
          <w:snapToGrid w:val="0"/>
        </w:rPr>
        <w:tab/>
      </w:r>
      <w:r>
        <w:rPr>
          <w:lang w:eastAsia="en-AU"/>
        </w:rPr>
        <w:drawing>
          <wp:inline distT="0" distB="0" distL="0" distR="0">
            <wp:extent cx="1582420" cy="1573530"/>
            <wp:effectExtent l="0" t="0" r="0" b="7620"/>
            <wp:docPr id="4" name="Picture 4"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est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82420" cy="1573530"/>
                    </a:xfrm>
                    <a:prstGeom prst="rect">
                      <a:avLst/>
                    </a:prstGeom>
                    <a:noFill/>
                    <a:ln>
                      <a:noFill/>
                    </a:ln>
                  </pic:spPr>
                </pic:pic>
              </a:graphicData>
            </a:graphic>
          </wp:inline>
        </w:drawing>
      </w:r>
    </w:p>
    <w:p>
      <w:pPr>
        <w:pStyle w:val="Graphics"/>
        <w:tabs>
          <w:tab w:val="left" w:pos="3686"/>
        </w:tabs>
        <w:spacing w:before="160"/>
        <w:rPr>
          <w:snapToGrid w:val="0"/>
        </w:rPr>
      </w:pPr>
      <w:r>
        <w:rPr>
          <w:lang w:eastAsia="en-AU"/>
        </w:rPr>
        <w:drawing>
          <wp:inline distT="0" distB="0" distL="0" distR="0">
            <wp:extent cx="1679575" cy="1661795"/>
            <wp:effectExtent l="0" t="0" r="0" b="0"/>
            <wp:docPr id="5" name="Picture 5" descr="Fores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est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79575" cy="1661795"/>
                    </a:xfrm>
                    <a:prstGeom prst="rect">
                      <a:avLst/>
                    </a:prstGeom>
                    <a:noFill/>
                    <a:ln>
                      <a:noFill/>
                    </a:ln>
                  </pic:spPr>
                </pic:pic>
              </a:graphicData>
            </a:graphic>
          </wp:inline>
        </w:drawing>
      </w:r>
      <w:r>
        <w:rPr>
          <w:snapToGrid w:val="0"/>
        </w:rPr>
        <w:tab/>
      </w:r>
      <w:r>
        <w:rPr>
          <w:lang w:eastAsia="en-AU"/>
        </w:rPr>
        <w:drawing>
          <wp:inline distT="0" distB="0" distL="0" distR="0">
            <wp:extent cx="1582420" cy="1573530"/>
            <wp:effectExtent l="0" t="0" r="0" b="7620"/>
            <wp:docPr id="6" name="Picture 6" descr="Fore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est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82420" cy="1573530"/>
                    </a:xfrm>
                    <a:prstGeom prst="rect">
                      <a:avLst/>
                    </a:prstGeom>
                    <a:noFill/>
                    <a:ln>
                      <a:noFill/>
                    </a:ln>
                  </pic:spPr>
                </pic:pic>
              </a:graphicData>
            </a:graphic>
          </wp:inline>
        </w:drawing>
      </w:r>
    </w:p>
    <w:p>
      <w:pPr>
        <w:pStyle w:val="Graphics"/>
        <w:tabs>
          <w:tab w:val="left" w:pos="1701"/>
          <w:tab w:val="left" w:pos="3402"/>
          <w:tab w:val="left" w:pos="5103"/>
        </w:tabs>
        <w:spacing w:before="160"/>
        <w:rPr>
          <w:snapToGrid w:val="0"/>
        </w:rPr>
      </w:pPr>
      <w:r>
        <w:rPr>
          <w:lang w:eastAsia="en-AU"/>
        </w:rPr>
        <w:drawing>
          <wp:inline distT="0" distB="0" distL="0" distR="0">
            <wp:extent cx="861695" cy="870585"/>
            <wp:effectExtent l="0" t="0" r="0" b="5715"/>
            <wp:docPr id="7" name="Picture 7" descr="Fores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st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61695" cy="870585"/>
                    </a:xfrm>
                    <a:prstGeom prst="rect">
                      <a:avLst/>
                    </a:prstGeom>
                    <a:noFill/>
                    <a:ln>
                      <a:noFill/>
                    </a:ln>
                  </pic:spPr>
                </pic:pic>
              </a:graphicData>
            </a:graphic>
          </wp:inline>
        </w:drawing>
      </w:r>
      <w:r>
        <w:rPr>
          <w:snapToGrid w:val="0"/>
        </w:rPr>
        <w:tab/>
      </w:r>
      <w:r>
        <w:rPr>
          <w:lang w:eastAsia="en-AU"/>
        </w:rPr>
        <w:drawing>
          <wp:inline distT="0" distB="0" distL="0" distR="0">
            <wp:extent cx="879475" cy="879475"/>
            <wp:effectExtent l="0" t="0" r="0" b="0"/>
            <wp:docPr id="8" name="Picture 8" descr="Fores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est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79475" cy="879475"/>
                    </a:xfrm>
                    <a:prstGeom prst="rect">
                      <a:avLst/>
                    </a:prstGeom>
                    <a:noFill/>
                    <a:ln>
                      <a:noFill/>
                    </a:ln>
                  </pic:spPr>
                </pic:pic>
              </a:graphicData>
            </a:graphic>
          </wp:inline>
        </w:drawing>
      </w:r>
      <w:r>
        <w:rPr>
          <w:snapToGrid w:val="0"/>
        </w:rPr>
        <w:tab/>
      </w:r>
      <w:r>
        <w:rPr>
          <w:lang w:eastAsia="en-AU"/>
        </w:rPr>
        <w:drawing>
          <wp:inline distT="0" distB="0" distL="0" distR="0">
            <wp:extent cx="852805" cy="861695"/>
            <wp:effectExtent l="0" t="0" r="4445" b="0"/>
            <wp:docPr id="9" name="Picture 9" descr="Fores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est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52805" cy="861695"/>
                    </a:xfrm>
                    <a:prstGeom prst="rect">
                      <a:avLst/>
                    </a:prstGeom>
                    <a:noFill/>
                    <a:ln>
                      <a:noFill/>
                    </a:ln>
                  </pic:spPr>
                </pic:pic>
              </a:graphicData>
            </a:graphic>
          </wp:inline>
        </w:drawing>
      </w:r>
      <w:r>
        <w:rPr>
          <w:snapToGrid w:val="0"/>
        </w:rPr>
        <w:tab/>
      </w:r>
      <w:r>
        <w:rPr>
          <w:lang w:eastAsia="en-AU"/>
        </w:rPr>
        <w:drawing>
          <wp:inline distT="0" distB="0" distL="0" distR="0">
            <wp:extent cx="861695" cy="879475"/>
            <wp:effectExtent l="0" t="0" r="0" b="0"/>
            <wp:docPr id="10" name="Picture 10" descr="For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est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61695" cy="879475"/>
                    </a:xfrm>
                    <a:prstGeom prst="rect">
                      <a:avLst/>
                    </a:prstGeom>
                    <a:noFill/>
                    <a:ln>
                      <a:noFill/>
                    </a:ln>
                  </pic:spPr>
                </pic:pic>
              </a:graphicData>
            </a:graphic>
          </wp:inline>
        </w:drawing>
      </w:r>
    </w:p>
    <w:p>
      <w:pPr>
        <w:pStyle w:val="NotesPerm"/>
        <w:rPr>
          <w:snapToGrid w:val="0"/>
        </w:rPr>
      </w:pPr>
      <w:r>
        <w:rPr>
          <w:snapToGrid w:val="0"/>
        </w:rPr>
        <w:tab/>
        <w:t>The figures shown by broken lines denote the registered number of the officer inspecting and will therefore vary in each instance. The letter prefacing these numbers denotes — </w:t>
      </w:r>
    </w:p>
    <w:p>
      <w:pPr>
        <w:pStyle w:val="NotesPerm"/>
        <w:tabs>
          <w:tab w:val="left" w:pos="3119"/>
        </w:tabs>
      </w:pPr>
      <w:r>
        <w:tab/>
        <w:t>J — Jarrah.</w:t>
      </w:r>
      <w:r>
        <w:tab/>
        <w:t>Y — Yarri.</w:t>
      </w:r>
    </w:p>
    <w:p>
      <w:pPr>
        <w:pStyle w:val="NotesPerm"/>
        <w:tabs>
          <w:tab w:val="left" w:pos="3119"/>
        </w:tabs>
      </w:pPr>
      <w:r>
        <w:tab/>
        <w:t>K — Karri.</w:t>
      </w:r>
      <w:r>
        <w:tab/>
        <w:t>RT — Red Tingle.</w:t>
      </w:r>
    </w:p>
    <w:p>
      <w:pPr>
        <w:pStyle w:val="NotesPerm"/>
        <w:tabs>
          <w:tab w:val="left" w:pos="3119"/>
        </w:tabs>
      </w:pPr>
      <w:r>
        <w:tab/>
        <w:t>W — Wandoo.</w:t>
      </w:r>
      <w:r>
        <w:tab/>
        <w:t>YT — Yellow Tingle.</w:t>
      </w:r>
    </w:p>
    <w:p>
      <w:pPr>
        <w:pStyle w:val="Indenta"/>
        <w:keepNext/>
        <w:keepLines/>
        <w:rPr>
          <w:snapToGrid w:val="0"/>
        </w:rPr>
      </w:pPr>
      <w:r>
        <w:rPr>
          <w:snapToGrid w:val="0"/>
        </w:rPr>
        <w:tab/>
        <w:t>(b)</w:t>
      </w:r>
      <w:r>
        <w:rPr>
          <w:snapToGrid w:val="0"/>
        </w:rPr>
        <w:tab/>
        <w:t>to indicate that the log timber inspected is not in accordance with the required specifications — </w:t>
      </w:r>
    </w:p>
    <w:p>
      <w:pPr>
        <w:pStyle w:val="Graphics"/>
        <w:jc w:val="center"/>
        <w:rPr>
          <w:snapToGrid w:val="0"/>
        </w:rPr>
      </w:pPr>
      <w:r>
        <w:rPr>
          <w:lang w:eastAsia="en-AU"/>
        </w:rPr>
        <w:drawing>
          <wp:inline distT="0" distB="0" distL="0" distR="0">
            <wp:extent cx="1019810" cy="984885"/>
            <wp:effectExtent l="0" t="0" r="8890" b="5715"/>
            <wp:docPr id="11" name="Picture 11" descr="fo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est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19810" cy="984885"/>
                    </a:xfrm>
                    <a:prstGeom prst="rect">
                      <a:avLst/>
                    </a:prstGeom>
                    <a:noFill/>
                    <a:ln>
                      <a:noFill/>
                    </a:ln>
                  </pic:spPr>
                </pic:pic>
              </a:graphicData>
            </a:graphic>
          </wp:inline>
        </w:drawing>
      </w:r>
    </w:p>
    <w:p>
      <w:pPr>
        <w:pStyle w:val="Indenta"/>
        <w:rPr>
          <w:snapToGrid w:val="0"/>
        </w:rPr>
      </w:pPr>
      <w:r>
        <w:rPr>
          <w:snapToGrid w:val="0"/>
        </w:rPr>
        <w:tab/>
        <w:t>(c)</w:t>
      </w:r>
      <w:r>
        <w:rPr>
          <w:snapToGrid w:val="0"/>
        </w:rPr>
        <w:tab/>
        <w:t>to indicate that the forest produce has been seized by a forest officer — </w:t>
      </w:r>
    </w:p>
    <w:p>
      <w:pPr>
        <w:pStyle w:val="Graphics"/>
        <w:jc w:val="center"/>
        <w:rPr>
          <w:snapToGrid w:val="0"/>
        </w:rPr>
      </w:pPr>
      <w:r>
        <w:rPr>
          <w:lang w:eastAsia="en-AU"/>
        </w:rPr>
        <w:drawing>
          <wp:inline distT="0" distB="0" distL="0" distR="0">
            <wp:extent cx="843915" cy="1037590"/>
            <wp:effectExtent l="0" t="0" r="0" b="0"/>
            <wp:docPr id="12" name="Picture 12"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est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43915" cy="1037590"/>
                    </a:xfrm>
                    <a:prstGeom prst="rect">
                      <a:avLst/>
                    </a:prstGeom>
                    <a:noFill/>
                    <a:ln>
                      <a:noFill/>
                    </a:ln>
                  </pic:spPr>
                </pic:pic>
              </a:graphicData>
            </a:graphic>
          </wp:inline>
        </w:drawing>
      </w:r>
    </w:p>
    <w:p>
      <w:pPr>
        <w:pStyle w:val="Indenta"/>
        <w:keepNext/>
        <w:rPr>
          <w:snapToGrid w:val="0"/>
        </w:rPr>
      </w:pPr>
      <w:r>
        <w:rPr>
          <w:snapToGrid w:val="0"/>
        </w:rPr>
        <w:tab/>
        <w:t>(d)</w:t>
      </w:r>
      <w:r>
        <w:rPr>
          <w:snapToGrid w:val="0"/>
        </w:rPr>
        <w:tab/>
        <w:t xml:space="preserve">to identify a tree outside a coupe that may be felled — </w:t>
      </w:r>
    </w:p>
    <w:p>
      <w:pPr>
        <w:pStyle w:val="Graphics"/>
        <w:jc w:val="center"/>
        <w:rPr>
          <w:snapToGrid w:val="0"/>
        </w:rPr>
      </w:pPr>
      <w:r>
        <w:rPr>
          <w:lang w:eastAsia="en-AU"/>
        </w:rPr>
        <w:drawing>
          <wp:inline distT="0" distB="0" distL="0" distR="0">
            <wp:extent cx="1204595" cy="1177925"/>
            <wp:effectExtent l="0" t="0" r="0" b="3175"/>
            <wp:docPr id="13" name="Picture 13"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est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04595" cy="1177925"/>
                    </a:xfrm>
                    <a:prstGeom prst="rect">
                      <a:avLst/>
                    </a:prstGeom>
                    <a:noFill/>
                    <a:ln>
                      <a:noFill/>
                    </a:ln>
                  </pic:spPr>
                </pic:pic>
              </a:graphicData>
            </a:graphic>
          </wp:inline>
        </w:drawing>
      </w:r>
    </w:p>
    <w:p>
      <w:pPr>
        <w:pStyle w:val="NotesPerm"/>
        <w:rPr>
          <w:snapToGrid w:val="0"/>
        </w:rPr>
      </w:pPr>
      <w:r>
        <w:rPr>
          <w:snapToGrid w:val="0"/>
        </w:rPr>
        <w:tab/>
        <w:t>The figures signify the number of the brand on issue to the forest officer or district and will therefore vary in each instance.</w:t>
      </w:r>
    </w:p>
    <w:p>
      <w:pPr>
        <w:pStyle w:val="Indenta"/>
        <w:rPr>
          <w:snapToGrid w:val="0"/>
        </w:rPr>
      </w:pPr>
      <w:r>
        <w:rPr>
          <w:snapToGrid w:val="0"/>
        </w:rPr>
        <w:tab/>
        <w:t>(e)</w:t>
      </w:r>
      <w:r>
        <w:rPr>
          <w:snapToGrid w:val="0"/>
        </w:rPr>
        <w:tab/>
        <w:t>for other purposes — </w:t>
      </w:r>
    </w:p>
    <w:p>
      <w:pPr>
        <w:pStyle w:val="Graphics"/>
        <w:tabs>
          <w:tab w:val="left" w:pos="567"/>
          <w:tab w:val="left" w:pos="3686"/>
        </w:tabs>
        <w:jc w:val="center"/>
        <w:rPr>
          <w:snapToGrid w:val="0"/>
        </w:rPr>
      </w:pPr>
      <w:r>
        <w:rPr>
          <w:snapToGrid w:val="0"/>
        </w:rPr>
        <w:tab/>
      </w:r>
      <w:r>
        <w:rPr>
          <w:lang w:eastAsia="en-AU"/>
        </w:rPr>
        <w:drawing>
          <wp:inline distT="0" distB="0" distL="0" distR="0">
            <wp:extent cx="1186815" cy="1186815"/>
            <wp:effectExtent l="0" t="0" r="0" b="0"/>
            <wp:docPr id="14" name="Picture 14" descr="Fores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est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86815" cy="1186815"/>
                    </a:xfrm>
                    <a:prstGeom prst="rect">
                      <a:avLst/>
                    </a:prstGeom>
                    <a:noFill/>
                    <a:ln>
                      <a:noFill/>
                    </a:ln>
                  </pic:spPr>
                </pic:pic>
              </a:graphicData>
            </a:graphic>
          </wp:inline>
        </w:drawing>
      </w:r>
      <w:r>
        <w:rPr>
          <w:snapToGrid w:val="0"/>
        </w:rPr>
        <w:tab/>
      </w:r>
      <w:r>
        <w:rPr>
          <w:lang w:eastAsia="en-AU"/>
        </w:rPr>
        <w:drawing>
          <wp:inline distT="0" distB="0" distL="0" distR="0">
            <wp:extent cx="923290" cy="1204595"/>
            <wp:effectExtent l="0" t="0" r="0" b="0"/>
            <wp:docPr id="15" name="Picture 15" descr="Fores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est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23290" cy="1204595"/>
                    </a:xfrm>
                    <a:prstGeom prst="rect">
                      <a:avLst/>
                    </a:prstGeom>
                    <a:noFill/>
                    <a:ln>
                      <a:noFill/>
                    </a:ln>
                  </pic:spPr>
                </pic:pic>
              </a:graphicData>
            </a:graphic>
          </wp:inline>
        </w:drawing>
      </w:r>
    </w:p>
    <w:p>
      <w:pPr>
        <w:pStyle w:val="Graphics"/>
        <w:tabs>
          <w:tab w:val="left" w:pos="709"/>
          <w:tab w:val="left" w:pos="2835"/>
          <w:tab w:val="left" w:pos="5103"/>
        </w:tabs>
        <w:spacing w:before="160"/>
        <w:rPr>
          <w:snapToGrid w:val="0"/>
        </w:rPr>
      </w:pPr>
      <w:r>
        <w:rPr>
          <w:snapToGrid w:val="0"/>
        </w:rPr>
        <w:tab/>
      </w:r>
      <w:r>
        <w:rPr>
          <w:lang w:eastAsia="en-AU"/>
        </w:rPr>
        <w:drawing>
          <wp:inline distT="0" distB="0" distL="0" distR="0">
            <wp:extent cx="1010920" cy="1063625"/>
            <wp:effectExtent l="0" t="0" r="0" b="3175"/>
            <wp:docPr id="16" name="Picture 16" descr="Forest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est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10920" cy="1063625"/>
                    </a:xfrm>
                    <a:prstGeom prst="rect">
                      <a:avLst/>
                    </a:prstGeom>
                    <a:noFill/>
                    <a:ln>
                      <a:noFill/>
                    </a:ln>
                  </pic:spPr>
                </pic:pic>
              </a:graphicData>
            </a:graphic>
          </wp:inline>
        </w:drawing>
      </w:r>
      <w:r>
        <w:rPr>
          <w:snapToGrid w:val="0"/>
        </w:rPr>
        <w:tab/>
      </w:r>
      <w:r>
        <w:rPr>
          <w:lang w:eastAsia="en-AU"/>
        </w:rPr>
        <w:drawing>
          <wp:inline distT="0" distB="0" distL="0" distR="0">
            <wp:extent cx="1055370" cy="1090295"/>
            <wp:effectExtent l="0" t="0" r="0" b="0"/>
            <wp:docPr id="17" name="Picture 17" descr="Fores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est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55370" cy="1090295"/>
                    </a:xfrm>
                    <a:prstGeom prst="rect">
                      <a:avLst/>
                    </a:prstGeom>
                    <a:noFill/>
                    <a:ln>
                      <a:noFill/>
                    </a:ln>
                  </pic:spPr>
                </pic:pic>
              </a:graphicData>
            </a:graphic>
          </wp:inline>
        </w:drawing>
      </w:r>
      <w:r>
        <w:rPr>
          <w:snapToGrid w:val="0"/>
        </w:rPr>
        <w:tab/>
      </w:r>
      <w:r>
        <w:rPr>
          <w:lang w:eastAsia="en-AU"/>
        </w:rPr>
        <w:drawing>
          <wp:inline distT="0" distB="0" distL="0" distR="0">
            <wp:extent cx="1134110" cy="817880"/>
            <wp:effectExtent l="0" t="0" r="8890" b="1270"/>
            <wp:docPr id="18" name="Picture 18" descr="Fores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est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34110" cy="817880"/>
                    </a:xfrm>
                    <a:prstGeom prst="rect">
                      <a:avLst/>
                    </a:prstGeom>
                    <a:noFill/>
                    <a:ln>
                      <a:noFill/>
                    </a:ln>
                  </pic:spPr>
                </pic:pic>
              </a:graphicData>
            </a:graphic>
          </wp:inline>
        </w:drawing>
      </w:r>
    </w:p>
    <w:p>
      <w:pPr>
        <w:pStyle w:val="NotesPerm"/>
        <w:rPr>
          <w:snapToGrid w:val="0"/>
        </w:rPr>
      </w:pPr>
      <w:r>
        <w:rPr>
          <w:snapToGrid w:val="0"/>
        </w:rPr>
        <w:tab/>
        <w:t>The figures signify the number of the brand on issue to the forest officer or district and will therefore vary in each instance.</w:t>
      </w:r>
    </w:p>
    <w:p>
      <w:pPr>
        <w:pStyle w:val="Heading5"/>
        <w:spacing w:before="180"/>
        <w:rPr>
          <w:snapToGrid w:val="0"/>
        </w:rPr>
      </w:pPr>
      <w:bookmarkStart w:id="461" w:name="_Toc438372885"/>
      <w:bookmarkStart w:id="462" w:name="_Toc8188017"/>
      <w:bookmarkStart w:id="463" w:name="_Toc155068129"/>
      <w:r>
        <w:rPr>
          <w:rStyle w:val="CharSectno"/>
        </w:rPr>
        <w:t>140</w:t>
      </w:r>
      <w:r>
        <w:rPr>
          <w:snapToGrid w:val="0"/>
        </w:rPr>
        <w:t>.</w:t>
      </w:r>
      <w:r>
        <w:rPr>
          <w:snapToGrid w:val="0"/>
        </w:rPr>
        <w:tab/>
        <w:t>Tape etc. not to be affixed to timber</w:t>
      </w:r>
      <w:bookmarkEnd w:id="461"/>
      <w:bookmarkEnd w:id="462"/>
      <w:bookmarkEnd w:id="463"/>
      <w:r>
        <w:rPr>
          <w:snapToGrid w:val="0"/>
        </w:rPr>
        <w:t xml:space="preserve"> </w:t>
      </w:r>
    </w:p>
    <w:p>
      <w:pPr>
        <w:pStyle w:val="Subsection"/>
        <w:spacing w:before="120"/>
        <w:rPr>
          <w:snapToGrid w:val="0"/>
        </w:rPr>
      </w:pPr>
      <w:r>
        <w:rPr>
          <w:snapToGrid w:val="0"/>
        </w:rPr>
        <w:tab/>
      </w:r>
      <w:r>
        <w:rPr>
          <w:snapToGrid w:val="0"/>
        </w:rPr>
        <w:tab/>
        <w:t>A person shall not — </w:t>
      </w:r>
    </w:p>
    <w:p>
      <w:pPr>
        <w:pStyle w:val="Indenta"/>
        <w:spacing w:before="60"/>
        <w:rPr>
          <w:snapToGrid w:val="0"/>
        </w:rPr>
      </w:pPr>
      <w:r>
        <w:rPr>
          <w:snapToGrid w:val="0"/>
        </w:rPr>
        <w:tab/>
        <w:t>(a)</w:t>
      </w:r>
      <w:r>
        <w:rPr>
          <w:snapToGrid w:val="0"/>
        </w:rPr>
        <w:tab/>
        <w:t>mark any tree or log timber in a State forest or timber reserve with chalk, paint, crayon or any other material;</w:t>
      </w:r>
    </w:p>
    <w:p>
      <w:pPr>
        <w:pStyle w:val="Indenta"/>
        <w:spacing w:before="60"/>
        <w:rPr>
          <w:snapToGrid w:val="0"/>
        </w:rPr>
      </w:pPr>
      <w:r>
        <w:rPr>
          <w:snapToGrid w:val="0"/>
        </w:rPr>
        <w:tab/>
        <w:t>(b)</w:t>
      </w:r>
      <w:r>
        <w:rPr>
          <w:snapToGrid w:val="0"/>
        </w:rPr>
        <w:tab/>
        <w:t>affix tape or ribbon to any tree or log timber in a State forest or timber reserve; or</w:t>
      </w:r>
    </w:p>
    <w:p>
      <w:pPr>
        <w:pStyle w:val="Indenta"/>
        <w:spacing w:before="60"/>
        <w:rPr>
          <w:snapToGrid w:val="0"/>
        </w:rPr>
      </w:pPr>
      <w:r>
        <w:rPr>
          <w:snapToGrid w:val="0"/>
        </w:rPr>
        <w:tab/>
        <w:t>(c)</w:t>
      </w:r>
      <w:r>
        <w:rPr>
          <w:snapToGrid w:val="0"/>
        </w:rPr>
        <w:tab/>
        <w:t>affix a brand to any tree or log timber in a State forest or timber reserve,</w:t>
      </w:r>
    </w:p>
    <w:p>
      <w:pPr>
        <w:pStyle w:val="Subsection"/>
        <w:spacing w:before="80"/>
        <w:rPr>
          <w:snapToGrid w:val="0"/>
        </w:rPr>
      </w:pPr>
      <w:r>
        <w:rPr>
          <w:snapToGrid w:val="0"/>
        </w:rPr>
        <w:tab/>
      </w:r>
      <w:r>
        <w:rPr>
          <w:snapToGrid w:val="0"/>
        </w:rPr>
        <w:tab/>
        <w:t>unless authorized to do so by the Executive Director.</w:t>
      </w:r>
    </w:p>
    <w:p>
      <w:pPr>
        <w:pStyle w:val="Penstart"/>
        <w:rPr>
          <w:snapToGrid w:val="0"/>
        </w:rPr>
      </w:pPr>
      <w:r>
        <w:rPr>
          <w:snapToGrid w:val="0"/>
        </w:rPr>
        <w:tab/>
        <w:t>Penalty: $2 000.</w:t>
      </w:r>
    </w:p>
    <w:p>
      <w:pPr>
        <w:pStyle w:val="Heading5"/>
        <w:keepNext w:val="0"/>
        <w:keepLines w:val="0"/>
        <w:spacing w:before="180"/>
        <w:rPr>
          <w:snapToGrid w:val="0"/>
        </w:rPr>
      </w:pPr>
      <w:bookmarkStart w:id="464" w:name="_Toc438372886"/>
      <w:bookmarkStart w:id="465" w:name="_Toc8188018"/>
      <w:bookmarkStart w:id="466" w:name="_Toc155068130"/>
      <w:r>
        <w:rPr>
          <w:rStyle w:val="CharSectno"/>
        </w:rPr>
        <w:t>141</w:t>
      </w:r>
      <w:r>
        <w:rPr>
          <w:snapToGrid w:val="0"/>
        </w:rPr>
        <w:t>.</w:t>
      </w:r>
      <w:r>
        <w:rPr>
          <w:snapToGrid w:val="0"/>
        </w:rPr>
        <w:tab/>
        <w:t>Prescribed maximum penalty for failure to comply with condition</w:t>
      </w:r>
      <w:bookmarkEnd w:id="464"/>
      <w:bookmarkEnd w:id="465"/>
      <w:bookmarkEnd w:id="466"/>
    </w:p>
    <w:p>
      <w:pPr>
        <w:pStyle w:val="Subsection"/>
        <w:spacing w:before="120"/>
        <w:rPr>
          <w:snapToGrid w:val="0"/>
        </w:rPr>
      </w:pPr>
      <w:r>
        <w:rPr>
          <w:snapToGrid w:val="0"/>
        </w:rPr>
        <w:tab/>
      </w:r>
      <w:r>
        <w:rPr>
          <w:snapToGrid w:val="0"/>
        </w:rPr>
        <w:tab/>
        <w:t>For the purposes of section 95(2)(b) of the Act, the prescribed maximum penalty is — </w:t>
      </w:r>
    </w:p>
    <w:p>
      <w:pPr>
        <w:pStyle w:val="Indenta"/>
        <w:spacing w:before="60"/>
        <w:rPr>
          <w:snapToGrid w:val="0"/>
        </w:rPr>
      </w:pPr>
      <w:r>
        <w:rPr>
          <w:snapToGrid w:val="0"/>
        </w:rPr>
        <w:tab/>
        <w:t>(a)</w:t>
      </w:r>
      <w:r>
        <w:rPr>
          <w:snapToGrid w:val="0"/>
        </w:rPr>
        <w:tab/>
        <w:t>$2 000; or</w:t>
      </w:r>
    </w:p>
    <w:p>
      <w:pPr>
        <w:pStyle w:val="Indenta"/>
        <w:rPr>
          <w:snapToGrid w:val="0"/>
        </w:rPr>
      </w:pPr>
      <w:r>
        <w:rPr>
          <w:snapToGrid w:val="0"/>
        </w:rPr>
        <w:tab/>
        <w:t>(b)</w:t>
      </w:r>
      <w:r>
        <w:rPr>
          <w:snapToGrid w:val="0"/>
        </w:rPr>
        <w:tab/>
        <w:t>20% of the total royalties payable under the permit, forest produce licence or contract of sale,</w:t>
      </w:r>
    </w:p>
    <w:p>
      <w:pPr>
        <w:pStyle w:val="Subsection"/>
        <w:spacing w:before="80"/>
        <w:rPr>
          <w:snapToGrid w:val="0"/>
        </w:rPr>
      </w:pPr>
      <w:r>
        <w:rPr>
          <w:snapToGrid w:val="0"/>
        </w:rPr>
        <w:tab/>
      </w:r>
      <w:r>
        <w:rPr>
          <w:snapToGrid w:val="0"/>
        </w:rPr>
        <w:tab/>
        <w:t>whichever is the greater.</w:t>
      </w:r>
    </w:p>
    <w:p>
      <w:pPr>
        <w:pStyle w:val="Heading5"/>
        <w:spacing w:before="180"/>
        <w:rPr>
          <w:snapToGrid w:val="0"/>
        </w:rPr>
      </w:pPr>
      <w:bookmarkStart w:id="467" w:name="_Toc438372887"/>
      <w:bookmarkStart w:id="468" w:name="_Toc8188019"/>
      <w:bookmarkStart w:id="469" w:name="_Toc155068131"/>
      <w:r>
        <w:rPr>
          <w:rStyle w:val="CharSectno"/>
        </w:rPr>
        <w:t>142</w:t>
      </w:r>
      <w:r>
        <w:rPr>
          <w:snapToGrid w:val="0"/>
        </w:rPr>
        <w:t>.</w:t>
      </w:r>
      <w:r>
        <w:rPr>
          <w:snapToGrid w:val="0"/>
        </w:rPr>
        <w:tab/>
        <w:t>Prescribed royalties for timber taken on mining tenement for mining purposes</w:t>
      </w:r>
      <w:bookmarkEnd w:id="467"/>
      <w:bookmarkEnd w:id="468"/>
      <w:bookmarkEnd w:id="469"/>
      <w:r>
        <w:rPr>
          <w:snapToGrid w:val="0"/>
        </w:rPr>
        <w:t xml:space="preserve"> </w:t>
      </w:r>
    </w:p>
    <w:p>
      <w:pPr>
        <w:pStyle w:val="Subsection"/>
        <w:spacing w:before="120"/>
        <w:rPr>
          <w:snapToGrid w:val="0"/>
        </w:rPr>
      </w:pPr>
      <w:r>
        <w:rPr>
          <w:snapToGrid w:val="0"/>
        </w:rPr>
        <w:tab/>
      </w:r>
      <w:r>
        <w:rPr>
          <w:snapToGrid w:val="0"/>
        </w:rPr>
        <w:tab/>
        <w:t>For the purposes of section 96(1) of the Act, the royalties specified in Schedule 3 are prescribed.</w:t>
      </w:r>
    </w:p>
    <w:p>
      <w:pPr>
        <w:pStyle w:val="Heading5"/>
        <w:spacing w:before="180"/>
        <w:rPr>
          <w:snapToGrid w:val="0"/>
        </w:rPr>
      </w:pPr>
      <w:bookmarkStart w:id="470" w:name="_Toc438372888"/>
      <w:bookmarkStart w:id="471" w:name="_Toc8188020"/>
      <w:bookmarkStart w:id="472" w:name="_Toc155068132"/>
      <w:r>
        <w:rPr>
          <w:rStyle w:val="CharSectno"/>
        </w:rPr>
        <w:t>143</w:t>
      </w:r>
      <w:r>
        <w:rPr>
          <w:snapToGrid w:val="0"/>
        </w:rPr>
        <w:t>.</w:t>
      </w:r>
      <w:r>
        <w:rPr>
          <w:snapToGrid w:val="0"/>
        </w:rPr>
        <w:tab/>
        <w:t>Rent payable for sawmill site</w:t>
      </w:r>
      <w:bookmarkEnd w:id="470"/>
      <w:bookmarkEnd w:id="471"/>
      <w:bookmarkEnd w:id="472"/>
      <w:r>
        <w:rPr>
          <w:snapToGrid w:val="0"/>
        </w:rPr>
        <w:t xml:space="preserve"> </w:t>
      </w:r>
    </w:p>
    <w:p>
      <w:pPr>
        <w:pStyle w:val="Subsection"/>
        <w:spacing w:before="120"/>
        <w:rPr>
          <w:snapToGrid w:val="0"/>
        </w:rPr>
      </w:pPr>
      <w:r>
        <w:rPr>
          <w:snapToGrid w:val="0"/>
        </w:rPr>
        <w:tab/>
      </w:r>
      <w:r>
        <w:rPr>
          <w:snapToGrid w:val="0"/>
        </w:rPr>
        <w:tab/>
        <w:t>The rent payable for a permit to occupy an area of Crown land as the site of a sawmill is $60 per annum per 5 hectares or part thereof.</w:t>
      </w:r>
    </w:p>
    <w:p>
      <w:pPr>
        <w:pStyle w:val="Heading5"/>
        <w:spacing w:before="180"/>
        <w:rPr>
          <w:snapToGrid w:val="0"/>
        </w:rPr>
      </w:pPr>
      <w:bookmarkStart w:id="473" w:name="_Toc438372889"/>
      <w:bookmarkStart w:id="474" w:name="_Toc8188021"/>
      <w:bookmarkStart w:id="475" w:name="_Toc155068133"/>
      <w:r>
        <w:rPr>
          <w:rStyle w:val="CharSectno"/>
        </w:rPr>
        <w:t>144</w:t>
      </w:r>
      <w:r>
        <w:rPr>
          <w:snapToGrid w:val="0"/>
        </w:rPr>
        <w:t>.</w:t>
      </w:r>
      <w:r>
        <w:rPr>
          <w:snapToGrid w:val="0"/>
        </w:rPr>
        <w:tab/>
        <w:t>False documents, statements, etc.</w:t>
      </w:r>
      <w:bookmarkEnd w:id="473"/>
      <w:bookmarkEnd w:id="474"/>
      <w:bookmarkEnd w:id="475"/>
      <w:r>
        <w:rPr>
          <w:snapToGrid w:val="0"/>
        </w:rPr>
        <w:t xml:space="preserve"> </w:t>
      </w:r>
    </w:p>
    <w:p>
      <w:pPr>
        <w:pStyle w:val="Subsection"/>
        <w:spacing w:before="120"/>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make any statement or representation, either orally or in writing that is false or misleading in a material particular; or</w:t>
      </w:r>
    </w:p>
    <w:p>
      <w:pPr>
        <w:pStyle w:val="Indenta"/>
        <w:rPr>
          <w:snapToGrid w:val="0"/>
        </w:rPr>
      </w:pPr>
      <w:r>
        <w:rPr>
          <w:snapToGrid w:val="0"/>
        </w:rPr>
        <w:tab/>
        <w:t>(b)</w:t>
      </w:r>
      <w:r>
        <w:rPr>
          <w:snapToGrid w:val="0"/>
        </w:rPr>
        <w:tab/>
        <w:t>produce any forged or counterfeit document,</w:t>
      </w:r>
    </w:p>
    <w:p>
      <w:pPr>
        <w:pStyle w:val="Subsection"/>
        <w:spacing w:before="120"/>
        <w:rPr>
          <w:snapToGrid w:val="0"/>
        </w:rPr>
      </w:pPr>
      <w:r>
        <w:rPr>
          <w:snapToGrid w:val="0"/>
        </w:rPr>
        <w:tab/>
      </w:r>
      <w:r>
        <w:rPr>
          <w:snapToGrid w:val="0"/>
        </w:rPr>
        <w:tab/>
        <w:t>for the purpose of procuring the registration under these regulations of that person or any other person, or of an identification code under Part 4 in respect of that person or any other person.</w:t>
      </w:r>
    </w:p>
    <w:p>
      <w:pPr>
        <w:pStyle w:val="Penstart"/>
        <w:rPr>
          <w:snapToGrid w:val="0"/>
        </w:rPr>
      </w:pPr>
      <w:r>
        <w:rPr>
          <w:snapToGrid w:val="0"/>
        </w:rPr>
        <w:tab/>
        <w:t>Penalty: $2 000.</w:t>
      </w:r>
    </w:p>
    <w:p>
      <w:pPr>
        <w:pStyle w:val="Heading5"/>
        <w:spacing w:before="180"/>
        <w:rPr>
          <w:snapToGrid w:val="0"/>
        </w:rPr>
      </w:pPr>
      <w:bookmarkStart w:id="476" w:name="_Toc438372890"/>
      <w:bookmarkStart w:id="477" w:name="_Toc8188022"/>
      <w:bookmarkStart w:id="478" w:name="_Toc155068134"/>
      <w:r>
        <w:rPr>
          <w:rStyle w:val="CharSectno"/>
        </w:rPr>
        <w:t>145</w:t>
      </w:r>
      <w:r>
        <w:rPr>
          <w:snapToGrid w:val="0"/>
        </w:rPr>
        <w:t>.</w:t>
      </w:r>
      <w:r>
        <w:rPr>
          <w:snapToGrid w:val="0"/>
        </w:rPr>
        <w:tab/>
        <w:t>Form of register</w:t>
      </w:r>
      <w:bookmarkEnd w:id="476"/>
      <w:bookmarkEnd w:id="477"/>
      <w:bookmarkEnd w:id="478"/>
      <w:r>
        <w:rPr>
          <w:snapToGrid w:val="0"/>
        </w:rPr>
        <w:t xml:space="preserve"> </w:t>
      </w:r>
    </w:p>
    <w:p>
      <w:pPr>
        <w:pStyle w:val="Subsection"/>
        <w:spacing w:before="120"/>
        <w:rPr>
          <w:snapToGrid w:val="0"/>
        </w:rPr>
      </w:pPr>
      <w:r>
        <w:rPr>
          <w:snapToGrid w:val="0"/>
        </w:rPr>
        <w:tab/>
      </w:r>
      <w:r>
        <w:rPr>
          <w:snapToGrid w:val="0"/>
        </w:rPr>
        <w:tab/>
        <w:t>Where under these regulations a register is required to be compiled and maintained, the register may be kept or prepared — </w:t>
      </w:r>
    </w:p>
    <w:p>
      <w:pPr>
        <w:pStyle w:val="Indenta"/>
        <w:rPr>
          <w:snapToGrid w:val="0"/>
        </w:rPr>
      </w:pPr>
      <w:r>
        <w:rPr>
          <w:snapToGrid w:val="0"/>
        </w:rPr>
        <w:tab/>
        <w:t>(a)</w:t>
      </w:r>
      <w:r>
        <w:rPr>
          <w:snapToGrid w:val="0"/>
        </w:rPr>
        <w:tab/>
        <w:t>by making entries in or on a bound or loose leaf book; or</w:t>
      </w:r>
    </w:p>
    <w:p>
      <w:pPr>
        <w:pStyle w:val="Indenta"/>
        <w:rPr>
          <w:snapToGrid w:val="0"/>
        </w:rPr>
      </w:pPr>
      <w:r>
        <w:rPr>
          <w:snapToGrid w:val="0"/>
        </w:rPr>
        <w:tab/>
        <w:t>(b)</w:t>
      </w:r>
      <w:r>
        <w:rPr>
          <w:snapToGrid w:val="0"/>
        </w:rPr>
        <w:tab/>
        <w:t>by recording or storing the required particulars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Heading5"/>
        <w:rPr>
          <w:snapToGrid w:val="0"/>
        </w:rPr>
      </w:pPr>
      <w:bookmarkStart w:id="479" w:name="_Toc438372891"/>
      <w:bookmarkStart w:id="480" w:name="_Toc8188023"/>
      <w:bookmarkStart w:id="481" w:name="_Toc155068135"/>
      <w:r>
        <w:rPr>
          <w:rStyle w:val="CharSectno"/>
        </w:rPr>
        <w:t>146</w:t>
      </w:r>
      <w:r>
        <w:rPr>
          <w:snapToGrid w:val="0"/>
        </w:rPr>
        <w:t>.</w:t>
      </w:r>
      <w:r>
        <w:rPr>
          <w:snapToGrid w:val="0"/>
        </w:rPr>
        <w:tab/>
        <w:t>Amendment of register</w:t>
      </w:r>
      <w:bookmarkEnd w:id="479"/>
      <w:bookmarkEnd w:id="480"/>
      <w:bookmarkEnd w:id="481"/>
      <w:r>
        <w:rPr>
          <w:snapToGrid w:val="0"/>
        </w:rPr>
        <w:t xml:space="preserve"> </w:t>
      </w:r>
    </w:p>
    <w:p>
      <w:pPr>
        <w:pStyle w:val="Subsection"/>
        <w:spacing w:before="120"/>
        <w:rPr>
          <w:snapToGrid w:val="0"/>
          <w:spacing w:val="-4"/>
        </w:rPr>
      </w:pPr>
      <w:r>
        <w:rPr>
          <w:snapToGrid w:val="0"/>
          <w:spacing w:val="-4"/>
        </w:rPr>
        <w:tab/>
      </w:r>
      <w:r>
        <w:rPr>
          <w:snapToGrid w:val="0"/>
          <w:spacing w:val="-4"/>
        </w:rPr>
        <w:tab/>
        <w:t>Where under these regulations a register is required to be compiled and maintained, the register may be amended, added to and corrected in such manner as may be necessary to make the register an accurate record of the particulars contained in the register.</w:t>
      </w:r>
    </w:p>
    <w:p>
      <w:pPr>
        <w:pStyle w:val="Heading5"/>
        <w:rPr>
          <w:snapToGrid w:val="0"/>
        </w:rPr>
      </w:pPr>
      <w:bookmarkStart w:id="482" w:name="_Toc438372892"/>
      <w:bookmarkStart w:id="483" w:name="_Toc8188024"/>
      <w:bookmarkStart w:id="484" w:name="_Toc155068136"/>
      <w:r>
        <w:rPr>
          <w:rStyle w:val="CharSectno"/>
        </w:rPr>
        <w:t>147</w:t>
      </w:r>
      <w:r>
        <w:rPr>
          <w:snapToGrid w:val="0"/>
        </w:rPr>
        <w:t>.</w:t>
      </w:r>
      <w:r>
        <w:rPr>
          <w:snapToGrid w:val="0"/>
        </w:rPr>
        <w:tab/>
        <w:t>Extracts from register</w:t>
      </w:r>
      <w:bookmarkEnd w:id="482"/>
      <w:bookmarkEnd w:id="483"/>
      <w:bookmarkEnd w:id="484"/>
      <w:r>
        <w:rPr>
          <w:snapToGrid w:val="0"/>
        </w:rPr>
        <w:t xml:space="preserve"> </w:t>
      </w:r>
    </w:p>
    <w:p>
      <w:pPr>
        <w:pStyle w:val="Subsection"/>
        <w:rPr>
          <w:snapToGrid w:val="0"/>
        </w:rPr>
      </w:pPr>
      <w:r>
        <w:rPr>
          <w:snapToGrid w:val="0"/>
        </w:rPr>
        <w:tab/>
      </w:r>
      <w:r>
        <w:rPr>
          <w:snapToGrid w:val="0"/>
        </w:rPr>
        <w:tab/>
        <w:t>A person may, upon application to the Executive Director and payment of the fee specified in item 4 of Schedule 5, obtain a copy of an extract from any register required to be compiled and maintained under these regulations.</w:t>
      </w:r>
    </w:p>
    <w:p>
      <w:pPr>
        <w:pStyle w:val="Heading5"/>
        <w:rPr>
          <w:snapToGrid w:val="0"/>
        </w:rPr>
      </w:pPr>
      <w:bookmarkStart w:id="485" w:name="_Toc438372893"/>
      <w:bookmarkStart w:id="486" w:name="_Toc8188025"/>
      <w:bookmarkStart w:id="487" w:name="_Toc155068137"/>
      <w:r>
        <w:rPr>
          <w:rStyle w:val="CharSectno"/>
        </w:rPr>
        <w:t>148</w:t>
      </w:r>
      <w:r>
        <w:rPr>
          <w:snapToGrid w:val="0"/>
        </w:rPr>
        <w:t>.</w:t>
      </w:r>
      <w:r>
        <w:rPr>
          <w:snapToGrid w:val="0"/>
        </w:rPr>
        <w:tab/>
        <w:t>Information to be provided relating to specific permits, licences and contracts</w:t>
      </w:r>
      <w:bookmarkEnd w:id="485"/>
      <w:bookmarkEnd w:id="486"/>
      <w:bookmarkEnd w:id="487"/>
      <w:r>
        <w:rPr>
          <w:snapToGrid w:val="0"/>
        </w:rPr>
        <w:t xml:space="preserve"> </w:t>
      </w:r>
    </w:p>
    <w:p>
      <w:pPr>
        <w:pStyle w:val="Subsection"/>
        <w:rPr>
          <w:snapToGrid w:val="0"/>
        </w:rPr>
      </w:pPr>
      <w:r>
        <w:rPr>
          <w:snapToGrid w:val="0"/>
        </w:rPr>
        <w:tab/>
      </w:r>
      <w:r>
        <w:rPr>
          <w:snapToGrid w:val="0"/>
        </w:rPr>
        <w:tab/>
        <w:t>Upon application and payment of the fee, if any, specified in item 4 of Schedule 5 the Executive Director shall provide any person with — </w:t>
      </w:r>
    </w:p>
    <w:p>
      <w:pPr>
        <w:pStyle w:val="Indenta"/>
        <w:rPr>
          <w:snapToGrid w:val="0"/>
        </w:rPr>
      </w:pPr>
      <w:r>
        <w:rPr>
          <w:snapToGrid w:val="0"/>
        </w:rPr>
        <w:tab/>
        <w:t>(a)</w:t>
      </w:r>
      <w:r>
        <w:rPr>
          <w:snapToGrid w:val="0"/>
        </w:rPr>
        <w:tab/>
        <w:t>details of persons who hold permits, forest produce licences, contracts to harvest and deliver or contracts of sale;</w:t>
      </w:r>
    </w:p>
    <w:p>
      <w:pPr>
        <w:pStyle w:val="Indenta"/>
        <w:rPr>
          <w:snapToGrid w:val="0"/>
        </w:rPr>
      </w:pPr>
      <w:r>
        <w:rPr>
          <w:snapToGrid w:val="0"/>
        </w:rPr>
        <w:tab/>
        <w:t>(b)</w:t>
      </w:r>
      <w:r>
        <w:rPr>
          <w:snapToGrid w:val="0"/>
        </w:rPr>
        <w:tab/>
        <w:t>in respect of any permit, forest produce licence or contract referred to in paragraph (a), details of any fees, charges and royalties payable, log allocation, location of coupes and any conditions and limitations to which the contract, forest produce licence or permit is subject; and</w:t>
      </w:r>
    </w:p>
    <w:p>
      <w:pPr>
        <w:pStyle w:val="Indenta"/>
        <w:rPr>
          <w:snapToGrid w:val="0"/>
        </w:rPr>
      </w:pPr>
      <w:r>
        <w:rPr>
          <w:snapToGrid w:val="0"/>
        </w:rPr>
        <w:tab/>
        <w:t>(c)</w:t>
      </w:r>
      <w:r>
        <w:rPr>
          <w:snapToGrid w:val="0"/>
        </w:rPr>
        <w:tab/>
        <w:t>a copy of any permit, forest produce licence or contract referred to in paragraph (a).</w:t>
      </w:r>
    </w:p>
    <w:p>
      <w:pPr>
        <w:pStyle w:val="Heading5"/>
        <w:rPr>
          <w:snapToGrid w:val="0"/>
        </w:rPr>
      </w:pPr>
      <w:bookmarkStart w:id="488" w:name="_Toc438372894"/>
      <w:bookmarkStart w:id="489" w:name="_Toc8188026"/>
      <w:bookmarkStart w:id="490" w:name="_Toc155068138"/>
      <w:r>
        <w:rPr>
          <w:rStyle w:val="CharSectno"/>
        </w:rPr>
        <w:t>149</w:t>
      </w:r>
      <w:r>
        <w:rPr>
          <w:snapToGrid w:val="0"/>
        </w:rPr>
        <w:t>.</w:t>
      </w:r>
      <w:r>
        <w:rPr>
          <w:snapToGrid w:val="0"/>
        </w:rPr>
        <w:tab/>
        <w:t>Information to be provided relating to general scale of royalties</w:t>
      </w:r>
      <w:bookmarkEnd w:id="488"/>
      <w:bookmarkEnd w:id="489"/>
      <w:bookmarkEnd w:id="490"/>
      <w:r>
        <w:rPr>
          <w:snapToGrid w:val="0"/>
        </w:rPr>
        <w:t xml:space="preserve"> </w:t>
      </w:r>
    </w:p>
    <w:p>
      <w:pPr>
        <w:pStyle w:val="Subsection"/>
        <w:rPr>
          <w:snapToGrid w:val="0"/>
        </w:rPr>
      </w:pPr>
      <w:r>
        <w:rPr>
          <w:snapToGrid w:val="0"/>
        </w:rPr>
        <w:tab/>
      </w:r>
      <w:r>
        <w:rPr>
          <w:snapToGrid w:val="0"/>
        </w:rPr>
        <w:tab/>
        <w:t>Upon application, the Executive Director shall provide any person free of charge with a list of the general scale of royalties payable in respect of forest produce taken from Crown land.</w:t>
      </w:r>
    </w:p>
    <w:p>
      <w:pPr>
        <w:pStyle w:val="Ednotesection"/>
      </w:pPr>
      <w:r>
        <w:t>[</w:t>
      </w:r>
      <w:r>
        <w:rPr>
          <w:b/>
        </w:rPr>
        <w:t>150.</w:t>
      </w:r>
      <w:r>
        <w:rPr>
          <w:b/>
        </w:rPr>
        <w:tab/>
      </w:r>
      <w:r>
        <w:t xml:space="preserve">Deleted in Gazette 29 March 1996 p.1508.] </w:t>
      </w:r>
    </w:p>
    <w:p>
      <w:pPr>
        <w:pStyle w:val="Heading5"/>
        <w:rPr>
          <w:snapToGrid w:val="0"/>
        </w:rPr>
      </w:pPr>
      <w:bookmarkStart w:id="491" w:name="_Toc438372895"/>
      <w:bookmarkStart w:id="492" w:name="_Toc8188027"/>
      <w:bookmarkStart w:id="493" w:name="_Toc155068139"/>
      <w:r>
        <w:rPr>
          <w:rStyle w:val="CharSectno"/>
        </w:rPr>
        <w:t>151</w:t>
      </w:r>
      <w:r>
        <w:rPr>
          <w:snapToGrid w:val="0"/>
        </w:rPr>
        <w:t>.</w:t>
      </w:r>
      <w:r>
        <w:rPr>
          <w:snapToGrid w:val="0"/>
        </w:rPr>
        <w:tab/>
        <w:t>Miscellaneous fees</w:t>
      </w:r>
      <w:bookmarkEnd w:id="491"/>
      <w:bookmarkEnd w:id="492"/>
      <w:bookmarkEnd w:id="493"/>
      <w:r>
        <w:rPr>
          <w:snapToGrid w:val="0"/>
        </w:rPr>
        <w:t xml:space="preserve"> </w:t>
      </w:r>
    </w:p>
    <w:p>
      <w:pPr>
        <w:pStyle w:val="Subsection"/>
        <w:rPr>
          <w:snapToGrid w:val="0"/>
        </w:rPr>
      </w:pPr>
      <w:r>
        <w:rPr>
          <w:snapToGrid w:val="0"/>
        </w:rPr>
        <w:tab/>
      </w:r>
      <w:r>
        <w:rPr>
          <w:snapToGrid w:val="0"/>
        </w:rPr>
        <w:tab/>
        <w:t>The fees specified in column 2 of Schedule 5 are payable in respect of the services specified in column 1 of that Schedule.</w:t>
      </w:r>
    </w:p>
    <w:p>
      <w:pPr>
        <w:pStyle w:val="Heading5"/>
        <w:rPr>
          <w:snapToGrid w:val="0"/>
        </w:rPr>
      </w:pPr>
      <w:bookmarkStart w:id="494" w:name="_Toc438372896"/>
      <w:bookmarkStart w:id="495" w:name="_Toc8188028"/>
      <w:bookmarkStart w:id="496" w:name="_Toc155068140"/>
      <w:r>
        <w:rPr>
          <w:rStyle w:val="CharSectno"/>
        </w:rPr>
        <w:t>152</w:t>
      </w:r>
      <w:r>
        <w:rPr>
          <w:snapToGrid w:val="0"/>
        </w:rPr>
        <w:t>.</w:t>
      </w:r>
      <w:r>
        <w:rPr>
          <w:snapToGrid w:val="0"/>
        </w:rPr>
        <w:tab/>
        <w:t>Appeals</w:t>
      </w:r>
      <w:bookmarkEnd w:id="494"/>
      <w:bookmarkEnd w:id="495"/>
      <w:bookmarkEnd w:id="496"/>
      <w:r>
        <w:rPr>
          <w:snapToGrid w:val="0"/>
        </w:rPr>
        <w:t xml:space="preserve"> </w:t>
      </w:r>
    </w:p>
    <w:p>
      <w:pPr>
        <w:pStyle w:val="Subsection"/>
        <w:rPr>
          <w:snapToGrid w:val="0"/>
        </w:rPr>
      </w:pPr>
      <w:r>
        <w:rPr>
          <w:snapToGrid w:val="0"/>
        </w:rPr>
        <w:tab/>
        <w:t>(1)</w:t>
      </w:r>
      <w:r>
        <w:rPr>
          <w:snapToGrid w:val="0"/>
        </w:rPr>
        <w:tab/>
        <w:t>A person who is aggrieved by a decision of the Executive Director under regulation 9(2), 17, or 26 may within one month after the day on which the person is notified of the decision appeal from that decision to a magistrate of the appropriate Local Court.</w:t>
      </w:r>
    </w:p>
    <w:p>
      <w:pPr>
        <w:pStyle w:val="Subsection"/>
        <w:rPr>
          <w:snapToGrid w:val="0"/>
        </w:rPr>
      </w:pPr>
      <w:r>
        <w:rPr>
          <w:snapToGrid w:val="0"/>
        </w:rPr>
        <w:tab/>
        <w:t>(2)</w:t>
      </w:r>
      <w:r>
        <w:rPr>
          <w:snapToGrid w:val="0"/>
        </w:rPr>
        <w:tab/>
        <w:t>A Local Court is appropriate for the purposes of this regulation if it is the nearest Local Court to the place where the appellant resides or is agreed in writing between the appellant and the Executive Director to be a suitable venue.</w:t>
      </w:r>
    </w:p>
    <w:p>
      <w:pPr>
        <w:pStyle w:val="Subsection"/>
        <w:rPr>
          <w:snapToGrid w:val="0"/>
        </w:rPr>
      </w:pPr>
      <w:r>
        <w:rPr>
          <w:snapToGrid w:val="0"/>
        </w:rPr>
        <w:tab/>
        <w:t>(3)</w:t>
      </w:r>
      <w:r>
        <w:rPr>
          <w:snapToGrid w:val="0"/>
        </w:rPr>
        <w:tab/>
        <w:t>An appeal under subregulation (1) is commenced by the appellant — </w:t>
      </w:r>
    </w:p>
    <w:p>
      <w:pPr>
        <w:pStyle w:val="Indenta"/>
        <w:rPr>
          <w:snapToGrid w:val="0"/>
        </w:rPr>
      </w:pPr>
      <w:r>
        <w:rPr>
          <w:snapToGrid w:val="0"/>
        </w:rPr>
        <w:tab/>
        <w:t>(a)</w:t>
      </w:r>
      <w:r>
        <w:rPr>
          <w:snapToGrid w:val="0"/>
        </w:rPr>
        <w:tab/>
        <w:t>lodging a notice of appeal specifying the grounds of appeal with the clerk of the appropriate Local Court; and</w:t>
      </w:r>
    </w:p>
    <w:p>
      <w:pPr>
        <w:pStyle w:val="Indenta"/>
        <w:rPr>
          <w:snapToGrid w:val="0"/>
        </w:rPr>
      </w:pPr>
      <w:r>
        <w:rPr>
          <w:snapToGrid w:val="0"/>
        </w:rPr>
        <w:tab/>
        <w:t>(b)</w:t>
      </w:r>
      <w:r>
        <w:rPr>
          <w:snapToGrid w:val="0"/>
        </w:rPr>
        <w:tab/>
        <w:t>serving a copy of the notice on the Executive Director.</w:t>
      </w:r>
    </w:p>
    <w:p>
      <w:pPr>
        <w:pStyle w:val="Subsection"/>
        <w:rPr>
          <w:snapToGrid w:val="0"/>
        </w:rPr>
      </w:pPr>
      <w:r>
        <w:rPr>
          <w:snapToGrid w:val="0"/>
        </w:rPr>
        <w:tab/>
        <w:t>(4)</w:t>
      </w:r>
      <w:r>
        <w:rPr>
          <w:snapToGrid w:val="0"/>
        </w:rPr>
        <w:tab/>
        <w:t>The operation of the decision to which the appeal relates is not affected by the commencement of an appeal unless a magistrate of the appropriate Local Court, on application by the appellant, orders that the decision be suspended until the appeal is determined or discontinued.</w:t>
      </w:r>
    </w:p>
    <w:p>
      <w:pPr>
        <w:pStyle w:val="Subsection"/>
        <w:rPr>
          <w:snapToGrid w:val="0"/>
        </w:rPr>
      </w:pPr>
      <w:r>
        <w:rPr>
          <w:snapToGrid w:val="0"/>
        </w:rPr>
        <w:tab/>
        <w:t>(5)</w:t>
      </w:r>
      <w:r>
        <w:rPr>
          <w:snapToGrid w:val="0"/>
        </w:rPr>
        <w:tab/>
        <w:t>The magistrate shall determine the appeal — </w:t>
      </w:r>
    </w:p>
    <w:p>
      <w:pPr>
        <w:pStyle w:val="Indenta"/>
        <w:rPr>
          <w:snapToGrid w:val="0"/>
        </w:rPr>
      </w:pPr>
      <w:r>
        <w:rPr>
          <w:snapToGrid w:val="0"/>
        </w:rPr>
        <w:tab/>
        <w:t>(a)</w:t>
      </w:r>
      <w:r>
        <w:rPr>
          <w:snapToGrid w:val="0"/>
        </w:rPr>
        <w:tab/>
        <w:t>on the material that was before the Executive Director; and</w:t>
      </w:r>
    </w:p>
    <w:p>
      <w:pPr>
        <w:pStyle w:val="Indenta"/>
        <w:rPr>
          <w:snapToGrid w:val="0"/>
        </w:rPr>
      </w:pPr>
      <w:r>
        <w:rPr>
          <w:snapToGrid w:val="0"/>
        </w:rPr>
        <w:tab/>
        <w:t>(b)</w:t>
      </w:r>
      <w:r>
        <w:rPr>
          <w:snapToGrid w:val="0"/>
        </w:rPr>
        <w:tab/>
        <w:t>on such further evidence either oral or by affidavit as the magistrate thinks fit to receive.</w:t>
      </w:r>
    </w:p>
    <w:p>
      <w:pPr>
        <w:pStyle w:val="Subsection"/>
        <w:rPr>
          <w:snapToGrid w:val="0"/>
        </w:rPr>
      </w:pPr>
      <w:r>
        <w:rPr>
          <w:snapToGrid w:val="0"/>
        </w:rPr>
        <w:tab/>
        <w:t>(6)</w:t>
      </w:r>
      <w:r>
        <w:rPr>
          <w:snapToGrid w:val="0"/>
        </w:rPr>
        <w:tab/>
        <w:t>For the purposes of subregulation (5), the magistrate may ascertain what material was before the Executive Director on such evidence, statement or record of what occurred before the Executive Director as the magistrate considers sufficient.</w:t>
      </w:r>
    </w:p>
    <w:p>
      <w:pPr>
        <w:pStyle w:val="Subsection"/>
        <w:keepNext/>
        <w:keepLines/>
        <w:rPr>
          <w:snapToGrid w:val="0"/>
        </w:rPr>
      </w:pPr>
      <w:r>
        <w:rPr>
          <w:snapToGrid w:val="0"/>
        </w:rPr>
        <w:tab/>
        <w:t>(7)</w:t>
      </w:r>
      <w:r>
        <w:rPr>
          <w:snapToGrid w:val="0"/>
        </w:rPr>
        <w:tab/>
        <w:t xml:space="preserve">Subject to this regulation and any direction of a magistrate, the </w:t>
      </w:r>
      <w:r>
        <w:rPr>
          <w:i/>
          <w:snapToGrid w:val="0"/>
        </w:rPr>
        <w:t>Local Courts Act 1904</w:t>
      </w:r>
      <w:r>
        <w:rPr>
          <w:snapToGrid w:val="0"/>
        </w:rPr>
        <w:t xml:space="preserve"> applies, with all necessary modifications, to an appeal under this regulation as if it were an action within the meaning of that Act.</w:t>
      </w:r>
    </w:p>
    <w:p>
      <w:pPr>
        <w:pStyle w:val="Subsection"/>
        <w:rPr>
          <w:snapToGrid w:val="0"/>
        </w:rPr>
      </w:pPr>
      <w:r>
        <w:rPr>
          <w:snapToGrid w:val="0"/>
        </w:rPr>
        <w:tab/>
        <w:t>(8)</w:t>
      </w:r>
      <w:r>
        <w:rPr>
          <w:snapToGrid w:val="0"/>
        </w:rPr>
        <w:tab/>
        <w:t>On the hearing of an appeal under this regulation, the magistrate may — </w:t>
      </w:r>
    </w:p>
    <w:p>
      <w:pPr>
        <w:pStyle w:val="Indenta"/>
        <w:rPr>
          <w:snapToGrid w:val="0"/>
        </w:rPr>
      </w:pPr>
      <w:r>
        <w:rPr>
          <w:snapToGrid w:val="0"/>
        </w:rPr>
        <w:tab/>
        <w:t>(a)</w:t>
      </w:r>
      <w:r>
        <w:rPr>
          <w:snapToGrid w:val="0"/>
        </w:rPr>
        <w:tab/>
        <w:t>confirm, quash or vary the decision of the Executive Director or substitute his or her own decision for that of the Executive Director; and</w:t>
      </w:r>
    </w:p>
    <w:p>
      <w:pPr>
        <w:pStyle w:val="Indenta"/>
        <w:rPr>
          <w:snapToGrid w:val="0"/>
        </w:rPr>
      </w:pPr>
      <w:r>
        <w:rPr>
          <w:snapToGrid w:val="0"/>
        </w:rPr>
        <w:tab/>
        <w:t>(b)</w:t>
      </w:r>
      <w:r>
        <w:rPr>
          <w:snapToGrid w:val="0"/>
        </w:rPr>
        <w:tab/>
        <w:t>make any other order as to costs or otherwise.</w:t>
      </w:r>
    </w:p>
    <w:p>
      <w:pPr>
        <w:pStyle w:val="Subsection"/>
        <w:rPr>
          <w:snapToGrid w:val="0"/>
        </w:rPr>
      </w:pPr>
      <w:r>
        <w:rPr>
          <w:snapToGrid w:val="0"/>
        </w:rPr>
        <w:tab/>
        <w:t>(9)</w:t>
      </w:r>
      <w:r>
        <w:rPr>
          <w:snapToGrid w:val="0"/>
        </w:rPr>
        <w:tab/>
        <w:t>The Executive Director shall give effect to the decision of a magistrate in an appeal under this regulation.</w:t>
      </w:r>
    </w:p>
    <w:p>
      <w:pPr>
        <w:pStyle w:val="Subsection"/>
        <w:rPr>
          <w:snapToGrid w:val="0"/>
        </w:rPr>
      </w:pPr>
      <w:r>
        <w:rPr>
          <w:snapToGrid w:val="0"/>
        </w:rPr>
        <w:tab/>
        <w:t>(10)</w:t>
      </w:r>
      <w:r>
        <w:rPr>
          <w:snapToGrid w:val="0"/>
        </w:rPr>
        <w:tab/>
        <w:t>Where under this regulation a magistrate varies a decision of the Executive Director or substitutes a decision for that of the Executive Director, the decision of the magistrate has effect for the purposes of these regulations as if it were a decision of the Executive Director.</w:t>
      </w:r>
    </w:p>
    <w:p>
      <w:pPr>
        <w:pStyle w:val="Heading5"/>
        <w:rPr>
          <w:snapToGrid w:val="0"/>
        </w:rPr>
      </w:pPr>
      <w:bookmarkStart w:id="497" w:name="_Toc438372897"/>
      <w:bookmarkStart w:id="498" w:name="_Toc8188029"/>
      <w:bookmarkStart w:id="499" w:name="_Toc155068141"/>
      <w:r>
        <w:rPr>
          <w:rStyle w:val="CharSectno"/>
        </w:rPr>
        <w:t>153</w:t>
      </w:r>
      <w:r>
        <w:rPr>
          <w:snapToGrid w:val="0"/>
        </w:rPr>
        <w:t>.</w:t>
      </w:r>
      <w:r>
        <w:rPr>
          <w:snapToGrid w:val="0"/>
        </w:rPr>
        <w:tab/>
        <w:t>Repeal</w:t>
      </w:r>
      <w:bookmarkEnd w:id="497"/>
      <w:bookmarkEnd w:id="498"/>
      <w:bookmarkEnd w:id="499"/>
      <w:r>
        <w:rPr>
          <w:snapToGrid w:val="0"/>
        </w:rPr>
        <w:t xml:space="preserve"> </w:t>
      </w:r>
    </w:p>
    <w:p>
      <w:pPr>
        <w:pStyle w:val="Subsection"/>
        <w:keepNext/>
        <w:rPr>
          <w:snapToGrid w:val="0"/>
        </w:rPr>
      </w:pPr>
      <w:r>
        <w:rPr>
          <w:snapToGrid w:val="0"/>
        </w:rPr>
        <w:tab/>
        <w:t>(1)</w:t>
      </w:r>
      <w:r>
        <w:rPr>
          <w:snapToGrid w:val="0"/>
        </w:rPr>
        <w:tab/>
        <w:t xml:space="preserve">The </w:t>
      </w:r>
      <w:r>
        <w:rPr>
          <w:i/>
          <w:snapToGrid w:val="0"/>
        </w:rPr>
        <w:t>Forest Regulations 1957</w:t>
      </w:r>
      <w:r>
        <w:rPr>
          <w:snapToGrid w:val="0"/>
        </w:rPr>
        <w:t xml:space="preserve"> are repealed.</w:t>
      </w:r>
    </w:p>
    <w:p>
      <w:pPr>
        <w:pStyle w:val="Subsection"/>
        <w:rPr>
          <w:snapToGrid w:val="0"/>
        </w:rPr>
      </w:pPr>
      <w:r>
        <w:rPr>
          <w:snapToGrid w:val="0"/>
        </w:rPr>
        <w:tab/>
        <w:t>(2)</w:t>
      </w:r>
      <w:r>
        <w:rPr>
          <w:snapToGrid w:val="0"/>
        </w:rPr>
        <w:tab/>
        <w:t xml:space="preserve">The </w:t>
      </w:r>
      <w:r>
        <w:rPr>
          <w:i/>
          <w:snapToGrid w:val="0"/>
        </w:rPr>
        <w:t>Forest Diseases Regulations 1975</w:t>
      </w:r>
      <w:r>
        <w:rPr>
          <w:snapToGrid w:val="0"/>
        </w:rPr>
        <w:t xml:space="preserve"> are repealed.</w:t>
      </w:r>
    </w:p>
    <w:p>
      <w:pPr>
        <w:pStyle w:val="Heading5"/>
        <w:rPr>
          <w:snapToGrid w:val="0"/>
        </w:rPr>
      </w:pPr>
      <w:bookmarkStart w:id="500" w:name="_Toc438372898"/>
      <w:bookmarkStart w:id="501" w:name="_Toc8188030"/>
      <w:bookmarkStart w:id="502" w:name="_Toc155068142"/>
      <w:r>
        <w:rPr>
          <w:rStyle w:val="CharSectno"/>
        </w:rPr>
        <w:t>154</w:t>
      </w:r>
      <w:r>
        <w:rPr>
          <w:snapToGrid w:val="0"/>
        </w:rPr>
        <w:t>.</w:t>
      </w:r>
      <w:r>
        <w:rPr>
          <w:snapToGrid w:val="0"/>
        </w:rPr>
        <w:tab/>
        <w:t>Transitional</w:t>
      </w:r>
      <w:bookmarkEnd w:id="500"/>
      <w:bookmarkEnd w:id="501"/>
      <w:bookmarkEnd w:id="502"/>
      <w:r>
        <w:rPr>
          <w:snapToGrid w:val="0"/>
        </w:rPr>
        <w:t xml:space="preserve"> </w:t>
      </w:r>
    </w:p>
    <w:p>
      <w:pPr>
        <w:pStyle w:val="Subsection"/>
        <w:rPr>
          <w:snapToGrid w:val="0"/>
        </w:rPr>
      </w:pPr>
      <w:r>
        <w:rPr>
          <w:snapToGrid w:val="0"/>
        </w:rPr>
        <w:tab/>
      </w:r>
      <w:r>
        <w:rPr>
          <w:snapToGrid w:val="0"/>
        </w:rPr>
        <w:tab/>
        <w:t>Schedule 6 has effect with respect to transitional arrangements.</w:t>
      </w:r>
    </w:p>
    <w:p>
      <w:pPr>
        <w:sectPr>
          <w:headerReference w:type="even" r:id="rId38"/>
          <w:headerReference w:type="default" r:id="rId39"/>
          <w:footerReference w:type="even" r:id="rId40"/>
          <w:footerReference w:type="default" r:id="rId41"/>
          <w:headerReference w:type="first" r:id="rId42"/>
          <w:footerReference w:type="first" r:id="rId43"/>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03" w:name="_Toc155068143"/>
      <w:r>
        <w:rPr>
          <w:rStyle w:val="CharSchNo"/>
        </w:rPr>
        <w:t>Schedule 1</w:t>
      </w:r>
      <w:bookmarkEnd w:id="503"/>
    </w:p>
    <w:p>
      <w:pPr>
        <w:pStyle w:val="yShoulderClause"/>
        <w:rPr>
          <w:snapToGrid w:val="0"/>
        </w:rPr>
      </w:pPr>
      <w:r>
        <w:rPr>
          <w:snapToGrid w:val="0"/>
        </w:rPr>
        <w:t>[Regulation 56]</w:t>
      </w:r>
    </w:p>
    <w:p>
      <w:pPr>
        <w:pStyle w:val="MiscellaneousHeading"/>
        <w:outlineLvl w:val="0"/>
        <w:rPr>
          <w:b/>
          <w:snapToGrid w:val="0"/>
          <w:sz w:val="28"/>
        </w:rPr>
      </w:pPr>
      <w:r>
        <w:rPr>
          <w:b/>
          <w:snapToGrid w:val="0"/>
          <w:sz w:val="28"/>
        </w:rPr>
        <w:t>Procedures for the determination of log timber quantity</w:t>
      </w:r>
    </w:p>
    <w:p>
      <w:pPr>
        <w:pStyle w:val="yHeading2"/>
      </w:pPr>
      <w:bookmarkStart w:id="504" w:name="_Toc155068144"/>
      <w:r>
        <w:t>Part A — Determination of volume of hardwood log timber by individual log measurement</w:t>
      </w:r>
      <w:bookmarkEnd w:id="504"/>
    </w:p>
    <w:p>
      <w:pPr>
        <w:pStyle w:val="yHeading5"/>
        <w:outlineLvl w:val="9"/>
        <w:rPr>
          <w:snapToGrid w:val="0"/>
        </w:rPr>
      </w:pPr>
    </w:p>
    <w:p>
      <w:pPr>
        <w:pStyle w:val="ySubsection"/>
        <w:rPr>
          <w:snapToGrid w:val="0"/>
        </w:rPr>
      </w:pPr>
      <w:r>
        <w:rPr>
          <w:snapToGrid w:val="0"/>
        </w:rPr>
        <w:tab/>
      </w:r>
      <w:r>
        <w:rPr>
          <w:snapToGrid w:val="0"/>
        </w:rPr>
        <w:tab/>
        <w:t>For the purpose of determining the volume of hardwood log timber by individual log measurement the following provisions shall be complied with — </w:t>
      </w:r>
    </w:p>
    <w:p>
      <w:pPr>
        <w:pStyle w:val="yHeading5"/>
        <w:outlineLvl w:val="9"/>
        <w:rPr>
          <w:snapToGrid w:val="0"/>
        </w:rPr>
      </w:pPr>
      <w:bookmarkStart w:id="505" w:name="_Toc155068145"/>
      <w:r>
        <w:rPr>
          <w:snapToGrid w:val="0"/>
        </w:rPr>
        <w:t>1.</w:t>
      </w:r>
      <w:r>
        <w:rPr>
          <w:snapToGrid w:val="0"/>
        </w:rPr>
        <w:tab/>
        <w:t>Length measurement</w:t>
      </w:r>
      <w:bookmarkEnd w:id="505"/>
    </w:p>
    <w:p>
      <w:pPr>
        <w:pStyle w:val="ySubsection"/>
        <w:rPr>
          <w:snapToGrid w:val="0"/>
        </w:rPr>
      </w:pPr>
      <w:r>
        <w:rPr>
          <w:snapToGrid w:val="0"/>
        </w:rPr>
        <w:tab/>
      </w:r>
      <w:r>
        <w:rPr>
          <w:snapToGrid w:val="0"/>
        </w:rPr>
        <w:tab/>
        <w:t>The length of butt logs shall be measured with a length measuring tape from the top of the sloven to the sawcut at the crown end of the log and the length of other logs shall be measured from sawcut to sawcut.</w:t>
      </w:r>
    </w:p>
    <w:p>
      <w:pPr>
        <w:pStyle w:val="ySubsection"/>
        <w:rPr>
          <w:snapToGrid w:val="0"/>
        </w:rPr>
      </w:pPr>
      <w:r>
        <w:rPr>
          <w:snapToGrid w:val="0"/>
        </w:rPr>
        <w:tab/>
      </w:r>
      <w:r>
        <w:rPr>
          <w:snapToGrid w:val="0"/>
        </w:rPr>
        <w:tab/>
        <w:t>The measurement shall be entered on the log delivery note in metres and tenths of metres, rounded down to the nearest tenth metre.</w:t>
      </w:r>
    </w:p>
    <w:p>
      <w:pPr>
        <w:pStyle w:val="yMiscellaneousHeading"/>
        <w:rPr>
          <w:b/>
          <w:bCs/>
          <w:snapToGrid w:val="0"/>
        </w:rPr>
      </w:pPr>
    </w:p>
    <w:tbl>
      <w:tblPr>
        <w:tblW w:w="0" w:type="auto"/>
        <w:tblInd w:w="992" w:type="dxa"/>
        <w:tblLayout w:type="fixed"/>
        <w:tblCellMar>
          <w:left w:w="141" w:type="dxa"/>
          <w:right w:w="141" w:type="dxa"/>
        </w:tblCellMar>
        <w:tblLook w:val="0000" w:firstRow="0" w:lastRow="0" w:firstColumn="0" w:lastColumn="0" w:noHBand="0" w:noVBand="0"/>
      </w:tblPr>
      <w:tblGrid>
        <w:gridCol w:w="3118"/>
        <w:gridCol w:w="3119"/>
      </w:tblGrid>
      <w:tr>
        <w:tc>
          <w:tcPr>
            <w:tcW w:w="3118" w:type="dxa"/>
          </w:tcPr>
          <w:p>
            <w:pPr>
              <w:pStyle w:val="yTable"/>
              <w:jc w:val="center"/>
              <w:rPr>
                <w:i/>
                <w:sz w:val="18"/>
              </w:rPr>
            </w:pPr>
            <w:r>
              <w:rPr>
                <w:i/>
                <w:sz w:val="18"/>
              </w:rPr>
              <w:t>Examples:</w:t>
            </w:r>
          </w:p>
        </w:tc>
        <w:tc>
          <w:tcPr>
            <w:tcW w:w="3119" w:type="dxa"/>
          </w:tcPr>
          <w:p>
            <w:pPr>
              <w:pStyle w:val="yTable"/>
              <w:jc w:val="center"/>
              <w:rPr>
                <w:sz w:val="18"/>
              </w:rPr>
            </w:pPr>
          </w:p>
        </w:tc>
      </w:tr>
      <w:tr>
        <w:tc>
          <w:tcPr>
            <w:tcW w:w="3118" w:type="dxa"/>
          </w:tcPr>
          <w:p>
            <w:pPr>
              <w:pStyle w:val="yTable"/>
              <w:jc w:val="center"/>
              <w:rPr>
                <w:b/>
                <w:sz w:val="18"/>
              </w:rPr>
            </w:pPr>
            <w:r>
              <w:rPr>
                <w:b/>
                <w:sz w:val="18"/>
              </w:rPr>
              <w:t>Actual log length Metres</w:t>
            </w:r>
          </w:p>
        </w:tc>
        <w:tc>
          <w:tcPr>
            <w:tcW w:w="3119" w:type="dxa"/>
          </w:tcPr>
          <w:p>
            <w:pPr>
              <w:pStyle w:val="yTable"/>
              <w:jc w:val="center"/>
              <w:rPr>
                <w:b/>
                <w:sz w:val="18"/>
              </w:rPr>
            </w:pPr>
            <w:r>
              <w:rPr>
                <w:b/>
                <w:sz w:val="18"/>
              </w:rPr>
              <w:t>Entry on log delivery note Metres</w:t>
            </w:r>
          </w:p>
        </w:tc>
      </w:tr>
      <w:tr>
        <w:tc>
          <w:tcPr>
            <w:tcW w:w="3118" w:type="dxa"/>
          </w:tcPr>
          <w:p>
            <w:pPr>
              <w:pStyle w:val="yTable"/>
              <w:jc w:val="center"/>
              <w:rPr>
                <w:sz w:val="18"/>
              </w:rPr>
            </w:pPr>
            <w:r>
              <w:rPr>
                <w:sz w:val="18"/>
              </w:rPr>
              <w:t>13.249</w:t>
            </w:r>
          </w:p>
          <w:p>
            <w:pPr>
              <w:pStyle w:val="yTable"/>
              <w:jc w:val="center"/>
              <w:rPr>
                <w:sz w:val="18"/>
              </w:rPr>
            </w:pPr>
            <w:r>
              <w:rPr>
                <w:sz w:val="18"/>
              </w:rPr>
              <w:t>7.346</w:t>
            </w:r>
          </w:p>
          <w:p>
            <w:pPr>
              <w:pStyle w:val="yTable"/>
              <w:jc w:val="center"/>
              <w:rPr>
                <w:sz w:val="18"/>
              </w:rPr>
            </w:pPr>
            <w:r>
              <w:rPr>
                <w:sz w:val="18"/>
              </w:rPr>
              <w:t>6.999</w:t>
            </w:r>
          </w:p>
          <w:p>
            <w:pPr>
              <w:pStyle w:val="yTable"/>
              <w:jc w:val="center"/>
              <w:rPr>
                <w:sz w:val="18"/>
              </w:rPr>
            </w:pPr>
            <w:r>
              <w:rPr>
                <w:sz w:val="18"/>
              </w:rPr>
              <w:t>7.000</w:t>
            </w:r>
          </w:p>
        </w:tc>
        <w:tc>
          <w:tcPr>
            <w:tcW w:w="3119" w:type="dxa"/>
          </w:tcPr>
          <w:p>
            <w:pPr>
              <w:pStyle w:val="yTable"/>
              <w:jc w:val="center"/>
              <w:rPr>
                <w:sz w:val="18"/>
              </w:rPr>
            </w:pPr>
            <w:r>
              <w:rPr>
                <w:sz w:val="18"/>
              </w:rPr>
              <w:t>13.2</w:t>
            </w:r>
          </w:p>
          <w:p>
            <w:pPr>
              <w:pStyle w:val="yTable"/>
              <w:jc w:val="center"/>
              <w:rPr>
                <w:sz w:val="18"/>
              </w:rPr>
            </w:pPr>
            <w:r>
              <w:rPr>
                <w:sz w:val="18"/>
              </w:rPr>
              <w:t>7.3</w:t>
            </w:r>
          </w:p>
          <w:p>
            <w:pPr>
              <w:pStyle w:val="yTable"/>
              <w:jc w:val="center"/>
              <w:rPr>
                <w:sz w:val="18"/>
              </w:rPr>
            </w:pPr>
            <w:r>
              <w:rPr>
                <w:sz w:val="18"/>
              </w:rPr>
              <w:t>6.9</w:t>
            </w:r>
          </w:p>
          <w:p>
            <w:pPr>
              <w:pStyle w:val="yTable"/>
              <w:jc w:val="center"/>
              <w:rPr>
                <w:sz w:val="18"/>
              </w:rPr>
            </w:pPr>
            <w:r>
              <w:rPr>
                <w:sz w:val="18"/>
              </w:rPr>
              <w:t>7.0</w:t>
            </w:r>
          </w:p>
        </w:tc>
      </w:tr>
    </w:tbl>
    <w:p>
      <w:pPr>
        <w:pStyle w:val="yHeading5"/>
        <w:outlineLvl w:val="0"/>
        <w:rPr>
          <w:snapToGrid w:val="0"/>
        </w:rPr>
      </w:pPr>
      <w:bookmarkStart w:id="506" w:name="_Toc155068146"/>
      <w:r>
        <w:rPr>
          <w:snapToGrid w:val="0"/>
        </w:rPr>
        <w:t>2.</w:t>
      </w:r>
      <w:r>
        <w:rPr>
          <w:snapToGrid w:val="0"/>
        </w:rPr>
        <w:tab/>
        <w:t>Diameter measurement</w:t>
      </w:r>
      <w:bookmarkEnd w:id="506"/>
    </w:p>
    <w:p>
      <w:pPr>
        <w:pStyle w:val="ySubsection"/>
        <w:rPr>
          <w:snapToGrid w:val="0"/>
        </w:rPr>
      </w:pPr>
      <w:r>
        <w:rPr>
          <w:snapToGrid w:val="0"/>
        </w:rPr>
        <w:tab/>
      </w:r>
      <w:r>
        <w:rPr>
          <w:snapToGrid w:val="0"/>
        </w:rPr>
        <w:tab/>
        <w:t xml:space="preserve">In this schedule, a </w:t>
      </w:r>
      <w:r>
        <w:rPr>
          <w:rStyle w:val="CharDefText"/>
        </w:rPr>
        <w:t>diameter tape</w:t>
      </w:r>
      <w:r>
        <w:rPr>
          <w:snapToGrid w:val="0"/>
        </w:rPr>
        <w:t xml:space="preserve"> means a tape calibrated to record the diameter of the circumference being measured.</w:t>
      </w:r>
    </w:p>
    <w:p>
      <w:pPr>
        <w:pStyle w:val="ySubsection"/>
        <w:rPr>
          <w:snapToGrid w:val="0"/>
        </w:rPr>
      </w:pPr>
      <w:r>
        <w:rPr>
          <w:snapToGrid w:val="0"/>
        </w:rPr>
        <w:tab/>
      </w:r>
      <w:r>
        <w:rPr>
          <w:snapToGrid w:val="0"/>
        </w:rPr>
        <w:tab/>
        <w:t>The diameter of logs shall be measured with a diameter tape at a point equi</w:t>
      </w:r>
      <w:r>
        <w:rPr>
          <w:snapToGrid w:val="0"/>
        </w:rPr>
        <w:noBreakHyphen/>
        <w:t>distant from the top of the sloven and — </w:t>
      </w:r>
    </w:p>
    <w:p>
      <w:pPr>
        <w:pStyle w:val="yIndenta"/>
        <w:rPr>
          <w:snapToGrid w:val="0"/>
        </w:rPr>
      </w:pPr>
      <w:r>
        <w:rPr>
          <w:snapToGrid w:val="0"/>
        </w:rPr>
        <w:tab/>
        <w:t>(a)</w:t>
      </w:r>
      <w:r>
        <w:rPr>
          <w:snapToGrid w:val="0"/>
        </w:rPr>
        <w:tab/>
        <w:t>the crown end in the case of butt logs; and</w:t>
      </w:r>
    </w:p>
    <w:p>
      <w:pPr>
        <w:pStyle w:val="yIndenta"/>
        <w:keepNext/>
        <w:keepLines/>
        <w:rPr>
          <w:snapToGrid w:val="0"/>
        </w:rPr>
      </w:pPr>
      <w:r>
        <w:rPr>
          <w:snapToGrid w:val="0"/>
        </w:rPr>
        <w:tab/>
        <w:t>(b)</w:t>
      </w:r>
      <w:r>
        <w:rPr>
          <w:snapToGrid w:val="0"/>
        </w:rPr>
        <w:tab/>
        <w:t>a point equi</w:t>
      </w:r>
      <w:r>
        <w:rPr>
          <w:snapToGrid w:val="0"/>
        </w:rPr>
        <w:noBreakHyphen/>
        <w:t>distant from both ends, i.e. the centre diameter in the case of other logs.</w:t>
      </w:r>
    </w:p>
    <w:p>
      <w:pPr>
        <w:pStyle w:val="ySubsection"/>
        <w:rPr>
          <w:snapToGrid w:val="0"/>
        </w:rPr>
      </w:pPr>
      <w:r>
        <w:rPr>
          <w:snapToGrid w:val="0"/>
        </w:rPr>
        <w:tab/>
      </w:r>
      <w:r>
        <w:rPr>
          <w:snapToGrid w:val="0"/>
        </w:rPr>
        <w:tab/>
        <w:t>10 mm may be deducted from the actual measurement for each 100 mm diameter of bark under the tape, but no such allowance shall exceed 70 mm.</w:t>
      </w:r>
    </w:p>
    <w:p>
      <w:pPr>
        <w:pStyle w:val="ySubsection"/>
        <w:rPr>
          <w:snapToGrid w:val="0"/>
        </w:rPr>
      </w:pPr>
      <w:r>
        <w:rPr>
          <w:snapToGrid w:val="0"/>
        </w:rPr>
        <w:tab/>
      </w:r>
      <w:r>
        <w:rPr>
          <w:snapToGrid w:val="0"/>
        </w:rPr>
        <w:tab/>
        <w:t>All diameter measurements shall be entered on the log delivery note in multiples of 10 mm and for this purpose any part of 10 mm shall be counted as 10 mm.</w:t>
      </w:r>
    </w:p>
    <w:p>
      <w:pPr>
        <w:pStyle w:val="ySubsection"/>
        <w:rPr>
          <w:i/>
          <w:snapToGrid w:val="0"/>
        </w:rPr>
      </w:pPr>
      <w:r>
        <w:rPr>
          <w:i/>
          <w:snapToGrid w:val="0"/>
        </w:rPr>
        <w:tab/>
      </w:r>
      <w:r>
        <w:rPr>
          <w:i/>
          <w:snapToGrid w:val="0"/>
        </w:rPr>
        <w:tab/>
        <w:t>Examples:</w:t>
      </w:r>
    </w:p>
    <w:p>
      <w:pPr>
        <w:pStyle w:val="yMiscellaneousHeading"/>
        <w:outlineLvl w:val="0"/>
        <w:rPr>
          <w:b/>
          <w:bCs/>
          <w:snapToGrid w:val="0"/>
        </w:rPr>
      </w:pPr>
      <w:r>
        <w:rPr>
          <w:b/>
          <w:bCs/>
          <w:snapToGrid w:val="0"/>
        </w:rPr>
        <w:t>All measurements in mm</w:t>
      </w:r>
    </w:p>
    <w:tbl>
      <w:tblPr>
        <w:tblW w:w="0" w:type="auto"/>
        <w:tblInd w:w="907" w:type="dxa"/>
        <w:tblLayout w:type="fixed"/>
        <w:tblCellMar>
          <w:left w:w="56" w:type="dxa"/>
          <w:right w:w="56" w:type="dxa"/>
        </w:tblCellMar>
        <w:tblLook w:val="0000" w:firstRow="0" w:lastRow="0" w:firstColumn="0" w:lastColumn="0" w:noHBand="0" w:noVBand="0"/>
      </w:tblPr>
      <w:tblGrid>
        <w:gridCol w:w="1417"/>
        <w:gridCol w:w="1418"/>
        <w:gridCol w:w="1134"/>
        <w:gridCol w:w="850"/>
        <w:gridCol w:w="1361"/>
      </w:tblGrid>
      <w:tr>
        <w:tc>
          <w:tcPr>
            <w:tcW w:w="1417" w:type="dxa"/>
          </w:tcPr>
          <w:p>
            <w:pPr>
              <w:pStyle w:val="yTable"/>
              <w:jc w:val="center"/>
              <w:rPr>
                <w:sz w:val="18"/>
              </w:rPr>
            </w:pPr>
          </w:p>
        </w:tc>
        <w:tc>
          <w:tcPr>
            <w:tcW w:w="1418" w:type="dxa"/>
          </w:tcPr>
          <w:p>
            <w:pPr>
              <w:pStyle w:val="yTable"/>
              <w:jc w:val="center"/>
              <w:rPr>
                <w:sz w:val="18"/>
              </w:rPr>
            </w:pPr>
          </w:p>
        </w:tc>
        <w:tc>
          <w:tcPr>
            <w:tcW w:w="1134" w:type="dxa"/>
          </w:tcPr>
          <w:p>
            <w:pPr>
              <w:pStyle w:val="yTable"/>
              <w:jc w:val="center"/>
              <w:rPr>
                <w:sz w:val="18"/>
              </w:rPr>
            </w:pPr>
          </w:p>
        </w:tc>
        <w:tc>
          <w:tcPr>
            <w:tcW w:w="850" w:type="dxa"/>
          </w:tcPr>
          <w:p>
            <w:pPr>
              <w:pStyle w:val="yTable"/>
              <w:jc w:val="center"/>
              <w:rPr>
                <w:sz w:val="18"/>
              </w:rPr>
            </w:pPr>
          </w:p>
        </w:tc>
        <w:tc>
          <w:tcPr>
            <w:tcW w:w="1361" w:type="dxa"/>
          </w:tcPr>
          <w:p>
            <w:pPr>
              <w:pStyle w:val="yTable"/>
              <w:jc w:val="center"/>
              <w:rPr>
                <w:sz w:val="18"/>
              </w:rPr>
            </w:pPr>
          </w:p>
        </w:tc>
      </w:tr>
      <w:tr>
        <w:tc>
          <w:tcPr>
            <w:tcW w:w="1417" w:type="dxa"/>
          </w:tcPr>
          <w:p>
            <w:pPr>
              <w:pStyle w:val="yTable"/>
              <w:jc w:val="center"/>
              <w:rPr>
                <w:b/>
                <w:sz w:val="18"/>
              </w:rPr>
            </w:pPr>
            <w:r>
              <w:rPr>
                <w:b/>
                <w:sz w:val="18"/>
              </w:rPr>
              <w:t>Measured diameter overbark</w:t>
            </w:r>
          </w:p>
        </w:tc>
        <w:tc>
          <w:tcPr>
            <w:tcW w:w="1418" w:type="dxa"/>
          </w:tcPr>
          <w:p>
            <w:pPr>
              <w:pStyle w:val="yTable"/>
              <w:jc w:val="center"/>
              <w:rPr>
                <w:b/>
                <w:sz w:val="18"/>
              </w:rPr>
            </w:pPr>
            <w:r>
              <w:rPr>
                <w:b/>
                <w:sz w:val="18"/>
              </w:rPr>
              <w:t>Diameter overbark rounded up</w:t>
            </w:r>
          </w:p>
        </w:tc>
        <w:tc>
          <w:tcPr>
            <w:tcW w:w="1134" w:type="dxa"/>
          </w:tcPr>
          <w:p>
            <w:pPr>
              <w:pStyle w:val="yTable"/>
              <w:jc w:val="center"/>
              <w:rPr>
                <w:b/>
                <w:sz w:val="18"/>
              </w:rPr>
            </w:pPr>
            <w:r>
              <w:rPr>
                <w:b/>
                <w:sz w:val="18"/>
              </w:rPr>
              <w:t>mm of bark on</w:t>
            </w:r>
          </w:p>
        </w:tc>
        <w:tc>
          <w:tcPr>
            <w:tcW w:w="850" w:type="dxa"/>
          </w:tcPr>
          <w:p>
            <w:pPr>
              <w:pStyle w:val="yTable"/>
              <w:jc w:val="center"/>
              <w:rPr>
                <w:b/>
                <w:sz w:val="18"/>
              </w:rPr>
            </w:pPr>
            <w:r>
              <w:rPr>
                <w:b/>
                <w:sz w:val="18"/>
              </w:rPr>
              <w:t>Bark deduction</w:t>
            </w:r>
          </w:p>
        </w:tc>
        <w:tc>
          <w:tcPr>
            <w:tcW w:w="1361" w:type="dxa"/>
          </w:tcPr>
          <w:p>
            <w:pPr>
              <w:pStyle w:val="yTable"/>
              <w:jc w:val="center"/>
              <w:rPr>
                <w:b/>
                <w:sz w:val="18"/>
              </w:rPr>
            </w:pPr>
            <w:r>
              <w:rPr>
                <w:b/>
                <w:sz w:val="18"/>
              </w:rPr>
              <w:t>Entry on log delivery note (underbark)</w:t>
            </w:r>
          </w:p>
        </w:tc>
      </w:tr>
      <w:tr>
        <w:tc>
          <w:tcPr>
            <w:tcW w:w="1417" w:type="dxa"/>
          </w:tcPr>
          <w:p>
            <w:pPr>
              <w:pStyle w:val="yTable"/>
              <w:jc w:val="center"/>
              <w:rPr>
                <w:sz w:val="18"/>
              </w:rPr>
            </w:pPr>
            <w:r>
              <w:rPr>
                <w:sz w:val="18"/>
              </w:rPr>
              <w:t>565</w:t>
            </w:r>
          </w:p>
        </w:tc>
        <w:tc>
          <w:tcPr>
            <w:tcW w:w="1418" w:type="dxa"/>
          </w:tcPr>
          <w:p>
            <w:pPr>
              <w:pStyle w:val="yTable"/>
              <w:jc w:val="center"/>
              <w:rPr>
                <w:sz w:val="18"/>
              </w:rPr>
            </w:pPr>
            <w:r>
              <w:rPr>
                <w:sz w:val="18"/>
              </w:rPr>
              <w:t>570</w:t>
            </w:r>
          </w:p>
        </w:tc>
        <w:tc>
          <w:tcPr>
            <w:tcW w:w="1134" w:type="dxa"/>
          </w:tcPr>
          <w:p>
            <w:pPr>
              <w:pStyle w:val="yTable"/>
              <w:jc w:val="center"/>
              <w:rPr>
                <w:sz w:val="18"/>
              </w:rPr>
            </w:pPr>
            <w:r>
              <w:rPr>
                <w:sz w:val="18"/>
              </w:rPr>
              <w:t>500</w:t>
            </w:r>
          </w:p>
        </w:tc>
        <w:tc>
          <w:tcPr>
            <w:tcW w:w="850" w:type="dxa"/>
          </w:tcPr>
          <w:p>
            <w:pPr>
              <w:pStyle w:val="yTable"/>
              <w:jc w:val="center"/>
              <w:rPr>
                <w:sz w:val="18"/>
              </w:rPr>
            </w:pPr>
            <w:r>
              <w:rPr>
                <w:sz w:val="18"/>
              </w:rPr>
              <w:t>50</w:t>
            </w:r>
          </w:p>
        </w:tc>
        <w:tc>
          <w:tcPr>
            <w:tcW w:w="1361" w:type="dxa"/>
          </w:tcPr>
          <w:p>
            <w:pPr>
              <w:pStyle w:val="yTable"/>
              <w:jc w:val="center"/>
              <w:rPr>
                <w:sz w:val="18"/>
              </w:rPr>
            </w:pPr>
            <w:r>
              <w:rPr>
                <w:sz w:val="18"/>
              </w:rPr>
              <w:t>520</w:t>
            </w:r>
          </w:p>
        </w:tc>
      </w:tr>
      <w:tr>
        <w:tc>
          <w:tcPr>
            <w:tcW w:w="1417" w:type="dxa"/>
          </w:tcPr>
          <w:p>
            <w:pPr>
              <w:pStyle w:val="yTable"/>
              <w:jc w:val="center"/>
              <w:rPr>
                <w:sz w:val="18"/>
              </w:rPr>
            </w:pPr>
            <w:r>
              <w:rPr>
                <w:sz w:val="18"/>
              </w:rPr>
              <w:t>995</w:t>
            </w:r>
          </w:p>
        </w:tc>
        <w:tc>
          <w:tcPr>
            <w:tcW w:w="1418" w:type="dxa"/>
          </w:tcPr>
          <w:p>
            <w:pPr>
              <w:pStyle w:val="yTable"/>
              <w:jc w:val="center"/>
              <w:rPr>
                <w:sz w:val="18"/>
              </w:rPr>
            </w:pPr>
            <w:r>
              <w:rPr>
                <w:sz w:val="18"/>
              </w:rPr>
              <w:t>1 000</w:t>
            </w:r>
          </w:p>
        </w:tc>
        <w:tc>
          <w:tcPr>
            <w:tcW w:w="1134" w:type="dxa"/>
          </w:tcPr>
          <w:p>
            <w:pPr>
              <w:pStyle w:val="yTable"/>
              <w:jc w:val="center"/>
              <w:rPr>
                <w:sz w:val="18"/>
              </w:rPr>
            </w:pPr>
            <w:r>
              <w:rPr>
                <w:sz w:val="18"/>
              </w:rPr>
              <w:t>900</w:t>
            </w:r>
          </w:p>
        </w:tc>
        <w:tc>
          <w:tcPr>
            <w:tcW w:w="850" w:type="dxa"/>
          </w:tcPr>
          <w:p>
            <w:pPr>
              <w:pStyle w:val="yTable"/>
              <w:jc w:val="center"/>
              <w:rPr>
                <w:sz w:val="18"/>
              </w:rPr>
            </w:pPr>
            <w:r>
              <w:rPr>
                <w:sz w:val="18"/>
              </w:rPr>
              <w:t>70</w:t>
            </w:r>
          </w:p>
        </w:tc>
        <w:tc>
          <w:tcPr>
            <w:tcW w:w="1361" w:type="dxa"/>
          </w:tcPr>
          <w:p>
            <w:pPr>
              <w:pStyle w:val="yTable"/>
              <w:jc w:val="center"/>
              <w:rPr>
                <w:sz w:val="18"/>
              </w:rPr>
            </w:pPr>
            <w:r>
              <w:rPr>
                <w:sz w:val="18"/>
              </w:rPr>
              <w:t>930</w:t>
            </w:r>
          </w:p>
        </w:tc>
      </w:tr>
      <w:tr>
        <w:tc>
          <w:tcPr>
            <w:tcW w:w="1417" w:type="dxa"/>
          </w:tcPr>
          <w:p>
            <w:pPr>
              <w:pStyle w:val="yTable"/>
              <w:jc w:val="center"/>
              <w:rPr>
                <w:sz w:val="18"/>
              </w:rPr>
            </w:pPr>
            <w:r>
              <w:rPr>
                <w:sz w:val="18"/>
              </w:rPr>
              <w:t>1 090</w:t>
            </w:r>
          </w:p>
        </w:tc>
        <w:tc>
          <w:tcPr>
            <w:tcW w:w="1418" w:type="dxa"/>
          </w:tcPr>
          <w:p>
            <w:pPr>
              <w:pStyle w:val="yTable"/>
              <w:jc w:val="center"/>
              <w:rPr>
                <w:sz w:val="18"/>
              </w:rPr>
            </w:pPr>
            <w:r>
              <w:rPr>
                <w:sz w:val="18"/>
              </w:rPr>
              <w:t>1 090</w:t>
            </w:r>
          </w:p>
        </w:tc>
        <w:tc>
          <w:tcPr>
            <w:tcW w:w="1134" w:type="dxa"/>
          </w:tcPr>
          <w:p>
            <w:pPr>
              <w:pStyle w:val="yTable"/>
              <w:jc w:val="center"/>
              <w:rPr>
                <w:sz w:val="18"/>
              </w:rPr>
            </w:pPr>
            <w:r>
              <w:rPr>
                <w:sz w:val="18"/>
              </w:rPr>
              <w:t>1 000</w:t>
            </w:r>
          </w:p>
        </w:tc>
        <w:tc>
          <w:tcPr>
            <w:tcW w:w="850" w:type="dxa"/>
          </w:tcPr>
          <w:p>
            <w:pPr>
              <w:pStyle w:val="yTable"/>
              <w:jc w:val="center"/>
              <w:rPr>
                <w:sz w:val="18"/>
              </w:rPr>
            </w:pPr>
            <w:r>
              <w:rPr>
                <w:sz w:val="18"/>
              </w:rPr>
              <w:t>70</w:t>
            </w:r>
          </w:p>
        </w:tc>
        <w:tc>
          <w:tcPr>
            <w:tcW w:w="1361" w:type="dxa"/>
          </w:tcPr>
          <w:p>
            <w:pPr>
              <w:pStyle w:val="yTable"/>
              <w:jc w:val="center"/>
              <w:rPr>
                <w:sz w:val="18"/>
              </w:rPr>
            </w:pPr>
            <w:r>
              <w:rPr>
                <w:sz w:val="18"/>
              </w:rPr>
              <w:t>1 020</w:t>
            </w:r>
          </w:p>
        </w:tc>
      </w:tr>
      <w:tr>
        <w:tc>
          <w:tcPr>
            <w:tcW w:w="1417" w:type="dxa"/>
          </w:tcPr>
          <w:p>
            <w:pPr>
              <w:pStyle w:val="yTable"/>
              <w:jc w:val="center"/>
              <w:rPr>
                <w:sz w:val="18"/>
              </w:rPr>
            </w:pPr>
            <w:r>
              <w:rPr>
                <w:sz w:val="18"/>
              </w:rPr>
              <w:t>1 090</w:t>
            </w:r>
          </w:p>
        </w:tc>
        <w:tc>
          <w:tcPr>
            <w:tcW w:w="1418" w:type="dxa"/>
          </w:tcPr>
          <w:p>
            <w:pPr>
              <w:pStyle w:val="yTable"/>
              <w:jc w:val="center"/>
              <w:rPr>
                <w:sz w:val="18"/>
              </w:rPr>
            </w:pPr>
            <w:r>
              <w:rPr>
                <w:sz w:val="18"/>
              </w:rPr>
              <w:t>1 090</w:t>
            </w:r>
          </w:p>
        </w:tc>
        <w:tc>
          <w:tcPr>
            <w:tcW w:w="1134" w:type="dxa"/>
          </w:tcPr>
          <w:p>
            <w:pPr>
              <w:pStyle w:val="yTable"/>
              <w:jc w:val="center"/>
              <w:rPr>
                <w:sz w:val="18"/>
              </w:rPr>
            </w:pPr>
            <w:r>
              <w:rPr>
                <w:sz w:val="18"/>
              </w:rPr>
              <w:t>300</w:t>
            </w:r>
          </w:p>
        </w:tc>
        <w:tc>
          <w:tcPr>
            <w:tcW w:w="850" w:type="dxa"/>
          </w:tcPr>
          <w:p>
            <w:pPr>
              <w:pStyle w:val="yTable"/>
              <w:jc w:val="center"/>
              <w:rPr>
                <w:sz w:val="18"/>
              </w:rPr>
            </w:pPr>
            <w:r>
              <w:rPr>
                <w:sz w:val="18"/>
              </w:rPr>
              <w:t>30</w:t>
            </w:r>
          </w:p>
        </w:tc>
        <w:tc>
          <w:tcPr>
            <w:tcW w:w="1361" w:type="dxa"/>
          </w:tcPr>
          <w:p>
            <w:pPr>
              <w:pStyle w:val="yTable"/>
              <w:jc w:val="center"/>
              <w:rPr>
                <w:sz w:val="18"/>
              </w:rPr>
            </w:pPr>
            <w:r>
              <w:rPr>
                <w:sz w:val="18"/>
              </w:rPr>
              <w:t>1 060</w:t>
            </w:r>
          </w:p>
        </w:tc>
      </w:tr>
      <w:tr>
        <w:tc>
          <w:tcPr>
            <w:tcW w:w="1417" w:type="dxa"/>
          </w:tcPr>
          <w:p>
            <w:pPr>
              <w:pStyle w:val="yTable"/>
              <w:jc w:val="center"/>
              <w:rPr>
                <w:sz w:val="18"/>
              </w:rPr>
            </w:pPr>
            <w:r>
              <w:rPr>
                <w:sz w:val="18"/>
              </w:rPr>
              <w:t>1 081</w:t>
            </w:r>
          </w:p>
        </w:tc>
        <w:tc>
          <w:tcPr>
            <w:tcW w:w="1418" w:type="dxa"/>
          </w:tcPr>
          <w:p>
            <w:pPr>
              <w:pStyle w:val="yTable"/>
              <w:jc w:val="center"/>
              <w:rPr>
                <w:sz w:val="18"/>
              </w:rPr>
            </w:pPr>
            <w:r>
              <w:rPr>
                <w:sz w:val="18"/>
              </w:rPr>
              <w:t>1 090</w:t>
            </w:r>
          </w:p>
        </w:tc>
        <w:tc>
          <w:tcPr>
            <w:tcW w:w="1134" w:type="dxa"/>
          </w:tcPr>
          <w:p>
            <w:pPr>
              <w:pStyle w:val="yTable"/>
              <w:jc w:val="center"/>
              <w:rPr>
                <w:sz w:val="18"/>
              </w:rPr>
            </w:pPr>
            <w:r>
              <w:rPr>
                <w:sz w:val="18"/>
              </w:rPr>
              <w:t>500</w:t>
            </w:r>
          </w:p>
        </w:tc>
        <w:tc>
          <w:tcPr>
            <w:tcW w:w="850" w:type="dxa"/>
          </w:tcPr>
          <w:p>
            <w:pPr>
              <w:pStyle w:val="yTable"/>
              <w:jc w:val="center"/>
              <w:rPr>
                <w:sz w:val="18"/>
              </w:rPr>
            </w:pPr>
            <w:r>
              <w:rPr>
                <w:sz w:val="18"/>
              </w:rPr>
              <w:t>50</w:t>
            </w:r>
          </w:p>
        </w:tc>
        <w:tc>
          <w:tcPr>
            <w:tcW w:w="1361" w:type="dxa"/>
          </w:tcPr>
          <w:p>
            <w:pPr>
              <w:pStyle w:val="yTable"/>
              <w:jc w:val="center"/>
              <w:rPr>
                <w:sz w:val="18"/>
              </w:rPr>
            </w:pPr>
            <w:r>
              <w:rPr>
                <w:sz w:val="18"/>
              </w:rPr>
              <w:t>1 040</w:t>
            </w:r>
          </w:p>
        </w:tc>
      </w:tr>
    </w:tbl>
    <w:p>
      <w:pPr>
        <w:pStyle w:val="ySubsection"/>
        <w:rPr>
          <w:snapToGrid w:val="0"/>
        </w:rPr>
      </w:pPr>
      <w:r>
        <w:rPr>
          <w:snapToGrid w:val="0"/>
        </w:rPr>
        <w:tab/>
      </w:r>
      <w:r>
        <w:rPr>
          <w:snapToGrid w:val="0"/>
        </w:rPr>
        <w:tab/>
        <w:t>On logs with abnormal swellings at the centre, the centre diameter shall be ascertained by taking the average of the underbark diameters at an equal distance from the centre of the log sufficient to clear the abnormality, but both measurements and the centre underbark diameter so calculated shall be entered on the log delivery note.</w:t>
      </w:r>
    </w:p>
    <w:p>
      <w:pPr>
        <w:pStyle w:val="yHeading5"/>
        <w:outlineLvl w:val="0"/>
        <w:rPr>
          <w:snapToGrid w:val="0"/>
        </w:rPr>
      </w:pPr>
      <w:bookmarkStart w:id="507" w:name="_Toc155068147"/>
      <w:r>
        <w:rPr>
          <w:snapToGrid w:val="0"/>
        </w:rPr>
        <w:t>3.</w:t>
      </w:r>
      <w:r>
        <w:rPr>
          <w:snapToGrid w:val="0"/>
        </w:rPr>
        <w:tab/>
        <w:t>Calculation of volume</w:t>
      </w:r>
      <w:bookmarkEnd w:id="507"/>
    </w:p>
    <w:p>
      <w:pPr>
        <w:pStyle w:val="ySubsection"/>
        <w:rPr>
          <w:snapToGrid w:val="0"/>
        </w:rPr>
      </w:pPr>
      <w:r>
        <w:rPr>
          <w:snapToGrid w:val="0"/>
        </w:rPr>
        <w:tab/>
      </w:r>
      <w:r>
        <w:rPr>
          <w:snapToGrid w:val="0"/>
        </w:rPr>
        <w:tab/>
        <w:t xml:space="preserve">Using the length and diameter measurements that have been entered in the log delivery note under clauses 1 and 2, the volume of the log timber (in cubic metres) shall be calculated by use of the table contained in the publication titled “Cubic Contents of Hardwood Logs 1985” issued by the Department (in this Part referred to as </w:t>
      </w:r>
      <w:r>
        <w:rPr>
          <w:rStyle w:val="CharDefText"/>
        </w:rPr>
        <w:t>the Log Volume Table</w:t>
      </w:r>
      <w:r>
        <w:rPr>
          <w:snapToGrid w:val="0"/>
        </w:rPr>
        <w:t>).</w:t>
      </w:r>
    </w:p>
    <w:p>
      <w:pPr>
        <w:pStyle w:val="ySubsection"/>
        <w:rPr>
          <w:snapToGrid w:val="0"/>
        </w:rPr>
      </w:pPr>
      <w:r>
        <w:rPr>
          <w:snapToGrid w:val="0"/>
        </w:rPr>
        <w:tab/>
      </w:r>
      <w:r>
        <w:rPr>
          <w:snapToGrid w:val="0"/>
        </w:rPr>
        <w:tab/>
        <w:t>The volume shall then be entered on the log delivery note.</w:t>
      </w:r>
    </w:p>
    <w:p>
      <w:pPr>
        <w:pStyle w:val="yHeading5"/>
        <w:outlineLvl w:val="0"/>
        <w:rPr>
          <w:snapToGrid w:val="0"/>
        </w:rPr>
      </w:pPr>
      <w:bookmarkStart w:id="508" w:name="_Toc155068148"/>
      <w:r>
        <w:rPr>
          <w:snapToGrid w:val="0"/>
        </w:rPr>
        <w:t>4.</w:t>
      </w:r>
      <w:r>
        <w:rPr>
          <w:snapToGrid w:val="0"/>
        </w:rPr>
        <w:tab/>
        <w:t>Measurement of logs halved along their length</w:t>
      </w:r>
      <w:bookmarkEnd w:id="508"/>
    </w:p>
    <w:p>
      <w:pPr>
        <w:pStyle w:val="ySubsection"/>
        <w:keepNext/>
        <w:rPr>
          <w:snapToGrid w:val="0"/>
        </w:rPr>
      </w:pPr>
      <w:r>
        <w:rPr>
          <w:snapToGrid w:val="0"/>
        </w:rPr>
        <w:tab/>
      </w:r>
      <w:r>
        <w:rPr>
          <w:snapToGrid w:val="0"/>
        </w:rPr>
        <w:tab/>
        <w:t>In order to obtain and record the volume of logs halved along their length — </w:t>
      </w:r>
    </w:p>
    <w:p>
      <w:pPr>
        <w:pStyle w:val="yIndenta"/>
        <w:rPr>
          <w:snapToGrid w:val="0"/>
        </w:rPr>
      </w:pPr>
      <w:r>
        <w:rPr>
          <w:snapToGrid w:val="0"/>
        </w:rPr>
        <w:tab/>
        <w:t>(a)</w:t>
      </w:r>
      <w:r>
        <w:rPr>
          <w:snapToGrid w:val="0"/>
        </w:rPr>
        <w:tab/>
        <w:t>the length of the log shall be determined in accordance with clause 1;</w:t>
      </w:r>
    </w:p>
    <w:p>
      <w:pPr>
        <w:pStyle w:val="yIndenta"/>
        <w:rPr>
          <w:snapToGrid w:val="0"/>
        </w:rPr>
      </w:pPr>
      <w:r>
        <w:rPr>
          <w:snapToGrid w:val="0"/>
        </w:rPr>
        <w:tab/>
        <w:t>(b)</w:t>
      </w:r>
      <w:r>
        <w:rPr>
          <w:snapToGrid w:val="0"/>
        </w:rPr>
        <w:tab/>
        <w:t>using the reverse side of the diameter tape (or the tape used to measure the length) the actual diameter underbark shall be measured across the exposed surface at the log length centre;</w:t>
      </w:r>
    </w:p>
    <w:p>
      <w:pPr>
        <w:pStyle w:val="yIndenta"/>
        <w:rPr>
          <w:snapToGrid w:val="0"/>
        </w:rPr>
      </w:pPr>
      <w:r>
        <w:rPr>
          <w:snapToGrid w:val="0"/>
        </w:rPr>
        <w:tab/>
        <w:t>(c)</w:t>
      </w:r>
      <w:r>
        <w:rPr>
          <w:snapToGrid w:val="0"/>
        </w:rPr>
        <w:tab/>
        <w:t>the length and diameter measurements obtained in (a) and (b) shall be entered on the log delivery note;</w:t>
      </w:r>
    </w:p>
    <w:p>
      <w:pPr>
        <w:pStyle w:val="yIndenta"/>
        <w:rPr>
          <w:snapToGrid w:val="0"/>
        </w:rPr>
      </w:pPr>
      <w:r>
        <w:rPr>
          <w:snapToGrid w:val="0"/>
        </w:rPr>
        <w:tab/>
        <w:t>(d)</w:t>
      </w:r>
      <w:r>
        <w:rPr>
          <w:snapToGrid w:val="0"/>
        </w:rPr>
        <w:tab/>
        <w:t>using the measurements entered on the log delivery note the Log Volume Table shall be used to calculate the volume underbark;</w:t>
      </w:r>
    </w:p>
    <w:p>
      <w:pPr>
        <w:pStyle w:val="yIndenta"/>
        <w:rPr>
          <w:snapToGrid w:val="0"/>
        </w:rPr>
      </w:pPr>
      <w:r>
        <w:rPr>
          <w:snapToGrid w:val="0"/>
        </w:rPr>
        <w:tab/>
        <w:t>(e)</w:t>
      </w:r>
      <w:r>
        <w:rPr>
          <w:snapToGrid w:val="0"/>
        </w:rPr>
        <w:tab/>
        <w:t>the volume calculated under paragraph (d) shall then be halved and entered in the log delivery note and the words “half log” shall be written opposite the volume entry in the column headed “Where obtained”.</w:t>
      </w:r>
    </w:p>
    <w:p>
      <w:pPr>
        <w:pStyle w:val="yHeading2"/>
      </w:pPr>
      <w:bookmarkStart w:id="509" w:name="_Toc155068149"/>
      <w:r>
        <w:t>Part B — Determination of volume of softwood log timber by individual log measurement</w:t>
      </w:r>
      <w:bookmarkEnd w:id="509"/>
    </w:p>
    <w:p>
      <w:pPr>
        <w:pStyle w:val="yHeading5"/>
        <w:outlineLvl w:val="9"/>
        <w:rPr>
          <w:snapToGrid w:val="0"/>
        </w:rPr>
      </w:pPr>
    </w:p>
    <w:p>
      <w:pPr>
        <w:pStyle w:val="ySubsection"/>
        <w:rPr>
          <w:snapToGrid w:val="0"/>
        </w:rPr>
      </w:pPr>
      <w:r>
        <w:rPr>
          <w:snapToGrid w:val="0"/>
        </w:rPr>
        <w:t>For the purpose of determining the volume of softwood log timber by individual log measurement the following provisions shall be complied with — </w:t>
      </w:r>
    </w:p>
    <w:p>
      <w:pPr>
        <w:pStyle w:val="yHeading5"/>
        <w:outlineLvl w:val="0"/>
        <w:rPr>
          <w:snapToGrid w:val="0"/>
        </w:rPr>
      </w:pPr>
      <w:bookmarkStart w:id="510" w:name="_Toc155068150"/>
      <w:r>
        <w:rPr>
          <w:snapToGrid w:val="0"/>
        </w:rPr>
        <w:t>1.</w:t>
      </w:r>
      <w:r>
        <w:rPr>
          <w:snapToGrid w:val="0"/>
        </w:rPr>
        <w:tab/>
        <w:t>Length measurement</w:t>
      </w:r>
      <w:bookmarkEnd w:id="510"/>
    </w:p>
    <w:p>
      <w:pPr>
        <w:pStyle w:val="ySubsection"/>
        <w:rPr>
          <w:snapToGrid w:val="0"/>
        </w:rPr>
      </w:pPr>
      <w:r>
        <w:rPr>
          <w:snapToGrid w:val="0"/>
        </w:rPr>
        <w:tab/>
      </w:r>
      <w:r>
        <w:rPr>
          <w:snapToGrid w:val="0"/>
        </w:rPr>
        <w:tab/>
        <w:t>The length of butt logs shall be measured with a length measuring tape from the top of the sloven to the sawcut and the length of other logs shall be measured from sawcut to sawcut. The measurement shall be entered on the log delivery note in metres and tenths of metres rounded down to the nearest “preferred length”.</w:t>
      </w:r>
    </w:p>
    <w:p>
      <w:pPr>
        <w:pStyle w:val="ySubsection"/>
        <w:rPr>
          <w:snapToGrid w:val="0"/>
        </w:rPr>
      </w:pPr>
      <w:r>
        <w:rPr>
          <w:snapToGrid w:val="0"/>
        </w:rPr>
        <w:tab/>
      </w:r>
      <w:r>
        <w:rPr>
          <w:snapToGrid w:val="0"/>
        </w:rPr>
        <w:tab/>
        <w:t>“A preferred length” for softwood is one of a series of industry accepted lengths beginning at 1.8 m and increasing by increments of 0.3 m up to 6.0 m.</w:t>
      </w:r>
    </w:p>
    <w:p>
      <w:pPr>
        <w:pStyle w:val="ySubsection"/>
        <w:rPr>
          <w:snapToGrid w:val="0"/>
        </w:rPr>
      </w:pPr>
      <w:r>
        <w:rPr>
          <w:snapToGrid w:val="0"/>
        </w:rPr>
        <w:tab/>
      </w:r>
      <w:r>
        <w:rPr>
          <w:snapToGrid w:val="0"/>
        </w:rPr>
        <w:tab/>
        <w:t>If a log is to be supplied at other than a “preferred length” the actual length shall be rounded down to the nearest tenth of a metre.</w:t>
      </w:r>
    </w:p>
    <w:p>
      <w:pPr>
        <w:pStyle w:val="yMiscellaneousHeading"/>
        <w:outlineLvl w:val="0"/>
        <w:rPr>
          <w:b/>
          <w:bCs/>
          <w:snapToGrid w:val="0"/>
        </w:rPr>
      </w:pPr>
      <w:r>
        <w:rPr>
          <w:b/>
          <w:bCs/>
          <w:snapToGrid w:val="0"/>
        </w:rPr>
        <w:t>Examples:</w:t>
      </w:r>
    </w:p>
    <w:tbl>
      <w:tblPr>
        <w:tblW w:w="0" w:type="auto"/>
        <w:tblInd w:w="907" w:type="dxa"/>
        <w:tblLayout w:type="fixed"/>
        <w:tblCellMar>
          <w:left w:w="56" w:type="dxa"/>
          <w:right w:w="56" w:type="dxa"/>
        </w:tblCellMar>
        <w:tblLook w:val="0000" w:firstRow="0" w:lastRow="0" w:firstColumn="0" w:lastColumn="0" w:noHBand="0" w:noVBand="0"/>
      </w:tblPr>
      <w:tblGrid>
        <w:gridCol w:w="1701"/>
        <w:gridCol w:w="2268"/>
        <w:gridCol w:w="2268"/>
      </w:tblGrid>
      <w:tr>
        <w:trPr>
          <w:cantSplit/>
        </w:trPr>
        <w:tc>
          <w:tcPr>
            <w:tcW w:w="1701" w:type="dxa"/>
          </w:tcPr>
          <w:p>
            <w:pPr>
              <w:pStyle w:val="yTable"/>
              <w:jc w:val="center"/>
              <w:rPr>
                <w:b/>
                <w:sz w:val="18"/>
              </w:rPr>
            </w:pPr>
            <w:r>
              <w:rPr>
                <w:b/>
                <w:sz w:val="18"/>
              </w:rPr>
              <w:t>Actual length</w:t>
            </w:r>
          </w:p>
        </w:tc>
        <w:tc>
          <w:tcPr>
            <w:tcW w:w="4536" w:type="dxa"/>
            <w:gridSpan w:val="2"/>
          </w:tcPr>
          <w:p>
            <w:pPr>
              <w:pStyle w:val="yTable"/>
              <w:jc w:val="center"/>
              <w:rPr>
                <w:b/>
                <w:sz w:val="18"/>
              </w:rPr>
            </w:pPr>
            <w:r>
              <w:rPr>
                <w:b/>
                <w:sz w:val="18"/>
              </w:rPr>
              <w:t>Entry on Log Delivery Note</w:t>
            </w:r>
          </w:p>
        </w:tc>
      </w:tr>
      <w:tr>
        <w:tc>
          <w:tcPr>
            <w:tcW w:w="1701" w:type="dxa"/>
          </w:tcPr>
          <w:p>
            <w:pPr>
              <w:pStyle w:val="yTable"/>
              <w:jc w:val="center"/>
              <w:rPr>
                <w:b/>
                <w:sz w:val="18"/>
              </w:rPr>
            </w:pPr>
          </w:p>
        </w:tc>
        <w:tc>
          <w:tcPr>
            <w:tcW w:w="2268" w:type="dxa"/>
          </w:tcPr>
          <w:p>
            <w:pPr>
              <w:pStyle w:val="yTable"/>
              <w:jc w:val="center"/>
              <w:rPr>
                <w:b/>
                <w:sz w:val="18"/>
              </w:rPr>
            </w:pPr>
            <w:r>
              <w:rPr>
                <w:b/>
                <w:sz w:val="18"/>
              </w:rPr>
              <w:t>To nearest tenth metre</w:t>
            </w:r>
          </w:p>
        </w:tc>
        <w:tc>
          <w:tcPr>
            <w:tcW w:w="2268" w:type="dxa"/>
          </w:tcPr>
          <w:p>
            <w:pPr>
              <w:pStyle w:val="yTable"/>
              <w:jc w:val="center"/>
              <w:rPr>
                <w:b/>
                <w:sz w:val="18"/>
              </w:rPr>
            </w:pPr>
            <w:r>
              <w:rPr>
                <w:b/>
                <w:sz w:val="18"/>
              </w:rPr>
              <w:t>To preferred length</w:t>
            </w:r>
          </w:p>
        </w:tc>
      </w:tr>
      <w:tr>
        <w:tc>
          <w:tcPr>
            <w:tcW w:w="1701" w:type="dxa"/>
          </w:tcPr>
          <w:p>
            <w:pPr>
              <w:pStyle w:val="yTable"/>
              <w:jc w:val="center"/>
              <w:rPr>
                <w:sz w:val="18"/>
              </w:rPr>
            </w:pPr>
            <w:r>
              <w:rPr>
                <w:sz w:val="18"/>
              </w:rPr>
              <w:t>3.80 m</w:t>
            </w:r>
          </w:p>
        </w:tc>
        <w:tc>
          <w:tcPr>
            <w:tcW w:w="2268" w:type="dxa"/>
          </w:tcPr>
          <w:p>
            <w:pPr>
              <w:pStyle w:val="yTable"/>
              <w:jc w:val="center"/>
              <w:rPr>
                <w:sz w:val="18"/>
              </w:rPr>
            </w:pPr>
            <w:r>
              <w:rPr>
                <w:sz w:val="18"/>
              </w:rPr>
              <w:t>3.8 m</w:t>
            </w:r>
          </w:p>
        </w:tc>
        <w:tc>
          <w:tcPr>
            <w:tcW w:w="2268" w:type="dxa"/>
          </w:tcPr>
          <w:p>
            <w:pPr>
              <w:pStyle w:val="yTable"/>
              <w:jc w:val="center"/>
              <w:rPr>
                <w:sz w:val="18"/>
              </w:rPr>
            </w:pPr>
            <w:r>
              <w:rPr>
                <w:sz w:val="18"/>
              </w:rPr>
              <w:t>3.6 m</w:t>
            </w:r>
          </w:p>
        </w:tc>
      </w:tr>
      <w:tr>
        <w:tc>
          <w:tcPr>
            <w:tcW w:w="1701" w:type="dxa"/>
          </w:tcPr>
          <w:p>
            <w:pPr>
              <w:pStyle w:val="yTable"/>
              <w:jc w:val="center"/>
              <w:rPr>
                <w:sz w:val="18"/>
              </w:rPr>
            </w:pPr>
            <w:r>
              <w:rPr>
                <w:sz w:val="18"/>
              </w:rPr>
              <w:t>4.11 m</w:t>
            </w:r>
          </w:p>
        </w:tc>
        <w:tc>
          <w:tcPr>
            <w:tcW w:w="2268" w:type="dxa"/>
          </w:tcPr>
          <w:p>
            <w:pPr>
              <w:pStyle w:val="yTable"/>
              <w:jc w:val="center"/>
              <w:rPr>
                <w:sz w:val="18"/>
              </w:rPr>
            </w:pPr>
            <w:r>
              <w:rPr>
                <w:sz w:val="18"/>
              </w:rPr>
              <w:t>4.1 m</w:t>
            </w:r>
          </w:p>
        </w:tc>
        <w:tc>
          <w:tcPr>
            <w:tcW w:w="2268" w:type="dxa"/>
          </w:tcPr>
          <w:p>
            <w:pPr>
              <w:pStyle w:val="yTable"/>
              <w:jc w:val="center"/>
              <w:rPr>
                <w:sz w:val="18"/>
              </w:rPr>
            </w:pPr>
            <w:r>
              <w:rPr>
                <w:sz w:val="18"/>
              </w:rPr>
              <w:t>3.9 m</w:t>
            </w:r>
          </w:p>
        </w:tc>
      </w:tr>
      <w:tr>
        <w:tc>
          <w:tcPr>
            <w:tcW w:w="1701" w:type="dxa"/>
          </w:tcPr>
          <w:p>
            <w:pPr>
              <w:pStyle w:val="yTable"/>
              <w:jc w:val="center"/>
              <w:rPr>
                <w:sz w:val="18"/>
              </w:rPr>
            </w:pPr>
            <w:r>
              <w:rPr>
                <w:sz w:val="18"/>
              </w:rPr>
              <w:t>4.75 m</w:t>
            </w:r>
          </w:p>
        </w:tc>
        <w:tc>
          <w:tcPr>
            <w:tcW w:w="2268" w:type="dxa"/>
          </w:tcPr>
          <w:p>
            <w:pPr>
              <w:pStyle w:val="yTable"/>
              <w:jc w:val="center"/>
              <w:rPr>
                <w:sz w:val="18"/>
              </w:rPr>
            </w:pPr>
            <w:r>
              <w:rPr>
                <w:sz w:val="18"/>
              </w:rPr>
              <w:t>4.7 m</w:t>
            </w:r>
          </w:p>
        </w:tc>
        <w:tc>
          <w:tcPr>
            <w:tcW w:w="2268" w:type="dxa"/>
          </w:tcPr>
          <w:p>
            <w:pPr>
              <w:pStyle w:val="yTable"/>
              <w:jc w:val="center"/>
              <w:rPr>
                <w:sz w:val="18"/>
              </w:rPr>
            </w:pPr>
            <w:r>
              <w:rPr>
                <w:sz w:val="18"/>
              </w:rPr>
              <w:t>4.5 m</w:t>
            </w:r>
          </w:p>
        </w:tc>
      </w:tr>
      <w:tr>
        <w:tc>
          <w:tcPr>
            <w:tcW w:w="1701" w:type="dxa"/>
          </w:tcPr>
          <w:p>
            <w:pPr>
              <w:pStyle w:val="yTable"/>
              <w:jc w:val="center"/>
              <w:rPr>
                <w:sz w:val="18"/>
              </w:rPr>
            </w:pPr>
            <w:r>
              <w:rPr>
                <w:sz w:val="18"/>
              </w:rPr>
              <w:t>4.99 m</w:t>
            </w:r>
          </w:p>
        </w:tc>
        <w:tc>
          <w:tcPr>
            <w:tcW w:w="2268" w:type="dxa"/>
          </w:tcPr>
          <w:p>
            <w:pPr>
              <w:pStyle w:val="yTable"/>
              <w:jc w:val="center"/>
              <w:rPr>
                <w:sz w:val="18"/>
              </w:rPr>
            </w:pPr>
            <w:r>
              <w:rPr>
                <w:sz w:val="18"/>
              </w:rPr>
              <w:t>4.9 m</w:t>
            </w:r>
          </w:p>
        </w:tc>
        <w:tc>
          <w:tcPr>
            <w:tcW w:w="2268" w:type="dxa"/>
          </w:tcPr>
          <w:p>
            <w:pPr>
              <w:pStyle w:val="yTable"/>
              <w:jc w:val="center"/>
              <w:rPr>
                <w:sz w:val="18"/>
              </w:rPr>
            </w:pPr>
            <w:r>
              <w:rPr>
                <w:sz w:val="18"/>
              </w:rPr>
              <w:t>4.8 m</w:t>
            </w:r>
          </w:p>
        </w:tc>
      </w:tr>
    </w:tbl>
    <w:p>
      <w:pPr>
        <w:pStyle w:val="yHeading5"/>
        <w:outlineLvl w:val="9"/>
        <w:rPr>
          <w:snapToGrid w:val="0"/>
        </w:rPr>
      </w:pPr>
      <w:bookmarkStart w:id="511" w:name="_Toc155068151"/>
      <w:r>
        <w:rPr>
          <w:snapToGrid w:val="0"/>
        </w:rPr>
        <w:t>2.</w:t>
      </w:r>
      <w:r>
        <w:rPr>
          <w:snapToGrid w:val="0"/>
        </w:rPr>
        <w:tab/>
        <w:t>Diameter measurement</w:t>
      </w:r>
      <w:bookmarkEnd w:id="511"/>
    </w:p>
    <w:p>
      <w:pPr>
        <w:pStyle w:val="ySubsection"/>
        <w:rPr>
          <w:snapToGrid w:val="0"/>
        </w:rPr>
      </w:pPr>
      <w:r>
        <w:rPr>
          <w:snapToGrid w:val="0"/>
        </w:rPr>
        <w:tab/>
      </w:r>
      <w:r>
        <w:rPr>
          <w:snapToGrid w:val="0"/>
        </w:rPr>
        <w:tab/>
        <w:t>The diameter of logs shall be measured with a diameter rule prepared and supplied by the Department. The diameter rule is calibrated in diameter classes of 50 mm. The diameter shall be measured underbark at the crown (small) end and rounded down to the nearest 50 mm class. When the cross section at the crown end is not circular, the average of the measurement along the greatest axis and the axis at right angles shall be recorded. The measurement shall be recorded on the log delivery note in millimetres rounded down to the nearest multiple of 50 mm.</w:t>
      </w:r>
    </w:p>
    <w:p>
      <w:pPr>
        <w:pStyle w:val="yMiscellaneousHeading"/>
        <w:outlineLvl w:val="0"/>
        <w:rPr>
          <w:b/>
          <w:bCs/>
          <w:snapToGrid w:val="0"/>
        </w:rPr>
      </w:pPr>
      <w:r>
        <w:rPr>
          <w:b/>
          <w:bCs/>
          <w:snapToGrid w:val="0"/>
        </w:rPr>
        <w:t>Examples:</w:t>
      </w:r>
    </w:p>
    <w:tbl>
      <w:tblPr>
        <w:tblW w:w="0" w:type="auto"/>
        <w:tblInd w:w="993" w:type="dxa"/>
        <w:tblLayout w:type="fixed"/>
        <w:tblCellMar>
          <w:left w:w="142" w:type="dxa"/>
          <w:right w:w="142" w:type="dxa"/>
        </w:tblCellMar>
        <w:tblLook w:val="0000" w:firstRow="0" w:lastRow="0" w:firstColumn="0" w:lastColumn="0" w:noHBand="0" w:noVBand="0"/>
      </w:tblPr>
      <w:tblGrid>
        <w:gridCol w:w="3118"/>
        <w:gridCol w:w="3119"/>
      </w:tblGrid>
      <w:tr>
        <w:tc>
          <w:tcPr>
            <w:tcW w:w="3118" w:type="dxa"/>
          </w:tcPr>
          <w:p>
            <w:pPr>
              <w:pStyle w:val="yTable"/>
              <w:spacing w:before="0"/>
              <w:jc w:val="center"/>
              <w:rPr>
                <w:b/>
                <w:sz w:val="18"/>
              </w:rPr>
            </w:pPr>
            <w:r>
              <w:rPr>
                <w:b/>
                <w:sz w:val="18"/>
              </w:rPr>
              <w:t>Actual Diameter</w:t>
            </w:r>
          </w:p>
          <w:p>
            <w:pPr>
              <w:pStyle w:val="yTable"/>
              <w:spacing w:before="0"/>
              <w:jc w:val="center"/>
              <w:rPr>
                <w:b/>
                <w:sz w:val="18"/>
              </w:rPr>
            </w:pPr>
            <w:r>
              <w:rPr>
                <w:b/>
                <w:sz w:val="18"/>
              </w:rPr>
              <w:t>(mm)</w:t>
            </w:r>
          </w:p>
        </w:tc>
        <w:tc>
          <w:tcPr>
            <w:tcW w:w="3119" w:type="dxa"/>
          </w:tcPr>
          <w:p>
            <w:pPr>
              <w:pStyle w:val="yTable"/>
              <w:spacing w:before="0"/>
              <w:jc w:val="center"/>
              <w:rPr>
                <w:b/>
                <w:sz w:val="18"/>
              </w:rPr>
            </w:pPr>
            <w:r>
              <w:rPr>
                <w:b/>
                <w:sz w:val="18"/>
              </w:rPr>
              <w:t>Entry on the Log Delivery Note</w:t>
            </w:r>
          </w:p>
          <w:p>
            <w:pPr>
              <w:pStyle w:val="yTable"/>
              <w:spacing w:before="0"/>
              <w:jc w:val="center"/>
              <w:rPr>
                <w:b/>
                <w:sz w:val="18"/>
              </w:rPr>
            </w:pPr>
            <w:r>
              <w:rPr>
                <w:b/>
                <w:sz w:val="18"/>
              </w:rPr>
              <w:t>(50 mm log class)</w:t>
            </w:r>
          </w:p>
          <w:p>
            <w:pPr>
              <w:pStyle w:val="yTable"/>
              <w:spacing w:before="0"/>
              <w:jc w:val="center"/>
              <w:rPr>
                <w:b/>
                <w:sz w:val="18"/>
              </w:rPr>
            </w:pPr>
            <w:r>
              <w:rPr>
                <w:b/>
                <w:sz w:val="18"/>
              </w:rPr>
              <w:t>(mm)</w:t>
            </w:r>
          </w:p>
        </w:tc>
      </w:tr>
      <w:tr>
        <w:tc>
          <w:tcPr>
            <w:tcW w:w="3118" w:type="dxa"/>
          </w:tcPr>
          <w:p>
            <w:pPr>
              <w:pStyle w:val="yTable"/>
              <w:spacing w:before="0"/>
              <w:jc w:val="center"/>
              <w:rPr>
                <w:sz w:val="18"/>
              </w:rPr>
            </w:pPr>
            <w:r>
              <w:rPr>
                <w:sz w:val="18"/>
              </w:rPr>
              <w:t>440</w:t>
            </w:r>
          </w:p>
        </w:tc>
        <w:tc>
          <w:tcPr>
            <w:tcW w:w="3119" w:type="dxa"/>
          </w:tcPr>
          <w:p>
            <w:pPr>
              <w:pStyle w:val="yTable"/>
              <w:spacing w:before="0"/>
              <w:jc w:val="center"/>
              <w:rPr>
                <w:sz w:val="18"/>
              </w:rPr>
            </w:pPr>
            <w:r>
              <w:rPr>
                <w:sz w:val="18"/>
              </w:rPr>
              <w:t>400</w:t>
            </w:r>
          </w:p>
        </w:tc>
      </w:tr>
      <w:tr>
        <w:tc>
          <w:tcPr>
            <w:tcW w:w="3118" w:type="dxa"/>
          </w:tcPr>
          <w:p>
            <w:pPr>
              <w:pStyle w:val="yTable"/>
              <w:spacing w:before="0"/>
              <w:jc w:val="center"/>
              <w:rPr>
                <w:sz w:val="18"/>
              </w:rPr>
            </w:pPr>
            <w:r>
              <w:rPr>
                <w:sz w:val="18"/>
              </w:rPr>
              <w:t>465</w:t>
            </w:r>
          </w:p>
        </w:tc>
        <w:tc>
          <w:tcPr>
            <w:tcW w:w="3119" w:type="dxa"/>
          </w:tcPr>
          <w:p>
            <w:pPr>
              <w:pStyle w:val="yTable"/>
              <w:spacing w:before="0"/>
              <w:jc w:val="center"/>
              <w:rPr>
                <w:sz w:val="18"/>
              </w:rPr>
            </w:pPr>
            <w:r>
              <w:rPr>
                <w:sz w:val="18"/>
              </w:rPr>
              <w:t>450</w:t>
            </w:r>
          </w:p>
        </w:tc>
      </w:tr>
      <w:tr>
        <w:tc>
          <w:tcPr>
            <w:tcW w:w="3118" w:type="dxa"/>
          </w:tcPr>
          <w:p>
            <w:pPr>
              <w:pStyle w:val="yTable"/>
              <w:spacing w:before="0"/>
              <w:jc w:val="center"/>
              <w:rPr>
                <w:sz w:val="18"/>
              </w:rPr>
            </w:pPr>
            <w:r>
              <w:rPr>
                <w:sz w:val="18"/>
              </w:rPr>
              <w:t>331</w:t>
            </w:r>
          </w:p>
        </w:tc>
        <w:tc>
          <w:tcPr>
            <w:tcW w:w="3119" w:type="dxa"/>
          </w:tcPr>
          <w:p>
            <w:pPr>
              <w:pStyle w:val="yTable"/>
              <w:spacing w:before="0"/>
              <w:jc w:val="center"/>
              <w:rPr>
                <w:sz w:val="18"/>
              </w:rPr>
            </w:pPr>
            <w:r>
              <w:rPr>
                <w:sz w:val="18"/>
              </w:rPr>
              <w:t>300</w:t>
            </w:r>
          </w:p>
        </w:tc>
      </w:tr>
      <w:tr>
        <w:tc>
          <w:tcPr>
            <w:tcW w:w="3118" w:type="dxa"/>
          </w:tcPr>
          <w:p>
            <w:pPr>
              <w:pStyle w:val="yTable"/>
              <w:spacing w:before="0"/>
              <w:jc w:val="center"/>
              <w:rPr>
                <w:sz w:val="18"/>
              </w:rPr>
            </w:pPr>
            <w:r>
              <w:rPr>
                <w:sz w:val="18"/>
              </w:rPr>
              <w:t>499</w:t>
            </w:r>
          </w:p>
        </w:tc>
        <w:tc>
          <w:tcPr>
            <w:tcW w:w="3119" w:type="dxa"/>
          </w:tcPr>
          <w:p>
            <w:pPr>
              <w:pStyle w:val="yTable"/>
              <w:spacing w:before="0"/>
              <w:jc w:val="center"/>
              <w:rPr>
                <w:sz w:val="18"/>
              </w:rPr>
            </w:pPr>
            <w:r>
              <w:rPr>
                <w:sz w:val="18"/>
              </w:rPr>
              <w:t>450</w:t>
            </w:r>
          </w:p>
        </w:tc>
      </w:tr>
    </w:tbl>
    <w:p>
      <w:pPr>
        <w:pStyle w:val="yHeading5"/>
        <w:outlineLvl w:val="9"/>
        <w:rPr>
          <w:snapToGrid w:val="0"/>
        </w:rPr>
      </w:pPr>
      <w:bookmarkStart w:id="512" w:name="_Toc155068152"/>
      <w:r>
        <w:rPr>
          <w:snapToGrid w:val="0"/>
        </w:rPr>
        <w:t>3.</w:t>
      </w:r>
      <w:r>
        <w:rPr>
          <w:snapToGrid w:val="0"/>
        </w:rPr>
        <w:tab/>
        <w:t>Calculation of volume</w:t>
      </w:r>
      <w:bookmarkEnd w:id="512"/>
    </w:p>
    <w:p>
      <w:pPr>
        <w:pStyle w:val="ySubsection"/>
        <w:rPr>
          <w:snapToGrid w:val="0"/>
        </w:rPr>
      </w:pPr>
      <w:r>
        <w:rPr>
          <w:snapToGrid w:val="0"/>
        </w:rPr>
        <w:tab/>
      </w:r>
      <w:r>
        <w:rPr>
          <w:snapToGrid w:val="0"/>
        </w:rPr>
        <w:tab/>
        <w:t>The volume of the log timber (in cubic metres) is calculated by the Department by use of log volume tables, using the length and diameter measurements entered on the log delivery note under clauses 1 and 2.</w:t>
      </w:r>
    </w:p>
    <w:p>
      <w:pPr>
        <w:pStyle w:val="yHeading2"/>
      </w:pPr>
      <w:bookmarkStart w:id="513" w:name="_Toc155068153"/>
      <w:r>
        <w:t>Part C — Determination of quantity of log timber by weighing</w:t>
      </w:r>
      <w:bookmarkEnd w:id="513"/>
    </w:p>
    <w:p>
      <w:pPr>
        <w:pStyle w:val="yHeading5"/>
        <w:outlineLvl w:val="9"/>
        <w:rPr>
          <w:snapToGrid w:val="0"/>
        </w:rPr>
      </w:pPr>
    </w:p>
    <w:p>
      <w:pPr>
        <w:pStyle w:val="ySubsection"/>
        <w:rPr>
          <w:snapToGrid w:val="0"/>
        </w:rPr>
      </w:pPr>
      <w:r>
        <w:rPr>
          <w:snapToGrid w:val="0"/>
        </w:rPr>
        <w:tab/>
      </w:r>
      <w:r>
        <w:rPr>
          <w:snapToGrid w:val="0"/>
        </w:rPr>
        <w:tab/>
        <w:t>For the purpose of determining the quantity of log timber by weighing the following provisions shall be complied with — </w:t>
      </w:r>
    </w:p>
    <w:p>
      <w:pPr>
        <w:pStyle w:val="yHeading5"/>
        <w:outlineLvl w:val="0"/>
        <w:rPr>
          <w:snapToGrid w:val="0"/>
        </w:rPr>
      </w:pPr>
      <w:bookmarkStart w:id="514" w:name="_Toc155068154"/>
      <w:r>
        <w:rPr>
          <w:snapToGrid w:val="0"/>
        </w:rPr>
        <w:t>1.</w:t>
      </w:r>
      <w:r>
        <w:rPr>
          <w:snapToGrid w:val="0"/>
        </w:rPr>
        <w:tab/>
        <w:t>Equipment</w:t>
      </w:r>
      <w:bookmarkEnd w:id="514"/>
    </w:p>
    <w:p>
      <w:pPr>
        <w:pStyle w:val="ySubsection"/>
        <w:rPr>
          <w:snapToGrid w:val="0"/>
        </w:rPr>
      </w:pPr>
      <w:r>
        <w:rPr>
          <w:snapToGrid w:val="0"/>
        </w:rPr>
        <w:tab/>
      </w:r>
      <w:r>
        <w:rPr>
          <w:snapToGrid w:val="0"/>
        </w:rPr>
        <w:tab/>
        <w:t>Weighing of log timber shall only be carried out on a weighbridge or other weighing equipment that has been approved for that purpose by the Executive Director.</w:t>
      </w:r>
    </w:p>
    <w:p>
      <w:pPr>
        <w:pStyle w:val="yHeading5"/>
        <w:outlineLvl w:val="0"/>
        <w:rPr>
          <w:snapToGrid w:val="0"/>
        </w:rPr>
      </w:pPr>
      <w:bookmarkStart w:id="515" w:name="_Toc155068155"/>
      <w:r>
        <w:rPr>
          <w:snapToGrid w:val="0"/>
        </w:rPr>
        <w:t>2.</w:t>
      </w:r>
      <w:r>
        <w:rPr>
          <w:snapToGrid w:val="0"/>
        </w:rPr>
        <w:tab/>
        <w:t>Printer requirements</w:t>
      </w:r>
      <w:bookmarkEnd w:id="515"/>
    </w:p>
    <w:p>
      <w:pPr>
        <w:pStyle w:val="ySubsection"/>
        <w:rPr>
          <w:snapToGrid w:val="0"/>
        </w:rPr>
      </w:pPr>
      <w:r>
        <w:rPr>
          <w:snapToGrid w:val="0"/>
        </w:rPr>
        <w:tab/>
      </w:r>
      <w:r>
        <w:rPr>
          <w:snapToGrid w:val="0"/>
        </w:rPr>
        <w:tab/>
        <w:t>A weighbridge shall only be used for weighing log timber if the weighbridge is fitted with a printer that is capable of printing on the log delivery note, or on a weighbridge ticket that can be attached to the log delivery note, the following information — </w:t>
      </w:r>
    </w:p>
    <w:p>
      <w:pPr>
        <w:pStyle w:val="yIndenta"/>
        <w:rPr>
          <w:snapToGrid w:val="0"/>
        </w:rPr>
      </w:pPr>
      <w:r>
        <w:rPr>
          <w:snapToGrid w:val="0"/>
        </w:rPr>
        <w:tab/>
        <w:t>(a)</w:t>
      </w:r>
      <w:r>
        <w:rPr>
          <w:snapToGrid w:val="0"/>
        </w:rPr>
        <w:tab/>
        <w:t>the time and date of weighing;</w:t>
      </w:r>
    </w:p>
    <w:p>
      <w:pPr>
        <w:pStyle w:val="yIndenta"/>
        <w:rPr>
          <w:snapToGrid w:val="0"/>
        </w:rPr>
      </w:pPr>
      <w:r>
        <w:rPr>
          <w:snapToGrid w:val="0"/>
        </w:rPr>
        <w:tab/>
        <w:t>(b)</w:t>
      </w:r>
      <w:r>
        <w:rPr>
          <w:snapToGrid w:val="0"/>
        </w:rPr>
        <w:tab/>
        <w:t>the place of weighing i.e. details of the weighbridge used;</w:t>
      </w:r>
    </w:p>
    <w:p>
      <w:pPr>
        <w:pStyle w:val="yIndenta"/>
        <w:rPr>
          <w:snapToGrid w:val="0"/>
        </w:rPr>
      </w:pPr>
      <w:r>
        <w:rPr>
          <w:snapToGrid w:val="0"/>
        </w:rPr>
        <w:tab/>
        <w:t>(c)</w:t>
      </w:r>
      <w:r>
        <w:rPr>
          <w:snapToGrid w:val="0"/>
        </w:rPr>
        <w:tab/>
        <w:t>the weight of the log timber to the nearest 0.1 tonne; and</w:t>
      </w:r>
    </w:p>
    <w:p>
      <w:pPr>
        <w:pStyle w:val="yIndenta"/>
        <w:rPr>
          <w:snapToGrid w:val="0"/>
        </w:rPr>
      </w:pPr>
      <w:r>
        <w:rPr>
          <w:snapToGrid w:val="0"/>
        </w:rPr>
        <w:tab/>
        <w:t>(d)</w:t>
      </w:r>
      <w:r>
        <w:rPr>
          <w:snapToGrid w:val="0"/>
        </w:rPr>
        <w:tab/>
        <w:t>whether the weight is the gross weight or the tare weight.</w:t>
      </w:r>
    </w:p>
    <w:p>
      <w:pPr>
        <w:pStyle w:val="yHeading5"/>
        <w:outlineLvl w:val="0"/>
        <w:rPr>
          <w:snapToGrid w:val="0"/>
        </w:rPr>
      </w:pPr>
      <w:bookmarkStart w:id="516" w:name="_Toc155068156"/>
      <w:r>
        <w:rPr>
          <w:snapToGrid w:val="0"/>
        </w:rPr>
        <w:t>3.</w:t>
      </w:r>
      <w:r>
        <w:rPr>
          <w:snapToGrid w:val="0"/>
        </w:rPr>
        <w:tab/>
        <w:t>Weighing procedure at an “on site” weighbridge</w:t>
      </w:r>
      <w:bookmarkEnd w:id="516"/>
    </w:p>
    <w:p>
      <w:pPr>
        <w:pStyle w:val="ySubsection"/>
        <w:rPr>
          <w:snapToGrid w:val="0"/>
        </w:rPr>
      </w:pPr>
      <w:r>
        <w:rPr>
          <w:snapToGrid w:val="0"/>
        </w:rPr>
        <w:tab/>
      </w:r>
      <w:r>
        <w:rPr>
          <w:snapToGrid w:val="0"/>
        </w:rPr>
        <w:tab/>
        <w:t>Where weighing of log timber is to be carried out on a weighbridge at the sawmill where the timber is to be processed — </w:t>
      </w:r>
    </w:p>
    <w:p>
      <w:pPr>
        <w:pStyle w:val="yIndenta"/>
        <w:rPr>
          <w:snapToGrid w:val="0"/>
        </w:rPr>
      </w:pPr>
      <w:r>
        <w:rPr>
          <w:snapToGrid w:val="0"/>
        </w:rPr>
        <w:tab/>
        <w:t>(a)</w:t>
      </w:r>
      <w:r>
        <w:rPr>
          <w:snapToGrid w:val="0"/>
        </w:rPr>
        <w:tab/>
        <w:t>the gross weight of the load shall be determined immediately before the log timber is unloaded;</w:t>
      </w:r>
    </w:p>
    <w:p>
      <w:pPr>
        <w:pStyle w:val="yIndenta"/>
        <w:rPr>
          <w:snapToGrid w:val="0"/>
        </w:rPr>
      </w:pPr>
      <w:r>
        <w:rPr>
          <w:snapToGrid w:val="0"/>
        </w:rPr>
        <w:tab/>
        <w:t>(b)</w:t>
      </w:r>
      <w:r>
        <w:rPr>
          <w:snapToGrid w:val="0"/>
        </w:rPr>
        <w:tab/>
        <w:t>the tare weight of the vehicle shall be determined immediately after the log timber is unloaded;</w:t>
      </w:r>
    </w:p>
    <w:p>
      <w:pPr>
        <w:pStyle w:val="yIndenta"/>
        <w:rPr>
          <w:snapToGrid w:val="0"/>
        </w:rPr>
      </w:pPr>
      <w:r>
        <w:rPr>
          <w:snapToGrid w:val="0"/>
        </w:rPr>
        <w:tab/>
        <w:t>(c)</w:t>
      </w:r>
      <w:r>
        <w:rPr>
          <w:snapToGrid w:val="0"/>
        </w:rPr>
        <w:tab/>
        <w:t>the net weight of the log timber shall be ascertained by deducting the tare weight from the gross weight of the load;</w:t>
      </w:r>
    </w:p>
    <w:p>
      <w:pPr>
        <w:pStyle w:val="yIndenta"/>
        <w:rPr>
          <w:snapToGrid w:val="0"/>
        </w:rPr>
      </w:pPr>
      <w:r>
        <w:rPr>
          <w:snapToGrid w:val="0"/>
        </w:rPr>
        <w:tab/>
        <w:t>(d)</w:t>
      </w:r>
      <w:r>
        <w:rPr>
          <w:snapToGrid w:val="0"/>
        </w:rPr>
        <w:tab/>
        <w: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t>
      </w:r>
    </w:p>
    <w:p>
      <w:pPr>
        <w:pStyle w:val="yHeading5"/>
        <w:outlineLvl w:val="0"/>
        <w:rPr>
          <w:snapToGrid w:val="0"/>
        </w:rPr>
      </w:pPr>
      <w:bookmarkStart w:id="517" w:name="_Toc155068157"/>
      <w:r>
        <w:rPr>
          <w:snapToGrid w:val="0"/>
        </w:rPr>
        <w:t>4.</w:t>
      </w:r>
      <w:r>
        <w:rPr>
          <w:snapToGrid w:val="0"/>
        </w:rPr>
        <w:tab/>
        <w:t>Weighing procedure at an “off site” weighbridge</w:t>
      </w:r>
      <w:bookmarkEnd w:id="517"/>
    </w:p>
    <w:p>
      <w:pPr>
        <w:pStyle w:val="ySubsection"/>
        <w:rPr>
          <w:snapToGrid w:val="0"/>
        </w:rPr>
      </w:pPr>
      <w:r>
        <w:rPr>
          <w:snapToGrid w:val="0"/>
        </w:rPr>
        <w:tab/>
      </w:r>
      <w:r>
        <w:rPr>
          <w:snapToGrid w:val="0"/>
        </w:rPr>
        <w:tab/>
        <w:t>Where weighing of log timber is to be carried out on a weighbridge that is not situated at the sawmill where the timber is to be processed — </w:t>
      </w:r>
    </w:p>
    <w:p>
      <w:pPr>
        <w:pStyle w:val="yIndenta"/>
        <w:rPr>
          <w:snapToGrid w:val="0"/>
        </w:rPr>
      </w:pPr>
      <w:r>
        <w:rPr>
          <w:snapToGrid w:val="0"/>
        </w:rPr>
        <w:tab/>
        <w:t>(a)</w:t>
      </w:r>
      <w:r>
        <w:rPr>
          <w:snapToGrid w:val="0"/>
        </w:rPr>
        <w:tab/>
        <w:t>the gross weight of the load shall be determined as soon as is practicable before unloading;</w:t>
      </w:r>
    </w:p>
    <w:p>
      <w:pPr>
        <w:pStyle w:val="yIndenta"/>
        <w:rPr>
          <w:snapToGrid w:val="0"/>
        </w:rPr>
      </w:pPr>
      <w:r>
        <w:rPr>
          <w:snapToGrid w:val="0"/>
        </w:rPr>
        <w:tab/>
        <w:t>(b)</w:t>
      </w:r>
      <w:r>
        <w:rPr>
          <w:snapToGrid w:val="0"/>
        </w:rPr>
        <w:tab/>
        <w:t>after the gross weight of the load has been determined, the vehicle shall proceed directly to the sawmill by the shortest practical route;</w:t>
      </w:r>
    </w:p>
    <w:p>
      <w:pPr>
        <w:pStyle w:val="yIndenta"/>
        <w:rPr>
          <w:snapToGrid w:val="0"/>
        </w:rPr>
      </w:pPr>
      <w:r>
        <w:rPr>
          <w:snapToGrid w:val="0"/>
        </w:rPr>
        <w:tab/>
        <w:t>(c)</w:t>
      </w:r>
      <w:r>
        <w:rPr>
          <w:snapToGrid w:val="0"/>
        </w:rPr>
        <w:tab/>
        <w:t>after the log timber is unloaded, the vehicle shall immediately proceed by the shortest practical route to the weighbridge where the tare weight of the vehicle shall be determined;</w:t>
      </w:r>
    </w:p>
    <w:p>
      <w:pPr>
        <w:pStyle w:val="yIndenta"/>
        <w:rPr>
          <w:snapToGrid w:val="0"/>
        </w:rPr>
      </w:pPr>
      <w:r>
        <w:rPr>
          <w:snapToGrid w:val="0"/>
        </w:rPr>
        <w:tab/>
        <w:t>(d)</w:t>
      </w:r>
      <w:r>
        <w:rPr>
          <w:snapToGrid w:val="0"/>
        </w:rPr>
        <w:tab/>
        <w:t>except in the event of an emergency, no fuel, oil, stores or persons shall be collected, and no change of equipment shall be made, between unloading the log timber and reweighing the vehicle at the weighbridge to determine the tare weight;</w:t>
      </w:r>
    </w:p>
    <w:p>
      <w:pPr>
        <w:pStyle w:val="yIndenta"/>
        <w:rPr>
          <w:snapToGrid w:val="0"/>
        </w:rPr>
      </w:pPr>
      <w:r>
        <w:rPr>
          <w:snapToGrid w:val="0"/>
        </w:rPr>
        <w:tab/>
        <w:t>(e)</w:t>
      </w:r>
      <w:r>
        <w:rPr>
          <w:snapToGrid w:val="0"/>
        </w:rPr>
        <w:tab/>
        <w:t>where approval is given by the Executive Director a method other than weighing at a weighbridge may be used to determine the tare weight of a vehicle;</w:t>
      </w:r>
    </w:p>
    <w:p>
      <w:pPr>
        <w:pStyle w:val="yIndenta"/>
        <w:rPr>
          <w:snapToGrid w:val="0"/>
        </w:rPr>
      </w:pPr>
      <w:r>
        <w:rPr>
          <w:snapToGrid w:val="0"/>
        </w:rPr>
        <w:tab/>
        <w:t>(f)</w:t>
      </w:r>
      <w:r>
        <w:rPr>
          <w:snapToGrid w:val="0"/>
        </w:rPr>
        <w:tab/>
        <w:t xml:space="preserve">the net weight of a load shall be determined by deducting the tare weight of the vehicle from the gross weight of the load; </w:t>
      </w:r>
    </w:p>
    <w:p>
      <w:pPr>
        <w:pStyle w:val="yIndenta"/>
        <w:rPr>
          <w:snapToGrid w:val="0"/>
        </w:rPr>
      </w:pPr>
      <w:r>
        <w:rPr>
          <w:snapToGrid w:val="0"/>
        </w:rPr>
        <w:tab/>
        <w:t>(g)</w:t>
      </w:r>
      <w:r>
        <w:rPr>
          <w:snapToGrid w:val="0"/>
        </w:rPr>
        <w:tab/>
        <w: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t>
      </w:r>
    </w:p>
    <w:p>
      <w:pPr>
        <w:pStyle w:val="yHeading5"/>
        <w:outlineLvl w:val="0"/>
        <w:rPr>
          <w:snapToGrid w:val="0"/>
        </w:rPr>
      </w:pPr>
      <w:r>
        <w:rPr>
          <w:snapToGrid w:val="0"/>
        </w:rPr>
        <w:tab/>
      </w:r>
      <w:bookmarkStart w:id="518" w:name="_Toc155068158"/>
      <w:r>
        <w:rPr>
          <w:snapToGrid w:val="0"/>
        </w:rPr>
        <w:t>Procedure on breakdown of weighing equipment</w:t>
      </w:r>
      <w:bookmarkEnd w:id="518"/>
    </w:p>
    <w:p>
      <w:pPr>
        <w:pStyle w:val="ySubsection"/>
        <w:rPr>
          <w:snapToGrid w:val="0"/>
        </w:rPr>
      </w:pPr>
      <w:r>
        <w:rPr>
          <w:snapToGrid w:val="0"/>
        </w:rPr>
        <w:tab/>
        <w:t>5.1</w:t>
      </w:r>
      <w:r>
        <w:rPr>
          <w:snapToGrid w:val="0"/>
        </w:rPr>
        <w:tab/>
        <w:t>Where weighing equipment that has been approved by the Executive Director for the weighing of log timber breaks down, the manager of the sawmill at which the weighbridge is located shall immediately notify the forest officer in charge of the district in which the sawmill is located of the breakdown.</w:t>
      </w:r>
    </w:p>
    <w:p>
      <w:pPr>
        <w:pStyle w:val="ySubsection"/>
        <w:keepNext/>
        <w:rPr>
          <w:snapToGrid w:val="0"/>
        </w:rPr>
      </w:pPr>
      <w:r>
        <w:rPr>
          <w:snapToGrid w:val="0"/>
        </w:rPr>
        <w:tab/>
        <w:t>5.2</w:t>
      </w:r>
      <w:r>
        <w:rPr>
          <w:snapToGrid w:val="0"/>
        </w:rPr>
        <w:tab/>
        <w:t>In the event of a breakdown referred to in clause 5.1, the Executive Director may authorize — </w:t>
      </w:r>
    </w:p>
    <w:p>
      <w:pPr>
        <w:pStyle w:val="yIndenta"/>
        <w:rPr>
          <w:snapToGrid w:val="0"/>
        </w:rPr>
      </w:pPr>
      <w:r>
        <w:rPr>
          <w:snapToGrid w:val="0"/>
        </w:rPr>
        <w:tab/>
        <w:t>(a)</w:t>
      </w:r>
      <w:r>
        <w:rPr>
          <w:snapToGrid w:val="0"/>
        </w:rPr>
        <w:tab/>
        <w:t>use of alternative weighing equipment;</w:t>
      </w:r>
    </w:p>
    <w:p>
      <w:pPr>
        <w:pStyle w:val="yIndenta"/>
        <w:rPr>
          <w:snapToGrid w:val="0"/>
        </w:rPr>
      </w:pPr>
      <w:r>
        <w:rPr>
          <w:snapToGrid w:val="0"/>
        </w:rPr>
        <w:tab/>
        <w:t>(b)</w:t>
      </w:r>
      <w:r>
        <w:rPr>
          <w:snapToGrid w:val="0"/>
        </w:rPr>
        <w:tab/>
        <w:t>the determination of the net weight of a load based upon the average net weight of loads for the relevant vehicle over the previous period of 2 months;</w:t>
      </w:r>
    </w:p>
    <w:p>
      <w:pPr>
        <w:pStyle w:val="yIndenta"/>
        <w:rPr>
          <w:snapToGrid w:val="0"/>
        </w:rPr>
      </w:pPr>
      <w:r>
        <w:rPr>
          <w:snapToGrid w:val="0"/>
        </w:rPr>
        <w:tab/>
        <w:t>(c)</w:t>
      </w:r>
      <w:r>
        <w:rPr>
          <w:snapToGrid w:val="0"/>
        </w:rPr>
        <w:tab/>
        <w:t>determination of the volume of the log timber by bin measure under Part D; or</w:t>
      </w:r>
    </w:p>
    <w:p>
      <w:pPr>
        <w:pStyle w:val="yIndenta"/>
        <w:rPr>
          <w:snapToGrid w:val="0"/>
        </w:rPr>
      </w:pPr>
      <w:r>
        <w:rPr>
          <w:snapToGrid w:val="0"/>
        </w:rPr>
        <w:tab/>
        <w:t>(d)</w:t>
      </w:r>
      <w:r>
        <w:rPr>
          <w:snapToGrid w:val="0"/>
        </w:rPr>
        <w:tab/>
        <w:t>determination of the volume of the log timber by individual measurement under Part A or B.</w:t>
      </w:r>
    </w:p>
    <w:p>
      <w:pPr>
        <w:pStyle w:val="ySubsection"/>
        <w:rPr>
          <w:snapToGrid w:val="0"/>
        </w:rPr>
      </w:pPr>
      <w:r>
        <w:rPr>
          <w:snapToGrid w:val="0"/>
        </w:rPr>
        <w:tab/>
        <w:t>5.3</w:t>
      </w:r>
      <w:r>
        <w:rPr>
          <w:snapToGrid w:val="0"/>
        </w:rPr>
        <w:tab/>
        <w:t>In the event of a breakdown, the quantity of log timber shall be determined by use of the alternative method approved under clause 5.2 until the weighing equipment is repaired.</w:t>
      </w:r>
    </w:p>
    <w:p>
      <w:pPr>
        <w:pStyle w:val="yHeading5"/>
        <w:outlineLvl w:val="0"/>
        <w:rPr>
          <w:snapToGrid w:val="0"/>
        </w:rPr>
      </w:pPr>
      <w:bookmarkStart w:id="519" w:name="_Toc155068159"/>
      <w:r>
        <w:rPr>
          <w:snapToGrid w:val="0"/>
        </w:rPr>
        <w:t>6.</w:t>
      </w:r>
      <w:r>
        <w:rPr>
          <w:snapToGrid w:val="0"/>
        </w:rPr>
        <w:tab/>
        <w:t>Procedure where vehicle and trailer cannot be weighed together</w:t>
      </w:r>
      <w:bookmarkEnd w:id="519"/>
    </w:p>
    <w:p>
      <w:pPr>
        <w:pStyle w:val="ySubsection"/>
        <w:rPr>
          <w:snapToGrid w:val="0"/>
        </w:rPr>
      </w:pPr>
      <w:r>
        <w:rPr>
          <w:snapToGrid w:val="0"/>
        </w:rPr>
        <w:tab/>
      </w:r>
      <w:r>
        <w:rPr>
          <w:snapToGrid w:val="0"/>
        </w:rPr>
        <w:tab/>
        <w:t>Where a vehicle and a trailer carrying log timber cannot be weighed together on a weighbridge, then the vehicle and the trailer — </w:t>
      </w:r>
    </w:p>
    <w:p>
      <w:pPr>
        <w:pStyle w:val="yIndenta"/>
        <w:rPr>
          <w:snapToGrid w:val="0"/>
        </w:rPr>
      </w:pPr>
      <w:r>
        <w:rPr>
          <w:snapToGrid w:val="0"/>
        </w:rPr>
        <w:tab/>
        <w:t>(a)</w:t>
      </w:r>
      <w:r>
        <w:rPr>
          <w:snapToGrid w:val="0"/>
        </w:rPr>
        <w:tab/>
        <w:t>shall be weighed separately; and</w:t>
      </w:r>
    </w:p>
    <w:p>
      <w:pPr>
        <w:pStyle w:val="yIndenta"/>
        <w:rPr>
          <w:snapToGrid w:val="0"/>
        </w:rPr>
      </w:pPr>
      <w:r>
        <w:rPr>
          <w:snapToGrid w:val="0"/>
        </w:rPr>
        <w:tab/>
        <w:t>(b)</w:t>
      </w:r>
      <w:r>
        <w:rPr>
          <w:snapToGrid w:val="0"/>
        </w:rPr>
        <w:tab/>
        <w:t>shall be the subject of separate log delivery notes.</w:t>
      </w:r>
    </w:p>
    <w:p>
      <w:pPr>
        <w:pStyle w:val="yHeading2"/>
      </w:pPr>
      <w:bookmarkStart w:id="520" w:name="_Toc155068160"/>
      <w:r>
        <w:t>Part D — Determination of volume of log timber by bin measure</w:t>
      </w:r>
      <w:bookmarkEnd w:id="520"/>
    </w:p>
    <w:p>
      <w:pPr>
        <w:pStyle w:val="yHeading5"/>
        <w:outlineLvl w:val="9"/>
        <w:rPr>
          <w:snapToGrid w:val="0"/>
        </w:rPr>
      </w:pPr>
    </w:p>
    <w:p>
      <w:pPr>
        <w:pStyle w:val="ySubsection"/>
        <w:rPr>
          <w:snapToGrid w:val="0"/>
        </w:rPr>
      </w:pPr>
      <w:r>
        <w:rPr>
          <w:snapToGrid w:val="0"/>
        </w:rPr>
        <w:tab/>
      </w:r>
      <w:r>
        <w:rPr>
          <w:snapToGrid w:val="0"/>
        </w:rPr>
        <w:tab/>
        <w:t>For the purpose of determining the volume of log timber by bin measurement the following provisions shall be complied with — </w:t>
      </w:r>
    </w:p>
    <w:p>
      <w:pPr>
        <w:pStyle w:val="yHeading5"/>
        <w:outlineLvl w:val="0"/>
        <w:rPr>
          <w:snapToGrid w:val="0"/>
        </w:rPr>
      </w:pPr>
      <w:bookmarkStart w:id="521" w:name="_Toc155068161"/>
      <w:r>
        <w:rPr>
          <w:snapToGrid w:val="0"/>
        </w:rPr>
        <w:t>1.</w:t>
      </w:r>
      <w:r>
        <w:rPr>
          <w:snapToGrid w:val="0"/>
        </w:rPr>
        <w:tab/>
        <w:t>Length of timber</w:t>
      </w:r>
      <w:bookmarkEnd w:id="521"/>
    </w:p>
    <w:p>
      <w:pPr>
        <w:pStyle w:val="ySubsection"/>
        <w:rPr>
          <w:snapToGrid w:val="0"/>
        </w:rPr>
      </w:pPr>
      <w:r>
        <w:rPr>
          <w:snapToGrid w:val="0"/>
        </w:rPr>
        <w:tab/>
      </w:r>
      <w:r>
        <w:rPr>
          <w:snapToGrid w:val="0"/>
        </w:rPr>
        <w:tab/>
        <w:t>All log timber in a bin shall be trimmed to the same length. The length of the logs shall then be measured and the length measurement entered on the log delivery note.</w:t>
      </w:r>
    </w:p>
    <w:p>
      <w:pPr>
        <w:pStyle w:val="yHeading5"/>
        <w:outlineLvl w:val="0"/>
        <w:rPr>
          <w:snapToGrid w:val="0"/>
        </w:rPr>
      </w:pPr>
      <w:bookmarkStart w:id="522" w:name="_Toc155068162"/>
      <w:r>
        <w:rPr>
          <w:snapToGrid w:val="0"/>
        </w:rPr>
        <w:t>2.</w:t>
      </w:r>
      <w:r>
        <w:rPr>
          <w:snapToGrid w:val="0"/>
        </w:rPr>
        <w:tab/>
        <w:t>Height of load</w:t>
      </w:r>
      <w:bookmarkEnd w:id="522"/>
    </w:p>
    <w:p>
      <w:pPr>
        <w:pStyle w:val="ySubsection"/>
        <w:rPr>
          <w:snapToGrid w:val="0"/>
        </w:rPr>
      </w:pPr>
      <w:r>
        <w:rPr>
          <w:snapToGrid w:val="0"/>
        </w:rPr>
        <w:tab/>
      </w:r>
      <w:r>
        <w:rPr>
          <w:snapToGrid w:val="0"/>
        </w:rPr>
        <w:tab/>
        <w:t>Log timber in a bin shall be trimmed so that the top of the load is as level as possible.</w:t>
      </w:r>
    </w:p>
    <w:p>
      <w:pPr>
        <w:pStyle w:val="ySubsection"/>
        <w:keepNext/>
        <w:keepLines/>
        <w:rPr>
          <w:snapToGrid w:val="0"/>
        </w:rPr>
      </w:pPr>
      <w:r>
        <w:rPr>
          <w:snapToGrid w:val="0"/>
        </w:rPr>
        <w:tab/>
      </w:r>
      <w:r>
        <w:rPr>
          <w:snapToGrid w:val="0"/>
        </w:rPr>
        <w:tab/>
        <w:t>The height of the load shall be measured from the top of the bolsters on the bed of the vehicle to the top of the load using an official measuring stick issued by the Department that is graduated in increments of 100 mm.</w:t>
      </w:r>
    </w:p>
    <w:p>
      <w:pPr>
        <w:pStyle w:val="ySubsection"/>
        <w:rPr>
          <w:snapToGrid w:val="0"/>
        </w:rPr>
      </w:pPr>
      <w:r>
        <w:rPr>
          <w:snapToGrid w:val="0"/>
        </w:rPr>
        <w:tab/>
      </w:r>
      <w:r>
        <w:rPr>
          <w:snapToGrid w:val="0"/>
        </w:rPr>
        <w:tab/>
        <w:t>The height of the load shall be measured at 2 of the stanchions and at the centre of the log length. The 3 height measurements shall then be averaged and the average height measurement shall be entered in the log delivery note.</w:t>
      </w:r>
    </w:p>
    <w:p>
      <w:pPr>
        <w:pStyle w:val="yHeading5"/>
        <w:outlineLvl w:val="0"/>
        <w:rPr>
          <w:snapToGrid w:val="0"/>
        </w:rPr>
      </w:pPr>
      <w:bookmarkStart w:id="523" w:name="_Toc155068163"/>
      <w:r>
        <w:rPr>
          <w:snapToGrid w:val="0"/>
        </w:rPr>
        <w:t>3.</w:t>
      </w:r>
      <w:r>
        <w:rPr>
          <w:snapToGrid w:val="0"/>
        </w:rPr>
        <w:tab/>
        <w:t>Width of load</w:t>
      </w:r>
      <w:bookmarkEnd w:id="523"/>
    </w:p>
    <w:p>
      <w:pPr>
        <w:pStyle w:val="ySubsection"/>
        <w:rPr>
          <w:snapToGrid w:val="0"/>
        </w:rPr>
      </w:pPr>
      <w:r>
        <w:rPr>
          <w:snapToGrid w:val="0"/>
        </w:rPr>
        <w:tab/>
      </w:r>
      <w:r>
        <w:rPr>
          <w:snapToGrid w:val="0"/>
        </w:rPr>
        <w:tab/>
        <w:t>The width of a load shall be measured between the stanchions on each side of the bin and shall be the minimum width between those stanchions. The width of the load shall then be entered in the log delivery note.</w:t>
      </w:r>
    </w:p>
    <w:p>
      <w:pPr>
        <w:pStyle w:val="yHeading5"/>
        <w:outlineLvl w:val="0"/>
        <w:rPr>
          <w:snapToGrid w:val="0"/>
        </w:rPr>
      </w:pPr>
      <w:bookmarkStart w:id="524" w:name="_Toc155068164"/>
      <w:r>
        <w:rPr>
          <w:snapToGrid w:val="0"/>
        </w:rPr>
        <w:t>4.</w:t>
      </w:r>
      <w:r>
        <w:rPr>
          <w:snapToGrid w:val="0"/>
        </w:rPr>
        <w:tab/>
        <w:t>Stacking of timber</w:t>
      </w:r>
      <w:bookmarkEnd w:id="524"/>
    </w:p>
    <w:p>
      <w:pPr>
        <w:pStyle w:val="ySubsection"/>
        <w:rPr>
          <w:snapToGrid w:val="0"/>
        </w:rPr>
      </w:pPr>
      <w:r>
        <w:rPr>
          <w:snapToGrid w:val="0"/>
        </w:rPr>
        <w:tab/>
      </w:r>
      <w:r>
        <w:rPr>
          <w:snapToGrid w:val="0"/>
        </w:rPr>
        <w:tab/>
        <w:t>Logs in a bin must be stacked uniformly and so that no logs are crossed.</w:t>
      </w:r>
    </w:p>
    <w:p>
      <w:pPr>
        <w:pStyle w:val="yHeading5"/>
        <w:outlineLvl w:val="0"/>
        <w:rPr>
          <w:snapToGrid w:val="0"/>
        </w:rPr>
      </w:pPr>
      <w:bookmarkStart w:id="525" w:name="_Toc155068165"/>
      <w:r>
        <w:rPr>
          <w:snapToGrid w:val="0"/>
        </w:rPr>
        <w:t>5.</w:t>
      </w:r>
      <w:r>
        <w:rPr>
          <w:snapToGrid w:val="0"/>
        </w:rPr>
        <w:tab/>
        <w:t>Miscellaneous</w:t>
      </w:r>
      <w:bookmarkEnd w:id="525"/>
    </w:p>
    <w:p>
      <w:pPr>
        <w:pStyle w:val="ySubsection"/>
        <w:rPr>
          <w:snapToGrid w:val="0"/>
        </w:rPr>
      </w:pPr>
      <w:r>
        <w:rPr>
          <w:snapToGrid w:val="0"/>
        </w:rPr>
        <w:tab/>
      </w:r>
      <w:r>
        <w:rPr>
          <w:snapToGrid w:val="0"/>
        </w:rPr>
        <w:tab/>
        <w:t>The stanchions in a bin shall be vertical. All measurements must be made while the load binder chains are secured.</w:t>
      </w:r>
    </w:p>
    <w:p>
      <w:pPr>
        <w:pStyle w:val="ySubsection"/>
        <w:rPr>
          <w:snapToGrid w:val="0"/>
        </w:rPr>
      </w:pPr>
      <w:r>
        <w:rPr>
          <w:snapToGrid w:val="0"/>
        </w:rPr>
        <w:tab/>
      </w:r>
      <w:r>
        <w:rPr>
          <w:snapToGrid w:val="0"/>
        </w:rPr>
        <w:tab/>
        <w:t>All measurements shall be made by a representative of the buyer and the driver of the vehicle.</w:t>
      </w:r>
    </w:p>
    <w:p>
      <w:pPr>
        <w:pStyle w:val="yHeading5"/>
        <w:outlineLvl w:val="0"/>
        <w:rPr>
          <w:snapToGrid w:val="0"/>
        </w:rPr>
      </w:pPr>
      <w:bookmarkStart w:id="526" w:name="_Toc155068166"/>
      <w:r>
        <w:rPr>
          <w:snapToGrid w:val="0"/>
        </w:rPr>
        <w:t>6.</w:t>
      </w:r>
      <w:r>
        <w:rPr>
          <w:snapToGrid w:val="0"/>
        </w:rPr>
        <w:tab/>
        <w:t>Calculation of volume</w:t>
      </w:r>
      <w:bookmarkEnd w:id="526"/>
    </w:p>
    <w:p>
      <w:pPr>
        <w:pStyle w:val="ySubsection"/>
        <w:rPr>
          <w:snapToGrid w:val="0"/>
        </w:rPr>
      </w:pPr>
      <w:r>
        <w:rPr>
          <w:snapToGrid w:val="0"/>
        </w:rPr>
        <w:tab/>
      </w:r>
      <w:r>
        <w:rPr>
          <w:snapToGrid w:val="0"/>
        </w:rPr>
        <w:tab/>
        <w:t>The Department will calculate the volume of the bin using the length, height and width measurements entered on the log delivery note under clauses 1, 2 and 3.</w:t>
      </w:r>
    </w:p>
    <w:p>
      <w:pPr>
        <w:pStyle w:val="ySubsection"/>
        <w:rPr>
          <w:snapToGrid w:val="0"/>
        </w:rPr>
      </w:pPr>
      <w:r>
        <w:rPr>
          <w:snapToGrid w:val="0"/>
        </w:rPr>
        <w:tab/>
      </w:r>
      <w:r>
        <w:rPr>
          <w:snapToGrid w:val="0"/>
        </w:rPr>
        <w:tab/>
        <w:t>The volume of log timber in a load is calculated by the Department by use of tables of conversion factors which take into account air space volume and log bark volume in the bin.</w:t>
      </w:r>
    </w:p>
    <w:p>
      <w:pPr>
        <w:pStyle w:val="yHeading2"/>
      </w:pPr>
      <w:bookmarkStart w:id="527" w:name="_Toc155068167"/>
      <w:r>
        <w:t>Part E — Determination of volume of log timber by infra red log scanner</w:t>
      </w:r>
      <w:bookmarkEnd w:id="527"/>
    </w:p>
    <w:p>
      <w:pPr>
        <w:pStyle w:val="yHeading5"/>
        <w:outlineLvl w:val="9"/>
        <w:rPr>
          <w:snapToGrid w:val="0"/>
        </w:rPr>
      </w:pPr>
    </w:p>
    <w:p>
      <w:pPr>
        <w:pStyle w:val="ySubsection"/>
        <w:rPr>
          <w:snapToGrid w:val="0"/>
        </w:rPr>
      </w:pPr>
      <w:r>
        <w:rPr>
          <w:snapToGrid w:val="0"/>
        </w:rPr>
        <w:tab/>
      </w:r>
      <w:r>
        <w:rPr>
          <w:snapToGrid w:val="0"/>
        </w:rPr>
        <w:tab/>
        <w:t>For the purpose of determining the volume of log timber by infra red log scanner the following provisions shall be complied with — </w:t>
      </w:r>
    </w:p>
    <w:p>
      <w:pPr>
        <w:pStyle w:val="yHeading5"/>
        <w:outlineLvl w:val="0"/>
        <w:rPr>
          <w:snapToGrid w:val="0"/>
        </w:rPr>
      </w:pPr>
      <w:bookmarkStart w:id="528" w:name="_Toc155068168"/>
      <w:r>
        <w:rPr>
          <w:snapToGrid w:val="0"/>
        </w:rPr>
        <w:t>1.</w:t>
      </w:r>
      <w:r>
        <w:rPr>
          <w:snapToGrid w:val="0"/>
        </w:rPr>
        <w:tab/>
        <w:t>Interpretation</w:t>
      </w:r>
      <w:bookmarkEnd w:id="528"/>
    </w:p>
    <w:p>
      <w:pPr>
        <w:pStyle w:val="ySubsection"/>
        <w:rPr>
          <w:snapToGrid w:val="0"/>
        </w:rPr>
      </w:pPr>
      <w:r>
        <w:rPr>
          <w:snapToGrid w:val="0"/>
        </w:rPr>
        <w:tab/>
      </w:r>
      <w:r>
        <w:rPr>
          <w:snapToGrid w:val="0"/>
        </w:rPr>
        <w:tab/>
        <w:t>In this Part — </w:t>
      </w:r>
    </w:p>
    <w:p>
      <w:pPr>
        <w:pStyle w:val="yDefstart"/>
      </w:pPr>
      <w:r>
        <w:rPr>
          <w:b/>
        </w:rPr>
        <w:tab/>
      </w:r>
      <w:r>
        <w:rPr>
          <w:rStyle w:val="CharDefText"/>
        </w:rPr>
        <w:t>log scanner</w:t>
      </w:r>
      <w:r>
        <w:t xml:space="preserve"> means a computerized instrument designed — </w:t>
      </w:r>
    </w:p>
    <w:p>
      <w:pPr>
        <w:pStyle w:val="yDefpara"/>
      </w:pPr>
      <w:r>
        <w:tab/>
        <w:t>(a)</w:t>
      </w:r>
      <w:r>
        <w:tab/>
        <w:t>to measure the diameter and length of a log when a log is passed through a scanning frame which emits and receives infra red light; and</w:t>
      </w:r>
    </w:p>
    <w:p>
      <w:pPr>
        <w:pStyle w:val="yDefpara"/>
      </w:pPr>
      <w:r>
        <w:tab/>
        <w:t>(b)</w:t>
      </w:r>
      <w:r>
        <w:tab/>
        <w:t>to produce signals which correspond to measurements made during scanning with infra red light which can be interpreted and processed by a scanner computer;</w:t>
      </w:r>
    </w:p>
    <w:p>
      <w:pPr>
        <w:pStyle w:val="yDefstart"/>
      </w:pPr>
      <w:r>
        <w:rPr>
          <w:b/>
        </w:rPr>
        <w:tab/>
      </w:r>
      <w:r>
        <w:rPr>
          <w:rStyle w:val="CharDefText"/>
        </w:rPr>
        <w:t>scanner computer</w:t>
      </w:r>
      <w:r>
        <w:t xml:space="preserve"> means a computer operating a computer program and connected to a log scanner for the purpose of — </w:t>
      </w:r>
    </w:p>
    <w:p>
      <w:pPr>
        <w:pStyle w:val="yDefpara"/>
      </w:pPr>
      <w:r>
        <w:tab/>
        <w:t>(a)</w:t>
      </w:r>
      <w:r>
        <w:tab/>
        <w:t>receiving measurement signals from the scanner;</w:t>
      </w:r>
    </w:p>
    <w:p>
      <w:pPr>
        <w:pStyle w:val="yDefpara"/>
      </w:pPr>
      <w:r>
        <w:tab/>
        <w:t>(b)</w:t>
      </w:r>
      <w:r>
        <w:tab/>
        <w:t>interpreting and processing — </w:t>
      </w:r>
    </w:p>
    <w:p>
      <w:pPr>
        <w:pStyle w:val="yDefsubpara"/>
        <w:rPr>
          <w:snapToGrid w:val="0"/>
        </w:rPr>
      </w:pPr>
      <w:r>
        <w:rPr>
          <w:snapToGrid w:val="0"/>
        </w:rPr>
        <w:tab/>
        <w:t>(i)</w:t>
      </w:r>
      <w:r>
        <w:rPr>
          <w:snapToGrid w:val="0"/>
        </w:rPr>
        <w:tab/>
        <w:t>measurement signals received from the scanner; and</w:t>
      </w:r>
    </w:p>
    <w:p>
      <w:pPr>
        <w:pStyle w:val="yDefsubpara"/>
        <w:rPr>
          <w:snapToGrid w:val="0"/>
        </w:rPr>
      </w:pPr>
      <w:r>
        <w:rPr>
          <w:snapToGrid w:val="0"/>
        </w:rPr>
        <w:tab/>
        <w:t>(ii)</w:t>
      </w:r>
      <w:r>
        <w:rPr>
          <w:snapToGrid w:val="0"/>
        </w:rPr>
        <w:tab/>
        <w:t>information received through an input device for documents, a keyboard, or a bar code reader,</w:t>
      </w:r>
    </w:p>
    <w:p>
      <w:pPr>
        <w:pStyle w:val="yDefstart"/>
      </w:pPr>
      <w:r>
        <w:tab/>
        <w:t>and producing reports based on that information.</w:t>
      </w:r>
    </w:p>
    <w:p>
      <w:pPr>
        <w:pStyle w:val="yHeading5"/>
        <w:outlineLvl w:val="0"/>
        <w:rPr>
          <w:snapToGrid w:val="0"/>
        </w:rPr>
      </w:pPr>
      <w:bookmarkStart w:id="529" w:name="_Toc155068169"/>
      <w:r>
        <w:rPr>
          <w:snapToGrid w:val="0"/>
        </w:rPr>
        <w:t>2.</w:t>
      </w:r>
      <w:r>
        <w:rPr>
          <w:snapToGrid w:val="0"/>
        </w:rPr>
        <w:tab/>
        <w:t>Equipment to be approved by the Executive Director</w:t>
      </w:r>
      <w:bookmarkEnd w:id="529"/>
    </w:p>
    <w:p>
      <w:pPr>
        <w:pStyle w:val="ySubsection"/>
        <w:rPr>
          <w:snapToGrid w:val="0"/>
        </w:rPr>
      </w:pPr>
      <w:r>
        <w:rPr>
          <w:snapToGrid w:val="0"/>
        </w:rPr>
        <w:tab/>
      </w:r>
      <w:r>
        <w:rPr>
          <w:snapToGrid w:val="0"/>
        </w:rPr>
        <w:tab/>
        <w:t>A log scanner, scanner computer or computer program shall not be used to determine the volume of log timber unless the log scanner, scanner computer or computer program has been approved by the Executive Director.</w:t>
      </w:r>
    </w:p>
    <w:p>
      <w:pPr>
        <w:pStyle w:val="yHeading5"/>
        <w:outlineLvl w:val="0"/>
        <w:rPr>
          <w:snapToGrid w:val="0"/>
        </w:rPr>
      </w:pPr>
      <w:bookmarkStart w:id="530" w:name="_Toc155068170"/>
      <w:r>
        <w:rPr>
          <w:snapToGrid w:val="0"/>
        </w:rPr>
        <w:t>3.</w:t>
      </w:r>
      <w:r>
        <w:rPr>
          <w:snapToGrid w:val="0"/>
        </w:rPr>
        <w:tab/>
        <w:t>Verification before each shift</w:t>
      </w:r>
      <w:bookmarkEnd w:id="530"/>
    </w:p>
    <w:p>
      <w:pPr>
        <w:pStyle w:val="ySubsection"/>
        <w:rPr>
          <w:snapToGrid w:val="0"/>
        </w:rPr>
      </w:pPr>
      <w:r>
        <w:rPr>
          <w:snapToGrid w:val="0"/>
        </w:rPr>
        <w:tab/>
      </w:r>
      <w:r>
        <w:rPr>
          <w:snapToGrid w:val="0"/>
        </w:rPr>
        <w:tab/>
        <w:t>A log scanner and scanner computer shall not be used to determine the volume of log timber unless, immediately before the commencement of each shift, a measurement verification test has been carried out on the log scanner and scanner computer in accordance with clause 5 and the scanner complies with the verification tolerance limits set out in clause 7 for the measurement of log diameter and length.</w:t>
      </w:r>
    </w:p>
    <w:p>
      <w:pPr>
        <w:pStyle w:val="yHeading5"/>
        <w:outlineLvl w:val="0"/>
        <w:rPr>
          <w:snapToGrid w:val="0"/>
        </w:rPr>
      </w:pPr>
      <w:bookmarkStart w:id="531" w:name="_Toc155068171"/>
      <w:r>
        <w:rPr>
          <w:snapToGrid w:val="0"/>
        </w:rPr>
        <w:t>4.</w:t>
      </w:r>
      <w:r>
        <w:rPr>
          <w:snapToGrid w:val="0"/>
        </w:rPr>
        <w:tab/>
        <w:t>Verification after interruption</w:t>
      </w:r>
      <w:bookmarkEnd w:id="531"/>
    </w:p>
    <w:p>
      <w:pPr>
        <w:pStyle w:val="ySubsection"/>
        <w:rPr>
          <w:snapToGrid w:val="0"/>
        </w:rPr>
      </w:pPr>
      <w:r>
        <w:rPr>
          <w:snapToGrid w:val="0"/>
        </w:rPr>
        <w:tab/>
      </w:r>
      <w:r>
        <w:rPr>
          <w:snapToGrid w:val="0"/>
        </w:rPr>
        <w:tab/>
        <w:t>A log scanner and scanner computer shall not be used to determine the volume of log timber after the log scanner operation or scanner computer operation has been interrupted by — </w:t>
      </w:r>
    </w:p>
    <w:p>
      <w:pPr>
        <w:pStyle w:val="yIndenta"/>
        <w:rPr>
          <w:snapToGrid w:val="0"/>
        </w:rPr>
      </w:pPr>
      <w:r>
        <w:rPr>
          <w:snapToGrid w:val="0"/>
        </w:rPr>
        <w:tab/>
        <w:t>(a)</w:t>
      </w:r>
      <w:r>
        <w:rPr>
          <w:snapToGrid w:val="0"/>
        </w:rPr>
        <w:tab/>
        <w:t>maintenance or adjustment of the log scanner;</w:t>
      </w:r>
    </w:p>
    <w:p>
      <w:pPr>
        <w:pStyle w:val="yIndenta"/>
        <w:rPr>
          <w:snapToGrid w:val="0"/>
        </w:rPr>
      </w:pPr>
      <w:r>
        <w:rPr>
          <w:snapToGrid w:val="0"/>
        </w:rPr>
        <w:tab/>
        <w:t>(b)</w:t>
      </w:r>
      <w:r>
        <w:rPr>
          <w:snapToGrid w:val="0"/>
        </w:rPr>
        <w:tab/>
        <w:t>a malfunction of the scanner computer; or</w:t>
      </w:r>
    </w:p>
    <w:p>
      <w:pPr>
        <w:pStyle w:val="yIndenta"/>
        <w:rPr>
          <w:snapToGrid w:val="0"/>
        </w:rPr>
      </w:pPr>
      <w:r>
        <w:rPr>
          <w:snapToGrid w:val="0"/>
        </w:rPr>
        <w:tab/>
        <w:t>(c)</w:t>
      </w:r>
      <w:r>
        <w:rPr>
          <w:snapToGrid w:val="0"/>
        </w:rPr>
        <w:tab/>
        <w:t>a power failure,</w:t>
      </w:r>
    </w:p>
    <w:p>
      <w:pPr>
        <w:pStyle w:val="ySubsection"/>
        <w:rPr>
          <w:snapToGrid w:val="0"/>
        </w:rPr>
      </w:pPr>
      <w:r>
        <w:rPr>
          <w:snapToGrid w:val="0"/>
        </w:rPr>
        <w:tab/>
      </w:r>
      <w:r>
        <w:rPr>
          <w:snapToGrid w:val="0"/>
        </w:rPr>
        <w:tab/>
        <w:t>unless, immediately before recommencing, a measurement verification test has been carried out on the scanner and computer in accordance with clause 5 and the scanner and computer comply with the verification tolerance limits set out in clause 7 for the measurement of log diameter and length.</w:t>
      </w:r>
    </w:p>
    <w:p>
      <w:pPr>
        <w:pStyle w:val="yHeading5"/>
        <w:outlineLvl w:val="0"/>
        <w:rPr>
          <w:snapToGrid w:val="0"/>
        </w:rPr>
      </w:pPr>
      <w:bookmarkStart w:id="532" w:name="_Toc155068172"/>
      <w:r>
        <w:rPr>
          <w:snapToGrid w:val="0"/>
        </w:rPr>
        <w:t>5.</w:t>
      </w:r>
      <w:r>
        <w:rPr>
          <w:snapToGrid w:val="0"/>
        </w:rPr>
        <w:tab/>
        <w:t>Measurement verification test</w:t>
      </w:r>
      <w:bookmarkEnd w:id="532"/>
    </w:p>
    <w:p>
      <w:pPr>
        <w:pStyle w:val="ySubsection"/>
        <w:rPr>
          <w:snapToGrid w:val="0"/>
        </w:rPr>
      </w:pPr>
      <w:r>
        <w:rPr>
          <w:snapToGrid w:val="0"/>
        </w:rPr>
        <w:tab/>
      </w:r>
      <w:r>
        <w:rPr>
          <w:snapToGrid w:val="0"/>
        </w:rPr>
        <w:tab/>
        <w:t>A measurement verification test to test the accuracy of the measurements made by a log scanner and scanner computer shall be carried out in the following manner — </w:t>
      </w:r>
    </w:p>
    <w:p>
      <w:pPr>
        <w:pStyle w:val="yIndenta"/>
        <w:rPr>
          <w:snapToGrid w:val="0"/>
        </w:rPr>
      </w:pPr>
      <w:r>
        <w:rPr>
          <w:snapToGrid w:val="0"/>
        </w:rPr>
        <w:tab/>
        <w:t>(a)</w:t>
      </w:r>
      <w:r>
        <w:rPr>
          <w:snapToGrid w:val="0"/>
        </w:rPr>
        <w:tab/>
        <w:t>by passing a test object or test objects that have been approved under clause 6 through the scanning frame of the log scanner at least 5 times so that a minimum of 5 diameter and 5 length measurements are made;</w:t>
      </w:r>
    </w:p>
    <w:p>
      <w:pPr>
        <w:pStyle w:val="yIndenta"/>
        <w:rPr>
          <w:snapToGrid w:val="0"/>
        </w:rPr>
      </w:pPr>
      <w:r>
        <w:rPr>
          <w:snapToGrid w:val="0"/>
        </w:rPr>
        <w:tab/>
        <w:t>(b)</w:t>
      </w:r>
      <w:r>
        <w:rPr>
          <w:snapToGrid w:val="0"/>
        </w:rPr>
        <w:tab/>
        <w:t>by obtaining each measurement of the approved test object or objects from the scanner computer; and</w:t>
      </w:r>
    </w:p>
    <w:p>
      <w:pPr>
        <w:pStyle w:val="yIndenta"/>
        <w:rPr>
          <w:snapToGrid w:val="0"/>
        </w:rPr>
      </w:pPr>
      <w:r>
        <w:rPr>
          <w:snapToGrid w:val="0"/>
        </w:rPr>
        <w:tab/>
        <w:t>(c)</w:t>
      </w:r>
      <w:r>
        <w:rPr>
          <w:snapToGrid w:val="0"/>
        </w:rPr>
        <w:tab/>
        <w:t xml:space="preserve">by verifying the measurements obtained from the scanner computer against the measurement of the test object determined by the forest officer under clause 6. </w:t>
      </w:r>
    </w:p>
    <w:p>
      <w:pPr>
        <w:pStyle w:val="yHeading5"/>
        <w:outlineLvl w:val="0"/>
        <w:rPr>
          <w:snapToGrid w:val="0"/>
        </w:rPr>
      </w:pPr>
      <w:bookmarkStart w:id="533" w:name="_Toc155068173"/>
      <w:r>
        <w:rPr>
          <w:snapToGrid w:val="0"/>
        </w:rPr>
        <w:t>6.</w:t>
      </w:r>
      <w:r>
        <w:rPr>
          <w:snapToGrid w:val="0"/>
        </w:rPr>
        <w:tab/>
        <w:t>Approval of test object</w:t>
      </w:r>
      <w:bookmarkEnd w:id="533"/>
    </w:p>
    <w:p>
      <w:pPr>
        <w:pStyle w:val="ySubsection"/>
        <w:keepNext/>
        <w:rPr>
          <w:snapToGrid w:val="0"/>
        </w:rPr>
      </w:pPr>
      <w:r>
        <w:rPr>
          <w:snapToGrid w:val="0"/>
        </w:rPr>
        <w:tab/>
      </w:r>
      <w:r>
        <w:rPr>
          <w:snapToGrid w:val="0"/>
        </w:rPr>
        <w:tab/>
        <w:t>A test object shall not be used for a measurement verification test referred to in clause 5 unless — </w:t>
      </w:r>
    </w:p>
    <w:p>
      <w:pPr>
        <w:pStyle w:val="yIndenta"/>
        <w:rPr>
          <w:snapToGrid w:val="0"/>
        </w:rPr>
      </w:pPr>
      <w:r>
        <w:rPr>
          <w:snapToGrid w:val="0"/>
        </w:rPr>
        <w:tab/>
        <w:t>(a)</w:t>
      </w:r>
      <w:r>
        <w:rPr>
          <w:snapToGrid w:val="0"/>
        </w:rPr>
        <w:tab/>
        <w:t>a forest officer has approved the use of the test object and the diameter and length measurements of the test object have been manually determined and recorded by the forest officer; and</w:t>
      </w:r>
    </w:p>
    <w:p>
      <w:pPr>
        <w:pStyle w:val="yIndenta"/>
        <w:rPr>
          <w:snapToGrid w:val="0"/>
        </w:rPr>
      </w:pPr>
      <w:r>
        <w:rPr>
          <w:snapToGrid w:val="0"/>
        </w:rPr>
        <w:tab/>
        <w:t>(b)</w:t>
      </w:r>
      <w:r>
        <w:rPr>
          <w:snapToGrid w:val="0"/>
        </w:rPr>
        <w:tab/>
        <w:t>the test object has not been damaged since its approval for use under paragraph (a) and the approval for the use of that test object has not been withdrawn by a forest officer.</w:t>
      </w:r>
    </w:p>
    <w:p>
      <w:pPr>
        <w:pStyle w:val="yHeading5"/>
        <w:outlineLvl w:val="0"/>
        <w:rPr>
          <w:snapToGrid w:val="0"/>
        </w:rPr>
      </w:pPr>
      <w:bookmarkStart w:id="534" w:name="_Toc155068174"/>
      <w:r>
        <w:rPr>
          <w:snapToGrid w:val="0"/>
        </w:rPr>
        <w:t>7.</w:t>
      </w:r>
      <w:r>
        <w:rPr>
          <w:snapToGrid w:val="0"/>
        </w:rPr>
        <w:tab/>
        <w:t>Verification tolerance limits</w:t>
      </w:r>
      <w:bookmarkEnd w:id="534"/>
    </w:p>
    <w:p>
      <w:pPr>
        <w:pStyle w:val="ySubsection"/>
        <w:rPr>
          <w:snapToGrid w:val="0"/>
        </w:rPr>
      </w:pPr>
      <w:r>
        <w:rPr>
          <w:snapToGrid w:val="0"/>
        </w:rPr>
        <w:tab/>
      </w:r>
      <w:r>
        <w:rPr>
          <w:snapToGrid w:val="0"/>
        </w:rPr>
        <w:tab/>
        <w:t>The measurements obtained from a log scanner and scanner computer under a measurement verification test under clause 5 must not in any case vary — </w:t>
      </w:r>
    </w:p>
    <w:p>
      <w:pPr>
        <w:pStyle w:val="yIndenta"/>
        <w:rPr>
          <w:snapToGrid w:val="0"/>
        </w:rPr>
      </w:pPr>
      <w:r>
        <w:rPr>
          <w:snapToGrid w:val="0"/>
        </w:rPr>
        <w:tab/>
        <w:t>(a)</w:t>
      </w:r>
      <w:r>
        <w:rPr>
          <w:snapToGrid w:val="0"/>
        </w:rPr>
        <w:tab/>
        <w:t>in respect of a diameter measurement, by more than 10 mm or less than 10 mm from the diameter of the test object recorded by the forest officer under clause 6; and</w:t>
      </w:r>
    </w:p>
    <w:p>
      <w:pPr>
        <w:pStyle w:val="yIndenta"/>
        <w:rPr>
          <w:snapToGrid w:val="0"/>
        </w:rPr>
      </w:pPr>
      <w:r>
        <w:rPr>
          <w:snapToGrid w:val="0"/>
        </w:rPr>
        <w:tab/>
        <w:t>(b)</w:t>
      </w:r>
      <w:r>
        <w:rPr>
          <w:snapToGrid w:val="0"/>
        </w:rPr>
        <w:tab/>
        <w:t>in respect of a length measurement, by more than 25 mm or less than 25 mm from the length of the test object recorded by the forest officer under clause 6.</w:t>
      </w:r>
    </w:p>
    <w:p>
      <w:pPr>
        <w:pStyle w:val="yHeading5"/>
        <w:outlineLvl w:val="0"/>
        <w:rPr>
          <w:snapToGrid w:val="0"/>
        </w:rPr>
      </w:pPr>
      <w:bookmarkStart w:id="535" w:name="_Toc155068175"/>
      <w:r>
        <w:rPr>
          <w:snapToGrid w:val="0"/>
        </w:rPr>
        <w:t>8.</w:t>
      </w:r>
      <w:r>
        <w:rPr>
          <w:snapToGrid w:val="0"/>
        </w:rPr>
        <w:tab/>
        <w:t>Procedure where verification tolerance limits not met</w:t>
      </w:r>
      <w:bookmarkEnd w:id="535"/>
      <w:r>
        <w:rPr>
          <w:snapToGrid w:val="0"/>
        </w:rPr>
        <w:t xml:space="preserve"> </w:t>
      </w:r>
    </w:p>
    <w:p>
      <w:pPr>
        <w:pStyle w:val="ySubsection"/>
        <w:rPr>
          <w:snapToGrid w:val="0"/>
        </w:rPr>
      </w:pPr>
      <w:r>
        <w:rPr>
          <w:snapToGrid w:val="0"/>
        </w:rPr>
        <w:tab/>
      </w:r>
      <w:r>
        <w:rPr>
          <w:snapToGrid w:val="0"/>
        </w:rPr>
        <w:tab/>
        <w:t>Where a measurement verification test is carried out on a log scanner and scanner computer in accordance with clause 5 and the scanner and computer fail to comply with the verification tolerance limits set out in clause 7 — </w:t>
      </w:r>
    </w:p>
    <w:p>
      <w:pPr>
        <w:pStyle w:val="yIndenta"/>
        <w:rPr>
          <w:snapToGrid w:val="0"/>
        </w:rPr>
      </w:pPr>
      <w:r>
        <w:rPr>
          <w:snapToGrid w:val="0"/>
        </w:rPr>
        <w:tab/>
        <w:t>(a)</w:t>
      </w:r>
      <w:r>
        <w:rPr>
          <w:snapToGrid w:val="0"/>
        </w:rPr>
        <w:tab/>
        <w:t>the log scanner operation shall cease and shall not recommence until such time as the scanner has been fixed so that the log scanner and scanner computer comply with the verification tolerance limits set out in clause 7; and</w:t>
      </w:r>
    </w:p>
    <w:p>
      <w:pPr>
        <w:pStyle w:val="yIndenta"/>
        <w:rPr>
          <w:snapToGrid w:val="0"/>
        </w:rPr>
      </w:pPr>
      <w:r>
        <w:rPr>
          <w:snapToGrid w:val="0"/>
        </w:rPr>
        <w:tab/>
        <w:t>(b)</w:t>
      </w:r>
      <w:r>
        <w:rPr>
          <w:snapToGrid w:val="0"/>
        </w:rPr>
        <w:tab/>
        <w:t>determination of log timber quantity shall be carried out under clause 15 as if a log scanner or scanner computer breakdown has occurred.</w:t>
      </w:r>
    </w:p>
    <w:p>
      <w:pPr>
        <w:pStyle w:val="yHeading5"/>
        <w:outlineLvl w:val="0"/>
        <w:rPr>
          <w:snapToGrid w:val="0"/>
        </w:rPr>
      </w:pPr>
      <w:bookmarkStart w:id="536" w:name="_Toc155068176"/>
      <w:r>
        <w:rPr>
          <w:snapToGrid w:val="0"/>
        </w:rPr>
        <w:t>9.</w:t>
      </w:r>
      <w:r>
        <w:rPr>
          <w:snapToGrid w:val="0"/>
        </w:rPr>
        <w:tab/>
        <w:t>Processing of log timber</w:t>
      </w:r>
      <w:bookmarkEnd w:id="536"/>
    </w:p>
    <w:p>
      <w:pPr>
        <w:pStyle w:val="ySubsection"/>
        <w:rPr>
          <w:snapToGrid w:val="0"/>
        </w:rPr>
      </w:pPr>
      <w:r>
        <w:rPr>
          <w:snapToGrid w:val="0"/>
        </w:rPr>
        <w:tab/>
      </w:r>
      <w:r>
        <w:rPr>
          <w:snapToGrid w:val="0"/>
        </w:rPr>
        <w:tab/>
        <w:t>A log scanner shall not be used to determine the quantity of any log timber unless — </w:t>
      </w:r>
    </w:p>
    <w:p>
      <w:pPr>
        <w:pStyle w:val="yIndenta"/>
        <w:rPr>
          <w:snapToGrid w:val="0"/>
        </w:rPr>
      </w:pPr>
      <w:r>
        <w:rPr>
          <w:snapToGrid w:val="0"/>
        </w:rPr>
        <w:tab/>
        <w:t>(a)</w:t>
      </w:r>
      <w:r>
        <w:rPr>
          <w:snapToGrid w:val="0"/>
        </w:rPr>
        <w:tab/>
        <w:t>the quantity of the log timber is determined on the day on which the log timber is received; and</w:t>
      </w:r>
    </w:p>
    <w:p>
      <w:pPr>
        <w:pStyle w:val="yIndenta"/>
        <w:rPr>
          <w:snapToGrid w:val="0"/>
        </w:rPr>
      </w:pPr>
      <w:r>
        <w:rPr>
          <w:snapToGrid w:val="0"/>
        </w:rPr>
        <w:tab/>
        <w:t>(b)</w:t>
      </w:r>
      <w:r>
        <w:rPr>
          <w:snapToGrid w:val="0"/>
        </w:rPr>
        <w:tab/>
        <w:t>any other log timber the subject of the same log delivery note is processed at the same time.</w:t>
      </w:r>
    </w:p>
    <w:p>
      <w:pPr>
        <w:pStyle w:val="yHeading5"/>
        <w:outlineLvl w:val="0"/>
        <w:rPr>
          <w:snapToGrid w:val="0"/>
        </w:rPr>
      </w:pPr>
      <w:bookmarkStart w:id="537" w:name="_Toc155068177"/>
      <w:r>
        <w:rPr>
          <w:snapToGrid w:val="0"/>
        </w:rPr>
        <w:t>10.</w:t>
      </w:r>
      <w:r>
        <w:rPr>
          <w:snapToGrid w:val="0"/>
        </w:rPr>
        <w:tab/>
        <w:t>Procedure for marking and separation of load of log timber on intake deck</w:t>
      </w:r>
      <w:bookmarkEnd w:id="537"/>
    </w:p>
    <w:p>
      <w:pPr>
        <w:pStyle w:val="ySubsection"/>
        <w:rPr>
          <w:snapToGrid w:val="0"/>
        </w:rPr>
      </w:pPr>
      <w:r>
        <w:rPr>
          <w:snapToGrid w:val="0"/>
        </w:rPr>
        <w:tab/>
      </w:r>
      <w:r>
        <w:rPr>
          <w:snapToGrid w:val="0"/>
        </w:rPr>
        <w:tab/>
        <w:t>All loads of log timber placed on the intake deck of a log scanner shall — </w:t>
      </w:r>
    </w:p>
    <w:p>
      <w:pPr>
        <w:pStyle w:val="yIndenta"/>
        <w:rPr>
          <w:snapToGrid w:val="0"/>
        </w:rPr>
      </w:pPr>
      <w:r>
        <w:rPr>
          <w:snapToGrid w:val="0"/>
        </w:rPr>
        <w:tab/>
        <w:t>(a)</w:t>
      </w:r>
      <w:r>
        <w:rPr>
          <w:snapToGrid w:val="0"/>
        </w:rPr>
        <w:tab/>
        <w:t>be marked with the relevant log delivery note number; and</w:t>
      </w:r>
    </w:p>
    <w:p>
      <w:pPr>
        <w:pStyle w:val="yIndenta"/>
        <w:rPr>
          <w:snapToGrid w:val="0"/>
        </w:rPr>
      </w:pPr>
      <w:r>
        <w:rPr>
          <w:snapToGrid w:val="0"/>
        </w:rPr>
        <w:tab/>
        <w:t>(b)</w:t>
      </w:r>
      <w:r>
        <w:rPr>
          <w:snapToGrid w:val="0"/>
        </w:rPr>
        <w:tab/>
        <w:t xml:space="preserve">be separated from other loads of log timber by a clear gap on the intake deck. </w:t>
      </w:r>
    </w:p>
    <w:p>
      <w:pPr>
        <w:pStyle w:val="yHeading5"/>
        <w:outlineLvl w:val="0"/>
        <w:rPr>
          <w:snapToGrid w:val="0"/>
        </w:rPr>
      </w:pPr>
      <w:bookmarkStart w:id="538" w:name="_Toc155068178"/>
      <w:r>
        <w:rPr>
          <w:snapToGrid w:val="0"/>
        </w:rPr>
        <w:t>11.</w:t>
      </w:r>
      <w:r>
        <w:rPr>
          <w:snapToGrid w:val="0"/>
        </w:rPr>
        <w:tab/>
        <w:t>Procedure for sorting a load of log timber</w:t>
      </w:r>
      <w:bookmarkEnd w:id="538"/>
    </w:p>
    <w:p>
      <w:pPr>
        <w:pStyle w:val="ySubsection"/>
        <w:rPr>
          <w:snapToGrid w:val="0"/>
        </w:rPr>
      </w:pPr>
      <w:r>
        <w:rPr>
          <w:snapToGrid w:val="0"/>
        </w:rPr>
        <w:tab/>
      </w:r>
      <w:r>
        <w:rPr>
          <w:snapToGrid w:val="0"/>
        </w:rPr>
        <w:tab/>
        <w:t>Where a load of log timber has been delivered to a sawmill for determination of the quantity of that timber by log scanner and the load contains logs that are too large or have too many defects to be processed in their delivered form through a debarking machine or the frame of a log scanner, the logs shall — </w:t>
      </w:r>
    </w:p>
    <w:p>
      <w:pPr>
        <w:pStyle w:val="yIndenta"/>
        <w:rPr>
          <w:snapToGrid w:val="0"/>
        </w:rPr>
      </w:pPr>
      <w:r>
        <w:rPr>
          <w:snapToGrid w:val="0"/>
        </w:rPr>
        <w:tab/>
        <w:t>(a)</w:t>
      </w:r>
      <w:r>
        <w:rPr>
          <w:snapToGrid w:val="0"/>
        </w:rPr>
        <w:tab/>
        <w:t>be placed in an area set aside for oversized or defective logs;</w:t>
      </w:r>
    </w:p>
    <w:p>
      <w:pPr>
        <w:pStyle w:val="yIndenta"/>
        <w:rPr>
          <w:snapToGrid w:val="0"/>
        </w:rPr>
      </w:pPr>
      <w:r>
        <w:rPr>
          <w:snapToGrid w:val="0"/>
        </w:rPr>
        <w:tab/>
        <w:t>(b)</w:t>
      </w:r>
      <w:r>
        <w:rPr>
          <w:snapToGrid w:val="0"/>
        </w:rPr>
        <w:tab/>
        <w:t>be recorded on the relevant log delivery note as a reject log immediately after the remainder of the load has been processed through the log scanner.</w:t>
      </w:r>
    </w:p>
    <w:p>
      <w:pPr>
        <w:pStyle w:val="yHeading5"/>
        <w:outlineLvl w:val="0"/>
        <w:rPr>
          <w:snapToGrid w:val="0"/>
        </w:rPr>
      </w:pPr>
      <w:bookmarkStart w:id="539" w:name="_Toc155068179"/>
      <w:r>
        <w:rPr>
          <w:snapToGrid w:val="0"/>
        </w:rPr>
        <w:t>12.</w:t>
      </w:r>
      <w:r>
        <w:rPr>
          <w:snapToGrid w:val="0"/>
        </w:rPr>
        <w:tab/>
        <w:t>Procedure where load of log timber at a temporary storage site not processed by log scanner</w:t>
      </w:r>
      <w:bookmarkEnd w:id="539"/>
    </w:p>
    <w:p>
      <w:pPr>
        <w:pStyle w:val="ySubsection"/>
        <w:rPr>
          <w:snapToGrid w:val="0"/>
        </w:rPr>
      </w:pPr>
      <w:r>
        <w:rPr>
          <w:snapToGrid w:val="0"/>
        </w:rPr>
        <w:tab/>
      </w:r>
      <w:r>
        <w:rPr>
          <w:snapToGrid w:val="0"/>
        </w:rPr>
        <w:tab/>
        <w:t>In the event that any log timber cannot be processed through a log scanner on the day on which the timber is received at the relevant sawmill, then the quantity of that timber shall be determined under clause 15 as if a log scanner or scanner computer breakdown had occurred.</w:t>
      </w:r>
    </w:p>
    <w:p>
      <w:pPr>
        <w:pStyle w:val="yHeading5"/>
        <w:outlineLvl w:val="0"/>
        <w:rPr>
          <w:snapToGrid w:val="0"/>
        </w:rPr>
      </w:pPr>
      <w:bookmarkStart w:id="540" w:name="_Toc155068180"/>
      <w:r>
        <w:rPr>
          <w:snapToGrid w:val="0"/>
        </w:rPr>
        <w:t>13.</w:t>
      </w:r>
      <w:r>
        <w:rPr>
          <w:snapToGrid w:val="0"/>
        </w:rPr>
        <w:tab/>
        <w:t>Notification of breakdown of log scanner or scanner computer</w:t>
      </w:r>
      <w:bookmarkEnd w:id="540"/>
    </w:p>
    <w:p>
      <w:pPr>
        <w:pStyle w:val="ySubsection"/>
        <w:rPr>
          <w:snapToGrid w:val="0"/>
        </w:rPr>
      </w:pPr>
      <w:r>
        <w:rPr>
          <w:snapToGrid w:val="0"/>
        </w:rPr>
        <w:tab/>
      </w:r>
      <w:r>
        <w:rPr>
          <w:snapToGrid w:val="0"/>
        </w:rPr>
        <w:tab/>
        <w:t>In the event that a log scanner or scanner computer breaks down, the owner or manager of the relevant sawmill shall immediately notify the forest officer in charge of the district in which the sawmill is located of the breakdown.</w:t>
      </w:r>
    </w:p>
    <w:p>
      <w:pPr>
        <w:pStyle w:val="yHeading5"/>
        <w:outlineLvl w:val="0"/>
        <w:rPr>
          <w:snapToGrid w:val="0"/>
        </w:rPr>
      </w:pPr>
      <w:bookmarkStart w:id="541" w:name="_Toc155068181"/>
      <w:r>
        <w:rPr>
          <w:snapToGrid w:val="0"/>
        </w:rPr>
        <w:t>14.</w:t>
      </w:r>
      <w:r>
        <w:rPr>
          <w:snapToGrid w:val="0"/>
        </w:rPr>
        <w:tab/>
        <w:t>Procedure where load of log timber received after breakdown of log scanner or scanner computer</w:t>
      </w:r>
      <w:bookmarkEnd w:id="541"/>
    </w:p>
    <w:p>
      <w:pPr>
        <w:pStyle w:val="ySubsection"/>
        <w:rPr>
          <w:snapToGrid w:val="0"/>
        </w:rPr>
      </w:pPr>
      <w:r>
        <w:rPr>
          <w:snapToGrid w:val="0"/>
        </w:rPr>
        <w:tab/>
      </w:r>
      <w:r>
        <w:rPr>
          <w:snapToGrid w:val="0"/>
        </w:rPr>
        <w:tab/>
        <w:t>In the event of a log scanner or scanner computer breaking down, the following procedures for determining log timber quantity of any load of log timber received after the breakdown shall apply until such time as the breakdown is repaired — </w:t>
      </w:r>
    </w:p>
    <w:p>
      <w:pPr>
        <w:pStyle w:val="yIndenta"/>
        <w:rPr>
          <w:snapToGrid w:val="0"/>
        </w:rPr>
      </w:pPr>
      <w:r>
        <w:rPr>
          <w:snapToGrid w:val="0"/>
        </w:rPr>
        <w:tab/>
        <w:t>(a)</w:t>
      </w:r>
      <w:r>
        <w:rPr>
          <w:snapToGrid w:val="0"/>
        </w:rPr>
        <w:tab/>
        <w:t>in the case of softwood log timber, the volume of log timber received shall be determined by bin measure under Part D; or</w:t>
      </w:r>
    </w:p>
    <w:p>
      <w:pPr>
        <w:pStyle w:val="yIndenta"/>
        <w:rPr>
          <w:snapToGrid w:val="0"/>
        </w:rPr>
      </w:pPr>
      <w:r>
        <w:rPr>
          <w:snapToGrid w:val="0"/>
        </w:rPr>
        <w:tab/>
        <w:t>(b)</w:t>
      </w:r>
      <w:r>
        <w:rPr>
          <w:snapToGrid w:val="0"/>
        </w:rPr>
        <w:tab/>
        <w:t>in the case of hardwood log timber, the volume of log timber received shall be determined by individual log measurement under Part A.</w:t>
      </w:r>
    </w:p>
    <w:p>
      <w:pPr>
        <w:pStyle w:val="yHeading5"/>
        <w:outlineLvl w:val="0"/>
        <w:rPr>
          <w:snapToGrid w:val="0"/>
        </w:rPr>
      </w:pPr>
      <w:bookmarkStart w:id="542" w:name="_Toc155068182"/>
      <w:r>
        <w:rPr>
          <w:snapToGrid w:val="0"/>
        </w:rPr>
        <w:t>15.</w:t>
      </w:r>
      <w:r>
        <w:rPr>
          <w:snapToGrid w:val="0"/>
        </w:rPr>
        <w:tab/>
        <w:t>Procedure where load of log timber received before breakdown of log scanner or scanner computer and not processed</w:t>
      </w:r>
      <w:bookmarkEnd w:id="542"/>
    </w:p>
    <w:p>
      <w:pPr>
        <w:pStyle w:val="ySubsection"/>
        <w:rPr>
          <w:snapToGrid w:val="0"/>
        </w:rPr>
      </w:pPr>
      <w:r>
        <w:rPr>
          <w:snapToGrid w:val="0"/>
        </w:rPr>
        <w:tab/>
      </w:r>
      <w:r>
        <w:rPr>
          <w:snapToGrid w:val="0"/>
        </w:rPr>
        <w:tab/>
        <w:t>In the event of a log scanner or scanner computer breakdown, the following procedures for determining the quantity of any load of log timber on the log scanner intake deck or held at a temporary storage site at the time of breakdown shall apply — </w:t>
      </w:r>
    </w:p>
    <w:p>
      <w:pPr>
        <w:pStyle w:val="yIndenta"/>
        <w:rPr>
          <w:snapToGrid w:val="0"/>
        </w:rPr>
      </w:pPr>
      <w:r>
        <w:rPr>
          <w:snapToGrid w:val="0"/>
        </w:rPr>
        <w:tab/>
        <w:t>(a)</w:t>
      </w:r>
      <w:r>
        <w:rPr>
          <w:snapToGrid w:val="0"/>
        </w:rPr>
        <w:tab/>
        <w:t>subject to paragraph (b), the log timber may be held unmeasured until such time as the breakdown is repaired;</w:t>
      </w:r>
    </w:p>
    <w:p>
      <w:pPr>
        <w:pStyle w:val="yIndenta"/>
        <w:rPr>
          <w:snapToGrid w:val="0"/>
        </w:rPr>
      </w:pPr>
      <w:r>
        <w:rPr>
          <w:snapToGrid w:val="0"/>
        </w:rPr>
        <w:tab/>
        <w:t>(b)</w:t>
      </w:r>
      <w:r>
        <w:rPr>
          <w:snapToGrid w:val="0"/>
        </w:rPr>
        <w:tab/>
        <w:t>where repair to the breakdown cannot be completed in sufficient time for log timber on the scanner intake deck or held at a temporary storage site to be processed on the day the log timber was received at the sawmill, then — </w:t>
      </w:r>
    </w:p>
    <w:p>
      <w:pPr>
        <w:pStyle w:val="yIndenti0"/>
        <w:rPr>
          <w:snapToGrid w:val="0"/>
        </w:rPr>
      </w:pPr>
      <w:r>
        <w:rPr>
          <w:snapToGrid w:val="0"/>
        </w:rPr>
        <w:tab/>
        <w:t>(i)</w:t>
      </w:r>
      <w:r>
        <w:rPr>
          <w:snapToGrid w:val="0"/>
        </w:rPr>
        <w:tab/>
        <w:t>in the case of softwood log timber, the volume of log timber shall be determined by individual log measurement under Part B;</w:t>
      </w:r>
    </w:p>
    <w:p>
      <w:pPr>
        <w:pStyle w:val="yIndenti0"/>
        <w:rPr>
          <w:snapToGrid w:val="0"/>
        </w:rPr>
      </w:pPr>
      <w:r>
        <w:rPr>
          <w:snapToGrid w:val="0"/>
        </w:rPr>
        <w:tab/>
        <w:t>(ii)</w:t>
      </w:r>
      <w:r>
        <w:rPr>
          <w:snapToGrid w:val="0"/>
        </w:rPr>
        <w:tab/>
        <w:t>in the case of hardwood log timber, the volume of log timber shall be determined by individual log measurement under Part A.</w:t>
      </w:r>
    </w:p>
    <w:p>
      <w:pPr>
        <w:pStyle w:val="yHeading5"/>
        <w:outlineLvl w:val="0"/>
        <w:rPr>
          <w:snapToGrid w:val="0"/>
        </w:rPr>
      </w:pPr>
      <w:bookmarkStart w:id="543" w:name="_Toc155068183"/>
      <w:r>
        <w:rPr>
          <w:snapToGrid w:val="0"/>
        </w:rPr>
        <w:t>16.</w:t>
      </w:r>
      <w:r>
        <w:rPr>
          <w:snapToGrid w:val="0"/>
        </w:rPr>
        <w:tab/>
        <w:t>Check on number of logs in a load</w:t>
      </w:r>
      <w:bookmarkEnd w:id="543"/>
    </w:p>
    <w:p>
      <w:pPr>
        <w:pStyle w:val="ySubsection"/>
        <w:rPr>
          <w:snapToGrid w:val="0"/>
        </w:rPr>
      </w:pPr>
      <w:r>
        <w:rPr>
          <w:snapToGrid w:val="0"/>
        </w:rPr>
        <w:tab/>
      </w:r>
      <w:r>
        <w:rPr>
          <w:snapToGrid w:val="0"/>
        </w:rPr>
        <w:tab/>
        <w:t>Where a load of log timber has been processed through a log scanner — </w:t>
      </w:r>
    </w:p>
    <w:p>
      <w:pPr>
        <w:pStyle w:val="yIndenta"/>
        <w:rPr>
          <w:snapToGrid w:val="0"/>
        </w:rPr>
      </w:pPr>
      <w:r>
        <w:rPr>
          <w:snapToGrid w:val="0"/>
        </w:rPr>
        <w:tab/>
        <w:t>(a)</w:t>
      </w:r>
      <w:r>
        <w:rPr>
          <w:snapToGrid w:val="0"/>
        </w:rPr>
        <w:tab/>
        <w:t>the number of logs recorded on the relevant log delivery note shall be compared with the number of logs determined by processing through a log scanner; and</w:t>
      </w:r>
    </w:p>
    <w:p>
      <w:pPr>
        <w:pStyle w:val="yIndenta"/>
        <w:rPr>
          <w:snapToGrid w:val="0"/>
        </w:rPr>
      </w:pPr>
      <w:r>
        <w:rPr>
          <w:snapToGrid w:val="0"/>
        </w:rPr>
        <w:tab/>
        <w:t>(b)</w:t>
      </w:r>
      <w:r>
        <w:rPr>
          <w:snapToGrid w:val="0"/>
        </w:rPr>
        <w:tab/>
        <w:t>in the event that the number of logs determined by the log scanner is not the same as that originally entered in the log delivery note, a report explaining the discrepancy in log numbers shall be written on the relevant log delivery note.</w:t>
      </w:r>
    </w:p>
    <w:p>
      <w:pPr>
        <w:pStyle w:val="yHeading5"/>
        <w:outlineLvl w:val="0"/>
        <w:rPr>
          <w:snapToGrid w:val="0"/>
        </w:rPr>
      </w:pPr>
      <w:bookmarkStart w:id="544" w:name="_Toc155068184"/>
      <w:r>
        <w:rPr>
          <w:snapToGrid w:val="0"/>
        </w:rPr>
        <w:t>17.</w:t>
      </w:r>
      <w:r>
        <w:rPr>
          <w:snapToGrid w:val="0"/>
        </w:rPr>
        <w:tab/>
        <w:t>Daily report of log delivery</w:t>
      </w:r>
      <w:bookmarkEnd w:id="544"/>
    </w:p>
    <w:p>
      <w:pPr>
        <w:pStyle w:val="ySubsection"/>
        <w:rPr>
          <w:snapToGrid w:val="0"/>
        </w:rPr>
      </w:pPr>
      <w:r>
        <w:rPr>
          <w:snapToGrid w:val="0"/>
        </w:rPr>
        <w:tab/>
      </w:r>
      <w:r>
        <w:rPr>
          <w:snapToGrid w:val="0"/>
        </w:rPr>
        <w:tab/>
        <w:t>All log deliveries received at a sawmill in one day shall be listed by log delivery note number in a daily report to the Executive Director produced by the scanner computer and for each log delivery note the report shall — </w:t>
      </w:r>
    </w:p>
    <w:p>
      <w:pPr>
        <w:pStyle w:val="yIndenta"/>
        <w:rPr>
          <w:snapToGrid w:val="0"/>
        </w:rPr>
      </w:pPr>
      <w:r>
        <w:rPr>
          <w:snapToGrid w:val="0"/>
        </w:rPr>
        <w:tab/>
        <w:t>(a)</w:t>
      </w:r>
      <w:r>
        <w:rPr>
          <w:snapToGrid w:val="0"/>
        </w:rPr>
        <w:tab/>
        <w:t>list the total number of logs that have passed through the log scanner;</w:t>
      </w:r>
    </w:p>
    <w:p>
      <w:pPr>
        <w:pStyle w:val="yIndenta"/>
        <w:rPr>
          <w:snapToGrid w:val="0"/>
        </w:rPr>
      </w:pPr>
      <w:r>
        <w:rPr>
          <w:snapToGrid w:val="0"/>
        </w:rPr>
        <w:tab/>
        <w:t>(b)</w:t>
      </w:r>
      <w:r>
        <w:rPr>
          <w:snapToGrid w:val="0"/>
        </w:rPr>
        <w:tab/>
        <w:t>provide individual log measurements including length, preferred</w:t>
      </w:r>
      <w:r>
        <w:rPr>
          <w:snapToGrid w:val="0"/>
        </w:rPr>
        <w:noBreakHyphen/>
        <w:t>length, mid</w:t>
      </w:r>
      <w:r>
        <w:rPr>
          <w:snapToGrid w:val="0"/>
        </w:rPr>
        <w:noBreakHyphen/>
        <w:t>diameter, volume and such other measurements as the Executive Director may require; and</w:t>
      </w:r>
    </w:p>
    <w:p>
      <w:pPr>
        <w:pStyle w:val="yIndenta"/>
        <w:rPr>
          <w:snapToGrid w:val="0"/>
        </w:rPr>
      </w:pPr>
      <w:r>
        <w:rPr>
          <w:snapToGrid w:val="0"/>
        </w:rPr>
        <w:tab/>
        <w:t>(c)</w:t>
      </w:r>
      <w:r>
        <w:rPr>
          <w:snapToGrid w:val="0"/>
        </w:rPr>
        <w:tab/>
        <w:t>identify each log class measured and the total volume of timber processed in each log class and provide the total volume of log timber received and processed in all log classes.</w:t>
      </w:r>
    </w:p>
    <w:p>
      <w:pPr>
        <w:pStyle w:val="yHeading5"/>
        <w:outlineLvl w:val="0"/>
        <w:rPr>
          <w:snapToGrid w:val="0"/>
        </w:rPr>
      </w:pPr>
      <w:bookmarkStart w:id="545" w:name="_Toc155068185"/>
      <w:r>
        <w:rPr>
          <w:snapToGrid w:val="0"/>
        </w:rPr>
        <w:t>18.</w:t>
      </w:r>
      <w:r>
        <w:rPr>
          <w:snapToGrid w:val="0"/>
        </w:rPr>
        <w:tab/>
        <w:t>Arrangement of daily report</w:t>
      </w:r>
      <w:bookmarkEnd w:id="545"/>
    </w:p>
    <w:p>
      <w:pPr>
        <w:pStyle w:val="ySubsection"/>
        <w:rPr>
          <w:snapToGrid w:val="0"/>
        </w:rPr>
      </w:pPr>
      <w:r>
        <w:rPr>
          <w:snapToGrid w:val="0"/>
        </w:rPr>
        <w:tab/>
      </w:r>
      <w:r>
        <w:rPr>
          <w:snapToGrid w:val="0"/>
        </w:rPr>
        <w:tab/>
        <w:t>The listing of each log delivery note number and the information required under clause 17 in a daily report to the Executive Director shall be arranged in the sequential order in which the log timber was scanned by the log scanner and its volume determined by the scanner computer.</w:t>
      </w:r>
    </w:p>
    <w:p>
      <w:pPr>
        <w:pStyle w:val="yScheduleHeading"/>
        <w:outlineLvl w:val="0"/>
      </w:pPr>
      <w:bookmarkStart w:id="546" w:name="_Toc48381849"/>
      <w:bookmarkStart w:id="547" w:name="_Toc155068186"/>
      <w:r>
        <w:rPr>
          <w:rStyle w:val="CharSchNo"/>
        </w:rPr>
        <w:t>Schedule 2</w:t>
      </w:r>
      <w:bookmarkEnd w:id="546"/>
      <w:bookmarkEnd w:id="547"/>
      <w:r>
        <w:rPr>
          <w:rStyle w:val="CharSchNo"/>
        </w:rPr>
        <w:t xml:space="preserve"> </w:t>
      </w:r>
    </w:p>
    <w:p>
      <w:pPr>
        <w:pStyle w:val="yHeading2"/>
        <w:outlineLvl w:val="9"/>
      </w:pPr>
      <w:bookmarkStart w:id="548" w:name="_Toc155068187"/>
      <w:r>
        <w:t>Forms</w:t>
      </w:r>
      <w:bookmarkEnd w:id="548"/>
    </w:p>
    <w:p>
      <w:pPr>
        <w:pStyle w:val="MiscellaneousHeading"/>
        <w:rPr>
          <w:b/>
          <w:snapToGrid w:val="0"/>
        </w:rPr>
      </w:pPr>
      <w:r>
        <w:rPr>
          <w:b/>
          <w:snapToGrid w:val="0"/>
        </w:rPr>
        <w:t>Form 1</w:t>
      </w:r>
    </w:p>
    <w:p>
      <w:pPr>
        <w:pStyle w:val="yShoulderClause"/>
        <w:rPr>
          <w:snapToGrid w:val="0"/>
        </w:rPr>
      </w:pPr>
      <w:r>
        <w:rPr>
          <w:snapToGrid w:val="0"/>
        </w:rPr>
        <w:t>[Regulation 69]</w:t>
      </w:r>
    </w:p>
    <w:p>
      <w:pPr>
        <w:pStyle w:val="MiscellaneousHeading"/>
        <w:rPr>
          <w:i/>
          <w:snapToGrid w:val="0"/>
        </w:rPr>
      </w:pPr>
      <w:r>
        <w:rPr>
          <w:i/>
          <w:snapToGrid w:val="0"/>
        </w:rPr>
        <w:t>Forest Management Regulations 1993</w:t>
      </w:r>
    </w:p>
    <w:p>
      <w:pPr>
        <w:pStyle w:val="MiscellaneousHeading"/>
        <w:rPr>
          <w:b/>
          <w:snapToGrid w:val="0"/>
        </w:rPr>
      </w:pPr>
      <w:r>
        <w:rPr>
          <w:b/>
          <w:snapToGrid w:val="0"/>
        </w:rPr>
        <w:t>FOREST PRODUCE LICENCE</w:t>
      </w:r>
    </w:p>
    <w:p>
      <w:pPr>
        <w:pStyle w:val="yTable"/>
        <w:jc w:val="right"/>
        <w:rPr>
          <w:snapToGrid w:val="0"/>
        </w:rPr>
      </w:pPr>
      <w:r>
        <w:rPr>
          <w:snapToGrid w:val="0"/>
        </w:rPr>
        <w:t>Licence No. . . . . . . . . . . . . . .</w:t>
      </w:r>
    </w:p>
    <w:p>
      <w:pPr>
        <w:pStyle w:val="yTable"/>
        <w:rPr>
          <w:snapToGrid w:val="0"/>
        </w:rPr>
      </w:pPr>
      <w:r>
        <w:rPr>
          <w:snapToGrid w:val="0"/>
        </w:rPr>
        <w:t>……………………………………………………………………………………</w:t>
      </w:r>
    </w:p>
    <w:p>
      <w:pPr>
        <w:pStyle w:val="yTable"/>
        <w:jc w:val="center"/>
        <w:rPr>
          <w:snapToGrid w:val="0"/>
        </w:rPr>
      </w:pPr>
      <w:r>
        <w:rPr>
          <w:snapToGrid w:val="0"/>
        </w:rPr>
        <w:t>(name of licensee)</w:t>
      </w:r>
    </w:p>
    <w:p>
      <w:pPr>
        <w:pStyle w:val="yTable"/>
        <w:rPr>
          <w:snapToGrid w:val="0"/>
        </w:rPr>
      </w:pPr>
      <w:r>
        <w:rPr>
          <w:snapToGrid w:val="0"/>
        </w:rPr>
        <w:t>of …………………………………………………………………………………</w:t>
      </w:r>
    </w:p>
    <w:p>
      <w:pPr>
        <w:pStyle w:val="yTable"/>
        <w:jc w:val="center"/>
        <w:rPr>
          <w:snapToGrid w:val="0"/>
        </w:rPr>
      </w:pPr>
      <w:r>
        <w:rPr>
          <w:snapToGrid w:val="0"/>
        </w:rPr>
        <w:t>(address)</w:t>
      </w:r>
    </w:p>
    <w:p>
      <w:pPr>
        <w:pStyle w:val="yTable"/>
        <w:rPr>
          <w:snapToGrid w:val="0"/>
        </w:rPr>
      </w:pPr>
      <w:r>
        <w:rPr>
          <w:snapToGrid w:val="0"/>
        </w:rPr>
        <w:t xml:space="preserve">is authorized, subject to the Act and the </w:t>
      </w:r>
      <w:r>
        <w:rPr>
          <w:i/>
          <w:snapToGrid w:val="0"/>
        </w:rPr>
        <w:t>Forest Management Regulations 1993</w:t>
      </w:r>
      <w:r>
        <w:rPr>
          <w:snapToGrid w:val="0"/>
        </w:rPr>
        <w:t>, to take forest produce from Crown land in accordance with the terms, conditions and limitations set out below, and not otherwise.</w:t>
      </w:r>
    </w:p>
    <w:p>
      <w:pPr>
        <w:pStyle w:val="yTable"/>
        <w:tabs>
          <w:tab w:val="left" w:pos="851"/>
        </w:tabs>
        <w:ind w:left="851" w:hanging="851"/>
        <w:rPr>
          <w:i/>
          <w:snapToGrid w:val="0"/>
        </w:rPr>
      </w:pPr>
      <w:r>
        <w:rPr>
          <w:i/>
          <w:snapToGrid w:val="0"/>
        </w:rPr>
        <w:t>Note:</w:t>
      </w:r>
      <w:r>
        <w:rPr>
          <w:i/>
          <w:snapToGrid w:val="0"/>
        </w:rPr>
        <w:tab/>
        <w:t>The authority conferred by this licence is of no effect at any time when a term, condition or limitation of the licence is not being complied with.</w:t>
      </w:r>
    </w:p>
    <w:p>
      <w:pPr>
        <w:pStyle w:val="yTable"/>
        <w:jc w:val="center"/>
        <w:outlineLvl w:val="0"/>
        <w:rPr>
          <w:snapToGrid w:val="0"/>
        </w:rPr>
      </w:pPr>
      <w:r>
        <w:rPr>
          <w:snapToGrid w:val="0"/>
        </w:rPr>
        <w:t>TERMS</w:t>
      </w:r>
    </w:p>
    <w:p>
      <w:pPr>
        <w:pStyle w:val="yTable"/>
        <w:outlineLvl w:val="0"/>
        <w:rPr>
          <w:b/>
          <w:snapToGrid w:val="0"/>
        </w:rPr>
      </w:pPr>
      <w:r>
        <w:rPr>
          <w:b/>
          <w:snapToGrid w:val="0"/>
        </w:rPr>
        <w:t>Land from which forest produce may be taken:</w:t>
      </w:r>
    </w:p>
    <w:p>
      <w:pPr>
        <w:pStyle w:val="yTable"/>
        <w:rPr>
          <w:snapToGrid w:val="0"/>
        </w:rPr>
      </w:pPr>
      <w:r>
        <w:rPr>
          <w:snapToGrid w:val="0"/>
        </w:rPr>
        <w:t>(attach plan if necessary)</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7"/>
        <w:gridCol w:w="284"/>
        <w:gridCol w:w="283"/>
        <w:gridCol w:w="284"/>
        <w:gridCol w:w="283"/>
        <w:gridCol w:w="237"/>
        <w:gridCol w:w="236"/>
        <w:gridCol w:w="236"/>
        <w:gridCol w:w="1388"/>
      </w:tblGrid>
      <w:tr>
        <w:trPr>
          <w:cantSplit/>
        </w:trPr>
        <w:tc>
          <w:tcPr>
            <w:tcW w:w="7308" w:type="dxa"/>
            <w:gridSpan w:val="9"/>
          </w:tcPr>
          <w:p>
            <w:pPr>
              <w:pStyle w:val="yTable"/>
              <w:spacing w:before="0"/>
              <w:rPr>
                <w:snapToGrid w:val="0"/>
              </w:rPr>
            </w:pPr>
          </w:p>
        </w:tc>
      </w:tr>
      <w:tr>
        <w:trPr>
          <w:cantSplit/>
        </w:trPr>
        <w:tc>
          <w:tcPr>
            <w:tcW w:w="4077" w:type="dxa"/>
            <w:tcBorders>
              <w:right w:val="nil"/>
            </w:tcBorders>
          </w:tcPr>
          <w:p>
            <w:pPr>
              <w:pStyle w:val="yTable"/>
              <w:spacing w:before="0"/>
              <w:jc w:val="right"/>
              <w:rPr>
                <w:snapToGrid w:val="0"/>
              </w:rPr>
            </w:pPr>
            <w:r>
              <w:rPr>
                <w:snapToGrid w:val="0"/>
              </w:rPr>
              <w:t>District Code</w:t>
            </w:r>
          </w:p>
        </w:tc>
        <w:tc>
          <w:tcPr>
            <w:tcW w:w="284" w:type="dxa"/>
            <w:tcBorders>
              <w:top w:val="nil"/>
              <w:left w:val="single" w:sz="4" w:space="0" w:color="auto"/>
              <w:bottom w:val="single" w:sz="4" w:space="0" w:color="auto"/>
              <w:right w:val="single" w:sz="4" w:space="0" w:color="auto"/>
            </w:tcBorders>
          </w:tcPr>
          <w:p>
            <w:pPr>
              <w:pStyle w:val="yTable"/>
              <w:spacing w:before="0"/>
              <w:rPr>
                <w:snapToGrid w:val="0"/>
              </w:rPr>
            </w:pPr>
          </w:p>
        </w:tc>
        <w:tc>
          <w:tcPr>
            <w:tcW w:w="2947" w:type="dxa"/>
            <w:gridSpan w:val="7"/>
            <w:tcBorders>
              <w:left w:val="nil"/>
            </w:tcBorders>
          </w:tcPr>
          <w:p>
            <w:pPr>
              <w:pStyle w:val="yTable"/>
              <w:spacing w:before="0"/>
              <w:rPr>
                <w:snapToGrid w:val="0"/>
              </w:rPr>
            </w:pPr>
          </w:p>
        </w:tc>
      </w:tr>
      <w:tr>
        <w:tc>
          <w:tcPr>
            <w:tcW w:w="4077" w:type="dxa"/>
          </w:tcPr>
          <w:p>
            <w:pPr>
              <w:pStyle w:val="yTable"/>
              <w:tabs>
                <w:tab w:val="left" w:pos="3119"/>
              </w:tabs>
              <w:spacing w:before="0"/>
              <w:rPr>
                <w:snapToGrid w:val="0"/>
              </w:rPr>
            </w:pPr>
            <w:r>
              <w:rPr>
                <w:snapToGrid w:val="0"/>
              </w:rPr>
              <w:tab/>
              <w:t>or</w:t>
            </w: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37"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1388" w:type="dxa"/>
          </w:tcPr>
          <w:p>
            <w:pPr>
              <w:pStyle w:val="yTable"/>
              <w:spacing w:before="0"/>
              <w:rPr>
                <w:snapToGrid w:val="0"/>
              </w:rPr>
            </w:pPr>
          </w:p>
        </w:tc>
      </w:tr>
      <w:tr>
        <w:tc>
          <w:tcPr>
            <w:tcW w:w="4077" w:type="dxa"/>
            <w:tcBorders>
              <w:right w:val="nil"/>
            </w:tcBorders>
          </w:tcPr>
          <w:p>
            <w:pPr>
              <w:pStyle w:val="yTable"/>
              <w:tabs>
                <w:tab w:val="left" w:pos="3119"/>
              </w:tabs>
              <w:spacing w:before="0"/>
              <w:jc w:val="right"/>
              <w:rPr>
                <w:snapToGrid w:val="0"/>
              </w:rPr>
            </w:pPr>
            <w:r>
              <w:rPr>
                <w:snapToGrid w:val="0"/>
              </w:rPr>
              <w:t>Operation Code</w:t>
            </w:r>
          </w:p>
        </w:tc>
        <w:tc>
          <w:tcPr>
            <w:tcW w:w="284" w:type="dxa"/>
            <w:tcBorders>
              <w:top w:val="nil"/>
              <w:left w:val="single" w:sz="4"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4"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7"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4" w:space="0" w:color="auto"/>
            </w:tcBorders>
          </w:tcPr>
          <w:p>
            <w:pPr>
              <w:pStyle w:val="yTable"/>
              <w:spacing w:before="0"/>
              <w:rPr>
                <w:snapToGrid w:val="0"/>
              </w:rPr>
            </w:pPr>
          </w:p>
        </w:tc>
        <w:tc>
          <w:tcPr>
            <w:tcW w:w="1388" w:type="dxa"/>
            <w:tcBorders>
              <w:left w:val="nil"/>
            </w:tcBorders>
          </w:tcPr>
          <w:p>
            <w:pPr>
              <w:pStyle w:val="yTable"/>
              <w:spacing w:before="0"/>
              <w:rPr>
                <w:snapToGrid w:val="0"/>
              </w:rPr>
            </w:pPr>
          </w:p>
        </w:tc>
      </w:tr>
      <w:tr>
        <w:trPr>
          <w:cantSplit/>
        </w:trPr>
        <w:tc>
          <w:tcPr>
            <w:tcW w:w="7308" w:type="dxa"/>
            <w:gridSpan w:val="9"/>
          </w:tcPr>
          <w:p>
            <w:pPr>
              <w:pStyle w:val="yTable"/>
              <w:spacing w:before="0"/>
              <w:rPr>
                <w:snapToGrid w:val="0"/>
              </w:rPr>
            </w:pPr>
          </w:p>
        </w:tc>
      </w:tr>
    </w:tbl>
    <w:p>
      <w:pPr>
        <w:pStyle w:val="yTable"/>
        <w:rPr>
          <w:snapToGrid w:val="0"/>
        </w:rPr>
      </w:pPr>
    </w:p>
    <w:p>
      <w:pPr>
        <w:pStyle w:val="yTable"/>
        <w:outlineLvl w:val="0"/>
        <w:rPr>
          <w:snapToGrid w:val="0"/>
        </w:rPr>
      </w:pPr>
      <w:r>
        <w:rPr>
          <w:b/>
          <w:snapToGrid w:val="0"/>
        </w:rPr>
        <w:t>Period during which forest produce may be taken: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First day of period ............................................... but subject to reg 70(1)(b)</w:t>
            </w:r>
          </w:p>
          <w:p>
            <w:pPr>
              <w:pStyle w:val="yTable"/>
              <w:rPr>
                <w:snapToGrid w:val="0"/>
              </w:rPr>
            </w:pPr>
            <w:r>
              <w:rPr>
                <w:snapToGrid w:val="0"/>
              </w:rPr>
              <w:t>Last day of period ............................................................................................</w:t>
            </w:r>
          </w:p>
        </w:tc>
      </w:tr>
    </w:tbl>
    <w:p>
      <w:pPr>
        <w:pStyle w:val="yTable"/>
        <w:rPr>
          <w:snapToGrid w:val="0"/>
        </w:rPr>
      </w:pPr>
    </w:p>
    <w:p>
      <w:pPr>
        <w:pStyle w:val="yTable"/>
        <w:keepNext/>
        <w:outlineLvl w:val="0"/>
        <w:rPr>
          <w:snapToGrid w:val="0"/>
        </w:rPr>
      </w:pPr>
      <w:r>
        <w:rPr>
          <w:b/>
          <w:snapToGrid w:val="0"/>
        </w:rPr>
        <w:t>Forest produce that may be taken (</w:t>
      </w:r>
      <w:r>
        <w:rPr>
          <w:b/>
          <w:snapToGrid w:val="0"/>
        </w:rPr>
        <w:sym w:font="Wingdings" w:char="F0FC"/>
      </w:r>
      <w:r>
        <w:rPr>
          <w:b/>
          <w:snapToGrid w:val="0"/>
        </w:rPr>
        <w:t>):</w:t>
      </w:r>
    </w:p>
    <w:p>
      <w:pPr>
        <w:pStyle w:val="yTable"/>
        <w:outlineLvl w:val="0"/>
        <w:rPr>
          <w:snapToGrid w:val="0"/>
        </w:rPr>
      </w:pPr>
      <w:r>
        <w:rPr>
          <w:b/>
          <w:snapToGrid w:val="0"/>
        </w:rPr>
        <w:t>Species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
        <w:gridCol w:w="236"/>
        <w:gridCol w:w="1380"/>
        <w:gridCol w:w="243"/>
        <w:gridCol w:w="1085"/>
        <w:gridCol w:w="236"/>
        <w:gridCol w:w="1092"/>
        <w:gridCol w:w="280"/>
        <w:gridCol w:w="1048"/>
        <w:gridCol w:w="236"/>
        <w:gridCol w:w="1092"/>
      </w:tblGrid>
      <w:tr>
        <w:trPr>
          <w:cantSplit/>
        </w:trPr>
        <w:tc>
          <w:tcPr>
            <w:tcW w:w="7304" w:type="dxa"/>
            <w:gridSpan w:val="11"/>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B</w:t>
            </w:r>
          </w:p>
        </w:tc>
        <w:tc>
          <w:tcPr>
            <w:tcW w:w="236" w:type="dxa"/>
            <w:tcBorders>
              <w:top w:val="nil"/>
              <w:left w:val="single" w:sz="4" w:space="0" w:color="auto"/>
              <w:bottom w:val="nil"/>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Blackbutt       J</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Jarrah      K</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rPr>
                <w:snapToGrid w:val="0"/>
                <w:sz w:val="18"/>
              </w:rPr>
            </w:pPr>
            <w:r>
              <w:rPr>
                <w:snapToGrid w:val="0"/>
                <w:sz w:val="18"/>
              </w:rPr>
              <w:t>Karri        L</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Mallet</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tcBorders>
          </w:tcPr>
          <w:p>
            <w:pPr>
              <w:pStyle w:val="yTable"/>
              <w:rPr>
                <w:snapToGrid w:val="0"/>
                <w:sz w:val="18"/>
              </w:rPr>
            </w:pPr>
            <w:r>
              <w:rPr>
                <w:snapToGrid w:val="0"/>
                <w:sz w:val="18"/>
              </w:rPr>
              <w:t>Marri</w:t>
            </w:r>
          </w:p>
        </w:tc>
      </w:tr>
      <w:tr>
        <w:tc>
          <w:tcPr>
            <w:tcW w:w="376" w:type="dxa"/>
            <w:tcBorders>
              <w:right w:val="nil"/>
            </w:tcBorders>
          </w:tcPr>
          <w:p>
            <w:pPr>
              <w:pStyle w:val="yTable"/>
              <w:rPr>
                <w:snapToGrid w:val="0"/>
                <w:sz w:val="18"/>
              </w:rPr>
            </w:pPr>
          </w:p>
        </w:tc>
        <w:tc>
          <w:tcPr>
            <w:tcW w:w="236" w:type="dxa"/>
            <w:tcBorders>
              <w:top w:val="single" w:sz="4" w:space="0" w:color="auto"/>
              <w:left w:val="nil"/>
              <w:bottom w:val="nil"/>
              <w:right w:val="nil"/>
            </w:tcBorders>
          </w:tcPr>
          <w:p>
            <w:pPr>
              <w:pStyle w:val="yTable"/>
              <w:rPr>
                <w:snapToGrid w:val="0"/>
                <w:sz w:val="18"/>
              </w:rPr>
            </w:pPr>
          </w:p>
        </w:tc>
        <w:tc>
          <w:tcPr>
            <w:tcW w:w="1380" w:type="dxa"/>
            <w:tcBorders>
              <w:left w:val="nil"/>
            </w:tcBorders>
          </w:tcPr>
          <w:p>
            <w:pPr>
              <w:pStyle w:val="yTable"/>
              <w:rPr>
                <w:snapToGrid w:val="0"/>
                <w:sz w:val="18"/>
              </w:rPr>
            </w:pPr>
          </w:p>
        </w:tc>
        <w:tc>
          <w:tcPr>
            <w:tcW w:w="243" w:type="dxa"/>
            <w:tcBorders>
              <w:bottom w:val="nil"/>
            </w:tcBorders>
          </w:tcPr>
          <w:p>
            <w:pPr>
              <w:pStyle w:val="yTable"/>
              <w:rPr>
                <w:snapToGrid w:val="0"/>
                <w:sz w:val="18"/>
              </w:rPr>
            </w:pPr>
          </w:p>
        </w:tc>
        <w:tc>
          <w:tcPr>
            <w:tcW w:w="1085"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c>
          <w:tcPr>
            <w:tcW w:w="280" w:type="dxa"/>
            <w:tcBorders>
              <w:bottom w:val="nil"/>
            </w:tcBorders>
          </w:tcPr>
          <w:p>
            <w:pPr>
              <w:pStyle w:val="yTable"/>
              <w:rPr>
                <w:snapToGrid w:val="0"/>
                <w:sz w:val="18"/>
              </w:rPr>
            </w:pPr>
          </w:p>
        </w:tc>
        <w:tc>
          <w:tcPr>
            <w:tcW w:w="1048"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P</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Pinaster          R</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Radiata    S</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tabs>
                <w:tab w:val="decimal" w:pos="697"/>
              </w:tabs>
              <w:rPr>
                <w:snapToGrid w:val="0"/>
                <w:sz w:val="18"/>
              </w:rPr>
            </w:pPr>
            <w:r>
              <w:rPr>
                <w:snapToGrid w:val="0"/>
                <w:sz w:val="18"/>
              </w:rPr>
              <w:t>Sheoak   W</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Wandoo</w:t>
            </w:r>
          </w:p>
        </w:tc>
        <w:tc>
          <w:tcPr>
            <w:tcW w:w="236" w:type="dxa"/>
            <w:tcBorders>
              <w:top w:val="nil"/>
              <w:left w:val="nil"/>
              <w:bottom w:val="nil"/>
              <w:right w:val="nil"/>
            </w:tcBorders>
          </w:tcPr>
          <w:p>
            <w:pPr>
              <w:pStyle w:val="yTable"/>
              <w:rPr>
                <w:snapToGrid w:val="0"/>
                <w:sz w:val="18"/>
              </w:rPr>
            </w:pPr>
          </w:p>
        </w:tc>
        <w:tc>
          <w:tcPr>
            <w:tcW w:w="1092" w:type="dxa"/>
            <w:tcBorders>
              <w:left w:val="nil"/>
            </w:tcBorders>
          </w:tcPr>
          <w:p>
            <w:pPr>
              <w:pStyle w:val="yTable"/>
              <w:rPr>
                <w:snapToGrid w:val="0"/>
                <w:sz w:val="18"/>
              </w:rPr>
            </w:pPr>
          </w:p>
        </w:tc>
      </w:tr>
      <w:tr>
        <w:tc>
          <w:tcPr>
            <w:tcW w:w="376" w:type="dxa"/>
          </w:tcPr>
          <w:p>
            <w:pPr>
              <w:pStyle w:val="yTable"/>
              <w:rPr>
                <w:snapToGrid w:val="0"/>
                <w:sz w:val="18"/>
              </w:rPr>
            </w:pPr>
          </w:p>
        </w:tc>
        <w:tc>
          <w:tcPr>
            <w:tcW w:w="236" w:type="dxa"/>
            <w:tcBorders>
              <w:top w:val="nil"/>
              <w:bottom w:val="nil"/>
            </w:tcBorders>
          </w:tcPr>
          <w:p>
            <w:pPr>
              <w:pStyle w:val="yTable"/>
              <w:rPr>
                <w:snapToGrid w:val="0"/>
                <w:sz w:val="18"/>
              </w:rPr>
            </w:pPr>
          </w:p>
        </w:tc>
        <w:tc>
          <w:tcPr>
            <w:tcW w:w="1380" w:type="dxa"/>
          </w:tcPr>
          <w:p>
            <w:pPr>
              <w:pStyle w:val="yTable"/>
              <w:rPr>
                <w:snapToGrid w:val="0"/>
                <w:sz w:val="18"/>
              </w:rPr>
            </w:pPr>
          </w:p>
        </w:tc>
        <w:tc>
          <w:tcPr>
            <w:tcW w:w="243" w:type="dxa"/>
            <w:tcBorders>
              <w:top w:val="nil"/>
            </w:tcBorders>
          </w:tcPr>
          <w:p>
            <w:pPr>
              <w:pStyle w:val="yTable"/>
              <w:rPr>
                <w:snapToGrid w:val="0"/>
                <w:sz w:val="18"/>
              </w:rPr>
            </w:pPr>
          </w:p>
        </w:tc>
        <w:tc>
          <w:tcPr>
            <w:tcW w:w="1085"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tabs>
                <w:tab w:val="decimal" w:pos="697"/>
              </w:tabs>
              <w:rPr>
                <w:snapToGrid w:val="0"/>
                <w:sz w:val="18"/>
              </w:rPr>
            </w:pPr>
          </w:p>
        </w:tc>
        <w:tc>
          <w:tcPr>
            <w:tcW w:w="280" w:type="dxa"/>
            <w:tcBorders>
              <w:top w:val="nil"/>
            </w:tcBorders>
          </w:tcPr>
          <w:p>
            <w:pPr>
              <w:pStyle w:val="yTable"/>
              <w:rPr>
                <w:snapToGrid w:val="0"/>
                <w:sz w:val="18"/>
              </w:rPr>
            </w:pPr>
          </w:p>
        </w:tc>
        <w:tc>
          <w:tcPr>
            <w:tcW w:w="1048"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rPr>
                <w:snapToGrid w:val="0"/>
                <w:sz w:val="18"/>
              </w:rPr>
            </w:pPr>
          </w:p>
        </w:tc>
      </w:tr>
      <w:tr>
        <w:trPr>
          <w:cantSplit/>
        </w:trPr>
        <w:tc>
          <w:tcPr>
            <w:tcW w:w="376" w:type="dxa"/>
            <w:tcBorders>
              <w:right w:val="nil"/>
            </w:tcBorders>
          </w:tcPr>
          <w:p>
            <w:pPr>
              <w:pStyle w:val="yTable"/>
              <w:rPr>
                <w:snapToGrid w:val="0"/>
                <w:sz w:val="18"/>
              </w:rPr>
            </w:pPr>
            <w:r>
              <w:rPr>
                <w:snapToGrid w:val="0"/>
                <w:sz w:val="18"/>
              </w:rPr>
              <w:t>X</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6692" w:type="dxa"/>
            <w:gridSpan w:val="9"/>
            <w:tcBorders>
              <w:left w:val="nil"/>
            </w:tcBorders>
          </w:tcPr>
          <w:p>
            <w:pPr>
              <w:pStyle w:val="yTable"/>
              <w:rPr>
                <w:snapToGrid w:val="0"/>
                <w:sz w:val="18"/>
              </w:rPr>
            </w:pPr>
            <w:r>
              <w:rPr>
                <w:snapToGrid w:val="0"/>
                <w:sz w:val="18"/>
              </w:rPr>
              <w:t>Other species ............................................ (specify)</w:t>
            </w:r>
          </w:p>
        </w:tc>
      </w:tr>
      <w:tr>
        <w:trPr>
          <w:cantSplit/>
        </w:trPr>
        <w:tc>
          <w:tcPr>
            <w:tcW w:w="7304" w:type="dxa"/>
            <w:gridSpan w:val="11"/>
          </w:tcPr>
          <w:p>
            <w:pPr>
              <w:pStyle w:val="yTable"/>
              <w:rPr>
                <w:snapToGrid w:val="0"/>
                <w:sz w:val="18"/>
              </w:rPr>
            </w:pPr>
          </w:p>
        </w:tc>
      </w:tr>
    </w:tbl>
    <w:p>
      <w:pPr>
        <w:pStyle w:val="yTable"/>
        <w:rPr>
          <w:snapToGrid w:val="0"/>
        </w:rPr>
      </w:pPr>
    </w:p>
    <w:p>
      <w:pPr>
        <w:pStyle w:val="yTable"/>
        <w:outlineLvl w:val="0"/>
        <w:rPr>
          <w:b/>
          <w:snapToGrid w:val="0"/>
        </w:rPr>
      </w:pPr>
      <w:r>
        <w:rPr>
          <w:b/>
          <w:snapToGrid w:val="0"/>
        </w:rPr>
        <w:t>Product type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284"/>
        <w:gridCol w:w="2695"/>
        <w:gridCol w:w="282"/>
        <w:gridCol w:w="3372"/>
      </w:tblGrid>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NP</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Non-engineering grade rounds (fencing material, chopping logs)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MC</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Craftwood                     FW</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r>
              <w:rPr>
                <w:snapToGrid w:val="0"/>
              </w:rPr>
              <w:t>Firewood</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MG</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Garden sticks                MD</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r>
              <w:rPr>
                <w:snapToGrid w:val="0"/>
              </w:rPr>
              <w:t>Forest debris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OT</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Other ............................................(specify)</w:t>
            </w:r>
          </w:p>
        </w:tc>
      </w:tr>
      <w:tr>
        <w:trPr>
          <w:cantSplit/>
        </w:trPr>
        <w:tc>
          <w:tcPr>
            <w:tcW w:w="7308" w:type="dxa"/>
            <w:gridSpan w:val="5"/>
          </w:tcPr>
          <w:p>
            <w:pPr>
              <w:pStyle w:val="yTable"/>
              <w:rPr>
                <w:snapToGrid w:val="0"/>
              </w:rPr>
            </w:pPr>
            <w:r>
              <w:rPr>
                <w:snapToGrid w:val="0"/>
              </w:rPr>
              <w:t>(Refer to Manual of Logging Specifications or Schedule or Royalties for product type guide)</w:t>
            </w:r>
          </w:p>
        </w:tc>
      </w:tr>
      <w:tr>
        <w:trPr>
          <w:cantSplit/>
        </w:trPr>
        <w:tc>
          <w:tcPr>
            <w:tcW w:w="7308" w:type="dxa"/>
            <w:gridSpan w:val="5"/>
          </w:tcPr>
          <w:p>
            <w:pPr>
              <w:pStyle w:val="yTable"/>
              <w:rPr>
                <w:snapToGrid w:val="0"/>
              </w:rPr>
            </w:pPr>
          </w:p>
        </w:tc>
      </w:tr>
    </w:tbl>
    <w:p>
      <w:pPr>
        <w:pStyle w:val="yTable"/>
        <w:rPr>
          <w:snapToGrid w:val="0"/>
        </w:rPr>
      </w:pPr>
      <w:r>
        <w:rPr>
          <w:i/>
          <w:snapToGrid w:val="0"/>
        </w:rPr>
        <w:t>Note: This licence does not authorize the felling of any tree (Reg. 71(1)(a)).</w:t>
      </w:r>
    </w:p>
    <w:p>
      <w:pPr>
        <w:pStyle w:val="yTable"/>
        <w:rPr>
          <w:snapToGrid w:val="0"/>
        </w:rPr>
      </w:pPr>
    </w:p>
    <w:p>
      <w:pPr>
        <w:pStyle w:val="yTable"/>
        <w:outlineLvl w:val="0"/>
        <w:rPr>
          <w:snapToGrid w:val="0"/>
        </w:rPr>
      </w:pPr>
      <w:r>
        <w:rPr>
          <w:b/>
          <w:snapToGrid w:val="0"/>
        </w:rPr>
        <w:t>Quantity: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 tonnes; or</w:t>
            </w:r>
          </w:p>
          <w:p>
            <w:pPr>
              <w:pStyle w:val="yTable"/>
              <w:rPr>
                <w:snapToGrid w:val="0"/>
              </w:rPr>
            </w:pPr>
            <w:r>
              <w:rPr>
                <w:snapToGrid w:val="0"/>
              </w:rPr>
              <w:t>......................................................................... specify other unit of measurement</w:t>
            </w:r>
          </w:p>
          <w:p>
            <w:pPr>
              <w:pStyle w:val="yTable"/>
              <w:rPr>
                <w:snapToGrid w:val="0"/>
              </w:rPr>
            </w:pPr>
            <w:r>
              <w:rPr>
                <w:snapToGrid w:val="0"/>
              </w:rPr>
              <w:t>(Refer to Manual of Logging Specifications for quantity determination guide)</w:t>
            </w:r>
          </w:p>
        </w:tc>
      </w:tr>
    </w:tbl>
    <w:p>
      <w:pPr>
        <w:pStyle w:val="yTable"/>
        <w:rPr>
          <w:snapToGrid w:val="0"/>
        </w:rPr>
      </w:pPr>
    </w:p>
    <w:p>
      <w:pPr>
        <w:pStyle w:val="yTable"/>
        <w:outlineLvl w:val="0"/>
        <w:rPr>
          <w:snapToGrid w:val="0"/>
        </w:rPr>
      </w:pPr>
      <w:r>
        <w:rPr>
          <w:b/>
          <w:snapToGrid w:val="0"/>
        </w:rPr>
        <w:t>Price to be paid: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r>
              <w:rPr>
                <w:snapToGrid w:val="0"/>
              </w:rPr>
              <w:t>Royalty/stumpage $....../tonne; In-forest costs $......./tonne; Roading $....../tonne</w:t>
            </w:r>
          </w:p>
          <w:p>
            <w:pPr>
              <w:pStyle w:val="yTable"/>
              <w:rPr>
                <w:snapToGrid w:val="0"/>
              </w:rPr>
            </w:pPr>
            <w:r>
              <w:rPr>
                <w:snapToGrid w:val="0"/>
              </w:rPr>
              <w:t>Total $.........../tonne or $.................... (specify unit of measurement)</w:t>
            </w:r>
          </w:p>
        </w:tc>
      </w:tr>
    </w:tbl>
    <w:p>
      <w:pPr>
        <w:pStyle w:val="yTable"/>
        <w:rPr>
          <w:snapToGrid w:val="0"/>
        </w:rPr>
      </w:pPr>
      <w:r>
        <w:rPr>
          <w:b/>
          <w:snapToGrid w:val="0"/>
        </w:rPr>
        <w:t>Vehicles, machinery or equipment that may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p>
          <w:p>
            <w:pPr>
              <w:pStyle w:val="yTable"/>
              <w:rPr>
                <w:snapToGrid w:val="0"/>
              </w:rPr>
            </w:pPr>
          </w:p>
          <w:p>
            <w:pPr>
              <w:pStyle w:val="yTable"/>
              <w:rPr>
                <w:snapToGrid w:val="0"/>
              </w:rPr>
            </w:pPr>
          </w:p>
        </w:tc>
      </w:tr>
    </w:tbl>
    <w:p>
      <w:pPr>
        <w:pStyle w:val="yTable"/>
        <w:rPr>
          <w:snapToGrid w:val="0"/>
        </w:rPr>
      </w:pPr>
    </w:p>
    <w:p>
      <w:pPr>
        <w:pStyle w:val="MiscellaneousHeading"/>
        <w:outlineLvl w:val="0"/>
        <w:rPr>
          <w:snapToGrid w:val="0"/>
        </w:rPr>
      </w:pPr>
      <w:r>
        <w:rPr>
          <w:snapToGrid w:val="0"/>
        </w:rPr>
        <w:t>CONDITIONS</w:t>
      </w:r>
    </w:p>
    <w:p>
      <w:pPr>
        <w:pStyle w:val="yTable"/>
        <w:tabs>
          <w:tab w:val="left" w:pos="567"/>
        </w:tabs>
        <w:ind w:left="567" w:hanging="567"/>
        <w:rPr>
          <w:snapToGrid w:val="0"/>
        </w:rPr>
      </w:pPr>
      <w:r>
        <w:rPr>
          <w:snapToGrid w:val="0"/>
        </w:rPr>
        <w:t>1.</w:t>
      </w:r>
      <w:r>
        <w:rPr>
          <w:snapToGrid w:val="0"/>
        </w:rPr>
        <w:tab/>
        <w:t>The licensee, in taking forest produce under this licence, is to comply with the following — </w:t>
      </w:r>
    </w:p>
    <w:p>
      <w:pPr>
        <w:pStyle w:val="yTable"/>
        <w:tabs>
          <w:tab w:val="left" w:pos="567"/>
          <w:tab w:val="left" w:pos="1134"/>
        </w:tabs>
        <w:ind w:left="1134" w:hanging="1134"/>
        <w:rPr>
          <w:snapToGrid w:val="0"/>
        </w:rPr>
      </w:pPr>
      <w:r>
        <w:rPr>
          <w:snapToGrid w:val="0"/>
        </w:rPr>
        <w:tab/>
        <w:t>(a)</w:t>
      </w:r>
      <w:r>
        <w:rPr>
          <w:snapToGrid w:val="0"/>
        </w:rPr>
        <w:tab/>
        <w:t xml:space="preserve">the </w:t>
      </w:r>
      <w:r>
        <w:rPr>
          <w:i/>
          <w:snapToGrid w:val="0"/>
        </w:rPr>
        <w:t>Conservation and Land Management Act 1984</w:t>
      </w:r>
      <w:r>
        <w:rPr>
          <w:snapToGrid w:val="0"/>
        </w:rPr>
        <w:t>;</w:t>
      </w:r>
    </w:p>
    <w:p>
      <w:pPr>
        <w:pStyle w:val="yTable"/>
        <w:tabs>
          <w:tab w:val="left" w:pos="567"/>
          <w:tab w:val="left" w:pos="1134"/>
        </w:tabs>
        <w:ind w:left="1134" w:hanging="1134"/>
        <w:rPr>
          <w:snapToGrid w:val="0"/>
        </w:rPr>
      </w:pPr>
      <w:r>
        <w:rPr>
          <w:snapToGrid w:val="0"/>
        </w:rPr>
        <w:tab/>
        <w:t>(b)</w:t>
      </w:r>
      <w:r>
        <w:rPr>
          <w:snapToGrid w:val="0"/>
        </w:rPr>
        <w:tab/>
        <w:t xml:space="preserve">the </w:t>
      </w:r>
      <w:r>
        <w:rPr>
          <w:i/>
          <w:snapToGrid w:val="0"/>
        </w:rPr>
        <w:t>Forest Management Regulations 1993</w:t>
      </w:r>
      <w:r>
        <w:rPr>
          <w:snapToGrid w:val="0"/>
        </w:rPr>
        <w:t>;</w:t>
      </w:r>
    </w:p>
    <w:p>
      <w:pPr>
        <w:pStyle w:val="yTable"/>
        <w:tabs>
          <w:tab w:val="left" w:pos="567"/>
          <w:tab w:val="left" w:pos="1134"/>
        </w:tabs>
        <w:ind w:left="1134" w:hanging="1134"/>
        <w:rPr>
          <w:snapToGrid w:val="0"/>
        </w:rPr>
      </w:pPr>
      <w:r>
        <w:rPr>
          <w:snapToGrid w:val="0"/>
        </w:rPr>
        <w:tab/>
        <w:t>(c)</w:t>
      </w:r>
      <w:r>
        <w:rPr>
          <w:snapToGrid w:val="0"/>
        </w:rPr>
        <w:tab/>
        <w:t>the Code of Logging Practice issued by the Department;</w:t>
      </w:r>
    </w:p>
    <w:p>
      <w:pPr>
        <w:pStyle w:val="yTable"/>
        <w:tabs>
          <w:tab w:val="left" w:pos="567"/>
          <w:tab w:val="left" w:pos="1134"/>
        </w:tabs>
        <w:ind w:left="1134" w:hanging="1134"/>
        <w:rPr>
          <w:snapToGrid w:val="0"/>
        </w:rPr>
      </w:pPr>
      <w:r>
        <w:rPr>
          <w:snapToGrid w:val="0"/>
        </w:rPr>
        <w:tab/>
        <w:t>(d)</w:t>
      </w:r>
      <w:r>
        <w:rPr>
          <w:snapToGrid w:val="0"/>
        </w:rPr>
        <w:tab/>
        <w:t>the Manual of Logging Specifications issued by the Department;</w:t>
      </w:r>
    </w:p>
    <w:p>
      <w:pPr>
        <w:pStyle w:val="yTable"/>
        <w:tabs>
          <w:tab w:val="left" w:pos="567"/>
          <w:tab w:val="left" w:pos="1134"/>
        </w:tabs>
        <w:ind w:left="1134" w:hanging="1134"/>
        <w:rPr>
          <w:snapToGrid w:val="0"/>
        </w:rPr>
      </w:pPr>
      <w:r>
        <w:rPr>
          <w:snapToGrid w:val="0"/>
        </w:rPr>
        <w:tab/>
        <w:t>(e)</w:t>
      </w:r>
      <w:r>
        <w:rPr>
          <w:snapToGrid w:val="0"/>
        </w:rPr>
        <w:tab/>
        <w:t xml:space="preserve">the </w:t>
      </w:r>
      <w:r>
        <w:rPr>
          <w:i/>
          <w:snapToGrid w:val="0"/>
        </w:rPr>
        <w:t>Bush Fires Act 1954</w:t>
      </w:r>
      <w:r>
        <w:rPr>
          <w:snapToGrid w:val="0"/>
        </w:rPr>
        <w:t xml:space="preserve"> and regulations made under that Act.</w:t>
      </w:r>
    </w:p>
    <w:p>
      <w:pPr>
        <w:pStyle w:val="yTable"/>
        <w:tabs>
          <w:tab w:val="left" w:pos="567"/>
        </w:tabs>
        <w:ind w:left="567" w:hanging="567"/>
        <w:rPr>
          <w:snapToGrid w:val="0"/>
        </w:rPr>
      </w:pPr>
      <w:r>
        <w:rPr>
          <w:snapToGrid w:val="0"/>
        </w:rPr>
        <w:t>2.</w:t>
      </w:r>
      <w:r>
        <w:rPr>
          <w:snapToGrid w:val="0"/>
        </w:rPr>
        <w:tab/>
        <w:t>Where any forest produce is taken under this licence, the licensee shall, as soon as practicable after the taking of the produce, complete the forest produce removal record at the end of this form in respect of that produce.</w:t>
      </w:r>
    </w:p>
    <w:p>
      <w:pPr>
        <w:pStyle w:val="yTable"/>
        <w:tabs>
          <w:tab w:val="left" w:pos="567"/>
        </w:tabs>
        <w:ind w:left="567" w:hanging="567"/>
        <w:rPr>
          <w:snapToGrid w:val="0"/>
        </w:rPr>
      </w:pPr>
      <w:r>
        <w:rPr>
          <w:snapToGrid w:val="0"/>
        </w:rPr>
        <w:t>3.</w:t>
      </w:r>
      <w:r>
        <w:rPr>
          <w:snapToGrid w:val="0"/>
        </w:rPr>
        <w:tab/>
        <w:t>[insert other conditions here]</w:t>
      </w:r>
    </w:p>
    <w:p>
      <w:pPr>
        <w:pStyle w:val="yTable"/>
        <w:tabs>
          <w:tab w:val="left" w:pos="567"/>
        </w:tabs>
        <w:ind w:left="567" w:hanging="567"/>
        <w:rPr>
          <w:snapToGrid w:val="0"/>
        </w:rPr>
      </w:pPr>
    </w:p>
    <w:p>
      <w:pPr>
        <w:pStyle w:val="yTable"/>
        <w:tabs>
          <w:tab w:val="left" w:pos="567"/>
        </w:tabs>
        <w:ind w:left="567" w:hanging="567"/>
        <w:rPr>
          <w:snapToGrid w:val="0"/>
        </w:rPr>
      </w:pPr>
    </w:p>
    <w:p>
      <w:pPr>
        <w:pStyle w:val="yTable"/>
        <w:jc w:val="center"/>
        <w:outlineLvl w:val="0"/>
        <w:rPr>
          <w:snapToGrid w:val="0"/>
        </w:rPr>
      </w:pPr>
      <w:r>
        <w:rPr>
          <w:snapToGrid w:val="0"/>
        </w:rPr>
        <w:t>LIMITATIONS (if any)</w:t>
      </w:r>
    </w:p>
    <w:p>
      <w:pPr>
        <w:pStyle w:val="yTable"/>
        <w:jc w:val="center"/>
        <w:rPr>
          <w:snapToGrid w:val="0"/>
        </w:rPr>
      </w:pPr>
    </w:p>
    <w:p>
      <w:pPr>
        <w:pStyle w:val="yTable"/>
        <w:jc w:val="center"/>
        <w:rPr>
          <w:snapToGrid w:val="0"/>
        </w:rPr>
      </w:pPr>
    </w:p>
    <w:p>
      <w:pPr>
        <w:pStyle w:val="yTable"/>
        <w:jc w:val="right"/>
        <w:rPr>
          <w:snapToGrid w:val="0"/>
        </w:rPr>
      </w:pPr>
      <w:r>
        <w:rPr>
          <w:snapToGrid w:val="0"/>
        </w:rPr>
        <w:t>. . . . . . . . . . . . . . . . . . . . . . . . . . . .</w:t>
      </w:r>
    </w:p>
    <w:p>
      <w:pPr>
        <w:pStyle w:val="yTable"/>
        <w:jc w:val="right"/>
        <w:rPr>
          <w:snapToGrid w:val="0"/>
        </w:rPr>
      </w:pPr>
      <w:r>
        <w:rPr>
          <w:snapToGrid w:val="0"/>
        </w:rPr>
        <w:t xml:space="preserve">for Executive Director </w:t>
      </w:r>
    </w:p>
    <w:p>
      <w:pPr>
        <w:pStyle w:val="yTable"/>
        <w:jc w:val="right"/>
        <w:rPr>
          <w:snapToGrid w:val="0"/>
        </w:rPr>
      </w:pPr>
      <w:r>
        <w:rPr>
          <w:snapToGrid w:val="0"/>
        </w:rPr>
        <w:t>Date of issue of licence . . . . . . . . . . . . . . . . . . . . . .</w:t>
      </w:r>
    </w:p>
    <w:p>
      <w:pPr>
        <w:pStyle w:val="yTable"/>
        <w:rPr>
          <w:snapToGrid w:val="0"/>
        </w:rPr>
      </w:pPr>
      <w:r>
        <w:rPr>
          <w:snapToGrid w:val="0"/>
        </w:rPr>
        <w:t>Received the sum of ............. dollars ............... cents ($... c..) in prepayment of royalty/stumpage and other charges.</w:t>
      </w:r>
    </w:p>
    <w:p>
      <w:pPr>
        <w:pStyle w:val="yTable"/>
        <w:jc w:val="right"/>
        <w:rPr>
          <w:snapToGrid w:val="0"/>
        </w:rPr>
      </w:pPr>
      <w:r>
        <w:rPr>
          <w:snapToGrid w:val="0"/>
        </w:rPr>
        <w:t>. . . . . . . . . . . . . . . . . . . . . . . . . . . .</w:t>
      </w:r>
    </w:p>
    <w:p>
      <w:pPr>
        <w:pStyle w:val="yTable"/>
        <w:jc w:val="right"/>
        <w:rPr>
          <w:snapToGrid w:val="0"/>
        </w:rPr>
      </w:pPr>
      <w:r>
        <w:rPr>
          <w:snapToGrid w:val="0"/>
        </w:rPr>
        <w:t xml:space="preserve">for Executive Director </w:t>
      </w:r>
    </w:p>
    <w:p>
      <w:pPr>
        <w:pStyle w:val="yTable"/>
        <w:jc w:val="right"/>
        <w:rPr>
          <w:snapToGrid w:val="0"/>
        </w:rPr>
      </w:pPr>
      <w:r>
        <w:rPr>
          <w:snapToGrid w:val="0"/>
        </w:rPr>
        <w:t>Date . . . . . . . . . . . . . . . . . . . . . . . . . . . .</w:t>
      </w:r>
    </w:p>
    <w:p>
      <w:pPr>
        <w:pStyle w:val="yTable"/>
        <w:keepNext/>
        <w:outlineLvl w:val="0"/>
        <w:rPr>
          <w:b/>
          <w:snapToGrid w:val="0"/>
        </w:rPr>
      </w:pPr>
      <w:r>
        <w:rPr>
          <w:b/>
          <w:snapToGrid w:val="0"/>
        </w:rPr>
        <w:t>Forest produce removal record</w:t>
      </w:r>
    </w:p>
    <w:tbl>
      <w:tblPr>
        <w:tblW w:w="0" w:type="auto"/>
        <w:tblInd w:w="120" w:type="dxa"/>
        <w:tblLayout w:type="fixed"/>
        <w:tblCellMar>
          <w:left w:w="120" w:type="dxa"/>
          <w:right w:w="120" w:type="dxa"/>
        </w:tblCellMar>
        <w:tblLook w:val="0000" w:firstRow="0" w:lastRow="0" w:firstColumn="0" w:lastColumn="0" w:noHBand="0" w:noVBand="0"/>
      </w:tblPr>
      <w:tblGrid>
        <w:gridCol w:w="1215"/>
        <w:gridCol w:w="2064"/>
        <w:gridCol w:w="1821"/>
        <w:gridCol w:w="1700"/>
      </w:tblGrid>
      <w:tr>
        <w:tc>
          <w:tcPr>
            <w:tcW w:w="1215" w:type="dxa"/>
            <w:tcBorders>
              <w:top w:val="double" w:sz="7" w:space="0" w:color="auto"/>
              <w:left w:val="double" w:sz="7" w:space="0" w:color="auto"/>
            </w:tcBorders>
          </w:tcPr>
          <w:p>
            <w:pPr>
              <w:pStyle w:val="yTable"/>
              <w:keepNext/>
              <w:jc w:val="center"/>
              <w:rPr>
                <w:sz w:val="18"/>
              </w:rPr>
            </w:pPr>
            <w:r>
              <w:rPr>
                <w:sz w:val="18"/>
              </w:rPr>
              <w:t>Date of removal</w:t>
            </w:r>
          </w:p>
        </w:tc>
        <w:tc>
          <w:tcPr>
            <w:tcW w:w="2064" w:type="dxa"/>
            <w:tcBorders>
              <w:top w:val="double" w:sz="7" w:space="0" w:color="auto"/>
              <w:left w:val="single" w:sz="7" w:space="0" w:color="auto"/>
            </w:tcBorders>
          </w:tcPr>
          <w:p>
            <w:pPr>
              <w:pStyle w:val="yTable"/>
              <w:keepNext/>
              <w:jc w:val="center"/>
              <w:rPr>
                <w:sz w:val="18"/>
              </w:rPr>
            </w:pPr>
            <w:r>
              <w:rPr>
                <w:sz w:val="18"/>
              </w:rPr>
              <w:t>Quantity removed</w:t>
            </w:r>
          </w:p>
        </w:tc>
        <w:tc>
          <w:tcPr>
            <w:tcW w:w="1821" w:type="dxa"/>
            <w:tcBorders>
              <w:top w:val="double" w:sz="7" w:space="0" w:color="auto"/>
              <w:left w:val="single" w:sz="7" w:space="0" w:color="auto"/>
            </w:tcBorders>
          </w:tcPr>
          <w:p>
            <w:pPr>
              <w:pStyle w:val="yTable"/>
              <w:keepNext/>
              <w:jc w:val="center"/>
              <w:rPr>
                <w:sz w:val="18"/>
              </w:rPr>
            </w:pPr>
            <w:r>
              <w:rPr>
                <w:sz w:val="18"/>
              </w:rPr>
              <w:t>Site removed to</w:t>
            </w:r>
          </w:p>
        </w:tc>
        <w:tc>
          <w:tcPr>
            <w:tcW w:w="1700" w:type="dxa"/>
            <w:tcBorders>
              <w:top w:val="double" w:sz="7" w:space="0" w:color="auto"/>
              <w:left w:val="single" w:sz="7" w:space="0" w:color="auto"/>
              <w:right w:val="double" w:sz="7" w:space="0" w:color="auto"/>
            </w:tcBorders>
          </w:tcPr>
          <w:p>
            <w:pPr>
              <w:pStyle w:val="yTable"/>
              <w:keepNext/>
              <w:jc w:val="center"/>
              <w:rPr>
                <w:sz w:val="18"/>
              </w:rPr>
            </w:pPr>
            <w:r>
              <w:rPr>
                <w:sz w:val="18"/>
              </w:rPr>
              <w:t>Signature of        licensee</w:t>
            </w:r>
          </w:p>
        </w:tc>
      </w:tr>
      <w:tr>
        <w:tc>
          <w:tcPr>
            <w:tcW w:w="1215" w:type="dxa"/>
            <w:tcBorders>
              <w:top w:val="single" w:sz="7" w:space="0" w:color="auto"/>
              <w:left w:val="double" w:sz="7" w:space="0" w:color="auto"/>
              <w:bottom w:val="double" w:sz="7" w:space="0" w:color="auto"/>
            </w:tcBorders>
          </w:tcPr>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tc>
        <w:tc>
          <w:tcPr>
            <w:tcW w:w="2064" w:type="dxa"/>
            <w:tcBorders>
              <w:top w:val="single" w:sz="7" w:space="0" w:color="auto"/>
              <w:left w:val="single" w:sz="7" w:space="0" w:color="auto"/>
              <w:bottom w:val="double" w:sz="7" w:space="0" w:color="auto"/>
            </w:tcBorders>
          </w:tcPr>
          <w:p>
            <w:pPr>
              <w:pStyle w:val="yTable"/>
              <w:rPr>
                <w:sz w:val="18"/>
                <w:lang w:val="en-US"/>
              </w:rPr>
            </w:pPr>
          </w:p>
        </w:tc>
        <w:tc>
          <w:tcPr>
            <w:tcW w:w="1821" w:type="dxa"/>
            <w:tcBorders>
              <w:top w:val="single" w:sz="7" w:space="0" w:color="auto"/>
              <w:left w:val="single" w:sz="7" w:space="0" w:color="auto"/>
              <w:bottom w:val="double" w:sz="7" w:space="0" w:color="auto"/>
            </w:tcBorders>
          </w:tcPr>
          <w:p>
            <w:pPr>
              <w:pStyle w:val="yTable"/>
              <w:rPr>
                <w:sz w:val="18"/>
              </w:rPr>
            </w:pPr>
          </w:p>
        </w:tc>
        <w:tc>
          <w:tcPr>
            <w:tcW w:w="1700" w:type="dxa"/>
            <w:tcBorders>
              <w:top w:val="single" w:sz="7" w:space="0" w:color="auto"/>
              <w:left w:val="single" w:sz="7" w:space="0" w:color="auto"/>
              <w:bottom w:val="double" w:sz="7" w:space="0" w:color="auto"/>
              <w:right w:val="double" w:sz="7" w:space="0" w:color="auto"/>
            </w:tcBorders>
          </w:tcPr>
          <w:p>
            <w:pPr>
              <w:pStyle w:val="yTable"/>
              <w:rPr>
                <w:sz w:val="18"/>
              </w:rPr>
            </w:pPr>
          </w:p>
        </w:tc>
      </w:tr>
    </w:tbl>
    <w:p>
      <w:pPr>
        <w:pStyle w:val="MiscellaneousHeading"/>
        <w:pageBreakBefore/>
        <w:rPr>
          <w:b/>
          <w:snapToGrid w:val="0"/>
        </w:rPr>
      </w:pPr>
      <w:r>
        <w:rPr>
          <w:b/>
          <w:snapToGrid w:val="0"/>
        </w:rPr>
        <w:t>Form 2</w:t>
      </w:r>
    </w:p>
    <w:p>
      <w:pPr>
        <w:pStyle w:val="yShoulderClause"/>
        <w:rPr>
          <w:snapToGrid w:val="0"/>
        </w:rPr>
      </w:pPr>
      <w:r>
        <w:rPr>
          <w:snapToGrid w:val="0"/>
        </w:rPr>
        <w:t>[Regulation 73(4)]</w:t>
      </w:r>
    </w:p>
    <w:p>
      <w:pPr>
        <w:pStyle w:val="MiscellaneousHeading"/>
        <w:rPr>
          <w:i/>
          <w:snapToGrid w:val="0"/>
        </w:rPr>
      </w:pPr>
      <w:r>
        <w:rPr>
          <w:i/>
          <w:snapToGrid w:val="0"/>
        </w:rPr>
        <w:t>Forest Management Regulations 1993</w:t>
      </w:r>
    </w:p>
    <w:p>
      <w:pPr>
        <w:pStyle w:val="MiscellaneousHeading"/>
        <w:rPr>
          <w:b/>
          <w:snapToGrid w:val="0"/>
        </w:rPr>
      </w:pPr>
      <w:r>
        <w:rPr>
          <w:b/>
          <w:snapToGrid w:val="0"/>
        </w:rPr>
        <w:t>APIARY SITE PERMIT</w:t>
      </w:r>
    </w:p>
    <w:p>
      <w:pPr>
        <w:pStyle w:val="yTable"/>
        <w:jc w:val="right"/>
        <w:rPr>
          <w:snapToGrid w:val="0"/>
        </w:rPr>
      </w:pPr>
      <w:r>
        <w:rPr>
          <w:snapToGrid w:val="0"/>
        </w:rPr>
        <w:t>Permit No. . . . . . . . . . . . . . .</w:t>
      </w:r>
    </w:p>
    <w:p>
      <w:pPr>
        <w:pStyle w:val="yTable"/>
        <w:rPr>
          <w:snapToGrid w:val="0"/>
        </w:rPr>
      </w:pPr>
      <w:r>
        <w:rPr>
          <w:snapToGrid w:val="0"/>
        </w:rPr>
        <w:t>……………………………………………………………………………………</w:t>
      </w:r>
    </w:p>
    <w:p>
      <w:pPr>
        <w:pStyle w:val="yTable"/>
        <w:jc w:val="center"/>
        <w:rPr>
          <w:snapToGrid w:val="0"/>
        </w:rPr>
      </w:pPr>
      <w:r>
        <w:rPr>
          <w:snapToGrid w:val="0"/>
        </w:rPr>
        <w:t>(name of permit</w:t>
      </w:r>
      <w:r>
        <w:rPr>
          <w:snapToGrid w:val="0"/>
        </w:rPr>
        <w:noBreakHyphen/>
        <w:t>holder)</w:t>
      </w:r>
    </w:p>
    <w:p>
      <w:pPr>
        <w:pStyle w:val="yTable"/>
        <w:rPr>
          <w:snapToGrid w:val="0"/>
        </w:rPr>
      </w:pPr>
      <w:r>
        <w:rPr>
          <w:snapToGrid w:val="0"/>
        </w:rPr>
        <w:t>of …………………………………………………………………………………</w:t>
      </w:r>
    </w:p>
    <w:p>
      <w:pPr>
        <w:pStyle w:val="yTable"/>
        <w:jc w:val="center"/>
        <w:rPr>
          <w:snapToGrid w:val="0"/>
        </w:rPr>
      </w:pPr>
      <w:r>
        <w:rPr>
          <w:snapToGrid w:val="0"/>
        </w:rPr>
        <w:t>(address)</w:t>
      </w:r>
    </w:p>
    <w:p>
      <w:pPr>
        <w:pStyle w:val="yTable"/>
        <w:rPr>
          <w:snapToGrid w:val="0"/>
        </w:rPr>
      </w:pPr>
      <w:r>
        <w:rPr>
          <w:snapToGrid w:val="0"/>
        </w:rPr>
        <w:t xml:space="preserve">is authorized, subject to the Act and the </w:t>
      </w:r>
      <w:r>
        <w:rPr>
          <w:i/>
          <w:snapToGrid w:val="0"/>
        </w:rPr>
        <w:t>Forest Management Regulations 1993</w:t>
      </w:r>
      <w:r>
        <w:rPr>
          <w:snapToGrid w:val="0"/>
        </w:rPr>
        <w:t>— </w:t>
      </w:r>
    </w:p>
    <w:p>
      <w:pPr>
        <w:pStyle w:val="yTable"/>
        <w:tabs>
          <w:tab w:val="left" w:pos="567"/>
          <w:tab w:val="left" w:pos="1134"/>
        </w:tabs>
        <w:ind w:left="1134" w:hanging="1134"/>
        <w:rPr>
          <w:snapToGrid w:val="0"/>
        </w:rPr>
      </w:pPr>
      <w:r>
        <w:rPr>
          <w:snapToGrid w:val="0"/>
        </w:rPr>
        <w:tab/>
        <w:t>(a)</w:t>
      </w:r>
      <w:r>
        <w:rPr>
          <w:snapToGrid w:val="0"/>
        </w:rPr>
        <w:tab/>
        <w:t>to occupy Crown land for the purposes of an apiary; and</w:t>
      </w:r>
    </w:p>
    <w:p>
      <w:pPr>
        <w:pStyle w:val="yTable"/>
        <w:tabs>
          <w:tab w:val="left" w:pos="567"/>
          <w:tab w:val="left" w:pos="1134"/>
        </w:tabs>
        <w:ind w:left="1134" w:hanging="1134"/>
        <w:rPr>
          <w:snapToGrid w:val="0"/>
        </w:rPr>
      </w:pPr>
      <w:r>
        <w:rPr>
          <w:snapToGrid w:val="0"/>
        </w:rPr>
        <w:tab/>
        <w:t>(b)</w:t>
      </w:r>
      <w:r>
        <w:rPr>
          <w:snapToGrid w:val="0"/>
        </w:rPr>
        <w:tab/>
        <w:t>to take forest produce for the purposes of that apiary,</w:t>
      </w:r>
    </w:p>
    <w:p>
      <w:pPr>
        <w:pStyle w:val="yTable"/>
        <w:rPr>
          <w:snapToGrid w:val="0"/>
        </w:rPr>
      </w:pPr>
      <w:r>
        <w:rPr>
          <w:snapToGrid w:val="0"/>
        </w:rPr>
        <w:t>in accordance with the terms and conditions and any limitations set out below, and not otherwise.</w:t>
      </w:r>
    </w:p>
    <w:p>
      <w:pPr>
        <w:pStyle w:val="yTable"/>
        <w:rPr>
          <w:i/>
          <w:snapToGrid w:val="0"/>
        </w:rPr>
      </w:pPr>
      <w:r>
        <w:rPr>
          <w:i/>
          <w:snapToGrid w:val="0"/>
        </w:rPr>
        <w:t xml:space="preserve">Note: The authority conferred by this permit is of no effect at any time when a term, condition or limitation of the permit is not being complied with. </w:t>
      </w:r>
    </w:p>
    <w:p>
      <w:pPr>
        <w:pStyle w:val="yTable"/>
        <w:jc w:val="center"/>
        <w:outlineLvl w:val="0"/>
        <w:rPr>
          <w:snapToGrid w:val="0"/>
        </w:rPr>
      </w:pPr>
      <w:r>
        <w:rPr>
          <w:snapToGrid w:val="0"/>
        </w:rPr>
        <w:t>TERMS</w:t>
      </w:r>
    </w:p>
    <w:p>
      <w:pPr>
        <w:pStyle w:val="yTable"/>
        <w:spacing w:after="120"/>
        <w:outlineLvl w:val="0"/>
        <w:rPr>
          <w:b/>
          <w:snapToGrid w:val="0"/>
        </w:rPr>
      </w:pPr>
      <w:r>
        <w:rPr>
          <w:b/>
          <w:snapToGrid w:val="0"/>
        </w:rPr>
        <w:t>Type of permit (delete types not applicable):</w:t>
      </w:r>
    </w:p>
    <w:tbl>
      <w:tblPr>
        <w:tblW w:w="0" w:type="auto"/>
        <w:tblInd w:w="120" w:type="dxa"/>
        <w:tblLayout w:type="fixed"/>
        <w:tblCellMar>
          <w:left w:w="120" w:type="dxa"/>
          <w:right w:w="120" w:type="dxa"/>
        </w:tblCellMar>
        <w:tblLook w:val="0000" w:firstRow="0" w:lastRow="0" w:firstColumn="0" w:lastColumn="0" w:noHBand="0" w:noVBand="0"/>
      </w:tblPr>
      <w:tblGrid>
        <w:gridCol w:w="1471"/>
      </w:tblGrid>
      <w:tr>
        <w:tc>
          <w:tcPr>
            <w:tcW w:w="1471" w:type="dxa"/>
            <w:tcBorders>
              <w:top w:val="single" w:sz="7" w:space="0" w:color="auto"/>
              <w:left w:val="single" w:sz="7" w:space="0" w:color="auto"/>
              <w:bottom w:val="single" w:sz="7" w:space="0" w:color="auto"/>
              <w:right w:val="single" w:sz="7" w:space="0" w:color="auto"/>
            </w:tcBorders>
          </w:tcPr>
          <w:p>
            <w:pPr>
              <w:pStyle w:val="yTable"/>
              <w:rPr>
                <w:sz w:val="18"/>
              </w:rPr>
            </w:pPr>
            <w:r>
              <w:rPr>
                <w:sz w:val="18"/>
              </w:rPr>
              <w:t>Extended</w:t>
            </w:r>
          </w:p>
          <w:p>
            <w:pPr>
              <w:pStyle w:val="yTable"/>
              <w:rPr>
                <w:sz w:val="18"/>
              </w:rPr>
            </w:pPr>
            <w:r>
              <w:rPr>
                <w:sz w:val="18"/>
              </w:rPr>
              <w:t>Temporary</w:t>
            </w:r>
          </w:p>
          <w:p>
            <w:pPr>
              <w:pStyle w:val="yTable"/>
              <w:rPr>
                <w:sz w:val="18"/>
              </w:rPr>
            </w:pPr>
            <w:r>
              <w:rPr>
                <w:sz w:val="18"/>
              </w:rPr>
              <w:t>Limited</w:t>
            </w:r>
          </w:p>
        </w:tc>
      </w:tr>
    </w:tbl>
    <w:p>
      <w:pPr>
        <w:pStyle w:val="yTable"/>
        <w:rPr>
          <w:snapToGrid w:val="0"/>
        </w:rPr>
      </w:pPr>
    </w:p>
    <w:p>
      <w:pPr>
        <w:pStyle w:val="yTable"/>
        <w:spacing w:after="120"/>
        <w:outlineLvl w:val="0"/>
        <w:rPr>
          <w:b/>
          <w:snapToGrid w:val="0"/>
        </w:rPr>
      </w:pPr>
      <w:r>
        <w:rPr>
          <w:b/>
          <w:snapToGrid w:val="0"/>
        </w:rPr>
        <w:t>Site that may be occupied:</w:t>
      </w:r>
    </w:p>
    <w:tbl>
      <w:tblPr>
        <w:tblW w:w="0" w:type="auto"/>
        <w:tblInd w:w="120" w:type="dxa"/>
        <w:tblLayout w:type="fixed"/>
        <w:tblCellMar>
          <w:left w:w="120" w:type="dxa"/>
          <w:right w:w="120" w:type="dxa"/>
        </w:tblCellMar>
        <w:tblLook w:val="0000" w:firstRow="0" w:lastRow="0" w:firstColumn="0" w:lastColumn="0" w:noHBand="0" w:noVBand="0"/>
      </w:tblPr>
      <w:tblGrid>
        <w:gridCol w:w="2268"/>
        <w:gridCol w:w="2268"/>
        <w:gridCol w:w="2268"/>
      </w:tblGrid>
      <w:tr>
        <w:tc>
          <w:tcPr>
            <w:tcW w:w="2268" w:type="dxa"/>
            <w:tcBorders>
              <w:top w:val="single" w:sz="7" w:space="0" w:color="auto"/>
              <w:left w:val="single" w:sz="7" w:space="0" w:color="auto"/>
            </w:tcBorders>
          </w:tcPr>
          <w:p>
            <w:pPr>
              <w:pStyle w:val="yTable"/>
              <w:rPr>
                <w:sz w:val="18"/>
              </w:rPr>
            </w:pPr>
            <w:r>
              <w:rPr>
                <w:sz w:val="18"/>
              </w:rPr>
              <w:t>Location of site:</w:t>
            </w:r>
          </w:p>
        </w:tc>
        <w:tc>
          <w:tcPr>
            <w:tcW w:w="2268" w:type="dxa"/>
            <w:tcBorders>
              <w:top w:val="single" w:sz="7" w:space="0" w:color="auto"/>
              <w:left w:val="single" w:sz="7" w:space="0" w:color="auto"/>
            </w:tcBorders>
          </w:tcPr>
          <w:p>
            <w:pPr>
              <w:pStyle w:val="yTable"/>
              <w:rPr>
                <w:sz w:val="18"/>
              </w:rPr>
            </w:pPr>
            <w:r>
              <w:rPr>
                <w:sz w:val="18"/>
              </w:rPr>
              <w:t>District:</w:t>
            </w:r>
          </w:p>
        </w:tc>
        <w:tc>
          <w:tcPr>
            <w:tcW w:w="2268" w:type="dxa"/>
            <w:tcBorders>
              <w:top w:val="single" w:sz="7" w:space="0" w:color="auto"/>
              <w:left w:val="single" w:sz="7" w:space="0" w:color="auto"/>
              <w:right w:val="single" w:sz="7" w:space="0" w:color="auto"/>
            </w:tcBorders>
          </w:tcPr>
          <w:p>
            <w:pPr>
              <w:pStyle w:val="yTable"/>
              <w:rPr>
                <w:sz w:val="18"/>
              </w:rPr>
            </w:pPr>
            <w:r>
              <w:rPr>
                <w:sz w:val="18"/>
              </w:rPr>
              <w:t>CALM map ref:</w:t>
            </w:r>
          </w:p>
        </w:tc>
      </w:tr>
      <w:tr>
        <w:tc>
          <w:tcPr>
            <w:tcW w:w="2268" w:type="dxa"/>
            <w:tcBorders>
              <w:left w:val="single" w:sz="7" w:space="0" w:color="auto"/>
              <w:bottom w:val="single" w:sz="7" w:space="0" w:color="auto"/>
            </w:tcBorders>
          </w:tcPr>
          <w:p>
            <w:pPr>
              <w:pStyle w:val="yTable"/>
              <w:rPr>
                <w:sz w:val="18"/>
              </w:rPr>
            </w:pPr>
          </w:p>
        </w:tc>
        <w:tc>
          <w:tcPr>
            <w:tcW w:w="4536" w:type="dxa"/>
            <w:gridSpan w:val="2"/>
            <w:tcBorders>
              <w:top w:val="single" w:sz="7" w:space="0" w:color="auto"/>
              <w:left w:val="single" w:sz="7" w:space="0" w:color="auto"/>
              <w:bottom w:val="single" w:sz="7" w:space="0" w:color="auto"/>
              <w:right w:val="single" w:sz="7" w:space="0" w:color="auto"/>
            </w:tcBorders>
          </w:tcPr>
          <w:p>
            <w:pPr>
              <w:pStyle w:val="yTable"/>
              <w:rPr>
                <w:sz w:val="18"/>
              </w:rPr>
            </w:pPr>
            <w:r>
              <w:rPr>
                <w:sz w:val="18"/>
              </w:rPr>
              <w:t>Other Location details:</w:t>
            </w:r>
          </w:p>
          <w:p>
            <w:pPr>
              <w:pStyle w:val="yTable"/>
              <w:rPr>
                <w:sz w:val="18"/>
                <w:lang w:val="en-US"/>
              </w:rPr>
            </w:pPr>
          </w:p>
        </w:tc>
      </w:tr>
    </w:tbl>
    <w:p>
      <w:pPr>
        <w:pStyle w:val="yTable"/>
        <w:rPr>
          <w:snapToGrid w:val="0"/>
        </w:rPr>
      </w:pPr>
    </w:p>
    <w:p>
      <w:pPr>
        <w:pStyle w:val="yTable"/>
        <w:keepNext/>
        <w:spacing w:after="120"/>
        <w:outlineLvl w:val="0"/>
        <w:rPr>
          <w:b/>
          <w:snapToGrid w:val="0"/>
        </w:rPr>
      </w:pPr>
      <w:r>
        <w:rPr>
          <w:b/>
          <w:snapToGrid w:val="0"/>
        </w:rPr>
        <w:t>Period during which site may be occupied:</w:t>
      </w:r>
    </w:p>
    <w:tbl>
      <w:tblPr>
        <w:tblW w:w="0" w:type="auto"/>
        <w:tblInd w:w="120" w:type="dxa"/>
        <w:tblLayout w:type="fixed"/>
        <w:tblCellMar>
          <w:left w:w="120" w:type="dxa"/>
          <w:right w:w="120" w:type="dxa"/>
        </w:tblCellMar>
        <w:tblLook w:val="0000" w:firstRow="0" w:lastRow="0" w:firstColumn="0" w:lastColumn="0" w:noHBand="0" w:noVBand="0"/>
      </w:tblPr>
      <w:tblGrid>
        <w:gridCol w:w="6804"/>
      </w:tblGrid>
      <w:tr>
        <w:tc>
          <w:tcPr>
            <w:tcW w:w="6804" w:type="dxa"/>
            <w:tcBorders>
              <w:top w:val="single" w:sz="7" w:space="0" w:color="auto"/>
              <w:left w:val="single" w:sz="7" w:space="0" w:color="auto"/>
              <w:bottom w:val="single" w:sz="7" w:space="0" w:color="auto"/>
              <w:right w:val="single" w:sz="7" w:space="0" w:color="auto"/>
            </w:tcBorders>
          </w:tcPr>
          <w:p>
            <w:pPr>
              <w:pStyle w:val="yTable"/>
              <w:keepNext/>
              <w:rPr>
                <w:sz w:val="18"/>
              </w:rPr>
            </w:pPr>
            <w:r>
              <w:rPr>
                <w:sz w:val="18"/>
              </w:rPr>
              <w:t xml:space="preserve">First day of period </w:t>
            </w:r>
          </w:p>
          <w:p>
            <w:pPr>
              <w:pStyle w:val="yTable"/>
              <w:keepNext/>
              <w:rPr>
                <w:sz w:val="18"/>
              </w:rPr>
            </w:pPr>
            <w:r>
              <w:rPr>
                <w:sz w:val="18"/>
              </w:rPr>
              <w:t>………………………………………………………………………………………..</w:t>
            </w:r>
          </w:p>
          <w:p>
            <w:pPr>
              <w:pStyle w:val="yTable"/>
              <w:keepNext/>
              <w:rPr>
                <w:sz w:val="18"/>
              </w:rPr>
            </w:pPr>
            <w:r>
              <w:rPr>
                <w:sz w:val="18"/>
              </w:rPr>
              <w:t>Last day of period  . . . . . . . . . . . . . . . . . . . . . . . . . . . . . . . . . . .  but subject in the case of a temporary permit to regulation 74(1)(c).</w:t>
            </w:r>
          </w:p>
        </w:tc>
      </w:tr>
    </w:tbl>
    <w:p>
      <w:pPr>
        <w:pStyle w:val="MiscellaneousHeading"/>
        <w:rPr>
          <w:snapToGrid w:val="0"/>
        </w:rPr>
      </w:pPr>
      <w:r>
        <w:rPr>
          <w:snapToGrid w:val="0"/>
        </w:rPr>
        <w:t>CONDITIONS</w:t>
      </w:r>
    </w:p>
    <w:p>
      <w:pPr>
        <w:pStyle w:val="yTable"/>
        <w:tabs>
          <w:tab w:val="left" w:pos="567"/>
        </w:tabs>
        <w:ind w:left="567" w:hanging="567"/>
        <w:outlineLvl w:val="0"/>
        <w:rPr>
          <w:snapToGrid w:val="0"/>
        </w:rPr>
      </w:pPr>
      <w:r>
        <w:rPr>
          <w:snapToGrid w:val="0"/>
        </w:rPr>
        <w:t>1.</w:t>
      </w:r>
      <w:r>
        <w:rPr>
          <w:snapToGrid w:val="0"/>
        </w:rPr>
        <w:tab/>
        <w:t>The permit</w:t>
      </w:r>
      <w:r>
        <w:rPr>
          <w:snapToGrid w:val="0"/>
        </w:rPr>
        <w:noBreakHyphen/>
        <w:t>holder in exercising his or her rights under this permit is to comply with the following enactments — </w:t>
      </w:r>
    </w:p>
    <w:p>
      <w:pPr>
        <w:pStyle w:val="yTable"/>
        <w:tabs>
          <w:tab w:val="left" w:pos="567"/>
          <w:tab w:val="left" w:pos="1134"/>
        </w:tabs>
        <w:ind w:left="1134" w:hanging="1134"/>
        <w:rPr>
          <w:snapToGrid w:val="0"/>
        </w:rPr>
      </w:pPr>
      <w:r>
        <w:rPr>
          <w:snapToGrid w:val="0"/>
        </w:rPr>
        <w:tab/>
        <w:t>(a)</w:t>
      </w:r>
      <w:r>
        <w:rPr>
          <w:snapToGrid w:val="0"/>
        </w:rPr>
        <w:tab/>
        <w:t xml:space="preserve">the </w:t>
      </w:r>
      <w:r>
        <w:rPr>
          <w:i/>
          <w:snapToGrid w:val="0"/>
        </w:rPr>
        <w:t>Conservation and Land Management Act 1984</w:t>
      </w:r>
      <w:r>
        <w:rPr>
          <w:snapToGrid w:val="0"/>
        </w:rPr>
        <w:t>;</w:t>
      </w:r>
    </w:p>
    <w:p>
      <w:pPr>
        <w:pStyle w:val="yTable"/>
        <w:tabs>
          <w:tab w:val="left" w:pos="567"/>
          <w:tab w:val="left" w:pos="1134"/>
        </w:tabs>
        <w:ind w:left="1134" w:hanging="1134"/>
        <w:rPr>
          <w:snapToGrid w:val="0"/>
        </w:rPr>
      </w:pPr>
      <w:r>
        <w:rPr>
          <w:snapToGrid w:val="0"/>
        </w:rPr>
        <w:tab/>
        <w:t>(b)</w:t>
      </w:r>
      <w:r>
        <w:rPr>
          <w:snapToGrid w:val="0"/>
        </w:rPr>
        <w:tab/>
        <w:t xml:space="preserve">the </w:t>
      </w:r>
      <w:r>
        <w:rPr>
          <w:i/>
          <w:snapToGrid w:val="0"/>
        </w:rPr>
        <w:t>Forest Management Regulations 1993</w:t>
      </w:r>
      <w:r>
        <w:rPr>
          <w:snapToGrid w:val="0"/>
        </w:rPr>
        <w:t>;</w:t>
      </w:r>
    </w:p>
    <w:p>
      <w:pPr>
        <w:pStyle w:val="yTable"/>
        <w:tabs>
          <w:tab w:val="left" w:pos="567"/>
          <w:tab w:val="left" w:pos="1134"/>
        </w:tabs>
        <w:ind w:left="1134" w:hanging="1134"/>
        <w:rPr>
          <w:snapToGrid w:val="0"/>
        </w:rPr>
      </w:pPr>
      <w:r>
        <w:rPr>
          <w:snapToGrid w:val="0"/>
        </w:rPr>
        <w:tab/>
        <w:t>(c)</w:t>
      </w:r>
      <w:r>
        <w:rPr>
          <w:snapToGrid w:val="0"/>
        </w:rPr>
        <w:tab/>
        <w:t xml:space="preserve">the </w:t>
      </w:r>
      <w:r>
        <w:rPr>
          <w:i/>
          <w:snapToGrid w:val="0"/>
        </w:rPr>
        <w:t>Bush Fires Act 1954</w:t>
      </w:r>
      <w:r>
        <w:rPr>
          <w:snapToGrid w:val="0"/>
        </w:rPr>
        <w:t>;</w:t>
      </w:r>
    </w:p>
    <w:p>
      <w:pPr>
        <w:pStyle w:val="yTable"/>
        <w:tabs>
          <w:tab w:val="left" w:pos="567"/>
          <w:tab w:val="left" w:pos="1134"/>
        </w:tabs>
        <w:ind w:left="1134" w:hanging="1134"/>
        <w:rPr>
          <w:snapToGrid w:val="0"/>
        </w:rPr>
      </w:pPr>
      <w:r>
        <w:rPr>
          <w:snapToGrid w:val="0"/>
        </w:rPr>
        <w:tab/>
        <w:t>(d)</w:t>
      </w:r>
      <w:r>
        <w:rPr>
          <w:snapToGrid w:val="0"/>
        </w:rPr>
        <w:tab/>
        <w:t xml:space="preserve">the </w:t>
      </w:r>
      <w:r>
        <w:rPr>
          <w:i/>
          <w:snapToGrid w:val="0"/>
        </w:rPr>
        <w:t>Health Act 1911</w:t>
      </w:r>
      <w:r>
        <w:rPr>
          <w:snapToGrid w:val="0"/>
        </w:rPr>
        <w:t>;</w:t>
      </w:r>
    </w:p>
    <w:p>
      <w:pPr>
        <w:pStyle w:val="yTable"/>
        <w:tabs>
          <w:tab w:val="left" w:pos="567"/>
          <w:tab w:val="left" w:pos="1134"/>
        </w:tabs>
        <w:ind w:left="1134" w:hanging="1134"/>
        <w:rPr>
          <w:snapToGrid w:val="0"/>
        </w:rPr>
      </w:pPr>
      <w:r>
        <w:rPr>
          <w:snapToGrid w:val="0"/>
        </w:rPr>
        <w:tab/>
        <w:t>(e)</w:t>
      </w:r>
      <w:r>
        <w:rPr>
          <w:snapToGrid w:val="0"/>
        </w:rPr>
        <w:tab/>
        <w:t>any relevant subsidiary legislation made under an Act referred to in paragraph (c) or (d);</w:t>
      </w:r>
    </w:p>
    <w:p>
      <w:pPr>
        <w:pStyle w:val="yTable"/>
        <w:tabs>
          <w:tab w:val="left" w:pos="567"/>
          <w:tab w:val="left" w:pos="1134"/>
        </w:tabs>
        <w:ind w:left="1134" w:hanging="1134"/>
        <w:rPr>
          <w:snapToGrid w:val="0"/>
        </w:rPr>
      </w:pPr>
      <w:r>
        <w:rPr>
          <w:snapToGrid w:val="0"/>
        </w:rPr>
        <w:tab/>
        <w:t>(f)</w:t>
      </w:r>
      <w:r>
        <w:rPr>
          <w:snapToGrid w:val="0"/>
        </w:rPr>
        <w:tab/>
        <w:t>any Act or subsidiary legislation relating to the protection of water catchments and the regulation of water supplies.</w:t>
      </w:r>
    </w:p>
    <w:p>
      <w:pPr>
        <w:pStyle w:val="yTable"/>
        <w:tabs>
          <w:tab w:val="left" w:pos="567"/>
        </w:tabs>
        <w:ind w:left="567" w:hanging="567"/>
        <w:outlineLvl w:val="0"/>
        <w:rPr>
          <w:snapToGrid w:val="0"/>
        </w:rPr>
      </w:pPr>
      <w:r>
        <w:rPr>
          <w:snapToGrid w:val="0"/>
        </w:rPr>
        <w:t>2.</w:t>
      </w:r>
      <w:r>
        <w:rPr>
          <w:snapToGrid w:val="0"/>
        </w:rPr>
        <w:tab/>
        <w:t>[insert other conditions here]</w:t>
      </w:r>
    </w:p>
    <w:p>
      <w:pPr>
        <w:pStyle w:val="yTable"/>
        <w:rPr>
          <w:snapToGrid w:val="0"/>
        </w:rPr>
      </w:pPr>
    </w:p>
    <w:p>
      <w:pPr>
        <w:pStyle w:val="yTable"/>
        <w:rPr>
          <w:snapToGrid w:val="0"/>
        </w:rPr>
      </w:pPr>
    </w:p>
    <w:p>
      <w:pPr>
        <w:pStyle w:val="yTable"/>
        <w:jc w:val="center"/>
        <w:outlineLvl w:val="0"/>
        <w:rPr>
          <w:snapToGrid w:val="0"/>
        </w:rPr>
      </w:pPr>
      <w:r>
        <w:rPr>
          <w:snapToGrid w:val="0"/>
        </w:rPr>
        <w:t>LIMITATIONS (if any)</w:t>
      </w:r>
    </w:p>
    <w:p>
      <w:pPr>
        <w:pStyle w:val="yTable"/>
        <w:rPr>
          <w:snapToGrid w:val="0"/>
        </w:rPr>
      </w:pPr>
    </w:p>
    <w:p>
      <w:pPr>
        <w:pStyle w:val="yTable"/>
        <w:rPr>
          <w:snapToGrid w:val="0"/>
        </w:rPr>
      </w:pPr>
    </w:p>
    <w:p>
      <w:pPr>
        <w:pStyle w:val="yTable"/>
        <w:rPr>
          <w:snapToGrid w:val="0"/>
        </w:rPr>
      </w:pPr>
    </w:p>
    <w:p>
      <w:pPr>
        <w:pStyle w:val="yTable"/>
        <w:jc w:val="right"/>
        <w:rPr>
          <w:snapToGrid w:val="0"/>
        </w:rPr>
      </w:pPr>
      <w:r>
        <w:rPr>
          <w:snapToGrid w:val="0"/>
        </w:rPr>
        <w:t>. . . . . . . . . . . . . . . . . . . . . . . . . . . .</w:t>
      </w:r>
    </w:p>
    <w:p>
      <w:pPr>
        <w:pStyle w:val="yTable"/>
        <w:jc w:val="right"/>
        <w:rPr>
          <w:snapToGrid w:val="0"/>
        </w:rPr>
      </w:pPr>
      <w:r>
        <w:rPr>
          <w:snapToGrid w:val="0"/>
        </w:rPr>
        <w:t xml:space="preserve">for Executive Director </w:t>
      </w:r>
    </w:p>
    <w:p>
      <w:pPr>
        <w:pStyle w:val="yTable"/>
        <w:jc w:val="right"/>
        <w:rPr>
          <w:snapToGrid w:val="0"/>
        </w:rPr>
      </w:pPr>
      <w:r>
        <w:rPr>
          <w:snapToGrid w:val="0"/>
        </w:rPr>
        <w:t>Date of issue of permit . . . . . . . . . . . . . . . . . . . .</w:t>
      </w:r>
    </w:p>
    <w:p>
      <w:pPr>
        <w:pStyle w:val="yTable"/>
        <w:rPr>
          <w:snapToGrid w:val="0"/>
        </w:rPr>
      </w:pPr>
      <w:r>
        <w:rPr>
          <w:snapToGrid w:val="0"/>
        </w:rPr>
        <w:t>Received the sum of ............. dollars ............... cents ($... c..) in prepayment of rent and other charges.</w:t>
      </w:r>
    </w:p>
    <w:p>
      <w:pPr>
        <w:pStyle w:val="yTable"/>
        <w:jc w:val="right"/>
        <w:rPr>
          <w:snapToGrid w:val="0"/>
        </w:rPr>
      </w:pPr>
      <w:r>
        <w:rPr>
          <w:snapToGrid w:val="0"/>
        </w:rPr>
        <w:t>. . . . . . . . . . . . . . . . . . . . . . . . . . . .</w:t>
      </w:r>
    </w:p>
    <w:p>
      <w:pPr>
        <w:pStyle w:val="yTable"/>
        <w:jc w:val="right"/>
        <w:rPr>
          <w:snapToGrid w:val="0"/>
        </w:rPr>
      </w:pPr>
      <w:r>
        <w:rPr>
          <w:snapToGrid w:val="0"/>
        </w:rPr>
        <w:t xml:space="preserve">for Executive Director </w:t>
      </w:r>
    </w:p>
    <w:p>
      <w:pPr>
        <w:pStyle w:val="yTable"/>
        <w:jc w:val="right"/>
        <w:rPr>
          <w:snapToGrid w:val="0"/>
        </w:rPr>
      </w:pPr>
      <w:r>
        <w:rPr>
          <w:snapToGrid w:val="0"/>
        </w:rPr>
        <w:t>Date . . . . . . . . . . . . . . . . . . . . . . . . . . . .</w:t>
      </w:r>
    </w:p>
    <w:p>
      <w:pPr>
        <w:pStyle w:val="yEdnotedivision"/>
      </w:pPr>
      <w:r>
        <w:t>[Forms 3 and 4 deleted]</w:t>
      </w:r>
    </w:p>
    <w:p>
      <w:pPr>
        <w:pStyle w:val="yFootnotesection"/>
      </w:pPr>
      <w:r>
        <w:tab/>
        <w:t>[Schedule 2 amended in Gazette 29 March 1996 pp.1508</w:t>
      </w:r>
      <w:r>
        <w:noBreakHyphen/>
        <w:t xml:space="preserve">09; 3 May 2002 p.2295.] </w:t>
      </w:r>
    </w:p>
    <w:p>
      <w:pPr>
        <w:pStyle w:val="yEdnoteschedule"/>
      </w:pPr>
      <w:r>
        <w:t>[Schedules 2A and 2B  Deleted in Gazette 3 May 2002 p.2294-5.]</w:t>
      </w:r>
    </w:p>
    <w:p>
      <w:pPr>
        <w:pStyle w:val="yScheduleHeading"/>
        <w:outlineLvl w:val="0"/>
      </w:pPr>
      <w:bookmarkStart w:id="549" w:name="_Toc48381851"/>
      <w:bookmarkStart w:id="550" w:name="_Toc155068188"/>
      <w:r>
        <w:rPr>
          <w:rStyle w:val="CharSchNo"/>
        </w:rPr>
        <w:t>Schedule 3</w:t>
      </w:r>
      <w:bookmarkEnd w:id="549"/>
      <w:bookmarkEnd w:id="550"/>
    </w:p>
    <w:p>
      <w:pPr>
        <w:pStyle w:val="yShoulderClause"/>
        <w:rPr>
          <w:snapToGrid w:val="0"/>
        </w:rPr>
      </w:pPr>
      <w:r>
        <w:rPr>
          <w:snapToGrid w:val="0"/>
        </w:rPr>
        <w:t>[Regulation 142]</w:t>
      </w:r>
    </w:p>
    <w:p>
      <w:pPr>
        <w:pStyle w:val="yHeading2"/>
        <w:spacing w:after="240"/>
        <w:outlineLvl w:val="9"/>
      </w:pPr>
      <w:bookmarkStart w:id="551" w:name="_Toc155068189"/>
      <w:r>
        <w:t>Prescribed royalties for timber taken on mining tenement for mining purposes</w:t>
      </w:r>
      <w:bookmarkEnd w:id="551"/>
    </w:p>
    <w:p>
      <w:pPr>
        <w:pStyle w:val="yTable"/>
        <w:spacing w:before="0"/>
        <w:outlineLvl w:val="0"/>
        <w:rPr>
          <w:b/>
          <w:snapToGrid w:val="0"/>
        </w:rPr>
      </w:pPr>
      <w:r>
        <w:rPr>
          <w:b/>
          <w:snapToGrid w:val="0"/>
        </w:rPr>
        <w:t>Item 1.</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Swan (Northern Forest), Central Forest and Southern</w:t>
      </w:r>
    </w:p>
    <w:p>
      <w:pPr>
        <w:pStyle w:val="yTable"/>
        <w:tabs>
          <w:tab w:val="left" w:pos="1701"/>
        </w:tabs>
        <w:spacing w:before="0"/>
        <w:ind w:left="1701" w:hanging="1701"/>
        <w:rPr>
          <w:snapToGrid w:val="0"/>
        </w:rPr>
      </w:pPr>
      <w:r>
        <w:rPr>
          <w:snapToGrid w:val="0"/>
        </w:rPr>
        <w:t>applies to:</w:t>
      </w:r>
      <w:r>
        <w:rPr>
          <w:snapToGrid w:val="0"/>
        </w:rPr>
        <w:tab/>
        <w:t>Forest Regions of the Department of Conservation and Land Management.</w:t>
      </w:r>
    </w:p>
    <w:p>
      <w:pPr>
        <w:pStyle w:val="yTable"/>
        <w:tabs>
          <w:tab w:val="left" w:pos="1701"/>
        </w:tabs>
        <w:spacing w:before="0"/>
        <w:ind w:left="1701" w:hanging="1701"/>
        <w:rPr>
          <w:snapToGrid w:val="0"/>
        </w:rPr>
      </w:pPr>
      <w:r>
        <w:rPr>
          <w:snapToGrid w:val="0"/>
        </w:rPr>
        <w:t>Royalty:</w:t>
      </w:r>
      <w:r>
        <w:rPr>
          <w:snapToGrid w:val="0"/>
        </w:rPr>
        <w:tab/>
        <w:t>$16.43 per tonne.</w:t>
      </w:r>
    </w:p>
    <w:p>
      <w:pPr>
        <w:pStyle w:val="yTable"/>
        <w:spacing w:before="0"/>
        <w:rPr>
          <w:snapToGrid w:val="0"/>
        </w:rPr>
      </w:pPr>
    </w:p>
    <w:p>
      <w:pPr>
        <w:pStyle w:val="yTable"/>
        <w:spacing w:before="0"/>
        <w:outlineLvl w:val="0"/>
        <w:rPr>
          <w:b/>
          <w:snapToGrid w:val="0"/>
        </w:rPr>
      </w:pPr>
      <w:r>
        <w:rPr>
          <w:b/>
          <w:snapToGrid w:val="0"/>
        </w:rPr>
        <w:t>Item 2.</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Kimberley, Pilbara, Gascoyne, Goldfields, Greenough,</w:t>
      </w:r>
    </w:p>
    <w:p>
      <w:pPr>
        <w:pStyle w:val="yTable"/>
        <w:tabs>
          <w:tab w:val="left" w:pos="1701"/>
        </w:tabs>
        <w:spacing w:before="0"/>
        <w:ind w:left="1701" w:hanging="1701"/>
        <w:rPr>
          <w:snapToGrid w:val="0"/>
        </w:rPr>
      </w:pPr>
      <w:r>
        <w:rPr>
          <w:snapToGrid w:val="0"/>
        </w:rPr>
        <w:t>applies to:</w:t>
      </w:r>
      <w:r>
        <w:rPr>
          <w:snapToGrid w:val="0"/>
        </w:rPr>
        <w:tab/>
        <w:t>Wheatbelt and South Coast Regions of the Department of Conservation and Land Management.</w:t>
      </w:r>
    </w:p>
    <w:p>
      <w:pPr>
        <w:pStyle w:val="yTable"/>
        <w:tabs>
          <w:tab w:val="left" w:pos="1701"/>
        </w:tabs>
        <w:spacing w:before="0"/>
        <w:ind w:left="1701" w:hanging="1701"/>
        <w:rPr>
          <w:snapToGrid w:val="0"/>
        </w:rPr>
      </w:pPr>
      <w:r>
        <w:rPr>
          <w:snapToGrid w:val="0"/>
        </w:rPr>
        <w:t>Royalty:</w:t>
      </w:r>
      <w:r>
        <w:rPr>
          <w:snapToGrid w:val="0"/>
        </w:rPr>
        <w:tab/>
        <w:t>$7.92 per tonne.</w:t>
      </w:r>
    </w:p>
    <w:p>
      <w:pPr>
        <w:pStyle w:val="yEdnoteschedule"/>
      </w:pPr>
      <w:r>
        <w:t>[Schedule 4. Deleted in Gazette 29 March 1996 p.1511.]</w:t>
      </w:r>
    </w:p>
    <w:p>
      <w:pPr>
        <w:pStyle w:val="yScheduleHeading"/>
        <w:outlineLvl w:val="0"/>
      </w:pPr>
      <w:bookmarkStart w:id="552" w:name="_Toc48381853"/>
      <w:bookmarkStart w:id="553" w:name="_Toc155068190"/>
      <w:r>
        <w:rPr>
          <w:rStyle w:val="CharSchNo"/>
        </w:rPr>
        <w:t>Schedule 5</w:t>
      </w:r>
      <w:bookmarkEnd w:id="552"/>
      <w:bookmarkEnd w:id="553"/>
    </w:p>
    <w:p>
      <w:pPr>
        <w:pStyle w:val="yShoulderClause"/>
        <w:rPr>
          <w:snapToGrid w:val="0"/>
        </w:rPr>
      </w:pPr>
      <w:r>
        <w:rPr>
          <w:snapToGrid w:val="0"/>
        </w:rPr>
        <w:t>[Regulation 151]</w:t>
      </w:r>
    </w:p>
    <w:p>
      <w:pPr>
        <w:pStyle w:val="yHeading2"/>
        <w:spacing w:after="240"/>
        <w:outlineLvl w:val="0"/>
      </w:pPr>
      <w:bookmarkStart w:id="554" w:name="_Toc155068191"/>
      <w:r>
        <w:t>Miscellaneous Fees</w:t>
      </w:r>
      <w:bookmarkEnd w:id="554"/>
    </w:p>
    <w:tbl>
      <w:tblPr>
        <w:tblW w:w="0" w:type="auto"/>
        <w:tblInd w:w="142" w:type="dxa"/>
        <w:tblLayout w:type="fixed"/>
        <w:tblCellMar>
          <w:left w:w="142" w:type="dxa"/>
          <w:right w:w="142" w:type="dxa"/>
        </w:tblCellMar>
        <w:tblLook w:val="0000" w:firstRow="0" w:lastRow="0" w:firstColumn="0" w:lastColumn="0" w:noHBand="0" w:noVBand="0"/>
      </w:tblPr>
      <w:tblGrid>
        <w:gridCol w:w="5529"/>
        <w:gridCol w:w="1559"/>
      </w:tblGrid>
      <w:tr>
        <w:tc>
          <w:tcPr>
            <w:tcW w:w="5529" w:type="dxa"/>
          </w:tcPr>
          <w:p>
            <w:pPr>
              <w:pStyle w:val="yTable"/>
              <w:spacing w:before="0"/>
              <w:jc w:val="center"/>
              <w:rPr>
                <w:b/>
                <w:sz w:val="18"/>
              </w:rPr>
            </w:pPr>
            <w:r>
              <w:rPr>
                <w:b/>
                <w:sz w:val="18"/>
              </w:rPr>
              <w:t>Column 1</w:t>
            </w:r>
          </w:p>
        </w:tc>
        <w:tc>
          <w:tcPr>
            <w:tcW w:w="1559" w:type="dxa"/>
          </w:tcPr>
          <w:p>
            <w:pPr>
              <w:pStyle w:val="yTable"/>
              <w:spacing w:before="0"/>
              <w:jc w:val="center"/>
              <w:rPr>
                <w:b/>
                <w:sz w:val="18"/>
              </w:rPr>
            </w:pPr>
            <w:r>
              <w:rPr>
                <w:b/>
                <w:sz w:val="18"/>
              </w:rPr>
              <w:t>Column 2</w:t>
            </w:r>
          </w:p>
        </w:tc>
      </w:tr>
      <w:tr>
        <w:tc>
          <w:tcPr>
            <w:tcW w:w="5529" w:type="dxa"/>
          </w:tcPr>
          <w:p>
            <w:pPr>
              <w:pStyle w:val="yTable"/>
              <w:spacing w:before="0"/>
              <w:rPr>
                <w:sz w:val="18"/>
              </w:rPr>
            </w:pPr>
          </w:p>
        </w:tc>
        <w:tc>
          <w:tcPr>
            <w:tcW w:w="1559" w:type="dxa"/>
          </w:tcPr>
          <w:p>
            <w:pPr>
              <w:pStyle w:val="yTable"/>
              <w:spacing w:before="0"/>
              <w:jc w:val="center"/>
              <w:rPr>
                <w:sz w:val="18"/>
              </w:rPr>
            </w:pPr>
            <w:r>
              <w:rPr>
                <w:sz w:val="18"/>
              </w:rPr>
              <w:t>$</w:t>
            </w:r>
          </w:p>
        </w:tc>
      </w:tr>
      <w:tr>
        <w:tc>
          <w:tcPr>
            <w:tcW w:w="5529" w:type="dxa"/>
          </w:tcPr>
          <w:p>
            <w:pPr>
              <w:pStyle w:val="yTable"/>
              <w:tabs>
                <w:tab w:val="left" w:pos="567"/>
              </w:tabs>
              <w:spacing w:before="0"/>
              <w:ind w:left="556" w:hanging="556"/>
              <w:rPr>
                <w:sz w:val="18"/>
              </w:rPr>
            </w:pPr>
            <w:r>
              <w:rPr>
                <w:sz w:val="18"/>
              </w:rPr>
              <w:t>1.</w:t>
            </w:r>
            <w:r>
              <w:rPr>
                <w:sz w:val="18"/>
              </w:rPr>
              <w:tab/>
              <w:t>Registration as a timber worker</w:t>
            </w:r>
          </w:p>
        </w:tc>
        <w:tc>
          <w:tcPr>
            <w:tcW w:w="1559" w:type="dxa"/>
          </w:tcPr>
          <w:p>
            <w:pPr>
              <w:pStyle w:val="yTable"/>
              <w:spacing w:before="0"/>
              <w:jc w:val="center"/>
              <w:rPr>
                <w:sz w:val="18"/>
              </w:rPr>
            </w:pPr>
            <w:r>
              <w:rPr>
                <w:sz w:val="18"/>
              </w:rPr>
              <w:t>25.00</w:t>
            </w:r>
          </w:p>
        </w:tc>
      </w:tr>
      <w:tr>
        <w:tc>
          <w:tcPr>
            <w:tcW w:w="5529" w:type="dxa"/>
          </w:tcPr>
          <w:p>
            <w:pPr>
              <w:pStyle w:val="yTable"/>
              <w:tabs>
                <w:tab w:val="left" w:pos="567"/>
              </w:tabs>
              <w:spacing w:before="0"/>
              <w:ind w:left="556" w:hanging="556"/>
              <w:rPr>
                <w:sz w:val="18"/>
              </w:rPr>
            </w:pPr>
            <w:r>
              <w:rPr>
                <w:sz w:val="18"/>
              </w:rPr>
              <w:t>2.</w:t>
            </w:r>
            <w:r>
              <w:rPr>
                <w:sz w:val="18"/>
              </w:rPr>
              <w:tab/>
              <w:t>Renewal of registration of timber worker</w:t>
            </w:r>
          </w:p>
        </w:tc>
        <w:tc>
          <w:tcPr>
            <w:tcW w:w="1559" w:type="dxa"/>
          </w:tcPr>
          <w:p>
            <w:pPr>
              <w:pStyle w:val="yTable"/>
              <w:spacing w:before="0"/>
              <w:jc w:val="center"/>
              <w:rPr>
                <w:sz w:val="18"/>
              </w:rPr>
            </w:pPr>
            <w:r>
              <w:rPr>
                <w:sz w:val="18"/>
              </w:rPr>
              <w:t>25.00</w:t>
            </w:r>
          </w:p>
        </w:tc>
      </w:tr>
      <w:tr>
        <w:tc>
          <w:tcPr>
            <w:tcW w:w="5529" w:type="dxa"/>
          </w:tcPr>
          <w:p>
            <w:pPr>
              <w:pStyle w:val="yTable"/>
              <w:tabs>
                <w:tab w:val="left" w:pos="567"/>
              </w:tabs>
              <w:spacing w:before="0"/>
              <w:ind w:left="556" w:hanging="556"/>
              <w:rPr>
                <w:sz w:val="18"/>
              </w:rPr>
            </w:pPr>
            <w:r>
              <w:rPr>
                <w:sz w:val="18"/>
              </w:rPr>
              <w:t>3.</w:t>
            </w:r>
            <w:r>
              <w:rPr>
                <w:sz w:val="18"/>
              </w:rPr>
              <w:tab/>
              <w:t>Registration of owner’s identification code</w:t>
            </w:r>
          </w:p>
        </w:tc>
        <w:tc>
          <w:tcPr>
            <w:tcW w:w="1559" w:type="dxa"/>
          </w:tcPr>
          <w:p>
            <w:pPr>
              <w:pStyle w:val="yTable"/>
              <w:spacing w:before="0"/>
              <w:jc w:val="center"/>
              <w:rPr>
                <w:sz w:val="18"/>
              </w:rPr>
            </w:pPr>
            <w:r>
              <w:rPr>
                <w:sz w:val="18"/>
              </w:rPr>
              <w:t>45.00</w:t>
            </w:r>
          </w:p>
        </w:tc>
      </w:tr>
      <w:tr>
        <w:tc>
          <w:tcPr>
            <w:tcW w:w="5529" w:type="dxa"/>
          </w:tcPr>
          <w:p>
            <w:pPr>
              <w:pStyle w:val="yTable"/>
              <w:tabs>
                <w:tab w:val="left" w:pos="567"/>
              </w:tabs>
              <w:spacing w:before="0"/>
              <w:ind w:left="556" w:hanging="556"/>
              <w:rPr>
                <w:sz w:val="18"/>
              </w:rPr>
            </w:pPr>
            <w:r>
              <w:rPr>
                <w:sz w:val="18"/>
              </w:rPr>
              <w:t>4.</w:t>
            </w:r>
            <w:r>
              <w:rPr>
                <w:sz w:val="18"/>
              </w:rPr>
              <w:tab/>
              <w:t>Extract from a register or provision of copy of lease, permit, forest produce licence, contract or other document</w:t>
            </w:r>
          </w:p>
        </w:tc>
        <w:tc>
          <w:tcPr>
            <w:tcW w:w="1559" w:type="dxa"/>
          </w:tcPr>
          <w:p>
            <w:pPr>
              <w:pStyle w:val="yTable"/>
              <w:spacing w:before="0"/>
              <w:jc w:val="center"/>
              <w:rPr>
                <w:sz w:val="18"/>
              </w:rPr>
            </w:pPr>
          </w:p>
          <w:p>
            <w:pPr>
              <w:pStyle w:val="yTable"/>
              <w:spacing w:before="0"/>
              <w:jc w:val="center"/>
              <w:rPr>
                <w:sz w:val="18"/>
              </w:rPr>
            </w:pPr>
            <w:r>
              <w:rPr>
                <w:sz w:val="18"/>
              </w:rPr>
              <w:t>1.00</w:t>
            </w:r>
          </w:p>
        </w:tc>
      </w:tr>
      <w:tr>
        <w:tc>
          <w:tcPr>
            <w:tcW w:w="5529" w:type="dxa"/>
          </w:tcPr>
          <w:p>
            <w:pPr>
              <w:pStyle w:val="yTable"/>
              <w:spacing w:before="0"/>
              <w:rPr>
                <w:sz w:val="18"/>
              </w:rPr>
            </w:pPr>
          </w:p>
        </w:tc>
        <w:tc>
          <w:tcPr>
            <w:tcW w:w="1559" w:type="dxa"/>
          </w:tcPr>
          <w:p>
            <w:pPr>
              <w:pStyle w:val="yTable"/>
              <w:spacing w:before="0"/>
              <w:jc w:val="center"/>
              <w:rPr>
                <w:sz w:val="18"/>
              </w:rPr>
            </w:pPr>
            <w:r>
              <w:rPr>
                <w:sz w:val="18"/>
              </w:rPr>
              <w:t>per page</w:t>
            </w:r>
          </w:p>
        </w:tc>
      </w:tr>
      <w:tr>
        <w:tc>
          <w:tcPr>
            <w:tcW w:w="5529" w:type="dxa"/>
          </w:tcPr>
          <w:p>
            <w:pPr>
              <w:pStyle w:val="yTable"/>
              <w:tabs>
                <w:tab w:val="left" w:pos="567"/>
              </w:tabs>
              <w:spacing w:before="0"/>
              <w:ind w:left="556" w:hanging="556"/>
              <w:rPr>
                <w:sz w:val="18"/>
              </w:rPr>
            </w:pPr>
            <w:r>
              <w:rPr>
                <w:sz w:val="18"/>
              </w:rPr>
              <w:t>5.</w:t>
            </w:r>
            <w:r>
              <w:rPr>
                <w:sz w:val="18"/>
              </w:rPr>
              <w:tab/>
              <w:t>Preparation of timber shipping certificate</w:t>
            </w:r>
          </w:p>
        </w:tc>
        <w:tc>
          <w:tcPr>
            <w:tcW w:w="1559" w:type="dxa"/>
          </w:tcPr>
          <w:p>
            <w:pPr>
              <w:pStyle w:val="yTable"/>
              <w:spacing w:before="0"/>
              <w:jc w:val="center"/>
              <w:rPr>
                <w:sz w:val="18"/>
              </w:rPr>
            </w:pPr>
            <w:r>
              <w:rPr>
                <w:sz w:val="18"/>
              </w:rPr>
              <w:t>10.00</w:t>
            </w:r>
          </w:p>
        </w:tc>
      </w:tr>
      <w:tr>
        <w:tc>
          <w:tcPr>
            <w:tcW w:w="5529" w:type="dxa"/>
          </w:tcPr>
          <w:p>
            <w:pPr>
              <w:pStyle w:val="yTable"/>
              <w:tabs>
                <w:tab w:val="left" w:pos="567"/>
              </w:tabs>
              <w:spacing w:before="0"/>
              <w:ind w:left="556" w:hanging="556"/>
              <w:rPr>
                <w:sz w:val="18"/>
              </w:rPr>
            </w:pPr>
            <w:r>
              <w:rPr>
                <w:sz w:val="18"/>
              </w:rPr>
              <w:t>6.</w:t>
            </w:r>
            <w:r>
              <w:rPr>
                <w:sz w:val="18"/>
              </w:rPr>
              <w:tab/>
              <w:t>Transfer of a lease or permit other than an apiary site permit</w:t>
            </w:r>
          </w:p>
        </w:tc>
        <w:tc>
          <w:tcPr>
            <w:tcW w:w="1559" w:type="dxa"/>
          </w:tcPr>
          <w:p>
            <w:pPr>
              <w:pStyle w:val="yTable"/>
              <w:spacing w:before="0"/>
              <w:jc w:val="center"/>
              <w:rPr>
                <w:sz w:val="18"/>
              </w:rPr>
            </w:pPr>
            <w:r>
              <w:rPr>
                <w:sz w:val="18"/>
              </w:rPr>
              <w:t>30.00</w:t>
            </w:r>
          </w:p>
        </w:tc>
      </w:tr>
      <w:tr>
        <w:tc>
          <w:tcPr>
            <w:tcW w:w="5529" w:type="dxa"/>
          </w:tcPr>
          <w:p>
            <w:pPr>
              <w:pStyle w:val="yTable"/>
              <w:tabs>
                <w:tab w:val="left" w:pos="567"/>
              </w:tabs>
              <w:spacing w:before="0"/>
              <w:ind w:left="556" w:hanging="556"/>
              <w:rPr>
                <w:sz w:val="18"/>
              </w:rPr>
            </w:pPr>
            <w:r>
              <w:rPr>
                <w:sz w:val="18"/>
              </w:rPr>
              <w:t>7.</w:t>
            </w:r>
            <w:r>
              <w:rPr>
                <w:sz w:val="18"/>
              </w:rPr>
              <w:tab/>
              <w:t>Grant of an apiary site permit in the south</w:t>
            </w:r>
            <w:r>
              <w:rPr>
                <w:sz w:val="18"/>
              </w:rPr>
              <w:noBreakHyphen/>
              <w:t>west zone — </w:t>
            </w:r>
          </w:p>
        </w:tc>
        <w:tc>
          <w:tcPr>
            <w:tcW w:w="1559" w:type="dxa"/>
          </w:tcPr>
          <w:p>
            <w:pPr>
              <w:pStyle w:val="yTable"/>
              <w:spacing w:before="0"/>
              <w:jc w:val="center"/>
              <w:rPr>
                <w:sz w:val="18"/>
              </w:rPr>
            </w:pPr>
          </w:p>
        </w:tc>
      </w:tr>
      <w:tr>
        <w:tc>
          <w:tcPr>
            <w:tcW w:w="5529" w:type="dxa"/>
          </w:tcPr>
          <w:p>
            <w:pPr>
              <w:pStyle w:val="yTable"/>
              <w:tabs>
                <w:tab w:val="left" w:pos="567"/>
              </w:tabs>
              <w:spacing w:before="0"/>
              <w:ind w:left="556" w:hanging="556"/>
              <w:rPr>
                <w:sz w:val="18"/>
              </w:rPr>
            </w:pPr>
            <w:r>
              <w:rPr>
                <w:sz w:val="18"/>
              </w:rPr>
              <w:tab/>
              <w:t>per 5 permits or less granted on one application</w:t>
            </w:r>
          </w:p>
        </w:tc>
        <w:tc>
          <w:tcPr>
            <w:tcW w:w="1559" w:type="dxa"/>
          </w:tcPr>
          <w:p>
            <w:pPr>
              <w:pStyle w:val="yTable"/>
              <w:spacing w:before="0"/>
              <w:jc w:val="center"/>
              <w:rPr>
                <w:sz w:val="18"/>
              </w:rPr>
            </w:pPr>
            <w:r>
              <w:rPr>
                <w:sz w:val="18"/>
              </w:rPr>
              <w:t>100.00</w:t>
            </w:r>
          </w:p>
        </w:tc>
      </w:tr>
      <w:tr>
        <w:tc>
          <w:tcPr>
            <w:tcW w:w="5529" w:type="dxa"/>
          </w:tcPr>
          <w:p>
            <w:pPr>
              <w:pStyle w:val="yTable"/>
              <w:tabs>
                <w:tab w:val="left" w:pos="567"/>
              </w:tabs>
              <w:spacing w:before="0"/>
              <w:ind w:left="556" w:hanging="556"/>
              <w:rPr>
                <w:sz w:val="18"/>
              </w:rPr>
            </w:pPr>
            <w:r>
              <w:rPr>
                <w:sz w:val="18"/>
              </w:rPr>
              <w:t>8.</w:t>
            </w:r>
            <w:r>
              <w:rPr>
                <w:sz w:val="18"/>
              </w:rPr>
              <w:tab/>
              <w:t>Grant of an apiary site permit outside the south</w:t>
            </w:r>
            <w:r>
              <w:rPr>
                <w:sz w:val="18"/>
              </w:rPr>
              <w:noBreakHyphen/>
              <w:t>west zone — </w:t>
            </w:r>
          </w:p>
        </w:tc>
        <w:tc>
          <w:tcPr>
            <w:tcW w:w="1559" w:type="dxa"/>
          </w:tcPr>
          <w:p>
            <w:pPr>
              <w:pStyle w:val="yTable"/>
              <w:spacing w:before="0"/>
              <w:jc w:val="center"/>
              <w:rPr>
                <w:sz w:val="18"/>
              </w:rPr>
            </w:pPr>
          </w:p>
        </w:tc>
      </w:tr>
      <w:tr>
        <w:tc>
          <w:tcPr>
            <w:tcW w:w="5529" w:type="dxa"/>
          </w:tcPr>
          <w:p>
            <w:pPr>
              <w:pStyle w:val="yTable"/>
              <w:tabs>
                <w:tab w:val="left" w:pos="567"/>
              </w:tabs>
              <w:spacing w:before="0"/>
              <w:ind w:left="556" w:hanging="556"/>
              <w:rPr>
                <w:sz w:val="18"/>
              </w:rPr>
            </w:pPr>
            <w:r>
              <w:rPr>
                <w:sz w:val="18"/>
              </w:rPr>
              <w:tab/>
              <w:t>per 5 permits or less granted on one application</w:t>
            </w:r>
          </w:p>
        </w:tc>
        <w:tc>
          <w:tcPr>
            <w:tcW w:w="1559" w:type="dxa"/>
          </w:tcPr>
          <w:p>
            <w:pPr>
              <w:pStyle w:val="yTable"/>
              <w:spacing w:before="0"/>
              <w:jc w:val="center"/>
              <w:rPr>
                <w:sz w:val="18"/>
              </w:rPr>
            </w:pPr>
            <w:r>
              <w:rPr>
                <w:sz w:val="18"/>
              </w:rPr>
              <w:t>50.00</w:t>
            </w:r>
          </w:p>
        </w:tc>
      </w:tr>
      <w:tr>
        <w:tc>
          <w:tcPr>
            <w:tcW w:w="5529" w:type="dxa"/>
          </w:tcPr>
          <w:p>
            <w:pPr>
              <w:pStyle w:val="yTable"/>
              <w:tabs>
                <w:tab w:val="left" w:pos="567"/>
              </w:tabs>
              <w:spacing w:before="0"/>
              <w:ind w:left="556" w:hanging="556"/>
              <w:rPr>
                <w:sz w:val="18"/>
              </w:rPr>
            </w:pPr>
            <w:r>
              <w:rPr>
                <w:sz w:val="18"/>
              </w:rPr>
              <w:t>9.</w:t>
            </w:r>
            <w:r>
              <w:rPr>
                <w:sz w:val="18"/>
              </w:rPr>
              <w:tab/>
              <w:t>Transfer of an apiary site permit</w:t>
            </w:r>
          </w:p>
        </w:tc>
        <w:tc>
          <w:tcPr>
            <w:tcW w:w="1559" w:type="dxa"/>
          </w:tcPr>
          <w:p>
            <w:pPr>
              <w:pStyle w:val="yTable"/>
              <w:spacing w:before="0"/>
              <w:jc w:val="center"/>
              <w:rPr>
                <w:sz w:val="18"/>
              </w:rPr>
            </w:pPr>
            <w:r>
              <w:rPr>
                <w:sz w:val="18"/>
              </w:rPr>
              <w:t>8.50</w:t>
            </w:r>
          </w:p>
        </w:tc>
      </w:tr>
      <w:tr>
        <w:tc>
          <w:tcPr>
            <w:tcW w:w="5529" w:type="dxa"/>
          </w:tcPr>
          <w:p>
            <w:pPr>
              <w:pStyle w:val="yTable"/>
              <w:tabs>
                <w:tab w:val="left" w:pos="567"/>
              </w:tabs>
              <w:spacing w:before="0"/>
              <w:ind w:left="556" w:hanging="556"/>
              <w:rPr>
                <w:sz w:val="18"/>
              </w:rPr>
            </w:pPr>
            <w:r>
              <w:rPr>
                <w:sz w:val="18"/>
              </w:rPr>
              <w:t>10.</w:t>
            </w:r>
            <w:r>
              <w:rPr>
                <w:sz w:val="18"/>
              </w:rPr>
              <w:tab/>
              <w:t>Variation of an apiary site permit so as to change the location of the area to which the permit applies to a location in the south</w:t>
            </w:r>
            <w:r>
              <w:rPr>
                <w:sz w:val="18"/>
              </w:rPr>
              <w:noBreakHyphen/>
              <w:t>west zone</w:t>
            </w:r>
          </w:p>
        </w:tc>
        <w:tc>
          <w:tcPr>
            <w:tcW w:w="1559" w:type="dxa"/>
          </w:tcPr>
          <w:p>
            <w:pPr>
              <w:pStyle w:val="yTable"/>
              <w:spacing w:before="0"/>
              <w:jc w:val="center"/>
              <w:rPr>
                <w:sz w:val="18"/>
              </w:rPr>
            </w:pPr>
          </w:p>
          <w:p>
            <w:pPr>
              <w:pStyle w:val="yTable"/>
              <w:spacing w:before="0"/>
              <w:jc w:val="center"/>
              <w:rPr>
                <w:sz w:val="18"/>
              </w:rPr>
            </w:pPr>
          </w:p>
          <w:p>
            <w:pPr>
              <w:pStyle w:val="yTable"/>
              <w:spacing w:before="0"/>
              <w:jc w:val="center"/>
              <w:rPr>
                <w:sz w:val="18"/>
              </w:rPr>
            </w:pPr>
            <w:r>
              <w:rPr>
                <w:sz w:val="18"/>
              </w:rPr>
              <w:t>75.00</w:t>
            </w:r>
          </w:p>
        </w:tc>
      </w:tr>
      <w:tr>
        <w:tc>
          <w:tcPr>
            <w:tcW w:w="5529" w:type="dxa"/>
          </w:tcPr>
          <w:p>
            <w:pPr>
              <w:pStyle w:val="yTable"/>
              <w:tabs>
                <w:tab w:val="left" w:pos="567"/>
              </w:tabs>
              <w:spacing w:before="0"/>
              <w:ind w:left="556" w:hanging="556"/>
              <w:rPr>
                <w:sz w:val="18"/>
              </w:rPr>
            </w:pPr>
            <w:r>
              <w:rPr>
                <w:sz w:val="18"/>
              </w:rPr>
              <w:t>11.</w:t>
            </w:r>
            <w:r>
              <w:rPr>
                <w:sz w:val="18"/>
              </w:rPr>
              <w:tab/>
              <w:t>Variation of an apiary site permit so as to change the location of the area to which the permit applies to a location outside the south</w:t>
            </w:r>
            <w:r>
              <w:rPr>
                <w:sz w:val="18"/>
              </w:rPr>
              <w:noBreakHyphen/>
              <w:t>west zone</w:t>
            </w:r>
          </w:p>
        </w:tc>
        <w:tc>
          <w:tcPr>
            <w:tcW w:w="1559" w:type="dxa"/>
          </w:tcPr>
          <w:p>
            <w:pPr>
              <w:pStyle w:val="yTable"/>
              <w:spacing w:before="0"/>
              <w:jc w:val="center"/>
              <w:rPr>
                <w:sz w:val="18"/>
              </w:rPr>
            </w:pPr>
          </w:p>
          <w:p>
            <w:pPr>
              <w:pStyle w:val="yTable"/>
              <w:spacing w:before="0"/>
              <w:jc w:val="center"/>
              <w:rPr>
                <w:sz w:val="18"/>
              </w:rPr>
            </w:pPr>
          </w:p>
          <w:p>
            <w:pPr>
              <w:pStyle w:val="yTable"/>
              <w:spacing w:before="0"/>
              <w:jc w:val="center"/>
              <w:rPr>
                <w:sz w:val="18"/>
              </w:rPr>
            </w:pPr>
            <w:r>
              <w:rPr>
                <w:sz w:val="18"/>
              </w:rPr>
              <w:t>37.50</w:t>
            </w:r>
          </w:p>
        </w:tc>
      </w:tr>
    </w:tbl>
    <w:p>
      <w:pPr>
        <w:pStyle w:val="yFootnotesection"/>
      </w:pPr>
      <w:r>
        <w:tab/>
        <w:t>[Schedule 5 amended in Gazette 21 April 1998 pp.2113</w:t>
      </w:r>
      <w:r>
        <w:noBreakHyphen/>
        <w:t xml:space="preserve">14.] </w:t>
      </w:r>
    </w:p>
    <w:p>
      <w:pPr>
        <w:pStyle w:val="yScheduleHeading"/>
        <w:outlineLvl w:val="0"/>
      </w:pPr>
      <w:bookmarkStart w:id="555" w:name="_Toc155068192"/>
      <w:r>
        <w:rPr>
          <w:rStyle w:val="CharSchNo"/>
        </w:rPr>
        <w:t>Schedule 6</w:t>
      </w:r>
      <w:bookmarkEnd w:id="555"/>
    </w:p>
    <w:p>
      <w:pPr>
        <w:pStyle w:val="yShoulderClause"/>
        <w:spacing w:before="0"/>
        <w:rPr>
          <w:snapToGrid w:val="0"/>
        </w:rPr>
      </w:pPr>
      <w:r>
        <w:rPr>
          <w:snapToGrid w:val="0"/>
        </w:rPr>
        <w:t>[Regulation 154]</w:t>
      </w:r>
    </w:p>
    <w:p>
      <w:pPr>
        <w:pStyle w:val="yMiscellaneousHeading"/>
        <w:outlineLvl w:val="0"/>
        <w:rPr>
          <w:b/>
        </w:rPr>
      </w:pPr>
      <w:r>
        <w:rPr>
          <w:b/>
          <w:sz w:val="28"/>
        </w:rPr>
        <w:t>Transitional</w:t>
      </w:r>
    </w:p>
    <w:p>
      <w:pPr>
        <w:pStyle w:val="yHeading5"/>
        <w:rPr>
          <w:snapToGrid w:val="0"/>
        </w:rPr>
      </w:pPr>
      <w:bookmarkStart w:id="556" w:name="_Toc155068193"/>
      <w:r>
        <w:rPr>
          <w:snapToGrid w:val="0"/>
        </w:rPr>
        <w:t>1.</w:t>
      </w:r>
      <w:r>
        <w:rPr>
          <w:snapToGrid w:val="0"/>
        </w:rPr>
        <w:tab/>
        <w:t>Time allowed for timber workers to comply with regulation 5</w:t>
      </w:r>
      <w:bookmarkEnd w:id="556"/>
    </w:p>
    <w:p>
      <w:pPr>
        <w:pStyle w:val="ySubsection"/>
        <w:rPr>
          <w:snapToGrid w:val="0"/>
        </w:rPr>
      </w:pPr>
      <w:r>
        <w:rPr>
          <w:snapToGrid w:val="0"/>
        </w:rPr>
        <w:tab/>
      </w:r>
      <w:r>
        <w:rPr>
          <w:snapToGrid w:val="0"/>
        </w:rPr>
        <w:tab/>
        <w:t>A natural person who immediately before the commencement of these regulations was entitled to engage in timber harvesting in a State forest or timber reserve or in the transport of log timber harvested in a State forest or timber reserve may continue to do so without complying with regulation 5 until — </w:t>
      </w:r>
    </w:p>
    <w:p>
      <w:pPr>
        <w:pStyle w:val="yIndenta"/>
        <w:rPr>
          <w:snapToGrid w:val="0"/>
        </w:rPr>
      </w:pPr>
      <w:r>
        <w:rPr>
          <w:snapToGrid w:val="0"/>
        </w:rPr>
        <w:tab/>
        <w:t>(a)</w:t>
      </w:r>
      <w:r>
        <w:rPr>
          <w:snapToGrid w:val="0"/>
        </w:rPr>
        <w:tab/>
        <w:t>the expiration of the period of 3 months after the commencement of these regulations; or</w:t>
      </w:r>
    </w:p>
    <w:p>
      <w:pPr>
        <w:pStyle w:val="yIndenta"/>
        <w:rPr>
          <w:snapToGrid w:val="0"/>
        </w:rPr>
      </w:pPr>
      <w:r>
        <w:rPr>
          <w:snapToGrid w:val="0"/>
        </w:rPr>
        <w:tab/>
        <w:t>(b)</w:t>
      </w:r>
      <w:r>
        <w:rPr>
          <w:snapToGrid w:val="0"/>
        </w:rPr>
        <w:tab/>
        <w:t>under regulation 9(2) the Executive Director refuses an application by that person for registration as a timber worker,</w:t>
      </w:r>
    </w:p>
    <w:p>
      <w:pPr>
        <w:pStyle w:val="ySubsection"/>
        <w:rPr>
          <w:snapToGrid w:val="0"/>
        </w:rPr>
      </w:pPr>
      <w:r>
        <w:rPr>
          <w:snapToGrid w:val="0"/>
        </w:rPr>
        <w:tab/>
      </w:r>
      <w:r>
        <w:rPr>
          <w:snapToGrid w:val="0"/>
        </w:rPr>
        <w:tab/>
        <w:t>whichever occurs first.</w:t>
      </w:r>
    </w:p>
    <w:p>
      <w:pPr>
        <w:pStyle w:val="yHeading5"/>
        <w:rPr>
          <w:snapToGrid w:val="0"/>
        </w:rPr>
      </w:pPr>
      <w:bookmarkStart w:id="557" w:name="_Toc155068194"/>
      <w:r>
        <w:rPr>
          <w:snapToGrid w:val="0"/>
        </w:rPr>
        <w:t>2.</w:t>
      </w:r>
      <w:r>
        <w:rPr>
          <w:snapToGrid w:val="0"/>
        </w:rPr>
        <w:tab/>
        <w:t>Time allowed for employers etc. to comply with regulation 6</w:t>
      </w:r>
      <w:bookmarkEnd w:id="557"/>
    </w:p>
    <w:p>
      <w:pPr>
        <w:pStyle w:val="ySubsection"/>
        <w:rPr>
          <w:snapToGrid w:val="0"/>
        </w:rPr>
      </w:pPr>
      <w:r>
        <w:rPr>
          <w:snapToGrid w:val="0"/>
        </w:rPr>
        <w:tab/>
      </w:r>
      <w:r>
        <w:rPr>
          <w:snapToGrid w:val="0"/>
        </w:rPr>
        <w:tab/>
        <w:t>A person who immediately before the commencement of these regulations was employing or remunerating a person to engage in timber harvesting in a State forest or timber reserve or in the transport of log timber harvested in a State forest or timber reserve may continue to do so without complying with regulation 6 until — </w:t>
      </w:r>
    </w:p>
    <w:p>
      <w:pPr>
        <w:pStyle w:val="yIndenta"/>
        <w:rPr>
          <w:snapToGrid w:val="0"/>
        </w:rPr>
      </w:pPr>
      <w:r>
        <w:rPr>
          <w:snapToGrid w:val="0"/>
        </w:rPr>
        <w:tab/>
        <w:t>(a)</w:t>
      </w:r>
      <w:r>
        <w:rPr>
          <w:snapToGrid w:val="0"/>
        </w:rPr>
        <w:tab/>
        <w:t>the expiration of the period of 3 months after the commencement of these regulations; or</w:t>
      </w:r>
    </w:p>
    <w:p>
      <w:pPr>
        <w:pStyle w:val="yIndenta"/>
        <w:rPr>
          <w:snapToGrid w:val="0"/>
        </w:rPr>
      </w:pPr>
      <w:r>
        <w:rPr>
          <w:snapToGrid w:val="0"/>
        </w:rPr>
        <w:tab/>
        <w:t>(b)</w:t>
      </w:r>
      <w:r>
        <w:rPr>
          <w:snapToGrid w:val="0"/>
        </w:rPr>
        <w:tab/>
        <w:t>under regulation 9(2) the Executive Director refuses an application by the second</w:t>
      </w:r>
      <w:r>
        <w:rPr>
          <w:snapToGrid w:val="0"/>
        </w:rPr>
        <w:noBreakHyphen/>
        <w:t>mentioned person for registration as a timber worker,</w:t>
      </w:r>
    </w:p>
    <w:p>
      <w:pPr>
        <w:pStyle w:val="ySubsection"/>
        <w:rPr>
          <w:snapToGrid w:val="0"/>
        </w:rPr>
      </w:pPr>
      <w:r>
        <w:rPr>
          <w:snapToGrid w:val="0"/>
        </w:rPr>
        <w:tab/>
      </w:r>
      <w:r>
        <w:rPr>
          <w:snapToGrid w:val="0"/>
        </w:rPr>
        <w:tab/>
        <w:t>whichever occurs first.</w:t>
      </w:r>
    </w:p>
    <w:p>
      <w:pPr>
        <w:pStyle w:val="yHeading5"/>
        <w:rPr>
          <w:snapToGrid w:val="0"/>
        </w:rPr>
      </w:pPr>
      <w:bookmarkStart w:id="558" w:name="_Toc155068195"/>
      <w:r>
        <w:rPr>
          <w:snapToGrid w:val="0"/>
        </w:rPr>
        <w:t>3.</w:t>
      </w:r>
      <w:r>
        <w:rPr>
          <w:snapToGrid w:val="0"/>
        </w:rPr>
        <w:tab/>
        <w:t>Time allowed for fellers to comply with regulation 24</w:t>
      </w:r>
      <w:bookmarkEnd w:id="558"/>
    </w:p>
    <w:p>
      <w:pPr>
        <w:pStyle w:val="ySubsection"/>
        <w:rPr>
          <w:snapToGrid w:val="0"/>
        </w:rPr>
      </w:pPr>
      <w:r>
        <w:rPr>
          <w:snapToGrid w:val="0"/>
        </w:rPr>
        <w:tab/>
      </w:r>
      <w:r>
        <w:rPr>
          <w:snapToGrid w:val="0"/>
        </w:rPr>
        <w:tab/>
        <w:t>A person who immediately before the commencement of these regulations was entitled to engage in timber felling in a State forest or timber reserve may continue to do so without complying with regulation 24 until the expiration of the period of 3 months after the commencement of these regulations.</w:t>
      </w:r>
    </w:p>
    <w:p>
      <w:pPr>
        <w:pStyle w:val="yHeading5"/>
        <w:rPr>
          <w:snapToGrid w:val="0"/>
        </w:rPr>
      </w:pPr>
      <w:bookmarkStart w:id="559" w:name="_Toc155068196"/>
      <w:r>
        <w:rPr>
          <w:snapToGrid w:val="0"/>
        </w:rPr>
        <w:t>4.</w:t>
      </w:r>
      <w:r>
        <w:rPr>
          <w:snapToGrid w:val="0"/>
        </w:rPr>
        <w:tab/>
        <w:t>Apiary site licences and temporary and annual apiary site permits to continue to operate</w:t>
      </w:r>
      <w:bookmarkEnd w:id="559"/>
    </w:p>
    <w:p>
      <w:pPr>
        <w:pStyle w:val="ySubsection"/>
        <w:rPr>
          <w:snapToGrid w:val="0"/>
        </w:rPr>
      </w:pPr>
      <w:r>
        <w:rPr>
          <w:snapToGrid w:val="0"/>
        </w:rPr>
        <w:tab/>
      </w:r>
      <w:r>
        <w:rPr>
          <w:snapToGrid w:val="0"/>
        </w:rPr>
        <w:tab/>
        <w:t xml:space="preserve">An apiary site licence, temporary apiary site permit or annual apiary site permit issued or granted under the </w:t>
      </w:r>
      <w:r>
        <w:rPr>
          <w:i/>
          <w:snapToGrid w:val="0"/>
        </w:rPr>
        <w:t>Forest Regulations 1957</w:t>
      </w:r>
      <w:r>
        <w:rPr>
          <w:snapToGrid w:val="0"/>
          <w:vertAlign w:val="superscript"/>
        </w:rPr>
        <w:t xml:space="preserve"> 3</w:t>
      </w:r>
      <w:r>
        <w:rPr>
          <w:snapToGrid w:val="0"/>
        </w:rPr>
        <w:t xml:space="preserve"> and in force immediately before the commencement of these regulations shall, on or after the commencement of these regulations, continue to have effect as if these regulations had not come into operation.</w:t>
      </w:r>
    </w:p>
    <w:p>
      <w:pPr>
        <w:pStyle w:val="yHeading5"/>
        <w:rPr>
          <w:snapToGrid w:val="0"/>
        </w:rPr>
      </w:pPr>
      <w:bookmarkStart w:id="560" w:name="_Toc155068197"/>
      <w:r>
        <w:rPr>
          <w:snapToGrid w:val="0"/>
        </w:rPr>
        <w:t>5.</w:t>
      </w:r>
      <w:r>
        <w:rPr>
          <w:snapToGrid w:val="0"/>
        </w:rPr>
        <w:tab/>
        <w:t>Authorization to continue to have effect</w:t>
      </w:r>
      <w:bookmarkEnd w:id="560"/>
    </w:p>
    <w:p>
      <w:pPr>
        <w:pStyle w:val="ySubsection"/>
        <w:rPr>
          <w:snapToGrid w:val="0"/>
        </w:rPr>
      </w:pPr>
      <w:r>
        <w:rPr>
          <w:snapToGrid w:val="0"/>
        </w:rPr>
        <w:tab/>
        <w:t>(1)</w:t>
      </w:r>
      <w:r>
        <w:rPr>
          <w:snapToGrid w:val="0"/>
        </w:rPr>
        <w:tab/>
        <w:t xml:space="preserve">A written authority issued under the </w:t>
      </w:r>
      <w:r>
        <w:rPr>
          <w:i/>
          <w:snapToGrid w:val="0"/>
        </w:rPr>
        <w:t>Forest Diseases Regulations 1975</w:t>
      </w:r>
      <w:r>
        <w:rPr>
          <w:snapToGrid w:val="0"/>
          <w:vertAlign w:val="superscript"/>
        </w:rPr>
        <w:t xml:space="preserve"> 4</w:t>
      </w:r>
      <w:r>
        <w:rPr>
          <w:snapToGrid w:val="0"/>
        </w:rPr>
        <w:t xml:space="preserve"> and in force immediately before the commencement of these regulations shall, on or after the commencement of these regulations, continue to have effect as if these regulations had not come into operation.</w:t>
      </w:r>
    </w:p>
    <w:p>
      <w:pPr>
        <w:pStyle w:val="ySubsection"/>
        <w:rPr>
          <w:snapToGrid w:val="0"/>
        </w:rPr>
      </w:pPr>
      <w:r>
        <w:rPr>
          <w:snapToGrid w:val="0"/>
        </w:rPr>
        <w:tab/>
        <w:t>(2)</w:t>
      </w:r>
      <w:r>
        <w:rPr>
          <w:snapToGrid w:val="0"/>
        </w:rPr>
        <w:tab/>
        <w:t>Notwithstanding subclause (1), a forest officer may, at any time, by notice in writing revoke or amend a written authority referred to in that subclause.</w:t>
      </w:r>
    </w:p>
    <w:p>
      <w:pPr>
        <w:sectPr>
          <w:headerReference w:type="even" r:id="rId44"/>
          <w:headerReference w:type="default" r:id="rId45"/>
          <w:headerReference w:type="first" r:id="rId46"/>
          <w:pgSz w:w="11906" w:h="16838" w:code="9"/>
          <w:pgMar w:top="2376" w:right="2405" w:bottom="3542" w:left="2405" w:header="706" w:footer="3380" w:gutter="0"/>
          <w:cols w:space="720"/>
          <w:noEndnote/>
          <w:docGrid w:linePitch="326"/>
        </w:sectPr>
      </w:pPr>
    </w:p>
    <w:p>
      <w:pPr>
        <w:pStyle w:val="nHeading2"/>
        <w:outlineLvl w:val="0"/>
      </w:pPr>
      <w:bookmarkStart w:id="561" w:name="_Toc154984532"/>
      <w:bookmarkStart w:id="562" w:name="_Toc155067337"/>
      <w:bookmarkStart w:id="563" w:name="_Toc155068198"/>
      <w:r>
        <w:t>Notes</w:t>
      </w:r>
      <w:bookmarkEnd w:id="561"/>
      <w:bookmarkEnd w:id="562"/>
      <w:bookmarkEnd w:id="563"/>
    </w:p>
    <w:p>
      <w:pPr>
        <w:pStyle w:val="nSubsection"/>
        <w:rPr>
          <w:snapToGrid w:val="0"/>
        </w:rPr>
      </w:pPr>
      <w:r>
        <w:rPr>
          <w:snapToGrid w:val="0"/>
          <w:vertAlign w:val="superscript"/>
        </w:rPr>
        <w:t>1</w:t>
      </w:r>
      <w:r>
        <w:rPr>
          <w:snapToGrid w:val="0"/>
        </w:rPr>
        <w:tab/>
        <w:t xml:space="preserve">This is a compilation of the </w:t>
      </w:r>
      <w:r>
        <w:rPr>
          <w:i/>
          <w:noProof/>
          <w:snapToGrid w:val="0"/>
        </w:rPr>
        <w:t>Forest Management Regulations 1993</w:t>
      </w:r>
      <w:r>
        <w:rPr>
          <w:snapToGrid w:val="0"/>
        </w:rPr>
        <w:t xml:space="preserve"> and includes the amendments made by the other written laws referred to in the following table.  </w:t>
      </w:r>
    </w:p>
    <w:p>
      <w:pPr>
        <w:pStyle w:val="nHeading3"/>
        <w:outlineLvl w:val="0"/>
        <w:rPr>
          <w:snapToGrid w:val="0"/>
        </w:rPr>
      </w:pPr>
      <w:bookmarkStart w:id="564" w:name="_Toc155068199"/>
      <w:r>
        <w:rPr>
          <w:snapToGrid w:val="0"/>
        </w:rPr>
        <w:t>Compilation table</w:t>
      </w:r>
      <w:bookmarkEnd w:id="564"/>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Forest Management Regulations 1993</w:t>
            </w:r>
          </w:p>
        </w:tc>
        <w:tc>
          <w:tcPr>
            <w:tcW w:w="1276" w:type="dxa"/>
          </w:tcPr>
          <w:p>
            <w:pPr>
              <w:pStyle w:val="nTable"/>
              <w:spacing w:after="40"/>
              <w:rPr>
                <w:sz w:val="19"/>
              </w:rPr>
            </w:pPr>
            <w:r>
              <w:rPr>
                <w:sz w:val="19"/>
              </w:rPr>
              <w:t>9 Feb 1993 pp.1119</w:t>
            </w:r>
            <w:r>
              <w:rPr>
                <w:sz w:val="19"/>
              </w:rPr>
              <w:noBreakHyphen/>
              <w:t>1201</w:t>
            </w:r>
          </w:p>
        </w:tc>
        <w:tc>
          <w:tcPr>
            <w:tcW w:w="2693" w:type="dxa"/>
          </w:tcPr>
          <w:p>
            <w:pPr>
              <w:pStyle w:val="nTable"/>
              <w:spacing w:after="40"/>
              <w:rPr>
                <w:sz w:val="19"/>
              </w:rPr>
            </w:pPr>
            <w:r>
              <w:rPr>
                <w:sz w:val="19"/>
              </w:rPr>
              <w:t>9 Feb 1993</w:t>
            </w:r>
          </w:p>
        </w:tc>
      </w:tr>
      <w:tr>
        <w:trPr>
          <w:cantSplit/>
        </w:trPr>
        <w:tc>
          <w:tcPr>
            <w:tcW w:w="3118" w:type="dxa"/>
          </w:tcPr>
          <w:p>
            <w:pPr>
              <w:pStyle w:val="nTable"/>
              <w:spacing w:after="40"/>
              <w:ind w:right="113"/>
              <w:rPr>
                <w:sz w:val="19"/>
              </w:rPr>
            </w:pPr>
            <w:r>
              <w:rPr>
                <w:i/>
                <w:sz w:val="19"/>
              </w:rPr>
              <w:t>Forest Management Amendment Regulations 1995</w:t>
            </w:r>
          </w:p>
        </w:tc>
        <w:tc>
          <w:tcPr>
            <w:tcW w:w="1276" w:type="dxa"/>
          </w:tcPr>
          <w:p>
            <w:pPr>
              <w:pStyle w:val="nTable"/>
              <w:spacing w:after="40"/>
              <w:rPr>
                <w:sz w:val="19"/>
              </w:rPr>
            </w:pPr>
            <w:r>
              <w:rPr>
                <w:sz w:val="19"/>
              </w:rPr>
              <w:t>28 Apr 1995 pp.1459</w:t>
            </w:r>
            <w:r>
              <w:rPr>
                <w:sz w:val="19"/>
              </w:rPr>
              <w:noBreakHyphen/>
              <w:t>60</w:t>
            </w:r>
          </w:p>
        </w:tc>
        <w:tc>
          <w:tcPr>
            <w:tcW w:w="2693" w:type="dxa"/>
          </w:tcPr>
          <w:p>
            <w:pPr>
              <w:pStyle w:val="nTable"/>
              <w:spacing w:after="40"/>
              <w:rPr>
                <w:sz w:val="19"/>
              </w:rPr>
            </w:pPr>
            <w:r>
              <w:rPr>
                <w:sz w:val="19"/>
              </w:rPr>
              <w:t>28 Apr 1995</w:t>
            </w:r>
          </w:p>
        </w:tc>
      </w:tr>
      <w:tr>
        <w:trPr>
          <w:cantSplit/>
        </w:trPr>
        <w:tc>
          <w:tcPr>
            <w:tcW w:w="3118" w:type="dxa"/>
          </w:tcPr>
          <w:p>
            <w:pPr>
              <w:pStyle w:val="nTable"/>
              <w:spacing w:after="40"/>
              <w:ind w:right="113"/>
              <w:rPr>
                <w:sz w:val="19"/>
              </w:rPr>
            </w:pPr>
            <w:r>
              <w:rPr>
                <w:i/>
                <w:sz w:val="19"/>
              </w:rPr>
              <w:t>Forest Management Amendment Regulations (No. 2) 1995</w:t>
            </w:r>
          </w:p>
        </w:tc>
        <w:tc>
          <w:tcPr>
            <w:tcW w:w="1276" w:type="dxa"/>
          </w:tcPr>
          <w:p>
            <w:pPr>
              <w:pStyle w:val="nTable"/>
              <w:spacing w:after="40"/>
              <w:rPr>
                <w:sz w:val="19"/>
              </w:rPr>
            </w:pPr>
            <w:r>
              <w:rPr>
                <w:sz w:val="19"/>
              </w:rPr>
              <w:t>23 Jan 1996 p.272</w:t>
            </w:r>
          </w:p>
        </w:tc>
        <w:tc>
          <w:tcPr>
            <w:tcW w:w="2693" w:type="dxa"/>
          </w:tcPr>
          <w:p>
            <w:pPr>
              <w:pStyle w:val="nTable"/>
              <w:spacing w:after="40"/>
              <w:rPr>
                <w:sz w:val="19"/>
              </w:rPr>
            </w:pPr>
            <w:r>
              <w:rPr>
                <w:sz w:val="19"/>
              </w:rPr>
              <w:t>23 Jan 1996</w:t>
            </w:r>
          </w:p>
        </w:tc>
      </w:tr>
      <w:tr>
        <w:trPr>
          <w:cantSplit/>
        </w:trPr>
        <w:tc>
          <w:tcPr>
            <w:tcW w:w="3118" w:type="dxa"/>
          </w:tcPr>
          <w:p>
            <w:pPr>
              <w:pStyle w:val="nTable"/>
              <w:spacing w:after="40"/>
              <w:ind w:right="113"/>
              <w:rPr>
                <w:sz w:val="19"/>
              </w:rPr>
            </w:pPr>
            <w:r>
              <w:rPr>
                <w:i/>
                <w:sz w:val="19"/>
              </w:rPr>
              <w:t>Forest Management Amendment Regulations 1996</w:t>
            </w:r>
          </w:p>
        </w:tc>
        <w:tc>
          <w:tcPr>
            <w:tcW w:w="1276" w:type="dxa"/>
          </w:tcPr>
          <w:p>
            <w:pPr>
              <w:pStyle w:val="nTable"/>
              <w:spacing w:after="40"/>
              <w:rPr>
                <w:sz w:val="19"/>
              </w:rPr>
            </w:pPr>
            <w:r>
              <w:rPr>
                <w:sz w:val="19"/>
              </w:rPr>
              <w:t>29 Mar 1996 pp.1504</w:t>
            </w:r>
            <w:r>
              <w:rPr>
                <w:sz w:val="19"/>
              </w:rPr>
              <w:noBreakHyphen/>
              <w:t>11</w:t>
            </w:r>
          </w:p>
        </w:tc>
        <w:tc>
          <w:tcPr>
            <w:tcW w:w="2693" w:type="dxa"/>
          </w:tcPr>
          <w:p>
            <w:pPr>
              <w:pStyle w:val="nTable"/>
              <w:spacing w:after="40"/>
              <w:rPr>
                <w:sz w:val="19"/>
              </w:rPr>
            </w:pPr>
            <w:r>
              <w:rPr>
                <w:sz w:val="19"/>
              </w:rPr>
              <w:t>29 Mar 1996</w:t>
            </w:r>
          </w:p>
        </w:tc>
      </w:tr>
      <w:tr>
        <w:trPr>
          <w:cantSplit/>
        </w:trPr>
        <w:tc>
          <w:tcPr>
            <w:tcW w:w="3118" w:type="dxa"/>
          </w:tcPr>
          <w:p>
            <w:pPr>
              <w:pStyle w:val="nTable"/>
              <w:spacing w:after="40"/>
              <w:ind w:right="113"/>
              <w:rPr>
                <w:sz w:val="19"/>
              </w:rPr>
            </w:pPr>
            <w:r>
              <w:rPr>
                <w:i/>
                <w:sz w:val="19"/>
              </w:rPr>
              <w:t>Forest Management Amendment Regulations (No. 2) 1996</w:t>
            </w:r>
          </w:p>
        </w:tc>
        <w:tc>
          <w:tcPr>
            <w:tcW w:w="1276" w:type="dxa"/>
          </w:tcPr>
          <w:p>
            <w:pPr>
              <w:pStyle w:val="nTable"/>
              <w:spacing w:after="40"/>
              <w:rPr>
                <w:sz w:val="19"/>
              </w:rPr>
            </w:pPr>
            <w:r>
              <w:rPr>
                <w:sz w:val="19"/>
              </w:rPr>
              <w:t>28 May 1996</w:t>
            </w:r>
            <w:r>
              <w:rPr>
                <w:sz w:val="19"/>
              </w:rPr>
              <w:br/>
              <w:t>p.2204</w:t>
            </w:r>
          </w:p>
        </w:tc>
        <w:tc>
          <w:tcPr>
            <w:tcW w:w="2693" w:type="dxa"/>
          </w:tcPr>
          <w:p>
            <w:pPr>
              <w:pStyle w:val="nTable"/>
              <w:spacing w:after="40"/>
              <w:rPr>
                <w:sz w:val="19"/>
              </w:rPr>
            </w:pPr>
            <w:r>
              <w:rPr>
                <w:sz w:val="19"/>
              </w:rPr>
              <w:t>28 May 1996</w:t>
            </w:r>
          </w:p>
        </w:tc>
      </w:tr>
      <w:tr>
        <w:trPr>
          <w:cantSplit/>
        </w:trPr>
        <w:tc>
          <w:tcPr>
            <w:tcW w:w="3118" w:type="dxa"/>
          </w:tcPr>
          <w:p>
            <w:pPr>
              <w:pStyle w:val="nTable"/>
              <w:spacing w:after="40"/>
              <w:ind w:right="113"/>
              <w:rPr>
                <w:sz w:val="19"/>
              </w:rPr>
            </w:pPr>
            <w:r>
              <w:rPr>
                <w:i/>
                <w:sz w:val="19"/>
              </w:rPr>
              <w:t>Forest Management Amendment Regulations (No. 3) 1996</w:t>
            </w:r>
          </w:p>
        </w:tc>
        <w:tc>
          <w:tcPr>
            <w:tcW w:w="1276" w:type="dxa"/>
          </w:tcPr>
          <w:p>
            <w:pPr>
              <w:pStyle w:val="nTable"/>
              <w:spacing w:after="40"/>
              <w:rPr>
                <w:sz w:val="19"/>
              </w:rPr>
            </w:pPr>
            <w:r>
              <w:rPr>
                <w:sz w:val="19"/>
              </w:rPr>
              <w:t>28 May 1996 pp.2204</w:t>
            </w:r>
            <w:r>
              <w:rPr>
                <w:sz w:val="19"/>
              </w:rPr>
              <w:noBreakHyphen/>
              <w:t>5</w:t>
            </w:r>
          </w:p>
        </w:tc>
        <w:tc>
          <w:tcPr>
            <w:tcW w:w="2693" w:type="dxa"/>
          </w:tcPr>
          <w:p>
            <w:pPr>
              <w:pStyle w:val="nTable"/>
              <w:spacing w:after="40"/>
              <w:rPr>
                <w:sz w:val="19"/>
              </w:rPr>
            </w:pPr>
            <w:r>
              <w:rPr>
                <w:sz w:val="19"/>
              </w:rPr>
              <w:t>28 May 1996</w:t>
            </w:r>
          </w:p>
        </w:tc>
      </w:tr>
      <w:tr>
        <w:trPr>
          <w:cantSplit/>
        </w:trPr>
        <w:tc>
          <w:tcPr>
            <w:tcW w:w="3118" w:type="dxa"/>
          </w:tcPr>
          <w:p>
            <w:pPr>
              <w:pStyle w:val="nTable"/>
              <w:spacing w:after="40"/>
              <w:ind w:right="113"/>
              <w:rPr>
                <w:sz w:val="19"/>
              </w:rPr>
            </w:pPr>
            <w:r>
              <w:rPr>
                <w:i/>
                <w:sz w:val="19"/>
              </w:rPr>
              <w:t>Forest Management Amendment Regulations 1998</w:t>
            </w:r>
          </w:p>
        </w:tc>
        <w:tc>
          <w:tcPr>
            <w:tcW w:w="1276" w:type="dxa"/>
          </w:tcPr>
          <w:p>
            <w:pPr>
              <w:pStyle w:val="nTable"/>
              <w:spacing w:after="40"/>
              <w:rPr>
                <w:sz w:val="19"/>
              </w:rPr>
            </w:pPr>
            <w:r>
              <w:rPr>
                <w:sz w:val="19"/>
              </w:rPr>
              <w:t>21 Apr 1998 pp.2113</w:t>
            </w:r>
            <w:r>
              <w:rPr>
                <w:sz w:val="19"/>
              </w:rPr>
              <w:noBreakHyphen/>
              <w:t>4</w:t>
            </w:r>
          </w:p>
        </w:tc>
        <w:tc>
          <w:tcPr>
            <w:tcW w:w="2693" w:type="dxa"/>
          </w:tcPr>
          <w:p>
            <w:pPr>
              <w:pStyle w:val="nTable"/>
              <w:spacing w:after="40"/>
              <w:rPr>
                <w:sz w:val="19"/>
              </w:rPr>
            </w:pPr>
            <w:r>
              <w:rPr>
                <w:sz w:val="19"/>
              </w:rPr>
              <w:t>21 Apr 1998</w:t>
            </w:r>
          </w:p>
        </w:tc>
      </w:tr>
      <w:tr>
        <w:trPr>
          <w:cantSplit/>
        </w:trPr>
        <w:tc>
          <w:tcPr>
            <w:tcW w:w="3118" w:type="dxa"/>
          </w:tcPr>
          <w:p>
            <w:pPr>
              <w:pStyle w:val="nTable"/>
              <w:spacing w:after="40"/>
              <w:ind w:right="113"/>
              <w:rPr>
                <w:sz w:val="19"/>
              </w:rPr>
            </w:pPr>
            <w:r>
              <w:rPr>
                <w:i/>
                <w:sz w:val="19"/>
              </w:rPr>
              <w:t>Forest Management Amendment Regulations (No. 2) 1998</w:t>
            </w:r>
          </w:p>
        </w:tc>
        <w:tc>
          <w:tcPr>
            <w:tcW w:w="1276" w:type="dxa"/>
          </w:tcPr>
          <w:p>
            <w:pPr>
              <w:pStyle w:val="nTable"/>
              <w:spacing w:after="40"/>
              <w:rPr>
                <w:sz w:val="19"/>
              </w:rPr>
            </w:pPr>
            <w:r>
              <w:rPr>
                <w:sz w:val="19"/>
              </w:rPr>
              <w:t>18 Aug 1998 p.4447 Disallowed 28 Oct 1998 (see </w:t>
            </w:r>
            <w:r>
              <w:rPr>
                <w:i/>
                <w:sz w:val="19"/>
              </w:rPr>
              <w:t>Gazette</w:t>
            </w:r>
            <w:r>
              <w:rPr>
                <w:sz w:val="19"/>
              </w:rPr>
              <w:t xml:space="preserve"> 17 Nov 1998 p.6248)</w:t>
            </w:r>
          </w:p>
        </w:tc>
        <w:tc>
          <w:tcPr>
            <w:tcW w:w="2693" w:type="dxa"/>
          </w:tcPr>
          <w:p>
            <w:pPr>
              <w:pStyle w:val="nTable"/>
              <w:spacing w:after="40"/>
              <w:rPr>
                <w:sz w:val="19"/>
              </w:rPr>
            </w:pPr>
            <w:r>
              <w:rPr>
                <w:sz w:val="19"/>
              </w:rPr>
              <w:t>18 Aug 1998</w:t>
            </w:r>
          </w:p>
        </w:tc>
      </w:tr>
      <w:tr>
        <w:trPr>
          <w:cantSplit/>
        </w:trPr>
        <w:tc>
          <w:tcPr>
            <w:tcW w:w="3118" w:type="dxa"/>
          </w:tcPr>
          <w:p>
            <w:pPr>
              <w:pStyle w:val="nTable"/>
              <w:spacing w:after="40"/>
              <w:ind w:right="113"/>
              <w:rPr>
                <w:i/>
                <w:sz w:val="19"/>
              </w:rPr>
            </w:pPr>
            <w:r>
              <w:rPr>
                <w:i/>
                <w:sz w:val="19"/>
              </w:rPr>
              <w:t>Forrest Management Amendment Regulation 2000</w:t>
            </w:r>
          </w:p>
        </w:tc>
        <w:tc>
          <w:tcPr>
            <w:tcW w:w="1276" w:type="dxa"/>
          </w:tcPr>
          <w:p>
            <w:pPr>
              <w:pStyle w:val="nTable"/>
              <w:spacing w:after="40"/>
              <w:rPr>
                <w:sz w:val="19"/>
              </w:rPr>
            </w:pPr>
            <w:r>
              <w:rPr>
                <w:sz w:val="19"/>
              </w:rPr>
              <w:t>30 Jun 2000 pp.3401-2</w:t>
            </w:r>
          </w:p>
        </w:tc>
        <w:tc>
          <w:tcPr>
            <w:tcW w:w="2693" w:type="dxa"/>
          </w:tcPr>
          <w:p>
            <w:pPr>
              <w:pStyle w:val="nTable"/>
              <w:spacing w:after="40"/>
              <w:rPr>
                <w:sz w:val="19"/>
              </w:rPr>
            </w:pPr>
            <w:r>
              <w:rPr>
                <w:sz w:val="19"/>
              </w:rPr>
              <w:t>1 Jul 2000 (see regulation 2)</w:t>
            </w:r>
          </w:p>
        </w:tc>
      </w:tr>
      <w:tr>
        <w:trPr>
          <w:cantSplit/>
        </w:trPr>
        <w:tc>
          <w:tcPr>
            <w:tcW w:w="3118" w:type="dxa"/>
          </w:tcPr>
          <w:p>
            <w:pPr>
              <w:pStyle w:val="nTable"/>
              <w:spacing w:after="40"/>
              <w:ind w:right="113"/>
              <w:rPr>
                <w:sz w:val="19"/>
              </w:rPr>
            </w:pPr>
            <w:r>
              <w:rPr>
                <w:i/>
                <w:sz w:val="19"/>
              </w:rPr>
              <w:t>Conservation and Land Management Regulations 2002</w:t>
            </w:r>
            <w:r>
              <w:rPr>
                <w:sz w:val="19"/>
              </w:rPr>
              <w:t xml:space="preserve"> r. 114</w:t>
            </w:r>
          </w:p>
        </w:tc>
        <w:tc>
          <w:tcPr>
            <w:tcW w:w="1276" w:type="dxa"/>
          </w:tcPr>
          <w:p>
            <w:pPr>
              <w:pStyle w:val="nTable"/>
              <w:spacing w:after="40"/>
              <w:rPr>
                <w:sz w:val="19"/>
              </w:rPr>
            </w:pPr>
            <w:r>
              <w:rPr>
                <w:sz w:val="19"/>
              </w:rPr>
              <w:t>3 May 2002 p. 2233</w:t>
            </w:r>
            <w:r>
              <w:rPr>
                <w:sz w:val="19"/>
              </w:rPr>
              <w:noBreakHyphen/>
              <w:t>308</w:t>
            </w:r>
          </w:p>
        </w:tc>
        <w:tc>
          <w:tcPr>
            <w:tcW w:w="2693" w:type="dxa"/>
          </w:tcPr>
          <w:p>
            <w:pPr>
              <w:pStyle w:val="nTable"/>
              <w:spacing w:after="40"/>
              <w:rPr>
                <w:sz w:val="19"/>
              </w:rPr>
            </w:pPr>
            <w:r>
              <w:rPr>
                <w:sz w:val="19"/>
              </w:rPr>
              <w:t>3 May 2002</w:t>
            </w:r>
          </w:p>
        </w:tc>
      </w:tr>
      <w:tr>
        <w:trPr>
          <w:cantSplit/>
        </w:trPr>
        <w:tc>
          <w:tcPr>
            <w:tcW w:w="3118" w:type="dxa"/>
          </w:tcPr>
          <w:p>
            <w:pPr>
              <w:pStyle w:val="nTable"/>
              <w:spacing w:after="40"/>
              <w:ind w:right="113"/>
              <w:rPr>
                <w:i/>
                <w:sz w:val="19"/>
              </w:rPr>
            </w:pPr>
            <w:r>
              <w:rPr>
                <w:i/>
                <w:sz w:val="19"/>
              </w:rPr>
              <w:t>Forest Management Amendment Regulations 2003</w:t>
            </w:r>
          </w:p>
        </w:tc>
        <w:tc>
          <w:tcPr>
            <w:tcW w:w="1276" w:type="dxa"/>
          </w:tcPr>
          <w:p>
            <w:pPr>
              <w:pStyle w:val="nTable"/>
              <w:spacing w:after="40"/>
              <w:rPr>
                <w:sz w:val="19"/>
              </w:rPr>
            </w:pPr>
            <w:r>
              <w:rPr>
                <w:sz w:val="19"/>
              </w:rPr>
              <w:t>12 Aug 2003 p. 3657</w:t>
            </w:r>
            <w:r>
              <w:rPr>
                <w:sz w:val="19"/>
              </w:rPr>
              <w:noBreakHyphen/>
              <w:t>8</w:t>
            </w:r>
          </w:p>
        </w:tc>
        <w:tc>
          <w:tcPr>
            <w:tcW w:w="2693" w:type="dxa"/>
          </w:tcPr>
          <w:p>
            <w:pPr>
              <w:pStyle w:val="nTable"/>
              <w:spacing w:after="40"/>
              <w:rPr>
                <w:sz w:val="19"/>
              </w:rPr>
            </w:pPr>
            <w:r>
              <w:rPr>
                <w:sz w:val="19"/>
              </w:rPr>
              <w:t>12 Aug 2003</w:t>
            </w:r>
          </w:p>
        </w:tc>
      </w:tr>
      <w:tr>
        <w:trPr>
          <w:cantSplit/>
        </w:trPr>
        <w:tc>
          <w:tcPr>
            <w:tcW w:w="3118" w:type="dxa"/>
            <w:tcBorders>
              <w:bottom w:val="single" w:sz="8" w:space="0" w:color="auto"/>
            </w:tcBorders>
          </w:tcPr>
          <w:p>
            <w:pPr>
              <w:pStyle w:val="nTable"/>
              <w:spacing w:after="40"/>
              <w:ind w:right="113"/>
              <w:rPr>
                <w:i/>
                <w:sz w:val="19"/>
              </w:rPr>
            </w:pPr>
            <w:r>
              <w:rPr>
                <w:i/>
                <w:sz w:val="19"/>
              </w:rPr>
              <w:t>Forest Management Amendment Regulations (No. 2) 2006</w:t>
            </w:r>
          </w:p>
        </w:tc>
        <w:tc>
          <w:tcPr>
            <w:tcW w:w="1276" w:type="dxa"/>
            <w:tcBorders>
              <w:bottom w:val="single" w:sz="8" w:space="0" w:color="auto"/>
            </w:tcBorders>
          </w:tcPr>
          <w:p>
            <w:pPr>
              <w:pStyle w:val="nTable"/>
              <w:spacing w:after="40"/>
              <w:rPr>
                <w:sz w:val="19"/>
              </w:rPr>
            </w:pPr>
            <w:r>
              <w:rPr>
                <w:sz w:val="19"/>
              </w:rPr>
              <w:t>22 Dec 2006 p. 5804</w:t>
            </w:r>
          </w:p>
        </w:tc>
        <w:tc>
          <w:tcPr>
            <w:tcW w:w="2693" w:type="dxa"/>
            <w:tcBorders>
              <w:bottom w:val="single" w:sz="8" w:space="0" w:color="auto"/>
            </w:tcBorders>
          </w:tcPr>
          <w:p>
            <w:pPr>
              <w:pStyle w:val="nTable"/>
              <w:spacing w:after="40"/>
              <w:rPr>
                <w:sz w:val="19"/>
              </w:rPr>
            </w:pPr>
            <w:r>
              <w:rPr>
                <w:sz w:val="19"/>
              </w:rPr>
              <w:t xml:space="preserve">1 Jan 2007 (see r. 2 and </w:t>
            </w:r>
            <w:r>
              <w:rPr>
                <w:i/>
                <w:sz w:val="19"/>
              </w:rPr>
              <w:t>Gazette</w:t>
            </w:r>
            <w:r>
              <w:rPr>
                <w:iCs/>
                <w:sz w:val="19"/>
              </w:rPr>
              <w:t xml:space="preserve"> 8 Dec 2006 p. 5369)</w:t>
            </w:r>
          </w:p>
        </w:tc>
      </w:tr>
    </w:tbl>
    <w:p>
      <w:pPr>
        <w:pStyle w:val="nSubsection"/>
      </w:pPr>
      <w:bookmarkStart w:id="565" w:name="UpToHere"/>
      <w:bookmarkEnd w:id="565"/>
      <w:r>
        <w:rPr>
          <w:vertAlign w:val="superscript"/>
        </w:rPr>
        <w:t>2</w:t>
      </w:r>
      <w:r>
        <w:tab/>
        <w:t xml:space="preserve">The </w:t>
      </w:r>
      <w:r>
        <w:rPr>
          <w:i/>
        </w:rPr>
        <w:t>Land Act 1933</w:t>
      </w:r>
      <w:r>
        <w:t xml:space="preserve"> was repealed by the </w:t>
      </w:r>
      <w:r>
        <w:rPr>
          <w:i/>
        </w:rPr>
        <w:t>Land Administration Act 1997</w:t>
      </w:r>
      <w:r>
        <w:t xml:space="preserve"> (No. 30 of 1997) s. 281(1).</w:t>
      </w:r>
    </w:p>
    <w:p>
      <w:pPr>
        <w:pStyle w:val="nSubsection"/>
      </w:pPr>
      <w:r>
        <w:rPr>
          <w:vertAlign w:val="superscript"/>
        </w:rPr>
        <w:t>3</w:t>
      </w:r>
      <w:r>
        <w:tab/>
        <w:t xml:space="preserve">The </w:t>
      </w:r>
      <w:r>
        <w:rPr>
          <w:i/>
        </w:rPr>
        <w:t xml:space="preserve">Forest Regulations 1957 </w:t>
      </w:r>
      <w:r>
        <w:t>are repealed by regulation 153(1) of these regulations.</w:t>
      </w:r>
    </w:p>
    <w:p>
      <w:pPr>
        <w:pStyle w:val="nSubsection"/>
      </w:pPr>
      <w:r>
        <w:rPr>
          <w:vertAlign w:val="superscript"/>
        </w:rPr>
        <w:t>4</w:t>
      </w:r>
      <w:r>
        <w:tab/>
        <w:t xml:space="preserve">The </w:t>
      </w:r>
      <w:r>
        <w:rPr>
          <w:i/>
        </w:rPr>
        <w:t>Forest Diseases Regulations 1975</w:t>
      </w:r>
      <w:r>
        <w:t xml:space="preserve"> are repealed by regulation 153(2) of these regulations.</w:t>
      </w:r>
    </w:p>
    <w:p>
      <w:pPr>
        <w:pStyle w:val="nSubsection"/>
      </w:pPr>
      <w:r>
        <w:rPr>
          <w:vertAlign w:val="superscript"/>
        </w:rPr>
        <w:t>5</w:t>
      </w:r>
      <w:r>
        <w:tab/>
        <w:t xml:space="preserve">The </w:t>
      </w:r>
      <w:r>
        <w:rPr>
          <w:i/>
        </w:rPr>
        <w:t>Conservation and Land Management Regulations 2002</w:t>
      </w:r>
      <w:r>
        <w:t xml:space="preserve"> r. 116 reads as follows:</w:t>
      </w:r>
    </w:p>
    <w:p>
      <w:pPr>
        <w:pStyle w:val="MiscOpen"/>
      </w:pPr>
      <w:r>
        <w:t>“</w:t>
      </w:r>
    </w:p>
    <w:p>
      <w:pPr>
        <w:pStyle w:val="nzHeading5"/>
        <w:rPr>
          <w:snapToGrid w:val="0"/>
        </w:rPr>
      </w:pPr>
      <w:bookmarkStart w:id="566" w:name="_Toc5508229"/>
      <w:bookmarkStart w:id="567" w:name="_Toc8119197"/>
      <w:bookmarkStart w:id="568" w:name="_Toc8119455"/>
      <w:r>
        <w:rPr>
          <w:snapToGrid w:val="0"/>
        </w:rPr>
        <w:t>116.</w:t>
      </w:r>
      <w:r>
        <w:rPr>
          <w:snapToGrid w:val="0"/>
        </w:rPr>
        <w:tab/>
        <w:t>Saving</w:t>
      </w:r>
      <w:bookmarkEnd w:id="566"/>
      <w:bookmarkEnd w:id="567"/>
      <w:bookmarkEnd w:id="568"/>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 xml:space="preserve">In particular, and without limiting the generality of subregulations (2) and (3), those subregulations apply to —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 xml:space="preserve">In subregulation (1) — </w:t>
      </w:r>
    </w:p>
    <w:p>
      <w:pPr>
        <w:pStyle w:val="nzDefstart"/>
      </w:pPr>
      <w:r>
        <w:tab/>
      </w:r>
      <w:r>
        <w:rPr>
          <w:rStyle w:val="CharDefText"/>
        </w:rPr>
        <w:t>former provision</w:t>
      </w:r>
      <w:r>
        <w:t xml:space="preserve"> means a provision repealed by regulation 114 or 115.</w:t>
      </w:r>
    </w:p>
    <w:p>
      <w:pPr>
        <w:pStyle w:val="MiscClose"/>
      </w:pPr>
      <w:r>
        <w:t>”.</w:t>
      </w:r>
    </w:p>
    <w:p/>
    <w:p>
      <w:pPr>
        <w:sectPr>
          <w:headerReference w:type="even" r:id="rId47"/>
          <w:headerReference w:type="default" r:id="rId48"/>
          <w:headerReference w:type="first" r:id="rId49"/>
          <w:pgSz w:w="11906" w:h="16838" w:code="9"/>
          <w:pgMar w:top="2376" w:right="2404" w:bottom="3544" w:left="2404" w:header="720" w:footer="3380" w:gutter="0"/>
          <w:cols w:space="720"/>
          <w:noEndnote/>
          <w:docGrid w:linePitch="326"/>
        </w:sectPr>
      </w:pPr>
    </w:p>
    <w:p/>
    <w:sectPr>
      <w:headerReference w:type="even" r:id="rId50"/>
      <w:headerReference w:type="default" r:id="rId5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01-d0-08</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01-d0-08</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1CFB1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1AC210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9506A2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F769ADC"/>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E8679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75C1A4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47C55E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D9A06B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19A72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024CB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95C4FA6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85AC00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404441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0FCB6A6"/>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40832"/>
    <w:docVar w:name="WAFER_20151211140832" w:val="RemoveTrackChanges"/>
    <w:docVar w:name="WAFER_20151211140832_GUID" w:val="4a514b6b-9bc5-4ee1-b9e9-b2e159ac060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7.png"/><Relationship Id="rId39" Type="http://schemas.openxmlformats.org/officeDocument/2006/relationships/header" Target="header7.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image" Target="media/image15.png"/><Relationship Id="rId42" Type="http://schemas.openxmlformats.org/officeDocument/2006/relationships/header" Target="header8.xml"/><Relationship Id="rId47" Type="http://schemas.openxmlformats.org/officeDocument/2006/relationships/header" Target="header12.xml"/><Relationship Id="rId50"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header" Target="header6.xml"/><Relationship Id="rId46"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wmf"/><Relationship Id="rId29" Type="http://schemas.openxmlformats.org/officeDocument/2006/relationships/image" Target="media/image10.png"/><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footer" Target="footer7.xml"/><Relationship Id="rId45" Type="http://schemas.openxmlformats.org/officeDocument/2006/relationships/header" Target="header10.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header" Target="header14.xml"/><Relationship Id="rId10" Type="http://schemas.openxmlformats.org/officeDocument/2006/relationships/footer" Target="footer1.xml"/><Relationship Id="rId19" Type="http://schemas.openxmlformats.org/officeDocument/2006/relationships/image" Target="media/image1.png"/><Relationship Id="rId31" Type="http://schemas.openxmlformats.org/officeDocument/2006/relationships/image" Target="media/image12.png"/><Relationship Id="rId44" Type="http://schemas.openxmlformats.org/officeDocument/2006/relationships/header" Target="header9.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footer" Target="footer9.xml"/><Relationship Id="rId48" Type="http://schemas.openxmlformats.org/officeDocument/2006/relationships/header" Target="header13.xml"/><Relationship Id="rId8" Type="http://schemas.openxmlformats.org/officeDocument/2006/relationships/header" Target="header1.xml"/><Relationship Id="rId5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102</Pages>
  <Words>21569</Words>
  <Characters>103319</Characters>
  <Application>Microsoft Office Word</Application>
  <DocSecurity>0</DocSecurity>
  <Lines>3038</Lines>
  <Paragraphs>1892</Paragraphs>
  <ScaleCrop>false</ScaleCrop>
  <HeadingPairs>
    <vt:vector size="2" baseType="variant">
      <vt:variant>
        <vt:lpstr>Title</vt:lpstr>
      </vt:variant>
      <vt:variant>
        <vt:i4>1</vt:i4>
      </vt:variant>
    </vt:vector>
  </HeadingPairs>
  <TitlesOfParts>
    <vt:vector size="1" baseType="lpstr">
      <vt:lpstr>Forest Management Regulations 1993</vt:lpstr>
    </vt:vector>
  </TitlesOfParts>
  <Manager/>
  <Company/>
  <LinksUpToDate>false</LinksUpToDate>
  <CharactersWithSpaces>122996</CharactersWithSpaces>
  <SharedDoc>false</SharedDoc>
  <HLinks>
    <vt:vector size="102" baseType="variant">
      <vt:variant>
        <vt:i4>8257639</vt:i4>
      </vt:variant>
      <vt:variant>
        <vt:i4>84400</vt:i4>
      </vt:variant>
      <vt:variant>
        <vt:i4>1025</vt:i4>
      </vt:variant>
      <vt:variant>
        <vt:i4>1</vt:i4>
      </vt:variant>
      <vt:variant>
        <vt:lpwstr>Forest1</vt:lpwstr>
      </vt:variant>
      <vt:variant>
        <vt:lpwstr/>
      </vt:variant>
      <vt:variant>
        <vt:i4>8257639</vt:i4>
      </vt:variant>
      <vt:variant>
        <vt:i4>84430</vt:i4>
      </vt:variant>
      <vt:variant>
        <vt:i4>1026</vt:i4>
      </vt:variant>
      <vt:variant>
        <vt:i4>1</vt:i4>
      </vt:variant>
      <vt:variant>
        <vt:lpwstr>Forest3</vt:lpwstr>
      </vt:variant>
      <vt:variant>
        <vt:lpwstr/>
      </vt:variant>
      <vt:variant>
        <vt:i4>8257639</vt:i4>
      </vt:variant>
      <vt:variant>
        <vt:i4>84432</vt:i4>
      </vt:variant>
      <vt:variant>
        <vt:i4>1027</vt:i4>
      </vt:variant>
      <vt:variant>
        <vt:i4>1</vt:i4>
      </vt:variant>
      <vt:variant>
        <vt:lpwstr>Forest4</vt:lpwstr>
      </vt:variant>
      <vt:variant>
        <vt:lpwstr/>
      </vt:variant>
      <vt:variant>
        <vt:i4>8257639</vt:i4>
      </vt:variant>
      <vt:variant>
        <vt:i4>84434</vt:i4>
      </vt:variant>
      <vt:variant>
        <vt:i4>1028</vt:i4>
      </vt:variant>
      <vt:variant>
        <vt:i4>1</vt:i4>
      </vt:variant>
      <vt:variant>
        <vt:lpwstr>Forest5</vt:lpwstr>
      </vt:variant>
      <vt:variant>
        <vt:lpwstr/>
      </vt:variant>
      <vt:variant>
        <vt:i4>8257639</vt:i4>
      </vt:variant>
      <vt:variant>
        <vt:i4>84436</vt:i4>
      </vt:variant>
      <vt:variant>
        <vt:i4>1029</vt:i4>
      </vt:variant>
      <vt:variant>
        <vt:i4>1</vt:i4>
      </vt:variant>
      <vt:variant>
        <vt:lpwstr>Forest6</vt:lpwstr>
      </vt:variant>
      <vt:variant>
        <vt:lpwstr/>
      </vt:variant>
      <vt:variant>
        <vt:i4>8257639</vt:i4>
      </vt:variant>
      <vt:variant>
        <vt:i4>84438</vt:i4>
      </vt:variant>
      <vt:variant>
        <vt:i4>1030</vt:i4>
      </vt:variant>
      <vt:variant>
        <vt:i4>1</vt:i4>
      </vt:variant>
      <vt:variant>
        <vt:lpwstr>Forest7</vt:lpwstr>
      </vt:variant>
      <vt:variant>
        <vt:lpwstr/>
      </vt:variant>
      <vt:variant>
        <vt:i4>8257639</vt:i4>
      </vt:variant>
      <vt:variant>
        <vt:i4>84440</vt:i4>
      </vt:variant>
      <vt:variant>
        <vt:i4>1031</vt:i4>
      </vt:variant>
      <vt:variant>
        <vt:i4>1</vt:i4>
      </vt:variant>
      <vt:variant>
        <vt:lpwstr>Forest8</vt:lpwstr>
      </vt:variant>
      <vt:variant>
        <vt:lpwstr/>
      </vt:variant>
      <vt:variant>
        <vt:i4>8257639</vt:i4>
      </vt:variant>
      <vt:variant>
        <vt:i4>84442</vt:i4>
      </vt:variant>
      <vt:variant>
        <vt:i4>1032</vt:i4>
      </vt:variant>
      <vt:variant>
        <vt:i4>1</vt:i4>
      </vt:variant>
      <vt:variant>
        <vt:lpwstr>Forest9</vt:lpwstr>
      </vt:variant>
      <vt:variant>
        <vt:lpwstr/>
      </vt:variant>
      <vt:variant>
        <vt:i4>5111894</vt:i4>
      </vt:variant>
      <vt:variant>
        <vt:i4>84444</vt:i4>
      </vt:variant>
      <vt:variant>
        <vt:i4>1033</vt:i4>
      </vt:variant>
      <vt:variant>
        <vt:i4>1</vt:i4>
      </vt:variant>
      <vt:variant>
        <vt:lpwstr>Forest10</vt:lpwstr>
      </vt:variant>
      <vt:variant>
        <vt:lpwstr/>
      </vt:variant>
      <vt:variant>
        <vt:i4>8257639</vt:i4>
      </vt:variant>
      <vt:variant>
        <vt:i4>84814</vt:i4>
      </vt:variant>
      <vt:variant>
        <vt:i4>1034</vt:i4>
      </vt:variant>
      <vt:variant>
        <vt:i4>1</vt:i4>
      </vt:variant>
      <vt:variant>
        <vt:lpwstr>forest2</vt:lpwstr>
      </vt:variant>
      <vt:variant>
        <vt:lpwstr/>
      </vt:variant>
      <vt:variant>
        <vt:i4>8257639</vt:i4>
      </vt:variant>
      <vt:variant>
        <vt:i4>84896</vt:i4>
      </vt:variant>
      <vt:variant>
        <vt:i4>1035</vt:i4>
      </vt:variant>
      <vt:variant>
        <vt:i4>1</vt:i4>
      </vt:variant>
      <vt:variant>
        <vt:lpwstr>forest3</vt:lpwstr>
      </vt:variant>
      <vt:variant>
        <vt:lpwstr/>
      </vt:variant>
      <vt:variant>
        <vt:i4>8257639</vt:i4>
      </vt:variant>
      <vt:variant>
        <vt:i4>84960</vt:i4>
      </vt:variant>
      <vt:variant>
        <vt:i4>1036</vt:i4>
      </vt:variant>
      <vt:variant>
        <vt:i4>1</vt:i4>
      </vt:variant>
      <vt:variant>
        <vt:lpwstr>forest4</vt:lpwstr>
      </vt:variant>
      <vt:variant>
        <vt:lpwstr/>
      </vt:variant>
      <vt:variant>
        <vt:i4>4849750</vt:i4>
      </vt:variant>
      <vt:variant>
        <vt:i4>85120</vt:i4>
      </vt:variant>
      <vt:variant>
        <vt:i4>1037</vt:i4>
      </vt:variant>
      <vt:variant>
        <vt:i4>1</vt:i4>
      </vt:variant>
      <vt:variant>
        <vt:lpwstr>Forest14</vt:lpwstr>
      </vt:variant>
      <vt:variant>
        <vt:lpwstr/>
      </vt:variant>
      <vt:variant>
        <vt:i4>4915286</vt:i4>
      </vt:variant>
      <vt:variant>
        <vt:i4>85122</vt:i4>
      </vt:variant>
      <vt:variant>
        <vt:i4>1038</vt:i4>
      </vt:variant>
      <vt:variant>
        <vt:i4>1</vt:i4>
      </vt:variant>
      <vt:variant>
        <vt:lpwstr>Forest15</vt:lpwstr>
      </vt:variant>
      <vt:variant>
        <vt:lpwstr/>
      </vt:variant>
      <vt:variant>
        <vt:i4>4718678</vt:i4>
      </vt:variant>
      <vt:variant>
        <vt:i4>85125</vt:i4>
      </vt:variant>
      <vt:variant>
        <vt:i4>1039</vt:i4>
      </vt:variant>
      <vt:variant>
        <vt:i4>1</vt:i4>
      </vt:variant>
      <vt:variant>
        <vt:lpwstr>Forest16</vt:lpwstr>
      </vt:variant>
      <vt:variant>
        <vt:lpwstr/>
      </vt:variant>
      <vt:variant>
        <vt:i4>4784214</vt:i4>
      </vt:variant>
      <vt:variant>
        <vt:i4>85127</vt:i4>
      </vt:variant>
      <vt:variant>
        <vt:i4>1040</vt:i4>
      </vt:variant>
      <vt:variant>
        <vt:i4>1</vt:i4>
      </vt:variant>
      <vt:variant>
        <vt:lpwstr>Forest17</vt:lpwstr>
      </vt:variant>
      <vt:variant>
        <vt:lpwstr/>
      </vt:variant>
      <vt:variant>
        <vt:i4>4587606</vt:i4>
      </vt:variant>
      <vt:variant>
        <vt:i4>85129</vt:i4>
      </vt:variant>
      <vt:variant>
        <vt:i4>1041</vt:i4>
      </vt:variant>
      <vt:variant>
        <vt:i4>1</vt:i4>
      </vt:variant>
      <vt:variant>
        <vt:lpwstr>Forest18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Management Regulations 1993 - 01-d0-08</dc:title>
  <dc:subject/>
  <dc:creator/>
  <cp:keywords/>
  <dc:description/>
  <cp:lastModifiedBy>svcMRProcess</cp:lastModifiedBy>
  <cp:revision>4</cp:revision>
  <cp:lastPrinted>1999-09-29T03:22:00Z</cp:lastPrinted>
  <dcterms:created xsi:type="dcterms:W3CDTF">2020-02-20T08:32:00Z</dcterms:created>
  <dcterms:modified xsi:type="dcterms:W3CDTF">2020-02-20T08:32:00Z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February 1993 pp.1119-1201</vt:lpwstr>
  </property>
  <property fmtid="{D5CDD505-2E9C-101B-9397-08002B2CF9AE}" pid="3" name="CommencementDate">
    <vt:lpwstr>20070101</vt:lpwstr>
  </property>
  <property fmtid="{D5CDD505-2E9C-101B-9397-08002B2CF9AE}" pid="4" name="DocumentType">
    <vt:lpwstr>Reg</vt:lpwstr>
  </property>
  <property fmtid="{D5CDD505-2E9C-101B-9397-08002B2CF9AE}" pid="5" name="OwlsUID">
    <vt:i4>4453</vt:i4>
  </property>
  <property fmtid="{D5CDD505-2E9C-101B-9397-08002B2CF9AE}" pid="6" name="AsAtDate">
    <vt:lpwstr>01 Jan 2007</vt:lpwstr>
  </property>
  <property fmtid="{D5CDD505-2E9C-101B-9397-08002B2CF9AE}" pid="7" name="Suffix">
    <vt:lpwstr>01-d0-08</vt:lpwstr>
  </property>
</Properties>
</file>