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_Toc157837367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_Toc157837368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_Toc157837369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_Toc157837370 \h </w:instrText>
      </w:r>
      <w:r>
        <w:fldChar w:fldCharType="separate"/>
      </w:r>
      <w:r>
        <w:t>3</w:t>
      </w:r>
      <w:r>
        <w:fldChar w:fldCharType="end"/>
      </w:r>
    </w:p>
    <w:p>
      <w:pPr>
        <w:pStyle w:val="TOC2"/>
        <w:tabs>
          <w:tab w:val="right" w:leader="dot" w:pos="7086"/>
        </w:tabs>
        <w:rPr>
          <w:b w:val="0"/>
          <w:sz w:val="24"/>
          <w:szCs w:val="24"/>
        </w:rPr>
      </w:pPr>
      <w:r>
        <w:rPr>
          <w:szCs w:val="30"/>
        </w:rPr>
        <w:t>Part 3 — The Coal Industry Superannuation Board</w:t>
      </w:r>
    </w:p>
    <w:p>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_Toc157837372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_Toc157837373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_Toc157837374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_Toc157837375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_Toc157837376 \h </w:instrText>
      </w:r>
      <w:r>
        <w:fldChar w:fldCharType="separate"/>
      </w:r>
      <w:r>
        <w:t>12</w:t>
      </w:r>
      <w:r>
        <w:fldChar w:fldCharType="end"/>
      </w:r>
    </w:p>
    <w:p>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_Toc157837377 \h </w:instrText>
      </w:r>
      <w:r>
        <w:fldChar w:fldCharType="separate"/>
      </w:r>
      <w:r>
        <w:t>12</w:t>
      </w:r>
      <w:r>
        <w:fldChar w:fldCharType="end"/>
      </w:r>
    </w:p>
    <w:p>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_Toc157837378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_Toc157837379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_Toc157837380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_Toc157837381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_Toc157837382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_Toc157837383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_Toc157837384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to make determinations</w:t>
      </w:r>
      <w:r>
        <w:tab/>
      </w:r>
      <w:r>
        <w:fldChar w:fldCharType="begin"/>
      </w:r>
      <w:r>
        <w:instrText xml:space="preserve"> PAGEREF _Toc157837385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_Toc157837386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_Toc157837387 \h </w:instrText>
      </w:r>
      <w:r>
        <w:fldChar w:fldCharType="separate"/>
      </w:r>
      <w:r>
        <w:t>16</w:t>
      </w:r>
      <w:r>
        <w:fldChar w:fldCharType="end"/>
      </w:r>
    </w:p>
    <w:p>
      <w:pPr>
        <w:pStyle w:val="TOC8"/>
        <w:rPr>
          <w:sz w:val="24"/>
          <w:szCs w:val="24"/>
        </w:rPr>
      </w:pPr>
      <w:r>
        <w:rPr>
          <w:szCs w:val="24"/>
        </w:rPr>
        <w:t>20.</w:t>
      </w:r>
      <w:r>
        <w:rPr>
          <w:szCs w:val="24"/>
        </w:rPr>
        <w:tab/>
        <w:t>Appointment of actuary</w:t>
      </w:r>
      <w:r>
        <w:tab/>
      </w:r>
      <w:r>
        <w:fldChar w:fldCharType="begin"/>
      </w:r>
      <w:r>
        <w:instrText xml:space="preserve"> PAGEREF _Toc157837388 \h </w:instrText>
      </w:r>
      <w:r>
        <w:fldChar w:fldCharType="separate"/>
      </w:r>
      <w:r>
        <w:t>16</w:t>
      </w:r>
      <w:r>
        <w:fldChar w:fldCharType="end"/>
      </w:r>
    </w:p>
    <w:p>
      <w:pPr>
        <w:pStyle w:val="TOC8"/>
        <w:rPr>
          <w:sz w:val="24"/>
          <w:szCs w:val="24"/>
        </w:rPr>
      </w:pPr>
      <w:r>
        <w:rPr>
          <w:szCs w:val="24"/>
        </w:rPr>
        <w:lastRenderedPageBreak/>
        <w:t>21</w:t>
      </w:r>
      <w:r>
        <w:rPr>
          <w:snapToGrid w:val="0"/>
          <w:szCs w:val="24"/>
        </w:rPr>
        <w:t>.</w:t>
      </w:r>
      <w:r>
        <w:rPr>
          <w:snapToGrid w:val="0"/>
          <w:szCs w:val="24"/>
        </w:rPr>
        <w:tab/>
        <w:t>Officers of the Board</w:t>
      </w:r>
      <w:r>
        <w:tab/>
      </w:r>
      <w:r>
        <w:fldChar w:fldCharType="begin"/>
      </w:r>
      <w:r>
        <w:instrText xml:space="preserve"> PAGEREF _Toc157837389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_Toc157837390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_Toc157837391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_Toc157837392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_Toc157837393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_Toc157837394 \h </w:instrText>
      </w:r>
      <w:r>
        <w:fldChar w:fldCharType="separate"/>
      </w:r>
      <w:r>
        <w:t>19</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_Toc157837396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_Toc157837397 \h </w:instrText>
      </w:r>
      <w:r>
        <w:fldChar w:fldCharType="separate"/>
      </w:r>
      <w:r>
        <w:t>20</w:t>
      </w:r>
      <w:r>
        <w:fldChar w:fldCharType="end"/>
      </w:r>
    </w:p>
    <w:p>
      <w:pPr>
        <w:pStyle w:val="TOC8"/>
        <w:rPr>
          <w:sz w:val="24"/>
          <w:szCs w:val="24"/>
        </w:rPr>
      </w:pPr>
      <w:r>
        <w:rPr>
          <w:szCs w:val="24"/>
        </w:rPr>
        <w:t>29A.</w:t>
      </w:r>
      <w:r>
        <w:rPr>
          <w:szCs w:val="24"/>
        </w:rPr>
        <w:tab/>
      </w:r>
      <w:r>
        <w:rPr>
          <w:i/>
          <w:iCs/>
          <w:szCs w:val="24"/>
        </w:rPr>
        <w:t>Unclaimed Money Act 1990</w:t>
      </w:r>
      <w:r>
        <w:rPr>
          <w:szCs w:val="24"/>
        </w:rPr>
        <w:t xml:space="preserve"> does not apply to unclaimed benefits</w:t>
      </w:r>
      <w:r>
        <w:tab/>
      </w:r>
      <w:r>
        <w:fldChar w:fldCharType="begin"/>
      </w:r>
      <w:r>
        <w:instrText xml:space="preserve"> PAGEREF _Toc157837398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_Toc157837399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_Toc157837400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_Toc157837401 \h </w:instrText>
      </w:r>
      <w:r>
        <w:fldChar w:fldCharType="separate"/>
      </w:r>
      <w:r>
        <w:t>22</w:t>
      </w:r>
      <w:r>
        <w:fldChar w:fldCharType="end"/>
      </w:r>
    </w:p>
    <w:p>
      <w:pPr>
        <w:pStyle w:val="TOC2"/>
        <w:tabs>
          <w:tab w:val="right" w:leader="dot" w:pos="7086"/>
        </w:tabs>
        <w:rPr>
          <w:b w:val="0"/>
          <w:sz w:val="24"/>
          <w:szCs w:val="24"/>
        </w:rPr>
      </w:pPr>
      <w:r>
        <w:rPr>
          <w:szCs w:val="30"/>
        </w:rPr>
        <w:t>Part 5 — Consequential, repeal and transitional provisions</w:t>
      </w:r>
    </w:p>
    <w:p>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_Toc157837403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Employers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_Toc157837408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Elections</w:t>
      </w:r>
      <w:r>
        <w:tab/>
      </w:r>
      <w:r>
        <w:fldChar w:fldCharType="begin"/>
      </w:r>
      <w:r>
        <w:instrText xml:space="preserve"> PAGEREF _Toc157837409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Appointments</w:t>
      </w:r>
      <w:r>
        <w:tab/>
      </w:r>
      <w:r>
        <w:fldChar w:fldCharType="begin"/>
      </w:r>
      <w:r>
        <w:instrText xml:space="preserve"> PAGEREF _Toc157837410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t>Terms of office</w:t>
      </w:r>
      <w:r>
        <w:tab/>
      </w:r>
      <w:r>
        <w:fldChar w:fldCharType="begin"/>
      </w:r>
      <w:r>
        <w:instrText xml:space="preserve"> PAGEREF _Toc157837411 \h </w:instrText>
      </w:r>
      <w:r>
        <w:fldChar w:fldCharType="separate"/>
      </w:r>
      <w:r>
        <w:t>26</w:t>
      </w:r>
      <w:r>
        <w:fldChar w:fldCharType="end"/>
      </w:r>
    </w:p>
    <w:p>
      <w:pPr>
        <w:pStyle w:val="TOC8"/>
        <w:rPr>
          <w:sz w:val="24"/>
          <w:szCs w:val="24"/>
        </w:rPr>
      </w:pPr>
      <w:r>
        <w:rPr>
          <w:szCs w:val="22"/>
        </w:rPr>
        <w:t>5</w:t>
      </w:r>
      <w:r>
        <w:rPr>
          <w:snapToGrid w:val="0"/>
          <w:szCs w:val="22"/>
        </w:rPr>
        <w:t>.</w:t>
      </w:r>
      <w:r>
        <w:rPr>
          <w:snapToGrid w:val="0"/>
          <w:szCs w:val="22"/>
        </w:rPr>
        <w:tab/>
        <w:t>Publication</w:t>
      </w:r>
      <w:r>
        <w:tab/>
      </w:r>
      <w:r>
        <w:fldChar w:fldCharType="begin"/>
      </w:r>
      <w:r>
        <w:instrText xml:space="preserve"> PAGEREF _Toc157837412 \h </w:instrText>
      </w:r>
      <w:r>
        <w:fldChar w:fldCharType="separate"/>
      </w:r>
      <w:r>
        <w:t>28</w:t>
      </w:r>
      <w:r>
        <w:fldChar w:fldCharType="end"/>
      </w:r>
    </w:p>
    <w:p>
      <w:pPr>
        <w:pStyle w:val="TOC8"/>
        <w:rPr>
          <w:sz w:val="24"/>
          <w:szCs w:val="24"/>
        </w:rPr>
      </w:pPr>
      <w:r>
        <w:rPr>
          <w:szCs w:val="22"/>
        </w:rPr>
        <w:t>6</w:t>
      </w:r>
      <w:r>
        <w:rPr>
          <w:snapToGrid w:val="0"/>
          <w:szCs w:val="22"/>
        </w:rPr>
        <w:t xml:space="preserve">. </w:t>
      </w:r>
      <w:r>
        <w:rPr>
          <w:snapToGrid w:val="0"/>
          <w:szCs w:val="22"/>
        </w:rPr>
        <w:tab/>
        <w:t>How vacancies occur</w:t>
      </w:r>
      <w:r>
        <w:tab/>
      </w:r>
      <w:r>
        <w:fldChar w:fldCharType="begin"/>
      </w:r>
      <w:r>
        <w:instrText xml:space="preserve"> PAGEREF _Toc157837413 \h </w:instrText>
      </w:r>
      <w:r>
        <w:fldChar w:fldCharType="separate"/>
      </w:r>
      <w:r>
        <w:t>28</w:t>
      </w:r>
      <w:r>
        <w:fldChar w:fldCharType="end"/>
      </w:r>
    </w:p>
    <w:p>
      <w:pPr>
        <w:pStyle w:val="TOC8"/>
        <w:rPr>
          <w:sz w:val="24"/>
          <w:szCs w:val="24"/>
        </w:rPr>
      </w:pPr>
      <w:r>
        <w:rPr>
          <w:szCs w:val="22"/>
        </w:rPr>
        <w:t>6A</w:t>
      </w:r>
      <w:r>
        <w:rPr>
          <w:snapToGrid w:val="0"/>
          <w:szCs w:val="22"/>
        </w:rPr>
        <w:t xml:space="preserve">. </w:t>
      </w:r>
      <w:r>
        <w:rPr>
          <w:snapToGrid w:val="0"/>
          <w:szCs w:val="22"/>
        </w:rPr>
        <w:tab/>
        <w:t>Vacancies to be filled within certain period</w:t>
      </w:r>
      <w:r>
        <w:tab/>
      </w:r>
      <w:r>
        <w:fldChar w:fldCharType="begin"/>
      </w:r>
      <w:r>
        <w:instrText xml:space="preserve"> PAGEREF _Toc157837414 \h </w:instrText>
      </w:r>
      <w:r>
        <w:fldChar w:fldCharType="separate"/>
      </w:r>
      <w:r>
        <w:t>29</w:t>
      </w:r>
      <w:r>
        <w:fldChar w:fldCharType="end"/>
      </w:r>
    </w:p>
    <w:p>
      <w:pPr>
        <w:pStyle w:val="TOC8"/>
        <w:rPr>
          <w:sz w:val="24"/>
          <w:szCs w:val="24"/>
        </w:rPr>
      </w:pPr>
      <w:r>
        <w:rPr>
          <w:szCs w:val="22"/>
        </w:rPr>
        <w:t>7</w:t>
      </w:r>
      <w:r>
        <w:rPr>
          <w:snapToGrid w:val="0"/>
          <w:szCs w:val="22"/>
        </w:rPr>
        <w:t xml:space="preserve">. </w:t>
      </w:r>
      <w:r>
        <w:rPr>
          <w:snapToGrid w:val="0"/>
          <w:szCs w:val="22"/>
        </w:rPr>
        <w:tab/>
        <w:t>Alternate members</w:t>
      </w:r>
      <w:r>
        <w:tab/>
      </w:r>
      <w:r>
        <w:fldChar w:fldCharType="begin"/>
      </w:r>
      <w:r>
        <w:instrText xml:space="preserve"> PAGEREF _Toc157837415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Meetings of the Board</w:t>
      </w:r>
      <w:r>
        <w:tab/>
      </w:r>
      <w:r>
        <w:fldChar w:fldCharType="begin"/>
      </w:r>
      <w:r>
        <w:instrText xml:space="preserve"> PAGEREF _Toc157837416 \h </w:instrText>
      </w:r>
      <w:r>
        <w:fldChar w:fldCharType="separate"/>
      </w:r>
      <w:r>
        <w:t>30</w:t>
      </w:r>
      <w:r>
        <w:fldChar w:fldCharType="end"/>
      </w:r>
    </w:p>
    <w:p>
      <w:pPr>
        <w:pStyle w:val="TOC8"/>
        <w:rPr>
          <w:sz w:val="24"/>
          <w:szCs w:val="24"/>
        </w:rPr>
      </w:pPr>
      <w:r>
        <w:rPr>
          <w:szCs w:val="22"/>
        </w:rPr>
        <w:t>10</w:t>
      </w:r>
      <w:r>
        <w:rPr>
          <w:snapToGrid w:val="0"/>
          <w:szCs w:val="22"/>
        </w:rPr>
        <w:t>.</w:t>
      </w:r>
      <w:r>
        <w:rPr>
          <w:snapToGrid w:val="0"/>
          <w:szCs w:val="22"/>
        </w:rPr>
        <w:tab/>
        <w:t>Performance of functions by resolution</w:t>
      </w:r>
      <w:r>
        <w:tab/>
      </w:r>
      <w:r>
        <w:fldChar w:fldCharType="begin"/>
      </w:r>
      <w:r>
        <w:instrText xml:space="preserve"> PAGEREF _Toc157837417 \h </w:instrText>
      </w:r>
      <w:r>
        <w:fldChar w:fldCharType="separate"/>
      </w:r>
      <w:r>
        <w:t>31</w:t>
      </w:r>
      <w:r>
        <w:fldChar w:fldCharType="end"/>
      </w:r>
    </w:p>
    <w:p>
      <w:pPr>
        <w:pStyle w:val="TOC8"/>
        <w:rPr>
          <w:sz w:val="24"/>
          <w:szCs w:val="24"/>
        </w:rPr>
      </w:pPr>
      <w:r>
        <w:rPr>
          <w:szCs w:val="22"/>
        </w:rPr>
        <w:t>11</w:t>
      </w:r>
      <w:r>
        <w:rPr>
          <w:snapToGrid w:val="0"/>
          <w:szCs w:val="22"/>
        </w:rPr>
        <w:t>.</w:t>
      </w:r>
      <w:r>
        <w:rPr>
          <w:snapToGrid w:val="0"/>
          <w:szCs w:val="22"/>
        </w:rPr>
        <w:tab/>
        <w:t>Disclosure of interest</w:t>
      </w:r>
      <w:r>
        <w:tab/>
      </w:r>
      <w:r>
        <w:fldChar w:fldCharType="begin"/>
      </w:r>
      <w:r>
        <w:instrText xml:space="preserve"> PAGEREF _Toc157837418 \h </w:instrText>
      </w:r>
      <w:r>
        <w:fldChar w:fldCharType="separate"/>
      </w:r>
      <w:r>
        <w:t>31</w:t>
      </w:r>
      <w:r>
        <w:fldChar w:fldCharType="end"/>
      </w:r>
    </w:p>
    <w:p>
      <w:pPr>
        <w:pStyle w:val="TOC8"/>
        <w:rPr>
          <w:sz w:val="24"/>
          <w:szCs w:val="24"/>
        </w:rPr>
      </w:pPr>
      <w:r>
        <w:rPr>
          <w:szCs w:val="22"/>
        </w:rPr>
        <w:t>12</w:t>
      </w:r>
      <w:r>
        <w:rPr>
          <w:snapToGrid w:val="0"/>
          <w:szCs w:val="22"/>
        </w:rPr>
        <w:t>.</w:t>
      </w:r>
      <w:r>
        <w:rPr>
          <w:snapToGrid w:val="0"/>
          <w:szCs w:val="22"/>
        </w:rPr>
        <w:tab/>
        <w:t>Common seal</w:t>
      </w:r>
      <w:r>
        <w:tab/>
      </w:r>
      <w:r>
        <w:fldChar w:fldCharType="begin"/>
      </w:r>
      <w:r>
        <w:instrText xml:space="preserve"> PAGEREF _Toc157837419 \h </w:instrText>
      </w:r>
      <w:r>
        <w:fldChar w:fldCharType="separate"/>
      </w:r>
      <w:r>
        <w:t>31</w:t>
      </w:r>
      <w:r>
        <w:fldChar w:fldCharType="end"/>
      </w:r>
    </w:p>
    <w:p>
      <w:pPr>
        <w:pStyle w:val="TOC8"/>
        <w:rPr>
          <w:sz w:val="24"/>
          <w:szCs w:val="24"/>
        </w:rPr>
      </w:pPr>
      <w:r>
        <w:rPr>
          <w:szCs w:val="22"/>
        </w:rPr>
        <w:t>13</w:t>
      </w:r>
      <w:r>
        <w:rPr>
          <w:snapToGrid w:val="0"/>
          <w:szCs w:val="22"/>
        </w:rPr>
        <w:t>.</w:t>
      </w:r>
      <w:r>
        <w:rPr>
          <w:snapToGrid w:val="0"/>
          <w:szCs w:val="22"/>
        </w:rPr>
        <w:tab/>
        <w:t>Allowances</w:t>
      </w:r>
      <w:r>
        <w:tab/>
      </w:r>
      <w:r>
        <w:fldChar w:fldCharType="begin"/>
      </w:r>
      <w:r>
        <w:instrText xml:space="preserve"> PAGEREF _Toc157837420 \h </w:instrText>
      </w:r>
      <w:r>
        <w:fldChar w:fldCharType="separate"/>
      </w:r>
      <w:r>
        <w:t>32</w:t>
      </w:r>
      <w:r>
        <w:fldChar w:fldCharType="end"/>
      </w:r>
    </w:p>
    <w:p>
      <w:pPr>
        <w:pStyle w:val="TOC8"/>
        <w:rPr>
          <w:sz w:val="24"/>
          <w:szCs w:val="24"/>
        </w:rPr>
      </w:pPr>
      <w:r>
        <w:rPr>
          <w:szCs w:val="22"/>
        </w:rPr>
        <w:t>14</w:t>
      </w:r>
      <w:r>
        <w:rPr>
          <w:snapToGrid w:val="0"/>
          <w:szCs w:val="22"/>
        </w:rPr>
        <w:t xml:space="preserve">. </w:t>
      </w:r>
      <w:r>
        <w:rPr>
          <w:snapToGrid w:val="0"/>
          <w:szCs w:val="22"/>
        </w:rPr>
        <w:tab/>
        <w:t>Protection from liability</w:t>
      </w:r>
      <w:r>
        <w:tab/>
      </w:r>
      <w:r>
        <w:fldChar w:fldCharType="begin"/>
      </w:r>
      <w:r>
        <w:instrText xml:space="preserve"> PAGEREF _Toc157837421 \h </w:instrText>
      </w:r>
      <w:r>
        <w:fldChar w:fldCharType="separate"/>
      </w:r>
      <w:r>
        <w:t>32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_Toc157837424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Reciprocating States</w:t>
      </w:r>
      <w:r>
        <w:tab/>
      </w:r>
      <w:r>
        <w:fldChar w:fldCharType="begin"/>
      </w:r>
      <w:r>
        <w:instrText xml:space="preserve"> PAGEREF _Toc157837425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_Toc157837427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Coal Industry Superannuation Act 1989 </w:t>
      </w:r>
    </w:p>
    <w:p>
      <w:pPr>
        <w:pStyle w:val="LongTitle"/>
      </w:pPr>
      <w:bookmarkStart w:id="1" w:name="_Toc135715607"/>
      <w:bookmarkStart w:id="2" w:name="_Toc135716386"/>
      <w:bookmarkStart w:id="3" w:name="_Toc135717490"/>
      <w:bookmarkStart w:id="4" w:name="_Toc135718295"/>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138666550"/>
      <w:bookmarkStart w:id="6" w:name="_Toc139699513"/>
      <w:bookmarkStart w:id="7" w:name="_Toc141493924"/>
      <w:bookmarkStart w:id="8" w:name="_Toc141679396"/>
      <w:bookmarkStart w:id="9" w:name="_Toc144178598"/>
      <w:bookmarkStart w:id="10" w:name="_Toc157837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180"/>
        <w:rPr>
          <w:snapToGrid w:val="0"/>
        </w:rPr>
      </w:pPr>
      <w:bookmarkStart w:id="11" w:name="_Toc494852064"/>
      <w:bookmarkStart w:id="12" w:name="_Toc501513259"/>
      <w:bookmarkStart w:id="13" w:name="_Toc157837367"/>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494852065"/>
      <w:bookmarkStart w:id="15" w:name="_Toc501513260"/>
      <w:bookmarkStart w:id="16" w:name="_Toc15783736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17" w:name="_Toc494852066"/>
      <w:bookmarkStart w:id="18" w:name="_Toc501513261"/>
      <w:bookmarkStart w:id="19" w:name="_Toc157837369"/>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spacing w:before="70"/>
      </w:pPr>
      <w:r>
        <w:rPr>
          <w:b/>
        </w:rPr>
        <w:tab/>
      </w:r>
      <w:r>
        <w:rPr>
          <w:rStyle w:val="CharDefText"/>
        </w:rPr>
        <w:t>employer</w:t>
      </w:r>
      <w:r>
        <w:t xml:space="preserve"> means an employer mentioned in Schedule 1;</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spacing w:before="70"/>
      </w:pPr>
      <w:r>
        <w:rPr>
          <w:b/>
        </w:rPr>
        <w:tab/>
      </w:r>
      <w:r>
        <w:rPr>
          <w:rStyle w:val="CharDefText"/>
        </w:rPr>
        <w:t>mine worker</w:t>
      </w:r>
      <w:r>
        <w:t xml:space="preserve"> means a person who is a mine worker under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r>
      <w:r>
        <w:rPr>
          <w:rStyle w:val="CharDefText"/>
        </w:rPr>
        <w:t>the actuary</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20" w:name="_Toc494852067"/>
      <w:bookmarkStart w:id="21" w:name="_Toc501513262"/>
      <w:bookmarkStart w:id="22" w:name="_Toc157837370"/>
      <w:r>
        <w:rPr>
          <w:rStyle w:val="CharSectno"/>
        </w:rPr>
        <w:t>4</w:t>
      </w:r>
      <w:r>
        <w:rPr>
          <w:snapToGrid w:val="0"/>
        </w:rPr>
        <w:t>.</w:t>
      </w:r>
      <w:r>
        <w:rPr>
          <w:snapToGrid w:val="0"/>
        </w:rPr>
        <w:tab/>
        <w:t>Mine worker</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t>Deleted by No. 16 of 2006 s. 4.]</w:t>
      </w:r>
    </w:p>
    <w:p>
      <w:pPr>
        <w:pStyle w:val="Ednotepart"/>
      </w:pPr>
      <w:r>
        <w:t>[Part 2 (s. 6) deleted by No. 46 of 1995 s. 6.]</w:t>
      </w:r>
    </w:p>
    <w:p>
      <w:pPr>
        <w:pStyle w:val="Heading2"/>
      </w:pPr>
      <w:bookmarkStart w:id="23" w:name="_Toc135715613"/>
      <w:bookmarkStart w:id="24" w:name="_Toc135716392"/>
      <w:bookmarkStart w:id="25" w:name="_Toc135717496"/>
      <w:bookmarkStart w:id="26" w:name="_Toc135718301"/>
      <w:bookmarkStart w:id="27" w:name="_Toc138666555"/>
      <w:bookmarkStart w:id="28" w:name="_Toc139699518"/>
      <w:bookmarkStart w:id="29" w:name="_Toc141493929"/>
      <w:bookmarkStart w:id="30" w:name="_Toc141679401"/>
      <w:bookmarkStart w:id="31" w:name="_Toc144178603"/>
      <w:bookmarkStart w:id="32" w:name="_Toc157837371"/>
      <w:r>
        <w:rPr>
          <w:rStyle w:val="CharPartNo"/>
        </w:rPr>
        <w:t>Part 3</w:t>
      </w:r>
      <w:r>
        <w:rPr>
          <w:rStyle w:val="CharDivNo"/>
        </w:rPr>
        <w:t> </w:t>
      </w:r>
      <w:r>
        <w:t>—</w:t>
      </w:r>
      <w:r>
        <w:rPr>
          <w:rStyle w:val="CharDivText"/>
        </w:rPr>
        <w:t> </w:t>
      </w:r>
      <w:r>
        <w:rPr>
          <w:rStyle w:val="CharPartText"/>
        </w:rPr>
        <w:t>The Coal Industry Superannuation Board</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94852069"/>
      <w:bookmarkStart w:id="34" w:name="_Toc501513264"/>
      <w:bookmarkStart w:id="35" w:name="_Toc157837372"/>
      <w:r>
        <w:rPr>
          <w:rStyle w:val="CharSectno"/>
        </w:rPr>
        <w:t>7</w:t>
      </w:r>
      <w:r>
        <w:rPr>
          <w:snapToGrid w:val="0"/>
        </w:rPr>
        <w:t>.</w:t>
      </w:r>
      <w:r>
        <w:rPr>
          <w:snapToGrid w:val="0"/>
        </w:rPr>
        <w:tab/>
        <w:t>Establishment of the Board</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 7.] </w:t>
      </w:r>
    </w:p>
    <w:p>
      <w:pPr>
        <w:pStyle w:val="Heading5"/>
        <w:rPr>
          <w:snapToGrid w:val="0"/>
        </w:rPr>
      </w:pPr>
      <w:bookmarkStart w:id="36" w:name="_Toc494852070"/>
      <w:bookmarkStart w:id="37" w:name="_Toc501513265"/>
      <w:bookmarkStart w:id="38" w:name="_Toc157837373"/>
      <w:r>
        <w:rPr>
          <w:rStyle w:val="CharSectno"/>
        </w:rPr>
        <w:t>8</w:t>
      </w:r>
      <w:r>
        <w:rPr>
          <w:snapToGrid w:val="0"/>
        </w:rPr>
        <w:t>.</w:t>
      </w:r>
      <w:r>
        <w:rPr>
          <w:snapToGrid w:val="0"/>
        </w:rPr>
        <w:tab/>
        <w:t>Constitution of the Board</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39" w:name="_Toc494852071"/>
      <w:bookmarkStart w:id="40" w:name="_Toc501513266"/>
      <w:bookmarkStart w:id="41" w:name="_Toc157837374"/>
      <w:r>
        <w:rPr>
          <w:rStyle w:val="CharSectno"/>
        </w:rPr>
        <w:t>9</w:t>
      </w:r>
      <w:r>
        <w:rPr>
          <w:snapToGrid w:val="0"/>
        </w:rPr>
        <w:t>.</w:t>
      </w:r>
      <w:r>
        <w:rPr>
          <w:snapToGrid w:val="0"/>
        </w:rPr>
        <w:tab/>
        <w:t>The Coal Industry Superannuation Fund</w:t>
      </w:r>
      <w:bookmarkEnd w:id="39"/>
      <w:bookmarkEnd w:id="40"/>
      <w:bookmarkEnd w:id="41"/>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42" w:name="_Toc494852072"/>
      <w:bookmarkStart w:id="43" w:name="_Toc501513267"/>
      <w:bookmarkStart w:id="44" w:name="_Toc157837375"/>
      <w:r>
        <w:rPr>
          <w:rStyle w:val="CharSectno"/>
        </w:rPr>
        <w:t>10</w:t>
      </w:r>
      <w:r>
        <w:rPr>
          <w:snapToGrid w:val="0"/>
        </w:rPr>
        <w:t>.</w:t>
      </w:r>
      <w:r>
        <w:rPr>
          <w:snapToGrid w:val="0"/>
        </w:rPr>
        <w:tab/>
        <w:t>Functions and general powers of the Board</w:t>
      </w:r>
      <w:bookmarkEnd w:id="42"/>
      <w:bookmarkEnd w:id="43"/>
      <w:bookmarkEnd w:id="44"/>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45" w:name="_Toc494852073"/>
      <w:bookmarkStart w:id="46" w:name="_Toc501513268"/>
      <w:bookmarkStart w:id="47" w:name="_Toc157837376"/>
      <w:r>
        <w:rPr>
          <w:rStyle w:val="CharSectno"/>
        </w:rPr>
        <w:t>10A</w:t>
      </w:r>
      <w:r>
        <w:rPr>
          <w:snapToGrid w:val="0"/>
        </w:rPr>
        <w:t xml:space="preserve">. </w:t>
      </w:r>
      <w:r>
        <w:rPr>
          <w:snapToGrid w:val="0"/>
        </w:rPr>
        <w:tab/>
        <w:t>Compliance with SIS Act</w:t>
      </w:r>
      <w:bookmarkEnd w:id="45"/>
      <w:bookmarkEnd w:id="46"/>
      <w:bookmarkEnd w:id="47"/>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48" w:name="_Toc494852074"/>
      <w:bookmarkStart w:id="49" w:name="_Toc501513269"/>
      <w:bookmarkStart w:id="50" w:name="_Toc157837377"/>
      <w:r>
        <w:rPr>
          <w:rStyle w:val="CharSectno"/>
        </w:rPr>
        <w:t>10AA</w:t>
      </w:r>
      <w:r>
        <w:rPr>
          <w:snapToGrid w:val="0"/>
        </w:rPr>
        <w:t xml:space="preserve">. </w:t>
      </w:r>
      <w:r>
        <w:rPr>
          <w:snapToGrid w:val="0"/>
        </w:rPr>
        <w:tab/>
        <w:t>Consent of Board to be obtained if required under SIS Act</w:t>
      </w:r>
      <w:bookmarkEnd w:id="48"/>
      <w:bookmarkEnd w:id="49"/>
      <w:bookmarkEnd w:id="50"/>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51" w:name="_Toc494852075"/>
      <w:bookmarkStart w:id="52" w:name="_Toc501513270"/>
      <w:bookmarkStart w:id="53" w:name="_Toc157837378"/>
      <w:r>
        <w:rPr>
          <w:rStyle w:val="CharSectno"/>
        </w:rPr>
        <w:t>10B</w:t>
      </w:r>
      <w:r>
        <w:rPr>
          <w:snapToGrid w:val="0"/>
        </w:rPr>
        <w:t xml:space="preserve">. </w:t>
      </w:r>
      <w:r>
        <w:rPr>
          <w:snapToGrid w:val="0"/>
        </w:rPr>
        <w:tab/>
        <w:t>Board may administer Long Service Leave Fund on behalf of Commonwealth</w:t>
      </w:r>
      <w:bookmarkEnd w:id="51"/>
      <w:r>
        <w:rPr>
          <w:snapToGrid w:val="0"/>
        </w:rPr>
        <w:t xml:space="preserve"> Corporation</w:t>
      </w:r>
      <w:bookmarkEnd w:id="52"/>
      <w:bookmarkEnd w:id="53"/>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r>
      <w:r>
        <w:rPr>
          <w:rStyle w:val="CharDefText"/>
        </w:rPr>
        <w:t>Long Service Leave Fund</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54" w:name="_Toc494852076"/>
      <w:bookmarkStart w:id="55" w:name="_Toc501513271"/>
      <w:bookmarkStart w:id="56" w:name="_Toc157837379"/>
      <w:r>
        <w:rPr>
          <w:rStyle w:val="CharSectno"/>
        </w:rPr>
        <w:t>11</w:t>
      </w:r>
      <w:r>
        <w:rPr>
          <w:snapToGrid w:val="0"/>
        </w:rPr>
        <w:t>.</w:t>
      </w:r>
      <w:r>
        <w:rPr>
          <w:snapToGrid w:val="0"/>
        </w:rPr>
        <w:tab/>
        <w:t>Power to invest</w:t>
      </w:r>
      <w:bookmarkEnd w:id="54"/>
      <w:bookmarkEnd w:id="55"/>
      <w:bookmarkEnd w:id="56"/>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57" w:name="_Toc494852077"/>
      <w:bookmarkStart w:id="58" w:name="_Toc501513272"/>
      <w:bookmarkStart w:id="59" w:name="_Toc157837380"/>
      <w:r>
        <w:rPr>
          <w:rStyle w:val="CharSectno"/>
        </w:rPr>
        <w:t>12</w:t>
      </w:r>
      <w:r>
        <w:rPr>
          <w:snapToGrid w:val="0"/>
        </w:rPr>
        <w:t>.</w:t>
      </w:r>
      <w:r>
        <w:rPr>
          <w:snapToGrid w:val="0"/>
        </w:rPr>
        <w:tab/>
        <w:t>Investment policy</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60" w:name="_Toc494852078"/>
      <w:bookmarkStart w:id="61" w:name="_Toc501513273"/>
      <w:bookmarkStart w:id="62" w:name="_Toc157837381"/>
      <w:r>
        <w:rPr>
          <w:rStyle w:val="CharSectno"/>
        </w:rPr>
        <w:t>13</w:t>
      </w:r>
      <w:r>
        <w:rPr>
          <w:snapToGrid w:val="0"/>
        </w:rPr>
        <w:t>.</w:t>
      </w:r>
      <w:r>
        <w:rPr>
          <w:snapToGrid w:val="0"/>
        </w:rPr>
        <w:tab/>
        <w:t>Power to insure</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63" w:name="_Toc494852079"/>
      <w:bookmarkStart w:id="64" w:name="_Toc501513274"/>
      <w:bookmarkStart w:id="65" w:name="_Toc157837382"/>
      <w:r>
        <w:rPr>
          <w:rStyle w:val="CharSectno"/>
        </w:rPr>
        <w:t>14</w:t>
      </w:r>
      <w:r>
        <w:rPr>
          <w:snapToGrid w:val="0"/>
        </w:rPr>
        <w:t>.</w:t>
      </w:r>
      <w:r>
        <w:rPr>
          <w:snapToGrid w:val="0"/>
        </w:rPr>
        <w:tab/>
        <w:t>Board to have powers of trustee</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66" w:name="_Toc494852080"/>
      <w:bookmarkStart w:id="67" w:name="_Toc501513275"/>
      <w:bookmarkStart w:id="68" w:name="_Toc157837383"/>
      <w:r>
        <w:rPr>
          <w:rStyle w:val="CharSectno"/>
        </w:rPr>
        <w:t>15</w:t>
      </w:r>
      <w:r>
        <w:rPr>
          <w:snapToGrid w:val="0"/>
        </w:rPr>
        <w:t>.</w:t>
      </w:r>
      <w:r>
        <w:rPr>
          <w:snapToGrid w:val="0"/>
        </w:rPr>
        <w:tab/>
        <w:t>Discretionary exercise of powers</w:t>
      </w:r>
      <w:bookmarkEnd w:id="66"/>
      <w:bookmarkEnd w:id="67"/>
      <w:bookmarkEnd w:id="68"/>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69" w:name="_Toc494852081"/>
      <w:bookmarkStart w:id="70" w:name="_Toc501513276"/>
      <w:bookmarkStart w:id="71" w:name="_Toc157837384"/>
      <w:r>
        <w:rPr>
          <w:rStyle w:val="CharSectno"/>
        </w:rPr>
        <w:t>16</w:t>
      </w:r>
      <w:r>
        <w:rPr>
          <w:snapToGrid w:val="0"/>
        </w:rPr>
        <w:t>.</w:t>
      </w:r>
      <w:r>
        <w:rPr>
          <w:snapToGrid w:val="0"/>
        </w:rPr>
        <w:tab/>
        <w:t>Delegation</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72" w:name="_Toc494852082"/>
      <w:bookmarkStart w:id="73" w:name="_Toc501513277"/>
      <w:bookmarkStart w:id="74" w:name="_Toc157837385"/>
      <w:r>
        <w:rPr>
          <w:rStyle w:val="CharSectno"/>
        </w:rPr>
        <w:t>17</w:t>
      </w:r>
      <w:r>
        <w:rPr>
          <w:snapToGrid w:val="0"/>
        </w:rPr>
        <w:t>.</w:t>
      </w:r>
      <w:r>
        <w:rPr>
          <w:snapToGrid w:val="0"/>
        </w:rPr>
        <w:tab/>
        <w:t>Power to make determinations</w:t>
      </w:r>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75" w:name="_Toc494852083"/>
      <w:bookmarkStart w:id="76" w:name="_Toc501513278"/>
      <w:bookmarkStart w:id="77" w:name="_Toc157837386"/>
      <w:r>
        <w:rPr>
          <w:rStyle w:val="CharSectno"/>
        </w:rPr>
        <w:t>18</w:t>
      </w:r>
      <w:r>
        <w:rPr>
          <w:snapToGrid w:val="0"/>
        </w:rPr>
        <w:t>.</w:t>
      </w:r>
      <w:r>
        <w:rPr>
          <w:snapToGrid w:val="0"/>
        </w:rPr>
        <w:tab/>
        <w:t>Appointment of investment managers</w:t>
      </w:r>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78" w:name="_Toc494852084"/>
      <w:bookmarkStart w:id="79" w:name="_Toc501513279"/>
      <w:bookmarkStart w:id="80" w:name="_Toc157837387"/>
      <w:r>
        <w:rPr>
          <w:rStyle w:val="CharSectno"/>
        </w:rPr>
        <w:t>19</w:t>
      </w:r>
      <w:r>
        <w:rPr>
          <w:snapToGrid w:val="0"/>
        </w:rPr>
        <w:t>.</w:t>
      </w:r>
      <w:r>
        <w:rPr>
          <w:snapToGrid w:val="0"/>
        </w:rPr>
        <w:tab/>
        <w:t>Appointment of Administration Manager</w:t>
      </w:r>
      <w:bookmarkEnd w:id="78"/>
      <w:bookmarkEnd w:id="79"/>
      <w:bookmarkEnd w:id="8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81" w:name="_Toc157837388"/>
      <w:bookmarkStart w:id="82" w:name="_Toc494852086"/>
      <w:bookmarkStart w:id="83" w:name="_Toc501513281"/>
      <w:r>
        <w:rPr>
          <w:rStyle w:val="CharSectno"/>
        </w:rPr>
        <w:t>20</w:t>
      </w:r>
      <w:r>
        <w:t>.</w:t>
      </w:r>
      <w:r>
        <w:tab/>
        <w:t>Appointment of actuary</w:t>
      </w:r>
      <w:bookmarkEnd w:id="81"/>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84" w:name="_Toc157837389"/>
      <w:r>
        <w:rPr>
          <w:rStyle w:val="CharSectno"/>
        </w:rPr>
        <w:t>21</w:t>
      </w:r>
      <w:r>
        <w:rPr>
          <w:snapToGrid w:val="0"/>
        </w:rPr>
        <w:t>.</w:t>
      </w:r>
      <w:r>
        <w:rPr>
          <w:snapToGrid w:val="0"/>
        </w:rPr>
        <w:tab/>
        <w:t>Officers of the Board</w:t>
      </w:r>
      <w:bookmarkEnd w:id="82"/>
      <w:bookmarkEnd w:id="83"/>
      <w:bookmarkEnd w:id="84"/>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85" w:name="_Toc494852088"/>
      <w:bookmarkStart w:id="86" w:name="_Toc501513283"/>
      <w:r>
        <w:t>[</w:t>
      </w:r>
      <w:r>
        <w:rPr>
          <w:b/>
          <w:bCs/>
        </w:rPr>
        <w:t>22.</w:t>
      </w:r>
      <w:r>
        <w:tab/>
        <w:t>Deleted by No. 16 of 2006 s. 9.]</w:t>
      </w:r>
    </w:p>
    <w:p>
      <w:pPr>
        <w:pStyle w:val="Heading5"/>
        <w:rPr>
          <w:snapToGrid w:val="0"/>
        </w:rPr>
      </w:pPr>
      <w:bookmarkStart w:id="87" w:name="_Toc157837390"/>
      <w:r>
        <w:rPr>
          <w:rStyle w:val="CharSectno"/>
        </w:rPr>
        <w:t>23</w:t>
      </w:r>
      <w:r>
        <w:rPr>
          <w:snapToGrid w:val="0"/>
        </w:rPr>
        <w:t>.</w:t>
      </w:r>
      <w:r>
        <w:rPr>
          <w:snapToGrid w:val="0"/>
        </w:rPr>
        <w:tab/>
        <w:t>Actuarial review</w:t>
      </w:r>
      <w:bookmarkEnd w:id="85"/>
      <w:bookmarkEnd w:id="86"/>
      <w:bookmarkEnd w:id="87"/>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88" w:name="_Toc494852089"/>
      <w:bookmarkStart w:id="89" w:name="_Toc501513284"/>
      <w:bookmarkStart w:id="90" w:name="_Toc157837391"/>
      <w:r>
        <w:rPr>
          <w:rStyle w:val="CharSectno"/>
        </w:rPr>
        <w:t>24</w:t>
      </w:r>
      <w:r>
        <w:rPr>
          <w:snapToGrid w:val="0"/>
        </w:rPr>
        <w:t>.</w:t>
      </w:r>
      <w:r>
        <w:rPr>
          <w:snapToGrid w:val="0"/>
        </w:rPr>
        <w:tab/>
        <w:t>Advice to the Board</w:t>
      </w:r>
      <w:bookmarkEnd w:id="88"/>
      <w:bookmarkEnd w:id="89"/>
      <w:bookmarkEnd w:id="90"/>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91" w:name="_Toc494852090"/>
      <w:bookmarkStart w:id="92" w:name="_Toc501513285"/>
      <w:bookmarkStart w:id="93" w:name="_Toc157837392"/>
      <w:r>
        <w:rPr>
          <w:rStyle w:val="CharSectno"/>
        </w:rPr>
        <w:t>25</w:t>
      </w:r>
      <w:r>
        <w:rPr>
          <w:snapToGrid w:val="0"/>
        </w:rPr>
        <w:t>.</w:t>
      </w:r>
      <w:r>
        <w:rPr>
          <w:snapToGrid w:val="0"/>
        </w:rPr>
        <w:tab/>
        <w:t>Records</w:t>
      </w:r>
      <w:bookmarkEnd w:id="91"/>
      <w:bookmarkEnd w:id="92"/>
      <w:bookmarkEnd w:id="9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94" w:name="_Toc494852091"/>
      <w:bookmarkStart w:id="95" w:name="_Toc501513286"/>
      <w:bookmarkStart w:id="96" w:name="_Toc157837393"/>
      <w:r>
        <w:rPr>
          <w:rStyle w:val="CharSectno"/>
        </w:rPr>
        <w:t>26</w:t>
      </w:r>
      <w:r>
        <w:rPr>
          <w:snapToGrid w:val="0"/>
        </w:rPr>
        <w:t>.</w:t>
      </w:r>
      <w:r>
        <w:rPr>
          <w:snapToGrid w:val="0"/>
        </w:rPr>
        <w:tab/>
        <w:t xml:space="preserve">Application of </w:t>
      </w:r>
      <w:bookmarkEnd w:id="94"/>
      <w:bookmarkEnd w:id="95"/>
      <w:r>
        <w:rPr>
          <w:i/>
          <w:iCs/>
        </w:rPr>
        <w:t>Financial Management Act 2006</w:t>
      </w:r>
      <w:r>
        <w:t xml:space="preserve"> and </w:t>
      </w:r>
      <w:r>
        <w:rPr>
          <w:i/>
          <w:iCs/>
        </w:rPr>
        <w:t>Auditor General Act 2006</w:t>
      </w:r>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97" w:name="_Toc494852092"/>
      <w:bookmarkStart w:id="98" w:name="_Toc501513287"/>
      <w:bookmarkStart w:id="99" w:name="_Toc157837394"/>
      <w:r>
        <w:rPr>
          <w:rStyle w:val="CharSectno"/>
        </w:rPr>
        <w:t>27</w:t>
      </w:r>
      <w:r>
        <w:rPr>
          <w:snapToGrid w:val="0"/>
        </w:rPr>
        <w:t>.</w:t>
      </w:r>
      <w:r>
        <w:rPr>
          <w:snapToGrid w:val="0"/>
        </w:rPr>
        <w:tab/>
        <w:t>Accounts of delegates</w:t>
      </w:r>
      <w:bookmarkEnd w:id="97"/>
      <w:bookmarkEnd w:id="98"/>
      <w:bookmarkEnd w:id="99"/>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100" w:name="_Toc135715638"/>
      <w:bookmarkStart w:id="101" w:name="_Toc135716417"/>
      <w:bookmarkStart w:id="102" w:name="_Toc135717521"/>
      <w:bookmarkStart w:id="103" w:name="_Toc135718326"/>
      <w:bookmarkStart w:id="104" w:name="_Toc138666579"/>
      <w:bookmarkStart w:id="105" w:name="_Toc139699542"/>
      <w:bookmarkStart w:id="106" w:name="_Toc141493953"/>
      <w:bookmarkStart w:id="107" w:name="_Toc141679425"/>
      <w:bookmarkStart w:id="108" w:name="_Toc144178627"/>
      <w:bookmarkStart w:id="109" w:name="_Toc157837395"/>
      <w:r>
        <w:rPr>
          <w:rStyle w:val="CharPartNo"/>
        </w:rPr>
        <w:t>Part 4</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94852093"/>
      <w:bookmarkStart w:id="111" w:name="_Toc501513288"/>
      <w:bookmarkStart w:id="112" w:name="_Toc157837396"/>
      <w:r>
        <w:rPr>
          <w:rStyle w:val="CharSectno"/>
        </w:rPr>
        <w:t>28</w:t>
      </w:r>
      <w:r>
        <w:rPr>
          <w:snapToGrid w:val="0"/>
        </w:rPr>
        <w:t>.</w:t>
      </w:r>
      <w:r>
        <w:rPr>
          <w:snapToGrid w:val="0"/>
        </w:rPr>
        <w:tab/>
        <w:t>Employer’s powers and liabilities in respect of termination not affected</w:t>
      </w:r>
      <w:bookmarkEnd w:id="110"/>
      <w:bookmarkEnd w:id="111"/>
      <w:bookmarkEnd w:id="112"/>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13" w:name="_Toc494852094"/>
      <w:bookmarkStart w:id="114" w:name="_Toc501513289"/>
      <w:bookmarkStart w:id="115" w:name="_Toc157837397"/>
      <w:r>
        <w:rPr>
          <w:rStyle w:val="CharSectno"/>
        </w:rPr>
        <w:t>29</w:t>
      </w:r>
      <w:r>
        <w:rPr>
          <w:snapToGrid w:val="0"/>
        </w:rPr>
        <w:t>.</w:t>
      </w:r>
      <w:r>
        <w:rPr>
          <w:snapToGrid w:val="0"/>
        </w:rPr>
        <w:tab/>
        <w:t>Members’ rights to compensation not to be affected</w:t>
      </w:r>
      <w:bookmarkEnd w:id="113"/>
      <w:bookmarkEnd w:id="114"/>
      <w:bookmarkEnd w:id="115"/>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16" w:name="_Toc157837398"/>
      <w:bookmarkStart w:id="117" w:name="_Toc494852095"/>
      <w:bookmarkStart w:id="118" w:name="_Toc501513290"/>
      <w:r>
        <w:rPr>
          <w:rStyle w:val="CharSectno"/>
        </w:rPr>
        <w:t>29A</w:t>
      </w:r>
      <w:r>
        <w:t>.</w:t>
      </w:r>
      <w:r>
        <w:tab/>
      </w:r>
      <w:r>
        <w:rPr>
          <w:i/>
          <w:iCs/>
        </w:rPr>
        <w:t>Unclaimed Money Act 1990</w:t>
      </w:r>
      <w:r>
        <w:t xml:space="preserve"> does not apply to unclaimed benefits</w:t>
      </w:r>
      <w:bookmarkEnd w:id="116"/>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19" w:name="_Toc157837399"/>
      <w:r>
        <w:rPr>
          <w:rStyle w:val="CharSectno"/>
        </w:rPr>
        <w:t>30</w:t>
      </w:r>
      <w:r>
        <w:rPr>
          <w:snapToGrid w:val="0"/>
        </w:rPr>
        <w:t>.</w:t>
      </w:r>
      <w:r>
        <w:rPr>
          <w:snapToGrid w:val="0"/>
        </w:rPr>
        <w:tab/>
        <w:t>General meeting of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20" w:name="_Toc494852096"/>
      <w:bookmarkStart w:id="121" w:name="_Toc501513291"/>
      <w:bookmarkStart w:id="122" w:name="_Toc157837400"/>
      <w:r>
        <w:rPr>
          <w:rStyle w:val="CharSectno"/>
        </w:rPr>
        <w:t>31</w:t>
      </w:r>
      <w:r>
        <w:rPr>
          <w:snapToGrid w:val="0"/>
        </w:rPr>
        <w:t>.</w:t>
      </w:r>
      <w:r>
        <w:rPr>
          <w:snapToGrid w:val="0"/>
        </w:rPr>
        <w:tab/>
        <w:t>Regulations</w:t>
      </w:r>
      <w:bookmarkEnd w:id="120"/>
      <w:bookmarkEnd w:id="121"/>
      <w:bookmarkEnd w:id="1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23" w:name="_Toc494852097"/>
      <w:bookmarkStart w:id="124" w:name="_Toc501513292"/>
      <w:bookmarkStart w:id="125" w:name="_Toc157837401"/>
      <w:r>
        <w:rPr>
          <w:rStyle w:val="CharSectno"/>
        </w:rPr>
        <w:t>32</w:t>
      </w:r>
      <w:r>
        <w:rPr>
          <w:snapToGrid w:val="0"/>
        </w:rPr>
        <w:t>.</w:t>
      </w:r>
      <w:r>
        <w:rPr>
          <w:snapToGrid w:val="0"/>
        </w:rPr>
        <w:tab/>
        <w:t>Review of Act</w:t>
      </w:r>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26" w:name="_Toc135715644"/>
      <w:bookmarkStart w:id="127" w:name="_Toc135716423"/>
      <w:bookmarkStart w:id="128" w:name="_Toc135717527"/>
      <w:bookmarkStart w:id="129" w:name="_Toc135718332"/>
      <w:bookmarkStart w:id="130" w:name="_Toc138666586"/>
      <w:bookmarkStart w:id="131" w:name="_Toc139699549"/>
      <w:bookmarkStart w:id="132" w:name="_Toc141493960"/>
      <w:bookmarkStart w:id="133" w:name="_Toc141679432"/>
      <w:bookmarkStart w:id="134" w:name="_Toc144178634"/>
      <w:bookmarkStart w:id="135" w:name="_Toc157837402"/>
      <w:r>
        <w:rPr>
          <w:rStyle w:val="CharPartNo"/>
        </w:rPr>
        <w:t>Part 5</w:t>
      </w:r>
      <w:r>
        <w:rPr>
          <w:rStyle w:val="CharDivNo"/>
        </w:rPr>
        <w:t> </w:t>
      </w:r>
      <w:r>
        <w:t>—</w:t>
      </w:r>
      <w:r>
        <w:rPr>
          <w:rStyle w:val="CharDivText"/>
        </w:rPr>
        <w:t> </w:t>
      </w:r>
      <w:r>
        <w:rPr>
          <w:rStyle w:val="CharPartText"/>
        </w:rPr>
        <w:t>Consequential, repeal and transitional provisions</w:t>
      </w:r>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136" w:name="_Toc494852100"/>
      <w:bookmarkStart w:id="137" w:name="_Toc501513295"/>
      <w:bookmarkStart w:id="138" w:name="_Toc157837403"/>
      <w:r>
        <w:rPr>
          <w:rStyle w:val="CharSectno"/>
        </w:rPr>
        <w:t>35</w:t>
      </w:r>
      <w:r>
        <w:rPr>
          <w:snapToGrid w:val="0"/>
        </w:rPr>
        <w:t>.</w:t>
      </w:r>
      <w:r>
        <w:rPr>
          <w:snapToGrid w:val="0"/>
        </w:rPr>
        <w:tab/>
        <w:t>Transitional</w:t>
      </w:r>
      <w:bookmarkEnd w:id="136"/>
      <w:bookmarkEnd w:id="137"/>
      <w:bookmarkEnd w:id="138"/>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9" w:name="_Toc135715646"/>
      <w:bookmarkStart w:id="140" w:name="_Toc135716425"/>
      <w:bookmarkStart w:id="141" w:name="_Toc135717529"/>
      <w:bookmarkStart w:id="142" w:name="_Toc135718334"/>
      <w:bookmarkStart w:id="143" w:name="_Toc138666588"/>
      <w:bookmarkStart w:id="144" w:name="_Toc139699551"/>
      <w:bookmarkStart w:id="145" w:name="_Toc141493962"/>
      <w:bookmarkStart w:id="146" w:name="_Toc141679434"/>
      <w:bookmarkStart w:id="147" w:name="_Toc144178636"/>
      <w:bookmarkStart w:id="148" w:name="_Toc157837404"/>
      <w:r>
        <w:rPr>
          <w:rStyle w:val="CharSchNo"/>
        </w:rPr>
        <w:t>Schedule 1</w:t>
      </w:r>
      <w:bookmarkEnd w:id="139"/>
      <w:bookmarkEnd w:id="140"/>
      <w:bookmarkEnd w:id="141"/>
      <w:bookmarkEnd w:id="142"/>
      <w:bookmarkEnd w:id="143"/>
      <w:bookmarkEnd w:id="144"/>
      <w:bookmarkEnd w:id="145"/>
      <w:bookmarkEnd w:id="146"/>
      <w:bookmarkEnd w:id="147"/>
      <w:bookmarkEnd w:id="148"/>
    </w:p>
    <w:p>
      <w:pPr>
        <w:pStyle w:val="yShoulderClause"/>
        <w:rPr>
          <w:snapToGrid w:val="0"/>
        </w:rPr>
      </w:pPr>
      <w:r>
        <w:rPr>
          <w:snapToGrid w:val="0"/>
        </w:rPr>
        <w:t>[s. 3]</w:t>
      </w:r>
    </w:p>
    <w:p>
      <w:pPr>
        <w:pStyle w:val="yHeading2"/>
      </w:pPr>
      <w:bookmarkStart w:id="149" w:name="_Toc144178637"/>
      <w:bookmarkStart w:id="150" w:name="_Toc157837405"/>
      <w:r>
        <w:rPr>
          <w:rStyle w:val="CharSchText"/>
        </w:rPr>
        <w:t>Employers</w:t>
      </w:r>
      <w:bookmarkEnd w:id="149"/>
      <w:bookmarkEnd w:id="150"/>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bookmarkStart w:id="151" w:name="_Toc135715647"/>
      <w:bookmarkStart w:id="152" w:name="_Toc135716426"/>
      <w:bookmarkStart w:id="153" w:name="_Toc135717530"/>
      <w:bookmarkStart w:id="154" w:name="_Toc135718335"/>
    </w:p>
    <w:p>
      <w:pPr>
        <w:pStyle w:val="yScheduleHeading"/>
      </w:pPr>
      <w:bookmarkStart w:id="155" w:name="_Toc138666589"/>
      <w:bookmarkStart w:id="156" w:name="_Toc139699552"/>
      <w:bookmarkStart w:id="157" w:name="_Toc141493963"/>
      <w:bookmarkStart w:id="158" w:name="_Toc141679435"/>
      <w:bookmarkStart w:id="159" w:name="_Toc144178638"/>
      <w:bookmarkStart w:id="160" w:name="_Toc157837406"/>
      <w:r>
        <w:rPr>
          <w:rStyle w:val="CharSchNo"/>
        </w:rPr>
        <w:t>Schedule 2</w:t>
      </w:r>
      <w:bookmarkEnd w:id="151"/>
      <w:bookmarkEnd w:id="152"/>
      <w:bookmarkEnd w:id="153"/>
      <w:bookmarkEnd w:id="154"/>
      <w:bookmarkEnd w:id="155"/>
      <w:bookmarkEnd w:id="156"/>
      <w:bookmarkEnd w:id="157"/>
      <w:bookmarkEnd w:id="158"/>
      <w:bookmarkEnd w:id="159"/>
      <w:bookmarkEnd w:id="160"/>
    </w:p>
    <w:p>
      <w:pPr>
        <w:pStyle w:val="yShoulderClause"/>
        <w:rPr>
          <w:snapToGrid w:val="0"/>
        </w:rPr>
      </w:pPr>
      <w:r>
        <w:rPr>
          <w:snapToGrid w:val="0"/>
        </w:rPr>
        <w:t>[s. 8]</w:t>
      </w:r>
    </w:p>
    <w:p>
      <w:pPr>
        <w:pStyle w:val="yHeading2"/>
      </w:pPr>
      <w:bookmarkStart w:id="161" w:name="_Toc141493964"/>
      <w:bookmarkStart w:id="162" w:name="_Toc141679436"/>
      <w:bookmarkStart w:id="163" w:name="_Toc144178639"/>
      <w:bookmarkStart w:id="164" w:name="_Toc157837407"/>
      <w:r>
        <w:rPr>
          <w:rStyle w:val="CharSchText"/>
        </w:rPr>
        <w:t>Provisions as to Board</w:t>
      </w:r>
      <w:bookmarkEnd w:id="161"/>
      <w:bookmarkEnd w:id="162"/>
      <w:bookmarkEnd w:id="163"/>
      <w:bookmarkEnd w:id="164"/>
    </w:p>
    <w:p>
      <w:pPr>
        <w:pStyle w:val="yHeading5"/>
        <w:outlineLvl w:val="9"/>
        <w:rPr>
          <w:snapToGrid w:val="0"/>
        </w:rPr>
      </w:pPr>
      <w:bookmarkStart w:id="165" w:name="_Toc501513296"/>
      <w:bookmarkStart w:id="166" w:name="_Toc157837408"/>
      <w:r>
        <w:rPr>
          <w:rStyle w:val="CharSClsNo"/>
        </w:rPr>
        <w:t>1</w:t>
      </w:r>
      <w:r>
        <w:rPr>
          <w:snapToGrid w:val="0"/>
        </w:rPr>
        <w:t>.</w:t>
      </w:r>
      <w:r>
        <w:rPr>
          <w:snapToGrid w:val="0"/>
        </w:rPr>
        <w:tab/>
        <w:t>Interpretation</w:t>
      </w:r>
      <w:bookmarkEnd w:id="165"/>
      <w:bookmarkEnd w:id="166"/>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167" w:name="_Toc501513297"/>
      <w:bookmarkStart w:id="168" w:name="_Toc157837409"/>
      <w:r>
        <w:rPr>
          <w:rStyle w:val="CharSClsNo"/>
        </w:rPr>
        <w:t>2</w:t>
      </w:r>
      <w:r>
        <w:rPr>
          <w:snapToGrid w:val="0"/>
        </w:rPr>
        <w:t>.</w:t>
      </w:r>
      <w:r>
        <w:rPr>
          <w:snapToGrid w:val="0"/>
        </w:rPr>
        <w:tab/>
        <w:t>Elections</w:t>
      </w:r>
      <w:bookmarkEnd w:id="167"/>
      <w:bookmarkEnd w:id="168"/>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169" w:name="_Toc501513298"/>
      <w:bookmarkStart w:id="170" w:name="_Toc157837410"/>
      <w:r>
        <w:rPr>
          <w:rStyle w:val="CharSClsNo"/>
        </w:rPr>
        <w:t>3</w:t>
      </w:r>
      <w:r>
        <w:rPr>
          <w:snapToGrid w:val="0"/>
        </w:rPr>
        <w:t>.</w:t>
      </w:r>
      <w:r>
        <w:rPr>
          <w:snapToGrid w:val="0"/>
        </w:rPr>
        <w:tab/>
        <w:t>Appointments</w:t>
      </w:r>
      <w:bookmarkEnd w:id="169"/>
      <w:bookmarkEnd w:id="170"/>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171" w:name="_Toc501513299"/>
      <w:bookmarkStart w:id="172" w:name="_Toc157837411"/>
      <w:r>
        <w:rPr>
          <w:rStyle w:val="CharSClsNo"/>
        </w:rPr>
        <w:t>4</w:t>
      </w:r>
      <w:r>
        <w:rPr>
          <w:snapToGrid w:val="0"/>
        </w:rPr>
        <w:t>.</w:t>
      </w:r>
      <w:r>
        <w:rPr>
          <w:snapToGrid w:val="0"/>
        </w:rPr>
        <w:tab/>
        <w:t>Terms of office</w:t>
      </w:r>
      <w:bookmarkEnd w:id="171"/>
      <w:bookmarkEnd w:id="172"/>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173" w:name="_Toc501513300"/>
      <w:bookmarkStart w:id="174" w:name="_Toc157837412"/>
      <w:r>
        <w:rPr>
          <w:rStyle w:val="CharSClsNo"/>
        </w:rPr>
        <w:t>5</w:t>
      </w:r>
      <w:r>
        <w:rPr>
          <w:snapToGrid w:val="0"/>
        </w:rPr>
        <w:t>.</w:t>
      </w:r>
      <w:r>
        <w:rPr>
          <w:snapToGrid w:val="0"/>
        </w:rPr>
        <w:tab/>
        <w:t>Publication</w:t>
      </w:r>
      <w:bookmarkEnd w:id="173"/>
      <w:bookmarkEnd w:id="174"/>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175" w:name="_Toc501513301"/>
      <w:bookmarkStart w:id="176" w:name="_Toc157837413"/>
      <w:r>
        <w:rPr>
          <w:rStyle w:val="CharSClsNo"/>
        </w:rPr>
        <w:t>6</w:t>
      </w:r>
      <w:r>
        <w:rPr>
          <w:snapToGrid w:val="0"/>
        </w:rPr>
        <w:t xml:space="preserve">. </w:t>
      </w:r>
      <w:r>
        <w:rPr>
          <w:snapToGrid w:val="0"/>
        </w:rPr>
        <w:tab/>
        <w:t>How vacancies occur</w:t>
      </w:r>
      <w:bookmarkEnd w:id="175"/>
      <w:bookmarkEnd w:id="176"/>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177" w:name="_Toc501513302"/>
      <w:bookmarkStart w:id="178" w:name="_Toc157837414"/>
      <w:r>
        <w:rPr>
          <w:rStyle w:val="CharSClsNo"/>
        </w:rPr>
        <w:t>6A</w:t>
      </w:r>
      <w:r>
        <w:rPr>
          <w:snapToGrid w:val="0"/>
        </w:rPr>
        <w:t xml:space="preserve">. </w:t>
      </w:r>
      <w:r>
        <w:rPr>
          <w:snapToGrid w:val="0"/>
        </w:rPr>
        <w:tab/>
        <w:t>Vacancies to be filled within certain period</w:t>
      </w:r>
      <w:bookmarkEnd w:id="177"/>
      <w:bookmarkEnd w:id="178"/>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179" w:name="_Toc501513303"/>
      <w:r>
        <w:tab/>
        <w:t>[Clause 6A inserted by No. 46 of 1995 s. 17.]</w:t>
      </w:r>
    </w:p>
    <w:p>
      <w:pPr>
        <w:pStyle w:val="yHeading5"/>
        <w:outlineLvl w:val="9"/>
        <w:rPr>
          <w:snapToGrid w:val="0"/>
        </w:rPr>
      </w:pPr>
      <w:bookmarkStart w:id="180" w:name="_Toc157837415"/>
      <w:r>
        <w:rPr>
          <w:rStyle w:val="CharSClsNo"/>
        </w:rPr>
        <w:t>7</w:t>
      </w:r>
      <w:r>
        <w:rPr>
          <w:snapToGrid w:val="0"/>
        </w:rPr>
        <w:t xml:space="preserve">. </w:t>
      </w:r>
      <w:r>
        <w:rPr>
          <w:snapToGrid w:val="0"/>
        </w:rPr>
        <w:tab/>
        <w:t>Alternate members</w:t>
      </w:r>
      <w:bookmarkEnd w:id="179"/>
      <w:bookmarkEnd w:id="180"/>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181" w:name="_Toc501513304"/>
      <w:bookmarkStart w:id="182" w:name="_Toc157837416"/>
      <w:r>
        <w:rPr>
          <w:rStyle w:val="CharSClsNo"/>
        </w:rPr>
        <w:t>8</w:t>
      </w:r>
      <w:r>
        <w:rPr>
          <w:snapToGrid w:val="0"/>
        </w:rPr>
        <w:t>.</w:t>
      </w:r>
      <w:r>
        <w:rPr>
          <w:snapToGrid w:val="0"/>
        </w:rPr>
        <w:tab/>
        <w:t>Meetings of the Board</w:t>
      </w:r>
      <w:bookmarkEnd w:id="181"/>
      <w:bookmarkEnd w:id="182"/>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183" w:name="_Toc501513305"/>
      <w:bookmarkStart w:id="184" w:name="_Toc157837417"/>
      <w:r>
        <w:rPr>
          <w:rStyle w:val="CharSClsNo"/>
        </w:rPr>
        <w:t>10</w:t>
      </w:r>
      <w:r>
        <w:rPr>
          <w:snapToGrid w:val="0"/>
        </w:rPr>
        <w:t>.</w:t>
      </w:r>
      <w:r>
        <w:rPr>
          <w:snapToGrid w:val="0"/>
        </w:rPr>
        <w:tab/>
        <w:t>Performance of functions by resolution</w:t>
      </w:r>
      <w:bookmarkEnd w:id="183"/>
      <w:bookmarkEnd w:id="184"/>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185" w:name="_Toc501513306"/>
      <w:bookmarkStart w:id="186" w:name="_Toc157837418"/>
      <w:r>
        <w:rPr>
          <w:rStyle w:val="CharSClsNo"/>
        </w:rPr>
        <w:t>11</w:t>
      </w:r>
      <w:r>
        <w:rPr>
          <w:snapToGrid w:val="0"/>
        </w:rPr>
        <w:t>.</w:t>
      </w:r>
      <w:r>
        <w:rPr>
          <w:snapToGrid w:val="0"/>
        </w:rPr>
        <w:tab/>
        <w:t>Disclosure of interest</w:t>
      </w:r>
      <w:bookmarkEnd w:id="185"/>
      <w:bookmarkEnd w:id="186"/>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187" w:name="_Toc501513307"/>
      <w:bookmarkStart w:id="188" w:name="_Toc157837419"/>
      <w:r>
        <w:rPr>
          <w:rStyle w:val="CharSClsNo"/>
        </w:rPr>
        <w:t>12</w:t>
      </w:r>
      <w:r>
        <w:rPr>
          <w:snapToGrid w:val="0"/>
        </w:rPr>
        <w:t>.</w:t>
      </w:r>
      <w:r>
        <w:rPr>
          <w:snapToGrid w:val="0"/>
        </w:rPr>
        <w:tab/>
        <w:t>Common seal</w:t>
      </w:r>
      <w:bookmarkEnd w:id="187"/>
      <w:bookmarkEnd w:id="188"/>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189" w:name="_Toc501513308"/>
      <w:bookmarkStart w:id="190" w:name="_Toc157837420"/>
      <w:r>
        <w:rPr>
          <w:rStyle w:val="CharSClsNo"/>
        </w:rPr>
        <w:t>13</w:t>
      </w:r>
      <w:r>
        <w:rPr>
          <w:snapToGrid w:val="0"/>
        </w:rPr>
        <w:t>.</w:t>
      </w:r>
      <w:r>
        <w:rPr>
          <w:snapToGrid w:val="0"/>
        </w:rPr>
        <w:tab/>
        <w:t>Allowances</w:t>
      </w:r>
      <w:bookmarkEnd w:id="189"/>
      <w:bookmarkEnd w:id="190"/>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191" w:name="_Toc501513309"/>
      <w:bookmarkStart w:id="192" w:name="_Toc157837421"/>
      <w:r>
        <w:rPr>
          <w:rStyle w:val="CharSClsNo"/>
        </w:rPr>
        <w:t>14</w:t>
      </w:r>
      <w:r>
        <w:rPr>
          <w:snapToGrid w:val="0"/>
        </w:rPr>
        <w:t xml:space="preserve">. </w:t>
      </w:r>
      <w:r>
        <w:rPr>
          <w:snapToGrid w:val="0"/>
        </w:rPr>
        <w:tab/>
        <w:t>Protection from liability</w:t>
      </w:r>
      <w:bookmarkEnd w:id="191"/>
      <w:bookmarkEnd w:id="192"/>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193" w:name="_Toc135715662"/>
      <w:bookmarkStart w:id="194" w:name="_Toc135716441"/>
      <w:bookmarkStart w:id="195" w:name="_Toc135717545"/>
      <w:bookmarkStart w:id="196" w:name="_Toc135718350"/>
      <w:bookmarkStart w:id="197" w:name="_Toc138666604"/>
      <w:bookmarkStart w:id="198" w:name="_Toc139699567"/>
      <w:r>
        <w:tab/>
        <w:t>[Clause 14 inserted by No. 46 of 1995 s. 17.]</w:t>
      </w:r>
    </w:p>
    <w:p>
      <w:pPr>
        <w:pStyle w:val="yScheduleHeading"/>
      </w:pPr>
      <w:bookmarkStart w:id="199" w:name="_Toc141493979"/>
      <w:bookmarkStart w:id="200" w:name="_Toc141679451"/>
      <w:bookmarkStart w:id="201" w:name="_Toc144178654"/>
      <w:bookmarkStart w:id="202" w:name="_Toc157837422"/>
      <w:r>
        <w:rPr>
          <w:rStyle w:val="CharSchNo"/>
        </w:rPr>
        <w:t>Schedule 3</w:t>
      </w:r>
      <w:bookmarkEnd w:id="193"/>
      <w:bookmarkEnd w:id="194"/>
      <w:bookmarkEnd w:id="195"/>
      <w:bookmarkEnd w:id="196"/>
      <w:bookmarkEnd w:id="197"/>
      <w:bookmarkEnd w:id="198"/>
      <w:bookmarkEnd w:id="199"/>
      <w:bookmarkEnd w:id="200"/>
      <w:bookmarkEnd w:id="201"/>
      <w:bookmarkEnd w:id="202"/>
    </w:p>
    <w:p>
      <w:pPr>
        <w:pStyle w:val="yShoulderClause"/>
        <w:rPr>
          <w:snapToGrid w:val="0"/>
        </w:rPr>
      </w:pPr>
      <w:r>
        <w:rPr>
          <w:snapToGrid w:val="0"/>
        </w:rPr>
        <w:t>[s. 35]</w:t>
      </w:r>
    </w:p>
    <w:p>
      <w:pPr>
        <w:pStyle w:val="yHeading2"/>
      </w:pPr>
      <w:bookmarkStart w:id="203" w:name="_Toc141493980"/>
      <w:bookmarkStart w:id="204" w:name="_Toc141679452"/>
      <w:bookmarkStart w:id="205" w:name="_Toc144178655"/>
      <w:bookmarkStart w:id="206" w:name="_Toc157837423"/>
      <w:r>
        <w:rPr>
          <w:rStyle w:val="CharSchText"/>
        </w:rPr>
        <w:t>Transitional provisions</w:t>
      </w:r>
      <w:bookmarkEnd w:id="203"/>
      <w:bookmarkEnd w:id="204"/>
      <w:bookmarkEnd w:id="205"/>
      <w:bookmarkEnd w:id="206"/>
    </w:p>
    <w:p>
      <w:pPr>
        <w:pStyle w:val="yHeading5"/>
        <w:outlineLvl w:val="9"/>
        <w:rPr>
          <w:snapToGrid w:val="0"/>
        </w:rPr>
      </w:pPr>
      <w:bookmarkStart w:id="207" w:name="_Toc501513310"/>
      <w:bookmarkStart w:id="208" w:name="_Toc157837424"/>
      <w:r>
        <w:rPr>
          <w:rStyle w:val="CharSClsNo"/>
        </w:rPr>
        <w:t>1</w:t>
      </w:r>
      <w:r>
        <w:rPr>
          <w:snapToGrid w:val="0"/>
        </w:rPr>
        <w:t>.</w:t>
      </w:r>
      <w:r>
        <w:rPr>
          <w:snapToGrid w:val="0"/>
        </w:rPr>
        <w:tab/>
        <w:t>Interpretation</w:t>
      </w:r>
      <w:bookmarkEnd w:id="207"/>
      <w:bookmarkEnd w:id="20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former Act</w:t>
      </w:r>
      <w:r>
        <w:t xml:space="preserve"> means the </w:t>
      </w:r>
      <w:r>
        <w:rPr>
          <w:i/>
        </w:rPr>
        <w:t>Coal Mine Workers (Pensions) Act 1943</w:t>
      </w:r>
      <w:r>
        <w:t>.</w:t>
      </w:r>
    </w:p>
    <w:p>
      <w:pPr>
        <w:pStyle w:val="yFootnotesection"/>
      </w:pPr>
      <w:bookmarkStart w:id="209" w:name="_Toc501513311"/>
      <w:r>
        <w:tab/>
        <w:t>[Clause 1 amended by No. 16 of 2006 s. 15(1).]</w:t>
      </w:r>
    </w:p>
    <w:p>
      <w:pPr>
        <w:pStyle w:val="yEdnotesection"/>
      </w:pPr>
      <w:bookmarkStart w:id="210" w:name="_Toc501513314"/>
      <w:bookmarkEnd w:id="209"/>
      <w:r>
        <w:t>[</w:t>
      </w:r>
      <w:r>
        <w:rPr>
          <w:b/>
          <w:bCs/>
        </w:rPr>
        <w:t>2</w:t>
      </w:r>
      <w:r>
        <w:rPr>
          <w:b/>
          <w:bCs/>
        </w:rPr>
        <w:noBreakHyphen/>
        <w:t>4.</w:t>
      </w:r>
      <w:r>
        <w:tab/>
        <w:t>Deleted by No. 16 of 2006 s. 15(2).]</w:t>
      </w:r>
    </w:p>
    <w:p>
      <w:pPr>
        <w:pStyle w:val="yHeading5"/>
        <w:outlineLvl w:val="9"/>
        <w:rPr>
          <w:snapToGrid w:val="0"/>
        </w:rPr>
      </w:pPr>
      <w:bookmarkStart w:id="211" w:name="_Toc157837425"/>
      <w:r>
        <w:rPr>
          <w:rStyle w:val="CharSClsNo"/>
        </w:rPr>
        <w:t>5</w:t>
      </w:r>
      <w:r>
        <w:rPr>
          <w:snapToGrid w:val="0"/>
        </w:rPr>
        <w:t>.</w:t>
      </w:r>
      <w:r>
        <w:rPr>
          <w:snapToGrid w:val="0"/>
        </w:rPr>
        <w:tab/>
        <w:t>Reciprocating States</w:t>
      </w:r>
      <w:bookmarkEnd w:id="210"/>
      <w:bookmarkEnd w:id="211"/>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t>Deleted by No. 16 of 2006 s. 15(2).]</w:t>
      </w:r>
    </w:p>
    <w:p>
      <w:pPr>
        <w:sectPr>
          <w:headerReference w:type="even" r:id="rId28"/>
          <w:headerReference w:type="default" r:id="rId29"/>
          <w:pgSz w:w="11906" w:h="16838" w:code="9"/>
          <w:pgMar w:top="2381" w:right="2410" w:bottom="3544" w:left="2410" w:header="720" w:footer="3380" w:gutter="0"/>
          <w:cols w:space="720"/>
          <w:noEndnote/>
          <w:docGrid w:linePitch="326"/>
        </w:sectPr>
      </w:pPr>
    </w:p>
    <w:p>
      <w:pPr>
        <w:pStyle w:val="nHeading2"/>
      </w:pPr>
      <w:bookmarkStart w:id="212" w:name="_Toc135715670"/>
      <w:bookmarkStart w:id="213" w:name="_Toc135716449"/>
      <w:bookmarkStart w:id="214" w:name="_Toc135717553"/>
      <w:bookmarkStart w:id="215" w:name="_Toc135718358"/>
      <w:bookmarkStart w:id="216" w:name="_Toc138666607"/>
      <w:bookmarkStart w:id="217" w:name="_Toc139699570"/>
      <w:bookmarkStart w:id="218" w:name="_Toc141493983"/>
      <w:bookmarkStart w:id="219" w:name="_Toc141679455"/>
      <w:bookmarkStart w:id="220" w:name="_Toc144178658"/>
      <w:bookmarkStart w:id="221" w:name="_Toc157837426"/>
      <w:r>
        <w:t>Notes</w:t>
      </w:r>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2" w:name="_Toc157837427"/>
      <w:r>
        <w:rPr>
          <w:snapToGrid w:val="0"/>
        </w:rP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51" w:type="dxa"/>
          </w:tcPr>
          <w:p>
            <w:pPr>
              <w:pStyle w:val="nTable"/>
              <w:spacing w:after="40"/>
              <w:rPr>
                <w:sz w:val="19"/>
              </w:rPr>
            </w:pPr>
            <w:r>
              <w:rPr>
                <w:sz w:val="19"/>
              </w:rPr>
              <w:t>29 Sep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r>
        <w:trPr>
          <w:cantSplit/>
        </w:trPr>
        <w:tc>
          <w:tcPr>
            <w:tcW w:w="7087" w:type="dxa"/>
            <w:gridSpan w:val="4"/>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23" w:name="UpToHere"/>
      <w:bookmarkEnd w:id="223"/>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49"/>
    <w:docVar w:name="WAFER_20151208095349" w:val="RemoveTrackChanges"/>
    <w:docVar w:name="WAFER_20151208095349_GUID" w:val="5575700d-2069-4078-87be-30c92ac87e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8412</Words>
  <Characters>38615</Characters>
  <Application>Microsoft Office Word</Application>
  <DocSecurity>0</DocSecurity>
  <Lines>1072</Lines>
  <Paragraphs>662</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1989 - 02-b0-08</dc:title>
  <dc:subject/>
  <dc:creator/>
  <cp:keywords/>
  <dc:description/>
  <cp:lastModifiedBy>svcMRProcess</cp:lastModifiedBy>
  <cp:revision>4</cp:revision>
  <cp:lastPrinted>2006-07-26T06:43:00Z</cp:lastPrinted>
  <dcterms:created xsi:type="dcterms:W3CDTF">2015-12-09T10:03:00Z</dcterms:created>
  <dcterms:modified xsi:type="dcterms:W3CDTF">2015-12-09T10:03:00Z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138</vt:i4>
  </property>
  <property fmtid="{D5CDD505-2E9C-101B-9397-08002B2CF9AE}" pid="6" name="AsAtDate">
    <vt:lpwstr>01 Feb 2007</vt:lpwstr>
  </property>
  <property fmtid="{D5CDD505-2E9C-101B-9397-08002B2CF9AE}" pid="7" name="Suffix">
    <vt:lpwstr>02-b0-08</vt:lpwstr>
  </property>
</Properties>
</file>