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5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</w:instrText>
      </w:r>
      <w:r>
        <w:fldChar w:fldCharType="separate"/>
      </w:r>
      <w:r>
        <w:rPr>
          <w:noProof/>
        </w:rPr>
        <w:t>GENERAL INSURANCE BROKERS AND AGENTS ACT REPEAL ACT 1986</w:t>
      </w:r>
      <w:r>
        <w:fldChar w:fldCharType="end"/>
      </w:r>
    </w:p>
    <w:p>
      <w:pPr>
        <w:pStyle w:val="NameofActRegPage1"/>
        <w:spacing w:before="180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General Insurance Brokers and Agents (Refund of Fees) Regulations 1986</w:t>
      </w:r>
      <w:r>
        <w:fldChar w:fldCharType="end"/>
      </w:r>
    </w:p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outlineLvl w:val="0"/>
      </w:pPr>
      <w:r>
        <w:lastRenderedPageBreak/>
        <w:t>Western Australia</w:t>
      </w:r>
    </w:p>
    <w:p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General Insurance Brokers and Agents (Refund of Fees) Regulations 1986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1</w:t>
      </w:r>
      <w:r>
        <w:rPr>
          <w:snapToGrid w:val="0"/>
        </w:rPr>
        <w:t>.</w:t>
      </w:r>
      <w:r>
        <w:rPr>
          <w:snapToGrid w:val="0"/>
        </w:rPr>
        <w:tab/>
        <w:t>Citation</w:t>
      </w:r>
      <w:r>
        <w:tab/>
      </w:r>
      <w:r>
        <w:fldChar w:fldCharType="begin"/>
      </w:r>
      <w:r>
        <w:instrText xml:space="preserve"> PAGEREF _Toc418694465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napToGrid w:val="0"/>
        </w:rPr>
        <w:t>.</w:t>
      </w:r>
      <w:r>
        <w:rPr>
          <w:snapToGrid w:val="0"/>
        </w:rPr>
        <w:tab/>
        <w:t>Prescribed percentage</w:t>
      </w:r>
      <w:r>
        <w:tab/>
      </w:r>
      <w:r>
        <w:fldChar w:fldCharType="begin"/>
      </w:r>
      <w:r>
        <w:instrText xml:space="preserve"> PAGEREF _Toc418694466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</w:pPr>
      <w:r>
        <w:t>Western Australia</w:t>
      </w:r>
    </w:p>
    <w:p>
      <w:pPr>
        <w:pStyle w:val="PrincipalActReg"/>
        <w:rPr>
          <w:snapToGrid w:val="0"/>
        </w:rPr>
      </w:pPr>
      <w:r>
        <w:rPr>
          <w:snapToGrid w:val="0"/>
        </w:rPr>
        <w:t>GENERAL INSURANCE BROKERS AND AGENTS ACT REPEAL ACT 1986</w:t>
      </w:r>
    </w:p>
    <w:p>
      <w:pPr>
        <w:pStyle w:val="NameofActReg"/>
      </w:pPr>
      <w:r>
        <w:t>General Insurance Brokers and Agents (Refund of Fees) Regulations 1986</w:t>
      </w:r>
    </w:p>
    <w:p>
      <w:pPr>
        <w:pStyle w:val="Heading5"/>
        <w:rPr>
          <w:snapToGrid w:val="0"/>
        </w:rPr>
      </w:pPr>
      <w:bookmarkStart w:id="3" w:name="_Toc378258578"/>
      <w:bookmarkStart w:id="4" w:name="_Toc380141016"/>
      <w:bookmarkStart w:id="5" w:name="_Toc418694465"/>
      <w:r>
        <w:rPr>
          <w:rStyle w:val="CharSectno"/>
        </w:rPr>
        <w:t>1</w:t>
      </w:r>
      <w:r>
        <w:rPr>
          <w:snapToGrid w:val="0"/>
        </w:rPr>
        <w:t>.</w:t>
      </w:r>
      <w:r>
        <w:rPr>
          <w:snapToGrid w:val="0"/>
        </w:rPr>
        <w:tab/>
        <w:t>Citation</w:t>
      </w:r>
      <w:bookmarkEnd w:id="3"/>
      <w:bookmarkEnd w:id="4"/>
      <w:bookmarkEnd w:id="5"/>
      <w:r>
        <w:rPr>
          <w:snapToGrid w:val="0"/>
        </w:rPr>
        <w:t xml:space="preserve"> </w:t>
      </w:r>
    </w:p>
    <w:p>
      <w:pPr>
        <w:pStyle w:val="Subsection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 xml:space="preserve">These regulations may be cited as the </w:t>
      </w:r>
      <w:r>
        <w:rPr>
          <w:i/>
          <w:snapToGrid w:val="0"/>
        </w:rPr>
        <w:t>General Insurance Brokers and Agents (Refund of Fees) Regulations 1986</w:t>
      </w:r>
      <w:r>
        <w:rPr>
          <w:snapToGrid w:val="0"/>
        </w:rPr>
        <w:t>.</w:t>
      </w:r>
    </w:p>
    <w:p>
      <w:pPr>
        <w:pStyle w:val="Heading5"/>
        <w:rPr>
          <w:snapToGrid w:val="0"/>
        </w:rPr>
      </w:pPr>
      <w:bookmarkStart w:id="6" w:name="_Toc378258579"/>
      <w:bookmarkStart w:id="7" w:name="_Toc380141017"/>
      <w:bookmarkStart w:id="8" w:name="_Toc418694466"/>
      <w:r>
        <w:rPr>
          <w:rStyle w:val="CharSectno"/>
        </w:rPr>
        <w:t>2</w:t>
      </w:r>
      <w:r>
        <w:rPr>
          <w:snapToGrid w:val="0"/>
        </w:rPr>
        <w:t>.</w:t>
      </w:r>
      <w:r>
        <w:rPr>
          <w:snapToGrid w:val="0"/>
        </w:rPr>
        <w:tab/>
        <w:t>Prescribed percentage</w:t>
      </w:r>
      <w:bookmarkEnd w:id="6"/>
      <w:bookmarkEnd w:id="7"/>
      <w:bookmarkEnd w:id="8"/>
      <w:r>
        <w:rPr>
          <w:snapToGrid w:val="0"/>
        </w:rPr>
        <w:t xml:space="preserve"> </w:t>
      </w:r>
    </w:p>
    <w:p>
      <w:pPr>
        <w:pStyle w:val="Subsection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For the purposes of section 5 (3) of the Act, the prescribed percentage of any fee paid to the Board is 25 per cent.</w:t>
      </w:r>
    </w:p>
    <w:p>
      <w:pPr>
        <w:rPr>
          <w:rStyle w:val="CharDivText"/>
        </w:rPr>
        <w:sectPr>
          <w:headerReference w:type="even" r:id="rId21"/>
          <w:headerReference w:type="default" r:id="rId22"/>
          <w:headerReference w:type="first" r:id="rId23"/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nHeading2"/>
      </w:pPr>
      <w:bookmarkStart w:id="9" w:name="_Toc378258580"/>
      <w:bookmarkStart w:id="10" w:name="_Toc380140885"/>
      <w:bookmarkStart w:id="11" w:name="_Toc380141018"/>
      <w:bookmarkStart w:id="12" w:name="_Toc418694451"/>
      <w:bookmarkStart w:id="13" w:name="_Toc418694467"/>
      <w:r>
        <w:t>Notes</w:t>
      </w:r>
      <w:bookmarkEnd w:id="9"/>
      <w:bookmarkEnd w:id="10"/>
      <w:bookmarkEnd w:id="11"/>
      <w:bookmarkEnd w:id="12"/>
      <w:bookmarkEnd w:id="13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1.</w:t>
      </w:r>
      <w:r>
        <w:rPr>
          <w:snapToGrid w:val="0"/>
        </w:rPr>
        <w:t xml:space="preserve"> </w:t>
      </w:r>
      <w:r>
        <w:rPr>
          <w:snapToGrid w:val="0"/>
        </w:rPr>
        <w:tab/>
        <w:t xml:space="preserve">This is a compilation of the </w:t>
      </w:r>
      <w:r>
        <w:rPr>
          <w:i/>
          <w:snapToGrid w:val="0"/>
        </w:rPr>
        <w:t>General Insurance Brokers and Agents (Refund of Fees) Regulations 1986</w:t>
      </w:r>
      <w:r>
        <w:rPr>
          <w:snapToGrid w:val="0"/>
        </w:rPr>
        <w:t xml:space="preserve"> and includes the amendments referred to in the following Table.</w:t>
      </w:r>
    </w:p>
    <w:p>
      <w:pPr>
        <w:pStyle w:val="MiscellaneousHeading"/>
        <w:rPr>
          <w:b/>
          <w:snapToGrid w:val="0"/>
        </w:rPr>
      </w:pPr>
      <w:r>
        <w:rPr>
          <w:b/>
          <w:snapToGrid w:val="0"/>
        </w:rPr>
        <w:t>Compilation table</w:t>
      </w:r>
    </w:p>
    <w:tbl>
      <w:tblPr>
        <w:tblW w:w="7087" w:type="dxa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</w:pPr>
            <w:r>
              <w:rPr>
                <w:i/>
              </w:rPr>
              <w:t>General Insurance Brokers and Agents (Refund of Fees) Regulations 1986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</w:pPr>
            <w:r>
              <w:t>29 August 1986 p.3206.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</w:pPr>
          </w:p>
        </w:tc>
      </w:tr>
    </w:tbl>
    <w:p>
      <w:pPr>
        <w:sectPr>
          <w:headerReference w:type="even" r:id="rId24"/>
          <w:headerReference w:type="default" r:id="rId25"/>
          <w:headerReference w:type="first" r:id="rId26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type w:val="continuous"/>
      <w:pgSz w:w="11907" w:h="16840" w:code="9"/>
      <w:pgMar w:top="2381" w:right="2410" w:bottom="2977" w:left="2410" w:header="720" w:footer="3380" w:gutter="0"/>
      <w:paperSrc w:first="15" w:other="15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00-a0-13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11 Nov 1998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11 Nov 1998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00-a0-13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11 Nov 1998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00-a0-13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2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00-a0-13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11 Nov 1998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11 Nov 1998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00-a0-13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11 Nov 1998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00-a0-13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General Insurance Brokers and Agents (Refund of Fees) Regulations 1986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General Insurance Brokers and Agents (Refund of Fees) Regulations 1986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05"/>
      <w:gridCol w:w="6007"/>
    </w:tblGrid>
    <w:tr>
      <w:trPr>
        <w:cantSplit/>
      </w:trPr>
      <w:tc>
        <w:tcPr>
          <w:tcW w:w="7312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General Insurance Brokers and Agents (Refund of Fees) Regulations 1986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05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CharPartNo </w:instrText>
          </w:r>
          <w:r>
            <w:rPr>
              <w:b/>
            </w:rPr>
            <w:fldChar w:fldCharType="end"/>
          </w:r>
        </w:p>
      </w:tc>
      <w:tc>
        <w:tcPr>
          <w:tcW w:w="6007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c>
        <w:tcPr>
          <w:tcW w:w="1305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6007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s.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985"/>
      <w:gridCol w:w="1327"/>
    </w:tblGrid>
    <w:tr>
      <w:trPr>
        <w:cantSplit/>
      </w:trPr>
      <w:tc>
        <w:tcPr>
          <w:tcW w:w="7312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General Insurance Brokers and Agents (Refund of Fees) Regulations 1986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98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327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CharPartNo </w:instrText>
          </w:r>
          <w:r>
            <w:rPr>
              <w:b/>
            </w:rPr>
            <w:fldChar w:fldCharType="end"/>
          </w:r>
        </w:p>
      </w:tc>
    </w:tr>
    <w:tr>
      <w:tc>
        <w:tcPr>
          <w:tcW w:w="598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327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s.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General Insurance Brokers and Agents (Refund of Fees) Regulations 1986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64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64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60"/>
      <w:gridCol w:w="1552"/>
    </w:tblGrid>
    <w:tr>
      <w:trPr>
        <w:cantSplit/>
      </w:trPr>
      <w:tc>
        <w:tcPr>
          <w:tcW w:w="7312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General Insurance Brokers and Agents (Refund of Fees) Regulations 1986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60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52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60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52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14" w:name="Compilation"/>
    <w:bookmarkEnd w:id="14"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5" w:name="Coversheet"/>
    <w:bookmarkEnd w:id="15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6A5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6678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F42F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2497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7E64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E405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9DA3E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8C896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47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33EC5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3C2808C0"/>
    <w:multiLevelType w:val="singleLevel"/>
    <w:tmpl w:val="E370D9F2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7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hideSpellingErrors/>
  <w:revisionView w:formatting="0"/>
  <w:defaultTabStop w:val="720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105105506"/>
    <w:docVar w:name="WAFER_20140123163518" w:val="RemoveTocBookmarks,RemoveUnusedBookmarks,RemoveLanguageTags,UsedStyles,ResetPageSize,UpdateArrangement"/>
    <w:docVar w:name="WAFER_20140123163518_GUID" w:val="cd46f363-1505-4b64-9985-c43c4c03977a"/>
    <w:docVar w:name="WAFER_20140123163524" w:val="RemoveTocBookmarks,RunningHeaders"/>
    <w:docVar w:name="WAFER_20140123163524_GUID" w:val="b55d102a-baee-4e6c-af68-b934e6ca784b"/>
    <w:docVar w:name="WAFER_20140214112031" w:val="ResetStyles"/>
    <w:docVar w:name="WAFER_20140214112031_GUID" w:val="73731e05-84b7-42f7-82b2-7f91f18a6264"/>
    <w:docVar w:name="WAFER_20150506163005" w:val="ResetPageSize,UpdateArrangement,UpdateNTable"/>
    <w:docVar w:name="WAFER_20150506163005_GUID" w:val="92651ba1-0b95-4f9c-a827-90ce75a45e55"/>
    <w:docVar w:name="WAFER_20151105105506" w:val="UpdateStyles,UsedStyles"/>
    <w:docVar w:name="WAFER_20151105105506_GUID" w:val="4183943c-a2fa-4657-9c53-636617590534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2" w:uiPriority="39"/>
    <w:lsdException w:name="toc 8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E-mail Signature" w:uiPriority="99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semiHidden="0" w:uiPriority="5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character" w:styleId="Strong">
    <w:name w:val="Strong"/>
    <w:basedOn w:val="DefaultParagraphFont"/>
    <w:qFormat/>
    <w:rPr>
      <w:b/>
      <w:sz w:val="24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4">
    <w:name w:val="toc 4"/>
    <w:next w:val="Normal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BodyText">
    <w:name w:val="Body Text"/>
    <w:basedOn w:val="Normal"/>
    <w:pPr>
      <w:spacing w:after="120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styleId="FootnoteText">
    <w:name w:val="footnote text"/>
    <w:basedOn w:val="Normal"/>
    <w:semiHidden/>
  </w:style>
  <w:style w:type="paragraph" w:customStyle="1" w:styleId="LongTitle">
    <w:name w:val="Long Title"/>
    <w:rPr>
      <w:b/>
      <w:sz w:val="24"/>
    </w:rPr>
  </w:style>
  <w:style w:type="paragraph" w:styleId="Signature">
    <w:name w:val="Signature"/>
    <w:basedOn w:val="Normal"/>
    <w:pPr>
      <w:ind w:left="4252"/>
    </w:pPr>
  </w:style>
  <w:style w:type="paragraph" w:styleId="List">
    <w:name w:val="List"/>
    <w:basedOn w:val="Normal"/>
    <w:pPr>
      <w:ind w:left="283" w:hanging="283"/>
    </w:p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character" w:customStyle="1" w:styleId="CharChapNo">
    <w:name w:val="CharChapNo"/>
    <w:rPr>
      <w:noProof w:val="0"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Sectno">
    <w:name w:val="CharSectno"/>
    <w:rPr>
      <w:noProof w:val="0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character" w:customStyle="1" w:styleId="CharSchNo">
    <w:name w:val="CharSchNo"/>
    <w:rPr>
      <w:noProof w:val="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439" w:right="284" w:hanging="2070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i/>
      <w:sz w:val="24"/>
    </w:rPr>
  </w:style>
  <w:style w:type="paragraph" w:styleId="EndnoteText">
    <w:name w:val="endnote text"/>
    <w:basedOn w:val="Normal"/>
    <w:semiHidden/>
    <w:pPr>
      <w:spacing w:after="40"/>
      <w:ind w:left="397" w:hanging="397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Salutation">
    <w:name w:val="Salutation"/>
    <w:basedOn w:val="Normal"/>
    <w:next w:val="Normal"/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para">
    <w:name w:val="Ednote(penpara)"/>
    <w:basedOn w:val="Ednotepara"/>
  </w:style>
  <w:style w:type="paragraph" w:customStyle="1" w:styleId="Ednotepenitem">
    <w:name w:val="Ednote(penitem)"/>
    <w:basedOn w:val="Ednoteitem"/>
  </w:style>
  <w:style w:type="paragraph" w:customStyle="1" w:styleId="Ednotepensubpara">
    <w:name w:val="Ednote(pensubpara)"/>
    <w:basedOn w:val="Ednotesubpara"/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character" w:customStyle="1" w:styleId="CharProduced">
    <w:name w:val="CharProduced"/>
    <w:rPr>
      <w:noProof w:val="0"/>
      <w:spacing w:val="-3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CentredBaseLine">
    <w:name w:val="CentredBaseLine"/>
    <w:pPr>
      <w:suppressLineNumbers/>
      <w:spacing w:before="240"/>
    </w:p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Equation">
    <w:name w:val="Equation"/>
    <w:rPr>
      <w:noProof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styleId="Header">
    <w:name w:val="header"/>
    <w:rPr>
      <w:rFonts w:ascii="Arial" w:hAnsi="Arial"/>
      <w:noProof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TableAm">
    <w:name w:val="TableAm"/>
    <w:basedOn w:val="Normal"/>
    <w:pPr>
      <w:tabs>
        <w:tab w:val="left" w:pos="567"/>
      </w:tabs>
      <w:spacing w:before="120"/>
    </w:pPr>
  </w:style>
  <w:style w:type="paragraph" w:customStyle="1" w:styleId="TableAmNote">
    <w:name w:val="TableAmNote"/>
    <w:pPr>
      <w:tabs>
        <w:tab w:val="left" w:pos="567"/>
      </w:tabs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OmitFootnote">
    <w:name w:val="OmitFootnote"/>
    <w:basedOn w:val="Normal"/>
    <w:pPr>
      <w:tabs>
        <w:tab w:val="left" w:pos="893"/>
      </w:tabs>
      <w:spacing w:before="600"/>
      <w:ind w:left="890" w:hanging="890"/>
      <w:outlineLvl w:val="1"/>
    </w:pPr>
    <w:rPr>
      <w:i/>
      <w:snapToGrid w:val="0"/>
      <w:sz w:val="22"/>
    </w:r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zytable">
    <w:name w:val="zytable"/>
    <w:basedOn w:val="yTable"/>
    <w:pPr>
      <w:ind w:left="567" w:right="284"/>
    </w:p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ReprintNo">
    <w:name w:val="ReprintNo"/>
    <w:rPr>
      <w:b/>
      <w:noProof/>
      <w:sz w:val="28"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2" w:uiPriority="39"/>
    <w:lsdException w:name="toc 8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E-mail Signature" w:uiPriority="99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semiHidden="0" w:uiPriority="5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character" w:styleId="Strong">
    <w:name w:val="Strong"/>
    <w:basedOn w:val="DefaultParagraphFont"/>
    <w:qFormat/>
    <w:rPr>
      <w:b/>
      <w:sz w:val="24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4">
    <w:name w:val="toc 4"/>
    <w:next w:val="Normal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BodyText">
    <w:name w:val="Body Text"/>
    <w:basedOn w:val="Normal"/>
    <w:pPr>
      <w:spacing w:after="120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styleId="FootnoteText">
    <w:name w:val="footnote text"/>
    <w:basedOn w:val="Normal"/>
    <w:semiHidden/>
  </w:style>
  <w:style w:type="paragraph" w:customStyle="1" w:styleId="LongTitle">
    <w:name w:val="Long Title"/>
    <w:rPr>
      <w:b/>
      <w:sz w:val="24"/>
    </w:rPr>
  </w:style>
  <w:style w:type="paragraph" w:styleId="Signature">
    <w:name w:val="Signature"/>
    <w:basedOn w:val="Normal"/>
    <w:pPr>
      <w:ind w:left="4252"/>
    </w:pPr>
  </w:style>
  <w:style w:type="paragraph" w:styleId="List">
    <w:name w:val="List"/>
    <w:basedOn w:val="Normal"/>
    <w:pPr>
      <w:ind w:left="283" w:hanging="283"/>
    </w:p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character" w:customStyle="1" w:styleId="CharChapNo">
    <w:name w:val="CharChapNo"/>
    <w:rPr>
      <w:noProof w:val="0"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Sectno">
    <w:name w:val="CharSectno"/>
    <w:rPr>
      <w:noProof w:val="0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character" w:customStyle="1" w:styleId="CharSchNo">
    <w:name w:val="CharSchNo"/>
    <w:rPr>
      <w:noProof w:val="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439" w:right="284" w:hanging="2070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i/>
      <w:sz w:val="24"/>
    </w:rPr>
  </w:style>
  <w:style w:type="paragraph" w:styleId="EndnoteText">
    <w:name w:val="endnote text"/>
    <w:basedOn w:val="Normal"/>
    <w:semiHidden/>
    <w:pPr>
      <w:spacing w:after="40"/>
      <w:ind w:left="397" w:hanging="397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Salutation">
    <w:name w:val="Salutation"/>
    <w:basedOn w:val="Normal"/>
    <w:next w:val="Normal"/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para">
    <w:name w:val="Ednote(penpara)"/>
    <w:basedOn w:val="Ednotepara"/>
  </w:style>
  <w:style w:type="paragraph" w:customStyle="1" w:styleId="Ednotepenitem">
    <w:name w:val="Ednote(penitem)"/>
    <w:basedOn w:val="Ednoteitem"/>
  </w:style>
  <w:style w:type="paragraph" w:customStyle="1" w:styleId="Ednotepensubpara">
    <w:name w:val="Ednote(pensubpara)"/>
    <w:basedOn w:val="Ednotesubpara"/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character" w:customStyle="1" w:styleId="CharProduced">
    <w:name w:val="CharProduced"/>
    <w:rPr>
      <w:noProof w:val="0"/>
      <w:spacing w:val="-3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CentredBaseLine">
    <w:name w:val="CentredBaseLine"/>
    <w:pPr>
      <w:suppressLineNumbers/>
      <w:spacing w:before="240"/>
    </w:p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Equation">
    <w:name w:val="Equation"/>
    <w:rPr>
      <w:noProof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styleId="Header">
    <w:name w:val="header"/>
    <w:rPr>
      <w:rFonts w:ascii="Arial" w:hAnsi="Arial"/>
      <w:noProof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TableAm">
    <w:name w:val="TableAm"/>
    <w:basedOn w:val="Normal"/>
    <w:pPr>
      <w:tabs>
        <w:tab w:val="left" w:pos="567"/>
      </w:tabs>
      <w:spacing w:before="120"/>
    </w:pPr>
  </w:style>
  <w:style w:type="paragraph" w:customStyle="1" w:styleId="TableAmNote">
    <w:name w:val="TableAmNote"/>
    <w:pPr>
      <w:tabs>
        <w:tab w:val="left" w:pos="567"/>
      </w:tabs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OmitFootnote">
    <w:name w:val="OmitFootnote"/>
    <w:basedOn w:val="Normal"/>
    <w:pPr>
      <w:tabs>
        <w:tab w:val="left" w:pos="893"/>
      </w:tabs>
      <w:spacing w:before="600"/>
      <w:ind w:left="890" w:hanging="890"/>
      <w:outlineLvl w:val="1"/>
    </w:pPr>
    <w:rPr>
      <w:i/>
      <w:snapToGrid w:val="0"/>
      <w:sz w:val="22"/>
    </w:r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zytable">
    <w:name w:val="zytable"/>
    <w:basedOn w:val="yTable"/>
    <w:pPr>
      <w:ind w:left="567" w:right="284"/>
    </w:p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ReprintNo">
    <w:name w:val="ReprintNo"/>
    <w:rPr>
      <w:b/>
      <w:noProof/>
      <w:sz w:val="28"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2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10.xml"/><Relationship Id="rId32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header" Target="header1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3.xml"/><Relationship Id="rId30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232</Words>
  <Characters>1279</Characters>
  <Application>Microsoft Office Word</Application>
  <DocSecurity>0</DocSecurity>
  <Lines>60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WESTERN AUSTRALIA</vt:lpstr>
    </vt:vector>
  </TitlesOfParts>
  <Manager/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Insurance Brokers and Agents (Refund of Fees) Regulations 1986 - 00-a0-13</dc:title>
  <dc:subject/>
  <dc:creator/>
  <cp:keywords/>
  <dc:description/>
  <cp:lastModifiedBy>svcMRProcess</cp:lastModifiedBy>
  <cp:revision>4</cp:revision>
  <cp:lastPrinted>1998-04-08T09:41:00Z</cp:lastPrinted>
  <dcterms:created xsi:type="dcterms:W3CDTF">2019-01-16T04:35:00Z</dcterms:created>
  <dcterms:modified xsi:type="dcterms:W3CDTF">2019-01-16T04:35:00Z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29 August 1986 p.3206</vt:lpwstr>
  </property>
  <property fmtid="{D5CDD505-2E9C-101B-9397-08002B2CF9AE}" pid="3" name="CommencementDate">
    <vt:lpwstr>19981111</vt:lpwstr>
  </property>
  <property fmtid="{D5CDD505-2E9C-101B-9397-08002B2CF9AE}" pid="4" name="DocumentType">
    <vt:lpwstr>Reg</vt:lpwstr>
  </property>
  <property fmtid="{D5CDD505-2E9C-101B-9397-08002B2CF9AE}" pid="5" name="AsAtDate">
    <vt:lpwstr>11 Nov 1998</vt:lpwstr>
  </property>
  <property fmtid="{D5CDD505-2E9C-101B-9397-08002B2CF9AE}" pid="6" name="Suffix">
    <vt:lpwstr>00-a0-13</vt:lpwstr>
  </property>
</Properties>
</file>