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(Removal and Disposal of Vehicles) By-law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May 2004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Government Railways (Removal and Disposal of Vehicles) By-law 1978</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_Toc419207081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Application</w:t>
      </w:r>
      <w:r>
        <w:tab/>
      </w:r>
      <w:r>
        <w:fldChar w:fldCharType="begin"/>
      </w:r>
      <w:r>
        <w:instrText xml:space="preserve"> PAGEREF _Toc419207082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Interpretation</w:t>
      </w:r>
      <w:r>
        <w:tab/>
      </w:r>
      <w:r>
        <w:fldChar w:fldCharType="begin"/>
      </w:r>
      <w:r>
        <w:instrText xml:space="preserve"> PAGEREF _Toc419207083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Appointment of authorised persons</w:t>
      </w:r>
      <w:r>
        <w:tab/>
      </w:r>
      <w:r>
        <w:fldChar w:fldCharType="begin"/>
      </w:r>
      <w:r>
        <w:instrText xml:space="preserve"> PAGEREF _Toc419207084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5</w:t>
      </w:r>
      <w:r>
        <w:rPr>
          <w:snapToGrid w:val="0"/>
        </w:rPr>
        <w:t>.</w:t>
      </w:r>
      <w:r>
        <w:rPr>
          <w:snapToGrid w:val="0"/>
        </w:rPr>
        <w:tab/>
        <w:t>Use of force</w:t>
      </w:r>
      <w:r>
        <w:tab/>
      </w:r>
      <w:r>
        <w:fldChar w:fldCharType="begin"/>
      </w:r>
      <w:r>
        <w:instrText xml:space="preserve"> PAGEREF _Toc419207085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6</w:t>
      </w:r>
      <w:r>
        <w:rPr>
          <w:snapToGrid w:val="0"/>
        </w:rPr>
        <w:t>.</w:t>
      </w:r>
      <w:r>
        <w:rPr>
          <w:snapToGrid w:val="0"/>
        </w:rPr>
        <w:tab/>
        <w:t>Appointment of appointed place</w:t>
      </w:r>
      <w:r>
        <w:tab/>
      </w:r>
      <w:r>
        <w:fldChar w:fldCharType="begin"/>
      </w:r>
      <w:r>
        <w:instrText xml:space="preserve"> PAGEREF _Toc419207086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7</w:t>
      </w:r>
      <w:r>
        <w:rPr>
          <w:snapToGrid w:val="0"/>
        </w:rPr>
        <w:t>.</w:t>
      </w:r>
      <w:r>
        <w:rPr>
          <w:snapToGrid w:val="0"/>
        </w:rPr>
        <w:tab/>
        <w:t>Disposal of uncollected vehicles</w:t>
      </w:r>
      <w:r>
        <w:tab/>
      </w:r>
      <w:r>
        <w:fldChar w:fldCharType="begin"/>
      </w:r>
      <w:r>
        <w:instrText xml:space="preserve"> PAGEREF _Toc419207087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8</w:t>
      </w:r>
      <w:r>
        <w:rPr>
          <w:snapToGrid w:val="0"/>
        </w:rPr>
        <w:t>.</w:t>
      </w:r>
      <w:r>
        <w:rPr>
          <w:snapToGrid w:val="0"/>
        </w:rPr>
        <w:tab/>
        <w:t>Prerequisites of sale</w:t>
      </w:r>
      <w:r>
        <w:tab/>
      </w:r>
      <w:r>
        <w:fldChar w:fldCharType="begin"/>
      </w:r>
      <w:r>
        <w:instrText xml:space="preserve"> PAGEREF _Toc419207088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9</w:t>
      </w:r>
      <w:r>
        <w:rPr>
          <w:snapToGrid w:val="0"/>
        </w:rPr>
        <w:t>.</w:t>
      </w:r>
      <w:r>
        <w:rPr>
          <w:snapToGrid w:val="0"/>
        </w:rPr>
        <w:tab/>
        <w:t>Application of proceeds of sale</w:t>
      </w:r>
      <w:r>
        <w:tab/>
      </w:r>
      <w:r>
        <w:fldChar w:fldCharType="begin"/>
      </w:r>
      <w:r>
        <w:instrText xml:space="preserve"> PAGEREF _Toc419207089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10</w:t>
      </w:r>
      <w:r>
        <w:rPr>
          <w:snapToGrid w:val="0"/>
        </w:rPr>
        <w:t>.</w:t>
      </w:r>
      <w:r>
        <w:rPr>
          <w:snapToGrid w:val="0"/>
        </w:rPr>
        <w:tab/>
        <w:t>Recovery of costs</w:t>
      </w:r>
      <w:r>
        <w:tab/>
      </w:r>
      <w:r>
        <w:fldChar w:fldCharType="begin"/>
      </w:r>
      <w:r>
        <w:instrText xml:space="preserve"> PAGEREF _Toc419207090 \h </w:instrText>
      </w:r>
      <w:r>
        <w:fldChar w:fldCharType="separate"/>
      </w:r>
      <w:r>
        <w:t>3</w:t>
      </w:r>
      <w:r>
        <w:fldChar w:fldCharType="end"/>
      </w:r>
    </w:p>
    <w:p>
      <w:pPr>
        <w:pStyle w:val="TOC8"/>
        <w:tabs>
          <w:tab w:val="right" w:leader="dot" w:pos="7077"/>
        </w:tabs>
        <w:rPr>
          <w:rFonts w:asciiTheme="minorHAnsi" w:eastAsiaTheme="minorEastAsia" w:hAnsiTheme="minorHAnsi" w:cstheme="minorBidi"/>
          <w:i/>
          <w:szCs w:val="22"/>
        </w:rPr>
      </w:pPr>
      <w:r>
        <w:t>11</w:t>
      </w:r>
      <w:r>
        <w:rPr>
          <w:snapToGrid w:val="0"/>
        </w:rPr>
        <w:t>.</w:t>
      </w:r>
      <w:r>
        <w:rPr>
          <w:snapToGrid w:val="0"/>
        </w:rPr>
        <w:tab/>
        <w:t>Charges</w:t>
      </w:r>
      <w:r>
        <w:tab/>
      </w:r>
      <w:r>
        <w:fldChar w:fldCharType="begin"/>
      </w:r>
      <w:r>
        <w:instrText xml:space="preserve"> PAGEREF _Toc419207091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_Toc419207093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7 May 2004</w:t>
            </w:r>
            <w:r>
              <w:rPr>
                <w:b/>
                <w:sz w:val="22"/>
              </w:rPr>
              <w:fldChar w:fldCharType="end"/>
            </w:r>
          </w:p>
        </w:tc>
      </w:tr>
    </w:tbl>
    <w:p>
      <w:pPr>
        <w:pStyle w:val="WA"/>
        <w:spacing w:before="12"/>
      </w:pPr>
      <w:r>
        <w:t>Western Australia</w:t>
      </w:r>
    </w:p>
    <w:p>
      <w:pPr>
        <w:pStyle w:val="PrincipalActReg"/>
        <w:rPr>
          <w:snapToGrid w:val="0"/>
        </w:rPr>
      </w:pPr>
      <w:r>
        <w:rPr>
          <w:snapToGrid w:val="0"/>
        </w:rPr>
        <w:t>Government Railways Act 1904</w:t>
      </w:r>
    </w:p>
    <w:p>
      <w:pPr>
        <w:pStyle w:val="NameofActReg"/>
      </w:pPr>
      <w:r>
        <w:t>Government Railways (Removal and Disposal of Vehicles) By</w:t>
      </w:r>
      <w:r>
        <w:noBreakHyphen/>
        <w:t>law 1978</w:t>
      </w:r>
    </w:p>
    <w:p>
      <w:pPr>
        <w:pStyle w:val="Ednotesection"/>
      </w:pPr>
      <w:r>
        <w:tab/>
        <w:t>[Heading deleted: Gazette 12 Dec 2003 p. 5046.]</w:t>
      </w:r>
    </w:p>
    <w:p>
      <w:pPr>
        <w:pStyle w:val="Heading5"/>
        <w:rPr>
          <w:snapToGrid w:val="0"/>
        </w:rPr>
      </w:pPr>
      <w:bookmarkStart w:id="3" w:name="_Toc378666082"/>
      <w:bookmarkStart w:id="4" w:name="_Toc419207081"/>
      <w:r>
        <w:rPr>
          <w:rStyle w:val="CharSectno"/>
        </w:rPr>
        <w:t>1</w:t>
      </w:r>
      <w:r>
        <w:rPr>
          <w:snapToGrid w:val="0"/>
        </w:rPr>
        <w:t>.</w:t>
      </w:r>
      <w:r>
        <w:rPr>
          <w:snapToGrid w:val="0"/>
        </w:rPr>
        <w:tab/>
        <w:t>Citation</w:t>
      </w:r>
      <w:bookmarkEnd w:id="3"/>
      <w:bookmarkEnd w:id="4"/>
    </w:p>
    <w:p>
      <w:pPr>
        <w:pStyle w:val="Subsection"/>
      </w:pPr>
      <w:r>
        <w:rPr>
          <w:snapToGrid w:val="0"/>
        </w:rPr>
        <w:tab/>
        <w:t>(1)</w:t>
      </w:r>
      <w:r>
        <w:rPr>
          <w:snapToGrid w:val="0"/>
        </w:rPr>
        <w:tab/>
        <w:t>This by</w:t>
      </w:r>
      <w:r>
        <w:rPr>
          <w:snapToGrid w:val="0"/>
        </w:rPr>
        <w:noBreakHyphen/>
        <w:t xml:space="preserve">law may be cited as the </w:t>
      </w:r>
      <w:r>
        <w:rPr>
          <w:i/>
        </w:rPr>
        <w:t>Government Railways (Removal and Disposal of Vehicles) By</w:t>
      </w:r>
      <w:r>
        <w:rPr>
          <w:i/>
        </w:rPr>
        <w:noBreakHyphen/>
        <w:t>law 1978</w:t>
      </w:r>
      <w:r>
        <w:rPr>
          <w:rFonts w:ascii="Times" w:hAnsi="Times"/>
          <w:vertAlign w:val="superscript"/>
        </w:rPr>
        <w:t> 1</w:t>
      </w:r>
      <w:r>
        <w:t>.</w:t>
      </w:r>
    </w:p>
    <w:p>
      <w:pPr>
        <w:pStyle w:val="Subsection"/>
      </w:pPr>
      <w:r>
        <w:tab/>
        <w:t>(2)</w:t>
      </w:r>
      <w:r>
        <w:tab/>
        <w:t>The main legislative units of this by</w:t>
      </w:r>
      <w:r>
        <w:noBreakHyphen/>
        <w:t>law are called rules, and a rule may contain 2 or more subrules (this sentence, for example, being subrule (2) of rule 1).</w:t>
      </w:r>
    </w:p>
    <w:p>
      <w:pPr>
        <w:pStyle w:val="Footnotesection"/>
      </w:pPr>
      <w:r>
        <w:tab/>
        <w:t>[Rule 1 amended: Gazette 12 Dec 2003 p. 5046.]</w:t>
      </w:r>
    </w:p>
    <w:p>
      <w:pPr>
        <w:pStyle w:val="Heading5"/>
        <w:rPr>
          <w:rStyle w:val="CharSectno"/>
        </w:rPr>
      </w:pPr>
      <w:bookmarkStart w:id="5" w:name="_Toc378666083"/>
      <w:bookmarkStart w:id="6" w:name="_Toc419207082"/>
      <w:r>
        <w:rPr>
          <w:rStyle w:val="CharSectno"/>
        </w:rPr>
        <w:t>2</w:t>
      </w:r>
      <w:r>
        <w:rPr>
          <w:snapToGrid w:val="0"/>
        </w:rPr>
        <w:t>.</w:t>
      </w:r>
      <w:r>
        <w:rPr>
          <w:snapToGrid w:val="0"/>
        </w:rPr>
        <w:tab/>
        <w:t>Application</w:t>
      </w:r>
      <w:bookmarkEnd w:id="5"/>
      <w:bookmarkEnd w:id="6"/>
    </w:p>
    <w:p>
      <w:pPr>
        <w:pStyle w:val="Subsection"/>
        <w:rPr>
          <w:snapToGrid w:val="0"/>
        </w:rPr>
      </w:pPr>
      <w:r>
        <w:rPr>
          <w:snapToGrid w:val="0"/>
        </w:rPr>
        <w:tab/>
      </w:r>
      <w:r>
        <w:rPr>
          <w:snapToGrid w:val="0"/>
        </w:rPr>
        <w:tab/>
        <w:t>This by</w:t>
      </w:r>
      <w:r>
        <w:rPr>
          <w:snapToGrid w:val="0"/>
        </w:rPr>
        <w:noBreakHyphen/>
        <w:t>law applies to and in relation to any vehicle left on a railway for a period in excess of 7 days.</w:t>
      </w:r>
    </w:p>
    <w:p>
      <w:pPr>
        <w:pStyle w:val="Heading5"/>
        <w:rPr>
          <w:snapToGrid w:val="0"/>
        </w:rPr>
      </w:pPr>
      <w:bookmarkStart w:id="7" w:name="_Toc378666084"/>
      <w:bookmarkStart w:id="8" w:name="_Toc419207083"/>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this by</w:t>
      </w:r>
      <w:r>
        <w:rPr>
          <w:snapToGrid w:val="0"/>
        </w:rPr>
        <w:noBreakHyphen/>
        <w:t>law unless the contrary intentions appears — </w:t>
      </w:r>
    </w:p>
    <w:p>
      <w:pPr>
        <w:pStyle w:val="Defstart"/>
      </w:pPr>
      <w:r>
        <w:rPr>
          <w:b/>
        </w:rPr>
        <w:tab/>
      </w:r>
      <w:r>
        <w:rPr>
          <w:rStyle w:val="CharDefText"/>
        </w:rPr>
        <w:t>appointed place</w:t>
      </w:r>
      <w:r>
        <w:t xml:space="preserve"> means a place appointed by the Authority under this by</w:t>
      </w:r>
      <w:r>
        <w:noBreakHyphen/>
        <w:t>law for the custody of a vehicle removed pursuant to this by</w:t>
      </w:r>
      <w:r>
        <w:noBreakHyphen/>
        <w:t>law;</w:t>
      </w:r>
    </w:p>
    <w:p>
      <w:pPr>
        <w:pStyle w:val="Defstart"/>
      </w:pPr>
      <w:r>
        <w:rPr>
          <w:b/>
        </w:rPr>
        <w:tab/>
      </w:r>
      <w:r>
        <w:rPr>
          <w:rStyle w:val="CharDefText"/>
        </w:rPr>
        <w:t>authorised person</w:t>
      </w:r>
      <w:r>
        <w:t xml:space="preserve"> means a person appointed by the Authority to exercise any powers conferred on him by this by</w:t>
      </w:r>
      <w:r>
        <w:noBreakHyphen/>
        <w:t>law;</w:t>
      </w:r>
    </w:p>
    <w:p>
      <w:pPr>
        <w:pStyle w:val="Defstart"/>
      </w:pPr>
      <w:r>
        <w:rPr>
          <w:b/>
        </w:rPr>
        <w:tab/>
      </w:r>
      <w:r>
        <w:rPr>
          <w:rStyle w:val="CharDefText"/>
        </w:rPr>
        <w:t>the Act</w:t>
      </w:r>
      <w:r>
        <w:t xml:space="preserve"> means the </w:t>
      </w:r>
      <w:r>
        <w:rPr>
          <w:i/>
        </w:rPr>
        <w:t>Government Railways Act 1904</w:t>
      </w:r>
      <w:r>
        <w:t>.</w:t>
      </w:r>
    </w:p>
    <w:p>
      <w:pPr>
        <w:pStyle w:val="Footnotesection"/>
      </w:pPr>
      <w:r>
        <w:tab/>
        <w:t>[Rule 3 amended: Gazette 12 Dec 2003 p. 5046 and 5046</w:t>
      </w:r>
      <w:r>
        <w:noBreakHyphen/>
        <w:t>7.]</w:t>
      </w:r>
    </w:p>
    <w:p>
      <w:pPr>
        <w:pStyle w:val="Heading5"/>
        <w:rPr>
          <w:snapToGrid w:val="0"/>
        </w:rPr>
      </w:pPr>
      <w:bookmarkStart w:id="9" w:name="_Toc378666085"/>
      <w:bookmarkStart w:id="10" w:name="_Toc419207084"/>
      <w:r>
        <w:rPr>
          <w:rStyle w:val="CharSectno"/>
        </w:rPr>
        <w:t>4</w:t>
      </w:r>
      <w:r>
        <w:rPr>
          <w:snapToGrid w:val="0"/>
        </w:rPr>
        <w:t>.</w:t>
      </w:r>
      <w:r>
        <w:rPr>
          <w:snapToGrid w:val="0"/>
        </w:rPr>
        <w:tab/>
        <w:t>Appointment of authorised persons</w:t>
      </w:r>
      <w:bookmarkEnd w:id="9"/>
      <w:bookmarkEnd w:id="10"/>
    </w:p>
    <w:p>
      <w:pPr>
        <w:pStyle w:val="Subsection"/>
        <w:rPr>
          <w:snapToGrid w:val="0"/>
        </w:rPr>
      </w:pPr>
      <w:r>
        <w:rPr>
          <w:snapToGrid w:val="0"/>
        </w:rPr>
        <w:tab/>
      </w:r>
      <w:r>
        <w:rPr>
          <w:snapToGrid w:val="0"/>
        </w:rPr>
        <w:tab/>
        <w:t xml:space="preserve">The </w:t>
      </w:r>
      <w:r>
        <w:t xml:space="preserve">Authority </w:t>
      </w:r>
      <w:r>
        <w:rPr>
          <w:snapToGrid w:val="0"/>
        </w:rPr>
        <w:t>may appoint persons for the purpose of removing into custody any vehicle left on a railway for a period in excess of 7 days.</w:t>
      </w:r>
    </w:p>
    <w:p>
      <w:pPr>
        <w:pStyle w:val="Footnotesection"/>
      </w:pPr>
      <w:r>
        <w:tab/>
        <w:t>[Rule 4 amended: Gazette 12 Dec 2003 p. 5046</w:t>
      </w:r>
      <w:r>
        <w:noBreakHyphen/>
        <w:t>7.]</w:t>
      </w:r>
    </w:p>
    <w:p>
      <w:pPr>
        <w:pStyle w:val="Heading5"/>
        <w:rPr>
          <w:snapToGrid w:val="0"/>
        </w:rPr>
      </w:pPr>
      <w:bookmarkStart w:id="11" w:name="_Toc378666086"/>
      <w:bookmarkStart w:id="12" w:name="_Toc419207085"/>
      <w:r>
        <w:rPr>
          <w:rStyle w:val="CharSectno"/>
        </w:rPr>
        <w:t>5</w:t>
      </w:r>
      <w:r>
        <w:rPr>
          <w:snapToGrid w:val="0"/>
        </w:rPr>
        <w:t>.</w:t>
      </w:r>
      <w:r>
        <w:rPr>
          <w:snapToGrid w:val="0"/>
        </w:rPr>
        <w:tab/>
        <w:t>Use of force</w:t>
      </w:r>
      <w:bookmarkEnd w:id="11"/>
      <w:bookmarkEnd w:id="12"/>
    </w:p>
    <w:p>
      <w:pPr>
        <w:pStyle w:val="Subsection"/>
        <w:rPr>
          <w:snapToGrid w:val="0"/>
        </w:rPr>
      </w:pPr>
      <w:r>
        <w:rPr>
          <w:snapToGrid w:val="0"/>
        </w:rPr>
        <w:tab/>
      </w:r>
      <w:r>
        <w:rPr>
          <w:snapToGrid w:val="0"/>
        </w:rPr>
        <w:tab/>
        <w:t>An authorised person may use such force as is necessary to enter a vehicle for the purpose of removing it and may remove the vehicle to an appointed place.</w:t>
      </w:r>
    </w:p>
    <w:p>
      <w:pPr>
        <w:pStyle w:val="Heading5"/>
        <w:rPr>
          <w:snapToGrid w:val="0"/>
        </w:rPr>
      </w:pPr>
      <w:bookmarkStart w:id="13" w:name="_Toc378666087"/>
      <w:bookmarkStart w:id="14" w:name="_Toc419207086"/>
      <w:r>
        <w:rPr>
          <w:rStyle w:val="CharSectno"/>
        </w:rPr>
        <w:t>6</w:t>
      </w:r>
      <w:r>
        <w:rPr>
          <w:snapToGrid w:val="0"/>
        </w:rPr>
        <w:t>.</w:t>
      </w:r>
      <w:r>
        <w:rPr>
          <w:snapToGrid w:val="0"/>
        </w:rPr>
        <w:tab/>
        <w:t>Appointment of appointed place</w:t>
      </w:r>
      <w:bookmarkEnd w:id="13"/>
      <w:bookmarkEnd w:id="14"/>
    </w:p>
    <w:p>
      <w:pPr>
        <w:pStyle w:val="Subsection"/>
        <w:rPr>
          <w:snapToGrid w:val="0"/>
        </w:rPr>
      </w:pPr>
      <w:r>
        <w:rPr>
          <w:snapToGrid w:val="0"/>
        </w:rPr>
        <w:tab/>
      </w:r>
      <w:r>
        <w:rPr>
          <w:snapToGrid w:val="0"/>
        </w:rPr>
        <w:tab/>
        <w:t xml:space="preserve">The </w:t>
      </w:r>
      <w:r>
        <w:t xml:space="preserve">Authority </w:t>
      </w:r>
      <w:r>
        <w:rPr>
          <w:snapToGrid w:val="0"/>
        </w:rPr>
        <w:t>may appoint any place or places as it thinks convenient in which vehicles removed pursuant to this by</w:t>
      </w:r>
      <w:r>
        <w:rPr>
          <w:snapToGrid w:val="0"/>
        </w:rPr>
        <w:noBreakHyphen/>
        <w:t>law may be held in custody.</w:t>
      </w:r>
    </w:p>
    <w:p>
      <w:pPr>
        <w:pStyle w:val="Footnotesection"/>
      </w:pPr>
      <w:r>
        <w:tab/>
        <w:t>[Rule 6 amended: Gazette 12 Dec 2003 p. 5046</w:t>
      </w:r>
      <w:r>
        <w:noBreakHyphen/>
        <w:t>7.]</w:t>
      </w:r>
    </w:p>
    <w:p>
      <w:pPr>
        <w:pStyle w:val="Heading5"/>
        <w:rPr>
          <w:snapToGrid w:val="0"/>
        </w:rPr>
      </w:pPr>
      <w:bookmarkStart w:id="15" w:name="_Toc378666088"/>
      <w:bookmarkStart w:id="16" w:name="_Toc419207087"/>
      <w:r>
        <w:rPr>
          <w:rStyle w:val="CharSectno"/>
        </w:rPr>
        <w:t>7</w:t>
      </w:r>
      <w:r>
        <w:rPr>
          <w:snapToGrid w:val="0"/>
        </w:rPr>
        <w:t>.</w:t>
      </w:r>
      <w:r>
        <w:rPr>
          <w:snapToGrid w:val="0"/>
        </w:rPr>
        <w:tab/>
        <w:t>Disposal of uncollected vehicles</w:t>
      </w:r>
      <w:bookmarkEnd w:id="15"/>
      <w:bookmarkEnd w:id="16"/>
    </w:p>
    <w:p>
      <w:pPr>
        <w:pStyle w:val="Subsection"/>
        <w:rPr>
          <w:snapToGrid w:val="0"/>
        </w:rPr>
      </w:pPr>
      <w:r>
        <w:rPr>
          <w:snapToGrid w:val="0"/>
        </w:rPr>
        <w:tab/>
      </w:r>
      <w:r>
        <w:rPr>
          <w:snapToGrid w:val="0"/>
        </w:rPr>
        <w:tab/>
        <w:t xml:space="preserve">Subject to rule 8 where a vehicle is not recovered within a period of 2 months from a place in which it is held pursuant to rule 6 the </w:t>
      </w:r>
      <w:r>
        <w:t xml:space="preserve">Authority </w:t>
      </w:r>
      <w:r>
        <w:rPr>
          <w:snapToGrid w:val="0"/>
        </w:rPr>
        <w:t>may sell or otherwise dispose of the vehicle.</w:t>
      </w:r>
    </w:p>
    <w:p>
      <w:pPr>
        <w:pStyle w:val="Footnotesection"/>
      </w:pPr>
      <w:r>
        <w:tab/>
        <w:t>[Rule 7 amended: Gazette 12 Dec 2003 p. 5046 and 5046</w:t>
      </w:r>
      <w:r>
        <w:noBreakHyphen/>
        <w:t>7.]</w:t>
      </w:r>
    </w:p>
    <w:p>
      <w:pPr>
        <w:pStyle w:val="Heading5"/>
        <w:rPr>
          <w:snapToGrid w:val="0"/>
        </w:rPr>
      </w:pPr>
      <w:bookmarkStart w:id="17" w:name="_Toc378666089"/>
      <w:bookmarkStart w:id="18" w:name="_Toc419207088"/>
      <w:r>
        <w:rPr>
          <w:rStyle w:val="CharSectno"/>
        </w:rPr>
        <w:t>8</w:t>
      </w:r>
      <w:r>
        <w:rPr>
          <w:snapToGrid w:val="0"/>
        </w:rPr>
        <w:t>.</w:t>
      </w:r>
      <w:r>
        <w:rPr>
          <w:snapToGrid w:val="0"/>
        </w:rPr>
        <w:tab/>
        <w:t>Prerequisites of sale</w:t>
      </w:r>
      <w:bookmarkEnd w:id="17"/>
      <w:bookmarkEnd w:id="18"/>
    </w:p>
    <w:p>
      <w:pPr>
        <w:pStyle w:val="Subsection"/>
        <w:keepNext/>
        <w:keepLines/>
        <w:rPr>
          <w:snapToGrid w:val="0"/>
        </w:rPr>
      </w:pPr>
      <w:r>
        <w:rPr>
          <w:snapToGrid w:val="0"/>
        </w:rPr>
        <w:tab/>
        <w:t>(1)</w:t>
      </w:r>
      <w:r>
        <w:rPr>
          <w:snapToGrid w:val="0"/>
        </w:rPr>
        <w:tab/>
        <w:t>A vehicle shall not be sold under this by</w:t>
      </w:r>
      <w:r>
        <w:rPr>
          <w:snapToGrid w:val="0"/>
        </w:rPr>
        <w:noBreakHyphen/>
        <w:t xml:space="preserve">law unless and until the </w:t>
      </w:r>
      <w:r>
        <w:t xml:space="preserve">Authority </w:t>
      </w:r>
      <w:r>
        <w:rPr>
          <w:snapToGrid w:val="0"/>
        </w:rPr>
        <w:t>has caused — </w:t>
      </w:r>
    </w:p>
    <w:p>
      <w:pPr>
        <w:pStyle w:val="Indenta"/>
        <w:rPr>
          <w:snapToGrid w:val="0"/>
        </w:rPr>
      </w:pPr>
      <w:r>
        <w:rPr>
          <w:snapToGrid w:val="0"/>
        </w:rPr>
        <w:tab/>
        <w:t>(a)</w:t>
      </w:r>
      <w:r>
        <w:rPr>
          <w:snapToGrid w:val="0"/>
        </w:rPr>
        <w:tab/>
        <w:t>enquiries to be made as to the ownership of the vehicle; and</w:t>
      </w:r>
    </w:p>
    <w:p>
      <w:pPr>
        <w:pStyle w:val="Indenta"/>
        <w:rPr>
          <w:snapToGrid w:val="0"/>
        </w:rPr>
      </w:pPr>
      <w:r>
        <w:rPr>
          <w:snapToGrid w:val="0"/>
        </w:rPr>
        <w:tab/>
        <w:t>(b)</w:t>
      </w:r>
      <w:r>
        <w:rPr>
          <w:snapToGrid w:val="0"/>
        </w:rPr>
        <w:tab/>
        <w:t xml:space="preserve">the owner of the vehicle to be notified in writing by prepaid registered mail that it is the intention of the </w:t>
      </w:r>
      <w:r>
        <w:t xml:space="preserve">Authority </w:t>
      </w:r>
      <w:r>
        <w:rPr>
          <w:snapToGrid w:val="0"/>
        </w:rPr>
        <w:t>to sell or otherwise dispose of the vehicle.</w:t>
      </w:r>
    </w:p>
    <w:p>
      <w:pPr>
        <w:pStyle w:val="Subsection"/>
        <w:rPr>
          <w:snapToGrid w:val="0"/>
        </w:rPr>
      </w:pPr>
      <w:r>
        <w:rPr>
          <w:snapToGrid w:val="0"/>
        </w:rPr>
        <w:tab/>
        <w:t>(2)</w:t>
      </w:r>
      <w:r>
        <w:rPr>
          <w:snapToGrid w:val="0"/>
        </w:rPr>
        <w:tab/>
        <w:t xml:space="preserve">Where by reason that the whereabouts of the owner are not known or otherwise the owner of a vehicle cannot be notified of the intention of the </w:t>
      </w:r>
      <w:r>
        <w:t xml:space="preserve">Authority </w:t>
      </w:r>
      <w:r>
        <w:rPr>
          <w:snapToGrid w:val="0"/>
        </w:rPr>
        <w:t xml:space="preserve">to sell the vehicle the </w:t>
      </w:r>
      <w:r>
        <w:t xml:space="preserve">Authority </w:t>
      </w:r>
      <w:r>
        <w:rPr>
          <w:snapToGrid w:val="0"/>
        </w:rPr>
        <w:t>shall publish in a daily newspaper circulating throughout the State notice of intention to sell or otherwise dispose of the vehicle.</w:t>
      </w:r>
    </w:p>
    <w:p>
      <w:pPr>
        <w:pStyle w:val="Footnotesection"/>
      </w:pPr>
      <w:r>
        <w:tab/>
        <w:t>[Rule 8 amended: Gazette 12 Dec 2003 p. 5046</w:t>
      </w:r>
      <w:r>
        <w:noBreakHyphen/>
        <w:t>7.]</w:t>
      </w:r>
    </w:p>
    <w:p>
      <w:pPr>
        <w:pStyle w:val="Heading5"/>
        <w:rPr>
          <w:snapToGrid w:val="0"/>
        </w:rPr>
      </w:pPr>
      <w:bookmarkStart w:id="19" w:name="_Toc378666090"/>
      <w:bookmarkStart w:id="20" w:name="_Toc419207089"/>
      <w:r>
        <w:rPr>
          <w:rStyle w:val="CharSectno"/>
        </w:rPr>
        <w:t>9</w:t>
      </w:r>
      <w:r>
        <w:rPr>
          <w:snapToGrid w:val="0"/>
        </w:rPr>
        <w:t>.</w:t>
      </w:r>
      <w:r>
        <w:rPr>
          <w:snapToGrid w:val="0"/>
        </w:rPr>
        <w:tab/>
        <w:t>Application of proceeds of sale</w:t>
      </w:r>
      <w:bookmarkEnd w:id="19"/>
      <w:bookmarkEnd w:id="20"/>
    </w:p>
    <w:p>
      <w:pPr>
        <w:pStyle w:val="Subsection"/>
        <w:rPr>
          <w:snapToGrid w:val="0"/>
        </w:rPr>
      </w:pPr>
      <w:r>
        <w:rPr>
          <w:snapToGrid w:val="0"/>
        </w:rPr>
        <w:tab/>
      </w:r>
      <w:r>
        <w:rPr>
          <w:snapToGrid w:val="0"/>
        </w:rPr>
        <w:tab/>
        <w:t>Where a vehicle is sold under this by</w:t>
      </w:r>
      <w:r>
        <w:rPr>
          <w:snapToGrid w:val="0"/>
        </w:rPr>
        <w:noBreakHyphen/>
        <w:t xml:space="preserve">law the proceeds of sale of such a vehicle may be applied by the </w:t>
      </w:r>
      <w:r>
        <w:t xml:space="preserve">Authority </w:t>
      </w:r>
      <w:r>
        <w:rPr>
          <w:snapToGrid w:val="0"/>
        </w:rPr>
        <w:t>towards recouping the costs of the removal custody and sale of the vehicle.</w:t>
      </w:r>
    </w:p>
    <w:p>
      <w:pPr>
        <w:pStyle w:val="Footnotesection"/>
      </w:pPr>
      <w:r>
        <w:tab/>
        <w:t>[Rule 9 amended: Gazette 12 Dec 2003 p. 5046</w:t>
      </w:r>
      <w:r>
        <w:noBreakHyphen/>
        <w:t>7.]</w:t>
      </w:r>
    </w:p>
    <w:p>
      <w:pPr>
        <w:pStyle w:val="Heading5"/>
        <w:rPr>
          <w:snapToGrid w:val="0"/>
        </w:rPr>
      </w:pPr>
      <w:bookmarkStart w:id="21" w:name="_Toc378666091"/>
      <w:bookmarkStart w:id="22" w:name="_Toc419207090"/>
      <w:r>
        <w:rPr>
          <w:rStyle w:val="CharSectno"/>
        </w:rPr>
        <w:t>10</w:t>
      </w:r>
      <w:r>
        <w:rPr>
          <w:snapToGrid w:val="0"/>
        </w:rPr>
        <w:t>.</w:t>
      </w:r>
      <w:r>
        <w:rPr>
          <w:snapToGrid w:val="0"/>
        </w:rPr>
        <w:tab/>
        <w:t>Recovery of costs</w:t>
      </w:r>
      <w:bookmarkEnd w:id="21"/>
      <w:bookmarkEnd w:id="22"/>
    </w:p>
    <w:p>
      <w:pPr>
        <w:pStyle w:val="Subsection"/>
        <w:keepNext/>
        <w:keepLines/>
        <w:rPr>
          <w:snapToGrid w:val="0"/>
        </w:rPr>
      </w:pPr>
      <w:r>
        <w:rPr>
          <w:snapToGrid w:val="0"/>
        </w:rPr>
        <w:tab/>
        <w:t>(1)</w:t>
      </w:r>
      <w:r>
        <w:rPr>
          <w:snapToGrid w:val="0"/>
        </w:rPr>
        <w:tab/>
        <w:t xml:space="preserve">Where the costs of the removal, custody and sale of the vehicle exceed the proceeds of the sale of the vehicle the amount of the excess may be recovered by the </w:t>
      </w:r>
      <w:r>
        <w:t xml:space="preserve">Authority </w:t>
      </w:r>
      <w:r>
        <w:rPr>
          <w:snapToGrid w:val="0"/>
        </w:rPr>
        <w:t>from the owner in any court of competent jurisdiction.</w:t>
      </w:r>
    </w:p>
    <w:p>
      <w:pPr>
        <w:pStyle w:val="Subsection"/>
      </w:pPr>
      <w:r>
        <w:rPr>
          <w:snapToGrid w:val="0"/>
        </w:rPr>
        <w:tab/>
        <w:t>(2)</w:t>
      </w:r>
      <w:r>
        <w:rPr>
          <w:snapToGrid w:val="0"/>
        </w:rPr>
        <w:tab/>
        <w:t xml:space="preserve">Where the proceeds of the sale of a vehicle exceed the costs of the removal, custody and sale of the vehicle the amount of such excess shall be paid to the owner of the vehicle, or, where the identity or whereabouts of the owner is unknown, shall be </w:t>
      </w:r>
      <w:r>
        <w:t xml:space="preserve">credited to the account referred to in the </w:t>
      </w:r>
      <w:r>
        <w:rPr>
          <w:i/>
        </w:rPr>
        <w:t xml:space="preserve">Public Transport Authority Act 2003 </w:t>
      </w:r>
      <w:r>
        <w:t>section 32.</w:t>
      </w:r>
    </w:p>
    <w:p>
      <w:pPr>
        <w:pStyle w:val="Footnotesection"/>
      </w:pPr>
      <w:r>
        <w:tab/>
        <w:t>[Rule 10 amended: Gazette 12 Dec 2003 p. 5046 and 5046</w:t>
      </w:r>
      <w:r>
        <w:noBreakHyphen/>
        <w:t>7.]</w:t>
      </w:r>
    </w:p>
    <w:p>
      <w:pPr>
        <w:pStyle w:val="Heading5"/>
        <w:rPr>
          <w:snapToGrid w:val="0"/>
        </w:rPr>
      </w:pPr>
      <w:bookmarkStart w:id="23" w:name="_Toc378666092"/>
      <w:bookmarkStart w:id="24" w:name="_Toc419207091"/>
      <w:r>
        <w:rPr>
          <w:rStyle w:val="CharSectno"/>
        </w:rPr>
        <w:t>11</w:t>
      </w:r>
      <w:r>
        <w:rPr>
          <w:snapToGrid w:val="0"/>
        </w:rPr>
        <w:t>.</w:t>
      </w:r>
      <w:r>
        <w:rPr>
          <w:snapToGrid w:val="0"/>
        </w:rPr>
        <w:tab/>
        <w:t>Charges</w:t>
      </w:r>
      <w:bookmarkEnd w:id="23"/>
      <w:bookmarkEnd w:id="24"/>
    </w:p>
    <w:p>
      <w:pPr>
        <w:pStyle w:val="Subsection"/>
        <w:rPr>
          <w:snapToGrid w:val="0"/>
        </w:rPr>
      </w:pPr>
      <w:r>
        <w:rPr>
          <w:snapToGrid w:val="0"/>
        </w:rPr>
        <w:tab/>
      </w:r>
      <w:r>
        <w:rPr>
          <w:snapToGrid w:val="0"/>
        </w:rPr>
        <w:tab/>
        <w:t>The following charges shall be paid by a person who desires to recover a vehicle held in custody under this by</w:t>
      </w:r>
      <w:r>
        <w:rPr>
          <w:snapToGrid w:val="0"/>
        </w:rPr>
        <w:noBreakHyphen/>
        <w:t>law — </w:t>
      </w:r>
    </w:p>
    <w:p>
      <w:pPr>
        <w:pStyle w:val="Indenta"/>
        <w:rPr>
          <w:snapToGrid w:val="0"/>
        </w:rPr>
      </w:pPr>
      <w:r>
        <w:rPr>
          <w:snapToGrid w:val="0"/>
        </w:rPr>
        <w:tab/>
      </w:r>
      <w:r>
        <w:rPr>
          <w:snapToGrid w:val="0"/>
        </w:rPr>
        <w:tab/>
        <w:t>For the removal of the vehicle to an appointed place for custody — $2 per kilometre.</w:t>
      </w:r>
    </w:p>
    <w:p>
      <w:pPr>
        <w:pStyle w:val="Indenta"/>
        <w:rPr>
          <w:snapToGrid w:val="0"/>
        </w:rPr>
      </w:pPr>
      <w:r>
        <w:rPr>
          <w:snapToGrid w:val="0"/>
        </w:rPr>
        <w:tab/>
      </w:r>
      <w:r>
        <w:rPr>
          <w:snapToGrid w:val="0"/>
        </w:rPr>
        <w:tab/>
        <w:t>For custody of a vehicle — $1 for each day of custody.</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5" w:name="_Toc378666093"/>
      <w:bookmarkStart w:id="26" w:name="_Toc419207092"/>
      <w:r>
        <w:t>Notes</w:t>
      </w:r>
      <w:bookmarkEnd w:id="25"/>
      <w:bookmarkEnd w:id="26"/>
    </w:p>
    <w:p>
      <w:pPr>
        <w:pStyle w:val="nSubsection"/>
        <w:rPr>
          <w:snapToGrid w:val="0"/>
        </w:rPr>
      </w:pPr>
      <w:r>
        <w:rPr>
          <w:snapToGrid w:val="0"/>
          <w:vertAlign w:val="superscript"/>
        </w:rPr>
        <w:t>1</w:t>
      </w:r>
      <w:r>
        <w:rPr>
          <w:snapToGrid w:val="0"/>
        </w:rPr>
        <w:tab/>
        <w:t xml:space="preserve">This reprint is a compilation as at 7 May 2004 of the </w:t>
      </w:r>
      <w:r>
        <w:rPr>
          <w:i/>
          <w:noProof/>
          <w:snapToGrid w:val="0"/>
        </w:rPr>
        <w:t>Government Railways (Removal and Disposal of Vehicles) By-law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8666094"/>
      <w:bookmarkStart w:id="28" w:name="_Toc419207093"/>
      <w:r>
        <w:rPr>
          <w:snapToGrid w:val="0"/>
        </w:rPr>
        <w:t>Compilation table</w:t>
      </w:r>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vertAlign w:val="superscript"/>
              </w:rPr>
            </w:pPr>
            <w:r>
              <w:rPr>
                <w:i/>
                <w:snapToGrid w:val="0"/>
              </w:rPr>
              <w:t>Removal and Disposal of Vehicles By</w:t>
            </w:r>
            <w:r>
              <w:rPr>
                <w:i/>
                <w:snapToGrid w:val="0"/>
              </w:rPr>
              <w:noBreakHyphen/>
              <w:t>laws</w:t>
            </w:r>
            <w:r>
              <w:rPr>
                <w:rFonts w:ascii="Times" w:hAnsi="Times"/>
                <w:snapToGrid w:val="0"/>
                <w:vertAlign w:val="superscript"/>
              </w:rPr>
              <w:t> 2</w:t>
            </w:r>
          </w:p>
        </w:tc>
        <w:tc>
          <w:tcPr>
            <w:tcW w:w="1276" w:type="dxa"/>
            <w:tcBorders>
              <w:top w:val="single" w:sz="8" w:space="0" w:color="auto"/>
            </w:tcBorders>
          </w:tcPr>
          <w:p>
            <w:pPr>
              <w:pStyle w:val="nTable"/>
              <w:spacing w:after="40"/>
            </w:pPr>
            <w:r>
              <w:t>21 Jul 1978 p. 2688</w:t>
            </w:r>
            <w:r>
              <w:noBreakHyphen/>
              <w:t>9</w:t>
            </w:r>
          </w:p>
        </w:tc>
        <w:tc>
          <w:tcPr>
            <w:tcW w:w="2693" w:type="dxa"/>
            <w:tcBorders>
              <w:top w:val="single" w:sz="8" w:space="0" w:color="auto"/>
            </w:tcBorders>
          </w:tcPr>
          <w:p>
            <w:pPr>
              <w:pStyle w:val="nTable"/>
              <w:spacing w:after="40"/>
            </w:pPr>
            <w:r>
              <w:t>21 Jul 1978</w:t>
            </w:r>
          </w:p>
        </w:tc>
      </w:tr>
      <w:tr>
        <w:tc>
          <w:tcPr>
            <w:tcW w:w="3118" w:type="dxa"/>
          </w:tcPr>
          <w:p>
            <w:pPr>
              <w:pStyle w:val="nTable"/>
              <w:spacing w:after="40"/>
              <w:rPr>
                <w:snapToGrid w:val="0"/>
              </w:rPr>
            </w:pPr>
            <w:r>
              <w:rPr>
                <w:i/>
                <w:snapToGrid w:val="0"/>
              </w:rPr>
              <w:t>Government Railways Amendment and Repeal By</w:t>
            </w:r>
            <w:r>
              <w:rPr>
                <w:i/>
                <w:snapToGrid w:val="0"/>
              </w:rPr>
              <w:noBreakHyphen/>
              <w:t xml:space="preserve">laws 2003 </w:t>
            </w:r>
            <w:r>
              <w:rPr>
                <w:snapToGrid w:val="0"/>
              </w:rPr>
              <w:t>bl. 6</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noProof/>
                <w:snapToGrid w:val="0"/>
              </w:rPr>
              <w:t>Government Railways (Removal and Disposal of Vehicles) By-law 1978</w:t>
            </w:r>
            <w:r>
              <w:rPr>
                <w:b/>
                <w:noProof/>
                <w:snapToGrid w:val="0"/>
              </w:rPr>
              <w:t xml:space="preserve"> as at 7 May 2004</w:t>
            </w:r>
            <w:r>
              <w:rPr>
                <w:noProof/>
                <w:snapToGrid w:val="0"/>
              </w:rPr>
              <w:t xml:space="preserve"> (includes amendments listed above)</w:t>
            </w:r>
          </w:p>
        </w:tc>
      </w:tr>
    </w:tbl>
    <w:p>
      <w:pPr>
        <w:pStyle w:val="nSubsection"/>
      </w:pPr>
      <w:r>
        <w:rPr>
          <w:rFonts w:ascii="Times" w:hAnsi="Times"/>
          <w:vertAlign w:val="superscript"/>
        </w:rPr>
        <w:t>2</w:t>
      </w:r>
      <w:r>
        <w:tab/>
        <w:t xml:space="preserve">Now known as the </w:t>
      </w:r>
      <w:r>
        <w:rPr>
          <w:i/>
          <w:noProof/>
          <w:snapToGrid w:val="0"/>
          <w:sz w:val="19"/>
        </w:rPr>
        <w:t>Government Railways (Removal and Disposal of Vehicles) By</w:t>
      </w:r>
      <w:r>
        <w:rPr>
          <w:i/>
          <w:noProof/>
          <w:snapToGrid w:val="0"/>
          <w:sz w:val="19"/>
        </w:rPr>
        <w:noBreakHyphen/>
        <w:t>law 1978</w:t>
      </w:r>
      <w:r>
        <w:rPr>
          <w:noProof/>
          <w:snapToGrid w:val="0"/>
          <w:sz w:val="19"/>
        </w:rPr>
        <w:t>; citation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place</w:t>
      </w:r>
      <w:r>
        <w:tab/>
        <w:t>3</w:t>
      </w:r>
    </w:p>
    <w:p>
      <w:pPr>
        <w:pStyle w:val="DefinedTerms"/>
      </w:pPr>
      <w:r>
        <w:t>authorised person</w:t>
      </w:r>
      <w:r>
        <w:tab/>
        <w:t>3</w:t>
      </w:r>
    </w:p>
    <w:p>
      <w:pPr>
        <w:pStyle w:val="DefinedTerms"/>
      </w:pPr>
      <w:r>
        <w:t>the Act</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38D050"/>
    <w:lvl w:ilvl="0">
      <w:start w:val="1"/>
      <w:numFmt w:val="decimal"/>
      <w:lvlText w:val="%1."/>
      <w:lvlJc w:val="left"/>
      <w:pPr>
        <w:tabs>
          <w:tab w:val="num" w:pos="1492"/>
        </w:tabs>
        <w:ind w:left="1492" w:hanging="360"/>
      </w:pPr>
    </w:lvl>
  </w:abstractNum>
  <w:abstractNum w:abstractNumId="1">
    <w:nsid w:val="FFFFFF7D"/>
    <w:multiLevelType w:val="singleLevel"/>
    <w:tmpl w:val="50F2CD62"/>
    <w:lvl w:ilvl="0">
      <w:start w:val="1"/>
      <w:numFmt w:val="decimal"/>
      <w:lvlText w:val="%1."/>
      <w:lvlJc w:val="left"/>
      <w:pPr>
        <w:tabs>
          <w:tab w:val="num" w:pos="1209"/>
        </w:tabs>
        <w:ind w:left="1209" w:hanging="360"/>
      </w:pPr>
    </w:lvl>
  </w:abstractNum>
  <w:abstractNum w:abstractNumId="2">
    <w:nsid w:val="FFFFFF7E"/>
    <w:multiLevelType w:val="singleLevel"/>
    <w:tmpl w:val="4C3E4C38"/>
    <w:lvl w:ilvl="0">
      <w:start w:val="1"/>
      <w:numFmt w:val="decimal"/>
      <w:lvlText w:val="%1."/>
      <w:lvlJc w:val="left"/>
      <w:pPr>
        <w:tabs>
          <w:tab w:val="num" w:pos="926"/>
        </w:tabs>
        <w:ind w:left="926" w:hanging="360"/>
      </w:pPr>
    </w:lvl>
  </w:abstractNum>
  <w:abstractNum w:abstractNumId="3">
    <w:nsid w:val="FFFFFF7F"/>
    <w:multiLevelType w:val="singleLevel"/>
    <w:tmpl w:val="DBE6BE84"/>
    <w:lvl w:ilvl="0">
      <w:start w:val="1"/>
      <w:numFmt w:val="decimal"/>
      <w:lvlText w:val="%1."/>
      <w:lvlJc w:val="left"/>
      <w:pPr>
        <w:tabs>
          <w:tab w:val="num" w:pos="643"/>
        </w:tabs>
        <w:ind w:left="643" w:hanging="360"/>
      </w:pPr>
    </w:lvl>
  </w:abstractNum>
  <w:abstractNum w:abstractNumId="4">
    <w:nsid w:val="FFFFFF80"/>
    <w:multiLevelType w:val="singleLevel"/>
    <w:tmpl w:val="4D8410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AC81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8835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02CF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F360F0E"/>
    <w:lvl w:ilvl="0">
      <w:start w:val="1"/>
      <w:numFmt w:val="decimal"/>
      <w:lvlText w:val="%1."/>
      <w:lvlJc w:val="left"/>
      <w:pPr>
        <w:tabs>
          <w:tab w:val="num" w:pos="360"/>
        </w:tabs>
        <w:ind w:left="360" w:hanging="360"/>
      </w:pPr>
    </w:lvl>
  </w:abstractNum>
  <w:abstractNum w:abstractNumId="9">
    <w:nsid w:val="FFFFFF89"/>
    <w:multiLevelType w:val="singleLevel"/>
    <w:tmpl w:val="5CBE78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CF871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123"/>
    <w:docVar w:name="WAFER_20140128094335" w:val="RemoveTocBookmarks,RemoveUnusedBookmarks,RemoveLanguageTags,UsedStyles,ResetPageSize,UpdateArrangement"/>
    <w:docVar w:name="WAFER_20140128094335_GUID" w:val="2491901b-52ba-4ba5-938b-26b251cbb532"/>
    <w:docVar w:name="WAFER_20140128094339" w:val="RemoveTocBookmarks,RunningHeaders"/>
    <w:docVar w:name="WAFER_20140128094339_GUID" w:val="7a30852e-c7f9-4dea-9a60-845d2e0e9594"/>
    <w:docVar w:name="WAFER_20150512151218" w:val="ResetPageSize,UpdateArrangement,UpdateNTable"/>
    <w:docVar w:name="WAFER_20150512151218_GUID" w:val="a0d322ed-5459-4850-b1f1-ae09b9c190d0"/>
    <w:docVar w:name="WAFER_20151105143123" w:val="UpdateStyles,UsedStyles"/>
    <w:docVar w:name="WAFER_20151105143123_GUID" w:val="6e3597c6-8eb5-43a4-bf2d-1193ef960f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1129</Words>
  <Characters>5285</Characters>
  <Application>Microsoft Office Word</Application>
  <DocSecurity>0</DocSecurity>
  <Lines>188</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6291</CharactersWithSpaces>
  <SharedDoc>false</SharedDoc>
  <HLinks>
    <vt:vector size="18" baseType="variant">
      <vt:variant>
        <vt:i4>65542</vt:i4>
      </vt:variant>
      <vt:variant>
        <vt:i4>2209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(Removal and Disposal of Vehicles) By-law 1978 - 01-a0-08</dc:title>
  <dc:subject/>
  <dc:creator/>
  <cp:keywords/>
  <dc:description/>
  <cp:lastModifiedBy>svcMRProcess</cp:lastModifiedBy>
  <cp:revision>4</cp:revision>
  <cp:lastPrinted>2004-05-07T05:29:00Z</cp:lastPrinted>
  <dcterms:created xsi:type="dcterms:W3CDTF">2019-01-16T04:50:00Z</dcterms:created>
  <dcterms:modified xsi:type="dcterms:W3CDTF">2019-01-16T04:50:00Z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1978 pp.2688-9</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29262</vt:i4>
  </property>
  <property fmtid="{D5CDD505-2E9C-101B-9397-08002B2CF9AE}" pid="6" name="ReprintedAsAt">
    <vt:filetime>2004-05-06T16:00:00Z</vt:filetime>
  </property>
  <property fmtid="{D5CDD505-2E9C-101B-9397-08002B2CF9AE}" pid="7" name="ReprintNo">
    <vt:lpwstr/>
  </property>
  <property fmtid="{D5CDD505-2E9C-101B-9397-08002B2CF9AE}" pid="8" name="AsAtDate">
    <vt:lpwstr>07 May 2004</vt:lpwstr>
  </property>
  <property fmtid="{D5CDD505-2E9C-101B-9397-08002B2CF9AE}" pid="9" name="Suffix">
    <vt:lpwstr>01-a0-08</vt:lpwstr>
  </property>
</Properties>
</file>