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9CD" w:rsidRDefault="00C43226">
      <w:pPr>
        <w:pStyle w:val="WA"/>
      </w:pPr>
      <w:bookmarkStart w:id="0" w:name="_GoBack"/>
      <w:bookmarkEnd w:id="0"/>
      <w:r>
        <w:t>Western Australia</w:t>
      </w:r>
    </w:p>
    <w:p w:rsidR="001459CD" w:rsidRDefault="00C43226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874712">
        <w:rPr>
          <w:noProof/>
        </w:rPr>
        <w:t>Health (Immunisation By Local Authorities) Regulations 1966</w:t>
      </w:r>
      <w:r>
        <w:fldChar w:fldCharType="end"/>
      </w:r>
    </w:p>
    <w:p w:rsidR="001459CD" w:rsidRDefault="001459CD">
      <w:pPr>
        <w:jc w:val="center"/>
        <w:rPr>
          <w:b/>
        </w:rPr>
        <w:sectPr w:rsidR="001459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1459CD" w:rsidRDefault="00C43226">
      <w:pPr>
        <w:pStyle w:val="WA"/>
      </w:pPr>
      <w:r>
        <w:lastRenderedPageBreak/>
        <w:t>Western Australia</w:t>
      </w:r>
    </w:p>
    <w:p w:rsidR="001459CD" w:rsidRDefault="00C43226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874712">
        <w:rPr>
          <w:noProof/>
        </w:rPr>
        <w:t>Health (Immunisation By Local Authorities) Regulations 1966</w:t>
      </w:r>
      <w:r>
        <w:fldChar w:fldCharType="end"/>
      </w:r>
    </w:p>
    <w:p w:rsidR="001459CD" w:rsidRDefault="00C43226">
      <w:pPr>
        <w:pStyle w:val="Arrangement"/>
      </w:pPr>
      <w:r>
        <w:t>CONTENTS</w:t>
      </w:r>
    </w:p>
    <w:p w:rsidR="001459CD" w:rsidRDefault="00C43226">
      <w:pPr>
        <w:pStyle w:val="TOC4"/>
        <w:tabs>
          <w:tab w:val="left" w:pos="1483"/>
        </w:tabs>
        <w:rPr>
          <w:noProof/>
        </w:rPr>
      </w:pPr>
      <w:r>
        <w:fldChar w:fldCharType="begin"/>
      </w:r>
      <w:r>
        <w:instrText xml:space="preserve"> TOC \o "1-3" \t "Heading 5,4" \n 2-3 </w:instrText>
      </w:r>
      <w:r>
        <w:fldChar w:fldCharType="separate"/>
      </w:r>
      <w:r>
        <w:rPr>
          <w:noProof/>
        </w:rPr>
        <w:t>1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_Toc435851886 \h </w:instrText>
      </w:r>
      <w:r>
        <w:rPr>
          <w:noProof/>
        </w:rPr>
      </w:r>
      <w:r>
        <w:rPr>
          <w:noProof/>
        </w:rPr>
        <w:fldChar w:fldCharType="separate"/>
      </w:r>
      <w:r w:rsidR="00874712">
        <w:rPr>
          <w:noProof/>
        </w:rPr>
        <w:t>1</w:t>
      </w:r>
      <w:r>
        <w:rPr>
          <w:noProof/>
        </w:rPr>
        <w:fldChar w:fldCharType="end"/>
      </w:r>
    </w:p>
    <w:p w:rsidR="001459CD" w:rsidRDefault="00C43226">
      <w:pPr>
        <w:pStyle w:val="TOC4"/>
        <w:tabs>
          <w:tab w:val="left" w:pos="1483"/>
        </w:tabs>
        <w:rPr>
          <w:noProof/>
        </w:rPr>
      </w:pPr>
      <w:r>
        <w:rPr>
          <w:noProof/>
        </w:rPr>
        <w:t>2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Interpretation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_Toc435851887 \h </w:instrText>
      </w:r>
      <w:r>
        <w:rPr>
          <w:noProof/>
        </w:rPr>
      </w:r>
      <w:r>
        <w:rPr>
          <w:noProof/>
        </w:rPr>
        <w:fldChar w:fldCharType="separate"/>
      </w:r>
      <w:r w:rsidR="00874712">
        <w:rPr>
          <w:noProof/>
        </w:rPr>
        <w:t>1</w:t>
      </w:r>
      <w:r>
        <w:rPr>
          <w:noProof/>
        </w:rPr>
        <w:fldChar w:fldCharType="end"/>
      </w:r>
    </w:p>
    <w:p w:rsidR="001459CD" w:rsidRDefault="00C43226">
      <w:pPr>
        <w:pStyle w:val="TOC4"/>
        <w:tabs>
          <w:tab w:val="left" w:pos="1483"/>
        </w:tabs>
        <w:rPr>
          <w:noProof/>
        </w:rPr>
      </w:pPr>
      <w:r>
        <w:rPr>
          <w:noProof/>
        </w:rPr>
        <w:t>3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Prescribed Diseases under Section 340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_Toc435851888 \h </w:instrText>
      </w:r>
      <w:r>
        <w:rPr>
          <w:noProof/>
        </w:rPr>
      </w:r>
      <w:r>
        <w:rPr>
          <w:noProof/>
        </w:rPr>
        <w:fldChar w:fldCharType="separate"/>
      </w:r>
      <w:r w:rsidR="00874712">
        <w:rPr>
          <w:noProof/>
        </w:rPr>
        <w:t>2</w:t>
      </w:r>
      <w:r>
        <w:rPr>
          <w:noProof/>
        </w:rPr>
        <w:fldChar w:fldCharType="end"/>
      </w:r>
    </w:p>
    <w:p w:rsidR="001459CD" w:rsidRDefault="00C43226">
      <w:pPr>
        <w:pStyle w:val="TOC2"/>
        <w:tabs>
          <w:tab w:val="right" w:pos="7086"/>
        </w:tabs>
        <w:rPr>
          <w:noProof/>
        </w:rPr>
      </w:pPr>
      <w:r>
        <w:rPr>
          <w:noProof/>
        </w:rPr>
        <w:t>NOTES</w:t>
      </w:r>
    </w:p>
    <w:p w:rsidR="001459CD" w:rsidRDefault="00C43226">
      <w:pPr>
        <w:pStyle w:val="TOC2"/>
      </w:pPr>
      <w:r>
        <w:fldChar w:fldCharType="end"/>
      </w:r>
    </w:p>
    <w:p w:rsidR="001459CD" w:rsidRDefault="00C43226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1459CD" w:rsidRDefault="001459CD">
      <w:pPr>
        <w:pStyle w:val="NoteHeading"/>
        <w:sectPr w:rsidR="001459C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1459CD" w:rsidRDefault="00C43226">
      <w:pPr>
        <w:pStyle w:val="WA"/>
      </w:pPr>
      <w:r>
        <w:lastRenderedPageBreak/>
        <w:t>Western Australia</w:t>
      </w:r>
    </w:p>
    <w:p w:rsidR="001459CD" w:rsidRDefault="00C43226">
      <w:pPr>
        <w:pStyle w:val="PrincipalActReg"/>
        <w:rPr>
          <w:snapToGrid w:val="0"/>
        </w:rPr>
      </w:pPr>
      <w:r>
        <w:rPr>
          <w:snapToGrid w:val="0"/>
        </w:rPr>
        <w:t>HEALTH ACT 1911</w:t>
      </w:r>
    </w:p>
    <w:p w:rsidR="001459CD" w:rsidRDefault="00C43226"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Department of Public Health,</w:t>
      </w:r>
    </w:p>
    <w:p w:rsidR="001459CD" w:rsidRDefault="00C43226"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Perth, 16th June 1966.</w:t>
      </w:r>
    </w:p>
    <w:p w:rsidR="001459CD" w:rsidRDefault="00C43226">
      <w:pPr>
        <w:pStyle w:val="MadeBy"/>
        <w:rPr>
          <w:snapToGrid w:val="0"/>
        </w:rPr>
      </w:pPr>
      <w:r>
        <w:rPr>
          <w:snapToGrid w:val="0"/>
        </w:rPr>
        <w:t xml:space="preserve">HIS Excellency the Governor in Executive Council, acting pursuant to the powers conferred by sections 340 and 341 of the </w:t>
      </w:r>
      <w:r>
        <w:rPr>
          <w:i/>
          <w:snapToGrid w:val="0"/>
        </w:rPr>
        <w:t>Health Act 1911</w:t>
      </w:r>
      <w:r>
        <w:rPr>
          <w:snapToGrid w:val="0"/>
        </w:rPr>
        <w:t>, has been pleased to make the regulations set forth in the schedule hereunder.</w:t>
      </w:r>
    </w:p>
    <w:p w:rsidR="001459CD" w:rsidRDefault="00C43226"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W. S. DAVIDSON,</w:t>
      </w:r>
    </w:p>
    <w:p w:rsidR="001459CD" w:rsidRDefault="00C43226"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Commissioner of Public Health.</w:t>
      </w:r>
    </w:p>
    <w:p w:rsidR="001459CD" w:rsidRDefault="00C43226">
      <w:pPr>
        <w:pStyle w:val="NameofActReg"/>
      </w:pPr>
      <w:r>
        <w:t>Health (Immunisation By Local Authorities) Regulations 1966</w:t>
      </w:r>
    </w:p>
    <w:p w:rsidR="001459CD" w:rsidRDefault="00C43226">
      <w:pPr>
        <w:pStyle w:val="Heading5"/>
        <w:rPr>
          <w:snapToGrid w:val="0"/>
        </w:rPr>
      </w:pPr>
      <w:bookmarkStart w:id="1" w:name="_Toc435851886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r>
        <w:rPr>
          <w:snapToGrid w:val="0"/>
        </w:rPr>
        <w:t xml:space="preserve"> </w:t>
      </w:r>
    </w:p>
    <w:p w:rsidR="001459CD" w:rsidRDefault="00C43226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(Immunisation by Local Authorities) Regulations 1966</w:t>
      </w:r>
      <w:r>
        <w:rPr>
          <w:snapToGrid w:val="0"/>
        </w:rPr>
        <w:t>.</w:t>
      </w:r>
    </w:p>
    <w:p w:rsidR="001459CD" w:rsidRDefault="00C43226">
      <w:pPr>
        <w:pStyle w:val="Footnotesection"/>
      </w:pPr>
      <w:r>
        <w:tab/>
        <w:t xml:space="preserve">[Regulation 1 amended by Gazette 6 March 1987 p.554.] </w:t>
      </w:r>
    </w:p>
    <w:p w:rsidR="001459CD" w:rsidRDefault="00C43226">
      <w:pPr>
        <w:pStyle w:val="Heading5"/>
        <w:rPr>
          <w:snapToGrid w:val="0"/>
        </w:rPr>
      </w:pPr>
      <w:bookmarkStart w:id="2" w:name="_Toc435851887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2"/>
      <w:r>
        <w:rPr>
          <w:snapToGrid w:val="0"/>
        </w:rPr>
        <w:t xml:space="preserve"> </w:t>
      </w:r>
    </w:p>
    <w:p w:rsidR="001459CD" w:rsidRDefault="00C43226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 — </w:t>
      </w:r>
    </w:p>
    <w:p w:rsidR="001459CD" w:rsidRDefault="00C43226">
      <w:pPr>
        <w:pStyle w:val="Defstart"/>
      </w:pPr>
      <w:r>
        <w:tab/>
      </w:r>
      <w:r>
        <w:rPr>
          <w:b/>
        </w:rPr>
        <w:t>“the Act”</w:t>
      </w:r>
      <w:r>
        <w:t xml:space="preserve"> means the </w:t>
      </w:r>
      <w:r>
        <w:rPr>
          <w:i/>
        </w:rPr>
        <w:t>Health Act 1911</w:t>
      </w:r>
      <w:r>
        <w:t xml:space="preserve"> (as amended).</w:t>
      </w:r>
    </w:p>
    <w:p w:rsidR="001459CD" w:rsidRDefault="00C43226">
      <w:pPr>
        <w:pStyle w:val="MiscellaneousHeading"/>
        <w:jc w:val="center"/>
        <w:rPr>
          <w:snapToGrid w:val="0"/>
        </w:rPr>
      </w:pPr>
      <w:r>
        <w:rPr>
          <w:snapToGrid w:val="0"/>
        </w:rPr>
        <w:lastRenderedPageBreak/>
        <w:t>Smallpox to be a Prescribed Disease under Section 340.</w:t>
      </w:r>
    </w:p>
    <w:p w:rsidR="001459CD" w:rsidRDefault="00C43226">
      <w:pPr>
        <w:pStyle w:val="Heading5"/>
        <w:rPr>
          <w:snapToGrid w:val="0"/>
        </w:rPr>
      </w:pPr>
      <w:bookmarkStart w:id="3" w:name="_Toc43585188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Diseases under Section 340</w:t>
      </w:r>
      <w:bookmarkEnd w:id="3"/>
      <w:r>
        <w:rPr>
          <w:snapToGrid w:val="0"/>
        </w:rPr>
        <w:t xml:space="preserve"> </w:t>
      </w:r>
    </w:p>
    <w:p w:rsidR="001459CD" w:rsidRDefault="00C43226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following are diseases to which section 340 of the Act applies — </w:t>
      </w:r>
    </w:p>
    <w:p w:rsidR="001459CD" w:rsidRDefault="00C43226">
      <w:pPr>
        <w:pStyle w:val="MiscellaneousBody"/>
        <w:tabs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Measles;</w:t>
      </w:r>
    </w:p>
    <w:p w:rsidR="001459CD" w:rsidRDefault="00C43226">
      <w:pPr>
        <w:pStyle w:val="MiscellaneousBody"/>
        <w:tabs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Mumps;</w:t>
      </w:r>
    </w:p>
    <w:p w:rsidR="001459CD" w:rsidRDefault="00C43226">
      <w:pPr>
        <w:pStyle w:val="MiscellaneousBody"/>
        <w:tabs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Rubella; and</w:t>
      </w:r>
    </w:p>
    <w:p w:rsidR="001459CD" w:rsidRDefault="00C43226">
      <w:pPr>
        <w:pStyle w:val="MiscellaneousBody"/>
        <w:tabs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Tuberculosis.</w:t>
      </w:r>
    </w:p>
    <w:p w:rsidR="001459CD" w:rsidRDefault="00C43226">
      <w:pPr>
        <w:pStyle w:val="Footnotesection"/>
      </w:pPr>
      <w:r>
        <w:tab/>
        <w:t xml:space="preserve">[Regulation 3 inserted by Gazette 26 September 1980 p.3314; amended by Gazette 6 March 1987 p.554.] </w:t>
      </w:r>
    </w:p>
    <w:p w:rsidR="001459CD" w:rsidRDefault="001459CD">
      <w:pPr>
        <w:rPr>
          <w:rStyle w:val="CharDivText"/>
        </w:rPr>
        <w:sectPr w:rsidR="001459CD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1459CD" w:rsidRDefault="00C43226">
      <w:pPr>
        <w:pStyle w:val="nHeading2"/>
      </w:pPr>
      <w:r>
        <w:t>Notes</w:t>
      </w:r>
    </w:p>
    <w:p w:rsidR="001459CD" w:rsidRDefault="00C43226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  <w:vertAlign w:val="superscript"/>
        </w:rPr>
        <w:tab/>
      </w:r>
      <w:r>
        <w:rPr>
          <w:snapToGrid w:val="0"/>
        </w:rPr>
        <w:t xml:space="preserve">This is a compilation of the </w:t>
      </w:r>
      <w:r>
        <w:rPr>
          <w:i/>
          <w:snapToGrid w:val="0"/>
        </w:rPr>
        <w:t>Health Act (Immunisation by Local Authorities) Regulations 1966</w:t>
      </w:r>
      <w:r>
        <w:rPr>
          <w:snapToGrid w:val="0"/>
        </w:rPr>
        <w:t xml:space="preserve"> and includes the amendments referred to in the following Table.</w:t>
      </w:r>
    </w:p>
    <w:p w:rsidR="001459CD" w:rsidRDefault="00C43226">
      <w:pPr>
        <w:pStyle w:val="nHeading3"/>
        <w:rPr>
          <w:snapToGrid w:val="0"/>
        </w:rPr>
      </w:pPr>
      <w:r>
        <w:rPr>
          <w:snapToGrid w:val="0"/>
        </w:rPr>
        <w:t>Compilation table</w:t>
      </w:r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1459CD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1459CD" w:rsidRDefault="00C43226">
            <w:pPr>
              <w:pStyle w:val="nTable"/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1459CD" w:rsidRDefault="00C43226">
            <w:pPr>
              <w:pStyle w:val="nTable"/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1459CD" w:rsidRDefault="00C43226">
            <w:pPr>
              <w:pStyle w:val="nTable"/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1459CD">
        <w:tc>
          <w:tcPr>
            <w:tcW w:w="3118" w:type="dxa"/>
          </w:tcPr>
          <w:p w:rsidR="001459CD" w:rsidRDefault="00C43226">
            <w:pPr>
              <w:pStyle w:val="nTable"/>
              <w:spacing w:before="40" w:after="40"/>
              <w:rPr>
                <w:sz w:val="19"/>
              </w:rPr>
            </w:pPr>
            <w:r>
              <w:rPr>
                <w:i/>
                <w:sz w:val="19"/>
              </w:rPr>
              <w:t>Health (Immunisation by Local Authorities) Regulations 1966</w:t>
            </w:r>
          </w:p>
        </w:tc>
        <w:tc>
          <w:tcPr>
            <w:tcW w:w="1276" w:type="dxa"/>
          </w:tcPr>
          <w:p w:rsidR="001459CD" w:rsidRDefault="00C43226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29 Jun 1966 p.1769</w:t>
            </w:r>
          </w:p>
        </w:tc>
        <w:tc>
          <w:tcPr>
            <w:tcW w:w="2693" w:type="dxa"/>
          </w:tcPr>
          <w:p w:rsidR="001459CD" w:rsidRDefault="00C43226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29 Jun 1966</w:t>
            </w:r>
          </w:p>
        </w:tc>
      </w:tr>
      <w:tr w:rsidR="001459CD">
        <w:tc>
          <w:tcPr>
            <w:tcW w:w="3118" w:type="dxa"/>
          </w:tcPr>
          <w:p w:rsidR="001459CD" w:rsidRDefault="001459CD">
            <w:pPr>
              <w:pStyle w:val="nTable"/>
              <w:spacing w:before="40" w:after="40"/>
              <w:rPr>
                <w:sz w:val="19"/>
              </w:rPr>
            </w:pPr>
          </w:p>
        </w:tc>
        <w:tc>
          <w:tcPr>
            <w:tcW w:w="1276" w:type="dxa"/>
          </w:tcPr>
          <w:p w:rsidR="001459CD" w:rsidRDefault="00C43226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26 Sep 1980 p.3314</w:t>
            </w:r>
          </w:p>
        </w:tc>
        <w:tc>
          <w:tcPr>
            <w:tcW w:w="2693" w:type="dxa"/>
          </w:tcPr>
          <w:p w:rsidR="001459CD" w:rsidRDefault="00C43226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26 Sep 1980</w:t>
            </w:r>
          </w:p>
        </w:tc>
      </w:tr>
      <w:tr w:rsidR="001459CD">
        <w:tc>
          <w:tcPr>
            <w:tcW w:w="3118" w:type="dxa"/>
            <w:tcBorders>
              <w:bottom w:val="single" w:sz="4" w:space="0" w:color="auto"/>
            </w:tcBorders>
          </w:tcPr>
          <w:p w:rsidR="001459CD" w:rsidRDefault="001459CD">
            <w:pPr>
              <w:pStyle w:val="nTable"/>
              <w:spacing w:before="40" w:after="40"/>
              <w:rPr>
                <w:sz w:val="19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59CD" w:rsidRDefault="00C43226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6 Mar 1987 p.554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459CD" w:rsidRDefault="00C43226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6 Mar 1987</w:t>
            </w:r>
          </w:p>
        </w:tc>
      </w:tr>
    </w:tbl>
    <w:p w:rsidR="001459CD" w:rsidRDefault="001459CD"/>
    <w:p w:rsidR="001459CD" w:rsidRDefault="001459CD">
      <w:pPr>
        <w:sectPr w:rsidR="001459CD">
          <w:headerReference w:type="even" r:id="rId26"/>
          <w:headerReference w:type="default" r:id="rId27"/>
          <w:headerReference w:type="first" r:id="rId28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1459CD" w:rsidRDefault="001459CD"/>
    <w:sectPr w:rsidR="001459CD">
      <w:headerReference w:type="even" r:id="rId29"/>
      <w:headerReference w:type="default" r:id="rId30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9CD" w:rsidRDefault="00C43226">
      <w:r>
        <w:separator/>
      </w:r>
    </w:p>
  </w:endnote>
  <w:endnote w:type="continuationSeparator" w:id="0">
    <w:p w:rsidR="001459CD" w:rsidRDefault="00C4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1459CD">
    <w:pPr>
      <w:pStyle w:val="Footer"/>
      <w:tabs>
        <w:tab w:val="clear" w:pos="4153"/>
        <w:tab w:val="right" w:pos="7088"/>
      </w:tabs>
      <w:rPr>
        <w:rStyle w:val="PageNumber"/>
      </w:rPr>
    </w:pPr>
  </w:p>
  <w:p w:rsidR="001459CD" w:rsidRDefault="00C4322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00-c0-02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06 Mar 1987</w:t>
    </w:r>
    <w:r>
      <w:rPr>
        <w:rFonts w:ascii="Arial" w:hAnsi="Arial" w:cs="Arial"/>
        <w:sz w:val="20"/>
        <w:lang w:val="en-US"/>
      </w:rPr>
      <w:fldChar w:fldCharType="end"/>
    </w:r>
  </w:p>
  <w:p w:rsidR="001459CD" w:rsidRDefault="00C4322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1459CD">
    <w:pPr>
      <w:pStyle w:val="Footer"/>
      <w:tabs>
        <w:tab w:val="clear" w:pos="4153"/>
        <w:tab w:val="right" w:pos="7088"/>
      </w:tabs>
      <w:rPr>
        <w:rStyle w:val="PageNumber"/>
      </w:rPr>
    </w:pPr>
  </w:p>
  <w:p w:rsidR="001459CD" w:rsidRDefault="00C4322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06 Mar 1987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00-c0-02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1459CD" w:rsidRDefault="00C4322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1459CD">
    <w:pPr>
      <w:pStyle w:val="Footer"/>
      <w:tabs>
        <w:tab w:val="clear" w:pos="4153"/>
        <w:tab w:val="right" w:pos="7088"/>
      </w:tabs>
      <w:rPr>
        <w:rStyle w:val="PageNumber"/>
      </w:rPr>
    </w:pPr>
  </w:p>
  <w:p w:rsidR="001459CD" w:rsidRDefault="00C4322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06 Mar 1987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00-c0-02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1459CD" w:rsidRDefault="00C4322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1459CD">
    <w:pPr>
      <w:pStyle w:val="Footer"/>
      <w:tabs>
        <w:tab w:val="clear" w:pos="4153"/>
        <w:tab w:val="right" w:pos="7088"/>
      </w:tabs>
      <w:rPr>
        <w:rStyle w:val="PageNumber"/>
      </w:rPr>
    </w:pPr>
  </w:p>
  <w:p w:rsidR="001459CD" w:rsidRDefault="00C4322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00-c0-02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06 Mar 1987</w:t>
    </w:r>
    <w:r>
      <w:rPr>
        <w:rFonts w:ascii="Arial" w:hAnsi="Arial" w:cs="Arial"/>
        <w:sz w:val="20"/>
        <w:lang w:val="en-US"/>
      </w:rPr>
      <w:fldChar w:fldCharType="end"/>
    </w:r>
  </w:p>
  <w:p w:rsidR="001459CD" w:rsidRDefault="00C4322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1459CD">
    <w:pPr>
      <w:pStyle w:val="Footer"/>
      <w:tabs>
        <w:tab w:val="clear" w:pos="4153"/>
        <w:tab w:val="right" w:pos="7088"/>
      </w:tabs>
      <w:rPr>
        <w:rStyle w:val="PageNumber"/>
      </w:rPr>
    </w:pPr>
  </w:p>
  <w:p w:rsidR="001459CD" w:rsidRDefault="00C4322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06 Mar 1987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00-c0-02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1459CD" w:rsidRDefault="00C4322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1459CD">
    <w:pPr>
      <w:pStyle w:val="Footer"/>
      <w:tabs>
        <w:tab w:val="clear" w:pos="4153"/>
        <w:tab w:val="right" w:pos="7088"/>
      </w:tabs>
      <w:rPr>
        <w:rStyle w:val="PageNumber"/>
      </w:rPr>
    </w:pPr>
  </w:p>
  <w:p w:rsidR="001459CD" w:rsidRDefault="00C4322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06 Mar 1987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00-c0-02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874712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1459CD" w:rsidRDefault="00C43226">
    <w:pPr>
      <w:rPr>
        <w:i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1459CD">
    <w:pPr>
      <w:pStyle w:val="Footer"/>
      <w:tabs>
        <w:tab w:val="clear" w:pos="4153"/>
        <w:tab w:val="right" w:pos="7088"/>
      </w:tabs>
      <w:rPr>
        <w:rStyle w:val="PageNumber"/>
      </w:rPr>
    </w:pPr>
  </w:p>
  <w:p w:rsidR="001459CD" w:rsidRDefault="00C4322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874712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00-c0-02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06 Mar 1987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1459CD" w:rsidRDefault="00C4322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1459CD">
    <w:pPr>
      <w:pStyle w:val="Footer"/>
      <w:tabs>
        <w:tab w:val="clear" w:pos="4153"/>
        <w:tab w:val="right" w:pos="7088"/>
      </w:tabs>
      <w:rPr>
        <w:rStyle w:val="PageNumber"/>
      </w:rPr>
    </w:pPr>
  </w:p>
  <w:p w:rsidR="001459CD" w:rsidRDefault="00C4322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06 Mar 1987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00-c0-02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874712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1459CD" w:rsidRDefault="00C4322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1459CD">
    <w:pPr>
      <w:pStyle w:val="Footer"/>
      <w:tabs>
        <w:tab w:val="clear" w:pos="4153"/>
        <w:tab w:val="right" w:pos="7088"/>
      </w:tabs>
      <w:rPr>
        <w:rStyle w:val="PageNumber"/>
      </w:rPr>
    </w:pPr>
  </w:p>
  <w:p w:rsidR="001459CD" w:rsidRDefault="00C4322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06 Mar 1987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874712">
      <w:rPr>
        <w:rFonts w:ascii="Arial" w:hAnsi="Arial" w:cs="Arial"/>
        <w:sz w:val="20"/>
        <w:lang w:val="en-US"/>
      </w:rPr>
      <w:t>00-c0-02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874712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1459CD" w:rsidRDefault="00C4322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9CD" w:rsidRDefault="00C43226">
      <w:r>
        <w:separator/>
      </w:r>
    </w:p>
  </w:footnote>
  <w:footnote w:type="continuationSeparator" w:id="0">
    <w:p w:rsidR="001459CD" w:rsidRDefault="00C43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C4322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874712">
      <w:rPr>
        <w:i/>
        <w:noProof/>
      </w:rPr>
      <w:t>Health (Immunisation By Local Authorities) Regulations 1966</w:t>
    </w:r>
    <w:r>
      <w:rPr>
        <w:i/>
      </w:rPr>
      <w:fldChar w:fldCharType="end"/>
    </w:r>
  </w:p>
  <w:p w:rsidR="001459CD" w:rsidRDefault="00C43226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1459CD" w:rsidRDefault="00C43226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1459CD" w:rsidRDefault="001459CD">
    <w:pPr>
      <w:pStyle w:val="headerpart"/>
    </w:pPr>
  </w:p>
  <w:p w:rsidR="001459CD" w:rsidRDefault="001459CD">
    <w:pPr>
      <w:pBdr>
        <w:bottom w:val="single" w:sz="6" w:space="1" w:color="auto"/>
      </w:pBdr>
      <w:rPr>
        <w:b/>
      </w:rPr>
    </w:pPr>
  </w:p>
  <w:p w:rsidR="001459CD" w:rsidRDefault="001459CD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1459CD">
      <w:trPr>
        <w:cantSplit/>
      </w:trPr>
      <w:tc>
        <w:tcPr>
          <w:tcW w:w="7312" w:type="dxa"/>
          <w:gridSpan w:val="2"/>
        </w:tcPr>
        <w:p w:rsidR="001459CD" w:rsidRDefault="00C43226">
          <w:pPr>
            <w:pStyle w:val="HeaderActNameLeft"/>
          </w:pPr>
          <w:fldSimple w:instr=" Styleref &quot;Name of Act/Reg&quot; ">
            <w:r w:rsidR="00874712">
              <w:rPr>
                <w:noProof/>
              </w:rPr>
              <w:t>Health (Immunisation By Local Authorities) Regulations 1966</w:t>
            </w:r>
          </w:fldSimple>
        </w:p>
      </w:tc>
    </w:tr>
    <w:tr w:rsidR="001459CD">
      <w:tc>
        <w:tcPr>
          <w:tcW w:w="1548" w:type="dxa"/>
        </w:tcPr>
        <w:p w:rsidR="001459CD" w:rsidRDefault="001459CD">
          <w:pPr>
            <w:pStyle w:val="HeaderNumberLeft"/>
          </w:pPr>
        </w:p>
      </w:tc>
      <w:tc>
        <w:tcPr>
          <w:tcW w:w="5764" w:type="dxa"/>
        </w:tcPr>
        <w:p w:rsidR="001459CD" w:rsidRDefault="001459CD">
          <w:pPr>
            <w:pStyle w:val="HeaderTextLeft"/>
          </w:pPr>
        </w:p>
      </w:tc>
    </w:tr>
    <w:tr w:rsidR="001459CD">
      <w:tc>
        <w:tcPr>
          <w:tcW w:w="1548" w:type="dxa"/>
        </w:tcPr>
        <w:p w:rsidR="001459CD" w:rsidRDefault="001459CD">
          <w:pPr>
            <w:pStyle w:val="HeaderNumberLeft"/>
          </w:pPr>
        </w:p>
      </w:tc>
      <w:tc>
        <w:tcPr>
          <w:tcW w:w="5764" w:type="dxa"/>
        </w:tcPr>
        <w:p w:rsidR="001459CD" w:rsidRDefault="001459CD">
          <w:pPr>
            <w:pStyle w:val="HeaderTextLeft"/>
          </w:pPr>
        </w:p>
      </w:tc>
    </w:tr>
    <w:tr w:rsidR="001459CD">
      <w:trPr>
        <w:cantSplit/>
      </w:trPr>
      <w:tc>
        <w:tcPr>
          <w:tcW w:w="7312" w:type="dxa"/>
          <w:gridSpan w:val="2"/>
        </w:tcPr>
        <w:p w:rsidR="001459CD" w:rsidRDefault="001459CD">
          <w:pPr>
            <w:pStyle w:val="HeaderSectionLeft"/>
          </w:pPr>
        </w:p>
      </w:tc>
    </w:tr>
  </w:tbl>
  <w:p w:rsidR="001459CD" w:rsidRDefault="001459CD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1459CD">
      <w:trPr>
        <w:cantSplit/>
      </w:trPr>
      <w:tc>
        <w:tcPr>
          <w:tcW w:w="7312" w:type="dxa"/>
          <w:gridSpan w:val="2"/>
        </w:tcPr>
        <w:p w:rsidR="001459CD" w:rsidRDefault="00C43226">
          <w:pPr>
            <w:pStyle w:val="HeaderActNameRight"/>
          </w:pPr>
          <w:fldSimple w:instr=" Styleref &quot;Name of Act/Reg&quot; ">
            <w:r w:rsidR="00874712">
              <w:rPr>
                <w:noProof/>
              </w:rPr>
              <w:t>Health (Immunisation By Local Authorities) Regulations 1966</w:t>
            </w:r>
          </w:fldSimple>
        </w:p>
      </w:tc>
    </w:tr>
    <w:tr w:rsidR="001459CD">
      <w:tc>
        <w:tcPr>
          <w:tcW w:w="5760" w:type="dxa"/>
        </w:tcPr>
        <w:p w:rsidR="001459CD" w:rsidRDefault="001459CD">
          <w:pPr>
            <w:pStyle w:val="HeaderTextRight"/>
          </w:pPr>
        </w:p>
      </w:tc>
      <w:tc>
        <w:tcPr>
          <w:tcW w:w="1552" w:type="dxa"/>
        </w:tcPr>
        <w:p w:rsidR="001459CD" w:rsidRDefault="001459CD">
          <w:pPr>
            <w:pStyle w:val="HeaderNumberRight"/>
          </w:pPr>
        </w:p>
      </w:tc>
    </w:tr>
    <w:tr w:rsidR="001459CD">
      <w:tc>
        <w:tcPr>
          <w:tcW w:w="5760" w:type="dxa"/>
        </w:tcPr>
        <w:p w:rsidR="001459CD" w:rsidRDefault="001459CD">
          <w:pPr>
            <w:pStyle w:val="HeaderTextRight"/>
          </w:pPr>
        </w:p>
      </w:tc>
      <w:tc>
        <w:tcPr>
          <w:tcW w:w="1552" w:type="dxa"/>
        </w:tcPr>
        <w:p w:rsidR="001459CD" w:rsidRDefault="001459CD">
          <w:pPr>
            <w:pStyle w:val="HeaderNumberRight"/>
          </w:pPr>
        </w:p>
      </w:tc>
    </w:tr>
    <w:tr w:rsidR="001459CD">
      <w:trPr>
        <w:cantSplit/>
      </w:trPr>
      <w:tc>
        <w:tcPr>
          <w:tcW w:w="7312" w:type="dxa"/>
          <w:gridSpan w:val="2"/>
        </w:tcPr>
        <w:p w:rsidR="001459CD" w:rsidRDefault="001459CD">
          <w:pPr>
            <w:pStyle w:val="HeaderSectionRight"/>
          </w:pPr>
        </w:p>
      </w:tc>
    </w:tr>
  </w:tbl>
  <w:p w:rsidR="001459CD" w:rsidRDefault="001459CD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1459CD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C4322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874712">
      <w:rPr>
        <w:i/>
        <w:noProof/>
      </w:rPr>
      <w:t>Health (Immunisation By Local Authorities) Regulations 1966</w:t>
    </w:r>
    <w:r>
      <w:rPr>
        <w:i/>
      </w:rPr>
      <w:fldChar w:fldCharType="end"/>
    </w:r>
  </w:p>
  <w:p w:rsidR="001459CD" w:rsidRDefault="001459CD">
    <w:pPr>
      <w:pStyle w:val="headerpartodd"/>
      <w:ind w:left="0" w:firstLine="0"/>
      <w:rPr>
        <w:b w:val="0"/>
        <w:i/>
      </w:rPr>
    </w:pPr>
  </w:p>
  <w:p w:rsidR="001459CD" w:rsidRDefault="001459CD">
    <w:pPr>
      <w:pStyle w:val="headerpart"/>
    </w:pPr>
  </w:p>
  <w:p w:rsidR="001459CD" w:rsidRDefault="001459CD">
    <w:pPr>
      <w:pStyle w:val="headerpart"/>
    </w:pPr>
  </w:p>
  <w:p w:rsidR="001459CD" w:rsidRDefault="001459CD">
    <w:pPr>
      <w:pBdr>
        <w:bottom w:val="single" w:sz="6" w:space="1" w:color="auto"/>
      </w:pBdr>
      <w:rPr>
        <w:b/>
      </w:rPr>
    </w:pPr>
  </w:p>
  <w:p w:rsidR="001459CD" w:rsidRDefault="001459CD"/>
  <w:p w:rsidR="001459CD" w:rsidRDefault="001459CD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C43226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874712">
      <w:rPr>
        <w:i/>
        <w:noProof/>
      </w:rPr>
      <w:t>Health (Immunisation By Local Authorities) Regulations 1966</w:t>
    </w:r>
    <w:r>
      <w:rPr>
        <w:i/>
      </w:rPr>
      <w:fldChar w:fldCharType="end"/>
    </w:r>
  </w:p>
  <w:p w:rsidR="001459CD" w:rsidRDefault="001459CD">
    <w:pPr>
      <w:pStyle w:val="headerpartodd"/>
      <w:ind w:left="0" w:firstLine="0"/>
      <w:jc w:val="right"/>
      <w:rPr>
        <w:b w:val="0"/>
        <w:i/>
      </w:rPr>
    </w:pPr>
  </w:p>
  <w:p w:rsidR="001459CD" w:rsidRDefault="001459CD">
    <w:pPr>
      <w:pStyle w:val="headerpart"/>
      <w:jc w:val="right"/>
    </w:pPr>
  </w:p>
  <w:p w:rsidR="001459CD" w:rsidRDefault="001459CD">
    <w:pPr>
      <w:pStyle w:val="headerpart"/>
      <w:jc w:val="right"/>
    </w:pPr>
  </w:p>
  <w:p w:rsidR="001459CD" w:rsidRDefault="001459CD">
    <w:pPr>
      <w:pBdr>
        <w:bottom w:val="single" w:sz="6" w:space="1" w:color="auto"/>
      </w:pBdr>
      <w:jc w:val="right"/>
      <w:rPr>
        <w:b/>
      </w:rPr>
    </w:pPr>
  </w:p>
  <w:p w:rsidR="001459CD" w:rsidRDefault="001459CD"/>
  <w:p w:rsidR="001459CD" w:rsidRDefault="001459C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712" w:rsidRDefault="0087471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712" w:rsidRDefault="0087471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1459CD">
      <w:trPr>
        <w:cantSplit/>
      </w:trPr>
      <w:tc>
        <w:tcPr>
          <w:tcW w:w="7312" w:type="dxa"/>
          <w:gridSpan w:val="2"/>
        </w:tcPr>
        <w:p w:rsidR="001459CD" w:rsidRDefault="00C43226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874712">
            <w:rPr>
              <w:i w:val="0"/>
              <w:noProof/>
            </w:rPr>
            <w:t>Health (Immunisation By Local Authorities) Regulations 1966</w:t>
          </w:r>
          <w:r>
            <w:rPr>
              <w:i w:val="0"/>
            </w:rPr>
            <w:fldChar w:fldCharType="end"/>
          </w:r>
        </w:p>
      </w:tc>
    </w:tr>
    <w:tr w:rsidR="001459CD">
      <w:tc>
        <w:tcPr>
          <w:tcW w:w="1548" w:type="dxa"/>
        </w:tcPr>
        <w:p w:rsidR="001459CD" w:rsidRDefault="001459CD">
          <w:pPr>
            <w:pStyle w:val="HeaderNumberLeft"/>
          </w:pPr>
        </w:p>
      </w:tc>
      <w:tc>
        <w:tcPr>
          <w:tcW w:w="5764" w:type="dxa"/>
        </w:tcPr>
        <w:p w:rsidR="001459CD" w:rsidRDefault="001459CD">
          <w:pPr>
            <w:pStyle w:val="HeaderTextLeft"/>
          </w:pPr>
        </w:p>
      </w:tc>
    </w:tr>
    <w:tr w:rsidR="001459CD">
      <w:tc>
        <w:tcPr>
          <w:tcW w:w="1548" w:type="dxa"/>
        </w:tcPr>
        <w:p w:rsidR="001459CD" w:rsidRDefault="001459CD">
          <w:pPr>
            <w:pStyle w:val="HeaderNumberLeft"/>
          </w:pPr>
        </w:p>
      </w:tc>
      <w:tc>
        <w:tcPr>
          <w:tcW w:w="5764" w:type="dxa"/>
        </w:tcPr>
        <w:p w:rsidR="001459CD" w:rsidRDefault="001459CD">
          <w:pPr>
            <w:pStyle w:val="HeaderTextLeft"/>
          </w:pPr>
        </w:p>
      </w:tc>
    </w:tr>
    <w:tr w:rsidR="001459CD">
      <w:trPr>
        <w:cantSplit/>
      </w:trPr>
      <w:tc>
        <w:tcPr>
          <w:tcW w:w="7312" w:type="dxa"/>
          <w:gridSpan w:val="2"/>
        </w:tcPr>
        <w:p w:rsidR="001459CD" w:rsidRDefault="001459CD">
          <w:pPr>
            <w:pStyle w:val="HeaderSectionLeft"/>
          </w:pPr>
        </w:p>
      </w:tc>
    </w:tr>
  </w:tbl>
  <w:p w:rsidR="001459CD" w:rsidRDefault="001459CD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1459CD">
      <w:trPr>
        <w:cantSplit/>
      </w:trPr>
      <w:tc>
        <w:tcPr>
          <w:tcW w:w="7312" w:type="dxa"/>
          <w:gridSpan w:val="2"/>
        </w:tcPr>
        <w:p w:rsidR="001459CD" w:rsidRDefault="00C43226">
          <w:pPr>
            <w:pStyle w:val="HeaderActNameRight"/>
          </w:pPr>
          <w:fldSimple w:instr=" Styleref &quot;Name of Act/Reg&quot; ">
            <w:r w:rsidR="00874712">
              <w:rPr>
                <w:noProof/>
              </w:rPr>
              <w:t>Health (Immunisation By Local Authorities) Regulations 1966</w:t>
            </w:r>
          </w:fldSimple>
        </w:p>
      </w:tc>
    </w:tr>
    <w:tr w:rsidR="001459CD">
      <w:tc>
        <w:tcPr>
          <w:tcW w:w="5760" w:type="dxa"/>
        </w:tcPr>
        <w:p w:rsidR="001459CD" w:rsidRDefault="001459CD">
          <w:pPr>
            <w:pStyle w:val="HeaderTextRight"/>
          </w:pPr>
        </w:p>
      </w:tc>
      <w:tc>
        <w:tcPr>
          <w:tcW w:w="1552" w:type="dxa"/>
        </w:tcPr>
        <w:p w:rsidR="001459CD" w:rsidRDefault="001459CD">
          <w:pPr>
            <w:pStyle w:val="HeaderNumberRight"/>
          </w:pPr>
        </w:p>
      </w:tc>
    </w:tr>
    <w:tr w:rsidR="001459CD">
      <w:tc>
        <w:tcPr>
          <w:tcW w:w="5760" w:type="dxa"/>
        </w:tcPr>
        <w:p w:rsidR="001459CD" w:rsidRDefault="001459CD">
          <w:pPr>
            <w:pStyle w:val="HeaderTextRight"/>
          </w:pPr>
        </w:p>
      </w:tc>
      <w:tc>
        <w:tcPr>
          <w:tcW w:w="1552" w:type="dxa"/>
        </w:tcPr>
        <w:p w:rsidR="001459CD" w:rsidRDefault="001459CD">
          <w:pPr>
            <w:pStyle w:val="HeaderNumberRight"/>
          </w:pPr>
        </w:p>
      </w:tc>
    </w:tr>
    <w:tr w:rsidR="001459CD">
      <w:trPr>
        <w:cantSplit/>
      </w:trPr>
      <w:tc>
        <w:tcPr>
          <w:tcW w:w="7312" w:type="dxa"/>
          <w:gridSpan w:val="2"/>
        </w:tcPr>
        <w:p w:rsidR="001459CD" w:rsidRDefault="001459CD">
          <w:pPr>
            <w:pStyle w:val="HeaderSectionRight"/>
          </w:pPr>
        </w:p>
      </w:tc>
    </w:tr>
  </w:tbl>
  <w:p w:rsidR="001459CD" w:rsidRDefault="001459CD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1459CD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 w:rsidR="001459CD">
      <w:trPr>
        <w:cantSplit/>
      </w:trPr>
      <w:tc>
        <w:tcPr>
          <w:tcW w:w="7312" w:type="dxa"/>
          <w:gridSpan w:val="2"/>
        </w:tcPr>
        <w:p w:rsidR="001459CD" w:rsidRDefault="00C43226">
          <w:pPr>
            <w:pStyle w:val="HeaderActNameLeft"/>
          </w:pPr>
          <w:fldSimple w:instr=" Styleref &quot;Name of Act/Reg&quot; ">
            <w:r w:rsidR="00874712">
              <w:rPr>
                <w:noProof/>
              </w:rPr>
              <w:t>Health (Immunisation By Local Authorities) Regulations 1966</w:t>
            </w:r>
          </w:fldSimple>
        </w:p>
      </w:tc>
    </w:tr>
    <w:tr w:rsidR="001459CD">
      <w:tc>
        <w:tcPr>
          <w:tcW w:w="1305" w:type="dxa"/>
        </w:tcPr>
        <w:p w:rsidR="001459CD" w:rsidRDefault="00C43226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6007" w:type="dxa"/>
        </w:tcPr>
        <w:p w:rsidR="001459CD" w:rsidRDefault="00C43226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1459CD">
      <w:tc>
        <w:tcPr>
          <w:tcW w:w="1305" w:type="dxa"/>
        </w:tcPr>
        <w:p w:rsidR="001459CD" w:rsidRDefault="00C43226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6007" w:type="dxa"/>
        </w:tcPr>
        <w:p w:rsidR="001459CD" w:rsidRDefault="00C43226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1459CD">
      <w:trPr>
        <w:cantSplit/>
      </w:trPr>
      <w:tc>
        <w:tcPr>
          <w:tcW w:w="7312" w:type="dxa"/>
          <w:gridSpan w:val="2"/>
        </w:tcPr>
        <w:p w:rsidR="001459CD" w:rsidRDefault="00C43226">
          <w:pPr>
            <w:pStyle w:val="HeaderSectionLeft"/>
          </w:pPr>
          <w:r>
            <w:t xml:space="preserve">r. </w:t>
          </w:r>
          <w:fldSimple w:instr=" styleref CharSectno ">
            <w:r w:rsidR="00874712">
              <w:rPr>
                <w:noProof/>
              </w:rPr>
              <w:t>1</w:t>
            </w:r>
          </w:fldSimple>
        </w:p>
      </w:tc>
    </w:tr>
  </w:tbl>
  <w:p w:rsidR="001459CD" w:rsidRDefault="001459CD">
    <w:pPr>
      <w:pStyle w:val="HeaderNumberLeft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 w:rsidR="001459CD">
      <w:trPr>
        <w:cantSplit/>
      </w:trPr>
      <w:tc>
        <w:tcPr>
          <w:tcW w:w="7312" w:type="dxa"/>
          <w:gridSpan w:val="2"/>
        </w:tcPr>
        <w:p w:rsidR="001459CD" w:rsidRDefault="00C43226">
          <w:pPr>
            <w:pStyle w:val="HeaderActNameRight"/>
          </w:pPr>
          <w:fldSimple w:instr=" Styleref &quot;Name of Act/Reg&quot; ">
            <w:r w:rsidR="00874712">
              <w:rPr>
                <w:noProof/>
              </w:rPr>
              <w:t>Health (Immunisation By Local Authorities) Regulations 1966</w:t>
            </w:r>
          </w:fldSimple>
        </w:p>
      </w:tc>
    </w:tr>
    <w:tr w:rsidR="001459CD">
      <w:tc>
        <w:tcPr>
          <w:tcW w:w="5985" w:type="dxa"/>
        </w:tcPr>
        <w:p w:rsidR="001459CD" w:rsidRDefault="00C43226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 w:rsidR="001459CD" w:rsidRDefault="00C43226">
          <w:pPr>
            <w:pStyle w:val="HeaderNumber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1459CD">
      <w:tc>
        <w:tcPr>
          <w:tcW w:w="5985" w:type="dxa"/>
        </w:tcPr>
        <w:p w:rsidR="001459CD" w:rsidRDefault="00C43226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 w:rsidR="001459CD" w:rsidRDefault="00C43226">
          <w:pPr>
            <w:pStyle w:val="HeaderNumber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1459CD">
      <w:trPr>
        <w:cantSplit/>
      </w:trPr>
      <w:tc>
        <w:tcPr>
          <w:tcW w:w="7312" w:type="dxa"/>
          <w:gridSpan w:val="2"/>
        </w:tcPr>
        <w:p w:rsidR="001459CD" w:rsidRDefault="00C43226">
          <w:pPr>
            <w:pStyle w:val="HeaderSectionRight"/>
          </w:pPr>
          <w:r>
            <w:t xml:space="preserve">s. </w:t>
          </w:r>
          <w:fldSimple w:instr=" styleref CharSectno ">
            <w:r w:rsidR="00874712">
              <w:rPr>
                <w:noProof/>
              </w:rPr>
              <w:t>1</w:t>
            </w:r>
          </w:fldSimple>
        </w:p>
      </w:tc>
    </w:tr>
  </w:tbl>
  <w:p w:rsidR="001459CD" w:rsidRDefault="001459CD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CD" w:rsidRDefault="001459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FE908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3CA18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4164D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869D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9625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C01DD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B255A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F294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CAAD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5A0B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4968A1EE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3B4E73C2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033A45D2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1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2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226"/>
    <w:rsid w:val="001459CD"/>
    <w:rsid w:val="00802536"/>
    <w:rsid w:val="00874712"/>
    <w:rsid w:val="00C43226"/>
    <w:rsid w:val="00D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rPr>
      <w:sz w:val="22"/>
    </w:r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4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right" w:pos="605"/>
        <w:tab w:val="left" w:pos="893"/>
      </w:tabs>
      <w:spacing w:before="160" w:line="260" w:lineRule="atLeast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530"/>
        <w:tab w:val="right" w:pos="7070"/>
      </w:tabs>
      <w:spacing w:before="0"/>
      <w:ind w:left="1483" w:right="576" w:hanging="907"/>
      <w:jc w:val="left"/>
      <w:outlineLvl w:val="9"/>
    </w:p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79"/>
      </w:tabs>
      <w:spacing w:before="0" w:line="240" w:lineRule="auto"/>
      <w:ind w:left="806" w:right="806" w:firstLine="0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keepLines/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keepLines/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keepLines/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/>
    </w:pPr>
    <w:rPr>
      <w:sz w:val="28"/>
    </w:rPr>
  </w:style>
  <w:style w:type="paragraph" w:customStyle="1" w:styleId="yHeading1">
    <w:name w:val="yHeading 1"/>
    <w:basedOn w:val="Heading1"/>
    <w:rPr>
      <w:sz w:val="32"/>
    </w:rPr>
  </w:style>
  <w:style w:type="paragraph" w:customStyle="1" w:styleId="yHeading3">
    <w:name w:val="yHeading 3"/>
    <w:basedOn w:val="Heading3"/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16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rPr>
      <w:sz w:val="22"/>
    </w:rPr>
  </w:style>
  <w:style w:type="paragraph" w:customStyle="1" w:styleId="yIndentA0">
    <w:name w:val="yIndent(A)"/>
    <w:basedOn w:val="IndentA0"/>
    <w:rPr>
      <w:sz w:val="22"/>
    </w:rPr>
  </w:style>
  <w:style w:type="paragraph" w:customStyle="1" w:styleId="yIndentI">
    <w:name w:val="yIndent(I)"/>
    <w:basedOn w:val="IndentI0"/>
    <w:rPr>
      <w:sz w:val="22"/>
    </w:rPr>
  </w:style>
  <w:style w:type="paragraph" w:customStyle="1" w:styleId="yIndenti0">
    <w:name w:val="yIndent(i)"/>
    <w:basedOn w:val="Indenti"/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rPr>
      <w:sz w:val="22"/>
    </w:rPr>
  </w:style>
  <w:style w:type="paragraph" w:customStyle="1" w:styleId="yPenpara">
    <w:name w:val="yPenpara"/>
    <w:basedOn w:val="Penpara"/>
    <w:rPr>
      <w:sz w:val="22"/>
    </w:rPr>
  </w:style>
  <w:style w:type="paragraph" w:customStyle="1" w:styleId="yPensubpara">
    <w:name w:val="yPensubpara"/>
    <w:basedOn w:val="Pensubpara"/>
    <w:rPr>
      <w:sz w:val="22"/>
    </w:rPr>
  </w:style>
  <w:style w:type="paragraph" w:customStyle="1" w:styleId="yPenitem">
    <w:name w:val="yPenitem"/>
    <w:basedOn w:val="Penitem"/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rPr>
      <w:sz w:val="22"/>
    </w:rPr>
  </w:style>
  <w:style w:type="paragraph" w:customStyle="1" w:styleId="yDefstart">
    <w:name w:val="yDefstart"/>
    <w:basedOn w:val="Defstart"/>
    <w:rPr>
      <w:sz w:val="22"/>
    </w:rPr>
  </w:style>
  <w:style w:type="paragraph" w:customStyle="1" w:styleId="yDefsubpara">
    <w:name w:val="yDefsubpara"/>
    <w:basedOn w:val="Defsubpara"/>
    <w:rPr>
      <w:sz w:val="22"/>
    </w:rPr>
  </w:style>
  <w:style w:type="paragraph" w:customStyle="1" w:styleId="yDefitem">
    <w:name w:val="yDefitem"/>
    <w:basedOn w:val="Defitem"/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rPr>
      <w:sz w:val="22"/>
    </w:rPr>
  </w:style>
  <w:style w:type="paragraph" w:customStyle="1" w:styleId="zyDefstart">
    <w:name w:val="zyDefstart"/>
    <w:basedOn w:val="zDefstart"/>
    <w:rPr>
      <w:sz w:val="22"/>
    </w:rPr>
  </w:style>
  <w:style w:type="paragraph" w:customStyle="1" w:styleId="zyDefsubpara">
    <w:name w:val="zyDefsubpara"/>
    <w:basedOn w:val="zDefsubpara"/>
    <w:rPr>
      <w:snapToGrid w:val="0"/>
      <w:sz w:val="22"/>
    </w:rPr>
  </w:style>
  <w:style w:type="paragraph" w:customStyle="1" w:styleId="zyHeading1">
    <w:name w:val="zyHeading 1"/>
    <w:basedOn w:val="zHeading1"/>
    <w:rPr>
      <w:sz w:val="32"/>
    </w:rPr>
  </w:style>
  <w:style w:type="paragraph" w:customStyle="1" w:styleId="zyHeading2">
    <w:name w:val="zyHeading 2"/>
    <w:basedOn w:val="zHeading2"/>
    <w:rPr>
      <w:sz w:val="28"/>
    </w:rPr>
  </w:style>
  <w:style w:type="paragraph" w:customStyle="1" w:styleId="zyHeading3">
    <w:name w:val="zyHeading 3"/>
    <w:basedOn w:val="zHeading3"/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rPr>
      <w:sz w:val="22"/>
    </w:rPr>
  </w:style>
  <w:style w:type="paragraph" w:customStyle="1" w:styleId="zyIndenta">
    <w:name w:val="zyIndent(a)"/>
    <w:basedOn w:val="zIndenta"/>
    <w:rPr>
      <w:sz w:val="22"/>
    </w:rPr>
  </w:style>
  <w:style w:type="paragraph" w:customStyle="1" w:styleId="zyIndentA0">
    <w:name w:val="zyIndent(A)"/>
    <w:basedOn w:val="zIndentA0"/>
    <w:rPr>
      <w:sz w:val="22"/>
    </w:rPr>
  </w:style>
  <w:style w:type="paragraph" w:customStyle="1" w:styleId="zyIndenti">
    <w:name w:val="zyIndent(i)"/>
    <w:basedOn w:val="zIndenti"/>
    <w:rPr>
      <w:sz w:val="22"/>
    </w:rPr>
  </w:style>
  <w:style w:type="paragraph" w:customStyle="1" w:styleId="zyIndentI0">
    <w:name w:val="zyIndent(I)"/>
    <w:basedOn w:val="zIndentI0"/>
    <w:rPr>
      <w:sz w:val="22"/>
    </w:rPr>
  </w:style>
  <w:style w:type="paragraph" w:customStyle="1" w:styleId="zyPenitem">
    <w:name w:val="zyPenitem"/>
    <w:basedOn w:val="zPenitem"/>
    <w:rPr>
      <w:sz w:val="22"/>
    </w:rPr>
  </w:style>
  <w:style w:type="paragraph" w:customStyle="1" w:styleId="zyPenpara">
    <w:name w:val="zyPenpara"/>
    <w:basedOn w:val="zPenpara"/>
    <w:rPr>
      <w:sz w:val="22"/>
    </w:rPr>
  </w:style>
  <w:style w:type="paragraph" w:customStyle="1" w:styleId="zyPenstart">
    <w:name w:val="zyPenstart"/>
    <w:basedOn w:val="zPenstart"/>
    <w:rPr>
      <w:sz w:val="22"/>
    </w:rPr>
  </w:style>
  <w:style w:type="paragraph" w:customStyle="1" w:styleId="zyPensubpara">
    <w:name w:val="zyPensubpara"/>
    <w:basedOn w:val="zPensubpara"/>
    <w:pPr>
      <w:ind w:left="3459" w:hanging="2892"/>
    </w:pPr>
    <w:rPr>
      <w:sz w:val="22"/>
    </w:rPr>
  </w:style>
  <w:style w:type="paragraph" w:customStyle="1" w:styleId="zySubsection">
    <w:name w:val="zySubsection"/>
    <w:basedOn w:val="zSubsection"/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outlineLvl w:val="9"/>
    </w:pPr>
    <w:rPr>
      <w:sz w:val="22"/>
    </w:rPr>
  </w:style>
  <w:style w:type="paragraph" w:customStyle="1" w:styleId="yEdnotepara">
    <w:name w:val="yEdnote(para)"/>
    <w:basedOn w:val="Ednotepara"/>
    <w:rPr>
      <w:sz w:val="22"/>
    </w:rPr>
  </w:style>
  <w:style w:type="paragraph" w:customStyle="1" w:styleId="yEdnotesubpara">
    <w:name w:val="yEdnote(subpara)"/>
    <w:basedOn w:val="Ednotesubpara"/>
    <w:rPr>
      <w:sz w:val="22"/>
    </w:rPr>
  </w:style>
  <w:style w:type="paragraph" w:customStyle="1" w:styleId="yEdnoteitem">
    <w:name w:val="yEdnote(item)"/>
    <w:basedOn w:val="Ednoteitem"/>
    <w:rPr>
      <w:sz w:val="22"/>
    </w:rPr>
  </w:style>
  <w:style w:type="paragraph" w:customStyle="1" w:styleId="yEdnotesubitem">
    <w:name w:val="yEdnote(subitem)"/>
    <w:basedOn w:val="Ednotesubitem"/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rPr>
      <w:sz w:val="20"/>
    </w:rPr>
  </w:style>
  <w:style w:type="paragraph" w:customStyle="1" w:styleId="yFootnotesection">
    <w:name w:val="yFootnote(section)"/>
    <w:basedOn w:val="Footnotesection"/>
    <w:rPr>
      <w:sz w:val="22"/>
    </w:rPr>
  </w:style>
  <w:style w:type="paragraph" w:customStyle="1" w:styleId="nDefstart">
    <w:name w:val="nDefstart"/>
    <w:basedOn w:val="Defstart"/>
    <w:rPr>
      <w:sz w:val="20"/>
    </w:rPr>
  </w:style>
  <w:style w:type="paragraph" w:customStyle="1" w:styleId="nDefsubpara">
    <w:name w:val="nDefsubpara"/>
    <w:basedOn w:val="Defsubpara"/>
    <w:rPr>
      <w:sz w:val="20"/>
    </w:rPr>
  </w:style>
  <w:style w:type="paragraph" w:customStyle="1" w:styleId="nEdnoteitem">
    <w:name w:val="nEdnote(item)"/>
    <w:basedOn w:val="Ednoteitem"/>
    <w:rPr>
      <w:sz w:val="20"/>
    </w:rPr>
  </w:style>
  <w:style w:type="paragraph" w:customStyle="1" w:styleId="nEdnotepara">
    <w:name w:val="nEdnote(para)"/>
    <w:basedOn w:val="Ednotepara"/>
    <w:rPr>
      <w:sz w:val="20"/>
    </w:rPr>
  </w:style>
  <w:style w:type="paragraph" w:customStyle="1" w:styleId="nEdnotesection">
    <w:name w:val="nEdnote(section)"/>
    <w:basedOn w:val="Ednotesection"/>
    <w:pPr>
      <w:outlineLvl w:val="9"/>
    </w:pPr>
    <w:rPr>
      <w:sz w:val="20"/>
    </w:rPr>
  </w:style>
  <w:style w:type="paragraph" w:customStyle="1" w:styleId="nEdnotesubpara">
    <w:name w:val="nEdnote(subpara)"/>
    <w:basedOn w:val="Ednotesubpara"/>
    <w:rPr>
      <w:sz w:val="20"/>
    </w:rPr>
  </w:style>
  <w:style w:type="paragraph" w:customStyle="1" w:styleId="nHeading2">
    <w:name w:val="nHeading 2"/>
    <w:basedOn w:val="Heading2"/>
    <w:pPr>
      <w:pageBreakBefore w:val="0"/>
    </w:pPr>
    <w:rPr>
      <w:sz w:val="26"/>
    </w:rPr>
  </w:style>
  <w:style w:type="paragraph" w:customStyle="1" w:styleId="nHeading3">
    <w:name w:val="nHeading 3"/>
    <w:basedOn w:val="Heading3"/>
    <w:rPr>
      <w:sz w:val="22"/>
    </w:rPr>
  </w:style>
  <w:style w:type="paragraph" w:customStyle="1" w:styleId="nHeading4">
    <w:name w:val="nHeading 4"/>
    <w:basedOn w:val="Heading4"/>
    <w:rPr>
      <w:sz w:val="20"/>
    </w:rPr>
  </w:style>
  <w:style w:type="paragraph" w:customStyle="1" w:styleId="nHeading5">
    <w:name w:val="nHeading 5"/>
    <w:basedOn w:val="Heading5"/>
    <w:rPr>
      <w:sz w:val="20"/>
    </w:rPr>
  </w:style>
  <w:style w:type="paragraph" w:customStyle="1" w:styleId="nIndenta">
    <w:name w:val="nIndent(a)"/>
    <w:basedOn w:val="Indenta"/>
    <w:rPr>
      <w:sz w:val="20"/>
    </w:rPr>
  </w:style>
  <w:style w:type="paragraph" w:customStyle="1" w:styleId="nIndentA0">
    <w:name w:val="nIndent(A)"/>
    <w:basedOn w:val="IndentA0"/>
    <w:rPr>
      <w:sz w:val="20"/>
    </w:rPr>
  </w:style>
  <w:style w:type="paragraph" w:customStyle="1" w:styleId="nIndenti">
    <w:name w:val="nIndent(i)"/>
    <w:basedOn w:val="Indenti"/>
    <w:rPr>
      <w:sz w:val="20"/>
    </w:rPr>
  </w:style>
  <w:style w:type="paragraph" w:customStyle="1" w:styleId="nIndentI0">
    <w:name w:val="nIndent(I)"/>
    <w:basedOn w:val="IndentI0"/>
    <w:rPr>
      <w:sz w:val="20"/>
    </w:rPr>
  </w:style>
  <w:style w:type="paragraph" w:customStyle="1" w:styleId="nPenpara">
    <w:name w:val="nPenpara"/>
    <w:basedOn w:val="Penpara"/>
    <w:rPr>
      <w:sz w:val="20"/>
    </w:rPr>
  </w:style>
  <w:style w:type="paragraph" w:customStyle="1" w:styleId="nPenstart">
    <w:name w:val="nPenstart"/>
    <w:basedOn w:val="Penstart"/>
    <w:rPr>
      <w:sz w:val="20"/>
    </w:rPr>
  </w:style>
  <w:style w:type="paragraph" w:customStyle="1" w:styleId="nzDefpara">
    <w:name w:val="nzDefpara"/>
    <w:basedOn w:val="zDefpara"/>
    <w:rPr>
      <w:sz w:val="20"/>
    </w:rPr>
  </w:style>
  <w:style w:type="paragraph" w:customStyle="1" w:styleId="nzDefstart">
    <w:name w:val="nzDefstart"/>
    <w:basedOn w:val="zDefstart"/>
    <w:rPr>
      <w:sz w:val="20"/>
    </w:rPr>
  </w:style>
  <w:style w:type="paragraph" w:customStyle="1" w:styleId="nzDefsubpara">
    <w:name w:val="nzDefsubpara"/>
    <w:basedOn w:val="zDefsubpara"/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6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</w:pPr>
    <w:rPr>
      <w:sz w:val="24"/>
      <w:lang w:eastAsia="en-US"/>
    </w:rPr>
  </w:style>
  <w:style w:type="paragraph" w:customStyle="1" w:styleId="nzHeading2">
    <w:name w:val="nzHeading 2"/>
    <w:basedOn w:val="zHeading2"/>
    <w:rPr>
      <w:sz w:val="26"/>
    </w:rPr>
  </w:style>
  <w:style w:type="paragraph" w:customStyle="1" w:styleId="nzHeading3">
    <w:name w:val="nzHeading 3"/>
    <w:basedOn w:val="zHeading3"/>
    <w:rPr>
      <w:sz w:val="22"/>
    </w:rPr>
  </w:style>
  <w:style w:type="paragraph" w:customStyle="1" w:styleId="nzHeading4">
    <w:name w:val="nzHeading 4"/>
    <w:basedOn w:val="zHeading4"/>
    <w:rPr>
      <w:sz w:val="20"/>
    </w:rPr>
  </w:style>
  <w:style w:type="paragraph" w:customStyle="1" w:styleId="nzHeading5">
    <w:name w:val="nzHeading 5"/>
    <w:basedOn w:val="zHeading5"/>
    <w:rPr>
      <w:sz w:val="20"/>
    </w:rPr>
  </w:style>
  <w:style w:type="paragraph" w:customStyle="1" w:styleId="nzIndenta">
    <w:name w:val="nzIndent(a)"/>
    <w:basedOn w:val="zIndenta"/>
    <w:rPr>
      <w:sz w:val="20"/>
    </w:rPr>
  </w:style>
  <w:style w:type="paragraph" w:customStyle="1" w:styleId="nzIndentA0">
    <w:name w:val="nzIndent(A)"/>
    <w:basedOn w:val="zIndentA0"/>
    <w:rPr>
      <w:sz w:val="20"/>
    </w:rPr>
  </w:style>
  <w:style w:type="paragraph" w:customStyle="1" w:styleId="nzIndenti">
    <w:name w:val="nzIndent(i)"/>
    <w:basedOn w:val="zIndenti"/>
    <w:rPr>
      <w:sz w:val="20"/>
    </w:rPr>
  </w:style>
  <w:style w:type="paragraph" w:customStyle="1" w:styleId="nzIndentI0">
    <w:name w:val="nzIndent(I)"/>
    <w:basedOn w:val="zIndentI0"/>
    <w:rPr>
      <w:sz w:val="20"/>
    </w:rPr>
  </w:style>
  <w:style w:type="paragraph" w:customStyle="1" w:styleId="nzPenpara">
    <w:name w:val="nzPenpara"/>
    <w:basedOn w:val="zPenpara"/>
    <w:rPr>
      <w:sz w:val="20"/>
    </w:rPr>
  </w:style>
  <w:style w:type="paragraph" w:customStyle="1" w:styleId="nzPenstart">
    <w:name w:val="nzPenstart"/>
    <w:basedOn w:val="zPenstart"/>
    <w:rPr>
      <w:sz w:val="20"/>
    </w:rPr>
  </w:style>
  <w:style w:type="paragraph" w:customStyle="1" w:styleId="nzSubsection">
    <w:name w:val="nzSubsection"/>
    <w:basedOn w:val="zSubsection"/>
    <w:rPr>
      <w:sz w:val="20"/>
    </w:rPr>
  </w:style>
  <w:style w:type="paragraph" w:customStyle="1" w:styleId="MiscellaneousBody">
    <w:name w:val="Miscellaneous Body"/>
    <w:basedOn w:val="MiscellaneousHeading"/>
    <w:pPr>
      <w:keepNext w:val="0"/>
    </w:pPr>
  </w:style>
  <w:style w:type="paragraph" w:customStyle="1" w:styleId="MiscellaneousFootnotes">
    <w:name w:val="Miscellaneous Footnotes"/>
    <w:basedOn w:val="MiscellaneousHeading"/>
  </w:style>
  <w:style w:type="paragraph" w:customStyle="1" w:styleId="yShoulderClause">
    <w:name w:val="yShoulderClause"/>
    <w:next w:val="ySubsection"/>
    <w:pPr>
      <w:spacing w:before="120" w:line="260" w:lineRule="atLeast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2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semiHidden/>
    <w:pPr>
      <w:spacing w:before="60" w:after="20"/>
      <w:ind w:left="862" w:right="567"/>
      <w:jc w:val="center"/>
    </w:pPr>
    <w:rPr>
      <w:b/>
    </w:rPr>
  </w:style>
  <w:style w:type="paragraph" w:customStyle="1" w:styleId="yTable">
    <w:name w:val="yTable"/>
    <w:basedOn w:val="Table"/>
    <w:rPr>
      <w:sz w:val="22"/>
    </w:rPr>
  </w:style>
  <w:style w:type="paragraph" w:customStyle="1" w:styleId="nTable">
    <w:name w:val="nTable"/>
    <w:basedOn w:val="Table"/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zTable"/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noProof/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noProof/>
      <w:lang w:eastAsia="en-US"/>
    </w:rPr>
  </w:style>
  <w:style w:type="paragraph" w:customStyle="1" w:styleId="MadeBy">
    <w:name w:val="MadeBy"/>
    <w:pPr>
      <w:spacing w:before="600"/>
    </w:pPr>
    <w:rPr>
      <w:noProof/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rPr>
      <w:sz w:val="18"/>
    </w:rPr>
  </w:style>
  <w:style w:type="character" w:customStyle="1" w:styleId="CharDefText">
    <w:name w:val="CharDefText"/>
    <w:basedOn w:val="DefaultParagraphFont"/>
    <w:rPr>
      <w:b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rPr>
      <w:sz w:val="22"/>
    </w:r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4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right" w:pos="605"/>
        <w:tab w:val="left" w:pos="893"/>
      </w:tabs>
      <w:spacing w:before="160" w:line="260" w:lineRule="atLeast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530"/>
        <w:tab w:val="right" w:pos="7070"/>
      </w:tabs>
      <w:spacing w:before="0"/>
      <w:ind w:left="1483" w:right="576" w:hanging="907"/>
      <w:jc w:val="left"/>
      <w:outlineLvl w:val="9"/>
    </w:p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79"/>
      </w:tabs>
      <w:spacing w:before="0" w:line="240" w:lineRule="auto"/>
      <w:ind w:left="806" w:right="806" w:firstLine="0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keepLines/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keepLines/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keepLines/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/>
    </w:pPr>
    <w:rPr>
      <w:sz w:val="28"/>
    </w:rPr>
  </w:style>
  <w:style w:type="paragraph" w:customStyle="1" w:styleId="yHeading1">
    <w:name w:val="yHeading 1"/>
    <w:basedOn w:val="Heading1"/>
    <w:rPr>
      <w:sz w:val="32"/>
    </w:rPr>
  </w:style>
  <w:style w:type="paragraph" w:customStyle="1" w:styleId="yHeading3">
    <w:name w:val="yHeading 3"/>
    <w:basedOn w:val="Heading3"/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16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rPr>
      <w:sz w:val="22"/>
    </w:rPr>
  </w:style>
  <w:style w:type="paragraph" w:customStyle="1" w:styleId="yIndentA0">
    <w:name w:val="yIndent(A)"/>
    <w:basedOn w:val="IndentA0"/>
    <w:rPr>
      <w:sz w:val="22"/>
    </w:rPr>
  </w:style>
  <w:style w:type="paragraph" w:customStyle="1" w:styleId="yIndentI">
    <w:name w:val="yIndent(I)"/>
    <w:basedOn w:val="IndentI0"/>
    <w:rPr>
      <w:sz w:val="22"/>
    </w:rPr>
  </w:style>
  <w:style w:type="paragraph" w:customStyle="1" w:styleId="yIndenti0">
    <w:name w:val="yIndent(i)"/>
    <w:basedOn w:val="Indenti"/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rPr>
      <w:sz w:val="22"/>
    </w:rPr>
  </w:style>
  <w:style w:type="paragraph" w:customStyle="1" w:styleId="yPenpara">
    <w:name w:val="yPenpara"/>
    <w:basedOn w:val="Penpara"/>
    <w:rPr>
      <w:sz w:val="22"/>
    </w:rPr>
  </w:style>
  <w:style w:type="paragraph" w:customStyle="1" w:styleId="yPensubpara">
    <w:name w:val="yPensubpara"/>
    <w:basedOn w:val="Pensubpara"/>
    <w:rPr>
      <w:sz w:val="22"/>
    </w:rPr>
  </w:style>
  <w:style w:type="paragraph" w:customStyle="1" w:styleId="yPenitem">
    <w:name w:val="yPenitem"/>
    <w:basedOn w:val="Penitem"/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rPr>
      <w:sz w:val="22"/>
    </w:rPr>
  </w:style>
  <w:style w:type="paragraph" w:customStyle="1" w:styleId="yDefstart">
    <w:name w:val="yDefstart"/>
    <w:basedOn w:val="Defstart"/>
    <w:rPr>
      <w:sz w:val="22"/>
    </w:rPr>
  </w:style>
  <w:style w:type="paragraph" w:customStyle="1" w:styleId="yDefsubpara">
    <w:name w:val="yDefsubpara"/>
    <w:basedOn w:val="Defsubpara"/>
    <w:rPr>
      <w:sz w:val="22"/>
    </w:rPr>
  </w:style>
  <w:style w:type="paragraph" w:customStyle="1" w:styleId="yDefitem">
    <w:name w:val="yDefitem"/>
    <w:basedOn w:val="Defitem"/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rPr>
      <w:sz w:val="22"/>
    </w:rPr>
  </w:style>
  <w:style w:type="paragraph" w:customStyle="1" w:styleId="zyDefstart">
    <w:name w:val="zyDefstart"/>
    <w:basedOn w:val="zDefstart"/>
    <w:rPr>
      <w:sz w:val="22"/>
    </w:rPr>
  </w:style>
  <w:style w:type="paragraph" w:customStyle="1" w:styleId="zyDefsubpara">
    <w:name w:val="zyDefsubpara"/>
    <w:basedOn w:val="zDefsubpara"/>
    <w:rPr>
      <w:snapToGrid w:val="0"/>
      <w:sz w:val="22"/>
    </w:rPr>
  </w:style>
  <w:style w:type="paragraph" w:customStyle="1" w:styleId="zyHeading1">
    <w:name w:val="zyHeading 1"/>
    <w:basedOn w:val="zHeading1"/>
    <w:rPr>
      <w:sz w:val="32"/>
    </w:rPr>
  </w:style>
  <w:style w:type="paragraph" w:customStyle="1" w:styleId="zyHeading2">
    <w:name w:val="zyHeading 2"/>
    <w:basedOn w:val="zHeading2"/>
    <w:rPr>
      <w:sz w:val="28"/>
    </w:rPr>
  </w:style>
  <w:style w:type="paragraph" w:customStyle="1" w:styleId="zyHeading3">
    <w:name w:val="zyHeading 3"/>
    <w:basedOn w:val="zHeading3"/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rPr>
      <w:sz w:val="22"/>
    </w:rPr>
  </w:style>
  <w:style w:type="paragraph" w:customStyle="1" w:styleId="zyIndenta">
    <w:name w:val="zyIndent(a)"/>
    <w:basedOn w:val="zIndenta"/>
    <w:rPr>
      <w:sz w:val="22"/>
    </w:rPr>
  </w:style>
  <w:style w:type="paragraph" w:customStyle="1" w:styleId="zyIndentA0">
    <w:name w:val="zyIndent(A)"/>
    <w:basedOn w:val="zIndentA0"/>
    <w:rPr>
      <w:sz w:val="22"/>
    </w:rPr>
  </w:style>
  <w:style w:type="paragraph" w:customStyle="1" w:styleId="zyIndenti">
    <w:name w:val="zyIndent(i)"/>
    <w:basedOn w:val="zIndenti"/>
    <w:rPr>
      <w:sz w:val="22"/>
    </w:rPr>
  </w:style>
  <w:style w:type="paragraph" w:customStyle="1" w:styleId="zyIndentI0">
    <w:name w:val="zyIndent(I)"/>
    <w:basedOn w:val="zIndentI0"/>
    <w:rPr>
      <w:sz w:val="22"/>
    </w:rPr>
  </w:style>
  <w:style w:type="paragraph" w:customStyle="1" w:styleId="zyPenitem">
    <w:name w:val="zyPenitem"/>
    <w:basedOn w:val="zPenitem"/>
    <w:rPr>
      <w:sz w:val="22"/>
    </w:rPr>
  </w:style>
  <w:style w:type="paragraph" w:customStyle="1" w:styleId="zyPenpara">
    <w:name w:val="zyPenpara"/>
    <w:basedOn w:val="zPenpara"/>
    <w:rPr>
      <w:sz w:val="22"/>
    </w:rPr>
  </w:style>
  <w:style w:type="paragraph" w:customStyle="1" w:styleId="zyPenstart">
    <w:name w:val="zyPenstart"/>
    <w:basedOn w:val="zPenstart"/>
    <w:rPr>
      <w:sz w:val="22"/>
    </w:rPr>
  </w:style>
  <w:style w:type="paragraph" w:customStyle="1" w:styleId="zyPensubpara">
    <w:name w:val="zyPensubpara"/>
    <w:basedOn w:val="zPensubpara"/>
    <w:pPr>
      <w:ind w:left="3459" w:hanging="2892"/>
    </w:pPr>
    <w:rPr>
      <w:sz w:val="22"/>
    </w:rPr>
  </w:style>
  <w:style w:type="paragraph" w:customStyle="1" w:styleId="zySubsection">
    <w:name w:val="zySubsection"/>
    <w:basedOn w:val="zSubsection"/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outlineLvl w:val="9"/>
    </w:pPr>
    <w:rPr>
      <w:sz w:val="22"/>
    </w:rPr>
  </w:style>
  <w:style w:type="paragraph" w:customStyle="1" w:styleId="yEdnotepara">
    <w:name w:val="yEdnote(para)"/>
    <w:basedOn w:val="Ednotepara"/>
    <w:rPr>
      <w:sz w:val="22"/>
    </w:rPr>
  </w:style>
  <w:style w:type="paragraph" w:customStyle="1" w:styleId="yEdnotesubpara">
    <w:name w:val="yEdnote(subpara)"/>
    <w:basedOn w:val="Ednotesubpara"/>
    <w:rPr>
      <w:sz w:val="22"/>
    </w:rPr>
  </w:style>
  <w:style w:type="paragraph" w:customStyle="1" w:styleId="yEdnoteitem">
    <w:name w:val="yEdnote(item)"/>
    <w:basedOn w:val="Ednoteitem"/>
    <w:rPr>
      <w:sz w:val="22"/>
    </w:rPr>
  </w:style>
  <w:style w:type="paragraph" w:customStyle="1" w:styleId="yEdnotesubitem">
    <w:name w:val="yEdnote(subitem)"/>
    <w:basedOn w:val="Ednotesubitem"/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rPr>
      <w:sz w:val="20"/>
    </w:rPr>
  </w:style>
  <w:style w:type="paragraph" w:customStyle="1" w:styleId="yFootnotesection">
    <w:name w:val="yFootnote(section)"/>
    <w:basedOn w:val="Footnotesection"/>
    <w:rPr>
      <w:sz w:val="22"/>
    </w:rPr>
  </w:style>
  <w:style w:type="paragraph" w:customStyle="1" w:styleId="nDefstart">
    <w:name w:val="nDefstart"/>
    <w:basedOn w:val="Defstart"/>
    <w:rPr>
      <w:sz w:val="20"/>
    </w:rPr>
  </w:style>
  <w:style w:type="paragraph" w:customStyle="1" w:styleId="nDefsubpara">
    <w:name w:val="nDefsubpara"/>
    <w:basedOn w:val="Defsubpara"/>
    <w:rPr>
      <w:sz w:val="20"/>
    </w:rPr>
  </w:style>
  <w:style w:type="paragraph" w:customStyle="1" w:styleId="nEdnoteitem">
    <w:name w:val="nEdnote(item)"/>
    <w:basedOn w:val="Ednoteitem"/>
    <w:rPr>
      <w:sz w:val="20"/>
    </w:rPr>
  </w:style>
  <w:style w:type="paragraph" w:customStyle="1" w:styleId="nEdnotepara">
    <w:name w:val="nEdnote(para)"/>
    <w:basedOn w:val="Ednotepara"/>
    <w:rPr>
      <w:sz w:val="20"/>
    </w:rPr>
  </w:style>
  <w:style w:type="paragraph" w:customStyle="1" w:styleId="nEdnotesection">
    <w:name w:val="nEdnote(section)"/>
    <w:basedOn w:val="Ednotesection"/>
    <w:pPr>
      <w:outlineLvl w:val="9"/>
    </w:pPr>
    <w:rPr>
      <w:sz w:val="20"/>
    </w:rPr>
  </w:style>
  <w:style w:type="paragraph" w:customStyle="1" w:styleId="nEdnotesubpara">
    <w:name w:val="nEdnote(subpara)"/>
    <w:basedOn w:val="Ednotesubpara"/>
    <w:rPr>
      <w:sz w:val="20"/>
    </w:rPr>
  </w:style>
  <w:style w:type="paragraph" w:customStyle="1" w:styleId="nHeading2">
    <w:name w:val="nHeading 2"/>
    <w:basedOn w:val="Heading2"/>
    <w:pPr>
      <w:pageBreakBefore w:val="0"/>
    </w:pPr>
    <w:rPr>
      <w:sz w:val="26"/>
    </w:rPr>
  </w:style>
  <w:style w:type="paragraph" w:customStyle="1" w:styleId="nHeading3">
    <w:name w:val="nHeading 3"/>
    <w:basedOn w:val="Heading3"/>
    <w:rPr>
      <w:sz w:val="22"/>
    </w:rPr>
  </w:style>
  <w:style w:type="paragraph" w:customStyle="1" w:styleId="nHeading4">
    <w:name w:val="nHeading 4"/>
    <w:basedOn w:val="Heading4"/>
    <w:rPr>
      <w:sz w:val="20"/>
    </w:rPr>
  </w:style>
  <w:style w:type="paragraph" w:customStyle="1" w:styleId="nHeading5">
    <w:name w:val="nHeading 5"/>
    <w:basedOn w:val="Heading5"/>
    <w:rPr>
      <w:sz w:val="20"/>
    </w:rPr>
  </w:style>
  <w:style w:type="paragraph" w:customStyle="1" w:styleId="nIndenta">
    <w:name w:val="nIndent(a)"/>
    <w:basedOn w:val="Indenta"/>
    <w:rPr>
      <w:sz w:val="20"/>
    </w:rPr>
  </w:style>
  <w:style w:type="paragraph" w:customStyle="1" w:styleId="nIndentA0">
    <w:name w:val="nIndent(A)"/>
    <w:basedOn w:val="IndentA0"/>
    <w:rPr>
      <w:sz w:val="20"/>
    </w:rPr>
  </w:style>
  <w:style w:type="paragraph" w:customStyle="1" w:styleId="nIndenti">
    <w:name w:val="nIndent(i)"/>
    <w:basedOn w:val="Indenti"/>
    <w:rPr>
      <w:sz w:val="20"/>
    </w:rPr>
  </w:style>
  <w:style w:type="paragraph" w:customStyle="1" w:styleId="nIndentI0">
    <w:name w:val="nIndent(I)"/>
    <w:basedOn w:val="IndentI0"/>
    <w:rPr>
      <w:sz w:val="20"/>
    </w:rPr>
  </w:style>
  <w:style w:type="paragraph" w:customStyle="1" w:styleId="nPenpara">
    <w:name w:val="nPenpara"/>
    <w:basedOn w:val="Penpara"/>
    <w:rPr>
      <w:sz w:val="20"/>
    </w:rPr>
  </w:style>
  <w:style w:type="paragraph" w:customStyle="1" w:styleId="nPenstart">
    <w:name w:val="nPenstart"/>
    <w:basedOn w:val="Penstart"/>
    <w:rPr>
      <w:sz w:val="20"/>
    </w:rPr>
  </w:style>
  <w:style w:type="paragraph" w:customStyle="1" w:styleId="nzDefpara">
    <w:name w:val="nzDefpara"/>
    <w:basedOn w:val="zDefpara"/>
    <w:rPr>
      <w:sz w:val="20"/>
    </w:rPr>
  </w:style>
  <w:style w:type="paragraph" w:customStyle="1" w:styleId="nzDefstart">
    <w:name w:val="nzDefstart"/>
    <w:basedOn w:val="zDefstart"/>
    <w:rPr>
      <w:sz w:val="20"/>
    </w:rPr>
  </w:style>
  <w:style w:type="paragraph" w:customStyle="1" w:styleId="nzDefsubpara">
    <w:name w:val="nzDefsubpara"/>
    <w:basedOn w:val="zDefsubpara"/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6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</w:pPr>
    <w:rPr>
      <w:sz w:val="24"/>
      <w:lang w:eastAsia="en-US"/>
    </w:rPr>
  </w:style>
  <w:style w:type="paragraph" w:customStyle="1" w:styleId="nzHeading2">
    <w:name w:val="nzHeading 2"/>
    <w:basedOn w:val="zHeading2"/>
    <w:rPr>
      <w:sz w:val="26"/>
    </w:rPr>
  </w:style>
  <w:style w:type="paragraph" w:customStyle="1" w:styleId="nzHeading3">
    <w:name w:val="nzHeading 3"/>
    <w:basedOn w:val="zHeading3"/>
    <w:rPr>
      <w:sz w:val="22"/>
    </w:rPr>
  </w:style>
  <w:style w:type="paragraph" w:customStyle="1" w:styleId="nzHeading4">
    <w:name w:val="nzHeading 4"/>
    <w:basedOn w:val="zHeading4"/>
    <w:rPr>
      <w:sz w:val="20"/>
    </w:rPr>
  </w:style>
  <w:style w:type="paragraph" w:customStyle="1" w:styleId="nzHeading5">
    <w:name w:val="nzHeading 5"/>
    <w:basedOn w:val="zHeading5"/>
    <w:rPr>
      <w:sz w:val="20"/>
    </w:rPr>
  </w:style>
  <w:style w:type="paragraph" w:customStyle="1" w:styleId="nzIndenta">
    <w:name w:val="nzIndent(a)"/>
    <w:basedOn w:val="zIndenta"/>
    <w:rPr>
      <w:sz w:val="20"/>
    </w:rPr>
  </w:style>
  <w:style w:type="paragraph" w:customStyle="1" w:styleId="nzIndentA0">
    <w:name w:val="nzIndent(A)"/>
    <w:basedOn w:val="zIndentA0"/>
    <w:rPr>
      <w:sz w:val="20"/>
    </w:rPr>
  </w:style>
  <w:style w:type="paragraph" w:customStyle="1" w:styleId="nzIndenti">
    <w:name w:val="nzIndent(i)"/>
    <w:basedOn w:val="zIndenti"/>
    <w:rPr>
      <w:sz w:val="20"/>
    </w:rPr>
  </w:style>
  <w:style w:type="paragraph" w:customStyle="1" w:styleId="nzIndentI0">
    <w:name w:val="nzIndent(I)"/>
    <w:basedOn w:val="zIndentI0"/>
    <w:rPr>
      <w:sz w:val="20"/>
    </w:rPr>
  </w:style>
  <w:style w:type="paragraph" w:customStyle="1" w:styleId="nzPenpara">
    <w:name w:val="nzPenpara"/>
    <w:basedOn w:val="zPenpara"/>
    <w:rPr>
      <w:sz w:val="20"/>
    </w:rPr>
  </w:style>
  <w:style w:type="paragraph" w:customStyle="1" w:styleId="nzPenstart">
    <w:name w:val="nzPenstart"/>
    <w:basedOn w:val="zPenstart"/>
    <w:rPr>
      <w:sz w:val="20"/>
    </w:rPr>
  </w:style>
  <w:style w:type="paragraph" w:customStyle="1" w:styleId="nzSubsection">
    <w:name w:val="nzSubsection"/>
    <w:basedOn w:val="zSubsection"/>
    <w:rPr>
      <w:sz w:val="20"/>
    </w:rPr>
  </w:style>
  <w:style w:type="paragraph" w:customStyle="1" w:styleId="MiscellaneousBody">
    <w:name w:val="Miscellaneous Body"/>
    <w:basedOn w:val="MiscellaneousHeading"/>
    <w:pPr>
      <w:keepNext w:val="0"/>
    </w:pPr>
  </w:style>
  <w:style w:type="paragraph" w:customStyle="1" w:styleId="MiscellaneousFootnotes">
    <w:name w:val="Miscellaneous Footnotes"/>
    <w:basedOn w:val="MiscellaneousHeading"/>
  </w:style>
  <w:style w:type="paragraph" w:customStyle="1" w:styleId="yShoulderClause">
    <w:name w:val="yShoulderClause"/>
    <w:next w:val="ySubsection"/>
    <w:pPr>
      <w:spacing w:before="120" w:line="260" w:lineRule="atLeast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2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semiHidden/>
    <w:pPr>
      <w:spacing w:before="60" w:after="20"/>
      <w:ind w:left="862" w:right="567"/>
      <w:jc w:val="center"/>
    </w:pPr>
    <w:rPr>
      <w:b/>
    </w:rPr>
  </w:style>
  <w:style w:type="paragraph" w:customStyle="1" w:styleId="yTable">
    <w:name w:val="yTable"/>
    <w:basedOn w:val="Table"/>
    <w:rPr>
      <w:sz w:val="22"/>
    </w:rPr>
  </w:style>
  <w:style w:type="paragraph" w:customStyle="1" w:styleId="nTable">
    <w:name w:val="nTable"/>
    <w:basedOn w:val="Table"/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zTable"/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noProof/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noProof/>
      <w:lang w:eastAsia="en-US"/>
    </w:rPr>
  </w:style>
  <w:style w:type="paragraph" w:customStyle="1" w:styleId="MadeBy">
    <w:name w:val="MadeBy"/>
    <w:pPr>
      <w:spacing w:before="600"/>
    </w:pPr>
    <w:rPr>
      <w:noProof/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rPr>
      <w:sz w:val="18"/>
    </w:rPr>
  </w:style>
  <w:style w:type="character" w:customStyle="1" w:styleId="CharDefText">
    <w:name w:val="CharDefText"/>
    <w:basedOn w:val="DefaultParagraphFont"/>
    <w:rPr>
      <w:b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277</Words>
  <Characters>1539</Characters>
  <Application>Microsoft Office Word</Application>
  <DocSecurity>0</DocSecurity>
  <Lines>76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(Immunisation By Local Authorities) Regulations 1966 - 00-c0-02</dc:title>
  <dc:subject/>
  <dc:creator>David Harrold</dc:creator>
  <cp:keywords/>
  <cp:lastModifiedBy>svcMRProcess</cp:lastModifiedBy>
  <cp:revision>4</cp:revision>
  <cp:lastPrinted>2006-04-19T04:20:00Z</cp:lastPrinted>
  <dcterms:created xsi:type="dcterms:W3CDTF">2013-02-16T00:16:00Z</dcterms:created>
  <dcterms:modified xsi:type="dcterms:W3CDTF">2013-02-16T00:16:00Z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29 June 1966 p.1769</vt:lpwstr>
  </property>
  <property fmtid="{D5CDD505-2E9C-101B-9397-08002B2CF9AE}" pid="3" name="CommencementDate">
    <vt:lpwstr>19870306</vt:lpwstr>
  </property>
  <property fmtid="{D5CDD505-2E9C-101B-9397-08002B2CF9AE}" pid="4" name="DocumentType">
    <vt:lpwstr>Reg</vt:lpwstr>
  </property>
  <property fmtid="{D5CDD505-2E9C-101B-9397-08002B2CF9AE}" pid="5" name="AsAtDate">
    <vt:lpwstr>06 Mar 1987</vt:lpwstr>
  </property>
  <property fmtid="{D5CDD505-2E9C-101B-9397-08002B2CF9AE}" pid="6" name="Suffix">
    <vt:lpwstr>00-c0-02</vt:lpwstr>
  </property>
</Properties>
</file>