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Hire-Purchase (General)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Hire-Purchase (General) Regulations 1975</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_Toc93113236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_Toc93113237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 by owner for consent to take possession (Form 1)</w:t>
      </w:r>
      <w:r>
        <w:rPr>
          <w:noProof/>
        </w:rPr>
        <w:tab/>
      </w:r>
      <w:r>
        <w:rPr>
          <w:noProof/>
        </w:rPr>
        <w:fldChar w:fldCharType="begin"/>
      </w:r>
      <w:r>
        <w:rPr>
          <w:noProof/>
        </w:rPr>
        <w:instrText xml:space="preserve"> PAGEREF _Toc93113238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for relief on the grounds of sickness or unemployment (Form 2)</w:t>
      </w:r>
      <w:r>
        <w:rPr>
          <w:noProof/>
        </w:rPr>
        <w:tab/>
      </w:r>
      <w:r>
        <w:rPr>
          <w:noProof/>
        </w:rPr>
        <w:fldChar w:fldCharType="begin"/>
      </w:r>
      <w:r>
        <w:rPr>
          <w:noProof/>
        </w:rPr>
        <w:instrText xml:space="preserve"> PAGEREF _Toc93113239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Explanation of hirer’s rights to statutory rebate</w:t>
      </w:r>
      <w:r>
        <w:rPr>
          <w:noProof/>
        </w:rPr>
        <w:tab/>
      </w:r>
      <w:r>
        <w:rPr>
          <w:noProof/>
        </w:rPr>
        <w:fldChar w:fldCharType="begin"/>
      </w:r>
      <w:r>
        <w:rPr>
          <w:noProof/>
        </w:rPr>
        <w:instrText xml:space="preserve"> PAGEREF _Toc93113240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The Schedule</w:t>
      </w:r>
      <w:r>
        <w:rPr>
          <w:noProof/>
        </w:rPr>
        <w:tab/>
      </w:r>
      <w:r>
        <w:rPr>
          <w:b w:val="0"/>
          <w:noProof/>
          <w:sz w:val="22"/>
        </w:rPr>
        <w:fldChar w:fldCharType="begin"/>
      </w:r>
      <w:r>
        <w:rPr>
          <w:b w:val="0"/>
          <w:noProof/>
          <w:sz w:val="22"/>
        </w:rPr>
        <w:instrText xml:space="preserve"> PAGEREF _Toc93113241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_Toc93113243 \h </w:instrText>
      </w:r>
      <w:r>
        <w:rPr>
          <w:noProof/>
        </w:rPr>
      </w:r>
      <w:r>
        <w:rPr>
          <w:noProof/>
        </w:rPr>
        <w:fldChar w:fldCharType="separate"/>
      </w:r>
      <w:r>
        <w:rPr>
          <w:noProof/>
        </w:rPr>
        <w:t>10</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 xml:space="preserve">Purchase (General) Regulations 1975 </w:t>
      </w:r>
    </w:p>
    <w:p>
      <w:pPr>
        <w:pStyle w:val="Heading5"/>
        <w:rPr>
          <w:snapToGrid w:val="0"/>
        </w:rPr>
      </w:pPr>
      <w:bookmarkStart w:id="2" w:name="_Toc434310671"/>
      <w:bookmarkStart w:id="3" w:name="_Toc45426557"/>
      <w:bookmarkStart w:id="4" w:name="_Toc93113236"/>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rPr>
          <w:snapToGrid w:val="0"/>
        </w:rPr>
      </w:pPr>
      <w:bookmarkStart w:id="5" w:name="_Toc434310672"/>
      <w:bookmarkStart w:id="6" w:name="_Toc45426558"/>
      <w:bookmarkStart w:id="7" w:name="_Toc93113237"/>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Schedule</w:t>
      </w:r>
      <w:r>
        <w:rPr>
          <w:b/>
        </w:rPr>
        <w:t>”</w:t>
      </w:r>
      <w:r>
        <w:t xml:space="preserve"> means the Schedule to these regulations;</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Hire</w:t>
      </w:r>
      <w:r>
        <w:rPr>
          <w:i/>
        </w:rPr>
        <w:noBreakHyphen/>
        <w:t>Purchase Act 1959</w:t>
      </w:r>
      <w:r>
        <w:t>.</w:t>
      </w:r>
    </w:p>
    <w:p>
      <w:pPr>
        <w:pStyle w:val="Heading5"/>
        <w:rPr>
          <w:snapToGrid w:val="0"/>
        </w:rPr>
      </w:pPr>
      <w:bookmarkStart w:id="8" w:name="_Toc434310673"/>
      <w:bookmarkStart w:id="9" w:name="_Toc45426559"/>
      <w:bookmarkStart w:id="10" w:name="_Toc93113238"/>
      <w:r>
        <w:rPr>
          <w:rStyle w:val="CharSectno"/>
        </w:rPr>
        <w:t>3</w:t>
      </w:r>
      <w:r>
        <w:rPr>
          <w:snapToGrid w:val="0"/>
        </w:rPr>
        <w:t>.</w:t>
      </w:r>
      <w:r>
        <w:rPr>
          <w:snapToGrid w:val="0"/>
        </w:rPr>
        <w:tab/>
        <w:t>Application by owner for consent to take possession (Form 1)</w:t>
      </w:r>
      <w:bookmarkEnd w:id="8"/>
      <w:bookmarkEnd w:id="9"/>
      <w:bookmarkEnd w:id="10"/>
      <w:r>
        <w:rPr>
          <w:snapToGrid w:val="0"/>
        </w:rPr>
        <w:t xml:space="preserve"> </w:t>
      </w:r>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11" w:name="_Toc434310674"/>
      <w:bookmarkStart w:id="12" w:name="_Toc45426560"/>
      <w:bookmarkStart w:id="13" w:name="_Toc93113239"/>
      <w:r>
        <w:rPr>
          <w:rStyle w:val="CharSectno"/>
        </w:rPr>
        <w:t>4</w:t>
      </w:r>
      <w:r>
        <w:rPr>
          <w:snapToGrid w:val="0"/>
        </w:rPr>
        <w:t>.</w:t>
      </w:r>
      <w:r>
        <w:rPr>
          <w:snapToGrid w:val="0"/>
        </w:rPr>
        <w:tab/>
        <w:t>Application for relief on the grounds of sickness or unemployment (Form 2)</w:t>
      </w:r>
      <w:bookmarkEnd w:id="11"/>
      <w:bookmarkEnd w:id="12"/>
      <w:bookmarkEnd w:id="13"/>
      <w:r>
        <w:rPr>
          <w:snapToGrid w:val="0"/>
        </w:rPr>
        <w:t xml:space="preserve"> </w:t>
      </w:r>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14" w:name="_Toc434310675"/>
      <w:bookmarkStart w:id="15" w:name="_Toc45426561"/>
      <w:bookmarkStart w:id="16" w:name="_Toc93113240"/>
      <w:r>
        <w:rPr>
          <w:rStyle w:val="CharSectno"/>
        </w:rPr>
        <w:t>5</w:t>
      </w:r>
      <w:r>
        <w:rPr>
          <w:snapToGrid w:val="0"/>
        </w:rPr>
        <w:t>.</w:t>
      </w:r>
      <w:r>
        <w:rPr>
          <w:snapToGrid w:val="0"/>
        </w:rPr>
        <w:tab/>
        <w:t>Explanation of hirer’s rights to statutory rebate</w:t>
      </w:r>
      <w:bookmarkEnd w:id="14"/>
      <w:bookmarkEnd w:id="15"/>
      <w:bookmarkEnd w:id="16"/>
      <w:r>
        <w:rPr>
          <w:snapToGrid w:val="0"/>
        </w:rPr>
        <w:t xml:space="preserve"> </w:t>
      </w:r>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 </w:t>
      </w:r>
    </w:p>
    <w:p>
      <w:pPr>
        <w:pStyle w:val="Table"/>
        <w:ind w:left="1276" w:firstLine="720"/>
        <w:rPr>
          <w:snapToGrid w:val="0"/>
        </w:rPr>
      </w:pPr>
      <w:r>
        <w:rPr>
          <w:snapToGrid w:val="0"/>
          <w:position w:val="-30"/>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3.75pt" o:ole="" fillcolor="window">
            <v:imagedata r:id="rId19" o:title=""/>
          </v:shape>
          <o:OLEObject Type="Embed" ProgID="Equation.3" ShapeID="_x0000_i1025" DrawAspect="Content" ObjectID="_1643726400" r:id="rId20"/>
        </w:obje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$110 </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$190 </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$240 </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rPr>
          <w:rStyle w:val="CharDivText"/>
          <w:sz w:val="2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7" w:name="_Toc45426562"/>
      <w:bookmarkStart w:id="18" w:name="_Toc93113241"/>
      <w:r>
        <w:rPr>
          <w:rStyle w:val="CharSchNo"/>
        </w:rPr>
        <w:t>The Schedule</w:t>
      </w:r>
      <w:bookmarkEnd w:id="17"/>
      <w:bookmarkEnd w:id="18"/>
      <w:r>
        <w:t xml:space="preserve"> </w:t>
      </w:r>
    </w:p>
    <w:p>
      <w:pPr>
        <w:pStyle w:val="yTable"/>
        <w:jc w:val="right"/>
        <w:rPr>
          <w:snapToGrid w:val="0"/>
        </w:rPr>
      </w:pPr>
      <w:r>
        <w:rPr>
          <w:snapToGrid w:val="0"/>
        </w:rPr>
        <w:t xml:space="preserve">Form 1 </w:t>
      </w:r>
    </w:p>
    <w:p>
      <w:pPr>
        <w:pStyle w:val="yTable"/>
        <w:jc w:val="center"/>
        <w:rPr>
          <w:i/>
          <w:snapToGrid w:val="0"/>
        </w:rPr>
      </w:pPr>
      <w:r>
        <w:rPr>
          <w:i/>
          <w:snapToGrid w:val="0"/>
        </w:rPr>
        <w:t>HIRE</w:t>
      </w:r>
      <w:r>
        <w:rPr>
          <w:i/>
          <w:snapToGrid w:val="0"/>
        </w:rPr>
        <w:noBreakHyphen/>
        <w:t xml:space="preserve">PURCHASE ACT 1959 </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 xml:space="preserve">$................................................. </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 xml:space="preserve">Signature </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[Form 1 amended in Gazette 30 Dec 2004 p. 6922.]</w:t>
      </w:r>
    </w:p>
    <w:p>
      <w:pPr>
        <w:pStyle w:val="yTable"/>
        <w:keepNext/>
        <w:jc w:val="right"/>
        <w:rPr>
          <w:snapToGrid w:val="0"/>
        </w:rPr>
      </w:pPr>
      <w:r>
        <w:rPr>
          <w:snapToGrid w:val="0"/>
        </w:rPr>
        <w:t xml:space="preserve">Form 2 </w:t>
      </w:r>
    </w:p>
    <w:p>
      <w:pPr>
        <w:pStyle w:val="yTable"/>
        <w:keepNext/>
        <w:jc w:val="center"/>
        <w:rPr>
          <w:i/>
          <w:snapToGrid w:val="0"/>
        </w:rPr>
      </w:pPr>
      <w:r>
        <w:rPr>
          <w:i/>
          <w:snapToGrid w:val="0"/>
        </w:rPr>
        <w:t>HIRE</w:t>
      </w:r>
      <w:r>
        <w:rPr>
          <w:i/>
          <w:snapToGrid w:val="0"/>
        </w:rPr>
        <w:noBreakHyphen/>
        <w:t xml:space="preserve">PURCHASE ACT 1959 </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 xml:space="preserve">I/We .......................................................................................................................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 xml:space="preserve">of ............................................................................................................................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 xml:space="preserve">Short description of goods..................................................................................... </w:t>
      </w:r>
    </w:p>
    <w:p>
      <w:pPr>
        <w:pStyle w:val="yTable"/>
        <w:spacing w:before="0"/>
        <w:rPr>
          <w:snapToGrid w:val="0"/>
        </w:rPr>
      </w:pPr>
      <w:r>
        <w:rPr>
          <w:snapToGrid w:val="0"/>
        </w:rPr>
        <w:t xml:space="preserve">............................................................................................................................... </w:t>
      </w:r>
    </w:p>
    <w:p>
      <w:pPr>
        <w:pStyle w:val="yTable"/>
        <w:keepNext/>
        <w:rPr>
          <w:snapToGrid w:val="0"/>
        </w:rPr>
      </w:pPr>
      <w:r>
        <w:rPr>
          <w:snapToGrid w:val="0"/>
        </w:rPr>
        <w:t>Details of instalments</w:t>
      </w:r>
    </w:p>
    <w:p>
      <w:pPr>
        <w:pStyle w:val="yTable"/>
        <w:rPr>
          <w:snapToGrid w:val="0"/>
        </w:rPr>
      </w:pPr>
      <w:r>
        <w:rPr>
          <w:snapToGrid w:val="0"/>
        </w:rPr>
        <w:t xml:space="preserve">Last payment made on the .................................. day of ....................................... 20............. Amount $ ............................. </w:t>
      </w:r>
    </w:p>
    <w:p>
      <w:pPr>
        <w:pStyle w:val="yTable"/>
        <w:rPr>
          <w:snapToGrid w:val="0"/>
        </w:rPr>
      </w:pPr>
      <w:r>
        <w:rPr>
          <w:snapToGrid w:val="0"/>
        </w:rPr>
        <w:t xml:space="preserve">Next payment due on the .................................... day of ....................................... 20............. Amount $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jc w:val="center"/>
            </w:pPr>
          </w:p>
          <w:p>
            <w:pPr>
              <w:pStyle w:val="yTable"/>
              <w:keepNext/>
              <w:jc w:val="center"/>
            </w:pPr>
          </w:p>
          <w:p>
            <w:pPr>
              <w:pStyle w:val="yTable"/>
              <w:keepNext/>
              <w:jc w:val="center"/>
            </w:pPr>
          </w:p>
          <w:p>
            <w:pPr>
              <w:pStyle w:val="yTable"/>
              <w:keepNext/>
              <w:jc w:val="center"/>
            </w:pPr>
          </w:p>
          <w:p>
            <w:pPr>
              <w:pStyle w:val="yTable"/>
              <w:keepNext/>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tcPr>
          <w:p>
            <w:pPr>
              <w:pStyle w:val="yTable"/>
              <w:keepNext/>
              <w:jc w:val="center"/>
            </w:pPr>
          </w:p>
          <w:p>
            <w:pPr>
              <w:pStyle w:val="yTable"/>
              <w:keepNext/>
              <w:jc w:val="center"/>
            </w:pPr>
            <w:r>
              <w:t>Name</w:t>
            </w:r>
          </w:p>
        </w:tc>
        <w:tc>
          <w:tcPr>
            <w:tcW w:w="1276" w:type="dxa"/>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tcPr>
          <w:p>
            <w:pPr>
              <w:pStyle w:val="yTable"/>
              <w:keepNext/>
              <w:jc w:val="center"/>
            </w:pPr>
          </w:p>
          <w:p>
            <w:pPr>
              <w:pStyle w:val="yTable"/>
              <w:keepNext/>
              <w:jc w:val="center"/>
            </w:pPr>
            <w:r>
              <w:t>Age</w:t>
            </w:r>
          </w:p>
        </w:tc>
        <w:tc>
          <w:tcPr>
            <w:tcW w:w="2126" w:type="dxa"/>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 xml:space="preserve">If the default is due to unemployment what is the likely duration of the unemployment? ..................................................... </w:t>
      </w:r>
    </w:p>
    <w:p>
      <w:pPr>
        <w:pStyle w:val="yTable"/>
        <w:rPr>
          <w:snapToGrid w:val="0"/>
        </w:rPr>
      </w:pPr>
      <w:r>
        <w:rPr>
          <w:snapToGrid w:val="0"/>
        </w:rPr>
        <w:t xml:space="preserve">What effect would a refusal of relief have on your financial circumstances? ...............................................................................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 xml:space="preserve">purchase agreement? ...................................................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 xml:space="preserve">Signature </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[Form 2 amended in Gazette 30 Jun 2003 p. 2604; 30 Dec 2004 p. 6922.]</w:t>
      </w:r>
    </w:p>
    <w:p>
      <w:pPr>
        <w:pStyle w:val="yFootnotesection"/>
        <w:spacing w:before="240"/>
      </w:pPr>
      <w:r>
        <w:t>[Schedule amended in Gazette 30 Jun 2003 p. 2604; 30 Dec 2004 p. 6922.]</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 w:name="_Toc92794813"/>
      <w:bookmarkStart w:id="20" w:name="_Toc93113242"/>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93113243"/>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Hire</w:t>
            </w:r>
            <w:r>
              <w:rPr>
                <w:i/>
                <w:sz w:val="19"/>
              </w:rPr>
              <w:noBreakHyphen/>
              <w:t>Purchase (General) Regulations 1975</w:t>
            </w:r>
          </w:p>
        </w:tc>
        <w:tc>
          <w:tcPr>
            <w:tcW w:w="1276" w:type="dxa"/>
          </w:tcPr>
          <w:p>
            <w:pPr>
              <w:pStyle w:val="nTable"/>
              <w:spacing w:after="40"/>
              <w:rPr>
                <w:sz w:val="19"/>
              </w:rPr>
            </w:pPr>
            <w:r>
              <w:rPr>
                <w:sz w:val="19"/>
              </w:rPr>
              <w:t>30 Jan 1975 p. 235</w:t>
            </w:r>
            <w:r>
              <w:rPr>
                <w:sz w:val="19"/>
              </w:rPr>
              <w:noBreakHyphen/>
              <w:t>9</w:t>
            </w:r>
          </w:p>
        </w:tc>
        <w:tc>
          <w:tcPr>
            <w:tcW w:w="2693" w:type="dxa"/>
          </w:tcPr>
          <w:p>
            <w:pPr>
              <w:pStyle w:val="nTable"/>
              <w:spacing w:after="40"/>
              <w:rPr>
                <w:sz w:val="19"/>
              </w:rPr>
            </w:pPr>
            <w:r>
              <w:rPr>
                <w:sz w:val="19"/>
              </w:rPr>
              <w:t>30 Jan 1975</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14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7" w:type="dxa"/>
            <w:gridSpan w:val="3"/>
          </w:tcPr>
          <w:p>
            <w:pPr>
              <w:pStyle w:val="nTable"/>
              <w:spacing w:after="40"/>
              <w:rPr>
                <w:sz w:val="19"/>
              </w:rPr>
            </w:pPr>
            <w:r>
              <w:rPr>
                <w:b/>
                <w:sz w:val="19"/>
              </w:rPr>
              <w:t xml:space="preserve">Reprint 1: The </w:t>
            </w:r>
            <w:r>
              <w:rPr>
                <w:b/>
                <w:i/>
                <w:sz w:val="19"/>
              </w:rPr>
              <w:t>Hire</w:t>
            </w:r>
            <w:r>
              <w:rPr>
                <w:b/>
                <w:i/>
                <w:sz w:val="19"/>
              </w:rPr>
              <w:noBreakHyphen/>
              <w:t>Purchase (General) Regulations 1975</w:t>
            </w:r>
            <w:r>
              <w:rPr>
                <w:b/>
                <w:sz w:val="19"/>
              </w:rPr>
              <w:t xml:space="preserve"> as at 5 Dec 2003</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Hire-Purchase (General) Amendment Regulations 2004</w:t>
            </w:r>
          </w:p>
        </w:tc>
        <w:tc>
          <w:tcPr>
            <w:tcW w:w="1276" w:type="dxa"/>
            <w:tcBorders>
              <w:bottom w:val="single" w:sz="4" w:space="0" w:color="auto"/>
            </w:tcBorders>
          </w:tcPr>
          <w:p>
            <w:pPr>
              <w:pStyle w:val="nTable"/>
              <w:spacing w:after="40"/>
              <w:rPr>
                <w:sz w:val="19"/>
              </w:rPr>
            </w:pPr>
            <w:r>
              <w:rPr>
                <w:sz w:val="19"/>
              </w:rPr>
              <w:t>30 Dec 2004 p. 6922</w:t>
            </w:r>
          </w:p>
        </w:tc>
        <w:tc>
          <w:tcPr>
            <w:tcW w:w="2693" w:type="dxa"/>
            <w:tcBorders>
              <w:bottom w:val="single" w:sz="4" w:space="0" w:color="auto"/>
            </w:tcBorders>
          </w:tcPr>
          <w:p>
            <w:pPr>
              <w:pStyle w:val="nTable"/>
              <w:spacing w:after="40"/>
              <w:rPr>
                <w:sz w:val="19"/>
              </w:rPr>
            </w:pPr>
            <w:r>
              <w:rPr>
                <w:sz w:val="19"/>
              </w:rPr>
              <w:t xml:space="preserve">1 Jan 2005 (see r. 2 and </w:t>
            </w:r>
            <w:r>
              <w:rPr>
                <w:i/>
                <w:iCs/>
                <w:sz w:val="19"/>
              </w:rPr>
              <w:t>Gazette</w:t>
            </w:r>
            <w:r>
              <w:rPr>
                <w:sz w:val="19"/>
              </w:rPr>
              <w:t xml:space="preserve"> 31 Dec 2004 p. 7130)</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56"/>
    <w:docVar w:name="WAFER_20151211134556" w:val="RemoveTrackChanges"/>
    <w:docVar w:name="WAFER_20151211134556_GUID" w:val="60e7e85c-3316-4d81-847d-a1f5e0d15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1665</Words>
  <Characters>14742</Characters>
  <Application>Microsoft Office Word</Application>
  <DocSecurity>0</DocSecurity>
  <Lines>351</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1975 - 01-b0-03</dc:title>
  <dc:subject/>
  <dc:creator/>
  <cp:keywords/>
  <dc:description/>
  <cp:lastModifiedBy>svcMRProcess</cp:lastModifiedBy>
  <cp:revision>4</cp:revision>
  <cp:lastPrinted>2003-11-25T04:00:00Z</cp:lastPrinted>
  <dcterms:created xsi:type="dcterms:W3CDTF">2020-02-20T09:54:00Z</dcterms:created>
  <dcterms:modified xsi:type="dcterms:W3CDTF">2020-02-20T09:54:00Z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4506</vt:i4>
  </property>
  <property fmtid="{D5CDD505-2E9C-101B-9397-08002B2CF9AE}" pid="6" name="AsAtDate">
    <vt:lpwstr>01 Jan 2005</vt:lpwstr>
  </property>
  <property fmtid="{D5CDD505-2E9C-101B-9397-08002B2CF9AE}" pid="7" name="Suffix">
    <vt:lpwstr>01-b0-03</vt:lpwstr>
  </property>
</Properties>
</file>