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Commercial Tenancy (Retail Shops) Agreements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Commercial Tenancy (Retail Shops) Agreements Act 1985</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_Toc166672263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_Toc166672264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_Toc166672265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rPr>
          <w:snapToGrid w:val="0"/>
          <w:szCs w:val="24"/>
          <w:vertAlign w:val="superscript"/>
        </w:rPr>
        <w:t> </w:t>
      </w:r>
      <w:r>
        <w:tab/>
      </w:r>
      <w:r>
        <w:fldChar w:fldCharType="begin"/>
      </w:r>
      <w:r>
        <w:instrText xml:space="preserve"> PAGEREF _Toc166672266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_Toc166672267 \h </w:instrText>
      </w:r>
      <w:r>
        <w:fldChar w:fldCharType="separate"/>
      </w:r>
      <w:r>
        <w:t>8</w:t>
      </w:r>
      <w:r>
        <w:fldChar w:fldCharType="end"/>
      </w:r>
    </w:p>
    <w:p>
      <w:pPr>
        <w:pStyle w:val="TOC2"/>
        <w:tabs>
          <w:tab w:val="right" w:leader="dot" w:pos="7086"/>
        </w:tabs>
        <w:rPr>
          <w:b w:val="0"/>
          <w:sz w:val="24"/>
          <w:szCs w:val="24"/>
        </w:rPr>
      </w:pPr>
      <w:r>
        <w:rPr>
          <w:szCs w:val="30"/>
        </w:rPr>
        <w:t>Part II — Retail shop leases</w:t>
      </w:r>
    </w:p>
    <w:p>
      <w:pPr>
        <w:pStyle w:val="TOC8"/>
        <w:rPr>
          <w:sz w:val="24"/>
          <w:szCs w:val="24"/>
        </w:rPr>
      </w:pPr>
      <w:r>
        <w:rPr>
          <w:szCs w:val="24"/>
        </w:rPr>
        <w:t>6</w:t>
      </w:r>
      <w:r>
        <w:rPr>
          <w:snapToGrid w:val="0"/>
          <w:szCs w:val="24"/>
        </w:rPr>
        <w:t>.</w:t>
      </w:r>
      <w:r>
        <w:rPr>
          <w:snapToGrid w:val="0"/>
          <w:szCs w:val="24"/>
        </w:rPr>
        <w:tab/>
        <w:t>Disclosure</w:t>
      </w:r>
      <w:r>
        <w:tab/>
      </w:r>
      <w:r>
        <w:fldChar w:fldCharType="begin"/>
      </w:r>
      <w:r>
        <w:instrText xml:space="preserve"> PAGEREF _Toc166672269 \h </w:instrText>
      </w:r>
      <w:r>
        <w:fldChar w:fldCharType="separate"/>
      </w:r>
      <w:r>
        <w:t>9</w:t>
      </w:r>
      <w:r>
        <w:fldChar w:fldCharType="end"/>
      </w:r>
    </w:p>
    <w:p>
      <w:pPr>
        <w:pStyle w:val="TOC8"/>
        <w:rPr>
          <w:sz w:val="24"/>
          <w:szCs w:val="24"/>
        </w:rPr>
      </w:pPr>
      <w:r>
        <w:rPr>
          <w:szCs w:val="24"/>
        </w:rPr>
        <w:t>6A.</w:t>
      </w:r>
      <w:r>
        <w:rPr>
          <w:szCs w:val="24"/>
        </w:rPr>
        <w:tab/>
        <w:t>Tenant guide</w:t>
      </w:r>
      <w:r>
        <w:tab/>
      </w:r>
      <w:r>
        <w:fldChar w:fldCharType="begin"/>
      </w:r>
      <w:r>
        <w:instrText xml:space="preserve"> PAGEREF _Toc166672270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Rent based on turnover</w:t>
      </w:r>
      <w:r>
        <w:tab/>
      </w:r>
      <w:r>
        <w:fldChar w:fldCharType="begin"/>
      </w:r>
      <w:r>
        <w:instrText xml:space="preserve"> PAGEREF _Toc166672271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Turnover figures not generally required</w:t>
      </w:r>
      <w:r>
        <w:tab/>
      </w:r>
      <w:r>
        <w:fldChar w:fldCharType="begin"/>
      </w:r>
      <w:r>
        <w:instrText xml:space="preserve"> PAGEREF _Toc166672272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Key-money and goodwill</w:t>
      </w:r>
      <w:r>
        <w:tab/>
      </w:r>
      <w:r>
        <w:fldChar w:fldCharType="begin"/>
      </w:r>
      <w:r>
        <w:instrText xml:space="preserve"> PAGEREF _Toc166672273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Assignment and sub</w:t>
      </w:r>
      <w:r>
        <w:rPr>
          <w:snapToGrid w:val="0"/>
          <w:szCs w:val="24"/>
        </w:rPr>
        <w:noBreakHyphen/>
        <w:t>leasing</w:t>
      </w:r>
      <w:r>
        <w:tab/>
      </w:r>
      <w:r>
        <w:fldChar w:fldCharType="begin"/>
      </w:r>
      <w:r>
        <w:instrText xml:space="preserve"> PAGEREF _Toc166672274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Rent review</w:t>
      </w:r>
      <w:r>
        <w:tab/>
      </w:r>
      <w:r>
        <w:fldChar w:fldCharType="begin"/>
      </w:r>
      <w:r>
        <w:instrText xml:space="preserve"> PAGEREF _Toc166672275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Contribution to landlord’s expenses</w:t>
      </w:r>
      <w:r>
        <w:tab/>
      </w:r>
      <w:r>
        <w:fldChar w:fldCharType="begin"/>
      </w:r>
      <w:r>
        <w:instrText xml:space="preserve"> PAGEREF _Toc166672276 \h </w:instrText>
      </w:r>
      <w:r>
        <w:fldChar w:fldCharType="separate"/>
      </w:r>
      <w:r>
        <w:t>19</w:t>
      </w:r>
      <w:r>
        <w:fldChar w:fldCharType="end"/>
      </w:r>
    </w:p>
    <w:p>
      <w:pPr>
        <w:pStyle w:val="TOC8"/>
        <w:rPr>
          <w:sz w:val="24"/>
          <w:szCs w:val="24"/>
        </w:rPr>
      </w:pPr>
      <w:r>
        <w:rPr>
          <w:szCs w:val="24"/>
        </w:rPr>
        <w:t>12A.</w:t>
      </w:r>
      <w:r>
        <w:rPr>
          <w:szCs w:val="24"/>
        </w:rPr>
        <w:tab/>
        <w:t>Sinking funds</w:t>
      </w:r>
      <w:r>
        <w:tab/>
      </w:r>
      <w:r>
        <w:fldChar w:fldCharType="begin"/>
      </w:r>
      <w:r>
        <w:instrText xml:space="preserve"> PAGEREF _Toc166672277 \h </w:instrText>
      </w:r>
      <w:r>
        <w:fldChar w:fldCharType="separate"/>
      </w:r>
      <w:r>
        <w:t>25</w:t>
      </w:r>
      <w:r>
        <w:fldChar w:fldCharType="end"/>
      </w:r>
    </w:p>
    <w:p>
      <w:pPr>
        <w:pStyle w:val="TOC8"/>
        <w:rPr>
          <w:sz w:val="24"/>
          <w:szCs w:val="24"/>
        </w:rPr>
      </w:pPr>
      <w:r>
        <w:rPr>
          <w:szCs w:val="24"/>
        </w:rPr>
        <w:t>12B.</w:t>
      </w:r>
      <w:r>
        <w:rPr>
          <w:szCs w:val="24"/>
        </w:rPr>
        <w:tab/>
        <w:t>Contribution to other funds and reserves by tenants</w:t>
      </w:r>
      <w:r>
        <w:tab/>
      </w:r>
      <w:r>
        <w:fldChar w:fldCharType="begin"/>
      </w:r>
      <w:r>
        <w:instrText xml:space="preserve"> PAGEREF _Toc166672278 \h </w:instrText>
      </w:r>
      <w:r>
        <w:fldChar w:fldCharType="separate"/>
      </w:r>
      <w:r>
        <w:t>28</w:t>
      </w:r>
      <w:r>
        <w:fldChar w:fldCharType="end"/>
      </w:r>
    </w:p>
    <w:p>
      <w:pPr>
        <w:pStyle w:val="TOC8"/>
        <w:rPr>
          <w:sz w:val="24"/>
          <w:szCs w:val="24"/>
        </w:rPr>
      </w:pPr>
      <w:r>
        <w:rPr>
          <w:szCs w:val="24"/>
        </w:rPr>
        <w:t>12C.</w:t>
      </w:r>
      <w:r>
        <w:rPr>
          <w:szCs w:val="24"/>
        </w:rPr>
        <w:tab/>
        <w:t>Hours of operation</w:t>
      </w:r>
      <w:r>
        <w:tab/>
      </w:r>
      <w:r>
        <w:fldChar w:fldCharType="begin"/>
      </w:r>
      <w:r>
        <w:instrText xml:space="preserve"> PAGEREF _Toc166672279 \h </w:instrText>
      </w:r>
      <w:r>
        <w:fldChar w:fldCharType="separate"/>
      </w:r>
      <w:r>
        <w:t>30</w:t>
      </w:r>
      <w:r>
        <w:fldChar w:fldCharType="end"/>
      </w:r>
    </w:p>
    <w:p>
      <w:pPr>
        <w:pStyle w:val="TOC8"/>
        <w:rPr>
          <w:sz w:val="24"/>
          <w:szCs w:val="24"/>
        </w:rPr>
      </w:pPr>
      <w:r>
        <w:rPr>
          <w:szCs w:val="24"/>
        </w:rPr>
        <w:t>12D.</w:t>
      </w:r>
      <w:r>
        <w:rPr>
          <w:szCs w:val="24"/>
        </w:rPr>
        <w:tab/>
        <w:t>Tenants’ associations etc.</w:t>
      </w:r>
      <w:r>
        <w:tab/>
      </w:r>
      <w:r>
        <w:fldChar w:fldCharType="begin"/>
      </w:r>
      <w:r>
        <w:instrText xml:space="preserve"> PAGEREF _Toc166672280 \h </w:instrText>
      </w:r>
      <w:r>
        <w:fldChar w:fldCharType="separate"/>
      </w:r>
      <w:r>
        <w:t>30</w:t>
      </w:r>
      <w:r>
        <w:fldChar w:fldCharType="end"/>
      </w:r>
    </w:p>
    <w:p>
      <w:pPr>
        <w:pStyle w:val="TOC8"/>
        <w:rPr>
          <w:sz w:val="24"/>
          <w:szCs w:val="24"/>
        </w:rPr>
      </w:pPr>
      <w:r>
        <w:rPr>
          <w:szCs w:val="24"/>
        </w:rPr>
        <w:t>13</w:t>
      </w:r>
      <w:r>
        <w:rPr>
          <w:snapToGrid w:val="0"/>
          <w:szCs w:val="24"/>
        </w:rPr>
        <w:t>.</w:t>
      </w:r>
      <w:r>
        <w:rPr>
          <w:snapToGrid w:val="0"/>
          <w:szCs w:val="24"/>
        </w:rPr>
        <w:tab/>
        <w:t>Right to at least 5 years’ tenancy</w:t>
      </w:r>
      <w:r>
        <w:tab/>
      </w:r>
      <w:r>
        <w:fldChar w:fldCharType="begin"/>
      </w:r>
      <w:r>
        <w:instrText xml:space="preserve"> PAGEREF _Toc166672281 \h </w:instrText>
      </w:r>
      <w:r>
        <w:fldChar w:fldCharType="separate"/>
      </w:r>
      <w:r>
        <w:t>31</w:t>
      </w:r>
      <w:r>
        <w:fldChar w:fldCharType="end"/>
      </w:r>
    </w:p>
    <w:p>
      <w:pPr>
        <w:pStyle w:val="TOC8"/>
        <w:rPr>
          <w:sz w:val="24"/>
          <w:szCs w:val="24"/>
        </w:rPr>
      </w:pPr>
      <w:r>
        <w:rPr>
          <w:szCs w:val="24"/>
        </w:rPr>
        <w:t>13A</w:t>
      </w:r>
      <w:r>
        <w:rPr>
          <w:snapToGrid w:val="0"/>
          <w:szCs w:val="24"/>
        </w:rPr>
        <w:t>.</w:t>
      </w:r>
      <w:r>
        <w:rPr>
          <w:snapToGrid w:val="0"/>
          <w:szCs w:val="24"/>
        </w:rPr>
        <w:tab/>
        <w:t>Avoidance prevented</w:t>
      </w:r>
      <w:r>
        <w:tab/>
      </w:r>
      <w:r>
        <w:fldChar w:fldCharType="begin"/>
      </w:r>
      <w:r>
        <w:instrText xml:space="preserve"> PAGEREF _Toc166672282 \h </w:instrText>
      </w:r>
      <w:r>
        <w:fldChar w:fldCharType="separate"/>
      </w:r>
      <w:r>
        <w:t>36</w:t>
      </w:r>
      <w:r>
        <w:fldChar w:fldCharType="end"/>
      </w:r>
    </w:p>
    <w:p>
      <w:pPr>
        <w:pStyle w:val="TOC8"/>
        <w:rPr>
          <w:sz w:val="24"/>
          <w:szCs w:val="24"/>
        </w:rPr>
      </w:pPr>
      <w:r>
        <w:rPr>
          <w:szCs w:val="24"/>
        </w:rPr>
        <w:t>13B</w:t>
      </w:r>
      <w:r>
        <w:rPr>
          <w:snapToGrid w:val="0"/>
          <w:szCs w:val="24"/>
        </w:rPr>
        <w:t>.</w:t>
      </w:r>
      <w:r>
        <w:rPr>
          <w:snapToGrid w:val="0"/>
          <w:szCs w:val="24"/>
        </w:rPr>
        <w:tab/>
        <w:t>Notices as to renewal of leases</w:t>
      </w:r>
      <w:r>
        <w:tab/>
      </w:r>
      <w:r>
        <w:fldChar w:fldCharType="begin"/>
      </w:r>
      <w:r>
        <w:instrText xml:space="preserve"> PAGEREF _Toc166672283 \h </w:instrText>
      </w:r>
      <w:r>
        <w:fldChar w:fldCharType="separate"/>
      </w:r>
      <w:r>
        <w:t>38</w:t>
      </w:r>
      <w:r>
        <w:fldChar w:fldCharType="end"/>
      </w:r>
    </w:p>
    <w:p>
      <w:pPr>
        <w:pStyle w:val="TOC8"/>
        <w:rPr>
          <w:sz w:val="24"/>
          <w:szCs w:val="24"/>
        </w:rPr>
      </w:pPr>
      <w:r>
        <w:rPr>
          <w:szCs w:val="24"/>
        </w:rPr>
        <w:t>14</w:t>
      </w:r>
      <w:r>
        <w:rPr>
          <w:snapToGrid w:val="0"/>
          <w:szCs w:val="24"/>
        </w:rPr>
        <w:t>.</w:t>
      </w:r>
      <w:r>
        <w:rPr>
          <w:snapToGrid w:val="0"/>
          <w:szCs w:val="24"/>
        </w:rPr>
        <w:tab/>
        <w:t>Compensation by landlord</w:t>
      </w:r>
      <w:r>
        <w:tab/>
      </w:r>
      <w:r>
        <w:fldChar w:fldCharType="begin"/>
      </w:r>
      <w:r>
        <w:instrText xml:space="preserve"> PAGEREF _Toc166672284 \h </w:instrText>
      </w:r>
      <w:r>
        <w:fldChar w:fldCharType="separate"/>
      </w:r>
      <w:r>
        <w:t>39</w:t>
      </w:r>
      <w:r>
        <w:fldChar w:fldCharType="end"/>
      </w:r>
    </w:p>
    <w:p>
      <w:pPr>
        <w:pStyle w:val="TOC8"/>
        <w:rPr>
          <w:sz w:val="24"/>
          <w:szCs w:val="24"/>
        </w:rPr>
      </w:pPr>
      <w:r>
        <w:rPr>
          <w:szCs w:val="24"/>
        </w:rPr>
        <w:t>15</w:t>
      </w:r>
      <w:r>
        <w:rPr>
          <w:snapToGrid w:val="0"/>
          <w:szCs w:val="24"/>
        </w:rPr>
        <w:t>.</w:t>
      </w:r>
      <w:r>
        <w:rPr>
          <w:snapToGrid w:val="0"/>
          <w:szCs w:val="24"/>
        </w:rPr>
        <w:tab/>
        <w:t>Act prevails</w:t>
      </w:r>
      <w:r>
        <w:tab/>
      </w:r>
      <w:r>
        <w:fldChar w:fldCharType="begin"/>
      </w:r>
      <w:r>
        <w:instrText xml:space="preserve"> PAGEREF _Toc166672285 \h </w:instrText>
      </w:r>
      <w:r>
        <w:fldChar w:fldCharType="separate"/>
      </w:r>
      <w:r>
        <w:t>40</w:t>
      </w:r>
      <w:r>
        <w:fldChar w:fldCharType="end"/>
      </w:r>
    </w:p>
    <w:p>
      <w:pPr>
        <w:pStyle w:val="TOC2"/>
        <w:tabs>
          <w:tab w:val="right" w:leader="dot" w:pos="7086"/>
        </w:tabs>
        <w:rPr>
          <w:b w:val="0"/>
          <w:sz w:val="24"/>
          <w:szCs w:val="24"/>
        </w:rPr>
      </w:pPr>
      <w:r>
        <w:rPr>
          <w:szCs w:val="30"/>
        </w:rPr>
        <w:t>Part IIA</w:t>
      </w:r>
      <w:r>
        <w:rPr>
          <w:b w:val="0"/>
          <w:szCs w:val="30"/>
        </w:rPr>
        <w:t> </w:t>
      </w:r>
      <w:r>
        <w:rPr>
          <w:szCs w:val="30"/>
        </w:rPr>
        <w:t>—</w:t>
      </w:r>
      <w:r>
        <w:rPr>
          <w:b w:val="0"/>
          <w:szCs w:val="30"/>
        </w:rPr>
        <w:t> </w:t>
      </w:r>
      <w:r>
        <w:rPr>
          <w:szCs w:val="30"/>
        </w:rPr>
        <w:t>Unconscionable conduct</w:t>
      </w:r>
    </w:p>
    <w:p>
      <w:pPr>
        <w:pStyle w:val="TOC8"/>
        <w:rPr>
          <w:sz w:val="24"/>
          <w:szCs w:val="24"/>
        </w:rPr>
      </w:pPr>
      <w:r>
        <w:rPr>
          <w:szCs w:val="24"/>
        </w:rPr>
        <w:t>15A.</w:t>
      </w:r>
      <w:r>
        <w:rPr>
          <w:szCs w:val="24"/>
        </w:rPr>
        <w:tab/>
        <w:t>Terms used in this Part</w:t>
      </w:r>
      <w:r>
        <w:tab/>
      </w:r>
      <w:r>
        <w:fldChar w:fldCharType="begin"/>
      </w:r>
      <w:r>
        <w:instrText xml:space="preserve"> PAGEREF _Toc166672287 \h </w:instrText>
      </w:r>
      <w:r>
        <w:fldChar w:fldCharType="separate"/>
      </w:r>
      <w:r>
        <w:t>41</w:t>
      </w:r>
      <w:r>
        <w:fldChar w:fldCharType="end"/>
      </w:r>
    </w:p>
    <w:p>
      <w:pPr>
        <w:pStyle w:val="TOC8"/>
        <w:rPr>
          <w:sz w:val="24"/>
          <w:szCs w:val="24"/>
        </w:rPr>
      </w:pPr>
      <w:r>
        <w:rPr>
          <w:szCs w:val="24"/>
        </w:rPr>
        <w:t>15B.</w:t>
      </w:r>
      <w:r>
        <w:rPr>
          <w:szCs w:val="24"/>
        </w:rPr>
        <w:tab/>
        <w:t>Application of Part</w:t>
      </w:r>
      <w:r>
        <w:tab/>
      </w:r>
      <w:r>
        <w:fldChar w:fldCharType="begin"/>
      </w:r>
      <w:r>
        <w:instrText xml:space="preserve"> PAGEREF _Toc166672288 \h </w:instrText>
      </w:r>
      <w:r>
        <w:fldChar w:fldCharType="separate"/>
      </w:r>
      <w:r>
        <w:t>41</w:t>
      </w:r>
      <w:r>
        <w:fldChar w:fldCharType="end"/>
      </w:r>
    </w:p>
    <w:p>
      <w:pPr>
        <w:pStyle w:val="TOC8"/>
        <w:rPr>
          <w:sz w:val="24"/>
          <w:szCs w:val="24"/>
        </w:rPr>
      </w:pPr>
      <w:r>
        <w:rPr>
          <w:szCs w:val="24"/>
        </w:rPr>
        <w:t>15C.</w:t>
      </w:r>
      <w:r>
        <w:rPr>
          <w:szCs w:val="24"/>
        </w:rPr>
        <w:tab/>
        <w:t>Unconscionable conduct of landlords</w:t>
      </w:r>
      <w:r>
        <w:tab/>
      </w:r>
      <w:r>
        <w:fldChar w:fldCharType="begin"/>
      </w:r>
      <w:r>
        <w:instrText xml:space="preserve"> PAGEREF _Toc166672289 \h </w:instrText>
      </w:r>
      <w:r>
        <w:fldChar w:fldCharType="separate"/>
      </w:r>
      <w:r>
        <w:t>42</w:t>
      </w:r>
      <w:r>
        <w:fldChar w:fldCharType="end"/>
      </w:r>
    </w:p>
    <w:p>
      <w:pPr>
        <w:pStyle w:val="TOC8"/>
        <w:rPr>
          <w:sz w:val="24"/>
          <w:szCs w:val="24"/>
        </w:rPr>
      </w:pPr>
      <w:r>
        <w:rPr>
          <w:szCs w:val="24"/>
        </w:rPr>
        <w:t>15D.</w:t>
      </w:r>
      <w:r>
        <w:rPr>
          <w:szCs w:val="24"/>
        </w:rPr>
        <w:tab/>
        <w:t>Unconscionable conduct of tenants</w:t>
      </w:r>
      <w:r>
        <w:tab/>
      </w:r>
      <w:r>
        <w:fldChar w:fldCharType="begin"/>
      </w:r>
      <w:r>
        <w:instrText xml:space="preserve"> PAGEREF _Toc166672290 \h </w:instrText>
      </w:r>
      <w:r>
        <w:fldChar w:fldCharType="separate"/>
      </w:r>
      <w:r>
        <w:t>44</w:t>
      </w:r>
      <w:r>
        <w:fldChar w:fldCharType="end"/>
      </w:r>
    </w:p>
    <w:p>
      <w:pPr>
        <w:pStyle w:val="TOC8"/>
        <w:rPr>
          <w:sz w:val="24"/>
          <w:szCs w:val="24"/>
        </w:rPr>
      </w:pPr>
      <w:r>
        <w:rPr>
          <w:szCs w:val="24"/>
        </w:rPr>
        <w:t>15E.</w:t>
      </w:r>
      <w:r>
        <w:rPr>
          <w:szCs w:val="24"/>
        </w:rPr>
        <w:tab/>
        <w:t>Certain conduct not unconscionable</w:t>
      </w:r>
      <w:r>
        <w:tab/>
      </w:r>
      <w:r>
        <w:fldChar w:fldCharType="begin"/>
      </w:r>
      <w:r>
        <w:instrText xml:space="preserve"> PAGEREF _Toc166672291 \h </w:instrText>
      </w:r>
      <w:r>
        <w:fldChar w:fldCharType="separate"/>
      </w:r>
      <w:r>
        <w:t>45</w:t>
      </w:r>
      <w:r>
        <w:fldChar w:fldCharType="end"/>
      </w:r>
    </w:p>
    <w:p>
      <w:pPr>
        <w:pStyle w:val="TOC8"/>
        <w:rPr>
          <w:sz w:val="24"/>
          <w:szCs w:val="24"/>
        </w:rPr>
      </w:pPr>
      <w:r>
        <w:rPr>
          <w:szCs w:val="24"/>
        </w:rPr>
        <w:t>15F.</w:t>
      </w:r>
      <w:r>
        <w:rPr>
          <w:szCs w:val="24"/>
        </w:rPr>
        <w:tab/>
        <w:t>Powers of Tribunal relating to unconscionable conduct</w:t>
      </w:r>
      <w:r>
        <w:tab/>
      </w:r>
      <w:r>
        <w:fldChar w:fldCharType="begin"/>
      </w:r>
      <w:r>
        <w:instrText xml:space="preserve"> PAGEREF _Toc166672292 \h </w:instrText>
      </w:r>
      <w:r>
        <w:fldChar w:fldCharType="separate"/>
      </w:r>
      <w:r>
        <w:t>46</w:t>
      </w:r>
      <w:r>
        <w:fldChar w:fldCharType="end"/>
      </w:r>
    </w:p>
    <w:p>
      <w:pPr>
        <w:pStyle w:val="TOC2"/>
        <w:tabs>
          <w:tab w:val="right" w:leader="dot" w:pos="7086"/>
        </w:tabs>
        <w:rPr>
          <w:b w:val="0"/>
          <w:sz w:val="24"/>
          <w:szCs w:val="24"/>
        </w:rPr>
      </w:pPr>
      <w:r>
        <w:rPr>
          <w:szCs w:val="30"/>
        </w:rPr>
        <w:t>Part III — Determination of questions</w:t>
      </w:r>
    </w:p>
    <w:p>
      <w:pPr>
        <w:pStyle w:val="TOC8"/>
        <w:rPr>
          <w:sz w:val="24"/>
          <w:szCs w:val="24"/>
        </w:rPr>
      </w:pPr>
      <w:r>
        <w:rPr>
          <w:szCs w:val="24"/>
        </w:rPr>
        <w:t>16</w:t>
      </w:r>
      <w:r>
        <w:rPr>
          <w:snapToGrid w:val="0"/>
          <w:szCs w:val="24"/>
        </w:rPr>
        <w:t>.</w:t>
      </w:r>
      <w:r>
        <w:rPr>
          <w:snapToGrid w:val="0"/>
          <w:szCs w:val="24"/>
        </w:rPr>
        <w:tab/>
        <w:t>Reference of questions to State Administrative Tribunal</w:t>
      </w:r>
      <w:r>
        <w:tab/>
      </w:r>
      <w:r>
        <w:fldChar w:fldCharType="begin"/>
      </w:r>
      <w:r>
        <w:instrText xml:space="preserve"> PAGEREF _Toc166672294 \h </w:instrText>
      </w:r>
      <w:r>
        <w:fldChar w:fldCharType="separate"/>
      </w:r>
      <w:r>
        <w:t>48</w:t>
      </w:r>
      <w:r>
        <w:fldChar w:fldCharType="end"/>
      </w:r>
    </w:p>
    <w:p>
      <w:pPr>
        <w:pStyle w:val="TOC8"/>
        <w:rPr>
          <w:sz w:val="24"/>
          <w:szCs w:val="24"/>
        </w:rPr>
      </w:pPr>
      <w:r>
        <w:rPr>
          <w:szCs w:val="24"/>
        </w:rPr>
        <w:t>26</w:t>
      </w:r>
      <w:r>
        <w:rPr>
          <w:snapToGrid w:val="0"/>
          <w:szCs w:val="24"/>
        </w:rPr>
        <w:t>.</w:t>
      </w:r>
      <w:r>
        <w:rPr>
          <w:snapToGrid w:val="0"/>
          <w:szCs w:val="24"/>
        </w:rPr>
        <w:tab/>
        <w:t>Orders of Tribunal</w:t>
      </w:r>
      <w:r>
        <w:tab/>
      </w:r>
      <w:r>
        <w:fldChar w:fldCharType="begin"/>
      </w:r>
      <w:r>
        <w:instrText xml:space="preserve"> PAGEREF _Toc166672295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Other jurisdictions</w:t>
      </w:r>
      <w:r>
        <w:tab/>
      </w:r>
      <w:r>
        <w:fldChar w:fldCharType="begin"/>
      </w:r>
      <w:r>
        <w:instrText xml:space="preserve"> PAGEREF _Toc166672296 \h </w:instrText>
      </w:r>
      <w:r>
        <w:fldChar w:fldCharType="separate"/>
      </w:r>
      <w:r>
        <w:t>49</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28</w:t>
      </w:r>
      <w:r>
        <w:rPr>
          <w:snapToGrid w:val="0"/>
          <w:szCs w:val="24"/>
        </w:rPr>
        <w:t>.</w:t>
      </w:r>
      <w:r>
        <w:rPr>
          <w:snapToGrid w:val="0"/>
          <w:szCs w:val="24"/>
        </w:rPr>
        <w:tab/>
        <w:t>Protection</w:t>
      </w:r>
      <w:r>
        <w:tab/>
      </w:r>
      <w:r>
        <w:fldChar w:fldCharType="begin"/>
      </w:r>
      <w:r>
        <w:instrText xml:space="preserve"> PAGEREF _Toc166672298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Regulations</w:t>
      </w:r>
      <w:r>
        <w:tab/>
      </w:r>
      <w:r>
        <w:fldChar w:fldCharType="begin"/>
      </w:r>
      <w:r>
        <w:instrText xml:space="preserve"> PAGEREF _Toc166672299 \h </w:instrText>
      </w:r>
      <w:r>
        <w:fldChar w:fldCharType="separate"/>
      </w:r>
      <w:r>
        <w:t>52</w:t>
      </w:r>
      <w:r>
        <w:fldChar w:fldCharType="end"/>
      </w:r>
    </w:p>
    <w:p>
      <w:pPr>
        <w:pStyle w:val="TOC8"/>
        <w:rPr>
          <w:sz w:val="24"/>
          <w:szCs w:val="24"/>
        </w:rPr>
      </w:pPr>
      <w:r>
        <w:rPr>
          <w:szCs w:val="24"/>
        </w:rPr>
        <w:t>31</w:t>
      </w:r>
      <w:r>
        <w:rPr>
          <w:snapToGrid w:val="0"/>
          <w:szCs w:val="24"/>
        </w:rPr>
        <w:t>.</w:t>
      </w:r>
      <w:r>
        <w:rPr>
          <w:snapToGrid w:val="0"/>
          <w:szCs w:val="24"/>
        </w:rPr>
        <w:tab/>
        <w:t>Review of Act</w:t>
      </w:r>
      <w:r>
        <w:tab/>
      </w:r>
      <w:r>
        <w:fldChar w:fldCharType="begin"/>
      </w:r>
      <w:r>
        <w:instrText xml:space="preserve"> PAGEREF _Toc166672300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_Toc166672302 \h </w:instrText>
      </w:r>
      <w:r>
        <w:fldChar w:fldCharType="separate"/>
      </w:r>
      <w:r>
        <w:t>54</w:t>
      </w:r>
      <w:r>
        <w:fldChar w:fldCharType="end"/>
      </w:r>
    </w:p>
    <w:p>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ind w:left="284" w:right="433"/>
      </w:pPr>
      <w:r>
        <w:t xml:space="preserve">Commercial Tenancy (Retail Shops) Agreements Act 1985 </w:t>
      </w:r>
    </w:p>
    <w:p>
      <w:pPr>
        <w:pStyle w:val="LongTitle"/>
        <w:rPr>
          <w:snapToGrid w:val="0"/>
        </w:rPr>
      </w:pPr>
      <w:r>
        <w:rPr>
          <w:snapToGrid w:val="0"/>
        </w:rPr>
        <w:t>An Act to regulate commercial tenancy agreements relating to certain shops, to prohibit unconscionable conduct by landlords or tenants in relation to such agreements, to provide for the determination of questions arising under such agreements, and for connected purposes.</w:t>
      </w:r>
    </w:p>
    <w:p>
      <w:pPr>
        <w:pStyle w:val="Footnotelongtitle"/>
      </w:pPr>
      <w:r>
        <w:tab/>
        <w:t>[Long title amended by No. 47 of 2006 s. 20.]</w:t>
      </w:r>
    </w:p>
    <w:p>
      <w:pPr>
        <w:pStyle w:val="Heading2"/>
      </w:pPr>
      <w:bookmarkStart w:id="1" w:name="_Toc89771344"/>
      <w:bookmarkStart w:id="2" w:name="_Toc92270382"/>
      <w:bookmarkStart w:id="3" w:name="_Toc92270678"/>
      <w:bookmarkStart w:id="4" w:name="_Toc92270714"/>
      <w:bookmarkStart w:id="5" w:name="_Toc122510548"/>
      <w:bookmarkStart w:id="6" w:name="_Toc131386552"/>
      <w:bookmarkStart w:id="7" w:name="_Toc147910646"/>
      <w:bookmarkStart w:id="8" w:name="_Toc147912681"/>
      <w:bookmarkStart w:id="9" w:name="_Toc16667226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spacing w:before="100"/>
        <w:rPr>
          <w:snapToGrid w:val="0"/>
        </w:rPr>
      </w:pPr>
      <w:bookmarkStart w:id="10" w:name="_Toc455636245"/>
      <w:bookmarkStart w:id="11" w:name="_Toc36374989"/>
      <w:bookmarkStart w:id="12" w:name="_Toc131386553"/>
      <w:bookmarkStart w:id="13" w:name="_Toc166672263"/>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spacing w:before="100"/>
        <w:rPr>
          <w:snapToGrid w:val="0"/>
        </w:rPr>
      </w:pPr>
      <w:bookmarkStart w:id="14" w:name="_Toc455636246"/>
      <w:bookmarkStart w:id="15" w:name="_Toc36374990"/>
      <w:bookmarkStart w:id="16" w:name="_Toc131386554"/>
      <w:bookmarkStart w:id="17" w:name="_Toc166672264"/>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spacing w:before="120"/>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spacing w:before="100"/>
        <w:rPr>
          <w:snapToGrid w:val="0"/>
        </w:rPr>
      </w:pPr>
      <w:bookmarkStart w:id="18" w:name="_Toc455636247"/>
      <w:bookmarkStart w:id="19" w:name="_Toc36374991"/>
      <w:bookmarkStart w:id="20" w:name="_Toc131386555"/>
      <w:bookmarkStart w:id="21" w:name="_Toc166672265"/>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spacing w:before="120"/>
      </w:pPr>
      <w:r>
        <w:tab/>
        <w:t>(1)</w:t>
      </w:r>
      <w:r>
        <w:tab/>
        <w:t>In this Act, unless the contrary intention appears — </w:t>
      </w:r>
    </w:p>
    <w:p>
      <w:pPr>
        <w:pStyle w:val="Defstart"/>
      </w:pPr>
      <w:r>
        <w:tab/>
      </w:r>
      <w:r>
        <w:rPr>
          <w:b/>
        </w:rPr>
        <w:t>“</w:t>
      </w:r>
      <w:r>
        <w:rPr>
          <w:rStyle w:val="CharDefText"/>
        </w:rPr>
        <w:t>accountant</w:t>
      </w:r>
      <w:r>
        <w:rPr>
          <w:b/>
        </w:rPr>
        <w:t>”</w:t>
      </w:r>
      <w:r>
        <w:t xml:space="preserve"> means a member of — </w:t>
      </w:r>
    </w:p>
    <w:p>
      <w:pPr>
        <w:pStyle w:val="Defpara"/>
      </w:pPr>
      <w:r>
        <w:tab/>
        <w:t>(a)</w:t>
      </w:r>
      <w:r>
        <w:tab/>
        <w:t>The Institute of Chartered Accountants in Australia;</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b/>
        </w:rPr>
        <w:t>“</w:t>
      </w:r>
      <w:r>
        <w:rPr>
          <w:rStyle w:val="CharDefText"/>
        </w:rPr>
        <w:t>accounting year</w:t>
      </w:r>
      <w:r>
        <w:rPr>
          <w:b/>
        </w:rPr>
        <w:t>”</w:t>
      </w:r>
      <w:r>
        <w:t xml:space="preserve"> in relation to a lease, means the accounting year specified in the lease or, if not so specified, a financial year;</w:t>
      </w:r>
    </w:p>
    <w:p>
      <w:pPr>
        <w:pStyle w:val="Defstart"/>
      </w:pPr>
      <w:r>
        <w:rPr>
          <w:b/>
        </w:rPr>
        <w:tab/>
        <w:t>“</w:t>
      </w:r>
      <w:r>
        <w:rPr>
          <w:rStyle w:val="CharDefText"/>
        </w:rPr>
        <w:t>building</w:t>
      </w:r>
      <w:r>
        <w:rPr>
          <w:b/>
        </w:rPr>
        <w:t>”</w:t>
      </w:r>
      <w:r>
        <w:t xml:space="preserve"> includes any structure;</w:t>
      </w:r>
    </w:p>
    <w:p>
      <w:pPr>
        <w:pStyle w:val="Defstart"/>
      </w:pPr>
      <w:r>
        <w:rPr>
          <w:b/>
        </w:rPr>
        <w:tab/>
        <w:t>“</w:t>
      </w:r>
      <w:r>
        <w:rPr>
          <w:rStyle w:val="CharDefText"/>
        </w:rPr>
        <w:t>common area</w:t>
      </w:r>
      <w:r>
        <w:rPr>
          <w:b/>
        </w:rPr>
        <w:t>”</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t>“</w:t>
      </w:r>
      <w:r>
        <w:rPr>
          <w:rStyle w:val="CharDefText"/>
        </w:rPr>
        <w:t>goodwill</w:t>
      </w:r>
      <w:r>
        <w:rPr>
          <w:b/>
        </w:rPr>
        <w:t>”</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b/>
        </w:rPr>
        <w:t>“</w:t>
      </w:r>
      <w:r>
        <w:rPr>
          <w:rStyle w:val="CharDefText"/>
        </w:rPr>
        <w:t>key</w:t>
      </w:r>
      <w:r>
        <w:rPr>
          <w:rStyle w:val="CharDefText"/>
        </w:rPr>
        <w:noBreakHyphen/>
        <w:t>money</w:t>
      </w:r>
      <w:r>
        <w:rPr>
          <w:b/>
        </w:rPr>
        <w:t>”</w:t>
      </w:r>
      <w:r>
        <w:t xml:space="preserve"> means — </w:t>
      </w:r>
    </w:p>
    <w:p>
      <w:pPr>
        <w:pStyle w:val="Defpara"/>
        <w:spacing w:before="120"/>
      </w:pPr>
      <w:r>
        <w:tab/>
        <w:t>(a)</w:t>
      </w:r>
      <w:r>
        <w:tab/>
        <w:t>money that is to be paid by, or at the request or direction of, a tenant; or</w:t>
      </w:r>
    </w:p>
    <w:p>
      <w:pPr>
        <w:pStyle w:val="Defpara"/>
        <w:spacing w:before="120"/>
      </w:pPr>
      <w:r>
        <w:tab/>
        <w:t>(b)</w:t>
      </w:r>
      <w:r>
        <w:tab/>
        <w:t>any benefit that is to be conferred by, or at the request or direction of, a tenant,</w:t>
      </w:r>
    </w:p>
    <w:p>
      <w:pPr>
        <w:pStyle w:val="Defstart"/>
        <w:spacing w:before="120"/>
      </w:pPr>
      <w:r>
        <w:tab/>
      </w: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20"/>
      </w:pPr>
      <w:r>
        <w:rPr>
          <w:b/>
        </w:rPr>
        <w:tab/>
        <w:t>“</w:t>
      </w:r>
      <w:r>
        <w:rPr>
          <w:rStyle w:val="CharDefText"/>
        </w:rPr>
        <w:t>landlord</w:t>
      </w:r>
      <w:r>
        <w:rPr>
          <w:b/>
        </w:rPr>
        <w:t>”</w:t>
      </w:r>
      <w:r>
        <w:t>, in relation to a lease, means — </w:t>
      </w:r>
    </w:p>
    <w:p>
      <w:pPr>
        <w:pStyle w:val="Defpara"/>
        <w:spacing w:before="120"/>
      </w:pPr>
      <w:r>
        <w:tab/>
        <w:t>(a)</w:t>
      </w:r>
      <w:r>
        <w:tab/>
        <w:t>the person who, under the lease, grants or is to grant to the tenant the entitlement to occupy the premises the subject of the lease; or</w:t>
      </w:r>
    </w:p>
    <w:p>
      <w:pPr>
        <w:pStyle w:val="Defpara"/>
        <w:spacing w:before="120"/>
      </w:pPr>
      <w:r>
        <w:tab/>
        <w:t>(b)</w:t>
      </w:r>
      <w:r>
        <w:tab/>
        <w:t>a person who obtains a reversionary interest in those premises,</w:t>
      </w:r>
    </w:p>
    <w:p>
      <w:pPr>
        <w:pStyle w:val="Defstart"/>
        <w:spacing w:before="120"/>
      </w:pPr>
      <w:r>
        <w:tab/>
      </w:r>
      <w:r>
        <w:tab/>
        <w:t>but does not include a person who assigns his interest as tenant under the lease;</w:t>
      </w:r>
    </w:p>
    <w:p>
      <w:pPr>
        <w:pStyle w:val="Defstart"/>
        <w:spacing w:before="120"/>
      </w:pPr>
      <w:r>
        <w:rPr>
          <w:b/>
        </w:rPr>
        <w:tab/>
        <w:t>“</w:t>
      </w:r>
      <w:r>
        <w:rPr>
          <w:rStyle w:val="CharDefText"/>
        </w:rPr>
        <w:t>lease</w:t>
      </w:r>
      <w:r>
        <w:rPr>
          <w:b/>
        </w:rPr>
        <w:t>”</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spacing w:before="120"/>
      </w:pPr>
      <w:r>
        <w:tab/>
      </w:r>
      <w:r>
        <w:rPr>
          <w:b/>
        </w:rPr>
        <w:t>“</w:t>
      </w:r>
      <w:r>
        <w:rPr>
          <w:rStyle w:val="CharDefText"/>
        </w:rPr>
        <w:t>management fees</w:t>
      </w:r>
      <w:r>
        <w:rPr>
          <w:b/>
        </w:rPr>
        <w:t>”</w:t>
      </w:r>
      <w:r>
        <w:t xml:space="preserve"> means fees in respect of costs for or incidental to the collection of rent or other moneys or the management of premises including, but not limited to, such of those costs — </w:t>
      </w:r>
    </w:p>
    <w:p>
      <w:pPr>
        <w:pStyle w:val="Defpara"/>
        <w:keepNext/>
        <w:spacing w:before="60"/>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b/>
        </w:rPr>
        <w:t>“</w:t>
      </w:r>
      <w:r>
        <w:rPr>
          <w:rStyle w:val="CharDefText"/>
        </w:rPr>
        <w:t>retail floor area</w:t>
      </w:r>
      <w:r>
        <w:rPr>
          <w:b/>
        </w:rPr>
        <w:t>”</w:t>
      </w:r>
      <w:r>
        <w:t>, in relation to a retail shop, means the floor area of the retail shop designed and available for use for the carrying on of business in the retail shop;</w:t>
      </w:r>
    </w:p>
    <w:p>
      <w:pPr>
        <w:pStyle w:val="Defstart"/>
        <w:keepNext/>
      </w:pPr>
      <w:r>
        <w:rPr>
          <w:b/>
        </w:rPr>
        <w:tab/>
        <w:t>“</w:t>
      </w:r>
      <w:r>
        <w:rPr>
          <w:rStyle w:val="CharDefText"/>
        </w:rPr>
        <w:t>retail shop</w:t>
      </w:r>
      <w:r>
        <w:rPr>
          <w:b/>
        </w:rPr>
        <w:t>”</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t xml:space="preserve"> of the Parliament of the Commonwealth;</w:t>
      </w:r>
    </w:p>
    <w:p>
      <w:pPr>
        <w:pStyle w:val="Defstart"/>
      </w:pPr>
      <w:r>
        <w:rPr>
          <w:b/>
        </w:rPr>
        <w:tab/>
        <w:t>“</w:t>
      </w:r>
      <w:r>
        <w:rPr>
          <w:rStyle w:val="CharDefText"/>
        </w:rPr>
        <w:t>retail shop lease</w:t>
      </w:r>
      <w:r>
        <w:rPr>
          <w:b/>
        </w:rPr>
        <w:t>”</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b/>
        </w:rPr>
        <w:t>“</w:t>
      </w:r>
      <w:r>
        <w:rPr>
          <w:rStyle w:val="CharDefText"/>
        </w:rPr>
        <w:t>retail shopping centre</w:t>
      </w:r>
      <w:r>
        <w:rPr>
          <w:b/>
        </w:rPr>
        <w:t>”</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r>
      <w:r>
        <w:tab/>
        <w:t>whether the premises are in a single storey building or a multi</w:t>
      </w:r>
      <w:r>
        <w:noBreakHyphen/>
        <w:t>level building;</w:t>
      </w:r>
    </w:p>
    <w:p>
      <w:pPr>
        <w:pStyle w:val="Defstart"/>
      </w:pPr>
      <w:r>
        <w:rPr>
          <w:b/>
        </w:rPr>
        <w:tab/>
        <w:t>“</w:t>
      </w:r>
      <w:r>
        <w:rPr>
          <w:rStyle w:val="CharDefText"/>
        </w:rPr>
        <w:t>specified business</w:t>
      </w:r>
      <w:r>
        <w:rPr>
          <w:b/>
        </w:rPr>
        <w:t>”</w:t>
      </w:r>
      <w:r>
        <w:t xml:space="preserve"> means a business of a kind prescribed by the regulations to be a specified business;</w:t>
      </w:r>
    </w:p>
    <w:p>
      <w:pPr>
        <w:pStyle w:val="Defstart"/>
      </w:pPr>
      <w:r>
        <w:rPr>
          <w:b/>
        </w:rPr>
        <w:tab/>
        <w:t>“</w:t>
      </w:r>
      <w:r>
        <w:rPr>
          <w:rStyle w:val="CharDefText"/>
        </w:rPr>
        <w:t>tenant</w:t>
      </w:r>
      <w:r>
        <w:rPr>
          <w:b/>
        </w:rPr>
        <w:t>”</w:t>
      </w:r>
      <w:r>
        <w:t>, in relation to a lease, means the person who, under the lease, is or would be entitled to occupy the premises the subject of the lease;</w:t>
      </w:r>
    </w:p>
    <w:p>
      <w:pPr>
        <w:pStyle w:val="Defstart"/>
      </w:pPr>
      <w:r>
        <w:rPr>
          <w:b/>
        </w:rPr>
        <w:tab/>
        <w:t>“</w:t>
      </w:r>
      <w:r>
        <w:rPr>
          <w:rStyle w:val="CharDefText"/>
        </w:rPr>
        <w:t>the business</w:t>
      </w:r>
      <w:r>
        <w:rPr>
          <w:b/>
        </w:rPr>
        <w:t>”</w:t>
      </w:r>
      <w:r>
        <w:t>, in relation to a retail shop lease, means the business carried on or to be carried on at or from the retail shop the subject of the lease;</w:t>
      </w:r>
    </w:p>
    <w:p>
      <w:pPr>
        <w:pStyle w:val="Defstart"/>
      </w:pPr>
      <w:r>
        <w:tab/>
      </w:r>
      <w:r>
        <w:rPr>
          <w:b/>
        </w:rPr>
        <w:t>“</w:t>
      </w:r>
      <w:r>
        <w:rPr>
          <w:rStyle w:val="CharDefText"/>
        </w:rPr>
        <w:t>total lettable area</w:t>
      </w:r>
      <w:r>
        <w:rPr>
          <w:b/>
        </w:rPr>
        <w:t>”</w:t>
      </w:r>
      <w:r>
        <w:t>, in relation to a retail shopping centre, means the aggregate of the retail floor areas of the retail shops (or areas set aside for retail shops) in the retail shopping centre;</w:t>
      </w:r>
    </w:p>
    <w:p>
      <w:pPr>
        <w:pStyle w:val="Defstart"/>
      </w:pPr>
      <w:r>
        <w:rPr>
          <w:b/>
        </w:rPr>
        <w:tab/>
        <w:t>“</w:t>
      </w:r>
      <w:r>
        <w:rPr>
          <w:rStyle w:val="CharDefText"/>
        </w:rPr>
        <w:t>Tribunal</w:t>
      </w:r>
      <w:r>
        <w:rPr>
          <w:b/>
        </w:rPr>
        <w:t>”</w:t>
      </w:r>
      <w:r>
        <w:t xml:space="preserve"> means the State Administrative Tribunal;</w:t>
      </w:r>
    </w:p>
    <w:p>
      <w:pPr>
        <w:pStyle w:val="Defstart"/>
      </w:pPr>
      <w:r>
        <w:rPr>
          <w:b/>
        </w:rPr>
        <w:tab/>
        <w:t>“</w:t>
      </w:r>
      <w:r>
        <w:rPr>
          <w:rStyle w:val="CharDefText"/>
        </w:rPr>
        <w:t>unconscionable conduct application</w:t>
      </w:r>
      <w:r>
        <w:rPr>
          <w:b/>
        </w:rPr>
        <w:t>”</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s.3; No. 48 of 1990 s.4; No. 56 of 1997 s.24; No. 66 of 1998 s.4; No. 10 of 2001 s.38; No. 55 of 2004 s. 117; No. 47 of 2006 s. 21.] </w:t>
      </w:r>
    </w:p>
    <w:p>
      <w:pPr>
        <w:pStyle w:val="Heading5"/>
        <w:rPr>
          <w:snapToGrid w:val="0"/>
        </w:rPr>
      </w:pPr>
      <w:bookmarkStart w:id="22" w:name="_Toc455636248"/>
      <w:bookmarkStart w:id="23" w:name="_Toc36374992"/>
      <w:bookmarkStart w:id="24" w:name="_Toc131386556"/>
      <w:bookmarkStart w:id="25" w:name="_Toc166672266"/>
      <w:r>
        <w:rPr>
          <w:rStyle w:val="CharSectno"/>
        </w:rPr>
        <w:t>4</w:t>
      </w:r>
      <w:r>
        <w:rPr>
          <w:snapToGrid w:val="0"/>
        </w:rPr>
        <w:t>.</w:t>
      </w:r>
      <w:r>
        <w:rPr>
          <w:snapToGrid w:val="0"/>
        </w:rPr>
        <w:tab/>
        <w:t>Application</w:t>
      </w:r>
      <w:bookmarkEnd w:id="22"/>
      <w:r>
        <w:rPr>
          <w:snapToGrid w:val="0"/>
          <w:vertAlign w:val="superscript"/>
        </w:rPr>
        <w:t> 3</w:t>
      </w:r>
      <w:bookmarkEnd w:id="23"/>
      <w:bookmarkEnd w:id="24"/>
      <w:bookmarkEnd w:id="25"/>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relevant day</w:t>
      </w:r>
      <w:r>
        <w:rPr>
          <w:b/>
          <w:snapToGrid w:val="0"/>
        </w:rPr>
        <w:t>”</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 amended by No. 55 of 2004 s. 118.]</w:t>
      </w:r>
    </w:p>
    <w:p>
      <w:pPr>
        <w:pStyle w:val="Heading5"/>
        <w:rPr>
          <w:snapToGrid w:val="0"/>
        </w:rPr>
      </w:pPr>
      <w:bookmarkStart w:id="26" w:name="_Toc455636249"/>
      <w:bookmarkStart w:id="27" w:name="_Toc36374993"/>
      <w:bookmarkStart w:id="28" w:name="_Toc131386557"/>
      <w:bookmarkStart w:id="29" w:name="_Toc166672267"/>
      <w:r>
        <w:rPr>
          <w:rStyle w:val="CharSectno"/>
        </w:rPr>
        <w:t>5</w:t>
      </w:r>
      <w:r>
        <w:rPr>
          <w:snapToGrid w:val="0"/>
        </w:rPr>
        <w:t>.</w:t>
      </w:r>
      <w:r>
        <w:rPr>
          <w:snapToGrid w:val="0"/>
        </w:rPr>
        <w:tab/>
        <w:t>Crown bound</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0" w:name="_Toc89771350"/>
      <w:bookmarkStart w:id="31" w:name="_Toc92270388"/>
      <w:bookmarkStart w:id="32" w:name="_Toc92270684"/>
      <w:bookmarkStart w:id="33" w:name="_Toc92270720"/>
      <w:bookmarkStart w:id="34" w:name="_Toc122510554"/>
      <w:bookmarkStart w:id="35" w:name="_Toc131386558"/>
      <w:bookmarkStart w:id="36" w:name="_Toc147910652"/>
      <w:bookmarkStart w:id="37" w:name="_Toc147912687"/>
      <w:bookmarkStart w:id="38" w:name="_Toc166672268"/>
      <w:r>
        <w:rPr>
          <w:rStyle w:val="CharPartNo"/>
        </w:rPr>
        <w:t>Part II</w:t>
      </w:r>
      <w:r>
        <w:rPr>
          <w:rStyle w:val="CharDivNo"/>
        </w:rPr>
        <w:t> </w:t>
      </w:r>
      <w:r>
        <w:t>—</w:t>
      </w:r>
      <w:r>
        <w:rPr>
          <w:rStyle w:val="CharDivText"/>
        </w:rPr>
        <w:t> </w:t>
      </w:r>
      <w:r>
        <w:rPr>
          <w:rStyle w:val="CharPartText"/>
        </w:rPr>
        <w:t>Retail shop leases</w:t>
      </w:r>
      <w:bookmarkEnd w:id="30"/>
      <w:bookmarkEnd w:id="31"/>
      <w:bookmarkEnd w:id="32"/>
      <w:bookmarkEnd w:id="33"/>
      <w:bookmarkEnd w:id="34"/>
      <w:bookmarkEnd w:id="35"/>
      <w:bookmarkEnd w:id="36"/>
      <w:bookmarkEnd w:id="37"/>
      <w:bookmarkEnd w:id="38"/>
      <w:r>
        <w:rPr>
          <w:rStyle w:val="CharPartText"/>
        </w:rPr>
        <w:t xml:space="preserve"> </w:t>
      </w:r>
    </w:p>
    <w:p>
      <w:pPr>
        <w:pStyle w:val="Heading5"/>
        <w:spacing w:before="120"/>
        <w:rPr>
          <w:snapToGrid w:val="0"/>
        </w:rPr>
      </w:pPr>
      <w:bookmarkStart w:id="39" w:name="_Toc455636250"/>
      <w:bookmarkStart w:id="40" w:name="_Toc36374994"/>
      <w:bookmarkStart w:id="41" w:name="_Toc131386559"/>
      <w:bookmarkStart w:id="42" w:name="_Toc166672269"/>
      <w:r>
        <w:rPr>
          <w:rStyle w:val="CharSectno"/>
        </w:rPr>
        <w:t>6</w:t>
      </w:r>
      <w:r>
        <w:rPr>
          <w:snapToGrid w:val="0"/>
        </w:rPr>
        <w:t>.</w:t>
      </w:r>
      <w:r>
        <w:rPr>
          <w:snapToGrid w:val="0"/>
        </w:rPr>
        <w:tab/>
        <w:t>Disclosure</w:t>
      </w:r>
      <w:bookmarkEnd w:id="39"/>
      <w:bookmarkEnd w:id="40"/>
      <w:bookmarkEnd w:id="41"/>
      <w:bookmarkEnd w:id="42"/>
      <w:r>
        <w:rPr>
          <w:snapToGrid w:val="0"/>
        </w:rPr>
        <w:t xml:space="preserve"> </w:t>
      </w:r>
    </w:p>
    <w:p>
      <w:pPr>
        <w:pStyle w:val="Subsection"/>
        <w:spacing w:before="100"/>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spacing w:before="100"/>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repealed]</w:t>
      </w:r>
    </w:p>
    <w:p>
      <w:pPr>
        <w:pStyle w:val="Subsection"/>
        <w:spacing w:before="100"/>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spacing w:before="100"/>
        <w:rPr>
          <w:snapToGrid w:val="0"/>
        </w:rPr>
      </w:pPr>
      <w:r>
        <w:rPr>
          <w:snapToGrid w:val="0"/>
        </w:rPr>
        <w:tab/>
        <w:t>(5)</w:t>
      </w:r>
      <w:r>
        <w:rPr>
          <w:snapToGrid w:val="0"/>
        </w:rPr>
        <w:tab/>
        <w:t xml:space="preserve">Where the tenant under a retail shop lease (in this subsection referred to as </w:t>
      </w:r>
      <w:r>
        <w:rPr>
          <w:b/>
          <w:snapToGrid w:val="0"/>
        </w:rPr>
        <w:t>“</w:t>
      </w:r>
      <w:r>
        <w:rPr>
          <w:rStyle w:val="CharDefText"/>
        </w:rPr>
        <w:t>the outgoing tenant</w:t>
      </w:r>
      <w:r>
        <w:rPr>
          <w:b/>
          <w:snapToGrid w:val="0"/>
        </w:rPr>
        <w:t>”</w:t>
      </w:r>
      <w:r>
        <w:rPr>
          <w:snapToGrid w:val="0"/>
        </w:rPr>
        <w:t xml:space="preserve">) assigns the lease to another person (in this subsection referred to as </w:t>
      </w:r>
      <w:r>
        <w:rPr>
          <w:b/>
          <w:snapToGrid w:val="0"/>
        </w:rPr>
        <w:t>“</w:t>
      </w:r>
      <w:r>
        <w:rPr>
          <w:rStyle w:val="CharDefText"/>
        </w:rPr>
        <w:t>the incoming tenant</w:t>
      </w:r>
      <w:r>
        <w:rPr>
          <w:b/>
          <w:snapToGrid w:val="0"/>
        </w:rPr>
        <w: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pPr>
      <w:r>
        <w:tab/>
        <w:t xml:space="preserve">[Section 6 amended by No. 48 of 1990 s.5.] </w:t>
      </w:r>
    </w:p>
    <w:p>
      <w:pPr>
        <w:pStyle w:val="Heading5"/>
      </w:pPr>
      <w:bookmarkStart w:id="43" w:name="_Toc455636251"/>
      <w:bookmarkStart w:id="44" w:name="_Toc36374995"/>
      <w:bookmarkStart w:id="45" w:name="_Toc131386560"/>
      <w:bookmarkStart w:id="46" w:name="_Toc166672270"/>
      <w:r>
        <w:rPr>
          <w:rStyle w:val="CharSectno"/>
        </w:rPr>
        <w:t>6A</w:t>
      </w:r>
      <w:r>
        <w:t>.</w:t>
      </w:r>
      <w:r>
        <w:tab/>
        <w:t>Tenant guide</w:t>
      </w:r>
      <w:bookmarkEnd w:id="43"/>
      <w:bookmarkEnd w:id="44"/>
      <w:bookmarkEnd w:id="45"/>
      <w:bookmarkEnd w:id="46"/>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b/>
        </w:rPr>
        <w:t>“</w:t>
      </w:r>
      <w:r>
        <w:rPr>
          <w:rStyle w:val="CharDefText"/>
        </w:rPr>
        <w:t>the outgoing tenant</w:t>
      </w:r>
      <w:r>
        <w:rPr>
          <w:b/>
        </w:rPr>
        <w:t>”</w:t>
      </w:r>
      <w:r>
        <w:t xml:space="preserve">) assigns the lease to another person (in this subsection referred to as </w:t>
      </w:r>
      <w:r>
        <w:rPr>
          <w:b/>
        </w:rPr>
        <w:t>“</w:t>
      </w:r>
      <w:r>
        <w:rPr>
          <w:rStyle w:val="CharDefText"/>
        </w:rPr>
        <w:t>the incoming tenant</w:t>
      </w:r>
      <w:r>
        <w:rPr>
          <w:b/>
        </w:rPr>
        <w: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s.5.]</w:t>
      </w:r>
    </w:p>
    <w:p>
      <w:pPr>
        <w:pStyle w:val="Heading5"/>
        <w:rPr>
          <w:snapToGrid w:val="0"/>
        </w:rPr>
      </w:pPr>
      <w:bookmarkStart w:id="47" w:name="_Toc455636252"/>
      <w:bookmarkStart w:id="48" w:name="_Toc36374996"/>
      <w:bookmarkStart w:id="49" w:name="_Toc131386561"/>
      <w:bookmarkStart w:id="50" w:name="_Toc166672271"/>
      <w:r>
        <w:rPr>
          <w:rStyle w:val="CharSectno"/>
        </w:rPr>
        <w:t>7</w:t>
      </w:r>
      <w:r>
        <w:rPr>
          <w:snapToGrid w:val="0"/>
        </w:rPr>
        <w:t>.</w:t>
      </w:r>
      <w:r>
        <w:rPr>
          <w:snapToGrid w:val="0"/>
        </w:rPr>
        <w:tab/>
        <w:t>Rent based on turnover</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b/>
          <w:snapToGrid w:val="0"/>
        </w:rPr>
        <w:t>“</w:t>
      </w:r>
      <w:r>
        <w:rPr>
          <w:rStyle w:val="CharDefText"/>
        </w:rPr>
        <w:t>turnover</w:t>
      </w:r>
      <w:r>
        <w:rPr>
          <w:b/>
          <w:snapToGrid w:val="0"/>
        </w:rPr>
        <w:t>”</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under Part III by the Tribunal.</w:t>
      </w:r>
    </w:p>
    <w:p>
      <w:pPr>
        <w:pStyle w:val="Footnotesection"/>
      </w:pPr>
      <w:r>
        <w:tab/>
        <w:t>[Section 7 amended by No. 26 of 1998 s.23.]</w:t>
      </w:r>
    </w:p>
    <w:p>
      <w:pPr>
        <w:pStyle w:val="Heading5"/>
        <w:rPr>
          <w:snapToGrid w:val="0"/>
        </w:rPr>
      </w:pPr>
      <w:bookmarkStart w:id="51" w:name="_Toc455636253"/>
      <w:bookmarkStart w:id="52" w:name="_Toc36374997"/>
      <w:bookmarkStart w:id="53" w:name="_Toc131386562"/>
      <w:bookmarkStart w:id="54" w:name="_Toc166672272"/>
      <w:r>
        <w:rPr>
          <w:rStyle w:val="CharSectno"/>
        </w:rPr>
        <w:t>8</w:t>
      </w:r>
      <w:r>
        <w:rPr>
          <w:snapToGrid w:val="0"/>
        </w:rPr>
        <w:t>.</w:t>
      </w:r>
      <w:r>
        <w:rPr>
          <w:snapToGrid w:val="0"/>
        </w:rPr>
        <w:tab/>
        <w:t>Turnover figures not generally required</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55" w:name="_Toc455636254"/>
      <w:bookmarkStart w:id="56" w:name="_Toc36374998"/>
      <w:bookmarkStart w:id="57" w:name="_Toc131386563"/>
      <w:bookmarkStart w:id="58" w:name="_Toc166672273"/>
      <w:r>
        <w:rPr>
          <w:rStyle w:val="CharSectno"/>
        </w:rPr>
        <w:t>9</w:t>
      </w:r>
      <w:r>
        <w:rPr>
          <w:snapToGrid w:val="0"/>
        </w:rPr>
        <w:t>.</w:t>
      </w:r>
      <w:r>
        <w:rPr>
          <w:snapToGrid w:val="0"/>
        </w:rPr>
        <w:tab/>
        <w:t>Key-money and goodwill</w:t>
      </w:r>
      <w:bookmarkEnd w:id="55"/>
      <w:bookmarkEnd w:id="56"/>
      <w:bookmarkEnd w:id="57"/>
      <w:bookmarkEnd w:id="58"/>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s.6; No. 55 of 2004 s. 119.] </w:t>
      </w:r>
    </w:p>
    <w:p>
      <w:pPr>
        <w:pStyle w:val="Heading5"/>
        <w:rPr>
          <w:snapToGrid w:val="0"/>
        </w:rPr>
      </w:pPr>
      <w:bookmarkStart w:id="59" w:name="_Toc455636255"/>
      <w:bookmarkStart w:id="60" w:name="_Toc36374999"/>
      <w:bookmarkStart w:id="61" w:name="_Toc131386564"/>
      <w:bookmarkStart w:id="62" w:name="_Toc166672274"/>
      <w:r>
        <w:rPr>
          <w:rStyle w:val="CharSectno"/>
        </w:rPr>
        <w:t>10</w:t>
      </w:r>
      <w:r>
        <w:rPr>
          <w:snapToGrid w:val="0"/>
        </w:rPr>
        <w:t>.</w:t>
      </w:r>
      <w:r>
        <w:rPr>
          <w:snapToGrid w:val="0"/>
        </w:rPr>
        <w:tab/>
        <w:t>Assignment and sub</w:t>
      </w:r>
      <w:r>
        <w:rPr>
          <w:snapToGrid w:val="0"/>
        </w:rPr>
        <w:noBreakHyphen/>
        <w:t>leasing</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assignor</w:t>
      </w:r>
      <w:r>
        <w:rPr>
          <w:b/>
        </w:rPr>
        <w:t>”</w:t>
      </w:r>
      <w:r>
        <w:t xml:space="preserve"> means a tenant who assigns a lease in accordance with this section;</w:t>
      </w:r>
    </w:p>
    <w:p>
      <w:pPr>
        <w:pStyle w:val="Defstart"/>
      </w:pPr>
      <w:r>
        <w:tab/>
      </w:r>
      <w:r>
        <w:rPr>
          <w:b/>
        </w:rPr>
        <w:t>“</w:t>
      </w:r>
      <w:r>
        <w:rPr>
          <w:rStyle w:val="CharDefText"/>
        </w:rPr>
        <w:t>guarantor</w:t>
      </w:r>
      <w:r>
        <w:rPr>
          <w:b/>
        </w:rPr>
        <w:t>”</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b/>
        </w:rPr>
        <w:t>“</w:t>
      </w:r>
      <w:r>
        <w:rPr>
          <w:rStyle w:val="CharDefText"/>
        </w:rPr>
        <w:t>moneys payable under the lease</w:t>
      </w:r>
      <w:r>
        <w:rPr>
          <w:b/>
        </w:rPr>
        <w:t>”</w:t>
      </w:r>
      <w:r>
        <w:t xml:space="preserve"> includes moneys recoverable by action under the lease.</w:t>
      </w:r>
    </w:p>
    <w:p>
      <w:pPr>
        <w:pStyle w:val="Footnotesection"/>
      </w:pPr>
      <w:r>
        <w:tab/>
        <w:t xml:space="preserve">[Section 10 inserted by No. 48 of 1990 s.7; amended by No. 66 of 1998 s.6.] </w:t>
      </w:r>
    </w:p>
    <w:p>
      <w:pPr>
        <w:pStyle w:val="Heading5"/>
        <w:rPr>
          <w:snapToGrid w:val="0"/>
        </w:rPr>
      </w:pPr>
      <w:bookmarkStart w:id="63" w:name="_Toc455636256"/>
      <w:bookmarkStart w:id="64" w:name="_Toc36375000"/>
      <w:bookmarkStart w:id="65" w:name="_Toc131386565"/>
      <w:bookmarkStart w:id="66" w:name="_Toc166672275"/>
      <w:r>
        <w:rPr>
          <w:rStyle w:val="CharSectno"/>
        </w:rPr>
        <w:t>11</w:t>
      </w:r>
      <w:r>
        <w:rPr>
          <w:snapToGrid w:val="0"/>
        </w:rPr>
        <w:t>.</w:t>
      </w:r>
      <w:r>
        <w:rPr>
          <w:snapToGrid w:val="0"/>
        </w:rPr>
        <w:tab/>
        <w:t>Rent review</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w:t>
      </w:r>
      <w:r>
        <w:tab/>
        <w:t>repealed]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67" w:name="_Toc455636257"/>
      <w:bookmarkStart w:id="68" w:name="_Toc36375001"/>
      <w:bookmarkStart w:id="69" w:name="_Toc131386566"/>
      <w:bookmarkStart w:id="70" w:name="_Toc166672276"/>
      <w:r>
        <w:rPr>
          <w:rStyle w:val="CharSectno"/>
        </w:rPr>
        <w:t>12</w:t>
      </w:r>
      <w:r>
        <w:rPr>
          <w:snapToGrid w:val="0"/>
        </w:rPr>
        <w:t>.</w:t>
      </w:r>
      <w:r>
        <w:rPr>
          <w:snapToGrid w:val="0"/>
        </w:rPr>
        <w:tab/>
        <w:t>Contribution to landlord’s expenses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b/>
          <w:snapToGrid w:val="0"/>
        </w:rPr>
        <w:t>“</w:t>
      </w:r>
      <w:r>
        <w:rPr>
          <w:rStyle w:val="CharDefText"/>
        </w:rPr>
        <w:t>operating expenses statement</w:t>
      </w:r>
      <w:r>
        <w:rPr>
          <w:b/>
          <w:snapToGrid w:val="0"/>
        </w:rPr>
        <w:t>”</w:t>
      </w:r>
      <w:r>
        <w:rPr>
          <w:snapToGrid w:val="0"/>
        </w:rPr>
        <w:t>) that details all expenditure by the landlord in each accounting period of the landlord during the term of the lease on account of operating expenses to which the tenant is required to contribute.</w:t>
      </w:r>
    </w:p>
    <w:p>
      <w:pPr>
        <w:pStyle w:val="Subsection"/>
        <w:rPr>
          <w:snapToGrid w:val="0"/>
        </w:rPr>
      </w:pPr>
      <w:r>
        <w:rPr>
          <w:snapToGrid w:val="0"/>
        </w:rPr>
        <w:tab/>
        <w:t>(1a)</w:t>
      </w:r>
      <w:r>
        <w:rPr>
          <w:snapToGrid w:val="0"/>
        </w:rPr>
        <w:tab/>
        <w:t xml:space="preserve">An operating expenses statement — </w:t>
      </w:r>
    </w:p>
    <w:p>
      <w:pPr>
        <w:pStyle w:val="Indenta"/>
        <w:rPr>
          <w:snapToGrid w:val="0"/>
        </w:rPr>
      </w:pPr>
      <w:r>
        <w:rPr>
          <w:snapToGrid w:val="0"/>
        </w:rPr>
        <w:tab/>
        <w:t>(a)</w:t>
      </w:r>
      <w:r>
        <w:rPr>
          <w:snapToGrid w:val="0"/>
        </w:rPr>
        <w:tab/>
        <w:t>is to be given to the tenant within 3 months after the end of the accounting period to which it relates;</w:t>
      </w:r>
    </w:p>
    <w:p>
      <w:pPr>
        <w:pStyle w:val="Indenta"/>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b/>
        </w:rPr>
        <w:t>“</w:t>
      </w:r>
      <w:r>
        <w:rPr>
          <w:rStyle w:val="CharDefText"/>
        </w:rPr>
        <w:t>land tax</w:t>
      </w:r>
      <w:r>
        <w:rPr>
          <w:b/>
        </w:rPr>
        <w:t>”</w:t>
      </w:r>
      <w:r>
        <w:t xml:space="preserve"> means tax imposed by the</w:t>
      </w:r>
      <w:r>
        <w:rPr>
          <w:i/>
        </w:rPr>
        <w:t xml:space="preserve"> Land Tax Act 2002</w:t>
      </w:r>
      <w:r>
        <w:t>;</w:t>
      </w:r>
    </w:p>
    <w:p>
      <w:pPr>
        <w:pStyle w:val="Defstart"/>
      </w:pPr>
      <w:r>
        <w:tab/>
      </w:r>
      <w:r>
        <w:rPr>
          <w:b/>
        </w:rPr>
        <w:t>“</w:t>
      </w:r>
      <w:r>
        <w:rPr>
          <w:rStyle w:val="CharDefText"/>
        </w:rPr>
        <w:t>metropolitan region improvement tax</w:t>
      </w:r>
      <w:r>
        <w:rPr>
          <w:b/>
        </w:rPr>
        <w:t>”</w:t>
      </w:r>
      <w:r>
        <w:t xml:space="preserve"> means metropolitan region improvement tax under the </w:t>
      </w:r>
      <w:r>
        <w:rPr>
          <w:i/>
        </w:rPr>
        <w:t>Planning and Development Act 2005</w:t>
      </w:r>
      <w:r>
        <w:t>;</w:t>
      </w:r>
    </w:p>
    <w:p>
      <w:pPr>
        <w:pStyle w:val="Defstart"/>
      </w:pPr>
      <w:r>
        <w:tab/>
      </w:r>
      <w:r>
        <w:rPr>
          <w:b/>
        </w:rPr>
        <w:t>“</w:t>
      </w:r>
      <w:r>
        <w:rPr>
          <w:rStyle w:val="CharDefText"/>
        </w:rPr>
        <w:t>notional land tax</w:t>
      </w:r>
      <w:r>
        <w:rPr>
          <w:b/>
        </w:rPr>
        <w:t>”</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b/>
        </w:rPr>
        <w:t>“</w:t>
      </w:r>
      <w:r>
        <w:rPr>
          <w:rStyle w:val="CharDefText"/>
        </w:rPr>
        <w:t>operating expenses</w:t>
      </w:r>
      <w:r>
        <w:rPr>
          <w:b/>
        </w:rPr>
        <w:t>”</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b/>
        </w:rPr>
        <w:t>“</w:t>
      </w:r>
      <w:r>
        <w:rPr>
          <w:rStyle w:val="CharDefText"/>
        </w:rPr>
        <w:t>referable</w:t>
      </w:r>
      <w:r>
        <w:rPr>
          <w:b/>
        </w:rPr>
        <w:t>”</w:t>
      </w:r>
      <w:r>
        <w:t>, in relation to an operating expense for a retail shop, means the retail shop enjoys or shares the benefit resulting from the operating expense;</w:t>
      </w:r>
    </w:p>
    <w:p>
      <w:pPr>
        <w:pStyle w:val="Defstart"/>
        <w:keepNext/>
      </w:pPr>
      <w:r>
        <w:tab/>
      </w:r>
      <w:r>
        <w:rPr>
          <w:b/>
        </w:rPr>
        <w:t>“</w:t>
      </w:r>
      <w:r>
        <w:rPr>
          <w:rStyle w:val="CharDefText"/>
        </w:rPr>
        <w:t>relevant proportion</w:t>
      </w:r>
      <w:r>
        <w:rPr>
          <w:b/>
        </w:rPr>
        <w:t>”</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b/>
        </w:rPr>
        <w:t>“</w:t>
      </w:r>
      <w:r>
        <w:rPr>
          <w:rStyle w:val="CharDefText"/>
        </w:rPr>
        <w:t>standard trading hours</w:t>
      </w:r>
      <w:r>
        <w:rPr>
          <w:b/>
        </w:rPr>
        <w:t>”</w:t>
      </w:r>
      <w:r>
        <w:t xml:space="preserve"> means the hours prescribed for the purposes of subsection (1)(c);</w:t>
      </w:r>
    </w:p>
    <w:p>
      <w:pPr>
        <w:pStyle w:val="Defstart"/>
      </w:pPr>
      <w:r>
        <w:tab/>
      </w:r>
      <w:r>
        <w:rPr>
          <w:b/>
        </w:rPr>
        <w:t>“</w:t>
      </w:r>
      <w:r>
        <w:rPr>
          <w:rStyle w:val="CharDefText"/>
        </w:rPr>
        <w:t>strata titles levy</w:t>
      </w:r>
      <w:r>
        <w:rPr>
          <w:b/>
        </w:rPr>
        <w:t>”</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71" w:name="_Toc455636258"/>
      <w:bookmarkStart w:id="72" w:name="_Toc36375002"/>
      <w:bookmarkStart w:id="73" w:name="_Toc131386567"/>
      <w:bookmarkStart w:id="74" w:name="_Toc166672277"/>
      <w:r>
        <w:rPr>
          <w:rStyle w:val="CharSectno"/>
        </w:rPr>
        <w:t>12A</w:t>
      </w:r>
      <w:r>
        <w:t>.</w:t>
      </w:r>
      <w:r>
        <w:tab/>
        <w:t>Sinking funds</w:t>
      </w:r>
      <w:bookmarkEnd w:id="71"/>
      <w:bookmarkEnd w:id="72"/>
      <w:bookmarkEnd w:id="73"/>
      <w:bookmarkEnd w:id="74"/>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b/>
        </w:rPr>
        <w:t>“</w:t>
      </w:r>
      <w:r>
        <w:rPr>
          <w:rStyle w:val="CharDefText"/>
        </w:rPr>
        <w:t>former tenant</w:t>
      </w:r>
      <w:r>
        <w:rPr>
          <w:b/>
        </w:rPr>
        <w: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75" w:name="_Toc455636259"/>
      <w:bookmarkStart w:id="76" w:name="_Toc36375003"/>
      <w:bookmarkStart w:id="77" w:name="_Toc131386568"/>
      <w:bookmarkStart w:id="78" w:name="_Toc166672278"/>
      <w:r>
        <w:rPr>
          <w:rStyle w:val="CharSectno"/>
        </w:rPr>
        <w:t>12B</w:t>
      </w:r>
      <w:r>
        <w:t>.</w:t>
      </w:r>
      <w:r>
        <w:tab/>
        <w:t>Contribution to other funds and reserves by tenants</w:t>
      </w:r>
      <w:bookmarkEnd w:id="75"/>
      <w:bookmarkEnd w:id="76"/>
      <w:bookmarkEnd w:id="77"/>
      <w:bookmarkEnd w:id="78"/>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79" w:name="_Toc455636260"/>
      <w:bookmarkStart w:id="80" w:name="_Toc36375004"/>
      <w:bookmarkStart w:id="81" w:name="_Toc131386569"/>
      <w:bookmarkStart w:id="82" w:name="_Toc166672279"/>
      <w:r>
        <w:rPr>
          <w:rStyle w:val="CharSectno"/>
        </w:rPr>
        <w:t>12C</w:t>
      </w:r>
      <w:r>
        <w:t>.</w:t>
      </w:r>
      <w:r>
        <w:tab/>
        <w:t>Hours of operation</w:t>
      </w:r>
      <w:bookmarkEnd w:id="79"/>
      <w:bookmarkEnd w:id="80"/>
      <w:bookmarkEnd w:id="81"/>
      <w:bookmarkEnd w:id="82"/>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83" w:name="_Toc166554212"/>
      <w:bookmarkStart w:id="84" w:name="_Toc166672280"/>
      <w:bookmarkStart w:id="85" w:name="_Toc455636261"/>
      <w:bookmarkStart w:id="86" w:name="_Toc36375005"/>
      <w:bookmarkStart w:id="87" w:name="_Toc131386570"/>
      <w:r>
        <w:rPr>
          <w:rStyle w:val="CharSectno"/>
        </w:rPr>
        <w:t>12D</w:t>
      </w:r>
      <w:r>
        <w:t>.</w:t>
      </w:r>
      <w:r>
        <w:tab/>
        <w:t>Tenants’ associations etc.</w:t>
      </w:r>
      <w:bookmarkEnd w:id="83"/>
      <w:bookmarkEnd w:id="84"/>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pPr>
      <w:r>
        <w:tab/>
        <w:t>(2)</w:t>
      </w:r>
      <w:r>
        <w:tab/>
        <w:t xml:space="preserve">If a tenant under a retail shop lease — </w:t>
      </w:r>
    </w:p>
    <w:p>
      <w:pPr>
        <w:pStyle w:val="Indenta"/>
      </w:pPr>
      <w:r>
        <w:tab/>
        <w:t>(a)</w:t>
      </w:r>
      <w:r>
        <w:tab/>
        <w:t>forms or joins; or</w:t>
      </w:r>
    </w:p>
    <w:p>
      <w:pPr>
        <w:pStyle w:val="Indenta"/>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88" w:name="_Toc166672281"/>
      <w:r>
        <w:rPr>
          <w:rStyle w:val="CharSectno"/>
        </w:rPr>
        <w:t>13</w:t>
      </w:r>
      <w:r>
        <w:rPr>
          <w:snapToGrid w:val="0"/>
        </w:rPr>
        <w:t>.</w:t>
      </w:r>
      <w:r>
        <w:rPr>
          <w:snapToGrid w:val="0"/>
        </w:rPr>
        <w:tab/>
        <w:t>Right to at least 5 years’ tenancy</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b/>
          <w:snapToGrid w:val="0"/>
        </w:rPr>
        <w:t>“</w:t>
      </w:r>
      <w:r>
        <w:rPr>
          <w:rStyle w:val="CharDefText"/>
        </w:rPr>
        <w:t>the current term</w:t>
      </w:r>
      <w:r>
        <w:rPr>
          <w:b/>
          <w:snapToGrid w:val="0"/>
        </w:rPr>
        <w:t>”</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b/>
          <w:snapToGrid w:val="0"/>
        </w:rPr>
        <w:t>“</w:t>
      </w:r>
      <w:r>
        <w:rPr>
          <w:rStyle w:val="CharDefText"/>
        </w:rPr>
        <w:t>the option term</w:t>
      </w:r>
      <w:r>
        <w:rPr>
          <w:b/>
          <w:snapToGrid w:val="0"/>
        </w:rPr>
        <w:t>”</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b/>
          <w:snapToGrid w:val="0"/>
        </w:rPr>
        <w:t>“</w:t>
      </w:r>
      <w:r>
        <w:rPr>
          <w:rStyle w:val="CharDefText"/>
        </w:rPr>
        <w:t>the head lease</w:t>
      </w:r>
      <w:r>
        <w:rPr>
          <w:b/>
          <w:snapToGrid w:val="0"/>
        </w:rPr>
        <w:t>”</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pPr>
      <w:r>
        <w:tab/>
        <w:t xml:space="preserve">[Section 13 amended by No. 49 of 1985 s.4; No. 48 of 1990 s.10; No. 55 of 2004 s. 124.] </w:t>
      </w:r>
    </w:p>
    <w:p>
      <w:pPr>
        <w:pStyle w:val="Heading5"/>
        <w:rPr>
          <w:snapToGrid w:val="0"/>
        </w:rPr>
      </w:pPr>
      <w:bookmarkStart w:id="89" w:name="_Toc455636262"/>
      <w:bookmarkStart w:id="90" w:name="_Toc36375006"/>
      <w:bookmarkStart w:id="91" w:name="_Toc131386571"/>
      <w:bookmarkStart w:id="92" w:name="_Toc166672282"/>
      <w:r>
        <w:rPr>
          <w:rStyle w:val="CharSectno"/>
        </w:rPr>
        <w:t>13A</w:t>
      </w:r>
      <w:r>
        <w:rPr>
          <w:snapToGrid w:val="0"/>
        </w:rPr>
        <w:t>.</w:t>
      </w:r>
      <w:r>
        <w:rPr>
          <w:snapToGrid w:val="0"/>
        </w:rPr>
        <w:tab/>
        <w:t>Avoidance prevented</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rPr>
          <w:snapToGrid w:val="0"/>
        </w:rPr>
      </w:pPr>
      <w:r>
        <w:rPr>
          <w:snapToGrid w:val="0"/>
        </w:rPr>
        <w:tab/>
        <w:t>(e)</w:t>
      </w:r>
      <w:r>
        <w:rPr>
          <w:snapToGrid w:val="0"/>
        </w:rPr>
        <w:tab/>
        <w:t>one of them is — </w:t>
      </w:r>
    </w:p>
    <w:p>
      <w:pPr>
        <w:pStyle w:val="Indenti"/>
        <w:rPr>
          <w:snapToGrid w:val="0"/>
        </w:rPr>
      </w:pPr>
      <w:r>
        <w:rPr>
          <w:snapToGrid w:val="0"/>
        </w:rPr>
        <w:tab/>
        <w:t>(i)</w:t>
      </w:r>
      <w:r>
        <w:rPr>
          <w:snapToGrid w:val="0"/>
        </w:rPr>
        <w:tab/>
        <w:t>an employee; or</w:t>
      </w:r>
    </w:p>
    <w:p>
      <w:pPr>
        <w:pStyle w:val="Indenti"/>
        <w:rPr>
          <w:snapToGrid w:val="0"/>
        </w:rPr>
      </w:pPr>
      <w:r>
        <w:rPr>
          <w:snapToGrid w:val="0"/>
        </w:rPr>
        <w:tab/>
        <w:t>(ii)</w:t>
      </w:r>
      <w:r>
        <w:rPr>
          <w:snapToGrid w:val="0"/>
        </w:rPr>
        <w:tab/>
        <w:t>an agent, a principal, a partner, a nominee, a solicitor, an accountant or an auditor,</w:t>
      </w:r>
    </w:p>
    <w:p>
      <w:pPr>
        <w:pStyle w:val="Indenta"/>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93" w:name="_Toc455636263"/>
      <w:bookmarkStart w:id="94" w:name="_Toc36375007"/>
      <w:bookmarkStart w:id="95" w:name="_Toc131386572"/>
      <w:bookmarkStart w:id="96" w:name="_Toc166672283"/>
      <w:r>
        <w:rPr>
          <w:rStyle w:val="CharSectno"/>
        </w:rPr>
        <w:t>13B</w:t>
      </w:r>
      <w:r>
        <w:rPr>
          <w:snapToGrid w:val="0"/>
        </w:rPr>
        <w:t>.</w:t>
      </w:r>
      <w:r>
        <w:rPr>
          <w:snapToGrid w:val="0"/>
        </w:rPr>
        <w:tab/>
        <w:t>Notices as to renewal of leases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97" w:name="_Toc455636264"/>
      <w:bookmarkStart w:id="98" w:name="_Toc36375008"/>
      <w:bookmarkStart w:id="99" w:name="_Toc131386573"/>
      <w:bookmarkStart w:id="100" w:name="_Toc166672284"/>
      <w:r>
        <w:rPr>
          <w:rStyle w:val="CharSectno"/>
        </w:rPr>
        <w:t>14</w:t>
      </w:r>
      <w:r>
        <w:rPr>
          <w:snapToGrid w:val="0"/>
        </w:rPr>
        <w:t>.</w:t>
      </w:r>
      <w:r>
        <w:rPr>
          <w:snapToGrid w:val="0"/>
        </w:rPr>
        <w:tab/>
        <w:t>Compensation by landlord</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101" w:name="_Toc455636265"/>
      <w:bookmarkStart w:id="102" w:name="_Toc36375009"/>
      <w:bookmarkStart w:id="103" w:name="_Toc131386574"/>
      <w:bookmarkStart w:id="104" w:name="_Toc166672285"/>
      <w:r>
        <w:rPr>
          <w:rStyle w:val="CharSectno"/>
        </w:rPr>
        <w:t>15</w:t>
      </w:r>
      <w:r>
        <w:rPr>
          <w:snapToGrid w:val="0"/>
        </w:rPr>
        <w:t>.</w:t>
      </w:r>
      <w:r>
        <w:rPr>
          <w:snapToGrid w:val="0"/>
        </w:rPr>
        <w:tab/>
        <w:t>Act prevails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rPr>
          <w:rStyle w:val="CharPartText"/>
        </w:rPr>
      </w:pPr>
      <w:bookmarkStart w:id="105" w:name="_Toc166554214"/>
      <w:bookmarkStart w:id="106" w:name="_Toc166672286"/>
      <w:bookmarkStart w:id="107" w:name="_Toc89771367"/>
      <w:bookmarkStart w:id="108" w:name="_Toc92270405"/>
      <w:bookmarkStart w:id="109" w:name="_Toc92270701"/>
      <w:bookmarkStart w:id="110" w:name="_Toc92270737"/>
      <w:bookmarkStart w:id="111" w:name="_Toc122510571"/>
      <w:bookmarkStart w:id="112" w:name="_Toc131386575"/>
      <w:bookmarkStart w:id="113" w:name="_Toc147910669"/>
      <w:bookmarkStart w:id="114" w:name="_Toc147912704"/>
      <w:r>
        <w:rPr>
          <w:rStyle w:val="CharPartNo"/>
        </w:rPr>
        <w:t>Part IIA</w:t>
      </w:r>
      <w:r>
        <w:rPr>
          <w:b w:val="0"/>
        </w:rPr>
        <w:t> </w:t>
      </w:r>
      <w:r>
        <w:t>—</w:t>
      </w:r>
      <w:r>
        <w:rPr>
          <w:b w:val="0"/>
        </w:rPr>
        <w:t> </w:t>
      </w:r>
      <w:r>
        <w:rPr>
          <w:rStyle w:val="CharPartText"/>
        </w:rPr>
        <w:t>Unconscionable conduct</w:t>
      </w:r>
      <w:bookmarkEnd w:id="105"/>
      <w:bookmarkEnd w:id="106"/>
    </w:p>
    <w:p>
      <w:pPr>
        <w:pStyle w:val="Footnoteheading"/>
      </w:pPr>
      <w:r>
        <w:tab/>
        <w:t>[Heading inserted by No. 47 of 2006 s. 23.]</w:t>
      </w:r>
    </w:p>
    <w:p>
      <w:pPr>
        <w:pStyle w:val="Heading5"/>
      </w:pPr>
      <w:bookmarkStart w:id="115" w:name="_Toc166554215"/>
      <w:bookmarkStart w:id="116" w:name="_Toc166672287"/>
      <w:r>
        <w:rPr>
          <w:rStyle w:val="CharSectno"/>
        </w:rPr>
        <w:t>15A</w:t>
      </w:r>
      <w:r>
        <w:t>.</w:t>
      </w:r>
      <w:r>
        <w:tab/>
        <w:t>Terms used in this Part</w:t>
      </w:r>
      <w:bookmarkEnd w:id="115"/>
      <w:bookmarkEnd w:id="116"/>
    </w:p>
    <w:p>
      <w:pPr>
        <w:pStyle w:val="Subsection"/>
      </w:pPr>
      <w:r>
        <w:tab/>
      </w:r>
      <w:r>
        <w:tab/>
        <w:t xml:space="preserve">In this Part — </w:t>
      </w:r>
    </w:p>
    <w:p>
      <w:pPr>
        <w:pStyle w:val="Defstart"/>
      </w:pPr>
      <w:r>
        <w:rPr>
          <w:b/>
        </w:rPr>
        <w:tab/>
        <w:t>“</w:t>
      </w:r>
      <w:r>
        <w:rPr>
          <w:rStyle w:val="CharDefText"/>
        </w:rPr>
        <w:t>applicable industry code</w:t>
      </w:r>
      <w:r>
        <w:rPr>
          <w:b/>
        </w:rPr>
        <w:t>”</w:t>
      </w:r>
      <w:r>
        <w:t>, in relation to a person who is a participant in an industry, means the prescribed provisions of an industry code relating to the industry;</w:t>
      </w:r>
    </w:p>
    <w:p>
      <w:pPr>
        <w:pStyle w:val="Defstart"/>
        <w:rPr>
          <w:iCs/>
        </w:rPr>
      </w:pPr>
      <w:r>
        <w:rPr>
          <w:b/>
        </w:rPr>
        <w:tab/>
        <w:t>“</w:t>
      </w:r>
      <w:r>
        <w:rPr>
          <w:rStyle w:val="CharDefText"/>
        </w:rPr>
        <w:t>commencement</w:t>
      </w:r>
      <w:r>
        <w:rPr>
          <w:b/>
        </w:rPr>
        <w:t>”</w:t>
      </w:r>
      <w:r>
        <w:t xml:space="preserve"> means the commencement of section 23 of the </w:t>
      </w:r>
      <w:r>
        <w:rPr>
          <w:i/>
        </w:rPr>
        <w:t>Retail Shops and Fair Trading Legislation Amendment Act 2006</w:t>
      </w:r>
      <w:r>
        <w:rPr>
          <w:iCs/>
        </w:rPr>
        <w:t>;</w:t>
      </w:r>
    </w:p>
    <w:p>
      <w:pPr>
        <w:pStyle w:val="Defstart"/>
      </w:pPr>
      <w:r>
        <w:rPr>
          <w:b/>
        </w:rPr>
        <w:tab/>
        <w:t>“</w:t>
      </w:r>
      <w:r>
        <w:rPr>
          <w:rStyle w:val="CharDefText"/>
        </w:rPr>
        <w:t>fit out costs</w:t>
      </w:r>
      <w:r>
        <w:rPr>
          <w:b/>
        </w:rPr>
        <w:t>”</w:t>
      </w:r>
      <w:r>
        <w:t xml:space="preserve"> includes the costs of providing or installing finishes, fixtures, fittings, equipment and services;</w:t>
      </w:r>
    </w:p>
    <w:p>
      <w:pPr>
        <w:pStyle w:val="Defstart"/>
      </w:pPr>
      <w:r>
        <w:rPr>
          <w:b/>
        </w:rPr>
        <w:tab/>
        <w:t>“</w:t>
      </w:r>
      <w:r>
        <w:rPr>
          <w:rStyle w:val="CharDefText"/>
        </w:rPr>
        <w:t>industry code</w:t>
      </w:r>
      <w:r>
        <w:rPr>
          <w:b/>
        </w:rPr>
        <w:t>”</w:t>
      </w:r>
      <w:r>
        <w:t xml:space="preserve"> means a code regulating the conduct of participants in an industry towards other participants in the industry or towards consumers in the industry.</w:t>
      </w:r>
    </w:p>
    <w:p>
      <w:pPr>
        <w:pStyle w:val="Footnotesection"/>
      </w:pPr>
      <w:bookmarkStart w:id="117" w:name="_Toc166554216"/>
      <w:r>
        <w:tab/>
        <w:t>[Section 15A inserted by No. 47 of 2006 s. 23.]</w:t>
      </w:r>
    </w:p>
    <w:p>
      <w:pPr>
        <w:pStyle w:val="Heading5"/>
      </w:pPr>
      <w:bookmarkStart w:id="118" w:name="_Toc166672288"/>
      <w:r>
        <w:rPr>
          <w:rStyle w:val="CharSectno"/>
        </w:rPr>
        <w:t>15B</w:t>
      </w:r>
      <w:r>
        <w:t>.</w:t>
      </w:r>
      <w:r>
        <w:tab/>
        <w:t>Application of Part</w:t>
      </w:r>
      <w:bookmarkEnd w:id="117"/>
      <w:bookmarkEnd w:id="118"/>
    </w:p>
    <w:p>
      <w:pPr>
        <w:pStyle w:val="Subsection"/>
      </w:pPr>
      <w:r>
        <w:tab/>
        <w:t>(1)</w:t>
      </w:r>
      <w:r>
        <w:tab/>
        <w:t xml:space="preserve">In addition to a retail shop lease to which or in relation to which this Part would otherwise apply, this Part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pPr>
      <w:r>
        <w:tab/>
      </w:r>
      <w:r>
        <w:tab/>
        <w:t>if this Act would have applied to the lease had it been entered into on or after that day.</w:t>
      </w:r>
    </w:p>
    <w:p>
      <w:pPr>
        <w:pStyle w:val="Subsection"/>
      </w:pPr>
      <w:r>
        <w:tab/>
        <w:t>(2)</w:t>
      </w:r>
      <w:r>
        <w:tab/>
        <w:t>This Part does not apply to conduct that occurred before the commencement.</w:t>
      </w:r>
    </w:p>
    <w:p>
      <w:pPr>
        <w:pStyle w:val="Subsection"/>
      </w:pPr>
      <w:r>
        <w:tab/>
        <w:t>(3)</w:t>
      </w:r>
      <w:r>
        <w:tab/>
        <w:t xml:space="preserve">In subsection (1) — </w:t>
      </w:r>
    </w:p>
    <w:p>
      <w:pPr>
        <w:pStyle w:val="Defstart"/>
      </w:pPr>
      <w:r>
        <w:rPr>
          <w:b/>
        </w:rPr>
        <w:tab/>
        <w:t>“</w:t>
      </w:r>
      <w:r>
        <w:rPr>
          <w:rStyle w:val="CharDefText"/>
        </w:rPr>
        <w:t>relevant day</w:t>
      </w:r>
      <w:r>
        <w:rPr>
          <w:b/>
        </w:rPr>
        <w:t>”</w:t>
      </w:r>
      <w:r>
        <w:t xml:space="preserve"> has the meaning given to that term by section 4(3).</w:t>
      </w:r>
    </w:p>
    <w:p>
      <w:pPr>
        <w:pStyle w:val="Footnotesection"/>
      </w:pPr>
      <w:bookmarkStart w:id="119" w:name="_Toc166554217"/>
      <w:r>
        <w:tab/>
        <w:t>[Section 15B inserted by No. 47 of 2006 s. 23.]</w:t>
      </w:r>
    </w:p>
    <w:p>
      <w:pPr>
        <w:pStyle w:val="Heading5"/>
      </w:pPr>
      <w:bookmarkStart w:id="120" w:name="_Toc166672289"/>
      <w:r>
        <w:rPr>
          <w:rStyle w:val="CharSectno"/>
        </w:rPr>
        <w:t>15C</w:t>
      </w:r>
      <w:r>
        <w:t>.</w:t>
      </w:r>
      <w:r>
        <w:tab/>
        <w:t>Unconscionable conduct of landlords</w:t>
      </w:r>
      <w:bookmarkEnd w:id="119"/>
      <w:bookmarkEnd w:id="120"/>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21" w:name="_Toc166554218"/>
      <w:r>
        <w:tab/>
        <w:t>[Section 15C inserted by No. 47 of 2006 s. 23.]</w:t>
      </w:r>
    </w:p>
    <w:p>
      <w:pPr>
        <w:pStyle w:val="Heading5"/>
      </w:pPr>
      <w:bookmarkStart w:id="122" w:name="_Toc166672290"/>
      <w:r>
        <w:rPr>
          <w:rStyle w:val="CharSectno"/>
        </w:rPr>
        <w:t>15D</w:t>
      </w:r>
      <w:r>
        <w:t>.</w:t>
      </w:r>
      <w:r>
        <w:tab/>
        <w:t>Unconscionable conduct of tenants</w:t>
      </w:r>
      <w:bookmarkEnd w:id="121"/>
      <w:bookmarkEnd w:id="122"/>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23" w:name="_Toc166554219"/>
      <w:r>
        <w:tab/>
        <w:t>[Section 15D inserted by No. 47 of 2006 s. 23.]</w:t>
      </w:r>
    </w:p>
    <w:p>
      <w:pPr>
        <w:pStyle w:val="Heading5"/>
      </w:pPr>
      <w:bookmarkStart w:id="124" w:name="_Toc166672291"/>
      <w:r>
        <w:rPr>
          <w:rStyle w:val="CharSectno"/>
        </w:rPr>
        <w:t>15E</w:t>
      </w:r>
      <w:r>
        <w:t>.</w:t>
      </w:r>
      <w:r>
        <w:tab/>
        <w:t>Certain conduct not unconscionable</w:t>
      </w:r>
      <w:bookmarkEnd w:id="123"/>
      <w:bookmarkEnd w:id="124"/>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125" w:name="_Toc166554220"/>
      <w:r>
        <w:tab/>
        <w:t>[Section 15E inserted by No. 47 of 2006 s. 23.]</w:t>
      </w:r>
    </w:p>
    <w:p>
      <w:pPr>
        <w:pStyle w:val="Heading5"/>
      </w:pPr>
      <w:bookmarkStart w:id="126" w:name="_Toc166672292"/>
      <w:r>
        <w:rPr>
          <w:rStyle w:val="CharSectno"/>
        </w:rPr>
        <w:t>15F</w:t>
      </w:r>
      <w:r>
        <w:t>.</w:t>
      </w:r>
      <w:r>
        <w:tab/>
        <w:t>Powers of Tribunal relating to unconscionable conduct</w:t>
      </w:r>
      <w:bookmarkEnd w:id="125"/>
      <w:bookmarkEnd w:id="126"/>
    </w:p>
    <w:p>
      <w:pPr>
        <w:pStyle w:val="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t>“</w:t>
      </w:r>
      <w:r>
        <w:rPr>
          <w:rStyle w:val="CharDefText"/>
        </w:rPr>
        <w:t>specified</w:t>
      </w:r>
      <w:r>
        <w:rPr>
          <w:b/>
        </w:rPr>
        <w:t>”</w:t>
      </w:r>
      <w:r>
        <w:t>, in relation to an order, means specified in the order.</w:t>
      </w:r>
    </w:p>
    <w:p>
      <w:pPr>
        <w:pStyle w:val="Footnotesection"/>
      </w:pPr>
      <w:r>
        <w:tab/>
        <w:t>[Section 15F inserted by No. 47 of 2006 s. 23.]</w:t>
      </w:r>
    </w:p>
    <w:p>
      <w:pPr>
        <w:pStyle w:val="Heading2"/>
      </w:pPr>
      <w:bookmarkStart w:id="127" w:name="_Toc166672293"/>
      <w:r>
        <w:rPr>
          <w:rStyle w:val="CharPartNo"/>
        </w:rPr>
        <w:t>Part III</w:t>
      </w:r>
      <w:r>
        <w:rPr>
          <w:rStyle w:val="CharDivNo"/>
        </w:rPr>
        <w:t> </w:t>
      </w:r>
      <w:r>
        <w:t>—</w:t>
      </w:r>
      <w:r>
        <w:rPr>
          <w:rStyle w:val="CharDivText"/>
        </w:rPr>
        <w:t> </w:t>
      </w:r>
      <w:r>
        <w:rPr>
          <w:rStyle w:val="CharPartText"/>
        </w:rPr>
        <w:t>Determination of questions</w:t>
      </w:r>
      <w:bookmarkEnd w:id="107"/>
      <w:bookmarkEnd w:id="108"/>
      <w:bookmarkEnd w:id="109"/>
      <w:bookmarkEnd w:id="110"/>
      <w:bookmarkEnd w:id="111"/>
      <w:bookmarkEnd w:id="112"/>
      <w:bookmarkEnd w:id="113"/>
      <w:bookmarkEnd w:id="114"/>
      <w:bookmarkEnd w:id="127"/>
      <w:r>
        <w:rPr>
          <w:rStyle w:val="CharPartText"/>
        </w:rPr>
        <w:t xml:space="preserve"> </w:t>
      </w:r>
    </w:p>
    <w:p>
      <w:pPr>
        <w:pStyle w:val="Heading5"/>
        <w:rPr>
          <w:snapToGrid w:val="0"/>
        </w:rPr>
      </w:pPr>
      <w:bookmarkStart w:id="128" w:name="_Toc455636266"/>
      <w:bookmarkStart w:id="129" w:name="_Toc36375010"/>
      <w:bookmarkStart w:id="130" w:name="_Toc131386576"/>
      <w:bookmarkStart w:id="131" w:name="_Toc166672294"/>
      <w:r>
        <w:rPr>
          <w:rStyle w:val="CharSectno"/>
        </w:rPr>
        <w:t>16</w:t>
      </w:r>
      <w:r>
        <w:rPr>
          <w:snapToGrid w:val="0"/>
        </w:rPr>
        <w:t>.</w:t>
      </w:r>
      <w:r>
        <w:rPr>
          <w:snapToGrid w:val="0"/>
        </w:rPr>
        <w:tab/>
        <w:t xml:space="preserve">Reference of questions to </w:t>
      </w:r>
      <w:bookmarkEnd w:id="128"/>
      <w:bookmarkEnd w:id="129"/>
      <w:bookmarkEnd w:id="130"/>
      <w:r>
        <w:rPr>
          <w:snapToGrid w:val="0"/>
        </w:rPr>
        <w:t>State Administrative Tribunal</w:t>
      </w:r>
      <w:bookmarkEnd w:id="131"/>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rPr>
          <w:snapToGrid w:val="0"/>
        </w:rPr>
      </w:pPr>
      <w:r>
        <w:rPr>
          <w:snapToGrid w:val="0"/>
        </w:rPr>
        <w:tab/>
        <w:t>(b)</w:t>
      </w:r>
      <w:r>
        <w:rPr>
          <w:snapToGrid w:val="0"/>
        </w:rPr>
        <w:tab/>
        <w:t>if it is such a question, hear the question with a view to achieving a solution acceptable to the parties to the lease.</w:t>
      </w:r>
    </w:p>
    <w:p>
      <w:pPr>
        <w:pStyle w:val="Subsection"/>
        <w:rPr>
          <w:snapToGrid w:val="0"/>
        </w:rPr>
      </w:pPr>
      <w:r>
        <w:rPr>
          <w:snapToGrid w:val="0"/>
        </w:rPr>
        <w:tab/>
        <w:t>(2)</w:t>
      </w:r>
      <w:r>
        <w:rPr>
          <w:snapToGrid w:val="0"/>
        </w:rPr>
        <w:tab/>
        <w:t>The matter for determination referred to in subsection (1)(a) — </w:t>
      </w:r>
    </w:p>
    <w:p>
      <w:pPr>
        <w:pStyle w:val="Indenta"/>
        <w:rPr>
          <w:snapToGrid w:val="0"/>
        </w:rPr>
      </w:pPr>
      <w:r>
        <w:rPr>
          <w:snapToGrid w:val="0"/>
        </w:rPr>
        <w:tab/>
        <w:t>(a)</w:t>
      </w:r>
      <w:r>
        <w:rPr>
          <w:snapToGrid w:val="0"/>
        </w:rPr>
        <w:tab/>
        <w:t>may be determined by the Tribunal in such manner as it thinks fit, subject to each party being given an opportunity to make a written submission; and</w:t>
      </w:r>
    </w:p>
    <w:p>
      <w:pPr>
        <w:pStyle w:val="Indenta"/>
        <w:rPr>
          <w:snapToGrid w:val="0"/>
        </w:rPr>
      </w:pPr>
      <w:r>
        <w:rPr>
          <w:snapToGrid w:val="0"/>
        </w:rPr>
        <w:tab/>
        <w:t>(b)</w:t>
      </w:r>
      <w:r>
        <w:rPr>
          <w:snapToGrid w:val="0"/>
        </w:rPr>
        <w:tab/>
        <w:t xml:space="preserve">for the purposes of </w:t>
      </w:r>
      <w:r>
        <w:t>section</w:t>
      </w:r>
      <w:r>
        <w:rPr>
          <w:snapToGrid w:val="0"/>
        </w:rPr>
        <w:t xml:space="preserve"> 27, is deemed to be a question referred to the Tribunal.</w:t>
      </w:r>
    </w:p>
    <w:p>
      <w:pPr>
        <w:pStyle w:val="Subsection"/>
      </w:pPr>
      <w:r>
        <w:tab/>
        <w:t>(3)</w:t>
      </w:r>
      <w:r>
        <w:tab/>
      </w:r>
      <w:r>
        <w:rPr>
          <w:snapToGrid w:val="0"/>
        </w:rPr>
        <w:t xml:space="preserve">Nothing in this section prevents a matter or question from being dealt with through a compulsory conference or mediation process under the </w:t>
      </w:r>
      <w:r>
        <w:rPr>
          <w:i/>
          <w:snapToGrid w:val="0"/>
        </w:rPr>
        <w:t>State Administrative Tribunal Act 2004</w:t>
      </w:r>
      <w:r>
        <w:rPr>
          <w:snapToGrid w:val="0"/>
        </w:rPr>
        <w:t>.</w:t>
      </w:r>
    </w:p>
    <w:p>
      <w:pPr>
        <w:pStyle w:val="Footnotesection"/>
      </w:pPr>
      <w:r>
        <w:tab/>
        <w:t xml:space="preserve">[Section 16 inserted by No. 48 of 1990 s.14; amended by No. 55 of 2004 s. 127; No. 47 of 2006 s. 25.] </w:t>
      </w:r>
    </w:p>
    <w:p>
      <w:pPr>
        <w:pStyle w:val="Ednotesection"/>
      </w:pPr>
      <w:r>
        <w:t>[</w:t>
      </w:r>
      <w:r>
        <w:rPr>
          <w:b/>
        </w:rPr>
        <w:t>17.</w:t>
      </w:r>
      <w:r>
        <w:tab/>
        <w:t xml:space="preserve">Repealed by No. 48 of 1990 s.14.] </w:t>
      </w:r>
    </w:p>
    <w:p>
      <w:pPr>
        <w:pStyle w:val="Ednotesection"/>
      </w:pPr>
      <w:r>
        <w:t>[</w:t>
      </w:r>
      <w:r>
        <w:rPr>
          <w:b/>
        </w:rPr>
        <w:t>18-25.</w:t>
      </w:r>
      <w:r>
        <w:tab/>
        <w:t>Repealed by No. 55 of 2004 s. 128.]</w:t>
      </w:r>
    </w:p>
    <w:p>
      <w:pPr>
        <w:pStyle w:val="Heading5"/>
        <w:spacing w:before="120"/>
        <w:rPr>
          <w:snapToGrid w:val="0"/>
        </w:rPr>
      </w:pPr>
      <w:bookmarkStart w:id="132" w:name="_Toc455636275"/>
      <w:bookmarkStart w:id="133" w:name="_Toc36375019"/>
      <w:bookmarkStart w:id="134" w:name="_Toc131386577"/>
      <w:bookmarkStart w:id="135" w:name="_Toc166672295"/>
      <w:r>
        <w:rPr>
          <w:rStyle w:val="CharSectno"/>
        </w:rPr>
        <w:t>26</w:t>
      </w:r>
      <w:r>
        <w:rPr>
          <w:snapToGrid w:val="0"/>
        </w:rPr>
        <w:t>.</w:t>
      </w:r>
      <w:r>
        <w:rPr>
          <w:snapToGrid w:val="0"/>
        </w:rPr>
        <w:tab/>
        <w:t>Orders of Tribunal</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an order that requires a party to proceedings before it to pay money to a person specified in the order;</w:t>
      </w:r>
    </w:p>
    <w:p>
      <w:pPr>
        <w:pStyle w:val="Indenta"/>
        <w:rPr>
          <w:snapToGrid w:val="0"/>
        </w:rPr>
      </w:pPr>
      <w:r>
        <w:rPr>
          <w:snapToGrid w:val="0"/>
        </w:rPr>
        <w:tab/>
        <w:t>(b)</w:t>
      </w:r>
      <w:r>
        <w:rPr>
          <w:snapToGrid w:val="0"/>
        </w:rPr>
        <w:tab/>
        <w:t>an order for a party to proceedings before it to do, or refrain from doing, anything specified in the order; or</w:t>
      </w:r>
    </w:p>
    <w:p>
      <w:pPr>
        <w:pStyle w:val="Indenta"/>
        <w:rPr>
          <w:snapToGrid w:val="0"/>
        </w:rPr>
      </w:pPr>
      <w:r>
        <w:rPr>
          <w:snapToGrid w:val="0"/>
        </w:rPr>
        <w:tab/>
        <w:t>(c)</w:t>
      </w:r>
      <w:r>
        <w:rPr>
          <w:snapToGrid w:val="0"/>
        </w:rPr>
        <w:tab/>
        <w:t>an order dismissing proceedings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repealed]</w:t>
      </w:r>
    </w:p>
    <w:p>
      <w:pPr>
        <w:pStyle w:val="Subsection"/>
        <w:spacing w:before="100"/>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Ednotesubsection"/>
      </w:pPr>
      <w:r>
        <w:tab/>
        <w:t>[(4)</w:t>
      </w:r>
      <w:r>
        <w:tab/>
        <w:t>repealed]</w:t>
      </w:r>
    </w:p>
    <w:p>
      <w:pPr>
        <w:pStyle w:val="Footnotesection"/>
      </w:pPr>
      <w:r>
        <w:tab/>
        <w:t xml:space="preserve">[Section 26 amended by No. 48 of 1990 s.20; No. 66 of 1998 s.11; No. 55 of 2004 s. 129.] </w:t>
      </w:r>
    </w:p>
    <w:p>
      <w:pPr>
        <w:pStyle w:val="Heading5"/>
        <w:spacing w:before="120"/>
        <w:rPr>
          <w:snapToGrid w:val="0"/>
        </w:rPr>
      </w:pPr>
      <w:bookmarkStart w:id="136" w:name="_Toc455636276"/>
      <w:bookmarkStart w:id="137" w:name="_Toc36375020"/>
      <w:bookmarkStart w:id="138" w:name="_Toc131386578"/>
      <w:bookmarkStart w:id="139" w:name="_Toc166672296"/>
      <w:r>
        <w:rPr>
          <w:rStyle w:val="CharSectno"/>
        </w:rPr>
        <w:t>27</w:t>
      </w:r>
      <w:r>
        <w:rPr>
          <w:snapToGrid w:val="0"/>
        </w:rPr>
        <w:t>.</w:t>
      </w:r>
      <w:r>
        <w:rPr>
          <w:snapToGrid w:val="0"/>
        </w:rPr>
        <w:tab/>
        <w:t>Other jurisdictions</w:t>
      </w:r>
      <w:bookmarkEnd w:id="136"/>
      <w:bookmarkEnd w:id="137"/>
      <w:bookmarkEnd w:id="138"/>
      <w:bookmarkEnd w:id="139"/>
      <w:r>
        <w:rPr>
          <w:snapToGrid w:val="0"/>
        </w:rPr>
        <w:t xml:space="preserve"> </w:t>
      </w:r>
    </w:p>
    <w:p>
      <w:pPr>
        <w:pStyle w:val="Subsection"/>
        <w:spacing w:before="100"/>
        <w:rPr>
          <w:snapToGrid w:val="0"/>
        </w:rPr>
      </w:pPr>
      <w:r>
        <w:rPr>
          <w:snapToGrid w:val="0"/>
        </w:rPr>
        <w:tab/>
        <w:t>(1)</w:t>
      </w:r>
      <w:r>
        <w:rPr>
          <w:snapToGrid w:val="0"/>
        </w:rPr>
        <w:tab/>
        <w:t>Where this Act provides for the reference of a question to the Tribunal and the question is one that a court also has jurisdiction to determine, proceedings may be instituted to determine the question either — </w:t>
      </w:r>
    </w:p>
    <w:p>
      <w:pPr>
        <w:pStyle w:val="Indenta"/>
        <w:rPr>
          <w:snapToGrid w:val="0"/>
        </w:rPr>
      </w:pPr>
      <w:r>
        <w:rPr>
          <w:snapToGrid w:val="0"/>
        </w:rPr>
        <w:tab/>
        <w:t>(a)</w:t>
      </w:r>
      <w:r>
        <w:rPr>
          <w:snapToGrid w:val="0"/>
        </w:rPr>
        <w:tab/>
        <w:t>before the court; or</w:t>
      </w:r>
    </w:p>
    <w:p>
      <w:pPr>
        <w:pStyle w:val="Indenta"/>
        <w:rPr>
          <w:snapToGrid w:val="0"/>
        </w:rPr>
      </w:pPr>
      <w:r>
        <w:rPr>
          <w:snapToGrid w:val="0"/>
        </w:rPr>
        <w:tab/>
        <w:t>(b)</w:t>
      </w:r>
      <w:r>
        <w:rPr>
          <w:snapToGrid w:val="0"/>
        </w:rPr>
        <w:tab/>
        <w:t>by way of a reference to the Tribunal,</w:t>
      </w:r>
    </w:p>
    <w:p>
      <w:pPr>
        <w:pStyle w:val="Subsection"/>
        <w:rPr>
          <w:snapToGrid w:val="0"/>
        </w:rPr>
      </w:pPr>
      <w:r>
        <w:rPr>
          <w:snapToGrid w:val="0"/>
        </w:rPr>
        <w:tab/>
      </w:r>
      <w:r>
        <w:rPr>
          <w:snapToGrid w:val="0"/>
        </w:rPr>
        <w:tab/>
        <w:t>but not both.</w:t>
      </w:r>
    </w:p>
    <w:p>
      <w:pPr>
        <w:pStyle w:val="Subsection"/>
        <w:spacing w:before="100"/>
        <w:rPr>
          <w:snapToGrid w:val="0"/>
        </w:rPr>
      </w:pPr>
      <w:r>
        <w:rPr>
          <w:snapToGrid w:val="0"/>
        </w:rPr>
        <w:tab/>
        <w:t>(2)</w:t>
      </w:r>
      <w:r>
        <w:rPr>
          <w:snapToGrid w:val="0"/>
        </w:rPr>
        <w:tab/>
        <w:t>Where proceedings are instituted in, or are before, a court for the determination of a question that, but for subsection (1), could be referred to the Tribunal the question shall — </w:t>
      </w:r>
    </w:p>
    <w:p>
      <w:pPr>
        <w:pStyle w:val="Indenta"/>
        <w:rPr>
          <w:snapToGrid w:val="0"/>
        </w:rPr>
      </w:pPr>
      <w:r>
        <w:rPr>
          <w:snapToGrid w:val="0"/>
        </w:rPr>
        <w:tab/>
        <w:t>(a)</w:t>
      </w:r>
      <w:r>
        <w:rPr>
          <w:snapToGrid w:val="0"/>
        </w:rPr>
        <w:tab/>
        <w:t>if all parties to the proceedings so agree; or</w:t>
      </w:r>
    </w:p>
    <w:p>
      <w:pPr>
        <w:pStyle w:val="Indenta"/>
        <w:rPr>
          <w:snapToGrid w:val="0"/>
        </w:rPr>
      </w:pPr>
      <w:r>
        <w:rPr>
          <w:snapToGrid w:val="0"/>
        </w:rPr>
        <w:tab/>
        <w:t>(b)</w:t>
      </w:r>
      <w:r>
        <w:rPr>
          <w:snapToGrid w:val="0"/>
        </w:rPr>
        <w:tab/>
        <w:t>if the court of its own motion or on the application of a party so directs,</w:t>
      </w:r>
    </w:p>
    <w:p>
      <w:pPr>
        <w:pStyle w:val="Subsection"/>
        <w:spacing w:before="100"/>
        <w:rPr>
          <w:snapToGrid w:val="0"/>
        </w:rPr>
      </w:pPr>
      <w:r>
        <w:rPr>
          <w:snapToGrid w:val="0"/>
        </w:rPr>
        <w:tab/>
      </w:r>
      <w:r>
        <w:rPr>
          <w:snapToGrid w:val="0"/>
        </w:rPr>
        <w:tab/>
        <w:t>be transferred to the Tribunal and shall be disposed of as if the question had been referred to the Tribunal under this Act.</w:t>
      </w:r>
    </w:p>
    <w:p>
      <w:pPr>
        <w:pStyle w:val="Subsection"/>
        <w:rPr>
          <w:snapToGrid w:val="0"/>
        </w:rPr>
      </w:pPr>
      <w:r>
        <w:rPr>
          <w:snapToGrid w:val="0"/>
        </w:rPr>
        <w:tab/>
        <w:t>(3)</w:t>
      </w:r>
      <w:r>
        <w:rPr>
          <w:snapToGrid w:val="0"/>
        </w:rPr>
        <w:tab/>
        <w:t xml:space="preserve">Where a question has been referred to the Tribunal under this Act and the question is one that a court also has jurisdiction to determine, the proceedings for the determination of the question shall — </w:t>
      </w:r>
    </w:p>
    <w:p>
      <w:pPr>
        <w:pStyle w:val="Indenta"/>
        <w:rPr>
          <w:snapToGrid w:val="0"/>
        </w:rPr>
      </w:pPr>
      <w:r>
        <w:rPr>
          <w:snapToGrid w:val="0"/>
        </w:rPr>
        <w:tab/>
        <w:t>(a)</w:t>
      </w:r>
      <w:r>
        <w:rPr>
          <w:snapToGrid w:val="0"/>
        </w:rPr>
        <w:tab/>
        <w:t>if all the parties to the proceedings so agree; or</w:t>
      </w:r>
    </w:p>
    <w:p>
      <w:pPr>
        <w:pStyle w:val="Indenta"/>
        <w:rPr>
          <w:snapToGrid w:val="0"/>
        </w:rPr>
      </w:pPr>
      <w:r>
        <w:rPr>
          <w:snapToGrid w:val="0"/>
        </w:rPr>
        <w:tab/>
        <w:t>(b)</w:t>
      </w:r>
      <w:r>
        <w:rPr>
          <w:snapToGrid w:val="0"/>
        </w:rPr>
        <w:tab/>
        <w:t>if, on the application of a party or of its own motion, the Tribunal so directs,</w:t>
      </w:r>
    </w:p>
    <w:p>
      <w:pPr>
        <w:pStyle w:val="Subsection"/>
        <w:rPr>
          <w:snapToGrid w:val="0"/>
        </w:rPr>
      </w:pPr>
      <w:r>
        <w:rPr>
          <w:snapToGrid w:val="0"/>
        </w:rPr>
        <w:tab/>
      </w:r>
      <w:r>
        <w:rPr>
          <w:snapToGrid w:val="0"/>
        </w:rPr>
        <w:tab/>
        <w:t>be transferred to the court and shall be disposed of as if the proceedings had been instituted before the court.</w:t>
      </w:r>
    </w:p>
    <w:p>
      <w:pPr>
        <w:pStyle w:val="Subsection"/>
      </w:pPr>
      <w:r>
        <w:tab/>
        <w:t>(4)</w:t>
      </w:r>
      <w:r>
        <w:tab/>
        <w:t xml:space="preserve">Where — </w:t>
      </w:r>
    </w:p>
    <w:p>
      <w:pPr>
        <w:pStyle w:val="Indenta"/>
      </w:pPr>
      <w:r>
        <w:tab/>
        <w:t>(a)</w:t>
      </w:r>
      <w:r>
        <w:tab/>
        <w:t>an unconscionable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the unconscionable conduct application, or the part of that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unconscionable conduct application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w:t>
      </w:r>
    </w:p>
    <w:p>
      <w:pPr>
        <w:pStyle w:val="Heading2"/>
      </w:pPr>
      <w:bookmarkStart w:id="140" w:name="_Toc89771379"/>
      <w:bookmarkStart w:id="141" w:name="_Toc92270409"/>
      <w:bookmarkStart w:id="142" w:name="_Toc92270705"/>
      <w:bookmarkStart w:id="143" w:name="_Toc92270741"/>
      <w:bookmarkStart w:id="144" w:name="_Toc122510575"/>
      <w:bookmarkStart w:id="145" w:name="_Toc131386579"/>
      <w:bookmarkStart w:id="146" w:name="_Toc147910673"/>
      <w:bookmarkStart w:id="147" w:name="_Toc147912708"/>
      <w:bookmarkStart w:id="148" w:name="_Toc166672297"/>
      <w:r>
        <w:rPr>
          <w:rStyle w:val="CharPartNo"/>
        </w:rPr>
        <w:t>Part IV</w:t>
      </w:r>
      <w:r>
        <w:rPr>
          <w:rStyle w:val="CharDivNo"/>
        </w:rPr>
        <w:t> </w:t>
      </w:r>
      <w:r>
        <w:t>—</w:t>
      </w:r>
      <w:r>
        <w:rPr>
          <w:rStyle w:val="CharDivText"/>
        </w:rPr>
        <w:t> </w:t>
      </w:r>
      <w:r>
        <w:rPr>
          <w:rStyle w:val="CharPartText"/>
        </w:rPr>
        <w:t>Miscellaneous</w:t>
      </w:r>
      <w:bookmarkEnd w:id="140"/>
      <w:bookmarkEnd w:id="141"/>
      <w:bookmarkEnd w:id="142"/>
      <w:bookmarkEnd w:id="143"/>
      <w:bookmarkEnd w:id="144"/>
      <w:bookmarkEnd w:id="145"/>
      <w:bookmarkEnd w:id="146"/>
      <w:bookmarkEnd w:id="147"/>
      <w:bookmarkEnd w:id="148"/>
      <w:r>
        <w:rPr>
          <w:rStyle w:val="CharPartText"/>
        </w:rPr>
        <w:t xml:space="preserve"> </w:t>
      </w:r>
    </w:p>
    <w:p>
      <w:pPr>
        <w:pStyle w:val="Heading5"/>
        <w:spacing w:before="120"/>
        <w:rPr>
          <w:snapToGrid w:val="0"/>
        </w:rPr>
      </w:pPr>
      <w:bookmarkStart w:id="149" w:name="_Toc455636277"/>
      <w:bookmarkStart w:id="150" w:name="_Toc36375021"/>
      <w:bookmarkStart w:id="151" w:name="_Toc131386580"/>
      <w:bookmarkStart w:id="152" w:name="_Toc166672298"/>
      <w:r>
        <w:rPr>
          <w:rStyle w:val="CharSectno"/>
        </w:rPr>
        <w:t>28</w:t>
      </w:r>
      <w:r>
        <w:rPr>
          <w:snapToGrid w:val="0"/>
        </w:rPr>
        <w:t>.</w:t>
      </w:r>
      <w:r>
        <w:rPr>
          <w:snapToGrid w:val="0"/>
        </w:rPr>
        <w:tab/>
        <w:t>Protection</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pPr>
      <w:r>
        <w:t>[</w:t>
      </w:r>
      <w:r>
        <w:rPr>
          <w:b/>
        </w:rPr>
        <w:t>29.</w:t>
      </w:r>
      <w:r>
        <w:tab/>
        <w:t>Repealed by No. 55 of 2004 s. 131.]</w:t>
      </w:r>
    </w:p>
    <w:p>
      <w:pPr>
        <w:pStyle w:val="Heading5"/>
        <w:spacing w:before="120"/>
        <w:rPr>
          <w:snapToGrid w:val="0"/>
        </w:rPr>
      </w:pPr>
      <w:bookmarkStart w:id="153" w:name="_Toc455636279"/>
      <w:bookmarkStart w:id="154" w:name="_Toc36375023"/>
      <w:bookmarkStart w:id="155" w:name="_Toc131386581"/>
      <w:bookmarkStart w:id="156" w:name="_Toc166672299"/>
      <w:r>
        <w:rPr>
          <w:rStyle w:val="CharSectno"/>
        </w:rPr>
        <w:t>30</w:t>
      </w:r>
      <w:r>
        <w:rPr>
          <w:snapToGrid w:val="0"/>
        </w:rPr>
        <w:t>.</w:t>
      </w:r>
      <w:r>
        <w:rPr>
          <w:snapToGrid w:val="0"/>
        </w:rPr>
        <w:tab/>
        <w:t>Regulations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rPr>
          <w:snapToGrid w:val="0"/>
        </w:rPr>
      </w:pPr>
      <w:bookmarkStart w:id="157" w:name="_Toc455636280"/>
      <w:bookmarkStart w:id="158" w:name="_Toc36375024"/>
      <w:bookmarkStart w:id="159" w:name="_Toc131386582"/>
      <w:bookmarkStart w:id="160" w:name="_Toc166672300"/>
      <w:r>
        <w:rPr>
          <w:rStyle w:val="CharSectno"/>
        </w:rPr>
        <w:t>31</w:t>
      </w:r>
      <w:r>
        <w:rPr>
          <w:snapToGrid w:val="0"/>
        </w:rPr>
        <w:t>.</w:t>
      </w:r>
      <w:r>
        <w:rPr>
          <w:snapToGrid w:val="0"/>
        </w:rPr>
        <w:tab/>
        <w:t>Review of Act</w:t>
      </w:r>
      <w:bookmarkEnd w:id="157"/>
      <w:bookmarkEnd w:id="158"/>
      <w:bookmarkEnd w:id="159"/>
      <w:bookmarkEnd w:id="160"/>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rPr>
        <w:t>.</w:t>
      </w:r>
    </w:p>
    <w:p>
      <w:pPr>
        <w:pStyle w:val="Subsection"/>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61" w:name="_Toc89771384"/>
      <w:bookmarkStart w:id="162" w:name="_Toc92270413"/>
      <w:bookmarkStart w:id="163" w:name="_Toc92270709"/>
      <w:bookmarkStart w:id="164" w:name="_Toc92270745"/>
      <w:bookmarkStart w:id="165" w:name="_Toc122510579"/>
      <w:bookmarkStart w:id="166" w:name="_Toc131386583"/>
      <w:bookmarkStart w:id="167" w:name="_Toc147910677"/>
      <w:bookmarkStart w:id="168" w:name="_Toc147912712"/>
      <w:bookmarkStart w:id="169" w:name="_Toc166672301"/>
      <w:r>
        <w:t>Notes</w:t>
      </w:r>
      <w:bookmarkEnd w:id="161"/>
      <w:bookmarkEnd w:id="162"/>
      <w:bookmarkEnd w:id="163"/>
      <w:bookmarkEnd w:id="164"/>
      <w:bookmarkEnd w:id="165"/>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snapToGrid w:val="0"/>
        </w:rPr>
        <w:t>Commercial Tenancy (Retail Shops) Agreements Act 1985</w:t>
      </w:r>
      <w:r>
        <w:rPr>
          <w:snapToGrid w:val="0"/>
        </w:rPr>
        <w:t xml:space="preserve"> and includes the amendments made by the other written laws referred to in the following table. </w:t>
      </w:r>
    </w:p>
    <w:p>
      <w:pPr>
        <w:pStyle w:val="nHeading3"/>
        <w:rPr>
          <w:snapToGrid w:val="0"/>
        </w:rPr>
      </w:pPr>
      <w:bookmarkStart w:id="170" w:name="_Toc131386584"/>
      <w:bookmarkStart w:id="171" w:name="_Toc166672302"/>
      <w:r>
        <w:rPr>
          <w:snapToGrid w:val="0"/>
        </w:rPr>
        <w:t>Compilation table</w:t>
      </w:r>
      <w:bookmarkEnd w:id="170"/>
      <w:bookmarkEnd w:id="1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Proclaimed 1 Sep 1985 (see section 2 and </w:t>
            </w:r>
            <w:r>
              <w:rPr>
                <w:i/>
                <w:sz w:val="19"/>
              </w:rPr>
              <w:t>Gazette</w:t>
            </w:r>
            <w:r>
              <w:rPr>
                <w:sz w:val="19"/>
              </w:rPr>
              <w:t xml:space="preserve"> 30 Aug 1985 p.3065)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section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3</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section 2)</w:t>
            </w:r>
          </w:p>
        </w:tc>
      </w:tr>
      <w:tr>
        <w:trPr>
          <w:cantSplit/>
        </w:trPr>
        <w:tc>
          <w:tcPr>
            <w:tcW w:w="2268" w:type="dxa"/>
          </w:tcPr>
          <w:p>
            <w:pPr>
              <w:pStyle w:val="nTable"/>
              <w:spacing w:after="40"/>
              <w:ind w:right="113"/>
              <w:rPr>
                <w:sz w:val="19"/>
              </w:rPr>
            </w:pPr>
            <w:r>
              <w:rPr>
                <w:i/>
                <w:sz w:val="19"/>
              </w:rPr>
              <w:t>Acts Amendment (Franchise Fees) Act 1997,</w:t>
            </w:r>
          </w:p>
          <w:p>
            <w:pPr>
              <w:pStyle w:val="nTable"/>
              <w:spacing w:after="40"/>
              <w:ind w:right="113"/>
              <w:rPr>
                <w:sz w:val="19"/>
              </w:rPr>
            </w:pPr>
            <w:r>
              <w:rPr>
                <w:sz w:val="19"/>
              </w:rPr>
              <w:t>Part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Proclaimed 31 Jan 1998 (see section 2 and </w:t>
            </w:r>
            <w:r>
              <w:rPr>
                <w:i/>
                <w:sz w:val="19"/>
              </w:rPr>
              <w:t>Gazette</w:t>
            </w:r>
            <w:r>
              <w:rPr>
                <w:sz w:val="19"/>
              </w:rPr>
              <w:t xml:space="preserve"> 30 Jan 1998 p.577)</w:t>
            </w:r>
          </w:p>
        </w:tc>
      </w:tr>
      <w:tr>
        <w:trPr>
          <w:cantSplit/>
        </w:trPr>
        <w:tc>
          <w:tcPr>
            <w:tcW w:w="2268" w:type="dxa"/>
          </w:tcPr>
          <w:p>
            <w:pPr>
              <w:pStyle w:val="nTable"/>
              <w:spacing w:after="40"/>
              <w:ind w:right="113"/>
              <w:rPr>
                <w:sz w:val="19"/>
              </w:rPr>
            </w:pPr>
            <w:r>
              <w:rPr>
                <w:i/>
                <w:sz w:val="19"/>
              </w:rPr>
              <w:t>Lotteries Commission Amendment Act 1998</w:t>
            </w:r>
            <w:r>
              <w:rPr>
                <w:sz w:val="19"/>
              </w:rPr>
              <w:t>,</w:t>
            </w:r>
          </w:p>
          <w:p>
            <w:pPr>
              <w:pStyle w:val="nTable"/>
              <w:spacing w:after="40"/>
              <w:ind w:right="113"/>
              <w:rPr>
                <w:sz w:val="19"/>
              </w:rPr>
            </w:pPr>
            <w:r>
              <w:rPr>
                <w:sz w:val="19"/>
              </w:rPr>
              <w:t>section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Proclaimed 22 Jul 1998 (see section 2 and </w:t>
            </w:r>
            <w:r>
              <w:rPr>
                <w:i/>
                <w:sz w:val="19"/>
              </w:rPr>
              <w:t>Gazette</w:t>
            </w:r>
            <w:r>
              <w:rPr>
                <w:sz w:val="19"/>
              </w:rPr>
              <w:t xml:space="preserve"> 21 Jul 1998 p.3825)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4</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Proclaimed 1 Jul 1999 (see section 2 and </w:t>
            </w:r>
            <w:r>
              <w:rPr>
                <w:i/>
                <w:sz w:val="19"/>
              </w:rPr>
              <w:t>Gazette</w:t>
            </w:r>
            <w:r>
              <w:rPr>
                <w:sz w:val="19"/>
              </w:rPr>
              <w:t xml:space="preserve"> 18 Jun 1999 p.2629)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w:t>
            </w:r>
          </w:p>
          <w:p>
            <w:pPr>
              <w:pStyle w:val="nTable"/>
              <w:spacing w:after="40"/>
              <w:ind w:right="113"/>
              <w:rPr>
                <w:sz w:val="19"/>
              </w:rPr>
            </w:pPr>
            <w:r>
              <w:rPr>
                <w:sz w:val="19"/>
              </w:rPr>
              <w:t>section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Proclaimed 1 Jul 1999 (see section 2(1) and </w:t>
            </w:r>
            <w:r>
              <w:rPr>
                <w:i/>
                <w:sz w:val="19"/>
              </w:rPr>
              <w:t>Gazette</w:t>
            </w:r>
            <w:r>
              <w:rPr>
                <w:sz w:val="19"/>
              </w:rPr>
              <w:t xml:space="preserve"> 30 Jun 1999 p.2905)</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6,7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Borders>
              <w:bottom w:val="single" w:sz="8" w:space="0" w:color="auto"/>
            </w:tcBorders>
          </w:tcPr>
          <w:p>
            <w:pPr>
              <w:pStyle w:val="nTable"/>
              <w:spacing w:after="40"/>
              <w:rPr>
                <w:snapToGrid w:val="0"/>
                <w:sz w:val="19"/>
                <w:lang w:val="en-US"/>
              </w:rPr>
            </w:pPr>
            <w:r>
              <w:rPr>
                <w:snapToGrid w:val="0"/>
                <w:sz w:val="19"/>
                <w:lang w:val="en-US"/>
              </w:rPr>
              <w:t>47 of 2006</w:t>
            </w:r>
          </w:p>
        </w:tc>
        <w:tc>
          <w:tcPr>
            <w:tcW w:w="1134" w:type="dxa"/>
            <w:tcBorders>
              <w:bottom w:val="single" w:sz="8" w:space="0" w:color="auto"/>
            </w:tcBorders>
          </w:tcPr>
          <w:p>
            <w:pPr>
              <w:pStyle w:val="nTable"/>
              <w:spacing w:after="40"/>
              <w:rPr>
                <w:sz w:val="19"/>
              </w:rPr>
            </w:pPr>
            <w:r>
              <w:rPr>
                <w:snapToGrid w:val="0"/>
                <w:sz w:val="19"/>
                <w:lang w:val="en-US"/>
              </w:rPr>
              <w:t>4 Oct 2006</w:t>
            </w:r>
          </w:p>
        </w:tc>
        <w:tc>
          <w:tcPr>
            <w:tcW w:w="2551" w:type="dxa"/>
            <w:tcBorders>
              <w:bottom w:val="single" w:sz="8" w:space="0" w:color="auto"/>
            </w:tcBorders>
          </w:tcPr>
          <w:p>
            <w:pPr>
              <w:pStyle w:val="nTable"/>
              <w:spacing w:after="40"/>
              <w:rPr>
                <w:sz w:val="19"/>
              </w:rPr>
            </w:pPr>
            <w:r>
              <w:rPr>
                <w:sz w:val="19"/>
              </w:rPr>
              <w:t xml:space="preserve">11 May 2007 (see s. 2 and </w:t>
            </w:r>
            <w:r>
              <w:rPr>
                <w:i/>
                <w:iCs/>
                <w:sz w:val="19"/>
              </w:rPr>
              <w:t>Gazette</w:t>
            </w:r>
            <w:r>
              <w:rPr>
                <w:sz w:val="19"/>
              </w:rPr>
              <w:t xml:space="preserve"> 11 May 2007 p. 2017)</w:t>
            </w:r>
          </w:p>
        </w:tc>
      </w:tr>
    </w:tbl>
    <w:p>
      <w:pPr>
        <w:pStyle w:val="nSubsection"/>
        <w:rPr>
          <w:snapToGrid w:val="0"/>
        </w:rPr>
      </w:pPr>
      <w:r>
        <w:rPr>
          <w:snapToGrid w:val="0"/>
          <w:vertAlign w:val="superscript"/>
        </w:rPr>
        <w:t>2</w:t>
      </w:r>
      <w:r>
        <w:rPr>
          <w:snapToGrid w:val="0"/>
        </w:rPr>
        <w:tab/>
        <w:t>Footnote no longer applicable.</w:t>
      </w:r>
    </w:p>
    <w:p>
      <w:pPr>
        <w:pStyle w:val="nSubsection"/>
        <w:ind w:left="459" w:hanging="459"/>
        <w:rPr>
          <w:snapToGrid w:val="0"/>
        </w:rPr>
      </w:pPr>
      <w:r>
        <w:rPr>
          <w:snapToGrid w:val="0"/>
          <w:vertAlign w:val="superscript"/>
        </w:rPr>
        <w:t>3</w:t>
      </w:r>
      <w:r>
        <w:rPr>
          <w:snapToGrid w:val="0"/>
        </w:rPr>
        <w:tab/>
        <w:t xml:space="preserve">The </w:t>
      </w:r>
      <w:r>
        <w:rPr>
          <w:i/>
          <w:snapToGrid w:val="0"/>
        </w:rPr>
        <w:t xml:space="preserve">Commercial Tenancy (Retail Shops) Agreements Amendment Act 1990 </w:t>
      </w:r>
      <w:r>
        <w:rPr>
          <w:snapToGrid w:val="0"/>
        </w:rPr>
        <w:t>s. 22 reads as follows —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w:t>
      </w:r>
      <w:bookmarkStart w:id="172" w:name="UpToHere"/>
      <w:bookmarkEnd w:id="172"/>
      <w:r>
        <w:rPr>
          <w:snapToGrid w:val="0"/>
        </w:rPr>
        <w:t>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Commercial Tenancy (Retail Shops) Agreements Amendment Act 1998</w:t>
      </w:r>
      <w:r>
        <w:rPr>
          <w:snapToGrid w:val="0"/>
        </w:rPr>
        <w:t xml:space="preserve"> s. 14reads as follows —</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b/>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r>
      <w:r>
        <w:tab/>
        <w:t>but does not include a retail shop lease to which the provision does not apply by reason of section 4 of the principal Act;</w:t>
      </w:r>
    </w:p>
    <w:p>
      <w:pPr>
        <w:pStyle w:val="nzDefstart"/>
      </w:pPr>
      <w:r>
        <w:tab/>
      </w:r>
      <w:r>
        <w:rPr>
          <w:b/>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r>
        <w:rPr>
          <w:b/>
        </w:rPr>
        <w:t>“</w:t>
      </w:r>
      <w:bookmarkStart w:id="173" w:name="endcomma"/>
      <w:bookmarkEnd w:id="173"/>
      <w:r>
        <w:rPr>
          <w:b/>
        </w:rPr>
        <w:t>retail shop lease”</w:t>
      </w:r>
      <w:r>
        <w:t xml:space="preserve"> </w:t>
      </w:r>
      <w:bookmarkStart w:id="174" w:name="comma"/>
      <w:bookmarkEnd w:id="174"/>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75" w:name="_Toc528569730"/>
      <w:bookmarkStart w:id="176" w:name="_Toc6163318"/>
      <w:r>
        <w:rPr>
          <w:rStyle w:val="CharSectno"/>
        </w:rPr>
        <w:t>3</w:t>
      </w:r>
      <w:r>
        <w:t>.</w:t>
      </w:r>
      <w:r>
        <w:tab/>
        <w:t>Relationship with other Acts</w:t>
      </w:r>
      <w:bookmarkEnd w:id="175"/>
      <w:bookmarkEnd w:id="176"/>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77" w:name="_Toc528569731"/>
      <w:bookmarkStart w:id="178" w:name="_Toc6163319"/>
      <w:r>
        <w:rPr>
          <w:rStyle w:val="CharSectno"/>
        </w:rPr>
        <w:t>4</w:t>
      </w:r>
      <w:r>
        <w:t>.</w:t>
      </w:r>
      <w:r>
        <w:tab/>
        <w:t>Meaning of terms used in this Act</w:t>
      </w:r>
      <w:bookmarkEnd w:id="177"/>
      <w:bookmarkEnd w:id="178"/>
    </w:p>
    <w:p>
      <w:pPr>
        <w:pStyle w:val="nzSubsection"/>
      </w:pPr>
      <w:r>
        <w:tab/>
      </w:r>
      <w:bookmarkStart w:id="179" w:name="_Hlt528057531"/>
      <w:bookmarkEnd w:id="179"/>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80" w:name="_Hlt529933443"/>
      <w:bookmarkStart w:id="181" w:name="_Hlt529932130"/>
      <w:bookmarkStart w:id="182" w:name="_Hlt523729657"/>
      <w:bookmarkStart w:id="183" w:name="_Hlt523729676"/>
      <w:bookmarkStart w:id="184" w:name="_Hlt523729726"/>
      <w:bookmarkStart w:id="185" w:name="_Toc6163348"/>
      <w:bookmarkEnd w:id="180"/>
      <w:bookmarkEnd w:id="181"/>
      <w:bookmarkEnd w:id="182"/>
      <w:bookmarkEnd w:id="183"/>
      <w:bookmarkEnd w:id="184"/>
      <w:r>
        <w:rPr>
          <w:rStyle w:val="CharSectno"/>
        </w:rPr>
        <w:t>33</w:t>
      </w:r>
      <w:r>
        <w:t>.</w:t>
      </w:r>
      <w:r>
        <w:tab/>
        <w:t>Definitions</w:t>
      </w:r>
      <w:bookmarkEnd w:id="185"/>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86" w:name="_Toc6163349"/>
      <w:r>
        <w:rPr>
          <w:rStyle w:val="CharSectno"/>
        </w:rPr>
        <w:t>34</w:t>
      </w:r>
      <w:r>
        <w:t>.</w:t>
      </w:r>
      <w:r>
        <w:tab/>
        <w:t>General transitional arrangements</w:t>
      </w:r>
      <w:bookmarkEnd w:id="186"/>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87" w:name="_Toc6163350"/>
      <w:r>
        <w:rPr>
          <w:rStyle w:val="CharSectno"/>
        </w:rPr>
        <w:t>35</w:t>
      </w:r>
      <w:r>
        <w:t>.</w:t>
      </w:r>
      <w:r>
        <w:tab/>
        <w:t>Commissioner not to increase tax liability</w:t>
      </w:r>
      <w:bookmarkEnd w:id="187"/>
    </w:p>
    <w:p>
      <w:pPr>
        <w:pStyle w:val="nzSubsection"/>
      </w:pPr>
      <w:r>
        <w:rPr>
          <w:spacing w:val="-4"/>
        </w:rPr>
        <w:tab/>
      </w:r>
      <w:r>
        <w:rPr>
          <w:spacing w:val="-4"/>
        </w:rPr>
        <w:tab/>
        <w:t>Despite Part 3 Division</w:t>
      </w:r>
      <w:bookmarkStart w:id="188" w:name="RuleErr_23"/>
      <w:r>
        <w:rPr>
          <w:b/>
          <w:i/>
          <w:spacing w:val="-4"/>
        </w:rPr>
        <w:t xml:space="preserve"> </w:t>
      </w:r>
      <w:r>
        <w:rPr>
          <w:spacing w:val="-4"/>
        </w:rPr>
        <w:t xml:space="preserve">1 </w:t>
      </w:r>
      <w:bookmarkEnd w:id="188"/>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89" w:name="_Toc6163351"/>
      <w:r>
        <w:rPr>
          <w:rStyle w:val="CharSectno"/>
        </w:rPr>
        <w:t>36</w:t>
      </w:r>
      <w:r>
        <w:t>.</w:t>
      </w:r>
      <w:r>
        <w:tab/>
        <w:t>Delegations</w:t>
      </w:r>
      <w:bookmarkEnd w:id="18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90" w:name="_Toc527966629"/>
      <w:bookmarkStart w:id="191" w:name="_Toc6163352"/>
      <w:r>
        <w:rPr>
          <w:rStyle w:val="CharSectno"/>
        </w:rPr>
        <w:t>37</w:t>
      </w:r>
      <w:r>
        <w:t>.</w:t>
      </w:r>
      <w:r>
        <w:tab/>
        <w:t>Certificates of exemption from tax (</w:t>
      </w:r>
      <w:r>
        <w:rPr>
          <w:i/>
        </w:rPr>
        <w:t>Debits Tax Assessment Act 1990</w:t>
      </w:r>
      <w:r>
        <w:t>, s. 11)</w:t>
      </w:r>
      <w:bookmarkEnd w:id="190"/>
      <w:bookmarkEnd w:id="191"/>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92" w:name="_Toc6163353"/>
      <w:r>
        <w:rPr>
          <w:rStyle w:val="CharSectno"/>
        </w:rPr>
        <w:t>38</w:t>
      </w:r>
      <w:r>
        <w:t>.</w:t>
      </w:r>
      <w:r>
        <w:tab/>
        <w:t>Exemptions for certain home unit owners (</w:t>
      </w:r>
      <w:r>
        <w:rPr>
          <w:i/>
        </w:rPr>
        <w:t>Land Tax Assessment Act 1976</w:t>
      </w:r>
      <w:r>
        <w:t>, s. 19)</w:t>
      </w:r>
      <w:bookmarkEnd w:id="192"/>
    </w:p>
    <w:p>
      <w:pPr>
        <w:pStyle w:val="nzSubsection"/>
      </w:pPr>
      <w:r>
        <w:tab/>
      </w:r>
      <w:r>
        <w:tab/>
        <w:t>If the amount of land tax payable on land for the financial year commencing on</w:t>
      </w:r>
      <w:bookmarkStart w:id="193" w:name="RuleErr_24"/>
      <w:r>
        <w:t xml:space="preserve"> 1 </w:t>
      </w:r>
      <w:bookmarkEnd w:id="193"/>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94" w:name="_Toc6163354"/>
      <w:r>
        <w:rPr>
          <w:rStyle w:val="CharSectno"/>
        </w:rPr>
        <w:t>39</w:t>
      </w:r>
      <w:r>
        <w:t>.</w:t>
      </w:r>
      <w:r>
        <w:tab/>
        <w:t>Inner city residential property rebate (</w:t>
      </w:r>
      <w:r>
        <w:rPr>
          <w:i/>
        </w:rPr>
        <w:t>Land Tax Assessment Act 1976</w:t>
      </w:r>
      <w:r>
        <w:t>, s. 23AB)</w:t>
      </w:r>
      <w:bookmarkEnd w:id="19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95" w:name="_Toc6163355"/>
      <w:r>
        <w:rPr>
          <w:rStyle w:val="CharSectno"/>
        </w:rPr>
        <w:t>40</w:t>
      </w:r>
      <w:r>
        <w:t>.</w:t>
      </w:r>
      <w:r>
        <w:tab/>
        <w:t>Land tax relief Acts</w:t>
      </w:r>
      <w:bookmarkEnd w:id="19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96" w:name="_Toc6163356"/>
      <w:r>
        <w:rPr>
          <w:rStyle w:val="CharSectno"/>
        </w:rPr>
        <w:t>41</w:t>
      </w:r>
      <w:r>
        <w:t>.</w:t>
      </w:r>
      <w:r>
        <w:tab/>
        <w:t>Treatment of certain contributions (</w:t>
      </w:r>
      <w:r>
        <w:rPr>
          <w:i/>
        </w:rPr>
        <w:t>Pay</w:t>
      </w:r>
      <w:r>
        <w:rPr>
          <w:i/>
        </w:rPr>
        <w:noBreakHyphen/>
        <w:t>roll Tax Assessment Act 1971</w:t>
      </w:r>
      <w:r>
        <w:t>, Sch. 2 cl. 5)</w:t>
      </w:r>
      <w:bookmarkEnd w:id="196"/>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197" w:name="RuleErr_25"/>
      <w:r>
        <w:t xml:space="preserve"> 1 </w:t>
      </w:r>
      <w:bookmarkEnd w:id="197"/>
      <w:r>
        <w:t xml:space="preserve">July 1997 as if that Act had not been repealed. </w:t>
      </w:r>
    </w:p>
    <w:p>
      <w:pPr>
        <w:pStyle w:val="nzHeading5"/>
      </w:pPr>
      <w:bookmarkStart w:id="198" w:name="_Toc6163357"/>
      <w:r>
        <w:rPr>
          <w:rStyle w:val="CharSectno"/>
        </w:rPr>
        <w:t>42</w:t>
      </w:r>
      <w:r>
        <w:t>.</w:t>
      </w:r>
      <w:r>
        <w:tab/>
        <w:t>Reassessments and refunds (</w:t>
      </w:r>
      <w:r>
        <w:rPr>
          <w:i/>
        </w:rPr>
        <w:t>Pay</w:t>
      </w:r>
      <w:r>
        <w:rPr>
          <w:i/>
        </w:rPr>
        <w:noBreakHyphen/>
        <w:t>roll Tax Assessment Act 1971</w:t>
      </w:r>
      <w:r>
        <w:t>, s. 19)</w:t>
      </w:r>
      <w:bookmarkEnd w:id="198"/>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99" w:name="_Toc6163358"/>
      <w:r>
        <w:rPr>
          <w:rStyle w:val="CharSectno"/>
        </w:rPr>
        <w:t>43</w:t>
      </w:r>
      <w:r>
        <w:t>.</w:t>
      </w:r>
      <w:r>
        <w:tab/>
        <w:t>Adhesive stamps (</w:t>
      </w:r>
      <w:r>
        <w:rPr>
          <w:i/>
        </w:rPr>
        <w:t>Stamp Act 1921</w:t>
      </w:r>
      <w:r>
        <w:t>, s. 15, 21 and 23)</w:t>
      </w:r>
      <w:bookmarkEnd w:id="199"/>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200" w:name="_Toc6163359"/>
      <w:r>
        <w:rPr>
          <w:rStyle w:val="CharSectno"/>
        </w:rPr>
        <w:t>44</w:t>
      </w:r>
      <w:r>
        <w:t>.</w:t>
      </w:r>
      <w:r>
        <w:tab/>
        <w:t>Printing of “Stamp Duty Paid” on cheques (</w:t>
      </w:r>
      <w:r>
        <w:rPr>
          <w:i/>
        </w:rPr>
        <w:t xml:space="preserve">Stamp Act 1921, </w:t>
      </w:r>
      <w:r>
        <w:t>s. 52)</w:t>
      </w:r>
      <w:bookmarkEnd w:id="200"/>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01" w:name="_Toc6163360"/>
      <w:r>
        <w:rPr>
          <w:rStyle w:val="CharSectno"/>
        </w:rPr>
        <w:t>45</w:t>
      </w:r>
      <w:r>
        <w:t>.</w:t>
      </w:r>
      <w:r>
        <w:tab/>
        <w:t>First home owners — reassessment (</w:t>
      </w:r>
      <w:r>
        <w:rPr>
          <w:i/>
        </w:rPr>
        <w:t xml:space="preserve">Stamp Act 1921, </w:t>
      </w:r>
      <w:r>
        <w:t>s. 75AG)</w:t>
      </w:r>
      <w:bookmarkEnd w:id="201"/>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02"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02"/>
    </w:p>
    <w:p>
      <w:pPr>
        <w:pStyle w:val="nzSubsection"/>
      </w:pPr>
      <w:r>
        <w:tab/>
        <w:t>(1)</w:t>
      </w:r>
      <w:r>
        <w:tab/>
        <w:t xml:space="preserve">This section applies in relation to a grant or transfer of a </w:t>
      </w:r>
      <w:bookmarkStart w:id="203" w:name="RuleErr_30"/>
      <w:r>
        <w:t>licence</w:t>
      </w:r>
      <w:bookmarkEnd w:id="203"/>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204" w:name="RuleErr_31"/>
      <w:r>
        <w:t>licence</w:t>
      </w:r>
      <w:bookmarkEnd w:id="204"/>
      <w:r>
        <w:t xml:space="preserve"> on the basis that the duty should not have been paid because —</w:t>
      </w:r>
    </w:p>
    <w:p>
      <w:pPr>
        <w:pStyle w:val="nzIndenta"/>
      </w:pPr>
      <w:r>
        <w:tab/>
        <w:t>(a)</w:t>
      </w:r>
      <w:r>
        <w:tab/>
        <w:t xml:space="preserve">in the case of a grant — no vehicle </w:t>
      </w:r>
      <w:bookmarkStart w:id="205" w:name="RuleErr_32"/>
      <w:r>
        <w:t>licence</w:t>
      </w:r>
      <w:bookmarkEnd w:id="205"/>
      <w:r>
        <w:t xml:space="preserve"> fee was payable under the </w:t>
      </w:r>
      <w:r>
        <w:rPr>
          <w:i/>
        </w:rPr>
        <w:t xml:space="preserve">Road Traffic Act 1974 </w:t>
      </w:r>
      <w:r>
        <w:t xml:space="preserve">in respect of the </w:t>
      </w:r>
      <w:bookmarkStart w:id="206" w:name="RuleErr_33"/>
      <w:r>
        <w:t>licence</w:t>
      </w:r>
      <w:bookmarkEnd w:id="206"/>
      <w:r>
        <w:t>; or</w:t>
      </w:r>
    </w:p>
    <w:p>
      <w:pPr>
        <w:pStyle w:val="nzIndenta"/>
      </w:pPr>
      <w:r>
        <w:tab/>
        <w:t>(b)</w:t>
      </w:r>
      <w:r>
        <w:tab/>
        <w:t xml:space="preserve">in the case of a transfer — had the transferee applied for the </w:t>
      </w:r>
      <w:bookmarkStart w:id="207" w:name="RuleErr_34"/>
      <w:r>
        <w:t>licence</w:t>
      </w:r>
      <w:bookmarkEnd w:id="207"/>
      <w:r>
        <w:t xml:space="preserve"> on the date of the transfer no vehicle </w:t>
      </w:r>
      <w:bookmarkStart w:id="208" w:name="RuleErr_35"/>
      <w:r>
        <w:t>licence</w:t>
      </w:r>
      <w:bookmarkEnd w:id="208"/>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209" w:name="RuleErr_36"/>
      <w:r>
        <w:t>licence</w:t>
      </w:r>
      <w:bookmarkEnd w:id="209"/>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210" w:name="RuleErr_37"/>
      <w:r>
        <w:t>licence</w:t>
      </w:r>
      <w:bookmarkEnd w:id="210"/>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211" w:name="RuleErr_38"/>
      <w:r>
        <w:t>licence</w:t>
      </w:r>
      <w:bookmarkEnd w:id="211"/>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212" w:name="RuleErr_39"/>
      <w:r>
        <w:t>licence</w:t>
      </w:r>
      <w:bookmarkEnd w:id="212"/>
      <w:r>
        <w:t xml:space="preserve"> on the basis that the duty should have been, but was not, assessed on the net market value of the vehicle (as defined in section 76CB of the old Stamp Act), cannot be made more than 12 months after the </w:t>
      </w:r>
      <w:bookmarkStart w:id="213" w:name="RuleErr_40"/>
      <w:r>
        <w:t>licence</w:t>
      </w:r>
      <w:bookmarkEnd w:id="213"/>
      <w:r>
        <w:t xml:space="preserve"> was granted or transferred.</w:t>
      </w:r>
    </w:p>
    <w:p>
      <w:pPr>
        <w:pStyle w:val="nzHeading5"/>
      </w:pPr>
      <w:bookmarkStart w:id="214" w:name="_Toc6163362"/>
      <w:r>
        <w:rPr>
          <w:rStyle w:val="CharSectno"/>
        </w:rPr>
        <w:t>47</w:t>
      </w:r>
      <w:r>
        <w:t>.</w:t>
      </w:r>
      <w:r>
        <w:tab/>
        <w:t>Alternative to stamping individual insurance policies (</w:t>
      </w:r>
      <w:r>
        <w:rPr>
          <w:i/>
        </w:rPr>
        <w:t xml:space="preserve">Stamp Act 1921, </w:t>
      </w:r>
      <w:r>
        <w:t>s. 95A)</w:t>
      </w:r>
      <w:bookmarkEnd w:id="21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15" w:name="_Toc6163363"/>
      <w:r>
        <w:rPr>
          <w:rStyle w:val="CharSectno"/>
        </w:rPr>
        <w:t>48</w:t>
      </w:r>
      <w:r>
        <w:t>.</w:t>
      </w:r>
      <w:r>
        <w:tab/>
        <w:t>Workers’ compensation insurance (</w:t>
      </w:r>
      <w:r>
        <w:rPr>
          <w:i/>
        </w:rPr>
        <w:t>Stamp Act 1921</w:t>
      </w:r>
      <w:r>
        <w:t>, s. 97 and item 16 of the Second Schedule)</w:t>
      </w:r>
      <w:bookmarkEnd w:id="21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216" w:name="_Toc6163364"/>
      <w:r>
        <w:rPr>
          <w:rStyle w:val="CharSectno"/>
        </w:rPr>
        <w:t>49</w:t>
      </w:r>
      <w:r>
        <w:t>.</w:t>
      </w:r>
      <w:r>
        <w:tab/>
        <w:t>Payment of duty by returns (</w:t>
      </w:r>
      <w:r>
        <w:rPr>
          <w:i/>
        </w:rPr>
        <w:t>Stamp Act 1921</w:t>
      </w:r>
      <w:r>
        <w:t>, s. 112V)</w:t>
      </w:r>
      <w:bookmarkEnd w:id="21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29 reads as follows:</w:t>
      </w:r>
    </w:p>
    <w:p>
      <w:pPr>
        <w:pStyle w:val="MiscOpen"/>
      </w:pPr>
      <w:r>
        <w:t>“</w:t>
      </w:r>
    </w:p>
    <w:p>
      <w:pPr>
        <w:pStyle w:val="nzHeading5"/>
      </w:pPr>
      <w:bookmarkStart w:id="217" w:name="_Toc90957837"/>
      <w:bookmarkStart w:id="218" w:name="_Toc92182252"/>
      <w:r>
        <w:rPr>
          <w:rStyle w:val="CharSectno"/>
        </w:rPr>
        <w:t>29</w:t>
      </w:r>
      <w:r>
        <w:t>.</w:t>
      </w:r>
      <w:r>
        <w:tab/>
      </w:r>
      <w:r>
        <w:rPr>
          <w:i/>
        </w:rPr>
        <w:t>Commercial Tenancy (Retail Shops) Agreements Act 1985</w:t>
      </w:r>
      <w:bookmarkEnd w:id="217"/>
      <w:bookmarkEnd w:id="21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pPr>
      <w:r>
        <w:rPr>
          <w:b/>
        </w:rPr>
        <w:tab/>
        <w:t>“</w:t>
      </w:r>
      <w:r>
        <w:rPr>
          <w:rStyle w:val="CharDefText"/>
        </w:rPr>
        <w:t>the CTRS Act</w:t>
      </w:r>
      <w:r>
        <w:rPr>
          <w:b/>
        </w:rPr>
        <w:t>”</w:t>
      </w:r>
      <w:r>
        <w:t xml:space="preserve"> means the </w:t>
      </w:r>
      <w:r>
        <w:rPr>
          <w:i/>
        </w:rPr>
        <w:t>Commercial Tenancy (Retail Shops) Agreements Act 1985</w:t>
      </w:r>
      <w:r>
        <w:t>.</w:t>
      </w:r>
    </w:p>
    <w:p>
      <w:pPr>
        <w:pStyle w:val="nz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fldSimple w:instr=" STYLEREF CharPartNo ">
      <w:r>
        <w:rPr>
          <w:noProof/>
        </w:rPr>
        <w:t>Part I</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4A4A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B22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9C3D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4E3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0AD8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D6C4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5A5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3ECB8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AA7CC"/>
    <w:lvl w:ilvl="0">
      <w:start w:val="1"/>
      <w:numFmt w:val="decimal"/>
      <w:pStyle w:val="ListNumber"/>
      <w:lvlText w:val="%1."/>
      <w:lvlJc w:val="left"/>
      <w:pPr>
        <w:tabs>
          <w:tab w:val="num" w:pos="360"/>
        </w:tabs>
        <w:ind w:left="360" w:hanging="360"/>
      </w:pPr>
    </w:lvl>
  </w:abstractNum>
  <w:abstractNum w:abstractNumId="9">
    <w:nsid w:val="FFFFFF89"/>
    <w:multiLevelType w:val="singleLevel"/>
    <w:tmpl w:val="E0500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5520B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20694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636"/>
    <w:docVar w:name="WAFER_20151208095636" w:val="RemoveTrackChanges"/>
    <w:docVar w:name="WAFER_20151208095636_GUID" w:val="87253571-e1fe-4621-b075-628daaa5b1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18084</Words>
  <Characters>84096</Characters>
  <Application>Microsoft Office Word</Application>
  <DocSecurity>0</DocSecurity>
  <Lines>2213</Lines>
  <Paragraphs>1011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1985 - 02-h0-03</dc:title>
  <dc:subject/>
  <dc:creator/>
  <cp:keywords/>
  <dc:description/>
  <cp:lastModifiedBy>svcMRProcess</cp:lastModifiedBy>
  <cp:revision>4</cp:revision>
  <cp:lastPrinted>2000-08-02T01:58:00Z</cp:lastPrinted>
  <dcterms:created xsi:type="dcterms:W3CDTF">2018-08-21T16:09:00Z</dcterms:created>
  <dcterms:modified xsi:type="dcterms:W3CDTF">2018-08-21T16:09:00Z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20070511</vt:lpwstr>
  </property>
  <property fmtid="{D5CDD505-2E9C-101B-9397-08002B2CF9AE}" pid="4" name="DocumentType">
    <vt:lpwstr>Act</vt:lpwstr>
  </property>
  <property fmtid="{D5CDD505-2E9C-101B-9397-08002B2CF9AE}" pid="5" name="OwlsUID">
    <vt:i4>149</vt:i4>
  </property>
  <property fmtid="{D5CDD505-2E9C-101B-9397-08002B2CF9AE}" pid="6" name="AsAtDate">
    <vt:lpwstr>11 May 2007</vt:lpwstr>
  </property>
  <property fmtid="{D5CDD505-2E9C-101B-9397-08002B2CF9AE}" pid="7" name="Suffix">
    <vt:lpwstr>02-h0-03</vt:lpwstr>
  </property>
</Properties>
</file>