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Commercial Tenancy (Retail Shops) Agreements Act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 June 2007</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_Toc169938661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_Toc169938662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_Toc169938663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_Toc169938664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_Toc169938665 \h </w:instrText>
      </w:r>
      <w:r>
        <w:fldChar w:fldCharType="separate"/>
      </w:r>
      <w:r>
        <w:t>8</w:t>
      </w:r>
      <w:r>
        <w:fldChar w:fldCharType="end"/>
      </w:r>
    </w:p>
    <w:p>
      <w:pPr>
        <w:pStyle w:val="TOC2"/>
        <w:tabs>
          <w:tab w:val="right" w:leader="dot" w:pos="7086"/>
        </w:tabs>
        <w:rPr>
          <w:b w:val="0"/>
          <w:sz w:val="24"/>
          <w:szCs w:val="24"/>
        </w:rPr>
      </w:pPr>
      <w:r>
        <w:rPr>
          <w:szCs w:val="30"/>
        </w:rPr>
        <w:t>Part II — Retail shop leases</w:t>
      </w:r>
    </w:p>
    <w:p>
      <w:pPr>
        <w:pStyle w:val="TOC8"/>
        <w:rPr>
          <w:sz w:val="24"/>
          <w:szCs w:val="24"/>
        </w:rPr>
      </w:pPr>
      <w:r>
        <w:rPr>
          <w:szCs w:val="24"/>
        </w:rPr>
        <w:t>6</w:t>
      </w:r>
      <w:r>
        <w:rPr>
          <w:snapToGrid w:val="0"/>
          <w:szCs w:val="24"/>
        </w:rPr>
        <w:t>.</w:t>
      </w:r>
      <w:r>
        <w:rPr>
          <w:snapToGrid w:val="0"/>
          <w:szCs w:val="24"/>
        </w:rPr>
        <w:tab/>
        <w:t>Disclosure</w:t>
      </w:r>
      <w:r>
        <w:tab/>
      </w:r>
      <w:r>
        <w:fldChar w:fldCharType="begin"/>
      </w:r>
      <w:r>
        <w:instrText xml:space="preserve"> PAGEREF _Toc169938667 \h </w:instrText>
      </w:r>
      <w:r>
        <w:fldChar w:fldCharType="separate"/>
      </w:r>
      <w:r>
        <w:t>9</w:t>
      </w:r>
      <w:r>
        <w:fldChar w:fldCharType="end"/>
      </w:r>
    </w:p>
    <w:p>
      <w:pPr>
        <w:pStyle w:val="TOC8"/>
        <w:rPr>
          <w:sz w:val="24"/>
          <w:szCs w:val="24"/>
        </w:rPr>
      </w:pPr>
      <w:r>
        <w:rPr>
          <w:szCs w:val="24"/>
        </w:rPr>
        <w:t>6A.</w:t>
      </w:r>
      <w:r>
        <w:rPr>
          <w:szCs w:val="24"/>
        </w:rPr>
        <w:tab/>
        <w:t>Tenant guide</w:t>
      </w:r>
      <w:r>
        <w:tab/>
      </w:r>
      <w:r>
        <w:fldChar w:fldCharType="begin"/>
      </w:r>
      <w:r>
        <w:instrText xml:space="preserve"> PAGEREF _Toc169938668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Rent based on turnover</w:t>
      </w:r>
      <w:r>
        <w:tab/>
      </w:r>
      <w:r>
        <w:fldChar w:fldCharType="begin"/>
      </w:r>
      <w:r>
        <w:instrText xml:space="preserve"> PAGEREF _Toc169938669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Turnover figures not generally required</w:t>
      </w:r>
      <w:r>
        <w:tab/>
      </w:r>
      <w:r>
        <w:fldChar w:fldCharType="begin"/>
      </w:r>
      <w:r>
        <w:instrText xml:space="preserve"> PAGEREF _Toc169938670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Key</w:t>
      </w:r>
      <w:r>
        <w:rPr>
          <w:snapToGrid w:val="0"/>
          <w:szCs w:val="24"/>
        </w:rPr>
        <w:noBreakHyphen/>
        <w:t>money and goodwill</w:t>
      </w:r>
      <w:r>
        <w:tab/>
      </w:r>
      <w:r>
        <w:fldChar w:fldCharType="begin"/>
      </w:r>
      <w:r>
        <w:instrText xml:space="preserve"> PAGEREF _Toc169938671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Assignment and sub</w:t>
      </w:r>
      <w:r>
        <w:rPr>
          <w:snapToGrid w:val="0"/>
          <w:szCs w:val="24"/>
        </w:rPr>
        <w:noBreakHyphen/>
        <w:t>leasing</w:t>
      </w:r>
      <w:r>
        <w:tab/>
      </w:r>
      <w:r>
        <w:fldChar w:fldCharType="begin"/>
      </w:r>
      <w:r>
        <w:instrText xml:space="preserve"> PAGEREF _Toc169938672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Rent review</w:t>
      </w:r>
      <w:r>
        <w:tab/>
      </w:r>
      <w:r>
        <w:fldChar w:fldCharType="begin"/>
      </w:r>
      <w:r>
        <w:instrText xml:space="preserve"> PAGEREF _Toc169938673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Contribution to landlord’s expenses</w:t>
      </w:r>
      <w:r>
        <w:tab/>
      </w:r>
      <w:r>
        <w:fldChar w:fldCharType="begin"/>
      </w:r>
      <w:r>
        <w:instrText xml:space="preserve"> PAGEREF _Toc169938674 \h </w:instrText>
      </w:r>
      <w:r>
        <w:fldChar w:fldCharType="separate"/>
      </w:r>
      <w:r>
        <w:t>19</w:t>
      </w:r>
      <w:r>
        <w:fldChar w:fldCharType="end"/>
      </w:r>
    </w:p>
    <w:p>
      <w:pPr>
        <w:pStyle w:val="TOC8"/>
        <w:rPr>
          <w:sz w:val="24"/>
          <w:szCs w:val="24"/>
        </w:rPr>
      </w:pPr>
      <w:r>
        <w:rPr>
          <w:szCs w:val="24"/>
        </w:rPr>
        <w:t>12A.</w:t>
      </w:r>
      <w:r>
        <w:rPr>
          <w:szCs w:val="24"/>
        </w:rPr>
        <w:tab/>
        <w:t>Sinking funds</w:t>
      </w:r>
      <w:r>
        <w:tab/>
      </w:r>
      <w:r>
        <w:fldChar w:fldCharType="begin"/>
      </w:r>
      <w:r>
        <w:instrText xml:space="preserve"> PAGEREF _Toc169938675 \h </w:instrText>
      </w:r>
      <w:r>
        <w:fldChar w:fldCharType="separate"/>
      </w:r>
      <w:r>
        <w:t>25</w:t>
      </w:r>
      <w:r>
        <w:fldChar w:fldCharType="end"/>
      </w:r>
    </w:p>
    <w:p>
      <w:pPr>
        <w:pStyle w:val="TOC8"/>
        <w:rPr>
          <w:sz w:val="24"/>
          <w:szCs w:val="24"/>
        </w:rPr>
      </w:pPr>
      <w:r>
        <w:rPr>
          <w:szCs w:val="24"/>
        </w:rPr>
        <w:t>12B.</w:t>
      </w:r>
      <w:r>
        <w:rPr>
          <w:szCs w:val="24"/>
        </w:rPr>
        <w:tab/>
        <w:t>Contribution to other funds and reserves by tenants</w:t>
      </w:r>
      <w:r>
        <w:tab/>
      </w:r>
      <w:r>
        <w:fldChar w:fldCharType="begin"/>
      </w:r>
      <w:r>
        <w:instrText xml:space="preserve"> PAGEREF _Toc169938676 \h </w:instrText>
      </w:r>
      <w:r>
        <w:fldChar w:fldCharType="separate"/>
      </w:r>
      <w:r>
        <w:t>28</w:t>
      </w:r>
      <w:r>
        <w:fldChar w:fldCharType="end"/>
      </w:r>
    </w:p>
    <w:p>
      <w:pPr>
        <w:pStyle w:val="TOC8"/>
        <w:rPr>
          <w:sz w:val="24"/>
          <w:szCs w:val="24"/>
        </w:rPr>
      </w:pPr>
      <w:r>
        <w:rPr>
          <w:szCs w:val="24"/>
        </w:rPr>
        <w:t>12C.</w:t>
      </w:r>
      <w:r>
        <w:rPr>
          <w:szCs w:val="24"/>
        </w:rPr>
        <w:tab/>
        <w:t>Hours of operation</w:t>
      </w:r>
      <w:r>
        <w:tab/>
      </w:r>
      <w:r>
        <w:fldChar w:fldCharType="begin"/>
      </w:r>
      <w:r>
        <w:instrText xml:space="preserve"> PAGEREF _Toc169938677 \h </w:instrText>
      </w:r>
      <w:r>
        <w:fldChar w:fldCharType="separate"/>
      </w:r>
      <w:r>
        <w:t>30</w:t>
      </w:r>
      <w:r>
        <w:fldChar w:fldCharType="end"/>
      </w:r>
    </w:p>
    <w:p>
      <w:pPr>
        <w:pStyle w:val="TOC8"/>
        <w:rPr>
          <w:sz w:val="24"/>
          <w:szCs w:val="24"/>
        </w:rPr>
      </w:pPr>
      <w:r>
        <w:rPr>
          <w:szCs w:val="24"/>
        </w:rPr>
        <w:t>12D.</w:t>
      </w:r>
      <w:r>
        <w:rPr>
          <w:szCs w:val="24"/>
        </w:rPr>
        <w:tab/>
        <w:t>Tenants’ associations etc.</w:t>
      </w:r>
      <w:r>
        <w:tab/>
      </w:r>
      <w:r>
        <w:fldChar w:fldCharType="begin"/>
      </w:r>
      <w:r>
        <w:instrText xml:space="preserve"> PAGEREF _Toc169938678 \h </w:instrText>
      </w:r>
      <w:r>
        <w:fldChar w:fldCharType="separate"/>
      </w:r>
      <w:r>
        <w:t>30</w:t>
      </w:r>
      <w:r>
        <w:fldChar w:fldCharType="end"/>
      </w:r>
    </w:p>
    <w:p>
      <w:pPr>
        <w:pStyle w:val="TOC8"/>
        <w:rPr>
          <w:sz w:val="24"/>
          <w:szCs w:val="24"/>
        </w:rPr>
      </w:pPr>
      <w:r>
        <w:rPr>
          <w:szCs w:val="24"/>
        </w:rPr>
        <w:t>13</w:t>
      </w:r>
      <w:r>
        <w:rPr>
          <w:snapToGrid w:val="0"/>
          <w:szCs w:val="24"/>
        </w:rPr>
        <w:t>.</w:t>
      </w:r>
      <w:r>
        <w:rPr>
          <w:snapToGrid w:val="0"/>
          <w:szCs w:val="24"/>
        </w:rPr>
        <w:tab/>
        <w:t>Right to at least 5 years’ tenancy</w:t>
      </w:r>
      <w:r>
        <w:tab/>
      </w:r>
      <w:r>
        <w:fldChar w:fldCharType="begin"/>
      </w:r>
      <w:r>
        <w:instrText xml:space="preserve"> PAGEREF _Toc169938679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Avoidance prevented</w:t>
      </w:r>
      <w:r>
        <w:tab/>
      </w:r>
      <w:r>
        <w:fldChar w:fldCharType="begin"/>
      </w:r>
      <w:r>
        <w:instrText xml:space="preserve"> PAGEREF _Toc169938680 \h </w:instrText>
      </w:r>
      <w:r>
        <w:fldChar w:fldCharType="separate"/>
      </w:r>
      <w:r>
        <w:t>36</w:t>
      </w:r>
      <w:r>
        <w:fldChar w:fldCharType="end"/>
      </w:r>
    </w:p>
    <w:p>
      <w:pPr>
        <w:pStyle w:val="TOC8"/>
        <w:rPr>
          <w:sz w:val="24"/>
          <w:szCs w:val="24"/>
        </w:rPr>
      </w:pPr>
      <w:r>
        <w:rPr>
          <w:szCs w:val="24"/>
        </w:rPr>
        <w:t>13B</w:t>
      </w:r>
      <w:r>
        <w:rPr>
          <w:snapToGrid w:val="0"/>
          <w:szCs w:val="24"/>
        </w:rPr>
        <w:t>.</w:t>
      </w:r>
      <w:r>
        <w:rPr>
          <w:snapToGrid w:val="0"/>
          <w:szCs w:val="24"/>
        </w:rPr>
        <w:tab/>
        <w:t>Notices as to renewal of leases</w:t>
      </w:r>
      <w:r>
        <w:tab/>
      </w:r>
      <w:r>
        <w:fldChar w:fldCharType="begin"/>
      </w:r>
      <w:r>
        <w:instrText xml:space="preserve"> PAGEREF _Toc169938681 \h </w:instrText>
      </w:r>
      <w:r>
        <w:fldChar w:fldCharType="separate"/>
      </w:r>
      <w:r>
        <w:t>38</w:t>
      </w:r>
      <w:r>
        <w:fldChar w:fldCharType="end"/>
      </w:r>
    </w:p>
    <w:p>
      <w:pPr>
        <w:pStyle w:val="TOC8"/>
        <w:rPr>
          <w:sz w:val="24"/>
          <w:szCs w:val="24"/>
        </w:rPr>
      </w:pPr>
      <w:r>
        <w:rPr>
          <w:szCs w:val="24"/>
        </w:rPr>
        <w:t>14</w:t>
      </w:r>
      <w:r>
        <w:rPr>
          <w:snapToGrid w:val="0"/>
          <w:szCs w:val="24"/>
        </w:rPr>
        <w:t>.</w:t>
      </w:r>
      <w:r>
        <w:rPr>
          <w:snapToGrid w:val="0"/>
          <w:szCs w:val="24"/>
        </w:rPr>
        <w:tab/>
        <w:t>Compensation by landlord</w:t>
      </w:r>
      <w:r>
        <w:tab/>
      </w:r>
      <w:r>
        <w:fldChar w:fldCharType="begin"/>
      </w:r>
      <w:r>
        <w:instrText xml:space="preserve"> PAGEREF _Toc169938682 \h </w:instrText>
      </w:r>
      <w:r>
        <w:fldChar w:fldCharType="separate"/>
      </w:r>
      <w:r>
        <w:t>39</w:t>
      </w:r>
      <w:r>
        <w:fldChar w:fldCharType="end"/>
      </w:r>
    </w:p>
    <w:p>
      <w:pPr>
        <w:pStyle w:val="TOC8"/>
        <w:rPr>
          <w:sz w:val="24"/>
          <w:szCs w:val="24"/>
        </w:rPr>
      </w:pPr>
      <w:r>
        <w:rPr>
          <w:szCs w:val="24"/>
        </w:rPr>
        <w:t>15</w:t>
      </w:r>
      <w:r>
        <w:rPr>
          <w:snapToGrid w:val="0"/>
          <w:szCs w:val="24"/>
        </w:rPr>
        <w:t>.</w:t>
      </w:r>
      <w:r>
        <w:rPr>
          <w:snapToGrid w:val="0"/>
          <w:szCs w:val="24"/>
        </w:rPr>
        <w:tab/>
        <w:t>Act prevails</w:t>
      </w:r>
      <w:r>
        <w:tab/>
      </w:r>
      <w:r>
        <w:fldChar w:fldCharType="begin"/>
      </w:r>
      <w:r>
        <w:instrText xml:space="preserve"> PAGEREF _Toc169938683 \h </w:instrText>
      </w:r>
      <w:r>
        <w:fldChar w:fldCharType="separate"/>
      </w:r>
      <w:r>
        <w:t>40</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Unconscionable conduct</w:t>
      </w:r>
    </w:p>
    <w:p>
      <w:pPr>
        <w:pStyle w:val="TOC8"/>
        <w:rPr>
          <w:sz w:val="24"/>
          <w:szCs w:val="24"/>
        </w:rPr>
      </w:pPr>
      <w:r>
        <w:rPr>
          <w:szCs w:val="24"/>
        </w:rPr>
        <w:t>15A.</w:t>
      </w:r>
      <w:r>
        <w:rPr>
          <w:szCs w:val="24"/>
        </w:rPr>
        <w:tab/>
        <w:t>Terms used in this Part</w:t>
      </w:r>
      <w:r>
        <w:tab/>
      </w:r>
      <w:r>
        <w:fldChar w:fldCharType="begin"/>
      </w:r>
      <w:r>
        <w:instrText xml:space="preserve"> PAGEREF _Toc169938685 \h </w:instrText>
      </w:r>
      <w:r>
        <w:fldChar w:fldCharType="separate"/>
      </w:r>
      <w:r>
        <w:t>41</w:t>
      </w:r>
      <w:r>
        <w:fldChar w:fldCharType="end"/>
      </w:r>
    </w:p>
    <w:p>
      <w:pPr>
        <w:pStyle w:val="TOC8"/>
        <w:rPr>
          <w:sz w:val="24"/>
          <w:szCs w:val="24"/>
        </w:rPr>
      </w:pPr>
      <w:r>
        <w:rPr>
          <w:szCs w:val="24"/>
        </w:rPr>
        <w:t>15B.</w:t>
      </w:r>
      <w:r>
        <w:rPr>
          <w:szCs w:val="24"/>
        </w:rPr>
        <w:tab/>
        <w:t>Application of Part</w:t>
      </w:r>
      <w:r>
        <w:tab/>
      </w:r>
      <w:r>
        <w:fldChar w:fldCharType="begin"/>
      </w:r>
      <w:r>
        <w:instrText xml:space="preserve"> PAGEREF _Toc169938686 \h </w:instrText>
      </w:r>
      <w:r>
        <w:fldChar w:fldCharType="separate"/>
      </w:r>
      <w:r>
        <w:t>41</w:t>
      </w:r>
      <w:r>
        <w:fldChar w:fldCharType="end"/>
      </w:r>
    </w:p>
    <w:p>
      <w:pPr>
        <w:pStyle w:val="TOC8"/>
        <w:rPr>
          <w:sz w:val="24"/>
          <w:szCs w:val="24"/>
        </w:rPr>
      </w:pPr>
      <w:r>
        <w:rPr>
          <w:szCs w:val="24"/>
        </w:rPr>
        <w:t>15C.</w:t>
      </w:r>
      <w:r>
        <w:rPr>
          <w:szCs w:val="24"/>
        </w:rPr>
        <w:tab/>
        <w:t>Unconscionable conduct of landlords</w:t>
      </w:r>
      <w:r>
        <w:tab/>
      </w:r>
      <w:r>
        <w:fldChar w:fldCharType="begin"/>
      </w:r>
      <w:r>
        <w:instrText xml:space="preserve"> PAGEREF _Toc169938687 \h </w:instrText>
      </w:r>
      <w:r>
        <w:fldChar w:fldCharType="separate"/>
      </w:r>
      <w:r>
        <w:t>42</w:t>
      </w:r>
      <w:r>
        <w:fldChar w:fldCharType="end"/>
      </w:r>
    </w:p>
    <w:p>
      <w:pPr>
        <w:pStyle w:val="TOC8"/>
        <w:rPr>
          <w:sz w:val="24"/>
          <w:szCs w:val="24"/>
        </w:rPr>
      </w:pPr>
      <w:r>
        <w:rPr>
          <w:szCs w:val="24"/>
        </w:rPr>
        <w:t>15D.</w:t>
      </w:r>
      <w:r>
        <w:rPr>
          <w:szCs w:val="24"/>
        </w:rPr>
        <w:tab/>
        <w:t>Unconscionable conduct of tenants</w:t>
      </w:r>
      <w:r>
        <w:tab/>
      </w:r>
      <w:r>
        <w:fldChar w:fldCharType="begin"/>
      </w:r>
      <w:r>
        <w:instrText xml:space="preserve"> PAGEREF _Toc169938688 \h </w:instrText>
      </w:r>
      <w:r>
        <w:fldChar w:fldCharType="separate"/>
      </w:r>
      <w:r>
        <w:t>43</w:t>
      </w:r>
      <w:r>
        <w:fldChar w:fldCharType="end"/>
      </w:r>
    </w:p>
    <w:p>
      <w:pPr>
        <w:pStyle w:val="TOC8"/>
        <w:rPr>
          <w:sz w:val="24"/>
          <w:szCs w:val="24"/>
        </w:rPr>
      </w:pPr>
      <w:r>
        <w:rPr>
          <w:szCs w:val="24"/>
        </w:rPr>
        <w:t>15E.</w:t>
      </w:r>
      <w:r>
        <w:rPr>
          <w:szCs w:val="24"/>
        </w:rPr>
        <w:tab/>
        <w:t>Certain conduct not unconscionable</w:t>
      </w:r>
      <w:r>
        <w:tab/>
      </w:r>
      <w:r>
        <w:fldChar w:fldCharType="begin"/>
      </w:r>
      <w:r>
        <w:instrText xml:space="preserve"> PAGEREF _Toc169938689 \h </w:instrText>
      </w:r>
      <w:r>
        <w:fldChar w:fldCharType="separate"/>
      </w:r>
      <w:r>
        <w:t>45</w:t>
      </w:r>
      <w:r>
        <w:fldChar w:fldCharType="end"/>
      </w:r>
    </w:p>
    <w:p>
      <w:pPr>
        <w:pStyle w:val="TOC8"/>
        <w:rPr>
          <w:sz w:val="24"/>
          <w:szCs w:val="24"/>
        </w:rPr>
      </w:pPr>
      <w:r>
        <w:rPr>
          <w:szCs w:val="24"/>
        </w:rPr>
        <w:t>15F.</w:t>
      </w:r>
      <w:r>
        <w:rPr>
          <w:szCs w:val="24"/>
        </w:rPr>
        <w:tab/>
        <w:t>Powers of Tribunal relating to unconscionable conduct</w:t>
      </w:r>
      <w:r>
        <w:tab/>
      </w:r>
      <w:r>
        <w:fldChar w:fldCharType="begin"/>
      </w:r>
      <w:r>
        <w:instrText xml:space="preserve"> PAGEREF _Toc169938690 \h </w:instrText>
      </w:r>
      <w:r>
        <w:fldChar w:fldCharType="separate"/>
      </w:r>
      <w:r>
        <w:t>46</w:t>
      </w:r>
      <w:r>
        <w:fldChar w:fldCharType="end"/>
      </w:r>
    </w:p>
    <w:p>
      <w:pPr>
        <w:pStyle w:val="TOC2"/>
        <w:tabs>
          <w:tab w:val="right" w:leader="dot" w:pos="7086"/>
        </w:tabs>
        <w:rPr>
          <w:b w:val="0"/>
          <w:sz w:val="24"/>
          <w:szCs w:val="24"/>
        </w:rPr>
      </w:pPr>
      <w:r>
        <w:rPr>
          <w:szCs w:val="30"/>
        </w:rPr>
        <w:t>Part III — Determination of questions</w:t>
      </w:r>
    </w:p>
    <w:p>
      <w:pPr>
        <w:pStyle w:val="TOC8"/>
        <w:rPr>
          <w:sz w:val="24"/>
          <w:szCs w:val="24"/>
        </w:rPr>
      </w:pPr>
      <w:r>
        <w:rPr>
          <w:szCs w:val="24"/>
        </w:rPr>
        <w:t>16</w:t>
      </w:r>
      <w:r>
        <w:rPr>
          <w:snapToGrid w:val="0"/>
          <w:szCs w:val="24"/>
        </w:rPr>
        <w:t>.</w:t>
      </w:r>
      <w:r>
        <w:rPr>
          <w:snapToGrid w:val="0"/>
          <w:szCs w:val="24"/>
        </w:rPr>
        <w:tab/>
        <w:t>Reference of questions to State Administrative Tribunal</w:t>
      </w:r>
      <w:r>
        <w:tab/>
      </w:r>
      <w:r>
        <w:fldChar w:fldCharType="begin"/>
      </w:r>
      <w:r>
        <w:instrText xml:space="preserve"> PAGEREF _Toc169938692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Orders of Tribunal</w:t>
      </w:r>
      <w:r>
        <w:tab/>
      </w:r>
      <w:r>
        <w:fldChar w:fldCharType="begin"/>
      </w:r>
      <w:r>
        <w:instrText xml:space="preserve"> PAGEREF _Toc169938693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jurisdictions</w:t>
      </w:r>
      <w:r>
        <w:tab/>
      </w:r>
      <w:r>
        <w:fldChar w:fldCharType="begin"/>
      </w:r>
      <w:r>
        <w:instrText xml:space="preserve"> PAGEREF _Toc169938694 \h </w:instrText>
      </w:r>
      <w:r>
        <w:fldChar w:fldCharType="separate"/>
      </w:r>
      <w:r>
        <w:t>49</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28</w:t>
      </w:r>
      <w:r>
        <w:rPr>
          <w:snapToGrid w:val="0"/>
          <w:szCs w:val="24"/>
        </w:rPr>
        <w:t>.</w:t>
      </w:r>
      <w:r>
        <w:rPr>
          <w:snapToGrid w:val="0"/>
          <w:szCs w:val="24"/>
        </w:rPr>
        <w:tab/>
        <w:t>Protection</w:t>
      </w:r>
      <w:r>
        <w:tab/>
      </w:r>
      <w:r>
        <w:fldChar w:fldCharType="begin"/>
      </w:r>
      <w:r>
        <w:instrText xml:space="preserve"> PAGEREF _Toc169938696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_Toc169938697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Review of Act</w:t>
      </w:r>
      <w:r>
        <w:tab/>
      </w:r>
      <w:r>
        <w:fldChar w:fldCharType="begin"/>
      </w:r>
      <w:r>
        <w:instrText xml:space="preserve"> PAGEREF _Toc169938698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_Toc169938700 \h </w:instrText>
      </w:r>
      <w:r>
        <w:fldChar w:fldCharType="separate"/>
      </w:r>
      <w:r>
        <w:t>54</w:t>
      </w:r>
      <w:r>
        <w:fldChar w:fldCharType="end"/>
      </w:r>
    </w:p>
    <w:p>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June 2007</w:t>
            </w:r>
          </w:p>
        </w:tc>
      </w:tr>
    </w:tbl>
    <w:p>
      <w:pPr>
        <w:pStyle w:val="WA"/>
        <w:spacing w:before="120"/>
      </w:pPr>
      <w:r>
        <w:t>Western Australia</w:t>
      </w:r>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5636245"/>
      <w:bookmarkStart w:id="16" w:name="_Toc36374989"/>
      <w:bookmarkStart w:id="17" w:name="_Toc131386553"/>
      <w:bookmarkStart w:id="18" w:name="_Toc16993866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19" w:name="_Toc455636246"/>
      <w:bookmarkStart w:id="20" w:name="_Toc36374990"/>
      <w:bookmarkStart w:id="21" w:name="_Toc131386554"/>
      <w:bookmarkStart w:id="22" w:name="_Toc16993866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3" w:name="_Toc455636247"/>
      <w:bookmarkStart w:id="24" w:name="_Toc36374991"/>
      <w:bookmarkStart w:id="25" w:name="_Toc131386555"/>
      <w:bookmarkStart w:id="26" w:name="_Toc169938663"/>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t>“</w:t>
      </w:r>
      <w:r>
        <w:rPr>
          <w:rStyle w:val="CharDefText"/>
        </w:rPr>
        <w:t>landlord</w:t>
      </w:r>
      <w:r>
        <w:rPr>
          <w:b/>
        </w:rPr>
        <w:t>”</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r>
      <w:r>
        <w:tab/>
        <w:t>but does not include a person who assigns his interest as tenant under the lease;</w:t>
      </w:r>
    </w:p>
    <w:p>
      <w:pPr>
        <w:pStyle w:val="Defstart"/>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unconscionable conduct application</w:t>
      </w:r>
      <w:r>
        <w:rPr>
          <w:b/>
        </w:rPr>
        <w:t>”</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27" w:name="_Toc455636248"/>
      <w:bookmarkStart w:id="28" w:name="_Toc36374992"/>
      <w:bookmarkStart w:id="29" w:name="_Toc131386556"/>
      <w:bookmarkStart w:id="30" w:name="_Toc169938664"/>
      <w:r>
        <w:rPr>
          <w:rStyle w:val="CharSectno"/>
        </w:rPr>
        <w:t>4</w:t>
      </w:r>
      <w:r>
        <w:rPr>
          <w:snapToGrid w:val="0"/>
        </w:rPr>
        <w:t>.</w:t>
      </w:r>
      <w:r>
        <w:rPr>
          <w:snapToGrid w:val="0"/>
        </w:rPr>
        <w:tab/>
        <w:t>Application</w:t>
      </w:r>
      <w:bookmarkEnd w:id="27"/>
      <w:bookmarkEnd w:id="28"/>
      <w:bookmarkEnd w:id="29"/>
      <w:bookmarkEnd w:id="30"/>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1" w:name="_Toc455636249"/>
      <w:bookmarkStart w:id="32" w:name="_Toc36374993"/>
      <w:bookmarkStart w:id="33" w:name="_Toc131386557"/>
      <w:bookmarkStart w:id="34" w:name="_Toc169938665"/>
      <w:r>
        <w:rPr>
          <w:rStyle w:val="CharSectno"/>
        </w:rPr>
        <w:t>5</w:t>
      </w:r>
      <w:r>
        <w:rPr>
          <w:snapToGrid w:val="0"/>
        </w:rPr>
        <w:t>.</w:t>
      </w:r>
      <w:r>
        <w:rPr>
          <w:snapToGrid w:val="0"/>
        </w:rPr>
        <w:tab/>
        <w:t>Crown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5" w:name="_Toc89771350"/>
      <w:bookmarkStart w:id="36" w:name="_Toc92270388"/>
      <w:bookmarkStart w:id="37" w:name="_Toc92270684"/>
      <w:bookmarkStart w:id="38" w:name="_Toc92270720"/>
      <w:bookmarkStart w:id="39" w:name="_Toc122510554"/>
      <w:bookmarkStart w:id="40" w:name="_Toc131386558"/>
      <w:bookmarkStart w:id="41" w:name="_Toc147910652"/>
      <w:bookmarkStart w:id="42" w:name="_Toc147912687"/>
      <w:bookmarkStart w:id="43" w:name="_Toc166672268"/>
      <w:bookmarkStart w:id="44" w:name="_Toc168113865"/>
      <w:bookmarkStart w:id="45" w:name="_Toc168114179"/>
      <w:bookmarkStart w:id="46" w:name="_Toc168808918"/>
      <w:bookmarkStart w:id="47" w:name="_Toc168808960"/>
      <w:bookmarkStart w:id="48" w:name="_Toc169938666"/>
      <w:r>
        <w:rPr>
          <w:rStyle w:val="CharPartNo"/>
        </w:rPr>
        <w:t>Part II</w:t>
      </w:r>
      <w:r>
        <w:rPr>
          <w:rStyle w:val="CharDivNo"/>
        </w:rPr>
        <w:t> </w:t>
      </w:r>
      <w:r>
        <w:t>—</w:t>
      </w:r>
      <w:r>
        <w:rPr>
          <w:rStyle w:val="CharDivText"/>
        </w:rPr>
        <w:t> </w:t>
      </w:r>
      <w:r>
        <w:rPr>
          <w:rStyle w:val="CharPartText"/>
        </w:rPr>
        <w:t>Retail shop leases</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55636250"/>
      <w:bookmarkStart w:id="50" w:name="_Toc36374994"/>
      <w:bookmarkStart w:id="51" w:name="_Toc131386559"/>
      <w:bookmarkStart w:id="52" w:name="_Toc169938667"/>
      <w:r>
        <w:rPr>
          <w:rStyle w:val="CharSectno"/>
        </w:rPr>
        <w:t>6</w:t>
      </w:r>
      <w:r>
        <w:rPr>
          <w:snapToGrid w:val="0"/>
        </w:rPr>
        <w:t>.</w:t>
      </w:r>
      <w:r>
        <w:rPr>
          <w:snapToGrid w:val="0"/>
        </w:rPr>
        <w:tab/>
        <w:t>Disclosure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53" w:name="_Toc455636251"/>
      <w:bookmarkStart w:id="54" w:name="_Toc36374995"/>
      <w:bookmarkStart w:id="55" w:name="_Toc131386560"/>
      <w:bookmarkStart w:id="56" w:name="_Toc169938668"/>
      <w:r>
        <w:rPr>
          <w:rStyle w:val="CharSectno"/>
        </w:rPr>
        <w:t>6A</w:t>
      </w:r>
      <w:r>
        <w:t>.</w:t>
      </w:r>
      <w:r>
        <w:tab/>
        <w:t>Tenant guide</w:t>
      </w:r>
      <w:bookmarkEnd w:id="53"/>
      <w:bookmarkEnd w:id="54"/>
      <w:bookmarkEnd w:id="55"/>
      <w:bookmarkEnd w:id="56"/>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57" w:name="_Toc455636252"/>
      <w:bookmarkStart w:id="58" w:name="_Toc36374996"/>
      <w:bookmarkStart w:id="59" w:name="_Toc131386561"/>
      <w:bookmarkStart w:id="60" w:name="_Toc169938669"/>
      <w:r>
        <w:rPr>
          <w:rStyle w:val="CharSectno"/>
        </w:rPr>
        <w:t>7</w:t>
      </w:r>
      <w:r>
        <w:rPr>
          <w:snapToGrid w:val="0"/>
        </w:rPr>
        <w:t>.</w:t>
      </w:r>
      <w:r>
        <w:rPr>
          <w:snapToGrid w:val="0"/>
        </w:rPr>
        <w:tab/>
        <w:t>Rent based on turnover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 23.]</w:t>
      </w:r>
    </w:p>
    <w:p>
      <w:pPr>
        <w:pStyle w:val="Heading5"/>
        <w:rPr>
          <w:snapToGrid w:val="0"/>
        </w:rPr>
      </w:pPr>
      <w:bookmarkStart w:id="61" w:name="_Toc455636253"/>
      <w:bookmarkStart w:id="62" w:name="_Toc36374997"/>
      <w:bookmarkStart w:id="63" w:name="_Toc131386562"/>
      <w:bookmarkStart w:id="64" w:name="_Toc169938670"/>
      <w:r>
        <w:rPr>
          <w:rStyle w:val="CharSectno"/>
        </w:rPr>
        <w:t>8</w:t>
      </w:r>
      <w:r>
        <w:rPr>
          <w:snapToGrid w:val="0"/>
        </w:rPr>
        <w:t>.</w:t>
      </w:r>
      <w:r>
        <w:rPr>
          <w:snapToGrid w:val="0"/>
        </w:rPr>
        <w:tab/>
        <w:t>Turnover figures not generally required</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65" w:name="_Toc455636254"/>
      <w:bookmarkStart w:id="66" w:name="_Toc36374998"/>
      <w:bookmarkStart w:id="67" w:name="_Toc131386563"/>
      <w:bookmarkStart w:id="68" w:name="_Toc169938671"/>
      <w:r>
        <w:rPr>
          <w:rStyle w:val="CharSectno"/>
        </w:rPr>
        <w:t>9</w:t>
      </w:r>
      <w:r>
        <w:rPr>
          <w:snapToGrid w:val="0"/>
        </w:rPr>
        <w:t>.</w:t>
      </w:r>
      <w:r>
        <w:rPr>
          <w:snapToGrid w:val="0"/>
        </w:rPr>
        <w:tab/>
        <w:t>Key</w:t>
      </w:r>
      <w:r>
        <w:rPr>
          <w:snapToGrid w:val="0"/>
        </w:rPr>
        <w:noBreakHyphen/>
        <w:t>money and goodwill</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69" w:name="_Toc455636255"/>
      <w:bookmarkStart w:id="70" w:name="_Toc36374999"/>
      <w:bookmarkStart w:id="71" w:name="_Toc131386564"/>
      <w:bookmarkStart w:id="72" w:name="_Toc169938672"/>
      <w:r>
        <w:rPr>
          <w:rStyle w:val="CharSectno"/>
        </w:rPr>
        <w:t>10</w:t>
      </w:r>
      <w:r>
        <w:rPr>
          <w:snapToGrid w:val="0"/>
        </w:rPr>
        <w:t>.</w:t>
      </w:r>
      <w:r>
        <w:rPr>
          <w:snapToGrid w:val="0"/>
        </w:rPr>
        <w:tab/>
        <w:t>Assignment and sub</w:t>
      </w:r>
      <w:r>
        <w:rPr>
          <w:snapToGrid w:val="0"/>
        </w:rPr>
        <w:noBreakHyphen/>
        <w:t>leasing</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73" w:name="_Toc455636256"/>
      <w:bookmarkStart w:id="74" w:name="_Toc36375000"/>
      <w:bookmarkStart w:id="75" w:name="_Toc131386565"/>
      <w:bookmarkStart w:id="76" w:name="_Toc169938673"/>
      <w:r>
        <w:rPr>
          <w:rStyle w:val="CharSectno"/>
        </w:rPr>
        <w:t>11</w:t>
      </w:r>
      <w:r>
        <w:rPr>
          <w:snapToGrid w:val="0"/>
        </w:rPr>
        <w:t>.</w:t>
      </w:r>
      <w:r>
        <w:rPr>
          <w:snapToGrid w:val="0"/>
        </w:rPr>
        <w:tab/>
        <w:t>Rent review</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77" w:name="_Toc455636257"/>
      <w:bookmarkStart w:id="78" w:name="_Toc36375001"/>
      <w:bookmarkStart w:id="79" w:name="_Toc131386566"/>
      <w:bookmarkStart w:id="80" w:name="_Toc169938674"/>
      <w:r>
        <w:rPr>
          <w:rStyle w:val="CharSectno"/>
        </w:rPr>
        <w:t>12</w:t>
      </w:r>
      <w:r>
        <w:rPr>
          <w:snapToGrid w:val="0"/>
        </w:rPr>
        <w:t>.</w:t>
      </w:r>
      <w:r>
        <w:rPr>
          <w:snapToGrid w:val="0"/>
        </w:rPr>
        <w:tab/>
        <w:t>Contribution to landlord’s expenses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81" w:name="_Toc455636258"/>
      <w:bookmarkStart w:id="82" w:name="_Toc36375002"/>
      <w:bookmarkStart w:id="83" w:name="_Toc131386567"/>
      <w:bookmarkStart w:id="84" w:name="_Toc169938675"/>
      <w:r>
        <w:rPr>
          <w:rStyle w:val="CharSectno"/>
        </w:rPr>
        <w:t>12A</w:t>
      </w:r>
      <w:r>
        <w:t>.</w:t>
      </w:r>
      <w:r>
        <w:tab/>
        <w:t>Sinking funds</w:t>
      </w:r>
      <w:bookmarkEnd w:id="81"/>
      <w:bookmarkEnd w:id="82"/>
      <w:bookmarkEnd w:id="83"/>
      <w:bookmarkEnd w:id="8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85" w:name="_Toc455636259"/>
      <w:bookmarkStart w:id="86" w:name="_Toc36375003"/>
      <w:bookmarkStart w:id="87" w:name="_Toc131386568"/>
      <w:bookmarkStart w:id="88" w:name="_Toc169938676"/>
      <w:r>
        <w:rPr>
          <w:rStyle w:val="CharSectno"/>
        </w:rPr>
        <w:t>12B</w:t>
      </w:r>
      <w:r>
        <w:t>.</w:t>
      </w:r>
      <w:r>
        <w:tab/>
        <w:t>Contribution to other funds and reserves by tenants</w:t>
      </w:r>
      <w:bookmarkEnd w:id="85"/>
      <w:bookmarkEnd w:id="86"/>
      <w:bookmarkEnd w:id="87"/>
      <w:bookmarkEnd w:id="8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89" w:name="_Toc455636260"/>
      <w:bookmarkStart w:id="90" w:name="_Toc36375004"/>
      <w:bookmarkStart w:id="91" w:name="_Toc131386569"/>
      <w:bookmarkStart w:id="92" w:name="_Toc169938677"/>
      <w:r>
        <w:rPr>
          <w:rStyle w:val="CharSectno"/>
        </w:rPr>
        <w:t>12C</w:t>
      </w:r>
      <w:r>
        <w:t>.</w:t>
      </w:r>
      <w:r>
        <w:tab/>
        <w:t>Hours of operation</w:t>
      </w:r>
      <w:bookmarkEnd w:id="89"/>
      <w:bookmarkEnd w:id="90"/>
      <w:bookmarkEnd w:id="91"/>
      <w:bookmarkEnd w:id="92"/>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93" w:name="_Toc166554212"/>
      <w:bookmarkStart w:id="94" w:name="_Toc169938678"/>
      <w:bookmarkStart w:id="95" w:name="_Toc455636261"/>
      <w:bookmarkStart w:id="96" w:name="_Toc36375005"/>
      <w:bookmarkStart w:id="97" w:name="_Toc131386570"/>
      <w:r>
        <w:rPr>
          <w:rStyle w:val="CharSectno"/>
        </w:rPr>
        <w:t>12D</w:t>
      </w:r>
      <w:r>
        <w:t>.</w:t>
      </w:r>
      <w:r>
        <w:tab/>
        <w:t>Tenants’ associations etc.</w:t>
      </w:r>
      <w:bookmarkEnd w:id="93"/>
      <w:bookmarkEnd w:id="94"/>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98" w:name="_Toc169938679"/>
      <w:r>
        <w:rPr>
          <w:rStyle w:val="CharSectno"/>
        </w:rPr>
        <w:t>13</w:t>
      </w:r>
      <w:r>
        <w:rPr>
          <w:snapToGrid w:val="0"/>
        </w:rPr>
        <w:t>.</w:t>
      </w:r>
      <w:r>
        <w:rPr>
          <w:snapToGrid w:val="0"/>
        </w:rPr>
        <w:tab/>
        <w:t>Right to at least 5 years’ tenancy</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99" w:name="_Toc455636262"/>
      <w:bookmarkStart w:id="100" w:name="_Toc36375006"/>
      <w:bookmarkStart w:id="101" w:name="_Toc131386571"/>
      <w:bookmarkStart w:id="102" w:name="_Toc169938680"/>
      <w:r>
        <w:rPr>
          <w:rStyle w:val="CharSectno"/>
        </w:rPr>
        <w:t>13A</w:t>
      </w:r>
      <w:r>
        <w:rPr>
          <w:snapToGrid w:val="0"/>
        </w:rPr>
        <w:t>.</w:t>
      </w:r>
      <w:r>
        <w:rPr>
          <w:snapToGrid w:val="0"/>
        </w:rPr>
        <w:tab/>
        <w:t>Avoidance prevented</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03" w:name="_Toc455636263"/>
      <w:bookmarkStart w:id="104" w:name="_Toc36375007"/>
      <w:bookmarkStart w:id="105" w:name="_Toc131386572"/>
      <w:bookmarkStart w:id="106" w:name="_Toc169938681"/>
      <w:r>
        <w:rPr>
          <w:rStyle w:val="CharSectno"/>
        </w:rPr>
        <w:t>13B</w:t>
      </w:r>
      <w:r>
        <w:rPr>
          <w:snapToGrid w:val="0"/>
        </w:rPr>
        <w:t>.</w:t>
      </w:r>
      <w:r>
        <w:rPr>
          <w:snapToGrid w:val="0"/>
        </w:rPr>
        <w:tab/>
        <w:t>Notices as to renewal of leases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07" w:name="_Toc455636264"/>
      <w:bookmarkStart w:id="108" w:name="_Toc36375008"/>
      <w:bookmarkStart w:id="109" w:name="_Toc131386573"/>
      <w:bookmarkStart w:id="110" w:name="_Toc169938682"/>
      <w:r>
        <w:rPr>
          <w:rStyle w:val="CharSectno"/>
        </w:rPr>
        <w:t>14</w:t>
      </w:r>
      <w:r>
        <w:rPr>
          <w:snapToGrid w:val="0"/>
        </w:rPr>
        <w:t>.</w:t>
      </w:r>
      <w:r>
        <w:rPr>
          <w:snapToGrid w:val="0"/>
        </w:rPr>
        <w:tab/>
        <w:t>Compensation by landlord</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11" w:name="_Toc455636265"/>
      <w:bookmarkStart w:id="112" w:name="_Toc36375009"/>
      <w:bookmarkStart w:id="113" w:name="_Toc131386574"/>
      <w:bookmarkStart w:id="114" w:name="_Toc169938683"/>
      <w:r>
        <w:rPr>
          <w:rStyle w:val="CharSectno"/>
        </w:rPr>
        <w:t>15</w:t>
      </w:r>
      <w:r>
        <w:rPr>
          <w:snapToGrid w:val="0"/>
        </w:rPr>
        <w:t>.</w:t>
      </w:r>
      <w:r>
        <w:rPr>
          <w:snapToGrid w:val="0"/>
        </w:rPr>
        <w:tab/>
        <w:t>Act prevails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15" w:name="_Toc166554214"/>
      <w:bookmarkStart w:id="116" w:name="_Toc166672286"/>
      <w:bookmarkStart w:id="117" w:name="_Toc168113883"/>
      <w:bookmarkStart w:id="118" w:name="_Toc168114197"/>
      <w:bookmarkStart w:id="119" w:name="_Toc168808936"/>
      <w:bookmarkStart w:id="120" w:name="_Toc168808978"/>
      <w:bookmarkStart w:id="121" w:name="_Toc169938684"/>
      <w:bookmarkStart w:id="122" w:name="_Toc89771367"/>
      <w:bookmarkStart w:id="123" w:name="_Toc92270405"/>
      <w:bookmarkStart w:id="124" w:name="_Toc92270701"/>
      <w:bookmarkStart w:id="125" w:name="_Toc92270737"/>
      <w:bookmarkStart w:id="126" w:name="_Toc122510571"/>
      <w:bookmarkStart w:id="127" w:name="_Toc131386575"/>
      <w:bookmarkStart w:id="128" w:name="_Toc147910669"/>
      <w:bookmarkStart w:id="129" w:name="_Toc147912704"/>
      <w:r>
        <w:rPr>
          <w:rStyle w:val="CharPartNo"/>
        </w:rPr>
        <w:t>Part IIA</w:t>
      </w:r>
      <w:r>
        <w:rPr>
          <w:b w:val="0"/>
        </w:rPr>
        <w:t> </w:t>
      </w:r>
      <w:r>
        <w:t>—</w:t>
      </w:r>
      <w:r>
        <w:rPr>
          <w:b w:val="0"/>
        </w:rPr>
        <w:t> </w:t>
      </w:r>
      <w:r>
        <w:rPr>
          <w:rStyle w:val="CharPartText"/>
        </w:rPr>
        <w:t>Unconscionable conduct</w:t>
      </w:r>
      <w:bookmarkEnd w:id="115"/>
      <w:bookmarkEnd w:id="116"/>
      <w:bookmarkEnd w:id="117"/>
      <w:bookmarkEnd w:id="118"/>
      <w:bookmarkEnd w:id="119"/>
      <w:bookmarkEnd w:id="120"/>
      <w:bookmarkEnd w:id="121"/>
    </w:p>
    <w:p>
      <w:pPr>
        <w:pStyle w:val="Footnoteheading"/>
      </w:pPr>
      <w:r>
        <w:tab/>
        <w:t>[Heading inserted by No. 47 of 2006 s. 23.]</w:t>
      </w:r>
    </w:p>
    <w:p>
      <w:pPr>
        <w:pStyle w:val="Heading5"/>
        <w:spacing w:before="180"/>
      </w:pPr>
      <w:bookmarkStart w:id="130" w:name="_Toc166554215"/>
      <w:bookmarkStart w:id="131" w:name="_Toc169938685"/>
      <w:r>
        <w:rPr>
          <w:rStyle w:val="CharSectno"/>
        </w:rPr>
        <w:t>15A</w:t>
      </w:r>
      <w:r>
        <w:t>.</w:t>
      </w:r>
      <w:r>
        <w:tab/>
        <w:t>Terms used in this Part</w:t>
      </w:r>
      <w:bookmarkEnd w:id="130"/>
      <w:bookmarkEnd w:id="131"/>
    </w:p>
    <w:p>
      <w:pPr>
        <w:pStyle w:val="Subsection"/>
        <w:spacing w:before="120"/>
      </w:pPr>
      <w:r>
        <w:tab/>
      </w:r>
      <w:r>
        <w:tab/>
        <w:t xml:space="preserve">In this Part — </w:t>
      </w:r>
    </w:p>
    <w:p>
      <w:pPr>
        <w:pStyle w:val="Defstart"/>
      </w:pPr>
      <w:r>
        <w:rPr>
          <w:b/>
        </w:rPr>
        <w:tab/>
        <w:t>“</w:t>
      </w:r>
      <w:r>
        <w:rPr>
          <w:rStyle w:val="CharDefText"/>
        </w:rPr>
        <w:t>applicable industry code</w:t>
      </w:r>
      <w:r>
        <w:rPr>
          <w:b/>
        </w:rPr>
        <w:t>”</w:t>
      </w:r>
      <w:r>
        <w:t>, in relation to a person who is a participant in an industry, means the prescribed provisions of an industry code relating to the industry;</w:t>
      </w:r>
    </w:p>
    <w:p>
      <w:pPr>
        <w:pStyle w:val="Defstart"/>
        <w:rPr>
          <w:iCs/>
        </w:rPr>
      </w:pPr>
      <w:r>
        <w:rPr>
          <w:b/>
        </w:rPr>
        <w:tab/>
        <w:t>“</w:t>
      </w:r>
      <w:r>
        <w:rPr>
          <w:rStyle w:val="CharDefText"/>
        </w:rPr>
        <w:t>commencement</w:t>
      </w:r>
      <w:r>
        <w:rPr>
          <w:b/>
        </w:rPr>
        <w:t>”</w:t>
      </w:r>
      <w:r>
        <w:t xml:space="preserve"> means the commencement of section 23 of the </w:t>
      </w:r>
      <w:r>
        <w:rPr>
          <w:i/>
        </w:rPr>
        <w:t>Retail Shops and Fair Trading Legislation Amendment Act 2006</w:t>
      </w:r>
      <w:r>
        <w:rPr>
          <w:iCs/>
        </w:rPr>
        <w:t>;</w:t>
      </w:r>
    </w:p>
    <w:p>
      <w:pPr>
        <w:pStyle w:val="Defstart"/>
      </w:pPr>
      <w:r>
        <w:rPr>
          <w:b/>
        </w:rPr>
        <w:tab/>
        <w:t>“</w:t>
      </w:r>
      <w:r>
        <w:rPr>
          <w:rStyle w:val="CharDefText"/>
        </w:rPr>
        <w:t>fit out costs</w:t>
      </w:r>
      <w:r>
        <w:rPr>
          <w:b/>
        </w:rPr>
        <w:t>”</w:t>
      </w:r>
      <w:r>
        <w:t xml:space="preserve"> includes the costs of providing or installing finishes, fixtures, fittings, equipment and services;</w:t>
      </w:r>
    </w:p>
    <w:p>
      <w:pPr>
        <w:pStyle w:val="Defstart"/>
      </w:pPr>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Footnotesection"/>
      </w:pPr>
      <w:bookmarkStart w:id="132" w:name="_Toc166554216"/>
      <w:r>
        <w:tab/>
        <w:t>[Section 15A inserted by No. 47 of 2006 s. 23.]</w:t>
      </w:r>
    </w:p>
    <w:p>
      <w:pPr>
        <w:pStyle w:val="Heading5"/>
        <w:spacing w:before="180"/>
      </w:pPr>
      <w:bookmarkStart w:id="133" w:name="_Toc169938686"/>
      <w:r>
        <w:rPr>
          <w:rStyle w:val="CharSectno"/>
        </w:rPr>
        <w:t>15B</w:t>
      </w:r>
      <w:r>
        <w:t>.</w:t>
      </w:r>
      <w:r>
        <w:tab/>
        <w:t>Application of Part</w:t>
      </w:r>
      <w:bookmarkEnd w:id="132"/>
      <w:bookmarkEnd w:id="133"/>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t>“</w:t>
      </w:r>
      <w:r>
        <w:rPr>
          <w:rStyle w:val="CharDefText"/>
        </w:rPr>
        <w:t>relevant day</w:t>
      </w:r>
      <w:r>
        <w:rPr>
          <w:b/>
        </w:rPr>
        <w:t>”</w:t>
      </w:r>
      <w:r>
        <w:t xml:space="preserve"> has the meaning given to that term by section 4(3).</w:t>
      </w:r>
    </w:p>
    <w:p>
      <w:pPr>
        <w:pStyle w:val="Footnotesection"/>
        <w:spacing w:before="40"/>
        <w:ind w:left="890" w:hanging="890"/>
      </w:pPr>
      <w:bookmarkStart w:id="134" w:name="_Toc166554217"/>
      <w:r>
        <w:tab/>
        <w:t>[Section 15B inserted by No. 47 of 2006 s. 23.]</w:t>
      </w:r>
    </w:p>
    <w:p>
      <w:pPr>
        <w:pStyle w:val="Heading5"/>
      </w:pPr>
      <w:bookmarkStart w:id="135" w:name="_Toc169938687"/>
      <w:r>
        <w:rPr>
          <w:rStyle w:val="CharSectno"/>
        </w:rPr>
        <w:t>15C</w:t>
      </w:r>
      <w:r>
        <w:t>.</w:t>
      </w:r>
      <w:r>
        <w:tab/>
        <w:t>Unconscionable conduct of landlords</w:t>
      </w:r>
      <w:bookmarkEnd w:id="134"/>
      <w:bookmarkEnd w:id="135"/>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36" w:name="_Toc166554218"/>
      <w:r>
        <w:tab/>
        <w:t>[Section 15C inserted by No. 47 of 2006 s. 23.]</w:t>
      </w:r>
    </w:p>
    <w:p>
      <w:pPr>
        <w:pStyle w:val="Heading5"/>
      </w:pPr>
      <w:bookmarkStart w:id="137" w:name="_Toc169938688"/>
      <w:r>
        <w:rPr>
          <w:rStyle w:val="CharSectno"/>
        </w:rPr>
        <w:t>15D</w:t>
      </w:r>
      <w:r>
        <w:t>.</w:t>
      </w:r>
      <w:r>
        <w:tab/>
        <w:t>Unconscionable conduct of tenants</w:t>
      </w:r>
      <w:bookmarkEnd w:id="136"/>
      <w:bookmarkEnd w:id="137"/>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38" w:name="_Toc166554219"/>
      <w:r>
        <w:tab/>
        <w:t>[Section 15D inserted by No. 47 of 2006 s. 23.]</w:t>
      </w:r>
    </w:p>
    <w:p>
      <w:pPr>
        <w:pStyle w:val="Heading5"/>
      </w:pPr>
      <w:bookmarkStart w:id="139" w:name="_Toc169938689"/>
      <w:r>
        <w:rPr>
          <w:rStyle w:val="CharSectno"/>
        </w:rPr>
        <w:t>15E</w:t>
      </w:r>
      <w:r>
        <w:t>.</w:t>
      </w:r>
      <w:r>
        <w:tab/>
        <w:t>Certain conduct not unconscionable</w:t>
      </w:r>
      <w:bookmarkEnd w:id="138"/>
      <w:bookmarkEnd w:id="139"/>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40" w:name="_Toc166554220"/>
      <w:r>
        <w:tab/>
        <w:t>[Section 15E inserted by No. 47 of 2006 s. 23.]</w:t>
      </w:r>
    </w:p>
    <w:p>
      <w:pPr>
        <w:pStyle w:val="Heading5"/>
      </w:pPr>
      <w:bookmarkStart w:id="141" w:name="_Toc169938690"/>
      <w:r>
        <w:rPr>
          <w:rStyle w:val="CharSectno"/>
        </w:rPr>
        <w:t>15F</w:t>
      </w:r>
      <w:r>
        <w:t>.</w:t>
      </w:r>
      <w:r>
        <w:tab/>
        <w:t>Powers of Tribunal relating to unconscionable conduct</w:t>
      </w:r>
      <w:bookmarkEnd w:id="140"/>
      <w:bookmarkEnd w:id="141"/>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t>“</w:t>
      </w:r>
      <w:r>
        <w:rPr>
          <w:rStyle w:val="CharDefText"/>
        </w:rPr>
        <w:t>specified</w:t>
      </w:r>
      <w:r>
        <w:rPr>
          <w:b/>
        </w:rPr>
        <w:t>”</w:t>
      </w:r>
      <w:r>
        <w:t>, in relation to an order, means specified in the order.</w:t>
      </w:r>
    </w:p>
    <w:p>
      <w:pPr>
        <w:pStyle w:val="Footnotesection"/>
      </w:pPr>
      <w:r>
        <w:tab/>
        <w:t>[Section 15F inserted by No. 47 of 2006 s. 23.]</w:t>
      </w:r>
    </w:p>
    <w:p>
      <w:pPr>
        <w:pStyle w:val="Heading2"/>
      </w:pPr>
      <w:bookmarkStart w:id="142" w:name="_Toc166672293"/>
      <w:bookmarkStart w:id="143" w:name="_Toc168113890"/>
      <w:bookmarkStart w:id="144" w:name="_Toc168114204"/>
      <w:bookmarkStart w:id="145" w:name="_Toc168808943"/>
      <w:bookmarkStart w:id="146" w:name="_Toc168808985"/>
      <w:bookmarkStart w:id="147" w:name="_Toc169938691"/>
      <w:r>
        <w:rPr>
          <w:rStyle w:val="CharPartNo"/>
        </w:rPr>
        <w:t>Part III</w:t>
      </w:r>
      <w:r>
        <w:rPr>
          <w:rStyle w:val="CharDivNo"/>
        </w:rPr>
        <w:t> </w:t>
      </w:r>
      <w:r>
        <w:t>—</w:t>
      </w:r>
      <w:r>
        <w:rPr>
          <w:rStyle w:val="CharDivText"/>
        </w:rPr>
        <w:t> </w:t>
      </w:r>
      <w:r>
        <w:rPr>
          <w:rStyle w:val="CharPartText"/>
        </w:rPr>
        <w:t>Determination of questions</w:t>
      </w:r>
      <w:bookmarkEnd w:id="122"/>
      <w:bookmarkEnd w:id="123"/>
      <w:bookmarkEnd w:id="124"/>
      <w:bookmarkEnd w:id="125"/>
      <w:bookmarkEnd w:id="126"/>
      <w:bookmarkEnd w:id="127"/>
      <w:bookmarkEnd w:id="128"/>
      <w:bookmarkEnd w:id="129"/>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55636266"/>
      <w:bookmarkStart w:id="149" w:name="_Toc36375010"/>
      <w:bookmarkStart w:id="150" w:name="_Toc131386576"/>
      <w:bookmarkStart w:id="151" w:name="_Toc169938692"/>
      <w:r>
        <w:rPr>
          <w:rStyle w:val="CharSectno"/>
        </w:rPr>
        <w:t>16</w:t>
      </w:r>
      <w:r>
        <w:rPr>
          <w:snapToGrid w:val="0"/>
        </w:rPr>
        <w:t>.</w:t>
      </w:r>
      <w:r>
        <w:rPr>
          <w:snapToGrid w:val="0"/>
        </w:rPr>
        <w:tab/>
        <w:t xml:space="preserve">Reference of questions to </w:t>
      </w:r>
      <w:bookmarkEnd w:id="148"/>
      <w:bookmarkEnd w:id="149"/>
      <w:bookmarkEnd w:id="150"/>
      <w:r>
        <w:rPr>
          <w:snapToGrid w:val="0"/>
        </w:rPr>
        <w:t>State Administrative Tribunal</w:t>
      </w:r>
      <w:bookmarkEnd w:id="151"/>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 </w:t>
      </w:r>
      <w:r>
        <w:rPr>
          <w:snapToGrid w:val="0"/>
        </w:rPr>
        <w:t>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No. 47 of 2006 s. 25.] </w:t>
      </w:r>
    </w:p>
    <w:p>
      <w:pPr>
        <w:pStyle w:val="Ednotesection"/>
      </w:pPr>
      <w:r>
        <w:t>[</w:t>
      </w:r>
      <w:r>
        <w:rPr>
          <w:b/>
        </w:rPr>
        <w:t>17.</w:t>
      </w:r>
      <w:r>
        <w:tab/>
        <w:t xml:space="preserve">Repealed by No. 48 of 1990 s.14.] </w:t>
      </w:r>
    </w:p>
    <w:p>
      <w:pPr>
        <w:pStyle w:val="Ednotesection"/>
      </w:pPr>
      <w:r>
        <w:t>[</w:t>
      </w:r>
      <w:r>
        <w:rPr>
          <w:b/>
        </w:rPr>
        <w:t>18</w:t>
      </w:r>
      <w:r>
        <w:rPr>
          <w:b/>
        </w:rPr>
        <w:noBreakHyphen/>
        <w:t>25.</w:t>
      </w:r>
      <w:r>
        <w:tab/>
        <w:t>Repealed by No. 55 of 2004 s. 128.]</w:t>
      </w:r>
    </w:p>
    <w:p>
      <w:pPr>
        <w:pStyle w:val="Heading5"/>
        <w:rPr>
          <w:snapToGrid w:val="0"/>
        </w:rPr>
      </w:pPr>
      <w:bookmarkStart w:id="152" w:name="_Toc455636275"/>
      <w:bookmarkStart w:id="153" w:name="_Toc36375019"/>
      <w:bookmarkStart w:id="154" w:name="_Toc131386577"/>
      <w:bookmarkStart w:id="155" w:name="_Toc169938693"/>
      <w:r>
        <w:rPr>
          <w:rStyle w:val="CharSectno"/>
        </w:rPr>
        <w:t>26</w:t>
      </w:r>
      <w:r>
        <w:rPr>
          <w:snapToGrid w:val="0"/>
        </w:rPr>
        <w:t>.</w:t>
      </w:r>
      <w:r>
        <w:rPr>
          <w:snapToGrid w:val="0"/>
        </w:rPr>
        <w:tab/>
        <w:t>Orders of Tribunal</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Footnotesection"/>
      </w:pPr>
      <w:r>
        <w:tab/>
        <w:t xml:space="preserve">[Section 26 amended by No. 48 of 1990 s.20; No. 66 of 1998 s.11; No. 55 of 2004 s. 129.] </w:t>
      </w:r>
    </w:p>
    <w:p>
      <w:pPr>
        <w:pStyle w:val="Heading5"/>
        <w:rPr>
          <w:snapToGrid w:val="0"/>
        </w:rPr>
      </w:pPr>
      <w:bookmarkStart w:id="156" w:name="_Toc455636276"/>
      <w:bookmarkStart w:id="157" w:name="_Toc36375020"/>
      <w:bookmarkStart w:id="158" w:name="_Toc131386578"/>
      <w:bookmarkStart w:id="159" w:name="_Toc169938694"/>
      <w:r>
        <w:rPr>
          <w:rStyle w:val="CharSectno"/>
        </w:rPr>
        <w:t>27</w:t>
      </w:r>
      <w:r>
        <w:rPr>
          <w:snapToGrid w:val="0"/>
        </w:rPr>
        <w:t>.</w:t>
      </w:r>
      <w:r>
        <w:rPr>
          <w:snapToGrid w:val="0"/>
        </w:rPr>
        <w:tab/>
        <w:t>Other jurisdictions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w:t>
      </w:r>
    </w:p>
    <w:p>
      <w:pPr>
        <w:pStyle w:val="Heading2"/>
      </w:pPr>
      <w:bookmarkStart w:id="160" w:name="_Toc89771379"/>
      <w:bookmarkStart w:id="161" w:name="_Toc92270409"/>
      <w:bookmarkStart w:id="162" w:name="_Toc92270705"/>
      <w:bookmarkStart w:id="163" w:name="_Toc92270741"/>
      <w:bookmarkStart w:id="164" w:name="_Toc122510575"/>
      <w:bookmarkStart w:id="165" w:name="_Toc131386579"/>
      <w:bookmarkStart w:id="166" w:name="_Toc147910673"/>
      <w:bookmarkStart w:id="167" w:name="_Toc147912708"/>
      <w:bookmarkStart w:id="168" w:name="_Toc166672297"/>
      <w:bookmarkStart w:id="169" w:name="_Toc168113894"/>
      <w:bookmarkStart w:id="170" w:name="_Toc168114208"/>
      <w:bookmarkStart w:id="171" w:name="_Toc168808947"/>
      <w:bookmarkStart w:id="172" w:name="_Toc168808989"/>
      <w:bookmarkStart w:id="173" w:name="_Toc169938695"/>
      <w:r>
        <w:rPr>
          <w:rStyle w:val="CharPartNo"/>
        </w:rPr>
        <w:t>Part IV</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spacing w:before="240"/>
        <w:rPr>
          <w:snapToGrid w:val="0"/>
        </w:rPr>
      </w:pPr>
      <w:bookmarkStart w:id="174" w:name="_Toc455636277"/>
      <w:bookmarkStart w:id="175" w:name="_Toc36375021"/>
      <w:bookmarkStart w:id="176" w:name="_Toc131386580"/>
      <w:bookmarkStart w:id="177" w:name="_Toc169938696"/>
      <w:r>
        <w:rPr>
          <w:rStyle w:val="CharSectno"/>
        </w:rPr>
        <w:t>28</w:t>
      </w:r>
      <w:r>
        <w:rPr>
          <w:snapToGrid w:val="0"/>
        </w:rPr>
        <w:t>.</w:t>
      </w:r>
      <w:r>
        <w:rPr>
          <w:snapToGrid w:val="0"/>
        </w:rPr>
        <w:tab/>
        <w:t>Protection</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Repealed by No. 55 of 2004 s. 131.]</w:t>
      </w:r>
    </w:p>
    <w:p>
      <w:pPr>
        <w:pStyle w:val="Heading5"/>
        <w:spacing w:before="240"/>
        <w:rPr>
          <w:snapToGrid w:val="0"/>
        </w:rPr>
      </w:pPr>
      <w:bookmarkStart w:id="178" w:name="_Toc455636279"/>
      <w:bookmarkStart w:id="179" w:name="_Toc36375023"/>
      <w:bookmarkStart w:id="180" w:name="_Toc131386581"/>
      <w:bookmarkStart w:id="181" w:name="_Toc169938697"/>
      <w:r>
        <w:rPr>
          <w:rStyle w:val="CharSectno"/>
        </w:rPr>
        <w:t>30</w:t>
      </w:r>
      <w:r>
        <w:rPr>
          <w:snapToGrid w:val="0"/>
        </w:rPr>
        <w:t>.</w:t>
      </w:r>
      <w:r>
        <w:rPr>
          <w:snapToGrid w:val="0"/>
        </w:rPr>
        <w:tab/>
        <w:t>Regulations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182" w:name="_Toc455636280"/>
      <w:bookmarkStart w:id="183" w:name="_Toc36375024"/>
      <w:bookmarkStart w:id="184" w:name="_Toc131386582"/>
      <w:bookmarkStart w:id="185" w:name="_Toc169938698"/>
      <w:r>
        <w:rPr>
          <w:rStyle w:val="CharSectno"/>
        </w:rPr>
        <w:t>31</w:t>
      </w:r>
      <w:r>
        <w:rPr>
          <w:snapToGrid w:val="0"/>
        </w:rPr>
        <w:t>.</w:t>
      </w:r>
      <w:r>
        <w:rPr>
          <w:snapToGrid w:val="0"/>
        </w:rPr>
        <w:tab/>
        <w:t>Review of Act</w:t>
      </w:r>
      <w:bookmarkEnd w:id="182"/>
      <w:bookmarkEnd w:id="183"/>
      <w:bookmarkEnd w:id="184"/>
      <w:bookmarkEnd w:id="185"/>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pStyle w:val="Footnotesection"/>
      </w:pP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86" w:name="_Toc89771384"/>
      <w:bookmarkStart w:id="187" w:name="_Toc92270413"/>
      <w:bookmarkStart w:id="188" w:name="_Toc92270709"/>
      <w:bookmarkStart w:id="189" w:name="_Toc92270745"/>
      <w:bookmarkStart w:id="190" w:name="_Toc122510579"/>
      <w:bookmarkStart w:id="191" w:name="_Toc131386583"/>
      <w:bookmarkStart w:id="192" w:name="_Toc147910677"/>
      <w:bookmarkStart w:id="193" w:name="_Toc147912712"/>
      <w:bookmarkStart w:id="194" w:name="_Toc166672301"/>
      <w:bookmarkStart w:id="195" w:name="_Toc168113898"/>
      <w:bookmarkStart w:id="196" w:name="_Toc168114212"/>
      <w:bookmarkStart w:id="197" w:name="_Toc168808951"/>
      <w:bookmarkStart w:id="198" w:name="_Toc168808993"/>
      <w:bookmarkStart w:id="199" w:name="_Toc169938699"/>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reprint is a compilation as at 8 June 2007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Commercial Tenancy (Retail Shops) Agreements Act 1985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0" w:name="_Toc169938700"/>
      <w:r>
        <w:rPr>
          <w:snapToGrid w:val="0"/>
        </w:rPr>
        <w:t>Compilation table</w:t>
      </w:r>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201" w:name="endcomma"/>
      <w:bookmarkEnd w:id="201"/>
      <w:r>
        <w:rPr>
          <w:b/>
        </w:rPr>
        <w:t>retail shop lease”</w:t>
      </w:r>
      <w:r>
        <w:t xml:space="preserve"> </w:t>
      </w:r>
      <w:bookmarkStart w:id="202" w:name="comma"/>
      <w:bookmarkEnd w:id="202"/>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03" w:name="_Toc528569730"/>
      <w:bookmarkStart w:id="204" w:name="_Toc6163318"/>
      <w:r>
        <w:rPr>
          <w:rStyle w:val="CharSectno"/>
        </w:rPr>
        <w:t>3</w:t>
      </w:r>
      <w:r>
        <w:t>.</w:t>
      </w:r>
      <w:r>
        <w:tab/>
        <w:t>Relationship with other Acts</w:t>
      </w:r>
      <w:bookmarkEnd w:id="203"/>
      <w:bookmarkEnd w:id="20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05" w:name="_Toc528569731"/>
      <w:bookmarkStart w:id="206" w:name="_Toc6163319"/>
      <w:r>
        <w:rPr>
          <w:rStyle w:val="CharSectno"/>
        </w:rPr>
        <w:t>4</w:t>
      </w:r>
      <w:r>
        <w:t>.</w:t>
      </w:r>
      <w:r>
        <w:tab/>
        <w:t>Meaning of terms used in this Act</w:t>
      </w:r>
      <w:bookmarkEnd w:id="205"/>
      <w:bookmarkEnd w:id="206"/>
    </w:p>
    <w:p>
      <w:pPr>
        <w:pStyle w:val="nzSubsection"/>
      </w:pPr>
      <w:r>
        <w:tab/>
      </w:r>
      <w:bookmarkStart w:id="207" w:name="_Hlt528057531"/>
      <w:bookmarkEnd w:id="20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08" w:name="_Hlt529933443"/>
      <w:bookmarkStart w:id="209" w:name="_Hlt529932130"/>
      <w:bookmarkStart w:id="210" w:name="_Hlt523729657"/>
      <w:bookmarkStart w:id="211" w:name="_Hlt523729676"/>
      <w:bookmarkStart w:id="212" w:name="_Hlt523729726"/>
      <w:bookmarkStart w:id="213" w:name="_Toc6163348"/>
      <w:bookmarkEnd w:id="208"/>
      <w:bookmarkEnd w:id="209"/>
      <w:bookmarkEnd w:id="210"/>
      <w:bookmarkEnd w:id="211"/>
      <w:bookmarkEnd w:id="212"/>
      <w:r>
        <w:rPr>
          <w:rStyle w:val="CharSectno"/>
        </w:rPr>
        <w:t>33</w:t>
      </w:r>
      <w:r>
        <w:t>.</w:t>
      </w:r>
      <w:r>
        <w:tab/>
        <w:t>Definitions</w:t>
      </w:r>
      <w:bookmarkEnd w:id="213"/>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14" w:name="_Toc6163349"/>
      <w:r>
        <w:rPr>
          <w:rStyle w:val="CharSectno"/>
        </w:rPr>
        <w:t>34</w:t>
      </w:r>
      <w:r>
        <w:t>.</w:t>
      </w:r>
      <w:r>
        <w:tab/>
        <w:t>General transitional arrangements</w:t>
      </w:r>
      <w:bookmarkEnd w:id="21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15" w:name="_Toc6163350"/>
      <w:r>
        <w:rPr>
          <w:rStyle w:val="CharSectno"/>
        </w:rPr>
        <w:t>35</w:t>
      </w:r>
      <w:r>
        <w:t>.</w:t>
      </w:r>
      <w:r>
        <w:tab/>
        <w:t>Commissioner not to increase tax liability</w:t>
      </w:r>
      <w:bookmarkEnd w:id="21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16" w:name="_Toc6163351"/>
      <w:r>
        <w:rPr>
          <w:rStyle w:val="CharSectno"/>
        </w:rPr>
        <w:t>36</w:t>
      </w:r>
      <w:r>
        <w:t>.</w:t>
      </w:r>
      <w:r>
        <w:tab/>
        <w:t>Delegations</w:t>
      </w:r>
      <w:bookmarkEnd w:id="21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17" w:name="_Toc527966629"/>
      <w:bookmarkStart w:id="218" w:name="_Toc6163352"/>
      <w:r>
        <w:rPr>
          <w:rStyle w:val="CharSectno"/>
        </w:rPr>
        <w:t>37</w:t>
      </w:r>
      <w:r>
        <w:t>.</w:t>
      </w:r>
      <w:r>
        <w:tab/>
        <w:t>Certificates of exemption from tax (</w:t>
      </w:r>
      <w:r>
        <w:rPr>
          <w:i/>
        </w:rPr>
        <w:t>Debits Tax Assessment Act 1990</w:t>
      </w:r>
      <w:r>
        <w:t>, s. 11)</w:t>
      </w:r>
      <w:bookmarkEnd w:id="217"/>
      <w:bookmarkEnd w:id="21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19" w:name="_Toc6163353"/>
      <w:r>
        <w:rPr>
          <w:rStyle w:val="CharSectno"/>
        </w:rPr>
        <w:t>38</w:t>
      </w:r>
      <w:r>
        <w:t>.</w:t>
      </w:r>
      <w:r>
        <w:tab/>
        <w:t>Exemptions for certain home unit owners (</w:t>
      </w:r>
      <w:r>
        <w:rPr>
          <w:i/>
        </w:rPr>
        <w:t>Land Tax Assessment Act 1976</w:t>
      </w:r>
      <w:r>
        <w:t>, s. 19)</w:t>
      </w:r>
      <w:bookmarkEnd w:id="21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20" w:name="_Toc6163354"/>
      <w:r>
        <w:rPr>
          <w:rStyle w:val="CharSectno"/>
        </w:rPr>
        <w:t>39</w:t>
      </w:r>
      <w:r>
        <w:t>.</w:t>
      </w:r>
      <w:r>
        <w:tab/>
        <w:t>Inner city residential property rebate (</w:t>
      </w:r>
      <w:r>
        <w:rPr>
          <w:i/>
        </w:rPr>
        <w:t>Land Tax Assessment Act 1976</w:t>
      </w:r>
      <w:r>
        <w:t>, s. 23AB)</w:t>
      </w:r>
      <w:bookmarkEnd w:id="22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21" w:name="_Toc6163355"/>
      <w:r>
        <w:rPr>
          <w:rStyle w:val="CharSectno"/>
        </w:rPr>
        <w:t>40</w:t>
      </w:r>
      <w:r>
        <w:t>.</w:t>
      </w:r>
      <w:r>
        <w:tab/>
        <w:t>Land tax relief Acts</w:t>
      </w:r>
      <w:bookmarkEnd w:id="221"/>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22" w:name="_Toc6163356"/>
      <w:r>
        <w:rPr>
          <w:rStyle w:val="CharSectno"/>
        </w:rPr>
        <w:t>41</w:t>
      </w:r>
      <w:r>
        <w:t>.</w:t>
      </w:r>
      <w:r>
        <w:tab/>
        <w:t>Treatment of certain contributions (</w:t>
      </w:r>
      <w:r>
        <w:rPr>
          <w:i/>
        </w:rPr>
        <w:t>Pay</w:t>
      </w:r>
      <w:r>
        <w:rPr>
          <w:i/>
        </w:rPr>
        <w:noBreakHyphen/>
        <w:t>roll Tax Assessment Act 1971</w:t>
      </w:r>
      <w:r>
        <w:t>, Sch. 2 cl. 5)</w:t>
      </w:r>
      <w:bookmarkEnd w:id="22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23" w:name="_Toc6163357"/>
      <w:r>
        <w:rPr>
          <w:rStyle w:val="CharSectno"/>
        </w:rPr>
        <w:t>42</w:t>
      </w:r>
      <w:r>
        <w:t>.</w:t>
      </w:r>
      <w:r>
        <w:tab/>
        <w:t>Reassessments and refunds (</w:t>
      </w:r>
      <w:r>
        <w:rPr>
          <w:i/>
        </w:rPr>
        <w:t>Pay</w:t>
      </w:r>
      <w:r>
        <w:rPr>
          <w:i/>
        </w:rPr>
        <w:noBreakHyphen/>
        <w:t>roll Tax Assessment Act 1971</w:t>
      </w:r>
      <w:r>
        <w:t>, s. 19)</w:t>
      </w:r>
      <w:bookmarkEnd w:id="22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24" w:name="_Toc6163358"/>
      <w:r>
        <w:rPr>
          <w:rStyle w:val="CharSectno"/>
        </w:rPr>
        <w:t>43</w:t>
      </w:r>
      <w:r>
        <w:t>.</w:t>
      </w:r>
      <w:r>
        <w:tab/>
        <w:t>Adhesive stamps (</w:t>
      </w:r>
      <w:r>
        <w:rPr>
          <w:i/>
        </w:rPr>
        <w:t>Stamp Act 1921</w:t>
      </w:r>
      <w:r>
        <w:t>, s. 15, 21 and 23)</w:t>
      </w:r>
      <w:bookmarkEnd w:id="22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225" w:name="_Toc6163359"/>
      <w:r>
        <w:rPr>
          <w:rStyle w:val="CharSectno"/>
        </w:rPr>
        <w:t>44</w:t>
      </w:r>
      <w:r>
        <w:t>.</w:t>
      </w:r>
      <w:r>
        <w:tab/>
        <w:t>Printing of “Stamp Duty Paid” on cheques (</w:t>
      </w:r>
      <w:r>
        <w:rPr>
          <w:i/>
        </w:rPr>
        <w:t xml:space="preserve">Stamp Act 1921, </w:t>
      </w:r>
      <w:r>
        <w:t>s. 52)</w:t>
      </w:r>
      <w:bookmarkEnd w:id="22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26" w:name="_Toc6163360"/>
      <w:r>
        <w:rPr>
          <w:rStyle w:val="CharSectno"/>
        </w:rPr>
        <w:t>45</w:t>
      </w:r>
      <w:r>
        <w:t>.</w:t>
      </w:r>
      <w:r>
        <w:tab/>
        <w:t>First home owners — reassessment (</w:t>
      </w:r>
      <w:r>
        <w:rPr>
          <w:i/>
        </w:rPr>
        <w:t xml:space="preserve">Stamp Act 1921, </w:t>
      </w:r>
      <w:r>
        <w:t>s. 75AG)</w:t>
      </w:r>
      <w:bookmarkEnd w:id="22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2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2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28" w:name="_Toc6163362"/>
      <w:r>
        <w:rPr>
          <w:rStyle w:val="CharSectno"/>
        </w:rPr>
        <w:t>47</w:t>
      </w:r>
      <w:r>
        <w:t>.</w:t>
      </w:r>
      <w:r>
        <w:tab/>
        <w:t>Alternative to stamping individual insurance policies (</w:t>
      </w:r>
      <w:r>
        <w:rPr>
          <w:i/>
        </w:rPr>
        <w:t xml:space="preserve">Stamp Act 1921, </w:t>
      </w:r>
      <w:r>
        <w:t>s. 95A)</w:t>
      </w:r>
      <w:bookmarkEnd w:id="22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29" w:name="_Toc6163363"/>
      <w:r>
        <w:rPr>
          <w:rStyle w:val="CharSectno"/>
        </w:rPr>
        <w:t>48</w:t>
      </w:r>
      <w:r>
        <w:t>.</w:t>
      </w:r>
      <w:r>
        <w:tab/>
        <w:t>Workers’ compensation insurance (</w:t>
      </w:r>
      <w:r>
        <w:rPr>
          <w:i/>
        </w:rPr>
        <w:t>Stamp Act 1921</w:t>
      </w:r>
      <w:r>
        <w:t>, s. 97 and item 16 of the Second Schedule)</w:t>
      </w:r>
      <w:bookmarkEnd w:id="22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230" w:name="_Toc6163364"/>
      <w:r>
        <w:rPr>
          <w:rStyle w:val="CharSectno"/>
        </w:rPr>
        <w:t>49</w:t>
      </w:r>
      <w:r>
        <w:t>.</w:t>
      </w:r>
      <w:r>
        <w:tab/>
        <w:t>Payment of duty by returns (</w:t>
      </w:r>
      <w:r>
        <w:rPr>
          <w:i/>
        </w:rPr>
        <w:t>Stamp Act 1921</w:t>
      </w:r>
      <w:r>
        <w:t>, s. 112V)</w:t>
      </w:r>
      <w:bookmarkEnd w:id="23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231" w:name="_Toc90957837"/>
      <w:bookmarkStart w:id="232" w:name="_Toc92182252"/>
      <w:r>
        <w:rPr>
          <w:rStyle w:val="CharSectno"/>
        </w:rPr>
        <w:t>29</w:t>
      </w:r>
      <w:r>
        <w:t>.</w:t>
      </w:r>
      <w:r>
        <w:tab/>
      </w:r>
      <w:r>
        <w:rPr>
          <w:i/>
        </w:rPr>
        <w:t>Commercial Tenancy (Retail Shops) Agreements Act 1985</w:t>
      </w:r>
      <w:bookmarkEnd w:id="231"/>
      <w:bookmarkEnd w:id="232"/>
    </w:p>
    <w:p>
      <w:pPr>
        <w:pStyle w:val="nzSubsection"/>
        <w:spacing w:before="120"/>
      </w:pPr>
      <w:r>
        <w:tab/>
        <w:t>(1)</w:t>
      </w:r>
      <w:r>
        <w:tab/>
        <w:t xml:space="preserve">In this regulation — </w:t>
      </w:r>
    </w:p>
    <w:p>
      <w:pPr>
        <w:pStyle w:val="nzDefstart"/>
        <w:spacing w:before="80"/>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t>“</w:t>
      </w:r>
      <w:r>
        <w:rPr>
          <w:b/>
          <w:bCs/>
        </w:rPr>
        <w:t>the CTRS Act</w:t>
      </w:r>
      <w:r>
        <w:rPr>
          <w:b/>
        </w:rPr>
        <w: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33" w:name="UpToHere"/>
      <w:bookmarkEnd w:id="233"/>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18251</Words>
  <Characters>84503</Characters>
  <Application>Microsoft Office Word</Application>
  <DocSecurity>0</DocSecurity>
  <Lines>2223</Lines>
  <Paragraphs>1007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101747</CharactersWithSpaces>
  <SharedDoc>false</SharedDoc>
  <HLinks>
    <vt:vector size="12" baseType="variant">
      <vt:variant>
        <vt:i4>3014716</vt:i4>
      </vt:variant>
      <vt:variant>
        <vt:i4>3907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1985 - 03-a0-02</dc:title>
  <dc:subject/>
  <dc:creator/>
  <cp:keywords/>
  <dc:description/>
  <cp:lastModifiedBy>svcMRProcess</cp:lastModifiedBy>
  <cp:revision>4</cp:revision>
  <cp:lastPrinted>2007-06-05T04:14:00Z</cp:lastPrinted>
  <dcterms:created xsi:type="dcterms:W3CDTF">2018-08-21T16:10:00Z</dcterms:created>
  <dcterms:modified xsi:type="dcterms:W3CDTF">2018-08-21T16:10:00Z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20070608</vt:lpwstr>
  </property>
  <property fmtid="{D5CDD505-2E9C-101B-9397-08002B2CF9AE}" pid="4" name="DocumentType">
    <vt:lpwstr>Act</vt:lpwstr>
  </property>
  <property fmtid="{D5CDD505-2E9C-101B-9397-08002B2CF9AE}" pid="5" name="OwlsUID">
    <vt:i4>149</vt:i4>
  </property>
  <property fmtid="{D5CDD505-2E9C-101B-9397-08002B2CF9AE}" pid="6" name="ReprintedAsAt">
    <vt:filetime>2007-06-07T16:00:00Z</vt:filetime>
  </property>
  <property fmtid="{D5CDD505-2E9C-101B-9397-08002B2CF9AE}" pid="7" name="ReprintNo">
    <vt:lpwstr>3</vt:lpwstr>
  </property>
  <property fmtid="{D5CDD505-2E9C-101B-9397-08002B2CF9AE}" pid="8" name="AsAtDate">
    <vt:lpwstr>08 Jun 2007</vt:lpwstr>
  </property>
  <property fmtid="{D5CDD505-2E9C-101B-9397-08002B2CF9AE}" pid="9" name="Suffix">
    <vt:lpwstr>03-a0-02</vt:lpwstr>
  </property>
</Properties>
</file>