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Compensable Patients) Determination 2002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Determination was revoked by the </w:t>
      </w:r>
      <w:r>
        <w:rPr>
          <w:i/>
          <w:iCs/>
          <w:color w:val="000000"/>
          <w:sz w:val="22"/>
          <w:szCs w:val="22"/>
        </w:rPr>
        <w:t xml:space="preserve">Hospitals (Services Charges for Compensable Patients) Determination 2005 </w:t>
      </w:r>
      <w:r>
        <w:rPr>
          <w:color w:val="000000"/>
          <w:sz w:val="22"/>
          <w:szCs w:val="22"/>
        </w:rPr>
        <w:t xml:space="preserve">cl. 5(a) as at 1 Jul 2005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28 Jun 2005 p. 2923)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Compensable Patients) Determination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_Toc426703938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_Toc426703939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Charges payable in respect of compensable patients</w:t>
      </w:r>
      <w:r>
        <w:tab/>
      </w:r>
      <w:r>
        <w:fldChar w:fldCharType="begin"/>
      </w:r>
      <w:r>
        <w:instrText xml:space="preserve"> PAGEREF _Toc426703940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Revocation</w:t>
      </w:r>
      <w:r>
        <w:tab/>
      </w:r>
      <w:r>
        <w:fldChar w:fldCharType="begin"/>
      </w:r>
      <w:r>
        <w:instrText xml:space="preserve"> PAGEREF _Toc426703941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Services charges for compensable patients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 — Compensable in</w:t>
      </w:r>
      <w:r>
        <w:noBreakHyphen/>
        <w:t>patients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 — Compensable out</w:t>
      </w:r>
      <w:r>
        <w:noBreakHyphen/>
        <w:t>patients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 — Compensable same day patients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_Toc426703947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Hospitals and Health Services Act 1927</w:t>
      </w:r>
    </w:p>
    <w:p>
      <w:pPr>
        <w:pStyle w:val="NameofActReg"/>
      </w:pPr>
      <w:r>
        <w:t>Hospitals (Services Charges for Compensable Patients) Determination 2002</w:t>
      </w:r>
    </w:p>
    <w:p>
      <w:pPr>
        <w:pStyle w:val="Heading5"/>
      </w:pPr>
      <w:bookmarkStart w:id="4" w:name="_Toc378771435"/>
      <w:bookmarkStart w:id="5" w:name="_Toc426703938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may be cited as the </w:t>
      </w:r>
      <w:r>
        <w:rPr>
          <w:i/>
        </w:rPr>
        <w:t>Hospitals (Services Charges for Compensable Patients) Determination 2002</w:t>
      </w:r>
      <w:r>
        <w:t>.</w:t>
      </w:r>
    </w:p>
    <w:p>
      <w:pPr>
        <w:pStyle w:val="Heading5"/>
      </w:pPr>
      <w:bookmarkStart w:id="6" w:name="_Toc378771436"/>
      <w:bookmarkStart w:id="7" w:name="_Toc426703939"/>
      <w:r>
        <w:rPr>
          <w:rStyle w:val="CharSectno"/>
        </w:rPr>
        <w:t>2</w:t>
      </w:r>
      <w:r>
        <w:t>.</w:t>
      </w:r>
      <w:r>
        <w:tab/>
        <w:t>Interpretation</w:t>
      </w:r>
      <w:bookmarkEnd w:id="6"/>
      <w:bookmarkEnd w:id="7"/>
    </w:p>
    <w:p>
      <w:pPr>
        <w:pStyle w:val="Subsection"/>
      </w:pPr>
      <w:r>
        <w:tab/>
      </w:r>
      <w:r>
        <w:tab/>
        <w:t xml:space="preserve">Unless the contrary intention appears, a word or phrase to which a meaning is attributed by, or by virtue of its use in the </w:t>
      </w:r>
      <w:r>
        <w:rPr>
          <w:i/>
        </w:rPr>
        <w:t>Hospitals (Services Charges) Regulations 1984</w:t>
      </w:r>
      <w:r>
        <w:t xml:space="preserve"> has the same meaning when it is used in this determination.</w:t>
      </w:r>
    </w:p>
    <w:p>
      <w:pPr>
        <w:pStyle w:val="Heading5"/>
      </w:pPr>
      <w:bookmarkStart w:id="8" w:name="_Toc378771437"/>
      <w:bookmarkStart w:id="9" w:name="_Toc426703940"/>
      <w:r>
        <w:rPr>
          <w:rStyle w:val="CharSectno"/>
        </w:rPr>
        <w:t>3</w:t>
      </w:r>
      <w:r>
        <w:t>.</w:t>
      </w:r>
      <w:r>
        <w:tab/>
        <w:t>Charges payable in respect of compensable patients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Except as provided in subclause (2), the charges specified in Schedule 1 are the charges payable in respect of services rendered by, in or at the hospital in respect of — </w:t>
      </w:r>
    </w:p>
    <w:p>
      <w:pPr>
        <w:pStyle w:val="Indenta"/>
      </w:pPr>
      <w:r>
        <w:tab/>
        <w:t>(a)</w:t>
      </w:r>
      <w:r>
        <w:tab/>
        <w:t>compensable in</w:t>
      </w:r>
      <w:r>
        <w:noBreakHyphen/>
        <w:t>patients, compensable day patients and compensable out</w:t>
      </w:r>
      <w:r>
        <w:noBreakHyphen/>
        <w:t>patients; and</w:t>
      </w:r>
    </w:p>
    <w:p>
      <w:pPr>
        <w:pStyle w:val="Indenta"/>
      </w:pPr>
      <w:r>
        <w:tab/>
        <w:t>(b)</w:t>
      </w:r>
      <w:r>
        <w:tab/>
        <w:t>compensable same day patients (other than services rendered by, in or at a day hospital, nursing home or nursing post).</w:t>
      </w:r>
    </w:p>
    <w:p>
      <w:pPr>
        <w:pStyle w:val="Subsection"/>
      </w:pPr>
      <w:r>
        <w:tab/>
        <w:t>(2)</w:t>
      </w:r>
      <w:r>
        <w:tab/>
        <w:t xml:space="preserve">The charges specified in Schedule 1 do not apply to the supply of surgically implanted prostheses subject to a determination made under regulation 5(2)(c) of the </w:t>
      </w:r>
      <w:r>
        <w:rPr>
          <w:i/>
        </w:rPr>
        <w:t>Hospitals (Services Charges) Regulations 1984.</w:t>
      </w:r>
    </w:p>
    <w:p>
      <w:pPr>
        <w:pStyle w:val="Heading5"/>
      </w:pPr>
      <w:bookmarkStart w:id="10" w:name="_Toc378771438"/>
      <w:bookmarkStart w:id="11" w:name="_Toc426703941"/>
      <w:r>
        <w:rPr>
          <w:rStyle w:val="CharSectno"/>
        </w:rPr>
        <w:t>4</w:t>
      </w:r>
      <w:r>
        <w:t>.</w:t>
      </w:r>
      <w:r>
        <w:tab/>
        <w:t>Revocation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Hospitals (Services Charges for Compensable Patients) Determination 2001</w:t>
      </w:r>
      <w:r>
        <w:t xml:space="preserve"> is revoked.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378771439"/>
      <w:bookmarkStart w:id="13" w:name="_Toc426703942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Services charges for compensable patients</w:t>
      </w:r>
      <w:bookmarkEnd w:id="12"/>
      <w:bookmarkEnd w:id="13"/>
    </w:p>
    <w:p>
      <w:pPr>
        <w:pStyle w:val="yShoulderClause"/>
      </w:pPr>
      <w:r>
        <w:t>[cl. 3]</w:t>
      </w:r>
    </w:p>
    <w:p>
      <w:pPr>
        <w:pStyle w:val="yHeading3"/>
      </w:pPr>
      <w:bookmarkStart w:id="14" w:name="_Toc378771440"/>
      <w:bookmarkStart w:id="15" w:name="_Toc426703943"/>
      <w:r>
        <w:t>Division 1 — Compensable in</w:t>
      </w:r>
      <w:r>
        <w:noBreakHyphen/>
        <w:t>patients</w:t>
      </w:r>
      <w:bookmarkEnd w:id="14"/>
      <w:bookmarkEnd w:id="15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4677"/>
        <w:gridCol w:w="1843"/>
      </w:tblGrid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1.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Accommodation, maintenance, nursing care and other services in a hospital bed, other than as provided in items 2 and 4 ......................................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$1 063 per day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2.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 xml:space="preserve">Accommodation, maintenance, nursing care and other services in a hospital bed for a patient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 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$925 per day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3.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Accommodation, maintenance, nursing care and other services in a nursing home bed 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$189 per day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4.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Ventilator dependent compensable in</w:t>
            </w:r>
            <w:r>
              <w:noBreakHyphen/>
              <w:t>patient with tracheostomy requiring 24 hours individual care 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right="34"/>
            </w:pPr>
            <w:r>
              <w:t>$2 393 per day</w:t>
            </w:r>
          </w:p>
        </w:tc>
      </w:tr>
    </w:tbl>
    <w:p>
      <w:pPr>
        <w:pStyle w:val="yHeading3"/>
      </w:pPr>
      <w:bookmarkStart w:id="16" w:name="_Toc378771441"/>
      <w:bookmarkStart w:id="17" w:name="_Toc426703944"/>
      <w:r>
        <w:t>Division 2 — Compensable out</w:t>
      </w:r>
      <w:r>
        <w:noBreakHyphen/>
        <w:t>patients</w:t>
      </w:r>
      <w:bookmarkEnd w:id="16"/>
      <w:bookmarkEnd w:id="17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4677"/>
        <w:gridCol w:w="1843"/>
      </w:tblGrid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5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For pathological service — for each request to a separate department of a laboratory 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$116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6.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>For radiological service — for each item of service ....................................................................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$116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7.</w:t>
            </w: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  <w:ind w:left="33" w:hanging="33"/>
            </w:pPr>
            <w:r>
              <w:t>For drugs and medications, subject to item 8, for each item —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167"/>
                <w:tab w:val="right" w:leader="dot" w:pos="4854"/>
              </w:tabs>
              <w:spacing w:before="0"/>
              <w:ind w:left="835" w:hanging="835"/>
            </w:pPr>
            <w:r>
              <w:tab/>
              <w:t>(a)</w:t>
            </w:r>
            <w:r>
              <w:tab/>
              <w:t>at a participating hospital —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309"/>
              </w:tabs>
              <w:spacing w:before="0"/>
              <w:ind w:left="835" w:hanging="835"/>
            </w:pPr>
            <w:r>
              <w:tab/>
            </w:r>
            <w:r>
              <w:tab/>
              <w:t>(i)</w:t>
            </w:r>
            <w:r>
              <w:tab/>
              <w:t>for an item on the PBS list 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PBS price up to a maximum of $28.60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309"/>
              </w:tabs>
              <w:spacing w:before="0"/>
              <w:ind w:left="835" w:hanging="835"/>
            </w:pPr>
            <w:r>
              <w:tab/>
            </w:r>
            <w:r>
              <w:tab/>
              <w:t>(ii)</w:t>
            </w:r>
            <w:r>
              <w:tab/>
              <w:t>for an item not on the PBS list 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$22.90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677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left" w:pos="1167"/>
              </w:tabs>
              <w:spacing w:before="0"/>
              <w:ind w:left="835" w:hanging="835"/>
            </w:pPr>
            <w:r>
              <w:tab/>
              <w:t>(b)</w:t>
            </w:r>
            <w:r>
              <w:tab/>
              <w:t>at a hospital that is not a participating hospital................................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br/>
              <w:t>$22.90</w:t>
            </w:r>
          </w:p>
        </w:tc>
      </w:tr>
      <w:tr>
        <w:trPr>
          <w:cantSplit/>
        </w:trPr>
        <w:tc>
          <w:tcPr>
            <w:tcW w:w="426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  <w:r>
              <w:t>8.</w:t>
            </w:r>
          </w:p>
        </w:tc>
        <w:tc>
          <w:tcPr>
            <w:tcW w:w="4677" w:type="dxa"/>
          </w:tcPr>
          <w:p>
            <w:pPr>
              <w:pStyle w:val="yTable"/>
              <w:tabs>
                <w:tab w:val="right" w:leader="dot" w:pos="5136"/>
              </w:tabs>
              <w:spacing w:before="0"/>
            </w:pPr>
            <w:r>
              <w:t xml:space="preserve">For each other individual service (with any drugs and medications supplied at the time of the initial service being treated as included in that service) 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$116</w:t>
            </w:r>
          </w:p>
        </w:tc>
      </w:tr>
    </w:tbl>
    <w:p>
      <w:pPr>
        <w:pStyle w:val="yFootnotesection"/>
      </w:pPr>
      <w:r>
        <w:t>[Division 2 amended in Gazette 11 Mar 2005 p. 915.]</w:t>
      </w:r>
    </w:p>
    <w:p>
      <w:pPr>
        <w:pStyle w:val="yHeading3"/>
      </w:pPr>
      <w:bookmarkStart w:id="18" w:name="_Toc378771442"/>
      <w:bookmarkStart w:id="19" w:name="_Toc426703945"/>
      <w:r>
        <w:t>Division 3 — Compensable same day patients</w:t>
      </w:r>
      <w:bookmarkEnd w:id="18"/>
      <w:bookmarkEnd w:id="19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843"/>
      </w:tblGrid>
      <w:tr>
        <w:trPr>
          <w:cantSplit/>
        </w:trPr>
        <w:tc>
          <w:tcPr>
            <w:tcW w:w="567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</w:pPr>
            <w:r>
              <w:t>9.</w:t>
            </w:r>
          </w:p>
        </w:tc>
        <w:tc>
          <w:tcPr>
            <w:tcW w:w="4536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</w:pPr>
            <w:r>
              <w:t>In hospitals, other than day hospitals, nursing homes and nursing posts —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  <w:keepNext/>
              <w:keepLines/>
              <w:tabs>
                <w:tab w:val="right" w:leader="dot" w:pos="4854"/>
              </w:tabs>
              <w:spacing w:before="0"/>
            </w:pPr>
          </w:p>
        </w:tc>
        <w:tc>
          <w:tcPr>
            <w:tcW w:w="4536" w:type="dxa"/>
          </w:tcPr>
          <w:p>
            <w:pPr>
              <w:pStyle w:val="yTable"/>
              <w:keepNext/>
              <w:keepLines/>
              <w:tabs>
                <w:tab w:val="left" w:pos="317"/>
                <w:tab w:val="left" w:pos="807"/>
                <w:tab w:val="right" w:leader="dot" w:pos="4854"/>
              </w:tabs>
              <w:spacing w:before="0"/>
              <w:ind w:left="835" w:hanging="835"/>
              <w:rPr>
                <w:i/>
              </w:rPr>
            </w:pPr>
            <w:r>
              <w:tab/>
              <w:t>(a)</w:t>
            </w:r>
            <w:r>
              <w:tab/>
              <w:t xml:space="preserve">for a patient in respect of whose care and treatment the </w:t>
            </w:r>
            <w:r>
              <w:rPr>
                <w:i/>
              </w:rPr>
              <w:t>Motor Vehicle (Third Party Insurance) Act 1943</w:t>
            </w:r>
            <w:r>
              <w:t xml:space="preserve"> applies or prima facie appears to apply 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</w:p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$828 per day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</w:pPr>
          </w:p>
        </w:tc>
        <w:tc>
          <w:tcPr>
            <w:tcW w:w="4536" w:type="dxa"/>
          </w:tcPr>
          <w:p>
            <w:pPr>
              <w:pStyle w:val="yTable"/>
              <w:tabs>
                <w:tab w:val="left" w:pos="317"/>
                <w:tab w:val="left" w:pos="807"/>
                <w:tab w:val="right" w:leader="dot" w:pos="4854"/>
              </w:tabs>
              <w:spacing w:before="0"/>
              <w:ind w:left="835" w:hanging="835"/>
            </w:pPr>
            <w:r>
              <w:tab/>
              <w:t>(b)</w:t>
            </w:r>
            <w:r>
              <w:tab/>
              <w:t>for any other patient .............................</w:t>
            </w:r>
          </w:p>
        </w:tc>
        <w:tc>
          <w:tcPr>
            <w:tcW w:w="1843" w:type="dxa"/>
          </w:tcPr>
          <w:p>
            <w:pPr>
              <w:pStyle w:val="yTable"/>
              <w:tabs>
                <w:tab w:val="right" w:leader="dot" w:pos="4854"/>
              </w:tabs>
              <w:spacing w:before="0"/>
              <w:ind w:left="34"/>
            </w:pPr>
            <w:r>
              <w:t>$952 per day</w:t>
            </w:r>
          </w:p>
        </w:tc>
      </w:tr>
    </w:tbl>
    <w:p>
      <w:pPr>
        <w:pStyle w:val="yFootnotesection"/>
        <w:tabs>
          <w:tab w:val="clear" w:pos="893"/>
          <w:tab w:val="left" w:pos="0"/>
        </w:tabs>
        <w:ind w:left="0" w:firstLine="0"/>
      </w:pPr>
      <w:r>
        <w:t>[Schedule 1 inserted in Gazette 29 Jun 2004 p. 2530; amended in Gazette 11 Mar 2005 p. 915 .]</w:t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378771443"/>
      <w:bookmarkStart w:id="22" w:name="_Toc426703946"/>
      <w:r>
        <w:t>Notes</w:t>
      </w:r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(Services Charges for Compensable Patients) Determination 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3" w:name="_Toc378771444"/>
      <w:bookmarkStart w:id="24" w:name="_Toc426703947"/>
      <w:r>
        <w:t>Compilation table</w:t>
      </w:r>
      <w:bookmarkEnd w:id="23"/>
      <w:bookmarkEnd w:id="2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</w:pPr>
            <w:r>
              <w:rPr>
                <w:i/>
              </w:rPr>
              <w:t>Hospitals (Services Charges for Compensable Patients) Determination 2002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18 Jun 2002 p. 2859-61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18 Jun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17 Jun 2003 p. 2216-17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2003 (see cl.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13 Feb 2004 p. 540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13 Feb 2004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 (No. 2) 2004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29 Jun 2004 p. 2529-30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 2004 (see cl.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Compensable Patients) Amendment Determination 2005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11 Mar 2005 p. 914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11 Mar 2005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Determination was revoked by the </w:t>
            </w:r>
            <w:r>
              <w:rPr>
                <w:b/>
                <w:bCs/>
                <w:i/>
                <w:iCs/>
                <w:color w:val="FF0000"/>
              </w:rPr>
              <w:t>Hospitals (Services Charges for Compensable Patients) Determination 2005</w:t>
            </w:r>
            <w:r>
              <w:rPr>
                <w:b/>
                <w:bCs/>
                <w:color w:val="FF0000"/>
              </w:rPr>
              <w:t xml:space="preserve"> cl. 5(a) as at 1 Jul 2005 (see </w:t>
            </w:r>
            <w:r>
              <w:rPr>
                <w:b/>
                <w:bCs/>
                <w:i/>
                <w:iCs/>
                <w:color w:val="FF0000"/>
              </w:rPr>
              <w:t xml:space="preserve">Gazette </w:t>
            </w:r>
            <w:r>
              <w:rPr>
                <w:b/>
                <w:bCs/>
                <w:color w:val="FF0000"/>
              </w:rPr>
              <w:t>28 Jun 2005 p. 2923)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00-f0-05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00-f0-05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00-f0-05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  <w:ind w:right="-104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Compensable Patients) Determination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BEE2AC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B723F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770A73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4FADC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0121AA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92877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7499C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7E4C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848CF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0727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3E3E5B9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en-AU" w:vendorID="8" w:dllVersion="513" w:checkStyle="1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4330"/>
    <w:docVar w:name="WAFER_20140129150438" w:val="RemoveTocBookmarks,RemoveUnusedBookmarks,RemoveLanguageTags,UsedStyles,ResetPageSize,UpdateArrangement"/>
    <w:docVar w:name="WAFER_20140129150438_GUID" w:val="01ec93c8-7482-45ce-a511-3b6ab007d940"/>
    <w:docVar w:name="WAFER_20140129150445" w:val="RemoveTocBookmarks,RunningHeaders"/>
    <w:docVar w:name="WAFER_20140129150445_GUID" w:val="e011037a-4183-4300-8882-6485554e111d"/>
    <w:docVar w:name="WAFER_20150806153635" w:val="ResetPageSize,UpdateArrangement,UpdateNTable"/>
    <w:docVar w:name="WAFER_20150806153635_GUID" w:val="32a1b038-ecbc-49cc-9dec-3f11baefca47"/>
    <w:docVar w:name="WAFER_20151117114330" w:val="UpdateStyles,UsedStyles"/>
    <w:docVar w:name="WAFER_20151117114330_GUID" w:val="cc85e8ed-98b8-4baa-b4d9-8ba819e06f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857</Words>
  <Characters>4834</Characters>
  <Application>Microsoft Office Word</Application>
  <DocSecurity>0</DocSecurity>
  <Lines>219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Compensable Patients) Determination 2002 - 00-f0-05</dc:title>
  <dc:subject/>
  <dc:creator/>
  <cp:keywords/>
  <dc:description/>
  <cp:lastModifiedBy>svcMRProcess</cp:lastModifiedBy>
  <cp:revision>4</cp:revision>
  <cp:lastPrinted>2006-04-19T04:28:00Z</cp:lastPrinted>
  <dcterms:created xsi:type="dcterms:W3CDTF">2018-09-12T07:27:00Z</dcterms:created>
  <dcterms:modified xsi:type="dcterms:W3CDTF">2018-09-12T07:27:00Z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18 Jun 2002 p. 2359-61</vt:lpwstr>
  </property>
  <property fmtid="{D5CDD505-2E9C-101B-9397-08002B2CF9AE}" pid="3" name="CommencementDate">
    <vt:lpwstr>20050701</vt:lpwstr>
  </property>
  <property fmtid="{D5CDD505-2E9C-101B-9397-08002B2CF9AE}" pid="4" name="DocumentType">
    <vt:lpwstr>Reg</vt:lpwstr>
  </property>
  <property fmtid="{D5CDD505-2E9C-101B-9397-08002B2CF9AE}" pid="5" name="OwlsUID">
    <vt:i4>3936</vt:i4>
  </property>
  <property fmtid="{D5CDD505-2E9C-101B-9397-08002B2CF9AE}" pid="6" name="AsAtDate">
    <vt:lpwstr>01 Jul 2005</vt:lpwstr>
  </property>
  <property fmtid="{D5CDD505-2E9C-101B-9397-08002B2CF9AE}" pid="7" name="Suffix">
    <vt:lpwstr>00-f0-05</vt:lpwstr>
  </property>
  <property fmtid="{D5CDD505-2E9C-101B-9397-08002B2CF9AE}" pid="8" name="Status">
    <vt:lpwstr>NIF</vt:lpwstr>
  </property>
</Properties>
</file>