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Jetties Regulations 1940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4"/>
        <w:tabs>
          <w:tab w:val="left" w:pos="1701"/>
        </w:tabs>
        <w:rPr>
          <w:noProof/>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_Toc170210117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z w:val="24"/>
          <w:szCs w:val="24"/>
        </w:rPr>
        <w:tab/>
      </w:r>
      <w:r>
        <w:rPr>
          <w:noProof/>
          <w:szCs w:val="24"/>
        </w:rPr>
        <w:t>Liability for dues, charges and fees</w:t>
      </w:r>
      <w:r>
        <w:rPr>
          <w:noProof/>
        </w:rPr>
        <w:tab/>
      </w:r>
      <w:r>
        <w:rPr>
          <w:noProof/>
        </w:rPr>
        <w:fldChar w:fldCharType="begin"/>
      </w:r>
      <w:r>
        <w:rPr>
          <w:noProof/>
        </w:rPr>
        <w:instrText xml:space="preserve"> PAGEREF _Toc170210118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Terms used in these regulations</w:t>
      </w:r>
      <w:r>
        <w:rPr>
          <w:noProof/>
        </w:rPr>
        <w:tab/>
      </w:r>
      <w:r>
        <w:rPr>
          <w:noProof/>
        </w:rPr>
        <w:fldChar w:fldCharType="begin"/>
      </w:r>
      <w:r>
        <w:rPr>
          <w:noProof/>
        </w:rPr>
        <w:instrText xml:space="preserve"> PAGEREF _Toc170210119 \h </w:instrText>
      </w:r>
      <w:r>
        <w:rPr>
          <w:noProof/>
        </w:rPr>
      </w:r>
      <w:r>
        <w:rPr>
          <w:noProof/>
        </w:rPr>
        <w:fldChar w:fldCharType="separate"/>
      </w:r>
      <w:r>
        <w:rPr>
          <w:noProof/>
        </w:rPr>
        <w:t>1</w:t>
      </w:r>
      <w:r>
        <w:rPr>
          <w:noProof/>
        </w:rPr>
        <w:fldChar w:fldCharType="end"/>
      </w:r>
    </w:p>
    <w:p>
      <w:pPr>
        <w:pStyle w:val="TOC2"/>
        <w:tabs>
          <w:tab w:val="right" w:pos="7086"/>
        </w:tabs>
        <w:rPr>
          <w:b w:val="0"/>
          <w:noProof/>
          <w:sz w:val="24"/>
          <w:szCs w:val="24"/>
        </w:rPr>
      </w:pPr>
      <w:r>
        <w:rPr>
          <w:noProof/>
          <w:szCs w:val="30"/>
        </w:rPr>
        <w:t>Part 1 — Regulations applying to jetties controlled by the Department</w:t>
      </w:r>
    </w:p>
    <w:p>
      <w:pPr>
        <w:pStyle w:val="TOC3"/>
        <w:rPr>
          <w:b w:val="0"/>
          <w:noProof/>
          <w:sz w:val="24"/>
          <w:szCs w:val="24"/>
        </w:rPr>
      </w:pPr>
      <w:r>
        <w:rPr>
          <w:noProof/>
          <w:szCs w:val="26"/>
        </w:rPr>
        <w:t>Division 1</w:t>
      </w:r>
      <w:r>
        <w:rPr>
          <w:noProof/>
          <w:snapToGrid w:val="0"/>
          <w:szCs w:val="26"/>
        </w:rPr>
        <w:t> — </w:t>
      </w:r>
      <w:r>
        <w:rPr>
          <w:noProof/>
          <w:szCs w:val="26"/>
        </w:rPr>
        <w:t>Application of this Part</w:t>
      </w:r>
    </w:p>
    <w:p>
      <w:pPr>
        <w:pStyle w:val="TOC4"/>
        <w:tabs>
          <w:tab w:val="left" w:pos="1701"/>
        </w:tabs>
        <w:rPr>
          <w:noProof/>
          <w:sz w:val="24"/>
          <w:szCs w:val="24"/>
        </w:rPr>
      </w:pPr>
      <w:r>
        <w:rPr>
          <w:noProof/>
          <w:szCs w:val="24"/>
        </w:rPr>
        <w:t>3A</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_Toc170210122 \h </w:instrText>
      </w:r>
      <w:r>
        <w:rPr>
          <w:noProof/>
        </w:rPr>
      </w:r>
      <w:r>
        <w:rPr>
          <w:noProof/>
        </w:rPr>
        <w:fldChar w:fldCharType="separate"/>
      </w:r>
      <w:r>
        <w:rPr>
          <w:noProof/>
        </w:rPr>
        <w:t>4</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Arrival and movement of vessels</w:t>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Master or agent to report arrival</w:t>
      </w:r>
      <w:r>
        <w:rPr>
          <w:noProof/>
        </w:rPr>
        <w:tab/>
      </w:r>
      <w:r>
        <w:rPr>
          <w:noProof/>
        </w:rPr>
        <w:fldChar w:fldCharType="begin"/>
      </w:r>
      <w:r>
        <w:rPr>
          <w:noProof/>
        </w:rPr>
        <w:instrText xml:space="preserve"> PAGEREF _Toc170210124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Vessels to change berths</w:t>
      </w:r>
      <w:r>
        <w:rPr>
          <w:noProof/>
        </w:rPr>
        <w:tab/>
      </w:r>
      <w:r>
        <w:rPr>
          <w:noProof/>
        </w:rPr>
        <w:fldChar w:fldCharType="begin"/>
      </w:r>
      <w:r>
        <w:rPr>
          <w:noProof/>
        </w:rPr>
        <w:instrText xml:space="preserve"> PAGEREF _Toc170210125 \h </w:instrText>
      </w:r>
      <w:r>
        <w:rPr>
          <w:noProof/>
        </w:rPr>
      </w:r>
      <w:r>
        <w:rPr>
          <w:noProof/>
        </w:rPr>
        <w:fldChar w:fldCharType="separate"/>
      </w:r>
      <w:r>
        <w:rPr>
          <w:noProof/>
        </w:rPr>
        <w:t>4</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Berthing dues</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Berthing dues shall be paid</w:t>
      </w:r>
      <w:r>
        <w:rPr>
          <w:noProof/>
        </w:rPr>
        <w:tab/>
      </w:r>
      <w:r>
        <w:rPr>
          <w:noProof/>
        </w:rPr>
        <w:fldChar w:fldCharType="begin"/>
      </w:r>
      <w:r>
        <w:rPr>
          <w:noProof/>
        </w:rPr>
        <w:instrText xml:space="preserve"> PAGEREF _Toc170210127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Computation of berthing dues</w:t>
      </w:r>
      <w:r>
        <w:rPr>
          <w:noProof/>
        </w:rPr>
        <w:tab/>
      </w:r>
      <w:r>
        <w:rPr>
          <w:noProof/>
        </w:rPr>
        <w:fldChar w:fldCharType="begin"/>
      </w:r>
      <w:r>
        <w:rPr>
          <w:noProof/>
        </w:rPr>
        <w:instrText xml:space="preserve"> PAGEREF _Toc170210128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Inwards manifests</w:t>
      </w:r>
      <w:r>
        <w:rPr>
          <w:noProof/>
        </w:rPr>
        <w:tab/>
      </w:r>
      <w:r>
        <w:rPr>
          <w:noProof/>
        </w:rPr>
        <w:fldChar w:fldCharType="begin"/>
      </w:r>
      <w:r>
        <w:rPr>
          <w:noProof/>
        </w:rPr>
        <w:instrText xml:space="preserve"> PAGEREF _Toc170210129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Outwards manifests</w:t>
      </w:r>
      <w:r>
        <w:rPr>
          <w:noProof/>
        </w:rPr>
        <w:tab/>
      </w:r>
      <w:r>
        <w:rPr>
          <w:noProof/>
        </w:rPr>
        <w:fldChar w:fldCharType="begin"/>
      </w:r>
      <w:r>
        <w:rPr>
          <w:noProof/>
        </w:rPr>
        <w:instrText xml:space="preserve"> PAGEREF _Toc170210130 \h </w:instrText>
      </w:r>
      <w:r>
        <w:rPr>
          <w:noProof/>
        </w:rPr>
      </w:r>
      <w:r>
        <w:rPr>
          <w:noProof/>
        </w:rPr>
        <w:fldChar w:fldCharType="separate"/>
      </w:r>
      <w:r>
        <w:rPr>
          <w:noProof/>
        </w:rPr>
        <w:t>6</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Wharfage dues, handling and haulage charges</w:t>
      </w:r>
    </w:p>
    <w:p>
      <w:pPr>
        <w:pStyle w:val="TOC4"/>
        <w:tabs>
          <w:tab w:val="left" w:pos="1701"/>
        </w:tabs>
        <w:rPr>
          <w:noProof/>
          <w:sz w:val="24"/>
          <w:szCs w:val="24"/>
        </w:rPr>
      </w:pPr>
      <w:r>
        <w:rPr>
          <w:noProof/>
          <w:szCs w:val="24"/>
        </w:rPr>
        <w:t>10A</w:t>
      </w:r>
      <w:r>
        <w:rPr>
          <w:noProof/>
          <w:snapToGrid w:val="0"/>
          <w:szCs w:val="24"/>
        </w:rPr>
        <w:t>.</w:t>
      </w:r>
      <w:r>
        <w:rPr>
          <w:noProof/>
          <w:sz w:val="24"/>
          <w:szCs w:val="24"/>
        </w:rPr>
        <w:tab/>
      </w:r>
      <w:r>
        <w:rPr>
          <w:noProof/>
          <w:snapToGrid w:val="0"/>
          <w:szCs w:val="24"/>
        </w:rPr>
        <w:t>Payment of dues and charges</w:t>
      </w:r>
      <w:r>
        <w:rPr>
          <w:noProof/>
        </w:rPr>
        <w:tab/>
      </w:r>
      <w:r>
        <w:rPr>
          <w:noProof/>
        </w:rPr>
        <w:fldChar w:fldCharType="begin"/>
      </w:r>
      <w:r>
        <w:rPr>
          <w:noProof/>
        </w:rPr>
        <w:instrText xml:space="preserve"> PAGEREF _Toc170210132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Charges for transhipment cargo</w:t>
      </w:r>
      <w:r>
        <w:rPr>
          <w:noProof/>
        </w:rPr>
        <w:tab/>
      </w:r>
      <w:r>
        <w:rPr>
          <w:noProof/>
        </w:rPr>
        <w:fldChar w:fldCharType="begin"/>
      </w:r>
      <w:r>
        <w:rPr>
          <w:noProof/>
        </w:rPr>
        <w:instrText xml:space="preserve"> PAGEREF _Toc170210133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11B</w:t>
      </w:r>
      <w:r>
        <w:rPr>
          <w:noProof/>
          <w:snapToGrid w:val="0"/>
          <w:szCs w:val="24"/>
        </w:rPr>
        <w:t>.</w:t>
      </w:r>
      <w:r>
        <w:rPr>
          <w:noProof/>
          <w:sz w:val="24"/>
          <w:szCs w:val="24"/>
        </w:rPr>
        <w:tab/>
      </w:r>
      <w:r>
        <w:rPr>
          <w:noProof/>
          <w:snapToGrid w:val="0"/>
          <w:szCs w:val="24"/>
        </w:rPr>
        <w:t>Charges on vessels’ stores, including fuel oil</w:t>
      </w:r>
      <w:r>
        <w:rPr>
          <w:noProof/>
        </w:rPr>
        <w:tab/>
      </w:r>
      <w:r>
        <w:rPr>
          <w:noProof/>
        </w:rPr>
        <w:fldChar w:fldCharType="begin"/>
      </w:r>
      <w:r>
        <w:rPr>
          <w:noProof/>
        </w:rPr>
        <w:instrText xml:space="preserve"> PAGEREF _Toc170210134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Charges to be paid before delivery of cargo</w:t>
      </w:r>
      <w:r>
        <w:rPr>
          <w:noProof/>
        </w:rPr>
        <w:tab/>
      </w:r>
      <w:r>
        <w:rPr>
          <w:noProof/>
        </w:rPr>
        <w:fldChar w:fldCharType="begin"/>
      </w:r>
      <w:r>
        <w:rPr>
          <w:noProof/>
        </w:rPr>
        <w:instrText xml:space="preserve"> PAGEREF _Toc170210135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Extra charges</w:t>
      </w:r>
      <w:r>
        <w:rPr>
          <w:noProof/>
        </w:rPr>
        <w:tab/>
      </w:r>
      <w:r>
        <w:rPr>
          <w:noProof/>
        </w:rPr>
        <w:fldChar w:fldCharType="begin"/>
      </w:r>
      <w:r>
        <w:rPr>
          <w:noProof/>
        </w:rPr>
        <w:instrText xml:space="preserve"> PAGEREF _Toc170210136 \h </w:instrText>
      </w:r>
      <w:r>
        <w:rPr>
          <w:noProof/>
        </w:rPr>
      </w:r>
      <w:r>
        <w:rPr>
          <w:noProof/>
        </w:rPr>
        <w:fldChar w:fldCharType="separate"/>
      </w:r>
      <w:r>
        <w:rPr>
          <w:noProof/>
        </w:rPr>
        <w:t>8</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Handling of cargo</w:t>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Cargo not to be placed on jetties or premises without authority</w:t>
      </w:r>
      <w:r>
        <w:rPr>
          <w:noProof/>
        </w:rPr>
        <w:tab/>
      </w:r>
      <w:r>
        <w:rPr>
          <w:noProof/>
        </w:rPr>
        <w:fldChar w:fldCharType="begin"/>
      </w:r>
      <w:r>
        <w:rPr>
          <w:noProof/>
        </w:rPr>
        <w:instrText xml:space="preserve"> PAGEREF _Toc170210138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Discharging of cargo may be stopped</w:t>
      </w:r>
      <w:r>
        <w:rPr>
          <w:noProof/>
        </w:rPr>
        <w:tab/>
      </w:r>
      <w:r>
        <w:rPr>
          <w:noProof/>
        </w:rPr>
        <w:fldChar w:fldCharType="begin"/>
      </w:r>
      <w:r>
        <w:rPr>
          <w:noProof/>
        </w:rPr>
        <w:instrText xml:space="preserve"> PAGEREF _Toc170210139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Goods not to be shifted without authority</w:t>
      </w:r>
      <w:r>
        <w:rPr>
          <w:noProof/>
        </w:rPr>
        <w:tab/>
      </w:r>
      <w:r>
        <w:rPr>
          <w:noProof/>
        </w:rPr>
        <w:fldChar w:fldCharType="begin"/>
      </w:r>
      <w:r>
        <w:rPr>
          <w:noProof/>
        </w:rPr>
        <w:instrText xml:space="preserve"> PAGEREF _Toc170210140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Bulk cargo not to be deposited without authority</w:t>
      </w:r>
      <w:r>
        <w:rPr>
          <w:noProof/>
        </w:rPr>
        <w:tab/>
      </w:r>
      <w:r>
        <w:rPr>
          <w:noProof/>
        </w:rPr>
        <w:fldChar w:fldCharType="begin"/>
      </w:r>
      <w:r>
        <w:rPr>
          <w:noProof/>
        </w:rPr>
        <w:instrText xml:space="preserve"> PAGEREF _Toc170210141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Outward cargo advice notes</w:t>
      </w:r>
      <w:r>
        <w:rPr>
          <w:noProof/>
        </w:rPr>
        <w:tab/>
      </w:r>
      <w:r>
        <w:rPr>
          <w:noProof/>
        </w:rPr>
        <w:fldChar w:fldCharType="begin"/>
      </w:r>
      <w:r>
        <w:rPr>
          <w:noProof/>
        </w:rPr>
        <w:instrText xml:space="preserve"> PAGEREF _Toc170210142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Outward cargo</w:t>
      </w:r>
      <w:r>
        <w:rPr>
          <w:noProof/>
        </w:rPr>
        <w:tab/>
      </w:r>
      <w:r>
        <w:rPr>
          <w:noProof/>
        </w:rPr>
        <w:fldChar w:fldCharType="begin"/>
      </w:r>
      <w:r>
        <w:rPr>
          <w:noProof/>
        </w:rPr>
        <w:instrText xml:space="preserve"> PAGEREF _Toc170210143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Dangerous cargo not to be shipped without permission</w:t>
      </w:r>
      <w:r>
        <w:rPr>
          <w:noProof/>
        </w:rPr>
        <w:tab/>
      </w:r>
      <w:r>
        <w:rPr>
          <w:noProof/>
        </w:rPr>
        <w:fldChar w:fldCharType="begin"/>
      </w:r>
      <w:r>
        <w:rPr>
          <w:noProof/>
        </w:rPr>
        <w:instrText xml:space="preserve"> PAGEREF _Toc170210144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Dangerous cargo may be refused or examined</w:t>
      </w:r>
      <w:r>
        <w:rPr>
          <w:noProof/>
        </w:rPr>
        <w:tab/>
      </w:r>
      <w:r>
        <w:rPr>
          <w:noProof/>
        </w:rPr>
        <w:fldChar w:fldCharType="begin"/>
      </w:r>
      <w:r>
        <w:rPr>
          <w:noProof/>
        </w:rPr>
        <w:instrText xml:space="preserve"> PAGEREF _Toc170210145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Marking of heavy packages</w:t>
      </w:r>
      <w:r>
        <w:rPr>
          <w:noProof/>
        </w:rPr>
        <w:tab/>
      </w:r>
      <w:r>
        <w:rPr>
          <w:noProof/>
        </w:rPr>
        <w:fldChar w:fldCharType="begin"/>
      </w:r>
      <w:r>
        <w:rPr>
          <w:noProof/>
        </w:rPr>
        <w:instrText xml:space="preserve"> PAGEREF _Toc170210146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False statements</w:t>
      </w:r>
      <w:r>
        <w:rPr>
          <w:noProof/>
        </w:rPr>
        <w:tab/>
      </w:r>
      <w:r>
        <w:rPr>
          <w:noProof/>
        </w:rPr>
        <w:fldChar w:fldCharType="begin"/>
      </w:r>
      <w:r>
        <w:rPr>
          <w:noProof/>
        </w:rPr>
        <w:instrText xml:space="preserve"> PAGEREF _Toc170210147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Receipt, delivery and storage of cargo</w:t>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Removal of cargo</w:t>
      </w:r>
      <w:r>
        <w:rPr>
          <w:noProof/>
        </w:rPr>
        <w:tab/>
      </w:r>
      <w:r>
        <w:rPr>
          <w:noProof/>
        </w:rPr>
        <w:fldChar w:fldCharType="begin"/>
      </w:r>
      <w:r>
        <w:rPr>
          <w:noProof/>
        </w:rPr>
        <w:instrText xml:space="preserve"> PAGEREF _Toc170210149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Storage charges</w:t>
      </w:r>
      <w:r>
        <w:rPr>
          <w:noProof/>
        </w:rPr>
        <w:tab/>
      </w:r>
      <w:r>
        <w:rPr>
          <w:noProof/>
        </w:rPr>
        <w:fldChar w:fldCharType="begin"/>
      </w:r>
      <w:r>
        <w:rPr>
          <w:noProof/>
        </w:rPr>
        <w:instrText xml:space="preserve"> PAGEREF _Toc170210150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Department not bound to find storage accommodation</w:t>
      </w:r>
      <w:r>
        <w:rPr>
          <w:noProof/>
        </w:rPr>
        <w:tab/>
      </w:r>
      <w:r>
        <w:rPr>
          <w:noProof/>
        </w:rPr>
        <w:fldChar w:fldCharType="begin"/>
      </w:r>
      <w:r>
        <w:rPr>
          <w:noProof/>
        </w:rPr>
        <w:instrText xml:space="preserve"> PAGEREF _Toc170210151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Goods may be disposed of</w:t>
      </w:r>
      <w:r>
        <w:rPr>
          <w:noProof/>
        </w:rPr>
        <w:tab/>
      </w:r>
      <w:r>
        <w:rPr>
          <w:noProof/>
        </w:rPr>
        <w:fldChar w:fldCharType="begin"/>
      </w:r>
      <w:r>
        <w:rPr>
          <w:noProof/>
        </w:rPr>
        <w:instrText xml:space="preserve"> PAGEREF _Toc170210152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Goods to be checked before delivery</w:t>
      </w:r>
      <w:r>
        <w:rPr>
          <w:noProof/>
        </w:rPr>
        <w:tab/>
      </w:r>
      <w:r>
        <w:rPr>
          <w:noProof/>
        </w:rPr>
        <w:fldChar w:fldCharType="begin"/>
      </w:r>
      <w:r>
        <w:rPr>
          <w:noProof/>
        </w:rPr>
        <w:instrText xml:space="preserve"> PAGEREF _Toc170210153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Delay in delivery</w:t>
      </w:r>
      <w:r>
        <w:rPr>
          <w:noProof/>
        </w:rPr>
        <w:tab/>
      </w:r>
      <w:r>
        <w:rPr>
          <w:noProof/>
        </w:rPr>
        <w:fldChar w:fldCharType="begin"/>
      </w:r>
      <w:r>
        <w:rPr>
          <w:noProof/>
        </w:rPr>
        <w:instrText xml:space="preserve"> PAGEREF _Toc170210154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Wrong delivery</w:t>
      </w:r>
      <w:r>
        <w:rPr>
          <w:noProof/>
        </w:rPr>
        <w:tab/>
      </w:r>
      <w:r>
        <w:rPr>
          <w:noProof/>
        </w:rPr>
        <w:fldChar w:fldCharType="begin"/>
      </w:r>
      <w:r>
        <w:rPr>
          <w:noProof/>
        </w:rPr>
        <w:instrText xml:space="preserve"> PAGEREF _Toc170210155 \h </w:instrText>
      </w:r>
      <w:r>
        <w:rPr>
          <w:noProof/>
        </w:rPr>
      </w:r>
      <w:r>
        <w:rPr>
          <w:noProof/>
        </w:rPr>
        <w:fldChar w:fldCharType="separate"/>
      </w:r>
      <w:r>
        <w:rPr>
          <w:noProof/>
        </w:rPr>
        <w:t>15</w:t>
      </w:r>
      <w:r>
        <w:rPr>
          <w:noProof/>
        </w:rPr>
        <w:fldChar w:fldCharType="end"/>
      </w:r>
    </w:p>
    <w:p>
      <w:pPr>
        <w:pStyle w:val="TOC3"/>
        <w:rPr>
          <w:b w:val="0"/>
          <w:noProof/>
          <w:sz w:val="24"/>
          <w:szCs w:val="24"/>
        </w:rPr>
      </w:pPr>
      <w:r>
        <w:rPr>
          <w:noProof/>
          <w:szCs w:val="26"/>
        </w:rPr>
        <w:t>Division 7</w:t>
      </w:r>
      <w:r>
        <w:rPr>
          <w:noProof/>
          <w:snapToGrid w:val="0"/>
          <w:szCs w:val="26"/>
        </w:rPr>
        <w:t> — </w:t>
      </w:r>
      <w:r>
        <w:rPr>
          <w:noProof/>
          <w:szCs w:val="26"/>
        </w:rPr>
        <w:t>Responsibility of Department</w:t>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Custody of cargo</w:t>
      </w:r>
      <w:r>
        <w:rPr>
          <w:noProof/>
        </w:rPr>
        <w:tab/>
      </w:r>
      <w:r>
        <w:rPr>
          <w:noProof/>
        </w:rPr>
        <w:fldChar w:fldCharType="begin"/>
      </w:r>
      <w:r>
        <w:rPr>
          <w:noProof/>
        </w:rPr>
        <w:instrText xml:space="preserve"> PAGEREF _Toc170210157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Goods without receipts</w:t>
      </w:r>
      <w:r>
        <w:rPr>
          <w:noProof/>
        </w:rPr>
        <w:tab/>
      </w:r>
      <w:r>
        <w:rPr>
          <w:noProof/>
        </w:rPr>
        <w:fldChar w:fldCharType="begin"/>
      </w:r>
      <w:r>
        <w:rPr>
          <w:noProof/>
        </w:rPr>
        <w:instrText xml:space="preserve"> PAGEREF _Toc170210158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Goods stacked on jetties</w:t>
      </w:r>
      <w:r>
        <w:rPr>
          <w:noProof/>
        </w:rPr>
        <w:tab/>
      </w:r>
      <w:r>
        <w:rPr>
          <w:noProof/>
        </w:rPr>
        <w:fldChar w:fldCharType="begin"/>
      </w:r>
      <w:r>
        <w:rPr>
          <w:noProof/>
        </w:rPr>
        <w:instrText xml:space="preserve"> PAGEREF _Toc170210159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Cargo damaged by fire, etc.</w:t>
      </w:r>
      <w:r>
        <w:rPr>
          <w:noProof/>
        </w:rPr>
        <w:tab/>
      </w:r>
      <w:r>
        <w:rPr>
          <w:noProof/>
        </w:rPr>
        <w:fldChar w:fldCharType="begin"/>
      </w:r>
      <w:r>
        <w:rPr>
          <w:noProof/>
        </w:rPr>
        <w:instrText xml:space="preserve"> PAGEREF _Toc170210160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Goods insufficiently packed</w:t>
      </w:r>
      <w:r>
        <w:rPr>
          <w:noProof/>
        </w:rPr>
        <w:tab/>
      </w:r>
      <w:r>
        <w:rPr>
          <w:noProof/>
        </w:rPr>
        <w:fldChar w:fldCharType="begin"/>
      </w:r>
      <w:r>
        <w:rPr>
          <w:noProof/>
        </w:rPr>
        <w:instrText xml:space="preserve"> PAGEREF _Toc170210161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Claims in respect of cargo</w:t>
      </w:r>
      <w:r>
        <w:rPr>
          <w:noProof/>
        </w:rPr>
        <w:tab/>
      </w:r>
      <w:r>
        <w:rPr>
          <w:noProof/>
        </w:rPr>
        <w:fldChar w:fldCharType="begin"/>
      </w:r>
      <w:r>
        <w:rPr>
          <w:noProof/>
        </w:rPr>
        <w:instrText xml:space="preserve"> PAGEREF _Toc170210162 \h </w:instrText>
      </w:r>
      <w:r>
        <w:rPr>
          <w:noProof/>
        </w:rPr>
      </w:r>
      <w:r>
        <w:rPr>
          <w:noProof/>
        </w:rPr>
        <w:fldChar w:fldCharType="separate"/>
      </w:r>
      <w:r>
        <w:rPr>
          <w:noProof/>
        </w:rPr>
        <w:t>17</w:t>
      </w:r>
      <w:r>
        <w:rPr>
          <w:noProof/>
        </w:rPr>
        <w:fldChar w:fldCharType="end"/>
      </w:r>
    </w:p>
    <w:p>
      <w:pPr>
        <w:pStyle w:val="TOC3"/>
        <w:rPr>
          <w:b w:val="0"/>
          <w:noProof/>
          <w:sz w:val="24"/>
          <w:szCs w:val="24"/>
        </w:rPr>
      </w:pPr>
      <w:r>
        <w:rPr>
          <w:noProof/>
          <w:szCs w:val="26"/>
        </w:rPr>
        <w:t>Division 8</w:t>
      </w:r>
      <w:r>
        <w:rPr>
          <w:noProof/>
          <w:snapToGrid w:val="0"/>
          <w:szCs w:val="26"/>
        </w:rPr>
        <w:t> — </w:t>
      </w:r>
      <w:r>
        <w:rPr>
          <w:noProof/>
          <w:szCs w:val="26"/>
        </w:rPr>
        <w:t>Working hours</w:t>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Ordinary time</w:t>
      </w:r>
      <w:r>
        <w:rPr>
          <w:noProof/>
        </w:rPr>
        <w:tab/>
      </w:r>
      <w:r>
        <w:rPr>
          <w:noProof/>
        </w:rPr>
        <w:fldChar w:fldCharType="begin"/>
      </w:r>
      <w:r>
        <w:rPr>
          <w:noProof/>
        </w:rPr>
        <w:instrText xml:space="preserve"> PAGEREF _Toc170210164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Overtime</w:t>
      </w:r>
      <w:r>
        <w:rPr>
          <w:noProof/>
        </w:rPr>
        <w:tab/>
      </w:r>
      <w:r>
        <w:rPr>
          <w:noProof/>
        </w:rPr>
        <w:fldChar w:fldCharType="begin"/>
      </w:r>
      <w:r>
        <w:rPr>
          <w:noProof/>
        </w:rPr>
        <w:instrText xml:space="preserve"> PAGEREF _Toc170210165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38A</w:t>
      </w:r>
      <w:r>
        <w:rPr>
          <w:noProof/>
          <w:snapToGrid w:val="0"/>
          <w:szCs w:val="24"/>
        </w:rPr>
        <w:t>.</w:t>
      </w:r>
      <w:r>
        <w:rPr>
          <w:noProof/>
          <w:sz w:val="24"/>
          <w:szCs w:val="24"/>
        </w:rPr>
        <w:tab/>
      </w:r>
      <w:r>
        <w:rPr>
          <w:noProof/>
          <w:snapToGrid w:val="0"/>
          <w:szCs w:val="24"/>
        </w:rPr>
        <w:t>Wages incurred through ships’ delays to be paid for</w:t>
      </w:r>
      <w:r>
        <w:rPr>
          <w:noProof/>
        </w:rPr>
        <w:tab/>
      </w:r>
      <w:r>
        <w:rPr>
          <w:noProof/>
        </w:rPr>
        <w:fldChar w:fldCharType="begin"/>
      </w:r>
      <w:r>
        <w:rPr>
          <w:noProof/>
        </w:rPr>
        <w:instrText xml:space="preserve"> PAGEREF _Toc170210166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Master to give notice of desire to work</w:t>
      </w:r>
      <w:r>
        <w:rPr>
          <w:noProof/>
        </w:rPr>
        <w:tab/>
      </w:r>
      <w:r>
        <w:rPr>
          <w:noProof/>
        </w:rPr>
        <w:fldChar w:fldCharType="begin"/>
      </w:r>
      <w:r>
        <w:rPr>
          <w:noProof/>
        </w:rPr>
        <w:instrText xml:space="preserve"> PAGEREF _Toc170210167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9</w:t>
      </w:r>
      <w:r>
        <w:rPr>
          <w:noProof/>
          <w:snapToGrid w:val="0"/>
          <w:szCs w:val="26"/>
        </w:rPr>
        <w:t> — </w:t>
      </w:r>
      <w:r>
        <w:rPr>
          <w:noProof/>
          <w:szCs w:val="26"/>
        </w:rPr>
        <w:t>Livestock or vehicles on jetties or premises</w:t>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Livestock on jetties or premises</w:t>
      </w:r>
      <w:r>
        <w:rPr>
          <w:noProof/>
        </w:rPr>
        <w:tab/>
      </w:r>
      <w:r>
        <w:rPr>
          <w:noProof/>
        </w:rPr>
        <w:fldChar w:fldCharType="begin"/>
      </w:r>
      <w:r>
        <w:rPr>
          <w:noProof/>
        </w:rPr>
        <w:instrText xml:space="preserve"> PAGEREF _Toc170210169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Riding vehicles, etc., on jetties or premises</w:t>
      </w:r>
      <w:r>
        <w:rPr>
          <w:noProof/>
        </w:rPr>
        <w:tab/>
      </w:r>
      <w:r>
        <w:rPr>
          <w:noProof/>
        </w:rPr>
        <w:fldChar w:fldCharType="begin"/>
      </w:r>
      <w:r>
        <w:rPr>
          <w:noProof/>
        </w:rPr>
        <w:instrText xml:space="preserve"> PAGEREF _Toc170210170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41A</w:t>
      </w:r>
      <w:r>
        <w:rPr>
          <w:noProof/>
          <w:snapToGrid w:val="0"/>
          <w:szCs w:val="24"/>
        </w:rPr>
        <w:t>.</w:t>
      </w:r>
      <w:r>
        <w:rPr>
          <w:noProof/>
          <w:sz w:val="24"/>
          <w:szCs w:val="24"/>
        </w:rPr>
        <w:tab/>
      </w:r>
      <w:r>
        <w:rPr>
          <w:noProof/>
          <w:snapToGrid w:val="0"/>
          <w:szCs w:val="24"/>
        </w:rPr>
        <w:t>Vehicles not to be parked on jetties</w:t>
      </w:r>
      <w:r>
        <w:rPr>
          <w:noProof/>
        </w:rPr>
        <w:tab/>
      </w:r>
      <w:r>
        <w:rPr>
          <w:noProof/>
        </w:rPr>
        <w:fldChar w:fldCharType="begin"/>
      </w:r>
      <w:r>
        <w:rPr>
          <w:noProof/>
        </w:rPr>
        <w:instrText xml:space="preserve"> PAGEREF _Toc170210171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41B</w:t>
      </w:r>
      <w:r>
        <w:rPr>
          <w:noProof/>
          <w:snapToGrid w:val="0"/>
          <w:szCs w:val="24"/>
        </w:rPr>
        <w:t>.</w:t>
      </w:r>
      <w:r>
        <w:rPr>
          <w:noProof/>
          <w:sz w:val="24"/>
          <w:szCs w:val="24"/>
        </w:rPr>
        <w:tab/>
      </w:r>
      <w:r>
        <w:rPr>
          <w:noProof/>
          <w:snapToGrid w:val="0"/>
          <w:szCs w:val="24"/>
        </w:rPr>
        <w:t>Department not responsible for vehicles on jetties</w:t>
      </w:r>
      <w:r>
        <w:rPr>
          <w:noProof/>
        </w:rPr>
        <w:tab/>
      </w:r>
      <w:r>
        <w:rPr>
          <w:noProof/>
        </w:rPr>
        <w:fldChar w:fldCharType="begin"/>
      </w:r>
      <w:r>
        <w:rPr>
          <w:noProof/>
        </w:rPr>
        <w:instrText xml:space="preserve"> PAGEREF _Toc170210172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Drivers of vehicles to obey instructions</w:t>
      </w:r>
      <w:r>
        <w:rPr>
          <w:noProof/>
        </w:rPr>
        <w:tab/>
      </w:r>
      <w:r>
        <w:rPr>
          <w:noProof/>
        </w:rPr>
        <w:fldChar w:fldCharType="begin"/>
      </w:r>
      <w:r>
        <w:rPr>
          <w:noProof/>
        </w:rPr>
        <w:instrText xml:space="preserve"> PAGEREF _Toc170210173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Persons not to be on jetties when livestock is being handled</w:t>
      </w:r>
      <w:r>
        <w:rPr>
          <w:noProof/>
        </w:rPr>
        <w:tab/>
      </w:r>
      <w:r>
        <w:rPr>
          <w:noProof/>
        </w:rPr>
        <w:fldChar w:fldCharType="begin"/>
      </w:r>
      <w:r>
        <w:rPr>
          <w:noProof/>
        </w:rPr>
        <w:instrText xml:space="preserve"> PAGEREF _Toc170210174 \h </w:instrText>
      </w:r>
      <w:r>
        <w:rPr>
          <w:noProof/>
        </w:rPr>
      </w:r>
      <w:r>
        <w:rPr>
          <w:noProof/>
        </w:rPr>
        <w:fldChar w:fldCharType="separate"/>
      </w:r>
      <w:r>
        <w:rPr>
          <w:noProof/>
        </w:rPr>
        <w:t>20</w:t>
      </w:r>
      <w:r>
        <w:rPr>
          <w:noProof/>
        </w:rPr>
        <w:fldChar w:fldCharType="end"/>
      </w:r>
    </w:p>
    <w:p>
      <w:pPr>
        <w:pStyle w:val="TOC3"/>
        <w:rPr>
          <w:b w:val="0"/>
          <w:noProof/>
          <w:sz w:val="24"/>
          <w:szCs w:val="24"/>
        </w:rPr>
      </w:pPr>
      <w:r>
        <w:rPr>
          <w:noProof/>
          <w:szCs w:val="26"/>
        </w:rPr>
        <w:t>Division 10</w:t>
      </w:r>
      <w:r>
        <w:rPr>
          <w:noProof/>
          <w:snapToGrid w:val="0"/>
          <w:szCs w:val="26"/>
        </w:rPr>
        <w:t> — </w:t>
      </w:r>
      <w:r>
        <w:rPr>
          <w:noProof/>
          <w:szCs w:val="26"/>
        </w:rPr>
        <w:t>Miscellaneous</w:t>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Bill posting, defacement and obscenity</w:t>
      </w:r>
      <w:r>
        <w:rPr>
          <w:noProof/>
        </w:rPr>
        <w:tab/>
      </w:r>
      <w:r>
        <w:rPr>
          <w:noProof/>
        </w:rPr>
        <w:fldChar w:fldCharType="begin"/>
      </w:r>
      <w:r>
        <w:rPr>
          <w:noProof/>
        </w:rPr>
        <w:instrText xml:space="preserve"> PAGEREF _Toc170210176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Disorderly persons</w:t>
      </w:r>
      <w:r>
        <w:rPr>
          <w:noProof/>
        </w:rPr>
        <w:tab/>
      </w:r>
      <w:r>
        <w:rPr>
          <w:noProof/>
        </w:rPr>
        <w:fldChar w:fldCharType="begin"/>
      </w:r>
      <w:r>
        <w:rPr>
          <w:noProof/>
        </w:rPr>
        <w:instrText xml:space="preserve"> PAGEREF _Toc170210177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Fires not to be lit</w:t>
      </w:r>
      <w:r>
        <w:rPr>
          <w:noProof/>
        </w:rPr>
        <w:tab/>
      </w:r>
      <w:r>
        <w:rPr>
          <w:noProof/>
        </w:rPr>
        <w:fldChar w:fldCharType="begin"/>
      </w:r>
      <w:r>
        <w:rPr>
          <w:noProof/>
        </w:rPr>
        <w:instrText xml:space="preserve"> PAGEREF _Toc170210178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Gates to be shut</w:t>
      </w:r>
      <w:r>
        <w:rPr>
          <w:noProof/>
        </w:rPr>
        <w:tab/>
      </w:r>
      <w:r>
        <w:rPr>
          <w:noProof/>
        </w:rPr>
        <w:fldChar w:fldCharType="begin"/>
      </w:r>
      <w:r>
        <w:rPr>
          <w:noProof/>
        </w:rPr>
        <w:instrText xml:space="preserve"> PAGEREF _Toc170210179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Interference with lights</w:t>
      </w:r>
      <w:r>
        <w:rPr>
          <w:noProof/>
        </w:rPr>
        <w:tab/>
      </w:r>
      <w:r>
        <w:rPr>
          <w:noProof/>
        </w:rPr>
        <w:fldChar w:fldCharType="begin"/>
      </w:r>
      <w:r>
        <w:rPr>
          <w:noProof/>
        </w:rPr>
        <w:instrText xml:space="preserve"> PAGEREF _Toc170210180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Interference with or damaging property</w:t>
      </w:r>
      <w:r>
        <w:rPr>
          <w:noProof/>
        </w:rPr>
        <w:tab/>
      </w:r>
      <w:r>
        <w:rPr>
          <w:noProof/>
        </w:rPr>
        <w:fldChar w:fldCharType="begin"/>
      </w:r>
      <w:r>
        <w:rPr>
          <w:noProof/>
        </w:rPr>
        <w:instrText xml:space="preserve"> PAGEREF _Toc170210181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Lost property</w:t>
      </w:r>
      <w:r>
        <w:rPr>
          <w:noProof/>
        </w:rPr>
        <w:tab/>
      </w:r>
      <w:r>
        <w:rPr>
          <w:noProof/>
        </w:rPr>
        <w:fldChar w:fldCharType="begin"/>
      </w:r>
      <w:r>
        <w:rPr>
          <w:noProof/>
        </w:rPr>
        <w:instrText xml:space="preserve"> PAGEREF _Toc170210182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Obstruction of officers, or premises</w:t>
      </w:r>
      <w:r>
        <w:rPr>
          <w:noProof/>
        </w:rPr>
        <w:tab/>
      </w:r>
      <w:r>
        <w:rPr>
          <w:noProof/>
        </w:rPr>
        <w:fldChar w:fldCharType="begin"/>
      </w:r>
      <w:r>
        <w:rPr>
          <w:noProof/>
        </w:rPr>
        <w:instrText xml:space="preserve"> PAGEREF _Toc170210183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Obstruction of or damage to jetties or premises</w:t>
      </w:r>
      <w:r>
        <w:rPr>
          <w:noProof/>
        </w:rPr>
        <w:tab/>
      </w:r>
      <w:r>
        <w:rPr>
          <w:noProof/>
        </w:rPr>
        <w:fldChar w:fldCharType="begin"/>
      </w:r>
      <w:r>
        <w:rPr>
          <w:noProof/>
        </w:rPr>
        <w:instrText xml:space="preserve"> PAGEREF _Toc170210184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Rubbish, etc., not to be thrown</w:t>
      </w:r>
      <w:r>
        <w:rPr>
          <w:noProof/>
        </w:rPr>
        <w:tab/>
      </w:r>
      <w:r>
        <w:rPr>
          <w:noProof/>
        </w:rPr>
        <w:fldChar w:fldCharType="begin"/>
      </w:r>
      <w:r>
        <w:rPr>
          <w:noProof/>
        </w:rPr>
        <w:instrText xml:space="preserve"> PAGEREF _Toc170210185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Sale of articles prohibited</w:t>
      </w:r>
      <w:r>
        <w:rPr>
          <w:noProof/>
        </w:rPr>
        <w:tab/>
      </w:r>
      <w:r>
        <w:rPr>
          <w:noProof/>
        </w:rPr>
        <w:fldChar w:fldCharType="begin"/>
      </w:r>
      <w:r>
        <w:rPr>
          <w:noProof/>
        </w:rPr>
        <w:instrText xml:space="preserve"> PAGEREF _Toc170210186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Smoking and loitering</w:t>
      </w:r>
      <w:r>
        <w:rPr>
          <w:noProof/>
        </w:rPr>
        <w:tab/>
      </w:r>
      <w:r>
        <w:rPr>
          <w:noProof/>
        </w:rPr>
        <w:fldChar w:fldCharType="begin"/>
      </w:r>
      <w:r>
        <w:rPr>
          <w:noProof/>
        </w:rPr>
        <w:instrText xml:space="preserve"> PAGEREF _Toc170210187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Trespassing</w:t>
      </w:r>
      <w:r>
        <w:rPr>
          <w:noProof/>
        </w:rPr>
        <w:tab/>
      </w:r>
      <w:r>
        <w:rPr>
          <w:noProof/>
        </w:rPr>
        <w:fldChar w:fldCharType="begin"/>
      </w:r>
      <w:r>
        <w:rPr>
          <w:noProof/>
        </w:rPr>
        <w:instrText xml:space="preserve"> PAGEREF _Toc170210188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67A</w:t>
      </w:r>
      <w:r>
        <w:rPr>
          <w:noProof/>
          <w:snapToGrid w:val="0"/>
          <w:szCs w:val="24"/>
        </w:rPr>
        <w:t>.</w:t>
      </w:r>
      <w:r>
        <w:rPr>
          <w:noProof/>
          <w:sz w:val="24"/>
          <w:szCs w:val="24"/>
        </w:rPr>
        <w:tab/>
      </w:r>
      <w:r>
        <w:rPr>
          <w:noProof/>
          <w:snapToGrid w:val="0"/>
          <w:szCs w:val="24"/>
        </w:rPr>
        <w:t>Conditions for construction and installation of pipelines</w:t>
      </w:r>
      <w:r>
        <w:rPr>
          <w:noProof/>
        </w:rPr>
        <w:tab/>
      </w:r>
      <w:r>
        <w:rPr>
          <w:noProof/>
        </w:rPr>
        <w:fldChar w:fldCharType="begin"/>
      </w:r>
      <w:r>
        <w:rPr>
          <w:noProof/>
        </w:rPr>
        <w:instrText xml:space="preserve"> PAGEREF _Toc170210189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67B</w:t>
      </w:r>
      <w:r>
        <w:rPr>
          <w:noProof/>
          <w:snapToGrid w:val="0"/>
          <w:szCs w:val="24"/>
        </w:rPr>
        <w:t>.</w:t>
      </w:r>
      <w:r>
        <w:rPr>
          <w:noProof/>
          <w:sz w:val="24"/>
          <w:szCs w:val="24"/>
        </w:rPr>
        <w:tab/>
      </w:r>
      <w:r>
        <w:rPr>
          <w:noProof/>
          <w:snapToGrid w:val="0"/>
          <w:szCs w:val="24"/>
        </w:rPr>
        <w:t>Maintenance and operation of pipelines</w:t>
      </w:r>
      <w:r>
        <w:rPr>
          <w:noProof/>
        </w:rPr>
        <w:tab/>
      </w:r>
      <w:r>
        <w:rPr>
          <w:noProof/>
        </w:rPr>
        <w:fldChar w:fldCharType="begin"/>
      </w:r>
      <w:r>
        <w:rPr>
          <w:noProof/>
        </w:rPr>
        <w:instrText xml:space="preserve"> PAGEREF _Toc170210190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67D</w:t>
      </w:r>
      <w:r>
        <w:rPr>
          <w:noProof/>
          <w:snapToGrid w:val="0"/>
          <w:szCs w:val="24"/>
        </w:rPr>
        <w:t>.</w:t>
      </w:r>
      <w:r>
        <w:rPr>
          <w:noProof/>
          <w:sz w:val="24"/>
          <w:szCs w:val="24"/>
        </w:rPr>
        <w:tab/>
      </w:r>
      <w:r>
        <w:rPr>
          <w:noProof/>
          <w:snapToGrid w:val="0"/>
          <w:szCs w:val="24"/>
        </w:rPr>
        <w:t>Penalty for failure to remove or amend pipeline</w:t>
      </w:r>
      <w:r>
        <w:rPr>
          <w:noProof/>
        </w:rPr>
        <w:tab/>
      </w:r>
      <w:r>
        <w:rPr>
          <w:noProof/>
        </w:rPr>
        <w:fldChar w:fldCharType="begin"/>
      </w:r>
      <w:r>
        <w:rPr>
          <w:noProof/>
        </w:rPr>
        <w:instrText xml:space="preserve"> PAGEREF _Toc170210191 \h </w:instrText>
      </w:r>
      <w:r>
        <w:rPr>
          <w:noProof/>
        </w:rPr>
      </w:r>
      <w:r>
        <w:rPr>
          <w:noProof/>
        </w:rPr>
        <w:fldChar w:fldCharType="separate"/>
      </w:r>
      <w:r>
        <w:rPr>
          <w:noProof/>
        </w:rPr>
        <w:t>34</w:t>
      </w:r>
      <w:r>
        <w:rPr>
          <w:noProof/>
        </w:rPr>
        <w:fldChar w:fldCharType="end"/>
      </w:r>
    </w:p>
    <w:p>
      <w:pPr>
        <w:pStyle w:val="TOC2"/>
        <w:tabs>
          <w:tab w:val="right" w:pos="7086"/>
        </w:tabs>
        <w:rPr>
          <w:b w:val="0"/>
          <w:noProof/>
          <w:sz w:val="24"/>
          <w:szCs w:val="24"/>
        </w:rPr>
      </w:pPr>
      <w:r>
        <w:rPr>
          <w:noProof/>
          <w:szCs w:val="30"/>
        </w:rPr>
        <w:t>Part 2 — Regulations applying to jetties within the Port of Perth</w:t>
      </w:r>
    </w:p>
    <w:p>
      <w:pPr>
        <w:pStyle w:val="TOC3"/>
        <w:rPr>
          <w:b w:val="0"/>
          <w:noProof/>
          <w:sz w:val="24"/>
          <w:szCs w:val="24"/>
        </w:rPr>
      </w:pPr>
      <w:r>
        <w:rPr>
          <w:noProof/>
          <w:szCs w:val="26"/>
        </w:rPr>
        <w:t>Division 1</w:t>
      </w:r>
      <w:r>
        <w:rPr>
          <w:noProof/>
          <w:snapToGrid w:val="0"/>
          <w:szCs w:val="26"/>
        </w:rPr>
        <w:t> — </w:t>
      </w:r>
      <w:r>
        <w:rPr>
          <w:noProof/>
          <w:szCs w:val="26"/>
        </w:rPr>
        <w:t>Application of this Part</w:t>
      </w:r>
    </w:p>
    <w:p>
      <w:pPr>
        <w:pStyle w:val="TOC4"/>
        <w:tabs>
          <w:tab w:val="left" w:pos="1701"/>
        </w:tabs>
        <w:rPr>
          <w:noProof/>
          <w:sz w:val="24"/>
          <w:szCs w:val="24"/>
        </w:rPr>
      </w:pPr>
      <w:r>
        <w:rPr>
          <w:noProof/>
          <w:szCs w:val="24"/>
        </w:rPr>
        <w:t>67E</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_Toc170210194 \h </w:instrText>
      </w:r>
      <w:r>
        <w:rPr>
          <w:noProof/>
        </w:rPr>
      </w:r>
      <w:r>
        <w:rPr>
          <w:noProof/>
        </w:rPr>
        <w:fldChar w:fldCharType="separate"/>
      </w:r>
      <w:r>
        <w:rPr>
          <w:noProof/>
        </w:rPr>
        <w:t>35</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Management and use of jetties</w:t>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Control of jetties</w:t>
      </w:r>
      <w:r>
        <w:rPr>
          <w:noProof/>
        </w:rPr>
        <w:tab/>
      </w:r>
      <w:r>
        <w:rPr>
          <w:noProof/>
        </w:rPr>
        <w:fldChar w:fldCharType="begin"/>
      </w:r>
      <w:r>
        <w:rPr>
          <w:noProof/>
        </w:rPr>
        <w:instrText xml:space="preserve"> PAGEREF _Toc170210196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Use of jetties</w:t>
      </w:r>
      <w:r>
        <w:rPr>
          <w:noProof/>
        </w:rPr>
        <w:tab/>
      </w:r>
      <w:r>
        <w:rPr>
          <w:noProof/>
        </w:rPr>
        <w:fldChar w:fldCharType="begin"/>
      </w:r>
      <w:r>
        <w:rPr>
          <w:noProof/>
        </w:rPr>
        <w:instrText xml:space="preserve"> PAGEREF _Toc170210197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Jetties may be closed</w:t>
      </w:r>
      <w:r>
        <w:rPr>
          <w:noProof/>
        </w:rPr>
        <w:tab/>
      </w:r>
      <w:r>
        <w:rPr>
          <w:noProof/>
        </w:rPr>
        <w:fldChar w:fldCharType="begin"/>
      </w:r>
      <w:r>
        <w:rPr>
          <w:noProof/>
        </w:rPr>
        <w:instrText xml:space="preserve"> PAGEREF _Toc170210198 \h </w:instrText>
      </w:r>
      <w:r>
        <w:rPr>
          <w:noProof/>
        </w:rPr>
      </w:r>
      <w:r>
        <w:rPr>
          <w:noProof/>
        </w:rPr>
        <w:fldChar w:fldCharType="separate"/>
      </w:r>
      <w:r>
        <w:rPr>
          <w:noProof/>
        </w:rPr>
        <w:t>36</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Mooring and berthing of vessels</w:t>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Permit required to moor, etc., alongside jetty or buoy</w:t>
      </w:r>
      <w:r>
        <w:rPr>
          <w:noProof/>
        </w:rPr>
        <w:tab/>
      </w:r>
      <w:r>
        <w:rPr>
          <w:noProof/>
        </w:rPr>
        <w:fldChar w:fldCharType="begin"/>
      </w:r>
      <w:r>
        <w:rPr>
          <w:noProof/>
        </w:rPr>
        <w:instrText xml:space="preserve"> PAGEREF _Toc170210200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Duration of, and charges for, permits</w:t>
      </w:r>
      <w:r>
        <w:rPr>
          <w:noProof/>
        </w:rPr>
        <w:tab/>
      </w:r>
      <w:r>
        <w:rPr>
          <w:noProof/>
        </w:rPr>
        <w:fldChar w:fldCharType="begin"/>
      </w:r>
      <w:r>
        <w:rPr>
          <w:noProof/>
        </w:rPr>
        <w:instrText xml:space="preserve"> PAGEREF _Toc170210201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Permit for exclusive use of a berth</w:t>
      </w:r>
      <w:r>
        <w:rPr>
          <w:noProof/>
        </w:rPr>
        <w:tab/>
      </w:r>
      <w:r>
        <w:rPr>
          <w:noProof/>
        </w:rPr>
        <w:fldChar w:fldCharType="begin"/>
      </w:r>
      <w:r>
        <w:rPr>
          <w:noProof/>
        </w:rPr>
        <w:instrText xml:space="preserve"> PAGEREF _Toc170210202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Manner of mooring vessels</w:t>
      </w:r>
      <w:r>
        <w:rPr>
          <w:noProof/>
        </w:rPr>
        <w:tab/>
      </w:r>
      <w:r>
        <w:rPr>
          <w:noProof/>
        </w:rPr>
        <w:fldChar w:fldCharType="begin"/>
      </w:r>
      <w:r>
        <w:rPr>
          <w:noProof/>
        </w:rPr>
        <w:instrText xml:space="preserve"> PAGEREF _Toc170210203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Vessels not to remain at jetties longer than necessary</w:t>
      </w:r>
      <w:r>
        <w:rPr>
          <w:noProof/>
        </w:rPr>
        <w:tab/>
      </w:r>
      <w:r>
        <w:rPr>
          <w:noProof/>
        </w:rPr>
        <w:fldChar w:fldCharType="begin"/>
      </w:r>
      <w:r>
        <w:rPr>
          <w:noProof/>
        </w:rPr>
        <w:instrText xml:space="preserve"> PAGEREF _Toc170210204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Mooring of rafts and boathouses</w:t>
      </w:r>
      <w:r>
        <w:rPr>
          <w:noProof/>
        </w:rPr>
        <w:tab/>
      </w:r>
      <w:r>
        <w:rPr>
          <w:noProof/>
        </w:rPr>
        <w:fldChar w:fldCharType="begin"/>
      </w:r>
      <w:r>
        <w:rPr>
          <w:noProof/>
        </w:rPr>
        <w:instrText xml:space="preserve"> PAGEREF _Toc170210205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Vessels to be in charge of a competent person</w:t>
      </w:r>
      <w:r>
        <w:rPr>
          <w:noProof/>
        </w:rPr>
        <w:tab/>
      </w:r>
      <w:r>
        <w:rPr>
          <w:noProof/>
        </w:rPr>
        <w:fldChar w:fldCharType="begin"/>
      </w:r>
      <w:r>
        <w:rPr>
          <w:noProof/>
        </w:rPr>
        <w:instrText xml:space="preserve"> PAGEREF _Toc170210206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Approaching jetties after sunset</w:t>
      </w:r>
      <w:r>
        <w:rPr>
          <w:noProof/>
        </w:rPr>
        <w:tab/>
      </w:r>
      <w:r>
        <w:rPr>
          <w:noProof/>
        </w:rPr>
        <w:fldChar w:fldCharType="begin"/>
      </w:r>
      <w:r>
        <w:rPr>
          <w:noProof/>
        </w:rPr>
        <w:instrText xml:space="preserve"> PAGEREF _Toc170210207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Loading or discharging cargo</w:t>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Vessels loading or discharging</w:t>
      </w:r>
      <w:r>
        <w:rPr>
          <w:noProof/>
        </w:rPr>
        <w:tab/>
      </w:r>
      <w:r>
        <w:rPr>
          <w:noProof/>
        </w:rPr>
        <w:fldChar w:fldCharType="begin"/>
      </w:r>
      <w:r>
        <w:rPr>
          <w:noProof/>
        </w:rPr>
        <w:instrText xml:space="preserve"> PAGEREF _Toc170210209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Cargo to be removed</w:t>
      </w:r>
      <w:r>
        <w:rPr>
          <w:noProof/>
        </w:rPr>
        <w:tab/>
      </w:r>
      <w:r>
        <w:rPr>
          <w:noProof/>
        </w:rPr>
        <w:fldChar w:fldCharType="begin"/>
      </w:r>
      <w:r>
        <w:rPr>
          <w:noProof/>
        </w:rPr>
        <w:instrText xml:space="preserve"> PAGEREF _Toc170210210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Cargo not to remain on jetties overnight</w:t>
      </w:r>
      <w:r>
        <w:rPr>
          <w:noProof/>
        </w:rPr>
        <w:tab/>
      </w:r>
      <w:r>
        <w:rPr>
          <w:noProof/>
        </w:rPr>
        <w:fldChar w:fldCharType="begin"/>
      </w:r>
      <w:r>
        <w:rPr>
          <w:noProof/>
        </w:rPr>
        <w:instrText xml:space="preserve"> PAGEREF _Toc170210211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Explosives not to be handled without permission</w:t>
      </w:r>
      <w:r>
        <w:rPr>
          <w:noProof/>
        </w:rPr>
        <w:tab/>
      </w:r>
      <w:r>
        <w:rPr>
          <w:noProof/>
        </w:rPr>
        <w:fldChar w:fldCharType="begin"/>
      </w:r>
      <w:r>
        <w:rPr>
          <w:noProof/>
        </w:rPr>
        <w:instrText xml:space="preserve"> PAGEREF _Toc170210212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Manner of handling cargo</w:t>
      </w:r>
      <w:r>
        <w:rPr>
          <w:noProof/>
        </w:rPr>
        <w:tab/>
      </w:r>
      <w:r>
        <w:rPr>
          <w:noProof/>
        </w:rPr>
        <w:fldChar w:fldCharType="begin"/>
      </w:r>
      <w:r>
        <w:rPr>
          <w:noProof/>
        </w:rPr>
        <w:instrText xml:space="preserve"> PAGEREF _Toc170210213 \h </w:instrText>
      </w:r>
      <w:r>
        <w:rPr>
          <w:noProof/>
        </w:rPr>
      </w:r>
      <w:r>
        <w:rPr>
          <w:noProof/>
        </w:rPr>
        <w:fldChar w:fldCharType="separate"/>
      </w:r>
      <w:r>
        <w:rPr>
          <w:noProof/>
        </w:rPr>
        <w:t>41</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Navigation of vessels</w:t>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Power vessels approaching jetties</w:t>
      </w:r>
      <w:r>
        <w:rPr>
          <w:noProof/>
        </w:rPr>
        <w:tab/>
      </w:r>
      <w:r>
        <w:rPr>
          <w:noProof/>
        </w:rPr>
        <w:fldChar w:fldCharType="begin"/>
      </w:r>
      <w:r>
        <w:rPr>
          <w:noProof/>
        </w:rPr>
        <w:instrText xml:space="preserve"> PAGEREF _Toc170210215 \h </w:instrText>
      </w:r>
      <w:r>
        <w:rPr>
          <w:noProof/>
        </w:rPr>
      </w:r>
      <w:r>
        <w:rPr>
          <w:noProof/>
        </w:rPr>
        <w:fldChar w:fldCharType="separate"/>
      </w:r>
      <w:r>
        <w:rPr>
          <w:noProof/>
        </w:rPr>
        <w:t>41</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Miscellaneous</w:t>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Bathing from jetties</w:t>
      </w:r>
      <w:r>
        <w:rPr>
          <w:noProof/>
        </w:rPr>
        <w:tab/>
      </w:r>
      <w:r>
        <w:rPr>
          <w:noProof/>
        </w:rPr>
        <w:fldChar w:fldCharType="begin"/>
      </w:r>
      <w:r>
        <w:rPr>
          <w:noProof/>
        </w:rPr>
        <w:instrText xml:space="preserve"> PAGEREF _Toc170210217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Damage to jetties</w:t>
      </w:r>
      <w:r>
        <w:rPr>
          <w:noProof/>
        </w:rPr>
        <w:tab/>
      </w:r>
      <w:r>
        <w:rPr>
          <w:noProof/>
        </w:rPr>
        <w:fldChar w:fldCharType="begin"/>
      </w:r>
      <w:r>
        <w:rPr>
          <w:noProof/>
        </w:rPr>
        <w:instrText xml:space="preserve"> PAGEREF _Toc170210218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Fishing from certain places prohibited</w:t>
      </w:r>
      <w:r>
        <w:rPr>
          <w:noProof/>
        </w:rPr>
        <w:tab/>
      </w:r>
      <w:r>
        <w:rPr>
          <w:noProof/>
        </w:rPr>
        <w:fldChar w:fldCharType="begin"/>
      </w:r>
      <w:r>
        <w:rPr>
          <w:noProof/>
        </w:rPr>
        <w:instrText xml:space="preserve"> PAGEREF _Toc170210219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Fishing nets on jetties</w:t>
      </w:r>
      <w:r>
        <w:rPr>
          <w:noProof/>
        </w:rPr>
        <w:tab/>
      </w:r>
      <w:r>
        <w:rPr>
          <w:noProof/>
        </w:rPr>
        <w:fldChar w:fldCharType="begin"/>
      </w:r>
      <w:r>
        <w:rPr>
          <w:noProof/>
        </w:rPr>
        <w:instrText xml:space="preserve"> PAGEREF _Toc170210220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Gangways to be provided</w:t>
      </w:r>
      <w:r>
        <w:rPr>
          <w:noProof/>
        </w:rPr>
        <w:tab/>
      </w:r>
      <w:r>
        <w:rPr>
          <w:noProof/>
        </w:rPr>
        <w:fldChar w:fldCharType="begin"/>
      </w:r>
      <w:r>
        <w:rPr>
          <w:noProof/>
        </w:rPr>
        <w:instrText xml:space="preserve"> PAGEREF _Toc170210221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91</w:t>
      </w:r>
      <w:r>
        <w:rPr>
          <w:noProof/>
          <w:snapToGrid w:val="0"/>
          <w:szCs w:val="24"/>
        </w:rPr>
        <w:t>.</w:t>
      </w:r>
      <w:r>
        <w:rPr>
          <w:noProof/>
          <w:sz w:val="24"/>
          <w:szCs w:val="24"/>
        </w:rPr>
        <w:tab/>
      </w:r>
      <w:r>
        <w:rPr>
          <w:noProof/>
          <w:snapToGrid w:val="0"/>
          <w:szCs w:val="24"/>
        </w:rPr>
        <w:t>Interference with jetties or approaches</w:t>
      </w:r>
      <w:r>
        <w:rPr>
          <w:noProof/>
        </w:rPr>
        <w:tab/>
      </w:r>
      <w:r>
        <w:rPr>
          <w:noProof/>
        </w:rPr>
        <w:fldChar w:fldCharType="begin"/>
      </w:r>
      <w:r>
        <w:rPr>
          <w:noProof/>
        </w:rPr>
        <w:instrText xml:space="preserve"> PAGEREF _Toc170210222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Lifebuoys on jetties</w:t>
      </w:r>
      <w:r>
        <w:rPr>
          <w:noProof/>
        </w:rPr>
        <w:tab/>
      </w:r>
      <w:r>
        <w:rPr>
          <w:noProof/>
        </w:rPr>
        <w:fldChar w:fldCharType="begin"/>
      </w:r>
      <w:r>
        <w:rPr>
          <w:noProof/>
        </w:rPr>
        <w:instrText xml:space="preserve"> PAGEREF _Toc170210223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Obstruction of jetties or officers</w:t>
      </w:r>
      <w:r>
        <w:rPr>
          <w:noProof/>
        </w:rPr>
        <w:tab/>
      </w:r>
      <w:r>
        <w:rPr>
          <w:noProof/>
        </w:rPr>
        <w:fldChar w:fldCharType="begin"/>
      </w:r>
      <w:r>
        <w:rPr>
          <w:noProof/>
        </w:rPr>
        <w:instrText xml:space="preserve"> PAGEREF _Toc170210224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Rubbish not to be thrown in river, etc.</w:t>
      </w:r>
      <w:r>
        <w:rPr>
          <w:noProof/>
        </w:rPr>
        <w:tab/>
      </w:r>
      <w:r>
        <w:rPr>
          <w:noProof/>
        </w:rPr>
        <w:fldChar w:fldCharType="begin"/>
      </w:r>
      <w:r>
        <w:rPr>
          <w:noProof/>
        </w:rPr>
        <w:instrText xml:space="preserve"> PAGEREF _Toc170210225 \h </w:instrText>
      </w:r>
      <w:r>
        <w:rPr>
          <w:noProof/>
        </w:rPr>
      </w:r>
      <w:r>
        <w:rPr>
          <w:noProof/>
        </w:rPr>
        <w:fldChar w:fldCharType="separate"/>
      </w:r>
      <w:r>
        <w:rPr>
          <w:noProof/>
        </w:rPr>
        <w:t>44</w:t>
      </w:r>
      <w:r>
        <w:rPr>
          <w:noProof/>
        </w:rPr>
        <w:fldChar w:fldCharType="end"/>
      </w:r>
    </w:p>
    <w:p>
      <w:pPr>
        <w:pStyle w:val="TOC2"/>
        <w:tabs>
          <w:tab w:val="right" w:pos="7086"/>
        </w:tabs>
        <w:rPr>
          <w:b w:val="0"/>
          <w:noProof/>
          <w:sz w:val="24"/>
          <w:szCs w:val="24"/>
        </w:rPr>
      </w:pPr>
      <w:r>
        <w:rPr>
          <w:noProof/>
          <w:szCs w:val="30"/>
        </w:rPr>
        <w:t>Part 2A — Mooring and berthing other than in the Port of Perth</w:t>
      </w:r>
    </w:p>
    <w:p>
      <w:pPr>
        <w:pStyle w:val="TOC4"/>
        <w:tabs>
          <w:tab w:val="left" w:pos="1701"/>
        </w:tabs>
        <w:rPr>
          <w:noProof/>
          <w:sz w:val="24"/>
          <w:szCs w:val="24"/>
        </w:rPr>
      </w:pPr>
      <w:r>
        <w:rPr>
          <w:noProof/>
          <w:szCs w:val="24"/>
        </w:rPr>
        <w:t>94A.</w:t>
      </w:r>
      <w:r>
        <w:rPr>
          <w:noProof/>
          <w:sz w:val="24"/>
          <w:szCs w:val="24"/>
        </w:rPr>
        <w:tab/>
      </w:r>
      <w:r>
        <w:rPr>
          <w:noProof/>
          <w:szCs w:val="24"/>
        </w:rPr>
        <w:t>Fees, etc. for pen rentals and services</w:t>
      </w:r>
      <w:r>
        <w:rPr>
          <w:noProof/>
        </w:rPr>
        <w:tab/>
      </w:r>
      <w:r>
        <w:rPr>
          <w:noProof/>
        </w:rPr>
        <w:fldChar w:fldCharType="begin"/>
      </w:r>
      <w:r>
        <w:rPr>
          <w:noProof/>
        </w:rPr>
        <w:instrText xml:space="preserve"> PAGEREF _Toc170210227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94B</w:t>
      </w:r>
      <w:r>
        <w:rPr>
          <w:noProof/>
          <w:snapToGrid w:val="0"/>
          <w:szCs w:val="24"/>
        </w:rPr>
        <w:t>.</w:t>
      </w:r>
      <w:r>
        <w:rPr>
          <w:noProof/>
          <w:sz w:val="24"/>
          <w:szCs w:val="24"/>
        </w:rPr>
        <w:tab/>
      </w:r>
      <w:r>
        <w:rPr>
          <w:noProof/>
          <w:snapToGrid w:val="0"/>
          <w:szCs w:val="24"/>
        </w:rPr>
        <w:t>Fees for pile mooring</w:t>
      </w:r>
      <w:r>
        <w:rPr>
          <w:noProof/>
        </w:rPr>
        <w:tab/>
      </w:r>
      <w:r>
        <w:rPr>
          <w:noProof/>
        </w:rPr>
        <w:fldChar w:fldCharType="begin"/>
      </w:r>
      <w:r>
        <w:rPr>
          <w:noProof/>
        </w:rPr>
        <w:instrText xml:space="preserve"> PAGEREF _Toc170210228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94C</w:t>
      </w:r>
      <w:r>
        <w:rPr>
          <w:noProof/>
          <w:snapToGrid w:val="0"/>
          <w:szCs w:val="24"/>
        </w:rPr>
        <w:t>.</w:t>
      </w:r>
      <w:r>
        <w:rPr>
          <w:noProof/>
          <w:sz w:val="24"/>
          <w:szCs w:val="24"/>
        </w:rPr>
        <w:tab/>
      </w:r>
      <w:r>
        <w:rPr>
          <w:noProof/>
          <w:snapToGrid w:val="0"/>
          <w:szCs w:val="24"/>
        </w:rPr>
        <w:t>Fees for berthing or mooring on a casual basis</w:t>
      </w:r>
      <w:r>
        <w:rPr>
          <w:noProof/>
        </w:rPr>
        <w:tab/>
      </w:r>
      <w:r>
        <w:rPr>
          <w:noProof/>
        </w:rPr>
        <w:fldChar w:fldCharType="begin"/>
      </w:r>
      <w:r>
        <w:rPr>
          <w:noProof/>
        </w:rPr>
        <w:instrText xml:space="preserve"> PAGEREF _Toc170210229 \h </w:instrText>
      </w:r>
      <w:r>
        <w:rPr>
          <w:noProof/>
        </w:rPr>
      </w:r>
      <w:r>
        <w:rPr>
          <w:noProof/>
        </w:rPr>
        <w:fldChar w:fldCharType="separate"/>
      </w:r>
      <w:r>
        <w:rPr>
          <w:noProof/>
        </w:rPr>
        <w:t>45</w:t>
      </w:r>
      <w:r>
        <w:rPr>
          <w:noProof/>
        </w:rPr>
        <w:fldChar w:fldCharType="end"/>
      </w:r>
    </w:p>
    <w:p>
      <w:pPr>
        <w:pStyle w:val="TOC2"/>
        <w:tabs>
          <w:tab w:val="right" w:pos="7086"/>
        </w:tabs>
        <w:rPr>
          <w:b w:val="0"/>
          <w:noProof/>
          <w:sz w:val="24"/>
          <w:szCs w:val="24"/>
        </w:rPr>
      </w:pPr>
      <w:r>
        <w:rPr>
          <w:noProof/>
          <w:szCs w:val="30"/>
        </w:rPr>
        <w:t>Part 3 — Special provisions applying at particular ports</w:t>
      </w:r>
    </w:p>
    <w:p>
      <w:pPr>
        <w:pStyle w:val="TOC3"/>
        <w:rPr>
          <w:b w:val="0"/>
          <w:noProof/>
          <w:sz w:val="24"/>
          <w:szCs w:val="24"/>
        </w:rPr>
      </w:pPr>
      <w:r>
        <w:rPr>
          <w:noProof/>
          <w:szCs w:val="26"/>
        </w:rPr>
        <w:t>Division 1</w:t>
      </w:r>
      <w:r>
        <w:rPr>
          <w:noProof/>
          <w:snapToGrid w:val="0"/>
          <w:szCs w:val="26"/>
        </w:rPr>
        <w:t> — </w:t>
      </w:r>
      <w:r>
        <w:rPr>
          <w:noProof/>
          <w:szCs w:val="26"/>
        </w:rPr>
        <w:t>Use of slipways</w:t>
      </w:r>
    </w:p>
    <w:p>
      <w:pPr>
        <w:pStyle w:val="TOC4"/>
        <w:tabs>
          <w:tab w:val="left" w:pos="1701"/>
        </w:tabs>
        <w:rPr>
          <w:noProof/>
          <w:sz w:val="24"/>
          <w:szCs w:val="24"/>
        </w:rPr>
      </w:pPr>
      <w:r>
        <w:rPr>
          <w:noProof/>
          <w:szCs w:val="24"/>
        </w:rPr>
        <w:t>95.</w:t>
      </w:r>
      <w:r>
        <w:rPr>
          <w:noProof/>
          <w:sz w:val="24"/>
          <w:szCs w:val="24"/>
        </w:rPr>
        <w:tab/>
      </w:r>
      <w:r>
        <w:rPr>
          <w:noProof/>
          <w:szCs w:val="24"/>
        </w:rPr>
        <w:t>Management and control of departmental slipways</w:t>
      </w:r>
      <w:r>
        <w:rPr>
          <w:noProof/>
        </w:rPr>
        <w:tab/>
      </w:r>
      <w:r>
        <w:rPr>
          <w:noProof/>
        </w:rPr>
        <w:fldChar w:fldCharType="begin"/>
      </w:r>
      <w:r>
        <w:rPr>
          <w:noProof/>
        </w:rPr>
        <w:instrText xml:space="preserve"> PAGEREF _Toc170210232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95A</w:t>
      </w:r>
      <w:r>
        <w:rPr>
          <w:noProof/>
          <w:snapToGrid w:val="0"/>
          <w:szCs w:val="24"/>
        </w:rPr>
        <w:t>.</w:t>
      </w:r>
      <w:r>
        <w:rPr>
          <w:noProof/>
          <w:sz w:val="24"/>
          <w:szCs w:val="24"/>
        </w:rPr>
        <w:tab/>
      </w:r>
      <w:r>
        <w:rPr>
          <w:noProof/>
          <w:snapToGrid w:val="0"/>
          <w:szCs w:val="24"/>
        </w:rPr>
        <w:t>Application for use of slipway</w:t>
      </w:r>
      <w:r>
        <w:rPr>
          <w:noProof/>
        </w:rPr>
        <w:tab/>
      </w:r>
      <w:r>
        <w:rPr>
          <w:noProof/>
        </w:rPr>
        <w:fldChar w:fldCharType="begin"/>
      </w:r>
      <w:r>
        <w:rPr>
          <w:noProof/>
        </w:rPr>
        <w:instrText xml:space="preserve"> PAGEREF _Toc170210233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96</w:t>
      </w:r>
      <w:r>
        <w:rPr>
          <w:noProof/>
          <w:snapToGrid w:val="0"/>
          <w:szCs w:val="24"/>
        </w:rPr>
        <w:t>.</w:t>
      </w:r>
      <w:r>
        <w:rPr>
          <w:noProof/>
          <w:sz w:val="24"/>
          <w:szCs w:val="24"/>
        </w:rPr>
        <w:tab/>
      </w:r>
      <w:r>
        <w:rPr>
          <w:noProof/>
          <w:snapToGrid w:val="0"/>
          <w:szCs w:val="24"/>
        </w:rPr>
        <w:t>Charges for use of slipway</w:t>
      </w:r>
      <w:r>
        <w:rPr>
          <w:noProof/>
        </w:rPr>
        <w:tab/>
      </w:r>
      <w:r>
        <w:rPr>
          <w:noProof/>
        </w:rPr>
        <w:fldChar w:fldCharType="begin"/>
      </w:r>
      <w:r>
        <w:rPr>
          <w:noProof/>
        </w:rPr>
        <w:instrText xml:space="preserve"> PAGEREF _Toc170210234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97</w:t>
      </w:r>
      <w:r>
        <w:rPr>
          <w:noProof/>
          <w:snapToGrid w:val="0"/>
          <w:szCs w:val="24"/>
        </w:rPr>
        <w:t>.</w:t>
      </w:r>
      <w:r>
        <w:rPr>
          <w:noProof/>
          <w:sz w:val="24"/>
          <w:szCs w:val="24"/>
        </w:rPr>
        <w:tab/>
      </w:r>
      <w:r>
        <w:rPr>
          <w:noProof/>
          <w:snapToGrid w:val="0"/>
          <w:szCs w:val="24"/>
        </w:rPr>
        <w:t>Government vessels may take precedence</w:t>
      </w:r>
      <w:r>
        <w:rPr>
          <w:noProof/>
        </w:rPr>
        <w:tab/>
      </w:r>
      <w:r>
        <w:rPr>
          <w:noProof/>
        </w:rPr>
        <w:fldChar w:fldCharType="begin"/>
      </w:r>
      <w:r>
        <w:rPr>
          <w:noProof/>
        </w:rPr>
        <w:instrText xml:space="preserve"> PAGEREF _Toc170210235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98</w:t>
      </w:r>
      <w:r>
        <w:rPr>
          <w:noProof/>
          <w:snapToGrid w:val="0"/>
          <w:szCs w:val="24"/>
        </w:rPr>
        <w:t>.</w:t>
      </w:r>
      <w:r>
        <w:rPr>
          <w:noProof/>
          <w:sz w:val="24"/>
          <w:szCs w:val="24"/>
        </w:rPr>
        <w:tab/>
      </w:r>
      <w:r>
        <w:rPr>
          <w:noProof/>
          <w:snapToGrid w:val="0"/>
          <w:szCs w:val="24"/>
        </w:rPr>
        <w:t>Vessels may forfeit their turn</w:t>
      </w:r>
      <w:r>
        <w:rPr>
          <w:noProof/>
        </w:rPr>
        <w:tab/>
      </w:r>
      <w:r>
        <w:rPr>
          <w:noProof/>
        </w:rPr>
        <w:fldChar w:fldCharType="begin"/>
      </w:r>
      <w:r>
        <w:rPr>
          <w:noProof/>
        </w:rPr>
        <w:instrText xml:space="preserve"> PAGEREF _Toc170210236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99</w:t>
      </w:r>
      <w:r>
        <w:rPr>
          <w:noProof/>
          <w:snapToGrid w:val="0"/>
          <w:szCs w:val="24"/>
        </w:rPr>
        <w:t>.</w:t>
      </w:r>
      <w:r>
        <w:rPr>
          <w:noProof/>
          <w:sz w:val="24"/>
          <w:szCs w:val="24"/>
        </w:rPr>
        <w:tab/>
      </w:r>
      <w:r>
        <w:rPr>
          <w:noProof/>
          <w:snapToGrid w:val="0"/>
          <w:szCs w:val="24"/>
        </w:rPr>
        <w:t>Department will not undertake repairs, etc.</w:t>
      </w:r>
      <w:r>
        <w:rPr>
          <w:noProof/>
        </w:rPr>
        <w:tab/>
      </w:r>
      <w:r>
        <w:rPr>
          <w:noProof/>
        </w:rPr>
        <w:fldChar w:fldCharType="begin"/>
      </w:r>
      <w:r>
        <w:rPr>
          <w:noProof/>
        </w:rPr>
        <w:instrText xml:space="preserve"> PAGEREF _Toc170210237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100</w:t>
      </w:r>
      <w:r>
        <w:rPr>
          <w:noProof/>
          <w:snapToGrid w:val="0"/>
          <w:szCs w:val="24"/>
        </w:rPr>
        <w:t>.</w:t>
      </w:r>
      <w:r>
        <w:rPr>
          <w:noProof/>
          <w:sz w:val="24"/>
          <w:szCs w:val="24"/>
        </w:rPr>
        <w:tab/>
      </w:r>
      <w:r>
        <w:rPr>
          <w:noProof/>
          <w:snapToGrid w:val="0"/>
          <w:szCs w:val="24"/>
        </w:rPr>
        <w:t>Department not responsible for damage to vessel when in use of slip</w:t>
      </w:r>
      <w:r>
        <w:rPr>
          <w:noProof/>
        </w:rPr>
        <w:tab/>
      </w:r>
      <w:r>
        <w:rPr>
          <w:noProof/>
        </w:rPr>
        <w:fldChar w:fldCharType="begin"/>
      </w:r>
      <w:r>
        <w:rPr>
          <w:noProof/>
        </w:rPr>
        <w:instrText xml:space="preserve"> PAGEREF _Toc170210238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101</w:t>
      </w:r>
      <w:r>
        <w:rPr>
          <w:noProof/>
          <w:snapToGrid w:val="0"/>
          <w:szCs w:val="24"/>
        </w:rPr>
        <w:t>.</w:t>
      </w:r>
      <w:r>
        <w:rPr>
          <w:noProof/>
          <w:sz w:val="24"/>
          <w:szCs w:val="24"/>
        </w:rPr>
        <w:tab/>
      </w:r>
      <w:r>
        <w:rPr>
          <w:noProof/>
          <w:snapToGrid w:val="0"/>
          <w:szCs w:val="24"/>
        </w:rPr>
        <w:t>Duties of owner or master using slipway</w:t>
      </w:r>
      <w:r>
        <w:rPr>
          <w:noProof/>
        </w:rPr>
        <w:tab/>
      </w:r>
      <w:r>
        <w:rPr>
          <w:noProof/>
        </w:rPr>
        <w:fldChar w:fldCharType="begin"/>
      </w:r>
      <w:r>
        <w:rPr>
          <w:noProof/>
        </w:rPr>
        <w:instrText xml:space="preserve"> PAGEREF _Toc170210239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101A</w:t>
      </w:r>
      <w:r>
        <w:rPr>
          <w:noProof/>
          <w:snapToGrid w:val="0"/>
          <w:szCs w:val="24"/>
        </w:rPr>
        <w:t>.</w:t>
      </w:r>
      <w:r>
        <w:rPr>
          <w:noProof/>
          <w:sz w:val="24"/>
          <w:szCs w:val="24"/>
        </w:rPr>
        <w:tab/>
      </w:r>
      <w:r>
        <w:rPr>
          <w:noProof/>
          <w:snapToGrid w:val="0"/>
          <w:szCs w:val="24"/>
        </w:rPr>
        <w:t>Slipping of more than one vessel at a time</w:t>
      </w:r>
      <w:r>
        <w:rPr>
          <w:noProof/>
        </w:rPr>
        <w:tab/>
      </w:r>
      <w:r>
        <w:rPr>
          <w:noProof/>
        </w:rPr>
        <w:fldChar w:fldCharType="begin"/>
      </w:r>
      <w:r>
        <w:rPr>
          <w:noProof/>
        </w:rPr>
        <w:instrText xml:space="preserve"> PAGEREF _Toc170210240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101B</w:t>
      </w:r>
      <w:r>
        <w:rPr>
          <w:noProof/>
          <w:snapToGrid w:val="0"/>
          <w:szCs w:val="24"/>
        </w:rPr>
        <w:t>.</w:t>
      </w:r>
      <w:r>
        <w:rPr>
          <w:noProof/>
          <w:sz w:val="24"/>
          <w:szCs w:val="24"/>
        </w:rPr>
        <w:tab/>
      </w:r>
      <w:r>
        <w:rPr>
          <w:noProof/>
          <w:snapToGrid w:val="0"/>
          <w:szCs w:val="24"/>
        </w:rPr>
        <w:t>Dispute procedure</w:t>
      </w:r>
      <w:r>
        <w:rPr>
          <w:noProof/>
        </w:rPr>
        <w:tab/>
      </w:r>
      <w:r>
        <w:rPr>
          <w:noProof/>
        </w:rPr>
        <w:fldChar w:fldCharType="begin"/>
      </w:r>
      <w:r>
        <w:rPr>
          <w:noProof/>
        </w:rPr>
        <w:instrText xml:space="preserve"> PAGEREF _Toc170210241 \h </w:instrText>
      </w:r>
      <w:r>
        <w:rPr>
          <w:noProof/>
        </w:rPr>
      </w:r>
      <w:r>
        <w:rPr>
          <w:noProof/>
        </w:rPr>
        <w:fldChar w:fldCharType="separate"/>
      </w:r>
      <w:r>
        <w:rPr>
          <w:noProof/>
        </w:rPr>
        <w:t>49</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Use of mooring springs</w:t>
      </w:r>
    </w:p>
    <w:p>
      <w:pPr>
        <w:pStyle w:val="TOC4"/>
        <w:tabs>
          <w:tab w:val="left" w:pos="1701"/>
        </w:tabs>
        <w:rPr>
          <w:noProof/>
          <w:sz w:val="24"/>
          <w:szCs w:val="24"/>
        </w:rPr>
      </w:pPr>
      <w:r>
        <w:rPr>
          <w:noProof/>
          <w:szCs w:val="24"/>
        </w:rPr>
        <w:t>105F</w:t>
      </w:r>
      <w:r>
        <w:rPr>
          <w:noProof/>
          <w:snapToGrid w:val="0"/>
          <w:szCs w:val="24"/>
        </w:rPr>
        <w:t>.</w:t>
      </w:r>
      <w:r>
        <w:rPr>
          <w:noProof/>
          <w:sz w:val="24"/>
          <w:szCs w:val="24"/>
        </w:rPr>
        <w:tab/>
      </w:r>
      <w:r>
        <w:rPr>
          <w:noProof/>
          <w:snapToGrid w:val="0"/>
          <w:szCs w:val="24"/>
        </w:rPr>
        <w:t>Approaching bollard or jetty to which mooring spring or rope fastened</w:t>
      </w:r>
      <w:r>
        <w:rPr>
          <w:noProof/>
        </w:rPr>
        <w:tab/>
      </w:r>
      <w:r>
        <w:rPr>
          <w:noProof/>
        </w:rPr>
        <w:fldChar w:fldCharType="begin"/>
      </w:r>
      <w:r>
        <w:rPr>
          <w:noProof/>
        </w:rPr>
        <w:instrText xml:space="preserve"> PAGEREF _Toc170210243 \h </w:instrText>
      </w:r>
      <w:r>
        <w:rPr>
          <w:noProof/>
        </w:rPr>
      </w:r>
      <w:r>
        <w:rPr>
          <w:noProof/>
        </w:rPr>
        <w:fldChar w:fldCharType="separate"/>
      </w:r>
      <w:r>
        <w:rPr>
          <w:noProof/>
        </w:rPr>
        <w:t>49</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Use of weighbridges at Wyndham</w:t>
      </w:r>
    </w:p>
    <w:p>
      <w:pPr>
        <w:pStyle w:val="TOC4"/>
        <w:tabs>
          <w:tab w:val="left" w:pos="1701"/>
        </w:tabs>
        <w:rPr>
          <w:noProof/>
          <w:sz w:val="24"/>
          <w:szCs w:val="24"/>
        </w:rPr>
      </w:pPr>
      <w:r>
        <w:rPr>
          <w:noProof/>
          <w:szCs w:val="24"/>
        </w:rPr>
        <w:t>105I</w:t>
      </w:r>
      <w:r>
        <w:rPr>
          <w:noProof/>
          <w:snapToGrid w:val="0"/>
          <w:szCs w:val="24"/>
        </w:rPr>
        <w:t>.</w:t>
      </w:r>
      <w:r>
        <w:rPr>
          <w:noProof/>
          <w:sz w:val="24"/>
          <w:szCs w:val="24"/>
        </w:rPr>
        <w:tab/>
      </w:r>
      <w:r>
        <w:rPr>
          <w:noProof/>
          <w:snapToGrid w:val="0"/>
          <w:szCs w:val="24"/>
        </w:rPr>
        <w:t>Weighbridge fees</w:t>
      </w:r>
      <w:r>
        <w:rPr>
          <w:noProof/>
        </w:rPr>
        <w:tab/>
      </w:r>
      <w:r>
        <w:rPr>
          <w:noProof/>
        </w:rPr>
        <w:fldChar w:fldCharType="begin"/>
      </w:r>
      <w:r>
        <w:rPr>
          <w:noProof/>
        </w:rPr>
        <w:instrText xml:space="preserve"> PAGEREF _Toc170210245 \h </w:instrText>
      </w:r>
      <w:r>
        <w:rPr>
          <w:noProof/>
        </w:rPr>
      </w:r>
      <w:r>
        <w:rPr>
          <w:noProof/>
        </w:rPr>
        <w:fldChar w:fldCharType="separate"/>
      </w:r>
      <w:r>
        <w:rPr>
          <w:noProof/>
        </w:rPr>
        <w:t>50</w:t>
      </w:r>
      <w:r>
        <w:rPr>
          <w:noProof/>
        </w:rPr>
        <w:fldChar w:fldCharType="end"/>
      </w:r>
    </w:p>
    <w:p>
      <w:pPr>
        <w:pStyle w:val="TOC2"/>
        <w:tabs>
          <w:tab w:val="right" w:pos="7086"/>
        </w:tabs>
        <w:rPr>
          <w:b w:val="0"/>
          <w:noProof/>
          <w:sz w:val="24"/>
          <w:szCs w:val="24"/>
        </w:rPr>
      </w:pPr>
      <w:r>
        <w:rPr>
          <w:noProof/>
          <w:szCs w:val="30"/>
        </w:rPr>
        <w:t>Part 4 — Breach of regulations and penalties</w:t>
      </w:r>
    </w:p>
    <w:p>
      <w:pPr>
        <w:pStyle w:val="TOC4"/>
        <w:tabs>
          <w:tab w:val="left" w:pos="1701"/>
        </w:tabs>
        <w:rPr>
          <w:noProof/>
          <w:sz w:val="24"/>
          <w:szCs w:val="24"/>
        </w:rPr>
      </w:pPr>
      <w:r>
        <w:rPr>
          <w:noProof/>
          <w:szCs w:val="24"/>
        </w:rPr>
        <w:t>106</w:t>
      </w:r>
      <w:r>
        <w:rPr>
          <w:noProof/>
          <w:snapToGrid w:val="0"/>
          <w:szCs w:val="24"/>
        </w:rPr>
        <w:t>.</w:t>
      </w:r>
      <w:r>
        <w:rPr>
          <w:noProof/>
          <w:sz w:val="24"/>
          <w:szCs w:val="24"/>
        </w:rPr>
        <w:tab/>
      </w:r>
      <w:r>
        <w:rPr>
          <w:noProof/>
          <w:snapToGrid w:val="0"/>
          <w:szCs w:val="24"/>
        </w:rPr>
        <w:t>Powers of officer of Department</w:t>
      </w:r>
      <w:r>
        <w:rPr>
          <w:noProof/>
        </w:rPr>
        <w:tab/>
      </w:r>
      <w:r>
        <w:rPr>
          <w:noProof/>
        </w:rPr>
        <w:fldChar w:fldCharType="begin"/>
      </w:r>
      <w:r>
        <w:rPr>
          <w:noProof/>
        </w:rPr>
        <w:instrText xml:space="preserve"> PAGEREF _Toc170210247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107</w:t>
      </w:r>
      <w:r>
        <w:rPr>
          <w:noProof/>
          <w:snapToGrid w:val="0"/>
          <w:szCs w:val="24"/>
        </w:rPr>
        <w:t>.</w:t>
      </w:r>
      <w:r>
        <w:rPr>
          <w:noProof/>
          <w:sz w:val="24"/>
          <w:szCs w:val="24"/>
        </w:rPr>
        <w:tab/>
      </w:r>
      <w:r>
        <w:rPr>
          <w:noProof/>
          <w:snapToGrid w:val="0"/>
          <w:szCs w:val="24"/>
        </w:rPr>
        <w:t>Recovery of expenses incurred by breaches of regulations</w:t>
      </w:r>
      <w:r>
        <w:rPr>
          <w:noProof/>
        </w:rPr>
        <w:tab/>
      </w:r>
      <w:r>
        <w:rPr>
          <w:noProof/>
        </w:rPr>
        <w:fldChar w:fldCharType="begin"/>
      </w:r>
      <w:r>
        <w:rPr>
          <w:noProof/>
        </w:rPr>
        <w:instrText xml:space="preserve"> PAGEREF _Toc170210248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107A</w:t>
      </w:r>
      <w:r>
        <w:rPr>
          <w:noProof/>
          <w:snapToGrid w:val="0"/>
          <w:szCs w:val="24"/>
        </w:rPr>
        <w:t>.</w:t>
      </w:r>
      <w:r>
        <w:rPr>
          <w:noProof/>
          <w:sz w:val="24"/>
          <w:szCs w:val="24"/>
        </w:rPr>
        <w:tab/>
      </w:r>
      <w:r>
        <w:rPr>
          <w:noProof/>
          <w:snapToGrid w:val="0"/>
          <w:szCs w:val="24"/>
        </w:rPr>
        <w:t>Police have authority to enforce regulations</w:t>
      </w:r>
      <w:r>
        <w:rPr>
          <w:noProof/>
        </w:rPr>
        <w:tab/>
      </w:r>
      <w:r>
        <w:rPr>
          <w:noProof/>
        </w:rPr>
        <w:fldChar w:fldCharType="begin"/>
      </w:r>
      <w:r>
        <w:rPr>
          <w:noProof/>
        </w:rPr>
        <w:instrText xml:space="preserve"> PAGEREF _Toc170210249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108</w:t>
      </w:r>
      <w:r>
        <w:rPr>
          <w:noProof/>
          <w:snapToGrid w:val="0"/>
          <w:szCs w:val="24"/>
        </w:rPr>
        <w:t>.</w:t>
      </w:r>
      <w:r>
        <w:rPr>
          <w:noProof/>
          <w:sz w:val="24"/>
          <w:szCs w:val="24"/>
        </w:rPr>
        <w:tab/>
      </w:r>
      <w:r>
        <w:rPr>
          <w:noProof/>
          <w:snapToGrid w:val="0"/>
          <w:szCs w:val="24"/>
        </w:rPr>
        <w:t>Penalty for offences</w:t>
      </w:r>
      <w:r>
        <w:rPr>
          <w:noProof/>
        </w:rPr>
        <w:tab/>
      </w:r>
      <w:r>
        <w:rPr>
          <w:noProof/>
        </w:rPr>
        <w:fldChar w:fldCharType="begin"/>
      </w:r>
      <w:r>
        <w:rPr>
          <w:noProof/>
        </w:rPr>
        <w:instrText xml:space="preserve"> PAGEREF _Toc170210250 \h </w:instrText>
      </w:r>
      <w:r>
        <w:rPr>
          <w:noProof/>
        </w:rPr>
      </w:r>
      <w:r>
        <w:rPr>
          <w:noProof/>
        </w:rPr>
        <w:fldChar w:fldCharType="separate"/>
      </w:r>
      <w:r>
        <w:rPr>
          <w:noProof/>
        </w:rPr>
        <w:t>52</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_Toc170210251 \h </w:instrText>
      </w:r>
      <w:r>
        <w:rPr>
          <w:noProof/>
        </w:rPr>
      </w:r>
      <w:r>
        <w:rPr>
          <w:noProof/>
        </w:rPr>
        <w:fldChar w:fldCharType="separate"/>
      </w:r>
      <w:r>
        <w:rPr>
          <w:noProof/>
        </w:rPr>
        <w:t>53</w:t>
      </w:r>
      <w:r>
        <w:rPr>
          <w:noProof/>
        </w:rPr>
        <w:fldChar w:fldCharType="end"/>
      </w:r>
    </w:p>
    <w:p>
      <w:pPr>
        <w:pStyle w:val="TOC7"/>
        <w:rPr>
          <w:noProof/>
          <w:sz w:val="24"/>
          <w:szCs w:val="24"/>
        </w:rPr>
      </w:pPr>
      <w:r>
        <w:rPr>
          <w:noProof/>
          <w:szCs w:val="24"/>
        </w:rPr>
        <w:t>Division 1 — Berthing dues at Wyndham</w:t>
      </w:r>
      <w:r>
        <w:rPr>
          <w:noProof/>
        </w:rPr>
        <w:tab/>
      </w:r>
      <w:r>
        <w:rPr>
          <w:noProof/>
        </w:rPr>
        <w:fldChar w:fldCharType="begin"/>
      </w:r>
      <w:r>
        <w:rPr>
          <w:noProof/>
        </w:rPr>
        <w:instrText xml:space="preserve"> PAGEREF _Toc170210252 \h </w:instrText>
      </w:r>
      <w:r>
        <w:rPr>
          <w:noProof/>
        </w:rPr>
      </w:r>
      <w:r>
        <w:rPr>
          <w:noProof/>
        </w:rPr>
        <w:fldChar w:fldCharType="separate"/>
      </w:r>
      <w:r>
        <w:rPr>
          <w:noProof/>
        </w:rPr>
        <w:t>53</w:t>
      </w:r>
      <w:r>
        <w:rPr>
          <w:noProof/>
        </w:rPr>
        <w:fldChar w:fldCharType="end"/>
      </w:r>
    </w:p>
    <w:p>
      <w:pPr>
        <w:pStyle w:val="TOC7"/>
        <w:rPr>
          <w:noProof/>
          <w:sz w:val="24"/>
          <w:szCs w:val="24"/>
        </w:rPr>
      </w:pPr>
      <w:r>
        <w:rPr>
          <w:noProof/>
          <w:szCs w:val="24"/>
        </w:rPr>
        <w:t>Division 2 — Wharfage dues and handling and haulage charges</w:t>
      </w:r>
      <w:r>
        <w:rPr>
          <w:noProof/>
        </w:rPr>
        <w:tab/>
      </w:r>
      <w:r>
        <w:rPr>
          <w:noProof/>
        </w:rPr>
        <w:fldChar w:fldCharType="begin"/>
      </w:r>
      <w:r>
        <w:rPr>
          <w:noProof/>
        </w:rPr>
        <w:instrText xml:space="preserve"> PAGEREF _Toc170210253 \h </w:instrText>
      </w:r>
      <w:r>
        <w:rPr>
          <w:noProof/>
        </w:rPr>
      </w:r>
      <w:r>
        <w:rPr>
          <w:noProof/>
        </w:rPr>
        <w:fldChar w:fldCharType="separate"/>
      </w:r>
      <w:r>
        <w:rPr>
          <w:noProof/>
        </w:rPr>
        <w:t>54</w:t>
      </w:r>
      <w:r>
        <w:rPr>
          <w:noProof/>
        </w:rPr>
        <w:fldChar w:fldCharType="end"/>
      </w:r>
    </w:p>
    <w:p>
      <w:pPr>
        <w:pStyle w:val="TOC3"/>
        <w:rPr>
          <w:b w:val="0"/>
          <w:noProof/>
          <w:sz w:val="24"/>
          <w:szCs w:val="24"/>
        </w:rPr>
      </w:pPr>
      <w:r>
        <w:rPr>
          <w:noProof/>
          <w:szCs w:val="22"/>
        </w:rPr>
        <w:t>Subdivision 1</w:t>
      </w:r>
      <w:r>
        <w:rPr>
          <w:b w:val="0"/>
          <w:noProof/>
          <w:szCs w:val="22"/>
        </w:rPr>
        <w:t> — </w:t>
      </w:r>
      <w:r>
        <w:rPr>
          <w:noProof/>
          <w:szCs w:val="22"/>
        </w:rPr>
        <w:t>Wyndham</w:t>
      </w:r>
    </w:p>
    <w:p>
      <w:pPr>
        <w:pStyle w:val="TOC3"/>
        <w:rPr>
          <w:b w:val="0"/>
          <w:noProof/>
          <w:sz w:val="24"/>
          <w:szCs w:val="24"/>
        </w:rPr>
      </w:pPr>
      <w:r>
        <w:rPr>
          <w:noProof/>
          <w:szCs w:val="22"/>
        </w:rPr>
        <w:t>Subdivision 2</w:t>
      </w:r>
      <w:r>
        <w:rPr>
          <w:b w:val="0"/>
          <w:noProof/>
          <w:szCs w:val="22"/>
        </w:rPr>
        <w:t> — </w:t>
      </w:r>
      <w:r>
        <w:rPr>
          <w:noProof/>
          <w:szCs w:val="22"/>
        </w:rPr>
        <w:t>Bremer Bay</w:t>
      </w:r>
    </w:p>
    <w:p>
      <w:pPr>
        <w:pStyle w:val="TOC3"/>
        <w:rPr>
          <w:b w:val="0"/>
          <w:noProof/>
          <w:sz w:val="24"/>
          <w:szCs w:val="24"/>
        </w:rPr>
      </w:pPr>
      <w:r>
        <w:rPr>
          <w:noProof/>
          <w:szCs w:val="22"/>
        </w:rPr>
        <w:t>Subdivision 3</w:t>
      </w:r>
      <w:r>
        <w:rPr>
          <w:b w:val="0"/>
          <w:noProof/>
          <w:szCs w:val="22"/>
        </w:rPr>
        <w:t> — </w:t>
      </w:r>
      <w:r>
        <w:rPr>
          <w:noProof/>
          <w:szCs w:val="22"/>
        </w:rPr>
        <w:t>Exmouth</w:t>
      </w:r>
    </w:p>
    <w:p>
      <w:pPr>
        <w:pStyle w:val="TOC7"/>
        <w:rPr>
          <w:noProof/>
          <w:sz w:val="24"/>
          <w:szCs w:val="24"/>
        </w:rPr>
      </w:pPr>
      <w:r>
        <w:rPr>
          <w:noProof/>
          <w:szCs w:val="24"/>
        </w:rPr>
        <w:t>Division 3 — Transhipment charges at Wyndham</w:t>
      </w:r>
      <w:r>
        <w:rPr>
          <w:noProof/>
        </w:rPr>
        <w:tab/>
      </w:r>
      <w:r>
        <w:rPr>
          <w:noProof/>
        </w:rPr>
        <w:fldChar w:fldCharType="begin"/>
      </w:r>
      <w:r>
        <w:rPr>
          <w:noProof/>
        </w:rPr>
        <w:instrText xml:space="preserve"> PAGEREF _Toc170210257 \h </w:instrText>
      </w:r>
      <w:r>
        <w:rPr>
          <w:noProof/>
        </w:rPr>
      </w:r>
      <w:r>
        <w:rPr>
          <w:noProof/>
        </w:rPr>
        <w:fldChar w:fldCharType="separate"/>
      </w:r>
      <w:r>
        <w:rPr>
          <w:noProof/>
        </w:rPr>
        <w:t>57</w:t>
      </w:r>
      <w:r>
        <w:rPr>
          <w:noProof/>
        </w:rPr>
        <w:fldChar w:fldCharType="end"/>
      </w:r>
    </w:p>
    <w:p>
      <w:pPr>
        <w:pStyle w:val="TOC7"/>
        <w:rPr>
          <w:noProof/>
          <w:sz w:val="24"/>
          <w:szCs w:val="24"/>
        </w:rPr>
      </w:pPr>
      <w:r>
        <w:rPr>
          <w:noProof/>
          <w:szCs w:val="24"/>
        </w:rPr>
        <w:t>Division 4 — Fuel oil charges at Wyndham</w:t>
      </w:r>
      <w:r>
        <w:rPr>
          <w:noProof/>
        </w:rPr>
        <w:tab/>
      </w:r>
      <w:r>
        <w:rPr>
          <w:noProof/>
        </w:rPr>
        <w:fldChar w:fldCharType="begin"/>
      </w:r>
      <w:r>
        <w:rPr>
          <w:noProof/>
        </w:rPr>
        <w:instrText xml:space="preserve"> PAGEREF _Toc170210258 \h </w:instrText>
      </w:r>
      <w:r>
        <w:rPr>
          <w:noProof/>
        </w:rPr>
      </w:r>
      <w:r>
        <w:rPr>
          <w:noProof/>
        </w:rPr>
        <w:fldChar w:fldCharType="separate"/>
      </w:r>
      <w:r>
        <w:rPr>
          <w:noProof/>
        </w:rPr>
        <w:t>57</w:t>
      </w:r>
      <w:r>
        <w:rPr>
          <w:noProof/>
        </w:rPr>
        <w:fldChar w:fldCharType="end"/>
      </w:r>
    </w:p>
    <w:p>
      <w:pPr>
        <w:pStyle w:val="TOC7"/>
        <w:rPr>
          <w:noProof/>
          <w:sz w:val="24"/>
          <w:szCs w:val="24"/>
        </w:rPr>
      </w:pPr>
      <w:r>
        <w:rPr>
          <w:noProof/>
          <w:szCs w:val="24"/>
        </w:rPr>
        <w:t>Division 5 — Storage charges at Wyndham</w:t>
      </w:r>
      <w:r>
        <w:rPr>
          <w:noProof/>
        </w:rPr>
        <w:tab/>
      </w:r>
      <w:r>
        <w:rPr>
          <w:noProof/>
        </w:rPr>
        <w:fldChar w:fldCharType="begin"/>
      </w:r>
      <w:r>
        <w:rPr>
          <w:noProof/>
        </w:rPr>
        <w:instrText xml:space="preserve"> PAGEREF _Toc170210259 \h </w:instrText>
      </w:r>
      <w:r>
        <w:rPr>
          <w:noProof/>
        </w:rPr>
      </w:r>
      <w:r>
        <w:rPr>
          <w:noProof/>
        </w:rPr>
        <w:fldChar w:fldCharType="separate"/>
      </w:r>
      <w:r>
        <w:rPr>
          <w:noProof/>
        </w:rPr>
        <w:t>57</w:t>
      </w:r>
      <w:r>
        <w:rPr>
          <w:noProof/>
        </w:rPr>
        <w:fldChar w:fldCharType="end"/>
      </w:r>
    </w:p>
    <w:p>
      <w:pPr>
        <w:pStyle w:val="TOC7"/>
        <w:rPr>
          <w:noProof/>
          <w:sz w:val="24"/>
          <w:szCs w:val="24"/>
        </w:rPr>
      </w:pPr>
      <w:r>
        <w:rPr>
          <w:noProof/>
          <w:szCs w:val="24"/>
        </w:rPr>
        <w:t>Division 6 — Weighbridge fees at Wyndham</w:t>
      </w:r>
      <w:r>
        <w:rPr>
          <w:noProof/>
        </w:rPr>
        <w:tab/>
      </w:r>
      <w:r>
        <w:rPr>
          <w:noProof/>
        </w:rPr>
        <w:fldChar w:fldCharType="begin"/>
      </w:r>
      <w:r>
        <w:rPr>
          <w:noProof/>
        </w:rPr>
        <w:instrText xml:space="preserve"> PAGEREF _Toc170210260 \h </w:instrText>
      </w:r>
      <w:r>
        <w:rPr>
          <w:noProof/>
        </w:rPr>
      </w:r>
      <w:r>
        <w:rPr>
          <w:noProof/>
        </w:rPr>
        <w:fldChar w:fldCharType="separate"/>
      </w:r>
      <w:r>
        <w:rPr>
          <w:noProof/>
        </w:rPr>
        <w:t>58</w:t>
      </w:r>
      <w:r>
        <w:rPr>
          <w:noProof/>
        </w:rPr>
        <w:fldChar w:fldCharType="end"/>
      </w:r>
    </w:p>
    <w:p>
      <w:pPr>
        <w:pStyle w:val="TOC7"/>
        <w:rPr>
          <w:noProof/>
          <w:sz w:val="24"/>
          <w:szCs w:val="24"/>
        </w:rPr>
      </w:pPr>
      <w:r>
        <w:rPr>
          <w:noProof/>
          <w:szCs w:val="24"/>
        </w:rPr>
        <w:t>Division 7 — Miscellaneous charges at Wyndham</w:t>
      </w:r>
      <w:r>
        <w:rPr>
          <w:noProof/>
        </w:rPr>
        <w:tab/>
      </w:r>
      <w:r>
        <w:rPr>
          <w:noProof/>
        </w:rPr>
        <w:fldChar w:fldCharType="begin"/>
      </w:r>
      <w:r>
        <w:rPr>
          <w:noProof/>
        </w:rPr>
        <w:instrText xml:space="preserve"> PAGEREF _Toc170210261 \h </w:instrText>
      </w:r>
      <w:r>
        <w:rPr>
          <w:noProof/>
        </w:rPr>
      </w:r>
      <w:r>
        <w:rPr>
          <w:noProof/>
        </w:rPr>
        <w:fldChar w:fldCharType="separate"/>
      </w:r>
      <w:r>
        <w:rPr>
          <w:noProof/>
        </w:rPr>
        <w:t>58</w:t>
      </w:r>
      <w:r>
        <w:rPr>
          <w:noProof/>
        </w:rPr>
        <w:fldChar w:fldCharType="end"/>
      </w:r>
    </w:p>
    <w:p>
      <w:pPr>
        <w:pStyle w:val="TOC7"/>
        <w:rPr>
          <w:noProof/>
          <w:sz w:val="24"/>
          <w:szCs w:val="24"/>
        </w:rPr>
      </w:pPr>
      <w:r>
        <w:rPr>
          <w:noProof/>
          <w:szCs w:val="24"/>
        </w:rPr>
        <w:t>Division 8 — Slipway charges</w:t>
      </w:r>
      <w:r>
        <w:rPr>
          <w:noProof/>
        </w:rPr>
        <w:tab/>
      </w:r>
      <w:r>
        <w:rPr>
          <w:noProof/>
        </w:rPr>
        <w:fldChar w:fldCharType="begin"/>
      </w:r>
      <w:r>
        <w:rPr>
          <w:noProof/>
        </w:rPr>
        <w:instrText xml:space="preserve"> PAGEREF _Toc170210262 \h </w:instrText>
      </w:r>
      <w:r>
        <w:rPr>
          <w:noProof/>
        </w:rPr>
      </w:r>
      <w:r>
        <w:rPr>
          <w:noProof/>
        </w:rPr>
        <w:fldChar w:fldCharType="separate"/>
      </w:r>
      <w:r>
        <w:rPr>
          <w:noProof/>
        </w:rPr>
        <w:t>58</w:t>
      </w:r>
      <w:r>
        <w:rPr>
          <w:noProof/>
        </w:rPr>
        <w:fldChar w:fldCharType="end"/>
      </w:r>
    </w:p>
    <w:p>
      <w:pPr>
        <w:pStyle w:val="TOC3"/>
        <w:rPr>
          <w:b w:val="0"/>
          <w:noProof/>
          <w:sz w:val="24"/>
          <w:szCs w:val="24"/>
        </w:rPr>
      </w:pPr>
      <w:r>
        <w:rPr>
          <w:noProof/>
          <w:szCs w:val="22"/>
        </w:rPr>
        <w:t>Subdivision 1</w:t>
      </w:r>
      <w:r>
        <w:rPr>
          <w:b w:val="0"/>
          <w:noProof/>
          <w:szCs w:val="22"/>
        </w:rPr>
        <w:t> — </w:t>
      </w:r>
      <w:r>
        <w:rPr>
          <w:noProof/>
          <w:szCs w:val="22"/>
        </w:rPr>
        <w:t>Water and electric power charges</w:t>
      </w:r>
    </w:p>
    <w:p>
      <w:pPr>
        <w:pStyle w:val="TOC3"/>
        <w:rPr>
          <w:b w:val="0"/>
          <w:noProof/>
          <w:sz w:val="24"/>
          <w:szCs w:val="24"/>
        </w:rPr>
      </w:pPr>
      <w:r>
        <w:rPr>
          <w:noProof/>
          <w:szCs w:val="22"/>
        </w:rPr>
        <w:t>Subdivision 2</w:t>
      </w:r>
      <w:r>
        <w:rPr>
          <w:b w:val="0"/>
          <w:noProof/>
          <w:szCs w:val="22"/>
        </w:rPr>
        <w:t> — </w:t>
      </w:r>
      <w:r>
        <w:rPr>
          <w:noProof/>
          <w:szCs w:val="22"/>
        </w:rPr>
        <w:t>General charges</w:t>
      </w:r>
    </w:p>
    <w:p>
      <w:pPr>
        <w:pStyle w:val="TOC5"/>
        <w:rPr>
          <w:b w:val="0"/>
          <w:noProof/>
          <w:sz w:val="24"/>
          <w:szCs w:val="24"/>
        </w:rPr>
      </w:pPr>
      <w:r>
        <w:rPr>
          <w:noProof/>
          <w:szCs w:val="28"/>
        </w:rPr>
        <w:t>Schedule 2</w:t>
      </w:r>
      <w:r>
        <w:rPr>
          <w:noProof/>
        </w:rPr>
        <w:tab/>
      </w:r>
      <w:r>
        <w:rPr>
          <w:noProof/>
        </w:rPr>
        <w:fldChar w:fldCharType="begin"/>
      </w:r>
      <w:r>
        <w:rPr>
          <w:noProof/>
        </w:rPr>
        <w:instrText xml:space="preserve"> PAGEREF _Toc170210265 \h </w:instrText>
      </w:r>
      <w:r>
        <w:rPr>
          <w:noProof/>
        </w:rPr>
      </w:r>
      <w:r>
        <w:rPr>
          <w:noProof/>
        </w:rPr>
        <w:fldChar w:fldCharType="separate"/>
      </w:r>
      <w:r>
        <w:rPr>
          <w:noProof/>
        </w:rPr>
        <w:t>63</w:t>
      </w:r>
      <w:r>
        <w:rPr>
          <w:noProof/>
        </w:rPr>
        <w:fldChar w:fldCharType="end"/>
      </w:r>
    </w:p>
    <w:p>
      <w:pPr>
        <w:pStyle w:val="TOC7"/>
        <w:rPr>
          <w:noProof/>
          <w:sz w:val="24"/>
          <w:szCs w:val="24"/>
        </w:rPr>
      </w:pPr>
      <w:r>
        <w:rPr>
          <w:noProof/>
          <w:szCs w:val="24"/>
        </w:rPr>
        <w:t>Division 1 — Berthing fees: Port of Perth</w:t>
      </w:r>
      <w:r>
        <w:rPr>
          <w:noProof/>
        </w:rPr>
        <w:tab/>
      </w:r>
      <w:r>
        <w:rPr>
          <w:noProof/>
        </w:rPr>
        <w:fldChar w:fldCharType="begin"/>
      </w:r>
      <w:r>
        <w:rPr>
          <w:noProof/>
        </w:rPr>
        <w:instrText xml:space="preserve"> PAGEREF _Toc170210266 \h </w:instrText>
      </w:r>
      <w:r>
        <w:rPr>
          <w:noProof/>
        </w:rPr>
      </w:r>
      <w:r>
        <w:rPr>
          <w:noProof/>
        </w:rPr>
        <w:fldChar w:fldCharType="separate"/>
      </w:r>
      <w:r>
        <w:rPr>
          <w:noProof/>
        </w:rPr>
        <w:t>63</w:t>
      </w:r>
      <w:r>
        <w:rPr>
          <w:noProof/>
        </w:rPr>
        <w:fldChar w:fldCharType="end"/>
      </w:r>
    </w:p>
    <w:p>
      <w:pPr>
        <w:pStyle w:val="TOC3"/>
        <w:rPr>
          <w:b w:val="0"/>
          <w:noProof/>
          <w:sz w:val="24"/>
          <w:szCs w:val="24"/>
        </w:rPr>
      </w:pPr>
      <w:r>
        <w:rPr>
          <w:noProof/>
          <w:szCs w:val="22"/>
        </w:rPr>
        <w:t>Subdivision 1</w:t>
      </w:r>
      <w:r>
        <w:rPr>
          <w:b w:val="0"/>
          <w:noProof/>
          <w:szCs w:val="22"/>
        </w:rPr>
        <w:t> — </w:t>
      </w:r>
      <w:r>
        <w:rPr>
          <w:noProof/>
          <w:szCs w:val="22"/>
        </w:rPr>
        <w:t>Barrack Street and Mends Street Jetties</w:t>
      </w:r>
    </w:p>
    <w:p>
      <w:pPr>
        <w:pStyle w:val="TOC3"/>
        <w:rPr>
          <w:b w:val="0"/>
          <w:noProof/>
          <w:sz w:val="24"/>
          <w:szCs w:val="24"/>
        </w:rPr>
      </w:pPr>
      <w:r>
        <w:rPr>
          <w:noProof/>
          <w:szCs w:val="22"/>
        </w:rPr>
        <w:t>Subdivision 2</w:t>
      </w:r>
      <w:r>
        <w:rPr>
          <w:b w:val="0"/>
          <w:noProof/>
          <w:szCs w:val="22"/>
        </w:rPr>
        <w:t> — </w:t>
      </w:r>
      <w:r>
        <w:rPr>
          <w:noProof/>
          <w:szCs w:val="22"/>
        </w:rPr>
        <w:t>Swan and Canning Rivers</w:t>
      </w:r>
    </w:p>
    <w:p>
      <w:pPr>
        <w:pStyle w:val="TOC7"/>
        <w:rPr>
          <w:noProof/>
          <w:sz w:val="24"/>
          <w:szCs w:val="24"/>
        </w:rPr>
      </w:pPr>
      <w:r>
        <w:rPr>
          <w:noProof/>
          <w:szCs w:val="24"/>
        </w:rPr>
        <w:t>Division 2 — Pen fees: Port of Perth</w:t>
      </w:r>
      <w:r>
        <w:rPr>
          <w:noProof/>
        </w:rPr>
        <w:tab/>
      </w:r>
      <w:r>
        <w:rPr>
          <w:noProof/>
        </w:rPr>
        <w:fldChar w:fldCharType="begin"/>
      </w:r>
      <w:r>
        <w:rPr>
          <w:noProof/>
        </w:rPr>
        <w:instrText xml:space="preserve"> PAGEREF _Toc170210269 \h </w:instrText>
      </w:r>
      <w:r>
        <w:rPr>
          <w:noProof/>
        </w:rPr>
      </w:r>
      <w:r>
        <w:rPr>
          <w:noProof/>
        </w:rPr>
        <w:fldChar w:fldCharType="separate"/>
      </w:r>
      <w:r>
        <w:rPr>
          <w:noProof/>
        </w:rPr>
        <w:t>64</w:t>
      </w:r>
      <w:r>
        <w:rPr>
          <w:noProof/>
        </w:rPr>
        <w:fldChar w:fldCharType="end"/>
      </w:r>
    </w:p>
    <w:p>
      <w:pPr>
        <w:pStyle w:val="TOC3"/>
        <w:rPr>
          <w:b w:val="0"/>
          <w:noProof/>
          <w:sz w:val="24"/>
          <w:szCs w:val="24"/>
        </w:rPr>
      </w:pPr>
      <w:r>
        <w:rPr>
          <w:noProof/>
          <w:szCs w:val="22"/>
        </w:rPr>
        <w:t>Subdivision 1</w:t>
      </w:r>
      <w:r>
        <w:rPr>
          <w:b w:val="0"/>
          <w:noProof/>
          <w:szCs w:val="22"/>
        </w:rPr>
        <w:t> — </w:t>
      </w:r>
      <w:r>
        <w:rPr>
          <w:noProof/>
          <w:szCs w:val="22"/>
        </w:rPr>
        <w:t>Hillarys Boat Harbour</w:t>
      </w:r>
    </w:p>
    <w:p>
      <w:pPr>
        <w:pStyle w:val="TOC3"/>
        <w:rPr>
          <w:b w:val="0"/>
          <w:noProof/>
          <w:sz w:val="24"/>
          <w:szCs w:val="24"/>
        </w:rPr>
      </w:pPr>
      <w:r>
        <w:rPr>
          <w:noProof/>
          <w:szCs w:val="22"/>
        </w:rPr>
        <w:t>Subdivision 2</w:t>
      </w:r>
      <w:r>
        <w:rPr>
          <w:b w:val="0"/>
          <w:noProof/>
          <w:szCs w:val="22"/>
        </w:rPr>
        <w:t> — </w:t>
      </w:r>
      <w:r>
        <w:rPr>
          <w:noProof/>
          <w:szCs w:val="22"/>
        </w:rPr>
        <w:t>Challenger Boat Harbour (Fremantle)</w:t>
      </w:r>
    </w:p>
    <w:p>
      <w:pPr>
        <w:pStyle w:val="TOC5"/>
        <w:rPr>
          <w:b w:val="0"/>
          <w:noProof/>
          <w:sz w:val="24"/>
          <w:szCs w:val="24"/>
        </w:rPr>
      </w:pPr>
      <w:r>
        <w:rPr>
          <w:noProof/>
          <w:szCs w:val="28"/>
        </w:rPr>
        <w:t>Schedule 3 — Forms</w:t>
      </w:r>
      <w:r>
        <w:rPr>
          <w:noProof/>
        </w:rPr>
        <w:tab/>
      </w:r>
      <w:r>
        <w:rPr>
          <w:noProof/>
        </w:rPr>
        <w:fldChar w:fldCharType="begin"/>
      </w:r>
      <w:r>
        <w:rPr>
          <w:noProof/>
        </w:rPr>
        <w:instrText xml:space="preserve"> PAGEREF _Toc170210272 \h </w:instrText>
      </w:r>
      <w:r>
        <w:rPr>
          <w:noProof/>
        </w:rPr>
      </w:r>
      <w:r>
        <w:rPr>
          <w:noProof/>
        </w:rPr>
        <w:fldChar w:fldCharType="separate"/>
      </w:r>
      <w:r>
        <w:rPr>
          <w:noProof/>
        </w:rPr>
        <w:t>67</w:t>
      </w:r>
      <w:r>
        <w:rPr>
          <w:noProof/>
        </w:rPr>
        <w:fldChar w:fldCharType="end"/>
      </w:r>
    </w:p>
    <w:p>
      <w:pPr>
        <w:pStyle w:val="TOC5"/>
        <w:rPr>
          <w:b w:val="0"/>
          <w:noProof/>
          <w:sz w:val="24"/>
          <w:szCs w:val="24"/>
        </w:rPr>
      </w:pPr>
      <w:r>
        <w:rPr>
          <w:noProof/>
          <w:szCs w:val="28"/>
        </w:rPr>
        <w:t>Schedule 4</w:t>
      </w:r>
      <w:r>
        <w:rPr>
          <w:noProof/>
        </w:rPr>
        <w:tab/>
      </w:r>
      <w:r>
        <w:rPr>
          <w:noProof/>
        </w:rPr>
        <w:fldChar w:fldCharType="begin"/>
      </w:r>
      <w:r>
        <w:rPr>
          <w:noProof/>
        </w:rPr>
        <w:instrText xml:space="preserve"> PAGEREF _Toc170210273 \h </w:instrText>
      </w:r>
      <w:r>
        <w:rPr>
          <w:noProof/>
        </w:rPr>
      </w:r>
      <w:r>
        <w:rPr>
          <w:noProof/>
        </w:rPr>
        <w:fldChar w:fldCharType="separate"/>
      </w:r>
      <w:r>
        <w:rPr>
          <w:noProof/>
        </w:rPr>
        <w:t>69</w:t>
      </w:r>
      <w:r>
        <w:rPr>
          <w:noProof/>
        </w:rPr>
        <w:fldChar w:fldCharType="end"/>
      </w:r>
    </w:p>
    <w:p>
      <w:pPr>
        <w:pStyle w:val="TOC7"/>
        <w:rPr>
          <w:noProof/>
          <w:sz w:val="24"/>
          <w:szCs w:val="24"/>
        </w:rPr>
      </w:pPr>
      <w:r>
        <w:rPr>
          <w:noProof/>
          <w:szCs w:val="24"/>
        </w:rPr>
        <w:t>Division 1 — Pen and berthage fees (other than Port of Perth)</w:t>
      </w:r>
      <w:r>
        <w:rPr>
          <w:noProof/>
        </w:rPr>
        <w:tab/>
      </w:r>
      <w:r>
        <w:rPr>
          <w:noProof/>
        </w:rPr>
        <w:fldChar w:fldCharType="begin"/>
      </w:r>
      <w:r>
        <w:rPr>
          <w:noProof/>
        </w:rPr>
        <w:instrText xml:space="preserve"> PAGEREF _Toc170210274 \h </w:instrText>
      </w:r>
      <w:r>
        <w:rPr>
          <w:noProof/>
        </w:rPr>
      </w:r>
      <w:r>
        <w:rPr>
          <w:noProof/>
        </w:rPr>
        <w:fldChar w:fldCharType="separate"/>
      </w:r>
      <w:r>
        <w:rPr>
          <w:noProof/>
        </w:rPr>
        <w:t>69</w:t>
      </w:r>
      <w:r>
        <w:rPr>
          <w:noProof/>
        </w:rPr>
        <w:fldChar w:fldCharType="end"/>
      </w:r>
    </w:p>
    <w:p>
      <w:pPr>
        <w:pStyle w:val="TOC3"/>
        <w:rPr>
          <w:b w:val="0"/>
          <w:noProof/>
          <w:sz w:val="24"/>
          <w:szCs w:val="24"/>
        </w:rPr>
      </w:pPr>
      <w:r>
        <w:rPr>
          <w:noProof/>
          <w:szCs w:val="22"/>
        </w:rPr>
        <w:t>Subdivision 1</w:t>
      </w:r>
      <w:r>
        <w:rPr>
          <w:b w:val="0"/>
          <w:noProof/>
          <w:szCs w:val="22"/>
        </w:rPr>
        <w:t> — </w:t>
      </w:r>
      <w:r>
        <w:rPr>
          <w:noProof/>
          <w:szCs w:val="22"/>
        </w:rPr>
        <w:t>Augusta</w:t>
      </w:r>
    </w:p>
    <w:p>
      <w:pPr>
        <w:pStyle w:val="TOC3"/>
        <w:rPr>
          <w:b w:val="0"/>
          <w:noProof/>
          <w:sz w:val="24"/>
          <w:szCs w:val="24"/>
        </w:rPr>
      </w:pPr>
      <w:r>
        <w:rPr>
          <w:noProof/>
          <w:szCs w:val="22"/>
        </w:rPr>
        <w:t>Subdivision 2</w:t>
      </w:r>
      <w:r>
        <w:rPr>
          <w:b w:val="0"/>
          <w:noProof/>
          <w:szCs w:val="22"/>
        </w:rPr>
        <w:t> — </w:t>
      </w:r>
      <w:r>
        <w:rPr>
          <w:noProof/>
          <w:szCs w:val="22"/>
        </w:rPr>
        <w:t>Bandy Creek Boat Harbour (Esperance)</w:t>
      </w:r>
    </w:p>
    <w:p>
      <w:pPr>
        <w:pStyle w:val="TOC3"/>
        <w:rPr>
          <w:b w:val="0"/>
          <w:noProof/>
          <w:sz w:val="24"/>
          <w:szCs w:val="24"/>
        </w:rPr>
      </w:pPr>
      <w:r>
        <w:rPr>
          <w:noProof/>
          <w:szCs w:val="22"/>
        </w:rPr>
        <w:t>Subdivision 3</w:t>
      </w:r>
      <w:r>
        <w:rPr>
          <w:b w:val="0"/>
          <w:noProof/>
          <w:szCs w:val="22"/>
        </w:rPr>
        <w:t> — </w:t>
      </w:r>
      <w:r>
        <w:rPr>
          <w:noProof/>
          <w:szCs w:val="22"/>
        </w:rPr>
        <w:t>Batavia Coast Boat Harbour</w:t>
      </w:r>
    </w:p>
    <w:p>
      <w:pPr>
        <w:pStyle w:val="TOC3"/>
        <w:rPr>
          <w:b w:val="0"/>
          <w:noProof/>
          <w:sz w:val="24"/>
          <w:szCs w:val="24"/>
        </w:rPr>
      </w:pPr>
      <w:r>
        <w:rPr>
          <w:noProof/>
          <w:szCs w:val="22"/>
        </w:rPr>
        <w:t>Subdivision 4</w:t>
      </w:r>
      <w:r>
        <w:rPr>
          <w:b w:val="0"/>
          <w:noProof/>
          <w:szCs w:val="22"/>
        </w:rPr>
        <w:t> — </w:t>
      </w:r>
      <w:r>
        <w:rPr>
          <w:noProof/>
          <w:szCs w:val="22"/>
        </w:rPr>
        <w:t>Beadon Creek Boat Harbour (Onslow)</w:t>
      </w:r>
    </w:p>
    <w:p>
      <w:pPr>
        <w:pStyle w:val="TOC3"/>
        <w:rPr>
          <w:b w:val="0"/>
          <w:noProof/>
          <w:sz w:val="24"/>
          <w:szCs w:val="24"/>
        </w:rPr>
      </w:pPr>
      <w:r>
        <w:rPr>
          <w:noProof/>
          <w:szCs w:val="22"/>
        </w:rPr>
        <w:t>Subdivision 5</w:t>
      </w:r>
      <w:r>
        <w:rPr>
          <w:b w:val="0"/>
          <w:noProof/>
          <w:szCs w:val="22"/>
        </w:rPr>
        <w:t> — </w:t>
      </w:r>
      <w:r>
        <w:rPr>
          <w:noProof/>
          <w:szCs w:val="22"/>
        </w:rPr>
        <w:t>Bremer Bay</w:t>
      </w:r>
    </w:p>
    <w:p>
      <w:pPr>
        <w:pStyle w:val="TOC3"/>
        <w:rPr>
          <w:b w:val="0"/>
          <w:noProof/>
          <w:sz w:val="24"/>
          <w:szCs w:val="24"/>
        </w:rPr>
      </w:pPr>
      <w:r>
        <w:rPr>
          <w:noProof/>
          <w:szCs w:val="22"/>
        </w:rPr>
        <w:t>Subdivision 6</w:t>
      </w:r>
      <w:r>
        <w:rPr>
          <w:b w:val="0"/>
          <w:noProof/>
          <w:szCs w:val="22"/>
        </w:rPr>
        <w:t> — </w:t>
      </w:r>
      <w:r>
        <w:rPr>
          <w:noProof/>
          <w:szCs w:val="22"/>
        </w:rPr>
        <w:t>Carnarvon Boat Harbour</w:t>
      </w:r>
    </w:p>
    <w:p>
      <w:pPr>
        <w:pStyle w:val="TOC3"/>
        <w:rPr>
          <w:b w:val="0"/>
          <w:noProof/>
          <w:sz w:val="24"/>
          <w:szCs w:val="24"/>
        </w:rPr>
      </w:pPr>
      <w:r>
        <w:rPr>
          <w:noProof/>
          <w:szCs w:val="22"/>
        </w:rPr>
        <w:t>Subdivision 7</w:t>
      </w:r>
      <w:r>
        <w:rPr>
          <w:b w:val="0"/>
          <w:noProof/>
          <w:szCs w:val="22"/>
        </w:rPr>
        <w:t> — </w:t>
      </w:r>
      <w:r>
        <w:rPr>
          <w:noProof/>
          <w:szCs w:val="22"/>
        </w:rPr>
        <w:t>Casuarina Boat Harbour</w:t>
      </w:r>
    </w:p>
    <w:p>
      <w:pPr>
        <w:pStyle w:val="TOC3"/>
        <w:rPr>
          <w:b w:val="0"/>
          <w:noProof/>
          <w:sz w:val="24"/>
          <w:szCs w:val="24"/>
        </w:rPr>
      </w:pPr>
      <w:r>
        <w:rPr>
          <w:noProof/>
          <w:szCs w:val="22"/>
        </w:rPr>
        <w:t>Subdivision 8</w:t>
      </w:r>
      <w:r>
        <w:rPr>
          <w:b w:val="0"/>
          <w:noProof/>
          <w:szCs w:val="22"/>
        </w:rPr>
        <w:t> — </w:t>
      </w:r>
      <w:r>
        <w:rPr>
          <w:noProof/>
          <w:szCs w:val="22"/>
        </w:rPr>
        <w:t>Cervantes</w:t>
      </w:r>
    </w:p>
    <w:p>
      <w:pPr>
        <w:pStyle w:val="TOC3"/>
        <w:rPr>
          <w:b w:val="0"/>
          <w:noProof/>
          <w:sz w:val="24"/>
          <w:szCs w:val="24"/>
        </w:rPr>
      </w:pPr>
      <w:r>
        <w:rPr>
          <w:noProof/>
          <w:szCs w:val="22"/>
        </w:rPr>
        <w:t>Subdivision 9</w:t>
      </w:r>
      <w:r>
        <w:rPr>
          <w:b w:val="0"/>
          <w:noProof/>
          <w:szCs w:val="22"/>
        </w:rPr>
        <w:t> — </w:t>
      </w:r>
      <w:r>
        <w:rPr>
          <w:noProof/>
          <w:szCs w:val="22"/>
        </w:rPr>
        <w:t>Emu Point Boat Harbour (Albany)</w:t>
      </w:r>
    </w:p>
    <w:p>
      <w:pPr>
        <w:pStyle w:val="TOC3"/>
        <w:rPr>
          <w:b w:val="0"/>
          <w:noProof/>
          <w:sz w:val="24"/>
          <w:szCs w:val="24"/>
        </w:rPr>
      </w:pPr>
      <w:r>
        <w:rPr>
          <w:noProof/>
          <w:szCs w:val="22"/>
        </w:rPr>
        <w:t>Subdivision 10</w:t>
      </w:r>
      <w:r>
        <w:rPr>
          <w:b w:val="0"/>
          <w:noProof/>
          <w:szCs w:val="22"/>
        </w:rPr>
        <w:t> — </w:t>
      </w:r>
      <w:r>
        <w:rPr>
          <w:noProof/>
          <w:szCs w:val="22"/>
        </w:rPr>
        <w:t>Exmouth</w:t>
      </w:r>
    </w:p>
    <w:p>
      <w:pPr>
        <w:pStyle w:val="TOC3"/>
        <w:rPr>
          <w:b w:val="0"/>
          <w:noProof/>
          <w:sz w:val="24"/>
          <w:szCs w:val="24"/>
        </w:rPr>
      </w:pPr>
      <w:r>
        <w:rPr>
          <w:noProof/>
          <w:szCs w:val="22"/>
        </w:rPr>
        <w:t>Subdivision 11</w:t>
      </w:r>
      <w:r>
        <w:rPr>
          <w:b w:val="0"/>
          <w:noProof/>
          <w:szCs w:val="22"/>
        </w:rPr>
        <w:t> — </w:t>
      </w:r>
      <w:r>
        <w:rPr>
          <w:noProof/>
          <w:szCs w:val="22"/>
        </w:rPr>
        <w:t>Fremantle Fishing Boat Harbour</w:t>
      </w:r>
    </w:p>
    <w:p>
      <w:pPr>
        <w:pStyle w:val="TOC3"/>
        <w:rPr>
          <w:b w:val="0"/>
          <w:noProof/>
          <w:sz w:val="24"/>
          <w:szCs w:val="24"/>
        </w:rPr>
      </w:pPr>
      <w:r>
        <w:rPr>
          <w:noProof/>
          <w:szCs w:val="22"/>
        </w:rPr>
        <w:t>Subdivision 12</w:t>
      </w:r>
      <w:r>
        <w:rPr>
          <w:b w:val="0"/>
          <w:noProof/>
          <w:szCs w:val="22"/>
        </w:rPr>
        <w:t> — </w:t>
      </w:r>
      <w:r>
        <w:rPr>
          <w:noProof/>
          <w:szCs w:val="22"/>
        </w:rPr>
        <w:t>Green Head</w:t>
      </w:r>
    </w:p>
    <w:p>
      <w:pPr>
        <w:pStyle w:val="TOC3"/>
        <w:rPr>
          <w:b w:val="0"/>
          <w:noProof/>
          <w:sz w:val="24"/>
          <w:szCs w:val="24"/>
        </w:rPr>
      </w:pPr>
      <w:r>
        <w:rPr>
          <w:noProof/>
          <w:szCs w:val="22"/>
        </w:rPr>
        <w:t>Subdivision 13</w:t>
      </w:r>
      <w:r>
        <w:rPr>
          <w:b w:val="0"/>
          <w:noProof/>
          <w:szCs w:val="22"/>
        </w:rPr>
        <w:t> — </w:t>
      </w:r>
      <w:r>
        <w:rPr>
          <w:noProof/>
          <w:szCs w:val="22"/>
        </w:rPr>
        <w:t>Hopetoun</w:t>
      </w:r>
    </w:p>
    <w:p>
      <w:pPr>
        <w:pStyle w:val="TOC3"/>
        <w:rPr>
          <w:b w:val="0"/>
          <w:noProof/>
          <w:sz w:val="24"/>
          <w:szCs w:val="24"/>
        </w:rPr>
      </w:pPr>
      <w:r>
        <w:rPr>
          <w:noProof/>
          <w:szCs w:val="22"/>
        </w:rPr>
        <w:t>Subdivision 14</w:t>
      </w:r>
      <w:r>
        <w:rPr>
          <w:b w:val="0"/>
          <w:noProof/>
          <w:szCs w:val="22"/>
        </w:rPr>
        <w:t> — </w:t>
      </w:r>
      <w:r>
        <w:rPr>
          <w:noProof/>
          <w:szCs w:val="22"/>
        </w:rPr>
        <w:t>Johns Creek Boat Harbour (Point Samson)</w:t>
      </w:r>
    </w:p>
    <w:p>
      <w:pPr>
        <w:pStyle w:val="TOC3"/>
        <w:rPr>
          <w:b w:val="0"/>
          <w:noProof/>
          <w:sz w:val="24"/>
          <w:szCs w:val="24"/>
        </w:rPr>
      </w:pPr>
      <w:r>
        <w:rPr>
          <w:noProof/>
          <w:szCs w:val="22"/>
        </w:rPr>
        <w:t>Subdivision 15</w:t>
      </w:r>
      <w:r>
        <w:rPr>
          <w:b w:val="0"/>
          <w:noProof/>
          <w:szCs w:val="22"/>
        </w:rPr>
        <w:t> — </w:t>
      </w:r>
      <w:r>
        <w:rPr>
          <w:noProof/>
          <w:szCs w:val="22"/>
        </w:rPr>
        <w:t>Jurien Boat Harbour</w:t>
      </w:r>
    </w:p>
    <w:p>
      <w:pPr>
        <w:pStyle w:val="TOC3"/>
        <w:rPr>
          <w:b w:val="0"/>
          <w:noProof/>
          <w:sz w:val="24"/>
          <w:szCs w:val="24"/>
        </w:rPr>
      </w:pPr>
      <w:r>
        <w:rPr>
          <w:noProof/>
          <w:szCs w:val="22"/>
        </w:rPr>
        <w:t>Subdivision 16</w:t>
      </w:r>
      <w:r>
        <w:rPr>
          <w:b w:val="0"/>
          <w:noProof/>
          <w:szCs w:val="22"/>
        </w:rPr>
        <w:t> — </w:t>
      </w:r>
      <w:r>
        <w:rPr>
          <w:noProof/>
          <w:szCs w:val="22"/>
        </w:rPr>
        <w:t>Kalbarri Boat Harbour</w:t>
      </w:r>
    </w:p>
    <w:p>
      <w:pPr>
        <w:pStyle w:val="TOC3"/>
        <w:rPr>
          <w:b w:val="0"/>
          <w:noProof/>
          <w:sz w:val="24"/>
          <w:szCs w:val="24"/>
        </w:rPr>
      </w:pPr>
      <w:r>
        <w:rPr>
          <w:noProof/>
          <w:szCs w:val="22"/>
        </w:rPr>
        <w:t>Subdivision 17</w:t>
      </w:r>
      <w:r>
        <w:rPr>
          <w:b w:val="0"/>
          <w:noProof/>
          <w:szCs w:val="22"/>
        </w:rPr>
        <w:t> — </w:t>
      </w:r>
      <w:r>
        <w:rPr>
          <w:noProof/>
          <w:szCs w:val="22"/>
        </w:rPr>
        <w:t>Lancelin Boat Harbour</w:t>
      </w:r>
    </w:p>
    <w:p>
      <w:pPr>
        <w:pStyle w:val="TOC3"/>
        <w:rPr>
          <w:b w:val="0"/>
          <w:noProof/>
          <w:sz w:val="24"/>
          <w:szCs w:val="24"/>
        </w:rPr>
      </w:pPr>
      <w:r>
        <w:rPr>
          <w:noProof/>
          <w:szCs w:val="22"/>
        </w:rPr>
        <w:t>Subdivision 18</w:t>
      </w:r>
      <w:r>
        <w:rPr>
          <w:b w:val="0"/>
          <w:noProof/>
          <w:szCs w:val="22"/>
        </w:rPr>
        <w:t> — </w:t>
      </w:r>
      <w:r>
        <w:rPr>
          <w:noProof/>
          <w:szCs w:val="22"/>
        </w:rPr>
        <w:t>Leeman</w:t>
      </w:r>
    </w:p>
    <w:p>
      <w:pPr>
        <w:pStyle w:val="TOC3"/>
        <w:rPr>
          <w:b w:val="0"/>
          <w:noProof/>
          <w:sz w:val="24"/>
          <w:szCs w:val="24"/>
        </w:rPr>
      </w:pPr>
      <w:r>
        <w:rPr>
          <w:noProof/>
          <w:szCs w:val="22"/>
        </w:rPr>
        <w:t>Subdivision 19</w:t>
      </w:r>
      <w:r>
        <w:rPr>
          <w:b w:val="0"/>
          <w:noProof/>
          <w:szCs w:val="22"/>
        </w:rPr>
        <w:t> — </w:t>
      </w:r>
      <w:r>
        <w:rPr>
          <w:noProof/>
          <w:szCs w:val="22"/>
        </w:rPr>
        <w:t>Port Denison</w:t>
      </w:r>
    </w:p>
    <w:p>
      <w:pPr>
        <w:pStyle w:val="TOC3"/>
        <w:rPr>
          <w:b w:val="0"/>
          <w:noProof/>
          <w:sz w:val="24"/>
          <w:szCs w:val="24"/>
        </w:rPr>
      </w:pPr>
      <w:r>
        <w:rPr>
          <w:noProof/>
          <w:szCs w:val="22"/>
        </w:rPr>
        <w:t>Subdivision 20</w:t>
      </w:r>
      <w:r>
        <w:rPr>
          <w:b w:val="0"/>
          <w:noProof/>
          <w:szCs w:val="22"/>
        </w:rPr>
        <w:t> — </w:t>
      </w:r>
      <w:r>
        <w:rPr>
          <w:noProof/>
          <w:szCs w:val="22"/>
        </w:rPr>
        <w:t>Port Gregory</w:t>
      </w:r>
    </w:p>
    <w:p>
      <w:pPr>
        <w:pStyle w:val="TOC7"/>
        <w:rPr>
          <w:noProof/>
          <w:sz w:val="24"/>
          <w:szCs w:val="24"/>
        </w:rPr>
      </w:pPr>
      <w:r>
        <w:rPr>
          <w:noProof/>
          <w:szCs w:val="24"/>
        </w:rPr>
        <w:t>Division 2 — Pile mooring fees</w:t>
      </w:r>
      <w:r>
        <w:rPr>
          <w:noProof/>
        </w:rPr>
        <w:tab/>
      </w:r>
      <w:r>
        <w:rPr>
          <w:noProof/>
        </w:rPr>
        <w:fldChar w:fldCharType="begin"/>
      </w:r>
      <w:r>
        <w:rPr>
          <w:noProof/>
        </w:rPr>
        <w:instrText xml:space="preserve"> PAGEREF _Toc170210295 \h </w:instrText>
      </w:r>
      <w:r>
        <w:rPr>
          <w:noProof/>
        </w:rPr>
      </w:r>
      <w:r>
        <w:rPr>
          <w:noProof/>
        </w:rPr>
        <w:fldChar w:fldCharType="separate"/>
      </w:r>
      <w:r>
        <w:rPr>
          <w:noProof/>
        </w:rPr>
        <w:t>85</w:t>
      </w:r>
      <w:r>
        <w:rPr>
          <w:noProof/>
        </w:rPr>
        <w:fldChar w:fldCharType="end"/>
      </w:r>
    </w:p>
    <w:p>
      <w:pPr>
        <w:pStyle w:val="TOC3"/>
        <w:rPr>
          <w:b w:val="0"/>
          <w:noProof/>
          <w:sz w:val="24"/>
          <w:szCs w:val="24"/>
        </w:rPr>
      </w:pPr>
      <w:r>
        <w:rPr>
          <w:noProof/>
          <w:szCs w:val="22"/>
        </w:rPr>
        <w:t>Subdivision 1</w:t>
      </w:r>
      <w:r>
        <w:rPr>
          <w:b w:val="0"/>
          <w:noProof/>
          <w:szCs w:val="22"/>
        </w:rPr>
        <w:t> — </w:t>
      </w:r>
      <w:r>
        <w:rPr>
          <w:noProof/>
          <w:szCs w:val="22"/>
        </w:rPr>
        <w:t>Carnarvon Boat Harbour</w:t>
      </w:r>
    </w:p>
    <w:p>
      <w:pPr>
        <w:pStyle w:val="TOC3"/>
        <w:rPr>
          <w:b w:val="0"/>
          <w:noProof/>
          <w:sz w:val="24"/>
          <w:szCs w:val="24"/>
        </w:rPr>
      </w:pPr>
      <w:r>
        <w:rPr>
          <w:noProof/>
          <w:szCs w:val="22"/>
        </w:rPr>
        <w:t>Subdivision 2</w:t>
      </w:r>
      <w:r>
        <w:rPr>
          <w:b w:val="0"/>
          <w:noProof/>
          <w:szCs w:val="22"/>
        </w:rPr>
        <w:t> — </w:t>
      </w:r>
      <w:r>
        <w:rPr>
          <w:noProof/>
          <w:szCs w:val="22"/>
        </w:rPr>
        <w:t>Other harbours and ports generally</w:t>
      </w:r>
    </w:p>
    <w:p>
      <w:pPr>
        <w:pStyle w:val="TOC7"/>
        <w:rPr>
          <w:noProof/>
          <w:sz w:val="24"/>
          <w:szCs w:val="24"/>
        </w:rPr>
      </w:pPr>
      <w:r>
        <w:rPr>
          <w:noProof/>
          <w:szCs w:val="24"/>
        </w:rPr>
        <w:t>Division 3 — Miscellaneous fees</w:t>
      </w:r>
      <w:r>
        <w:rPr>
          <w:noProof/>
        </w:rPr>
        <w:tab/>
      </w:r>
      <w:r>
        <w:rPr>
          <w:noProof/>
        </w:rPr>
        <w:fldChar w:fldCharType="begin"/>
      </w:r>
      <w:r>
        <w:rPr>
          <w:noProof/>
        </w:rPr>
        <w:instrText xml:space="preserve"> PAGEREF _Toc170210298 \h </w:instrText>
      </w:r>
      <w:r>
        <w:rPr>
          <w:noProof/>
        </w:rPr>
      </w:r>
      <w:r>
        <w:rPr>
          <w:noProof/>
        </w:rPr>
        <w:fldChar w:fldCharType="separate"/>
      </w:r>
      <w:r>
        <w:rPr>
          <w:noProof/>
        </w:rPr>
        <w:t>86</w:t>
      </w:r>
      <w:r>
        <w:rPr>
          <w:noProof/>
        </w:rPr>
        <w:fldChar w:fldCharType="end"/>
      </w:r>
    </w:p>
    <w:p>
      <w:pPr>
        <w:pStyle w:val="TOC7"/>
        <w:rPr>
          <w:noProof/>
          <w:sz w:val="24"/>
          <w:szCs w:val="24"/>
        </w:rPr>
      </w:pPr>
      <w:r>
        <w:rPr>
          <w:noProof/>
          <w:szCs w:val="24"/>
        </w:rPr>
        <w:t>Division 4 — Service jetties: fuel wharfage fees</w:t>
      </w:r>
      <w:r>
        <w:rPr>
          <w:noProof/>
        </w:rPr>
        <w:tab/>
      </w:r>
      <w:r>
        <w:rPr>
          <w:noProof/>
        </w:rPr>
        <w:fldChar w:fldCharType="begin"/>
      </w:r>
      <w:r>
        <w:rPr>
          <w:noProof/>
        </w:rPr>
        <w:instrText xml:space="preserve"> PAGEREF _Toc170210299 \h </w:instrText>
      </w:r>
      <w:r>
        <w:rPr>
          <w:noProof/>
        </w:rPr>
      </w:r>
      <w:r>
        <w:rPr>
          <w:noProof/>
        </w:rPr>
        <w:fldChar w:fldCharType="separate"/>
      </w:r>
      <w:r>
        <w:rPr>
          <w:noProof/>
        </w:rPr>
        <w:t>86</w:t>
      </w:r>
      <w:r>
        <w:rPr>
          <w:noProof/>
        </w:rPr>
        <w:fldChar w:fldCharType="end"/>
      </w:r>
    </w:p>
    <w:p>
      <w:pPr>
        <w:pStyle w:val="TOC2"/>
        <w:tabs>
          <w:tab w:val="right" w:pos="708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_Toc170210301 \h </w:instrText>
      </w:r>
      <w:r>
        <w:rPr>
          <w:noProof/>
        </w:rPr>
      </w:r>
      <w:r>
        <w:rPr>
          <w:noProof/>
        </w:rPr>
        <w:fldChar w:fldCharType="separate"/>
      </w:r>
      <w:r>
        <w:rPr>
          <w:noProof/>
        </w:rPr>
        <w:t>88</w:t>
      </w:r>
      <w:r>
        <w:rPr>
          <w:noProof/>
        </w:rPr>
        <w:fldChar w:fldCharType="end"/>
      </w:r>
    </w:p>
    <w:p>
      <w:pPr>
        <w:pStyle w:val="TOC4"/>
        <w:rPr>
          <w:sz w:val="12"/>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1" w:name="_Toc454867064"/>
      <w:bookmarkStart w:id="2" w:name="_Toc13116970"/>
      <w:bookmarkStart w:id="3" w:name="_Toc170210117"/>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4" w:name="_Toc13116971"/>
      <w:bookmarkStart w:id="5" w:name="_Toc170210118"/>
      <w:bookmarkStart w:id="6" w:name="_Toc454867065"/>
      <w:r>
        <w:rPr>
          <w:rStyle w:val="CharSectno"/>
        </w:rPr>
        <w:t>2</w:t>
      </w:r>
      <w:r>
        <w:t>.</w:t>
      </w:r>
      <w:r>
        <w:tab/>
        <w:t>Liability for dues, charges and fees</w:t>
      </w:r>
      <w:bookmarkEnd w:id="4"/>
      <w:bookmarkEnd w:id="5"/>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7" w:name="_Toc13116972"/>
      <w:bookmarkStart w:id="8" w:name="_Toc170210119"/>
      <w:r>
        <w:rPr>
          <w:rStyle w:val="CharSectno"/>
        </w:rPr>
        <w:t>3</w:t>
      </w:r>
      <w:r>
        <w:rPr>
          <w:snapToGrid w:val="0"/>
        </w:rPr>
        <w:t>.</w:t>
      </w:r>
      <w:r>
        <w:rPr>
          <w:snapToGrid w:val="0"/>
        </w:rPr>
        <w:tab/>
      </w:r>
      <w:bookmarkEnd w:id="6"/>
      <w:bookmarkEnd w:id="7"/>
      <w:r>
        <w:rPr>
          <w:snapToGrid w:val="0"/>
        </w:rPr>
        <w:t>Terms used in these regulations</w:t>
      </w:r>
      <w:bookmarkEnd w:id="8"/>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 — </w:t>
      </w:r>
    </w:p>
    <w:p>
      <w:pPr>
        <w:pStyle w:val="Defstart"/>
      </w:pPr>
      <w:r>
        <w:rPr>
          <w:b/>
        </w:rPr>
        <w:tab/>
        <w:t>“</w:t>
      </w:r>
      <w:r>
        <w:rPr>
          <w:rStyle w:val="CharDefText"/>
        </w:rPr>
        <w:t>Commercial Vessel</w:t>
      </w:r>
      <w:r>
        <w:rPr>
          <w:b/>
        </w:rPr>
        <w:t>”</w:t>
      </w:r>
      <w:r>
        <w:t xml:space="preserve"> has the meaning assigned to it in the </w:t>
      </w:r>
      <w:r>
        <w:rPr>
          <w:i/>
          <w:iCs/>
        </w:rPr>
        <w:t>Western Australian Marine Act 1982</w:t>
      </w:r>
      <w:r>
        <w:t>.</w:t>
      </w:r>
    </w:p>
    <w:p>
      <w:pPr>
        <w:pStyle w:val="Defstart"/>
      </w:pPr>
      <w:r>
        <w:rPr>
          <w:b/>
        </w:rPr>
        <w:tab/>
        <w:t>“</w:t>
      </w:r>
      <w:r>
        <w:rPr>
          <w:rStyle w:val="CharDefText"/>
        </w:rPr>
        <w:t>Department</w:t>
      </w:r>
      <w:r>
        <w:rPr>
          <w:b/>
        </w:rPr>
        <w:t>”</w:t>
      </w:r>
      <w:r>
        <w:t xml:space="preserve"> means the Department concerned, subject to the control of the Minister, with the administration of this Act.</w:t>
      </w:r>
    </w:p>
    <w:p>
      <w:pPr>
        <w:pStyle w:val="Defstart"/>
      </w:pPr>
      <w:r>
        <w:rPr>
          <w:b/>
        </w:rPr>
        <w:tab/>
        <w:t>“</w:t>
      </w:r>
      <w:r>
        <w:rPr>
          <w:rStyle w:val="CharDefText"/>
        </w:rPr>
        <w:t>Jetty</w:t>
      </w:r>
      <w:r>
        <w:rPr>
          <w:b/>
        </w:rPr>
        <w:t>”</w:t>
      </w:r>
      <w:r>
        <w:t xml:space="preserve"> means any jetty, pier, wharf, grid, slip or landing place.</w:t>
      </w:r>
    </w:p>
    <w:p>
      <w:pPr>
        <w:pStyle w:val="Defstart"/>
      </w:pPr>
      <w:r>
        <w:tab/>
      </w:r>
      <w:r>
        <w:rPr>
          <w:b/>
        </w:rPr>
        <w:t>“</w:t>
      </w:r>
      <w:r>
        <w:rPr>
          <w:rStyle w:val="CharDefText"/>
        </w:rPr>
        <w:t>Master</w:t>
      </w:r>
      <w:r>
        <w:rPr>
          <w:b/>
        </w:rPr>
        <w:t>”</w:t>
      </w:r>
      <w:r>
        <w:t xml:space="preserve"> means a person, other than a pilot, having command or charge of a vessel.</w:t>
      </w:r>
    </w:p>
    <w:p>
      <w:pPr>
        <w:pStyle w:val="Defstart"/>
      </w:pPr>
      <w:r>
        <w:rPr>
          <w:b/>
        </w:rPr>
        <w:tab/>
        <w:t>“</w:t>
      </w:r>
      <w:r>
        <w:rPr>
          <w:rStyle w:val="CharDefText"/>
        </w:rPr>
        <w:t>Officer</w:t>
      </w:r>
      <w:r>
        <w:rPr>
          <w:b/>
        </w:rPr>
        <w:t>”</w:t>
      </w:r>
      <w:r>
        <w:t xml:space="preserve"> means any wharfinger or servant of the Department.</w:t>
      </w:r>
    </w:p>
    <w:p>
      <w:pPr>
        <w:pStyle w:val="Defstart"/>
      </w:pPr>
      <w:r>
        <w:tab/>
      </w:r>
      <w:r>
        <w:rPr>
          <w:b/>
        </w:rPr>
        <w:t>“</w:t>
      </w:r>
      <w:r>
        <w:rPr>
          <w:rStyle w:val="CharDefText"/>
        </w:rPr>
        <w:t>Owner</w:t>
      </w:r>
      <w:r>
        <w:rPr>
          <w:b/>
        </w:rPr>
        <w:t>”</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tab/>
      </w:r>
      <w:r>
        <w:rPr>
          <w:b/>
          <w:bCs/>
        </w:rPr>
        <w:t>“</w:t>
      </w:r>
      <w:r>
        <w:rPr>
          <w:rStyle w:val="CharDefText"/>
        </w:rPr>
        <w:t>Pleasure Vessel</w:t>
      </w:r>
      <w:r>
        <w:rPr>
          <w:b/>
          <w:bCs/>
        </w:rPr>
        <w:t>”</w:t>
      </w:r>
      <w:r>
        <w:t xml:space="preserve"> or </w:t>
      </w:r>
      <w:r>
        <w:rPr>
          <w:b/>
        </w:rPr>
        <w:t>“</w:t>
      </w:r>
      <w:r>
        <w:rPr>
          <w:rStyle w:val="CharDefText"/>
        </w:rPr>
        <w:t>Recreational Vessel</w:t>
      </w:r>
      <w:r>
        <w:rPr>
          <w:b/>
        </w:rPr>
        <w:t xml:space="preserve">” </w:t>
      </w:r>
      <w:r>
        <w:t xml:space="preserve">have the meaning assigned to “pleasure vessel” in the </w:t>
      </w:r>
      <w:r>
        <w:rPr>
          <w:i/>
          <w:iCs/>
        </w:rPr>
        <w:t>Western Australian Marine Act 1982</w:t>
      </w:r>
      <w:r>
        <w:t>.</w:t>
      </w:r>
    </w:p>
    <w:p>
      <w:pPr>
        <w:pStyle w:val="Defstart"/>
      </w:pPr>
      <w:r>
        <w:rPr>
          <w:b/>
        </w:rPr>
        <w:tab/>
        <w:t>“</w:t>
      </w:r>
      <w:r>
        <w:rPr>
          <w:rStyle w:val="CharDefText"/>
        </w:rPr>
        <w:t>Premises</w:t>
      </w:r>
      <w:r>
        <w:rPr>
          <w:b/>
        </w:rPr>
        <w:t>”</w:t>
      </w:r>
      <w:r>
        <w:t xml:space="preserve"> means any premises appurtenant to jetties controlled by the Department.</w:t>
      </w:r>
    </w:p>
    <w:p>
      <w:pPr>
        <w:pStyle w:val="Defstart"/>
      </w:pPr>
      <w:r>
        <w:rPr>
          <w:b/>
        </w:rPr>
        <w:tab/>
        <w:t>“</w:t>
      </w:r>
      <w:r>
        <w:rPr>
          <w:rStyle w:val="CharDefText"/>
        </w:rPr>
        <w:t>Public jetty</w:t>
      </w:r>
      <w:r>
        <w:rPr>
          <w:b/>
        </w:rPr>
        <w:t>”</w:t>
      </w:r>
      <w:r>
        <w:t xml:space="preserve"> means a jetty the property of Her Majesty and includes a jetty the property of Her Majesty vested in any person on behalf of Her Majesty.</w:t>
      </w:r>
    </w:p>
    <w:p>
      <w:pPr>
        <w:pStyle w:val="Defstart"/>
      </w:pPr>
      <w:r>
        <w:rPr>
          <w:b/>
        </w:rPr>
        <w:tab/>
        <w:t>“</w:t>
      </w:r>
      <w:r>
        <w:rPr>
          <w:rStyle w:val="CharDefText"/>
        </w:rPr>
        <w:t>Vessel</w:t>
      </w:r>
      <w:r>
        <w:rPr>
          <w:b/>
        </w:rPr>
        <w:t>”</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b/>
        </w:rPr>
        <w:t>“</w:t>
      </w:r>
      <w:r>
        <w:rPr>
          <w:rStyle w:val="CharDefText"/>
        </w:rPr>
        <w:t>day</w:t>
      </w:r>
      <w:r>
        <w:rPr>
          <w:b/>
        </w:rPr>
        <w:t>”</w:t>
      </w:r>
      <w:r>
        <w:t xml:space="preserve"> means a period of 24 hours;</w:t>
      </w:r>
    </w:p>
    <w:p>
      <w:pPr>
        <w:pStyle w:val="Defstart"/>
      </w:pPr>
      <w:r>
        <w:tab/>
      </w:r>
      <w:r>
        <w:rPr>
          <w:b/>
        </w:rPr>
        <w:t>“</w:t>
      </w:r>
      <w:r>
        <w:rPr>
          <w:rStyle w:val="CharDefText"/>
        </w:rPr>
        <w:t>week</w:t>
      </w:r>
      <w:r>
        <w:rPr>
          <w:b/>
        </w:rPr>
        <w:t>”</w:t>
      </w:r>
      <w:r>
        <w:t xml:space="preserve"> means 7 consecutive days.</w:t>
      </w:r>
    </w:p>
    <w:p>
      <w:pPr>
        <w:pStyle w:val="Footnotesection"/>
      </w:pPr>
      <w:r>
        <w:tab/>
        <w:t>[Regulation 3 amended in Gazette 17 Mar 1960 p. 777; 7 May 1993 p. 2361; 27 Jul 2001 p. 3814; 14 Jun 2002 p. 2799</w:t>
      </w:r>
      <w:r>
        <w:noBreakHyphen/>
        <w:t xml:space="preserve">800; 24 Jun 2005 p. 2815-16.] </w:t>
      </w:r>
    </w:p>
    <w:p>
      <w:pPr>
        <w:pStyle w:val="Heading2"/>
      </w:pPr>
      <w:bookmarkStart w:id="9" w:name="_Toc81295407"/>
      <w:bookmarkStart w:id="10" w:name="_Toc92097363"/>
      <w:bookmarkStart w:id="11" w:name="_Toc92858816"/>
      <w:bookmarkStart w:id="12" w:name="_Toc94070426"/>
      <w:bookmarkStart w:id="13" w:name="_Toc95554066"/>
      <w:bookmarkStart w:id="14" w:name="_Toc95559279"/>
      <w:bookmarkStart w:id="15" w:name="_Toc97361664"/>
      <w:bookmarkStart w:id="16" w:name="_Toc97362016"/>
      <w:bookmarkStart w:id="17" w:name="_Toc97530669"/>
      <w:bookmarkStart w:id="18" w:name="_Toc97539141"/>
      <w:bookmarkStart w:id="19" w:name="_Toc98562936"/>
      <w:bookmarkStart w:id="20" w:name="_Toc99266325"/>
      <w:bookmarkStart w:id="21" w:name="_Toc102390846"/>
      <w:bookmarkStart w:id="22" w:name="_Toc170210120"/>
      <w:r>
        <w:rPr>
          <w:rStyle w:val="CharPartNo"/>
        </w:rPr>
        <w:t>Part 1</w:t>
      </w:r>
      <w:r>
        <w:t> — </w:t>
      </w:r>
      <w:r>
        <w:rPr>
          <w:rStyle w:val="CharPartText"/>
        </w:rPr>
        <w:t>Regulations applying to jetties controlled by the Department</w:t>
      </w:r>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Footnotesection"/>
      </w:pPr>
      <w:r>
        <w:tab/>
        <w:t xml:space="preserve">[Heading inserted in Gazette 19 May 1989 p. 1494.] </w:t>
      </w:r>
    </w:p>
    <w:p>
      <w:pPr>
        <w:pStyle w:val="Heading3"/>
        <w:rPr>
          <w:snapToGrid w:val="0"/>
        </w:rPr>
      </w:pPr>
      <w:bookmarkStart w:id="23" w:name="_Toc81295408"/>
      <w:bookmarkStart w:id="24" w:name="_Toc92097364"/>
      <w:bookmarkStart w:id="25" w:name="_Toc92858817"/>
      <w:bookmarkStart w:id="26" w:name="_Toc94070427"/>
      <w:bookmarkStart w:id="27" w:name="_Toc95554067"/>
      <w:bookmarkStart w:id="28" w:name="_Toc95559280"/>
      <w:bookmarkStart w:id="29" w:name="_Toc97361665"/>
      <w:bookmarkStart w:id="30" w:name="_Toc97362017"/>
      <w:bookmarkStart w:id="31" w:name="_Toc97530670"/>
      <w:bookmarkStart w:id="32" w:name="_Toc97539142"/>
      <w:bookmarkStart w:id="33" w:name="_Toc98562937"/>
      <w:bookmarkStart w:id="34" w:name="_Toc99266326"/>
      <w:bookmarkStart w:id="35" w:name="_Toc102390847"/>
      <w:bookmarkStart w:id="36" w:name="_Toc170210121"/>
      <w:r>
        <w:rPr>
          <w:rStyle w:val="CharDivNo"/>
        </w:rPr>
        <w:t>Division 1</w:t>
      </w:r>
      <w:r>
        <w:rPr>
          <w:snapToGrid w:val="0"/>
        </w:rPr>
        <w:t> — </w:t>
      </w:r>
      <w:r>
        <w:rPr>
          <w:rStyle w:val="CharDivText"/>
        </w:rPr>
        <w:t>Application of this Part</w:t>
      </w:r>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DivText"/>
        </w:rPr>
        <w:t xml:space="preserve"> </w:t>
      </w:r>
    </w:p>
    <w:p>
      <w:pPr>
        <w:pStyle w:val="Footnotesection"/>
      </w:pPr>
      <w:r>
        <w:tab/>
        <w:t xml:space="preserve">[Heading inserted in Gazette 19 May 1989 p. 1494.] </w:t>
      </w:r>
    </w:p>
    <w:p>
      <w:pPr>
        <w:pStyle w:val="Heading5"/>
        <w:rPr>
          <w:snapToGrid w:val="0"/>
        </w:rPr>
      </w:pPr>
      <w:bookmarkStart w:id="37" w:name="_Toc454867066"/>
      <w:bookmarkStart w:id="38" w:name="_Toc13116973"/>
      <w:bookmarkStart w:id="39" w:name="_Toc170210122"/>
      <w:r>
        <w:rPr>
          <w:rStyle w:val="CharSectno"/>
        </w:rPr>
        <w:t>3A</w:t>
      </w:r>
      <w:r>
        <w:rPr>
          <w:snapToGrid w:val="0"/>
        </w:rPr>
        <w:t>.</w:t>
      </w:r>
      <w:r>
        <w:rPr>
          <w:snapToGrid w:val="0"/>
        </w:rPr>
        <w:tab/>
        <w:t>Application</w:t>
      </w:r>
      <w:bookmarkEnd w:id="37"/>
      <w:bookmarkEnd w:id="38"/>
      <w:bookmarkEnd w:id="39"/>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40" w:name="_Toc81295410"/>
      <w:bookmarkStart w:id="41" w:name="_Toc92097366"/>
      <w:bookmarkStart w:id="42" w:name="_Toc92858819"/>
      <w:bookmarkStart w:id="43" w:name="_Toc94070429"/>
      <w:bookmarkStart w:id="44" w:name="_Toc95554069"/>
      <w:bookmarkStart w:id="45" w:name="_Toc95559282"/>
      <w:bookmarkStart w:id="46" w:name="_Toc97361667"/>
      <w:bookmarkStart w:id="47" w:name="_Toc97362019"/>
      <w:bookmarkStart w:id="48" w:name="_Toc97530672"/>
      <w:bookmarkStart w:id="49" w:name="_Toc97539144"/>
      <w:bookmarkStart w:id="50" w:name="_Toc98562939"/>
      <w:bookmarkStart w:id="51" w:name="_Toc99266328"/>
      <w:bookmarkStart w:id="52" w:name="_Toc102390849"/>
      <w:bookmarkStart w:id="53" w:name="_Toc170210123"/>
      <w:r>
        <w:rPr>
          <w:rStyle w:val="CharDivNo"/>
        </w:rPr>
        <w:t>Division 2</w:t>
      </w:r>
      <w:r>
        <w:rPr>
          <w:snapToGrid w:val="0"/>
        </w:rPr>
        <w:t> — </w:t>
      </w:r>
      <w:r>
        <w:rPr>
          <w:rStyle w:val="CharDivText"/>
        </w:rPr>
        <w:t>Arrival and movement of vessels</w:t>
      </w:r>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DivText"/>
        </w:rPr>
        <w:t xml:space="preserve"> </w:t>
      </w:r>
    </w:p>
    <w:p>
      <w:pPr>
        <w:pStyle w:val="Footnotesection"/>
      </w:pPr>
      <w:r>
        <w:tab/>
        <w:t xml:space="preserve">[Heading inserted in Gazette 19 May 1989 p. 1494.] </w:t>
      </w:r>
    </w:p>
    <w:p>
      <w:pPr>
        <w:pStyle w:val="Heading5"/>
        <w:rPr>
          <w:snapToGrid w:val="0"/>
        </w:rPr>
      </w:pPr>
      <w:bookmarkStart w:id="54" w:name="_Toc454867067"/>
      <w:bookmarkStart w:id="55" w:name="_Toc13116974"/>
      <w:bookmarkStart w:id="56" w:name="_Toc170210124"/>
      <w:r>
        <w:rPr>
          <w:rStyle w:val="CharSectno"/>
        </w:rPr>
        <w:t>4</w:t>
      </w:r>
      <w:r>
        <w:rPr>
          <w:snapToGrid w:val="0"/>
        </w:rPr>
        <w:t>.</w:t>
      </w:r>
      <w:r>
        <w:rPr>
          <w:snapToGrid w:val="0"/>
        </w:rPr>
        <w:tab/>
        <w:t>Master or agent to report arrival</w:t>
      </w:r>
      <w:bookmarkEnd w:id="54"/>
      <w:bookmarkEnd w:id="55"/>
      <w:bookmarkEnd w:id="56"/>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57" w:name="_Toc454867068"/>
      <w:bookmarkStart w:id="58" w:name="_Toc13116975"/>
      <w:bookmarkStart w:id="59" w:name="_Toc170210125"/>
      <w:r>
        <w:rPr>
          <w:rStyle w:val="CharSectno"/>
        </w:rPr>
        <w:t>5</w:t>
      </w:r>
      <w:r>
        <w:rPr>
          <w:snapToGrid w:val="0"/>
        </w:rPr>
        <w:t>.</w:t>
      </w:r>
      <w:r>
        <w:rPr>
          <w:snapToGrid w:val="0"/>
        </w:rPr>
        <w:tab/>
        <w:t>Vessels to change berths</w:t>
      </w:r>
      <w:bookmarkEnd w:id="57"/>
      <w:bookmarkEnd w:id="58"/>
      <w:bookmarkEnd w:id="59"/>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rPr>
          <w:snapToGrid w:val="0"/>
        </w:rPr>
      </w:pPr>
      <w:bookmarkStart w:id="60" w:name="_Toc81295413"/>
      <w:bookmarkStart w:id="61" w:name="_Toc92097369"/>
      <w:bookmarkStart w:id="62" w:name="_Toc92858822"/>
      <w:bookmarkStart w:id="63" w:name="_Toc94070432"/>
      <w:bookmarkStart w:id="64" w:name="_Toc95554072"/>
      <w:bookmarkStart w:id="65" w:name="_Toc95559285"/>
      <w:bookmarkStart w:id="66" w:name="_Toc97361670"/>
      <w:bookmarkStart w:id="67" w:name="_Toc97362022"/>
      <w:bookmarkStart w:id="68" w:name="_Toc97530675"/>
      <w:bookmarkStart w:id="69" w:name="_Toc97539147"/>
      <w:bookmarkStart w:id="70" w:name="_Toc98562942"/>
      <w:bookmarkStart w:id="71" w:name="_Toc99266331"/>
      <w:bookmarkStart w:id="72" w:name="_Toc102390852"/>
      <w:bookmarkStart w:id="73" w:name="_Toc170210126"/>
      <w:r>
        <w:rPr>
          <w:rStyle w:val="CharDivNo"/>
        </w:rPr>
        <w:t>Division 3</w:t>
      </w:r>
      <w:r>
        <w:rPr>
          <w:snapToGrid w:val="0"/>
        </w:rPr>
        <w:t> — </w:t>
      </w:r>
      <w:r>
        <w:rPr>
          <w:rStyle w:val="CharDivText"/>
        </w:rPr>
        <w:t>Berthing dues</w:t>
      </w:r>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DivText"/>
        </w:rPr>
        <w:t xml:space="preserve"> </w:t>
      </w:r>
    </w:p>
    <w:p>
      <w:pPr>
        <w:pStyle w:val="Footnotesection"/>
        <w:keepNext/>
      </w:pPr>
      <w:r>
        <w:tab/>
        <w:t xml:space="preserve">[Heading inserted in Gazette 19 May 1989 p. 1494.] </w:t>
      </w:r>
    </w:p>
    <w:p>
      <w:pPr>
        <w:pStyle w:val="Heading5"/>
        <w:rPr>
          <w:snapToGrid w:val="0"/>
        </w:rPr>
      </w:pPr>
      <w:bookmarkStart w:id="74" w:name="_Toc454867069"/>
      <w:bookmarkStart w:id="75" w:name="_Toc13116976"/>
      <w:bookmarkStart w:id="76" w:name="_Toc170210127"/>
      <w:r>
        <w:rPr>
          <w:rStyle w:val="CharSectno"/>
        </w:rPr>
        <w:t>6</w:t>
      </w:r>
      <w:r>
        <w:rPr>
          <w:snapToGrid w:val="0"/>
        </w:rPr>
        <w:t>.</w:t>
      </w:r>
      <w:r>
        <w:rPr>
          <w:snapToGrid w:val="0"/>
        </w:rPr>
        <w:tab/>
        <w:t>Berthing dues shall be paid</w:t>
      </w:r>
      <w:bookmarkEnd w:id="74"/>
      <w:bookmarkEnd w:id="75"/>
      <w:bookmarkEnd w:id="76"/>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rPr>
          <w:snapToGrid w:val="0"/>
        </w:rPr>
      </w:pPr>
      <w:bookmarkStart w:id="77" w:name="_Toc454867070"/>
      <w:bookmarkStart w:id="78" w:name="_Toc13116977"/>
      <w:bookmarkStart w:id="79" w:name="_Toc170210128"/>
      <w:r>
        <w:rPr>
          <w:rStyle w:val="CharSectno"/>
        </w:rPr>
        <w:t>7</w:t>
      </w:r>
      <w:r>
        <w:rPr>
          <w:snapToGrid w:val="0"/>
        </w:rPr>
        <w:t>.</w:t>
      </w:r>
      <w:r>
        <w:rPr>
          <w:snapToGrid w:val="0"/>
        </w:rPr>
        <w:tab/>
        <w:t>Computation of berthing dues</w:t>
      </w:r>
      <w:bookmarkEnd w:id="77"/>
      <w:bookmarkEnd w:id="78"/>
      <w:bookmarkEnd w:id="79"/>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 — </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rPr>
          <w:snapToGrid w:val="0"/>
        </w:rPr>
      </w:pPr>
      <w:bookmarkStart w:id="80" w:name="_Toc454867071"/>
      <w:bookmarkStart w:id="81" w:name="_Toc13116978"/>
      <w:bookmarkStart w:id="82" w:name="_Toc170210129"/>
      <w:r>
        <w:rPr>
          <w:rStyle w:val="CharSectno"/>
        </w:rPr>
        <w:t>8</w:t>
      </w:r>
      <w:r>
        <w:rPr>
          <w:snapToGrid w:val="0"/>
        </w:rPr>
        <w:t>.</w:t>
      </w:r>
      <w:r>
        <w:rPr>
          <w:snapToGrid w:val="0"/>
        </w:rPr>
        <w:tab/>
        <w:t>Inwards manifests</w:t>
      </w:r>
      <w:bookmarkEnd w:id="80"/>
      <w:bookmarkEnd w:id="81"/>
      <w:bookmarkEnd w:id="82"/>
      <w:r>
        <w:rPr>
          <w:snapToGrid w:val="0"/>
        </w:rPr>
        <w:t xml:space="preserve"> </w:t>
      </w:r>
    </w:p>
    <w:p>
      <w:pPr>
        <w:pStyle w:val="Subsection"/>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rPr>
          <w:snapToGrid w:val="0"/>
        </w:rPr>
      </w:pPr>
      <w:bookmarkStart w:id="83" w:name="_Toc454867072"/>
      <w:bookmarkStart w:id="84" w:name="_Toc13116979"/>
      <w:bookmarkStart w:id="85" w:name="_Toc170210130"/>
      <w:r>
        <w:rPr>
          <w:rStyle w:val="CharSectno"/>
        </w:rPr>
        <w:t>9</w:t>
      </w:r>
      <w:r>
        <w:rPr>
          <w:snapToGrid w:val="0"/>
        </w:rPr>
        <w:t>.</w:t>
      </w:r>
      <w:r>
        <w:rPr>
          <w:snapToGrid w:val="0"/>
        </w:rPr>
        <w:tab/>
        <w:t>Outwards manifests</w:t>
      </w:r>
      <w:bookmarkEnd w:id="83"/>
      <w:bookmarkEnd w:id="84"/>
      <w:bookmarkEnd w:id="85"/>
      <w:r>
        <w:rPr>
          <w:snapToGrid w:val="0"/>
        </w:rPr>
        <w:t xml:space="preserve"> </w:t>
      </w:r>
    </w:p>
    <w:p>
      <w:pPr>
        <w:pStyle w:val="Subsection"/>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rPr>
          <w:snapToGrid w:val="0"/>
        </w:rPr>
      </w:pPr>
      <w:bookmarkStart w:id="86" w:name="_Toc81295418"/>
      <w:bookmarkStart w:id="87" w:name="_Toc92097374"/>
      <w:bookmarkStart w:id="88" w:name="_Toc92858827"/>
      <w:bookmarkStart w:id="89" w:name="_Toc94070437"/>
      <w:bookmarkStart w:id="90" w:name="_Toc95554077"/>
      <w:bookmarkStart w:id="91" w:name="_Toc95559290"/>
      <w:bookmarkStart w:id="92" w:name="_Toc97361675"/>
      <w:bookmarkStart w:id="93" w:name="_Toc97362027"/>
      <w:bookmarkStart w:id="94" w:name="_Toc97530680"/>
      <w:bookmarkStart w:id="95" w:name="_Toc97539152"/>
      <w:bookmarkStart w:id="96" w:name="_Toc98562947"/>
      <w:bookmarkStart w:id="97" w:name="_Toc99266336"/>
      <w:bookmarkStart w:id="98" w:name="_Toc102390857"/>
      <w:bookmarkStart w:id="99" w:name="_Toc170210131"/>
      <w:r>
        <w:rPr>
          <w:rStyle w:val="CharDivNo"/>
        </w:rPr>
        <w:t>Division 4</w:t>
      </w:r>
      <w:r>
        <w:rPr>
          <w:snapToGrid w:val="0"/>
        </w:rPr>
        <w:t> — </w:t>
      </w:r>
      <w:r>
        <w:rPr>
          <w:rStyle w:val="CharDivText"/>
        </w:rPr>
        <w:t>Wharfage dues, handling and haulage charges</w:t>
      </w:r>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DivText"/>
        </w:rPr>
        <w:t xml:space="preserve"> </w:t>
      </w:r>
    </w:p>
    <w:p>
      <w:pPr>
        <w:pStyle w:val="Footnoteheading"/>
        <w:rPr>
          <w:snapToGrid w:val="0"/>
        </w:rPr>
      </w:pPr>
      <w:r>
        <w:rPr>
          <w:snapToGrid w:val="0"/>
        </w:rPr>
        <w:tab/>
        <w:t xml:space="preserve">[Heading inserted in Gazette 19 May 1989 p. 1494.] </w:t>
      </w:r>
    </w:p>
    <w:p>
      <w:pPr>
        <w:pStyle w:val="Ednotesection"/>
        <w:ind w:left="0" w:firstLine="0"/>
      </w:pPr>
      <w:r>
        <w:t>[</w:t>
      </w:r>
      <w:r>
        <w:rPr>
          <w:b/>
        </w:rPr>
        <w:t>10.</w:t>
      </w:r>
      <w:r>
        <w:tab/>
        <w:t>Disallowed (see Gazette 6 Sep 1940 p. 1622).]</w:t>
      </w:r>
    </w:p>
    <w:p>
      <w:pPr>
        <w:pStyle w:val="Heading5"/>
        <w:rPr>
          <w:snapToGrid w:val="0"/>
        </w:rPr>
      </w:pPr>
      <w:bookmarkStart w:id="100" w:name="_Toc454867074"/>
      <w:bookmarkStart w:id="101" w:name="_Toc13116981"/>
      <w:bookmarkStart w:id="102" w:name="_Toc170210132"/>
      <w:r>
        <w:rPr>
          <w:rStyle w:val="CharSectno"/>
        </w:rPr>
        <w:t>10A</w:t>
      </w:r>
      <w:r>
        <w:rPr>
          <w:snapToGrid w:val="0"/>
        </w:rPr>
        <w:t>.</w:t>
      </w:r>
      <w:r>
        <w:rPr>
          <w:snapToGrid w:val="0"/>
        </w:rPr>
        <w:tab/>
        <w:t>Payment of dues and charges</w:t>
      </w:r>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pPr>
      <w:r>
        <w:t>[</w:t>
      </w:r>
      <w:r>
        <w:rPr>
          <w:b/>
        </w:rPr>
        <w:t>10B.</w:t>
      </w:r>
      <w:r>
        <w:tab/>
        <w:t xml:space="preserve">Repealed in Gazette 30 Jun 1995 p. 2699.] </w:t>
      </w:r>
    </w:p>
    <w:p>
      <w:pPr>
        <w:pStyle w:val="Ednotesection"/>
      </w:pPr>
      <w:r>
        <w:t>[</w:t>
      </w:r>
      <w:r>
        <w:rPr>
          <w:b/>
        </w:rPr>
        <w:t>10C.</w:t>
      </w:r>
      <w:r>
        <w:tab/>
        <w:t xml:space="preserve">Repealed in Gazette 24 Nov 1972 p. 4487.] </w:t>
      </w:r>
    </w:p>
    <w:p>
      <w:pPr>
        <w:pStyle w:val="Heading5"/>
        <w:rPr>
          <w:snapToGrid w:val="0"/>
        </w:rPr>
      </w:pPr>
      <w:bookmarkStart w:id="103" w:name="_Toc454867075"/>
      <w:bookmarkStart w:id="104" w:name="_Toc13116982"/>
      <w:bookmarkStart w:id="105" w:name="_Toc170210133"/>
      <w:r>
        <w:rPr>
          <w:rStyle w:val="CharSectno"/>
        </w:rPr>
        <w:t>11</w:t>
      </w:r>
      <w:r>
        <w:rPr>
          <w:snapToGrid w:val="0"/>
        </w:rPr>
        <w:t>.</w:t>
      </w:r>
      <w:r>
        <w:rPr>
          <w:snapToGrid w:val="0"/>
        </w:rPr>
        <w:tab/>
        <w:t>Charges for transhipment cargo</w:t>
      </w:r>
      <w:bookmarkEnd w:id="103"/>
      <w:bookmarkEnd w:id="104"/>
      <w:bookmarkEnd w:id="105"/>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repealed]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20"/>
        <w:ind w:left="890" w:hanging="890"/>
      </w:pPr>
      <w:r>
        <w:t>[</w:t>
      </w:r>
      <w:r>
        <w:rPr>
          <w:b/>
        </w:rPr>
        <w:t>11A.</w:t>
      </w:r>
      <w:r>
        <w:rPr>
          <w:b/>
        </w:rPr>
        <w:tab/>
      </w:r>
      <w:r>
        <w:t xml:space="preserve">Repealed in Gazette 24 Nov 1972 p. 4487.] </w:t>
      </w:r>
    </w:p>
    <w:p>
      <w:pPr>
        <w:pStyle w:val="Heading5"/>
        <w:spacing w:before="120"/>
        <w:rPr>
          <w:snapToGrid w:val="0"/>
        </w:rPr>
      </w:pPr>
      <w:bookmarkStart w:id="106" w:name="_Toc454867076"/>
      <w:bookmarkStart w:id="107" w:name="_Toc13116983"/>
      <w:bookmarkStart w:id="108" w:name="_Toc170210134"/>
      <w:r>
        <w:rPr>
          <w:rStyle w:val="CharSectno"/>
        </w:rPr>
        <w:t>11B</w:t>
      </w:r>
      <w:r>
        <w:rPr>
          <w:snapToGrid w:val="0"/>
        </w:rPr>
        <w:t>.</w:t>
      </w:r>
      <w:r>
        <w:rPr>
          <w:snapToGrid w:val="0"/>
        </w:rPr>
        <w:tab/>
        <w:t>Charges on vessels’ stores, including fuel oil</w:t>
      </w:r>
      <w:bookmarkEnd w:id="106"/>
      <w:bookmarkEnd w:id="107"/>
      <w:bookmarkEnd w:id="108"/>
      <w:r>
        <w:rPr>
          <w:snapToGrid w:val="0"/>
        </w:rPr>
        <w:t xml:space="preserve"> </w:t>
      </w:r>
    </w:p>
    <w:p>
      <w:pPr>
        <w:pStyle w:val="Subsection"/>
        <w:spacing w:before="120"/>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spacing w:before="120"/>
        <w:rPr>
          <w:snapToGrid w:val="0"/>
        </w:rPr>
      </w:pPr>
      <w:r>
        <w:rPr>
          <w:snapToGrid w:val="0"/>
        </w:rPr>
        <w:tab/>
        <w:t>(2)</w:t>
      </w:r>
      <w:r>
        <w:rPr>
          <w:snapToGrid w:val="0"/>
        </w:rPr>
        <w:tab/>
        <w:t>The outwards wharfage rate on fuel oil loaded into a vessel as bunkers supplied for that vessel’s own use, and upon which an inwards wharfage rate has not been paid, shall be — </w:t>
      </w:r>
    </w:p>
    <w:p>
      <w:pPr>
        <w:pStyle w:val="Indenta"/>
        <w:rPr>
          <w:snapToGrid w:val="0"/>
        </w:rPr>
      </w:pPr>
      <w:r>
        <w:rPr>
          <w:snapToGrid w:val="0"/>
        </w:rPr>
        <w:tab/>
        <w:t>(a)</w:t>
      </w:r>
      <w:r>
        <w:rPr>
          <w:snapToGrid w:val="0"/>
        </w:rPr>
        <w:tab/>
        <w:t xml:space="preserve">for those locations set out in </w:t>
      </w:r>
      <w:r>
        <w:t xml:space="preserve">Schedule 4 Division 4, </w:t>
      </w:r>
      <w:r>
        <w:rPr>
          <w:snapToGrid w:val="0"/>
        </w:rPr>
        <w:t xml:space="preserve">the corresponding rates set out under those locations in that </w:t>
      </w:r>
      <w:r>
        <w:t xml:space="preserve">Schedule; </w:t>
      </w:r>
      <w:r>
        <w:rPr>
          <w:snapToGrid w:val="0"/>
        </w:rPr>
        <w:t>or</w:t>
      </w:r>
    </w:p>
    <w:p>
      <w:pPr>
        <w:pStyle w:val="Indenta"/>
        <w:rPr>
          <w:snapToGrid w:val="0"/>
        </w:rPr>
      </w:pPr>
      <w:r>
        <w:rPr>
          <w:snapToGrid w:val="0"/>
        </w:rPr>
        <w:tab/>
        <w:t>(b)</w:t>
      </w:r>
      <w:r>
        <w:rPr>
          <w:snapToGrid w:val="0"/>
        </w:rPr>
        <w:tab/>
        <w:t xml:space="preserve">for the Ports of Wyndham, the rate set out in </w:t>
      </w:r>
      <w:r>
        <w:t>Schedule 1,</w:t>
      </w:r>
    </w:p>
    <w:p>
      <w:pPr>
        <w:pStyle w:val="Subsection"/>
        <w:spacing w:before="120"/>
        <w:rPr>
          <w:snapToGrid w:val="0"/>
        </w:rPr>
      </w:pPr>
      <w:r>
        <w:rPr>
          <w:snapToGrid w:val="0"/>
        </w:rPr>
        <w:tab/>
      </w:r>
      <w:r>
        <w:rPr>
          <w:snapToGrid w:val="0"/>
        </w:rPr>
        <w:tab/>
        <w:t>payable by the suppliers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w:t>
      </w:r>
    </w:p>
    <w:p>
      <w:pPr>
        <w:pStyle w:val="Heading5"/>
        <w:spacing w:before="120"/>
        <w:rPr>
          <w:snapToGrid w:val="0"/>
        </w:rPr>
      </w:pPr>
      <w:bookmarkStart w:id="109" w:name="_Toc454867077"/>
      <w:bookmarkStart w:id="110" w:name="_Toc13116984"/>
      <w:bookmarkStart w:id="111" w:name="_Toc170210135"/>
      <w:r>
        <w:rPr>
          <w:rStyle w:val="CharSectno"/>
        </w:rPr>
        <w:t>12</w:t>
      </w:r>
      <w:r>
        <w:rPr>
          <w:snapToGrid w:val="0"/>
        </w:rPr>
        <w:t>.</w:t>
      </w:r>
      <w:r>
        <w:rPr>
          <w:snapToGrid w:val="0"/>
        </w:rPr>
        <w:tab/>
        <w:t>Charges to be paid before delivery of cargo</w:t>
      </w:r>
      <w:bookmarkEnd w:id="109"/>
      <w:bookmarkEnd w:id="110"/>
      <w:bookmarkEnd w:id="111"/>
      <w:r>
        <w:rPr>
          <w:snapToGrid w:val="0"/>
        </w:rPr>
        <w:t xml:space="preserve"> </w:t>
      </w:r>
    </w:p>
    <w:p>
      <w:pPr>
        <w:pStyle w:val="Subsection"/>
        <w:spacing w:before="120"/>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spacing w:before="120"/>
        <w:rPr>
          <w:snapToGrid w:val="0"/>
        </w:rPr>
      </w:pPr>
      <w:bookmarkStart w:id="112" w:name="_Toc454867078"/>
      <w:bookmarkStart w:id="113" w:name="_Toc13116985"/>
      <w:bookmarkStart w:id="114" w:name="_Toc170210136"/>
      <w:r>
        <w:rPr>
          <w:rStyle w:val="CharSectno"/>
        </w:rPr>
        <w:t>13</w:t>
      </w:r>
      <w:r>
        <w:rPr>
          <w:snapToGrid w:val="0"/>
        </w:rPr>
        <w:t>.</w:t>
      </w:r>
      <w:r>
        <w:rPr>
          <w:snapToGrid w:val="0"/>
        </w:rPr>
        <w:tab/>
        <w:t>Extra charges</w:t>
      </w:r>
      <w:bookmarkEnd w:id="112"/>
      <w:bookmarkEnd w:id="113"/>
      <w:bookmarkEnd w:id="114"/>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Repealed in Gazette 30 Jun 1995 p. 2699.] </w:t>
      </w:r>
    </w:p>
    <w:p>
      <w:pPr>
        <w:pStyle w:val="Heading3"/>
        <w:rPr>
          <w:snapToGrid w:val="0"/>
        </w:rPr>
      </w:pPr>
      <w:bookmarkStart w:id="115" w:name="_Toc81295424"/>
      <w:bookmarkStart w:id="116" w:name="_Toc92097380"/>
      <w:bookmarkStart w:id="117" w:name="_Toc92858833"/>
      <w:bookmarkStart w:id="118" w:name="_Toc94070443"/>
      <w:bookmarkStart w:id="119" w:name="_Toc95554083"/>
      <w:bookmarkStart w:id="120" w:name="_Toc95559296"/>
      <w:bookmarkStart w:id="121" w:name="_Toc97361681"/>
      <w:bookmarkStart w:id="122" w:name="_Toc97362033"/>
      <w:bookmarkStart w:id="123" w:name="_Toc97530686"/>
      <w:bookmarkStart w:id="124" w:name="_Toc97539158"/>
      <w:bookmarkStart w:id="125" w:name="_Toc98562953"/>
      <w:bookmarkStart w:id="126" w:name="_Toc99266342"/>
      <w:bookmarkStart w:id="127" w:name="_Toc102390863"/>
      <w:bookmarkStart w:id="128" w:name="_Toc170210137"/>
      <w:r>
        <w:rPr>
          <w:rStyle w:val="CharDivNo"/>
        </w:rPr>
        <w:t>Division 5</w:t>
      </w:r>
      <w:r>
        <w:rPr>
          <w:snapToGrid w:val="0"/>
        </w:rPr>
        <w:t> — </w:t>
      </w:r>
      <w:r>
        <w:rPr>
          <w:rStyle w:val="CharDivText"/>
        </w:rPr>
        <w:t>Handling of cargo</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DivText"/>
        </w:rPr>
        <w:t xml:space="preserve"> </w:t>
      </w:r>
    </w:p>
    <w:p>
      <w:pPr>
        <w:pStyle w:val="Footnotesection"/>
      </w:pPr>
      <w:r>
        <w:tab/>
        <w:t xml:space="preserve">[Heading inserted in Gazette 19 May 1989 p. 1494.] </w:t>
      </w:r>
    </w:p>
    <w:p>
      <w:pPr>
        <w:pStyle w:val="Heading5"/>
        <w:keepNext w:val="0"/>
        <w:keepLines w:val="0"/>
        <w:rPr>
          <w:snapToGrid w:val="0"/>
        </w:rPr>
      </w:pPr>
      <w:bookmarkStart w:id="129" w:name="_Toc454867079"/>
      <w:bookmarkStart w:id="130" w:name="_Toc13116986"/>
      <w:bookmarkStart w:id="131" w:name="_Toc170210138"/>
      <w:r>
        <w:rPr>
          <w:rStyle w:val="CharSectno"/>
        </w:rPr>
        <w:t>14</w:t>
      </w:r>
      <w:r>
        <w:rPr>
          <w:snapToGrid w:val="0"/>
        </w:rPr>
        <w:t>.</w:t>
      </w:r>
      <w:r>
        <w:rPr>
          <w:snapToGrid w:val="0"/>
        </w:rPr>
        <w:tab/>
        <w:t>Cargo not to be placed on jetties or premises without authority</w:t>
      </w:r>
      <w:bookmarkEnd w:id="129"/>
      <w:bookmarkEnd w:id="130"/>
      <w:bookmarkEnd w:id="131"/>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[Section 14 amended in Gazette 3 Nov 1950 p. 2461; 19 May 1989 p. 1495.] </w:t>
      </w:r>
    </w:p>
    <w:p>
      <w:pPr>
        <w:pStyle w:val="Heading5"/>
        <w:rPr>
          <w:snapToGrid w:val="0"/>
        </w:rPr>
      </w:pPr>
      <w:bookmarkStart w:id="132" w:name="_Toc454867080"/>
      <w:bookmarkStart w:id="133" w:name="_Toc13116987"/>
      <w:bookmarkStart w:id="134" w:name="_Toc170210139"/>
      <w:r>
        <w:rPr>
          <w:rStyle w:val="CharSectno"/>
        </w:rPr>
        <w:t>15</w:t>
      </w:r>
      <w:r>
        <w:rPr>
          <w:snapToGrid w:val="0"/>
        </w:rPr>
        <w:t>.</w:t>
      </w:r>
      <w:r>
        <w:rPr>
          <w:snapToGrid w:val="0"/>
        </w:rPr>
        <w:tab/>
        <w:t>Discharging of cargo may be stopped</w:t>
      </w:r>
      <w:bookmarkEnd w:id="132"/>
      <w:bookmarkEnd w:id="133"/>
      <w:bookmarkEnd w:id="134"/>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135" w:name="_Toc454867081"/>
      <w:bookmarkStart w:id="136" w:name="_Toc13116988"/>
      <w:bookmarkStart w:id="137" w:name="_Toc170210140"/>
      <w:r>
        <w:rPr>
          <w:rStyle w:val="CharSectno"/>
        </w:rPr>
        <w:t>16</w:t>
      </w:r>
      <w:r>
        <w:rPr>
          <w:snapToGrid w:val="0"/>
        </w:rPr>
        <w:t>.</w:t>
      </w:r>
      <w:r>
        <w:rPr>
          <w:snapToGrid w:val="0"/>
        </w:rPr>
        <w:tab/>
        <w:t>Goods not to be shifted without authority</w:t>
      </w:r>
      <w:bookmarkEnd w:id="135"/>
      <w:bookmarkEnd w:id="136"/>
      <w:bookmarkEnd w:id="137"/>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138" w:name="_Toc454867082"/>
      <w:bookmarkStart w:id="139" w:name="_Toc13116989"/>
      <w:bookmarkStart w:id="140" w:name="_Toc170210141"/>
      <w:r>
        <w:rPr>
          <w:rStyle w:val="CharSectno"/>
        </w:rPr>
        <w:t>17</w:t>
      </w:r>
      <w:r>
        <w:rPr>
          <w:snapToGrid w:val="0"/>
        </w:rPr>
        <w:t>.</w:t>
      </w:r>
      <w:r>
        <w:rPr>
          <w:snapToGrid w:val="0"/>
        </w:rPr>
        <w:tab/>
        <w:t>Bulk cargo not to be deposited without authority</w:t>
      </w:r>
      <w:bookmarkEnd w:id="138"/>
      <w:bookmarkEnd w:id="139"/>
      <w:bookmarkEnd w:id="140"/>
      <w:r>
        <w:rPr>
          <w:snapToGrid w:val="0"/>
        </w:rPr>
        <w:t xml:space="preserve"> </w:t>
      </w:r>
    </w:p>
    <w:p>
      <w:pPr>
        <w:pStyle w:val="Subsection"/>
        <w:spacing w:before="120"/>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141" w:name="_Toc454867083"/>
      <w:bookmarkStart w:id="142" w:name="_Toc13116990"/>
      <w:bookmarkStart w:id="143" w:name="_Toc170210142"/>
      <w:r>
        <w:rPr>
          <w:rStyle w:val="CharSectno"/>
        </w:rPr>
        <w:t>18</w:t>
      </w:r>
      <w:r>
        <w:rPr>
          <w:snapToGrid w:val="0"/>
        </w:rPr>
        <w:t>.</w:t>
      </w:r>
      <w:r>
        <w:rPr>
          <w:snapToGrid w:val="0"/>
        </w:rPr>
        <w:tab/>
        <w:t>Outward cargo advice notes</w:t>
      </w:r>
      <w:bookmarkEnd w:id="141"/>
      <w:bookmarkEnd w:id="142"/>
      <w:bookmarkEnd w:id="143"/>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144" w:name="_Toc454867084"/>
      <w:bookmarkStart w:id="145" w:name="_Toc13116991"/>
      <w:bookmarkStart w:id="146" w:name="_Toc170210143"/>
      <w:r>
        <w:rPr>
          <w:rStyle w:val="CharSectno"/>
        </w:rPr>
        <w:t>19</w:t>
      </w:r>
      <w:r>
        <w:rPr>
          <w:snapToGrid w:val="0"/>
        </w:rPr>
        <w:t>.</w:t>
      </w:r>
      <w:r>
        <w:rPr>
          <w:snapToGrid w:val="0"/>
        </w:rPr>
        <w:tab/>
        <w:t>Outward cargo</w:t>
      </w:r>
      <w:bookmarkEnd w:id="144"/>
      <w:bookmarkEnd w:id="145"/>
      <w:bookmarkEnd w:id="146"/>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147" w:name="_Toc454867085"/>
      <w:bookmarkStart w:id="148" w:name="_Toc13116992"/>
      <w:bookmarkStart w:id="149" w:name="_Toc170210144"/>
      <w:r>
        <w:rPr>
          <w:rStyle w:val="CharSectno"/>
        </w:rPr>
        <w:t>20</w:t>
      </w:r>
      <w:r>
        <w:rPr>
          <w:snapToGrid w:val="0"/>
        </w:rPr>
        <w:t>.</w:t>
      </w:r>
      <w:r>
        <w:rPr>
          <w:snapToGrid w:val="0"/>
        </w:rPr>
        <w:tab/>
        <w:t>Dangerous cargo not to be shipped without permission</w:t>
      </w:r>
      <w:bookmarkEnd w:id="147"/>
      <w:bookmarkEnd w:id="148"/>
      <w:bookmarkEnd w:id="149"/>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150" w:name="_Toc454867086"/>
      <w:bookmarkStart w:id="151" w:name="_Toc13116993"/>
      <w:bookmarkStart w:id="152" w:name="_Toc170210145"/>
      <w:r>
        <w:rPr>
          <w:rStyle w:val="CharSectno"/>
        </w:rPr>
        <w:t>21</w:t>
      </w:r>
      <w:r>
        <w:rPr>
          <w:snapToGrid w:val="0"/>
        </w:rPr>
        <w:t>.</w:t>
      </w:r>
      <w:r>
        <w:rPr>
          <w:snapToGrid w:val="0"/>
        </w:rPr>
        <w:tab/>
        <w:t>Dangerous cargo may be refused or examined</w:t>
      </w:r>
      <w:bookmarkEnd w:id="150"/>
      <w:bookmarkEnd w:id="151"/>
      <w:bookmarkEnd w:id="152"/>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153" w:name="_Toc454867087"/>
      <w:bookmarkStart w:id="154" w:name="_Toc13116994"/>
      <w:bookmarkStart w:id="155" w:name="_Toc170210146"/>
      <w:r>
        <w:rPr>
          <w:rStyle w:val="CharSectno"/>
        </w:rPr>
        <w:t>22</w:t>
      </w:r>
      <w:r>
        <w:rPr>
          <w:snapToGrid w:val="0"/>
        </w:rPr>
        <w:t>.</w:t>
      </w:r>
      <w:r>
        <w:rPr>
          <w:snapToGrid w:val="0"/>
        </w:rPr>
        <w:tab/>
        <w:t>Marking of heavy packages</w:t>
      </w:r>
      <w:bookmarkEnd w:id="153"/>
      <w:bookmarkEnd w:id="154"/>
      <w:bookmarkEnd w:id="155"/>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spacing w:before="12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156" w:name="_Toc454867088"/>
      <w:bookmarkStart w:id="157" w:name="_Toc13116995"/>
      <w:bookmarkStart w:id="158" w:name="_Toc170210147"/>
      <w:r>
        <w:rPr>
          <w:rStyle w:val="CharSectno"/>
        </w:rPr>
        <w:t>23</w:t>
      </w:r>
      <w:r>
        <w:rPr>
          <w:snapToGrid w:val="0"/>
        </w:rPr>
        <w:t>.</w:t>
      </w:r>
      <w:r>
        <w:rPr>
          <w:snapToGrid w:val="0"/>
        </w:rPr>
        <w:tab/>
        <w:t>False statements</w:t>
      </w:r>
      <w:bookmarkEnd w:id="156"/>
      <w:bookmarkEnd w:id="157"/>
      <w:bookmarkEnd w:id="158"/>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159" w:name="_Toc81295435"/>
      <w:bookmarkStart w:id="160" w:name="_Toc92097391"/>
      <w:bookmarkStart w:id="161" w:name="_Toc92858844"/>
      <w:bookmarkStart w:id="162" w:name="_Toc94070454"/>
      <w:bookmarkStart w:id="163" w:name="_Toc95554094"/>
      <w:bookmarkStart w:id="164" w:name="_Toc95559307"/>
      <w:bookmarkStart w:id="165" w:name="_Toc97361692"/>
      <w:bookmarkStart w:id="166" w:name="_Toc97362044"/>
      <w:bookmarkStart w:id="167" w:name="_Toc97530697"/>
      <w:bookmarkStart w:id="168" w:name="_Toc97539169"/>
      <w:bookmarkStart w:id="169" w:name="_Toc98562964"/>
      <w:bookmarkStart w:id="170" w:name="_Toc99266353"/>
      <w:bookmarkStart w:id="171" w:name="_Toc102390874"/>
      <w:bookmarkStart w:id="172" w:name="_Toc170210148"/>
      <w:r>
        <w:rPr>
          <w:rStyle w:val="CharDivNo"/>
        </w:rPr>
        <w:t>Division 6</w:t>
      </w:r>
      <w:r>
        <w:rPr>
          <w:snapToGrid w:val="0"/>
        </w:rPr>
        <w:t> — </w:t>
      </w:r>
      <w:r>
        <w:rPr>
          <w:rStyle w:val="CharDivText"/>
        </w:rPr>
        <w:t>Receipt, delivery and storage of cargo</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DivText"/>
        </w:rPr>
        <w:t xml:space="preserve"> </w:t>
      </w:r>
    </w:p>
    <w:p>
      <w:pPr>
        <w:pStyle w:val="Footnotesection"/>
      </w:pPr>
      <w:r>
        <w:tab/>
        <w:t xml:space="preserve">[Heading inserted in Gazette 19 May 1989 p. 1494.] </w:t>
      </w:r>
    </w:p>
    <w:p>
      <w:pPr>
        <w:pStyle w:val="Heading5"/>
        <w:rPr>
          <w:snapToGrid w:val="0"/>
        </w:rPr>
      </w:pPr>
      <w:bookmarkStart w:id="173" w:name="_Toc454867089"/>
      <w:bookmarkStart w:id="174" w:name="_Toc13116996"/>
      <w:bookmarkStart w:id="175" w:name="_Toc170210149"/>
      <w:r>
        <w:rPr>
          <w:rStyle w:val="CharSectno"/>
        </w:rPr>
        <w:t>24</w:t>
      </w:r>
      <w:r>
        <w:rPr>
          <w:snapToGrid w:val="0"/>
        </w:rPr>
        <w:t>.</w:t>
      </w:r>
      <w:r>
        <w:rPr>
          <w:snapToGrid w:val="0"/>
        </w:rPr>
        <w:tab/>
        <w:t>Removal of cargo</w:t>
      </w:r>
      <w:bookmarkEnd w:id="173"/>
      <w:bookmarkEnd w:id="174"/>
      <w:bookmarkEnd w:id="175"/>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rPr>
          <w:snapToGrid w:val="0"/>
        </w:rPr>
      </w:pPr>
      <w:bookmarkStart w:id="176" w:name="_Toc454867090"/>
      <w:bookmarkStart w:id="177" w:name="_Toc13116997"/>
      <w:bookmarkStart w:id="178" w:name="_Toc170210150"/>
      <w:r>
        <w:rPr>
          <w:rStyle w:val="CharSectno"/>
        </w:rPr>
        <w:t>25</w:t>
      </w:r>
      <w:r>
        <w:rPr>
          <w:snapToGrid w:val="0"/>
        </w:rPr>
        <w:t>.</w:t>
      </w:r>
      <w:r>
        <w:rPr>
          <w:snapToGrid w:val="0"/>
        </w:rPr>
        <w:tab/>
        <w:t>Storage charges</w:t>
      </w:r>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Repealed in Gazette 24 Nov 1972 p. 4487.] </w:t>
      </w:r>
    </w:p>
    <w:p>
      <w:pPr>
        <w:pStyle w:val="Heading5"/>
        <w:rPr>
          <w:snapToGrid w:val="0"/>
        </w:rPr>
      </w:pPr>
      <w:bookmarkStart w:id="179" w:name="_Toc454867091"/>
      <w:bookmarkStart w:id="180" w:name="_Toc13116998"/>
      <w:bookmarkStart w:id="181" w:name="_Toc170210151"/>
      <w:r>
        <w:rPr>
          <w:rStyle w:val="CharSectno"/>
        </w:rPr>
        <w:t>26</w:t>
      </w:r>
      <w:r>
        <w:rPr>
          <w:snapToGrid w:val="0"/>
        </w:rPr>
        <w:t>.</w:t>
      </w:r>
      <w:r>
        <w:rPr>
          <w:snapToGrid w:val="0"/>
        </w:rPr>
        <w:tab/>
        <w:t>Department not bound to find storage accommodation</w:t>
      </w:r>
      <w:bookmarkEnd w:id="179"/>
      <w:bookmarkEnd w:id="180"/>
      <w:bookmarkEnd w:id="181"/>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182" w:name="_Toc454867092"/>
      <w:bookmarkStart w:id="183" w:name="_Toc13116999"/>
      <w:bookmarkStart w:id="184" w:name="_Toc170210152"/>
      <w:r>
        <w:rPr>
          <w:rStyle w:val="CharSectno"/>
        </w:rPr>
        <w:t>27</w:t>
      </w:r>
      <w:r>
        <w:rPr>
          <w:snapToGrid w:val="0"/>
        </w:rPr>
        <w:t>.</w:t>
      </w:r>
      <w:r>
        <w:rPr>
          <w:snapToGrid w:val="0"/>
        </w:rPr>
        <w:tab/>
        <w:t>Goods may be disposed of</w:t>
      </w:r>
      <w:bookmarkEnd w:id="182"/>
      <w:bookmarkEnd w:id="183"/>
      <w:bookmarkEnd w:id="184"/>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rPr>
          <w:snapToGrid w:val="0"/>
        </w:rPr>
      </w:pPr>
      <w:bookmarkStart w:id="185" w:name="_Toc454867093"/>
      <w:bookmarkStart w:id="186" w:name="_Toc13117000"/>
      <w:bookmarkStart w:id="187" w:name="_Toc170210153"/>
      <w:r>
        <w:rPr>
          <w:rStyle w:val="CharSectno"/>
        </w:rPr>
        <w:t>28</w:t>
      </w:r>
      <w:r>
        <w:rPr>
          <w:snapToGrid w:val="0"/>
        </w:rPr>
        <w:t>.</w:t>
      </w:r>
      <w:r>
        <w:rPr>
          <w:snapToGrid w:val="0"/>
        </w:rPr>
        <w:tab/>
        <w:t>Goods to be checked before delivery</w:t>
      </w:r>
      <w:bookmarkEnd w:id="185"/>
      <w:bookmarkEnd w:id="186"/>
      <w:bookmarkEnd w:id="187"/>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188" w:name="_Toc454867094"/>
      <w:bookmarkStart w:id="189" w:name="_Toc13117001"/>
      <w:bookmarkStart w:id="190" w:name="_Toc170210154"/>
      <w:r>
        <w:rPr>
          <w:rStyle w:val="CharSectno"/>
        </w:rPr>
        <w:t>29</w:t>
      </w:r>
      <w:r>
        <w:rPr>
          <w:snapToGrid w:val="0"/>
        </w:rPr>
        <w:t>.</w:t>
      </w:r>
      <w:r>
        <w:rPr>
          <w:snapToGrid w:val="0"/>
        </w:rPr>
        <w:tab/>
        <w:t>Delay in delivery</w:t>
      </w:r>
      <w:bookmarkEnd w:id="188"/>
      <w:bookmarkEnd w:id="189"/>
      <w:bookmarkEnd w:id="190"/>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191" w:name="_Toc454867095"/>
      <w:bookmarkStart w:id="192" w:name="_Toc13117002"/>
      <w:bookmarkStart w:id="193" w:name="_Toc170210155"/>
      <w:r>
        <w:rPr>
          <w:rStyle w:val="CharSectno"/>
        </w:rPr>
        <w:t>30</w:t>
      </w:r>
      <w:r>
        <w:rPr>
          <w:snapToGrid w:val="0"/>
        </w:rPr>
        <w:t>.</w:t>
      </w:r>
      <w:r>
        <w:rPr>
          <w:snapToGrid w:val="0"/>
        </w:rPr>
        <w:tab/>
        <w:t>Wrong delivery</w:t>
      </w:r>
      <w:bookmarkEnd w:id="191"/>
      <w:bookmarkEnd w:id="192"/>
      <w:bookmarkEnd w:id="193"/>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194" w:name="_Toc81295443"/>
      <w:bookmarkStart w:id="195" w:name="_Toc92097399"/>
      <w:bookmarkStart w:id="196" w:name="_Toc92858852"/>
      <w:bookmarkStart w:id="197" w:name="_Toc94070462"/>
      <w:bookmarkStart w:id="198" w:name="_Toc95554102"/>
      <w:bookmarkStart w:id="199" w:name="_Toc95559315"/>
      <w:bookmarkStart w:id="200" w:name="_Toc97361700"/>
      <w:bookmarkStart w:id="201" w:name="_Toc97362052"/>
      <w:bookmarkStart w:id="202" w:name="_Toc97530705"/>
      <w:bookmarkStart w:id="203" w:name="_Toc97539177"/>
      <w:bookmarkStart w:id="204" w:name="_Toc98562972"/>
      <w:bookmarkStart w:id="205" w:name="_Toc99266361"/>
      <w:bookmarkStart w:id="206" w:name="_Toc102390882"/>
      <w:bookmarkStart w:id="207" w:name="_Toc170210156"/>
      <w:r>
        <w:rPr>
          <w:rStyle w:val="CharDivNo"/>
        </w:rPr>
        <w:t>Division 7</w:t>
      </w:r>
      <w:r>
        <w:rPr>
          <w:snapToGrid w:val="0"/>
        </w:rPr>
        <w:t> — </w:t>
      </w:r>
      <w:r>
        <w:rPr>
          <w:rStyle w:val="CharDivText"/>
        </w:rPr>
        <w:t>Responsibility of Department</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DivText"/>
        </w:rPr>
        <w:t xml:space="preserve"> </w:t>
      </w:r>
    </w:p>
    <w:p>
      <w:pPr>
        <w:pStyle w:val="Footnotesection"/>
      </w:pPr>
      <w:r>
        <w:tab/>
        <w:t xml:space="preserve">[Heading inserted in Gazette of 19 May 1989 p. 1494.] </w:t>
      </w:r>
    </w:p>
    <w:p>
      <w:pPr>
        <w:pStyle w:val="Heading5"/>
        <w:rPr>
          <w:snapToGrid w:val="0"/>
        </w:rPr>
      </w:pPr>
      <w:bookmarkStart w:id="208" w:name="_Toc454867096"/>
      <w:bookmarkStart w:id="209" w:name="_Toc13117003"/>
      <w:bookmarkStart w:id="210" w:name="_Toc170210157"/>
      <w:r>
        <w:rPr>
          <w:rStyle w:val="CharSectno"/>
        </w:rPr>
        <w:t>31</w:t>
      </w:r>
      <w:r>
        <w:rPr>
          <w:snapToGrid w:val="0"/>
        </w:rPr>
        <w:t>.</w:t>
      </w:r>
      <w:r>
        <w:rPr>
          <w:snapToGrid w:val="0"/>
        </w:rPr>
        <w:tab/>
        <w:t>Custody of cargo</w:t>
      </w:r>
      <w:bookmarkEnd w:id="208"/>
      <w:bookmarkEnd w:id="209"/>
      <w:bookmarkEnd w:id="210"/>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211" w:name="_Toc454867097"/>
      <w:bookmarkStart w:id="212" w:name="_Toc13117004"/>
      <w:bookmarkStart w:id="213" w:name="_Toc170210158"/>
      <w:r>
        <w:rPr>
          <w:rStyle w:val="CharSectno"/>
        </w:rPr>
        <w:t>32</w:t>
      </w:r>
      <w:r>
        <w:rPr>
          <w:snapToGrid w:val="0"/>
        </w:rPr>
        <w:t>.</w:t>
      </w:r>
      <w:r>
        <w:rPr>
          <w:snapToGrid w:val="0"/>
        </w:rPr>
        <w:tab/>
        <w:t>Goods without receipts</w:t>
      </w:r>
      <w:bookmarkEnd w:id="211"/>
      <w:bookmarkEnd w:id="212"/>
      <w:bookmarkEnd w:id="213"/>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214" w:name="_Toc454867098"/>
      <w:bookmarkStart w:id="215" w:name="_Toc13117005"/>
      <w:bookmarkStart w:id="216" w:name="_Toc170210159"/>
      <w:r>
        <w:rPr>
          <w:rStyle w:val="CharSectno"/>
        </w:rPr>
        <w:t>33</w:t>
      </w:r>
      <w:r>
        <w:rPr>
          <w:snapToGrid w:val="0"/>
        </w:rPr>
        <w:t>.</w:t>
      </w:r>
      <w:r>
        <w:rPr>
          <w:snapToGrid w:val="0"/>
        </w:rPr>
        <w:tab/>
        <w:t>Goods stacked on jetties</w:t>
      </w:r>
      <w:bookmarkEnd w:id="214"/>
      <w:bookmarkEnd w:id="215"/>
      <w:bookmarkEnd w:id="216"/>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217" w:name="_Toc454867099"/>
      <w:bookmarkStart w:id="218" w:name="_Toc13117006"/>
      <w:bookmarkStart w:id="219" w:name="_Toc170210160"/>
      <w:r>
        <w:rPr>
          <w:rStyle w:val="CharSectno"/>
        </w:rPr>
        <w:t>34</w:t>
      </w:r>
      <w:r>
        <w:rPr>
          <w:snapToGrid w:val="0"/>
        </w:rPr>
        <w:t>.</w:t>
      </w:r>
      <w:r>
        <w:rPr>
          <w:snapToGrid w:val="0"/>
        </w:rPr>
        <w:tab/>
        <w:t>Cargo damaged by fire, etc.</w:t>
      </w:r>
      <w:bookmarkEnd w:id="217"/>
      <w:bookmarkEnd w:id="218"/>
      <w:bookmarkEnd w:id="219"/>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220" w:name="_Toc454867100"/>
      <w:bookmarkStart w:id="221" w:name="_Toc13117007"/>
      <w:bookmarkStart w:id="222" w:name="_Toc170210161"/>
      <w:r>
        <w:rPr>
          <w:rStyle w:val="CharSectno"/>
        </w:rPr>
        <w:t>35</w:t>
      </w:r>
      <w:r>
        <w:rPr>
          <w:snapToGrid w:val="0"/>
        </w:rPr>
        <w:t>.</w:t>
      </w:r>
      <w:r>
        <w:rPr>
          <w:snapToGrid w:val="0"/>
        </w:rPr>
        <w:tab/>
        <w:t>Goods insufficiently packed</w:t>
      </w:r>
      <w:bookmarkEnd w:id="220"/>
      <w:bookmarkEnd w:id="221"/>
      <w:bookmarkEnd w:id="222"/>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223" w:name="_Toc454867101"/>
      <w:bookmarkStart w:id="224" w:name="_Toc13117008"/>
      <w:bookmarkStart w:id="225" w:name="_Toc170210162"/>
      <w:r>
        <w:rPr>
          <w:rStyle w:val="CharSectno"/>
        </w:rPr>
        <w:t>36</w:t>
      </w:r>
      <w:r>
        <w:rPr>
          <w:snapToGrid w:val="0"/>
        </w:rPr>
        <w:t>.</w:t>
      </w:r>
      <w:r>
        <w:rPr>
          <w:snapToGrid w:val="0"/>
        </w:rPr>
        <w:tab/>
        <w:t>Claims in respect of cargo</w:t>
      </w:r>
      <w:bookmarkEnd w:id="223"/>
      <w:bookmarkEnd w:id="224"/>
      <w:bookmarkEnd w:id="225"/>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recognized by the Department, which form will be supplied on application.</w:t>
      </w:r>
    </w:p>
    <w:p>
      <w:pPr>
        <w:pStyle w:val="Footnotesection"/>
      </w:pPr>
      <w:r>
        <w:tab/>
        <w:t xml:space="preserve">[Regulation 36 amended in Gazette 24 Nov 1972 p. 4487; 19 May 1989 p. 1495.] </w:t>
      </w:r>
    </w:p>
    <w:p>
      <w:pPr>
        <w:pStyle w:val="Heading3"/>
        <w:rPr>
          <w:snapToGrid w:val="0"/>
        </w:rPr>
      </w:pPr>
      <w:bookmarkStart w:id="226" w:name="_Toc81295450"/>
      <w:bookmarkStart w:id="227" w:name="_Toc92097406"/>
      <w:bookmarkStart w:id="228" w:name="_Toc92858859"/>
      <w:bookmarkStart w:id="229" w:name="_Toc94070469"/>
      <w:bookmarkStart w:id="230" w:name="_Toc95554109"/>
      <w:bookmarkStart w:id="231" w:name="_Toc95559322"/>
      <w:bookmarkStart w:id="232" w:name="_Toc97361707"/>
      <w:bookmarkStart w:id="233" w:name="_Toc97362059"/>
      <w:bookmarkStart w:id="234" w:name="_Toc97530712"/>
      <w:bookmarkStart w:id="235" w:name="_Toc97539184"/>
      <w:bookmarkStart w:id="236" w:name="_Toc98562979"/>
      <w:bookmarkStart w:id="237" w:name="_Toc99266368"/>
      <w:bookmarkStart w:id="238" w:name="_Toc102390889"/>
      <w:bookmarkStart w:id="239" w:name="_Toc170210163"/>
      <w:r>
        <w:rPr>
          <w:rStyle w:val="CharDivNo"/>
        </w:rPr>
        <w:t>Division 8</w:t>
      </w:r>
      <w:r>
        <w:rPr>
          <w:snapToGrid w:val="0"/>
        </w:rPr>
        <w:t> — </w:t>
      </w:r>
      <w:r>
        <w:rPr>
          <w:rStyle w:val="CharDivText"/>
        </w:rPr>
        <w:t>Working hours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DivText"/>
        </w:rPr>
        <w:t xml:space="preserve"> </w:t>
      </w:r>
    </w:p>
    <w:p>
      <w:pPr>
        <w:pStyle w:val="Footnotesection"/>
      </w:pPr>
      <w:r>
        <w:tab/>
        <w:t xml:space="preserve">[Heading inserted in Gazette 19 May 1989 p. 1494.] </w:t>
      </w:r>
    </w:p>
    <w:p>
      <w:pPr>
        <w:pStyle w:val="Heading5"/>
        <w:rPr>
          <w:snapToGrid w:val="0"/>
        </w:rPr>
      </w:pPr>
      <w:bookmarkStart w:id="240" w:name="_Toc454867102"/>
      <w:bookmarkStart w:id="241" w:name="_Toc13117009"/>
      <w:bookmarkStart w:id="242" w:name="_Toc170210164"/>
      <w:r>
        <w:rPr>
          <w:rStyle w:val="CharSectno"/>
        </w:rPr>
        <w:t>37</w:t>
      </w:r>
      <w:r>
        <w:rPr>
          <w:snapToGrid w:val="0"/>
        </w:rPr>
        <w:t>.</w:t>
      </w:r>
      <w:r>
        <w:rPr>
          <w:snapToGrid w:val="0"/>
        </w:rPr>
        <w:tab/>
        <w:t>Ordinary time</w:t>
      </w:r>
      <w:bookmarkEnd w:id="240"/>
      <w:bookmarkEnd w:id="241"/>
      <w:bookmarkEnd w:id="242"/>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243" w:name="_Toc454867103"/>
      <w:bookmarkStart w:id="244" w:name="_Toc13117010"/>
      <w:bookmarkStart w:id="245" w:name="_Toc170210165"/>
      <w:r>
        <w:rPr>
          <w:rStyle w:val="CharSectno"/>
        </w:rPr>
        <w:t>38</w:t>
      </w:r>
      <w:r>
        <w:rPr>
          <w:snapToGrid w:val="0"/>
        </w:rPr>
        <w:t>.</w:t>
      </w:r>
      <w:r>
        <w:rPr>
          <w:snapToGrid w:val="0"/>
        </w:rPr>
        <w:tab/>
        <w:t>Overtime</w:t>
      </w:r>
      <w:bookmarkEnd w:id="243"/>
      <w:bookmarkEnd w:id="244"/>
      <w:bookmarkEnd w:id="245"/>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246" w:name="_Toc454867104"/>
      <w:bookmarkStart w:id="247" w:name="_Toc13117011"/>
      <w:bookmarkStart w:id="248" w:name="_Toc170210166"/>
      <w:r>
        <w:rPr>
          <w:rStyle w:val="CharSectno"/>
        </w:rPr>
        <w:t>38A</w:t>
      </w:r>
      <w:r>
        <w:rPr>
          <w:snapToGrid w:val="0"/>
        </w:rPr>
        <w:t>.</w:t>
      </w:r>
      <w:r>
        <w:rPr>
          <w:snapToGrid w:val="0"/>
        </w:rPr>
        <w:tab/>
        <w:t>Wages incurred through ships’ delays to be paid for</w:t>
      </w:r>
      <w:bookmarkEnd w:id="246"/>
      <w:bookmarkEnd w:id="247"/>
      <w:bookmarkEnd w:id="248"/>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249" w:name="_Toc454867105"/>
      <w:bookmarkStart w:id="250" w:name="_Toc13117012"/>
      <w:bookmarkStart w:id="251" w:name="_Toc170210167"/>
      <w:r>
        <w:rPr>
          <w:rStyle w:val="CharSectno"/>
        </w:rPr>
        <w:t>39</w:t>
      </w:r>
      <w:r>
        <w:rPr>
          <w:snapToGrid w:val="0"/>
        </w:rPr>
        <w:t>.</w:t>
      </w:r>
      <w:r>
        <w:rPr>
          <w:snapToGrid w:val="0"/>
        </w:rPr>
        <w:tab/>
        <w:t>Master to give notice of desire to work</w:t>
      </w:r>
      <w:bookmarkEnd w:id="249"/>
      <w:bookmarkEnd w:id="250"/>
      <w:bookmarkEnd w:id="251"/>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252" w:name="_Toc81295455"/>
      <w:bookmarkStart w:id="253" w:name="_Toc92097411"/>
      <w:bookmarkStart w:id="254" w:name="_Toc92858864"/>
      <w:bookmarkStart w:id="255" w:name="_Toc94070474"/>
      <w:bookmarkStart w:id="256" w:name="_Toc95554114"/>
      <w:bookmarkStart w:id="257" w:name="_Toc95559327"/>
      <w:bookmarkStart w:id="258" w:name="_Toc97361712"/>
      <w:bookmarkStart w:id="259" w:name="_Toc97362064"/>
      <w:bookmarkStart w:id="260" w:name="_Toc97530717"/>
      <w:bookmarkStart w:id="261" w:name="_Toc97539189"/>
      <w:bookmarkStart w:id="262" w:name="_Toc98562984"/>
      <w:bookmarkStart w:id="263" w:name="_Toc99266373"/>
      <w:bookmarkStart w:id="264" w:name="_Toc102390894"/>
      <w:bookmarkStart w:id="265" w:name="_Toc170210168"/>
      <w:r>
        <w:rPr>
          <w:rStyle w:val="CharDivNo"/>
        </w:rPr>
        <w:t>Division 9</w:t>
      </w:r>
      <w:r>
        <w:rPr>
          <w:snapToGrid w:val="0"/>
        </w:rPr>
        <w:t> — </w:t>
      </w:r>
      <w:r>
        <w:rPr>
          <w:rStyle w:val="CharDivText"/>
        </w:rPr>
        <w:t>Livestock or vehicles on jetties or premises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Style w:val="CharDivText"/>
        </w:rPr>
        <w:t xml:space="preserve"> </w:t>
      </w:r>
    </w:p>
    <w:p>
      <w:pPr>
        <w:pStyle w:val="Footnotesection"/>
      </w:pPr>
      <w:r>
        <w:tab/>
        <w:t xml:space="preserve">[Heading inserted in Gazette 19 May 1989 p. 1494.] </w:t>
      </w:r>
    </w:p>
    <w:p>
      <w:pPr>
        <w:pStyle w:val="Heading5"/>
        <w:rPr>
          <w:snapToGrid w:val="0"/>
        </w:rPr>
      </w:pPr>
      <w:bookmarkStart w:id="266" w:name="_Toc454867106"/>
      <w:bookmarkStart w:id="267" w:name="_Toc13117013"/>
      <w:bookmarkStart w:id="268" w:name="_Toc170210169"/>
      <w:r>
        <w:rPr>
          <w:rStyle w:val="CharSectno"/>
        </w:rPr>
        <w:t>40</w:t>
      </w:r>
      <w:r>
        <w:rPr>
          <w:snapToGrid w:val="0"/>
        </w:rPr>
        <w:t>.</w:t>
      </w:r>
      <w:r>
        <w:rPr>
          <w:snapToGrid w:val="0"/>
        </w:rPr>
        <w:tab/>
        <w:t>Livestock on jetties or premises</w:t>
      </w:r>
      <w:bookmarkEnd w:id="266"/>
      <w:bookmarkEnd w:id="267"/>
      <w:bookmarkEnd w:id="268"/>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269" w:name="_Toc454867107"/>
      <w:bookmarkStart w:id="270" w:name="_Toc13117014"/>
      <w:bookmarkStart w:id="271" w:name="_Toc170210170"/>
      <w:r>
        <w:rPr>
          <w:rStyle w:val="CharSectno"/>
        </w:rPr>
        <w:t>41</w:t>
      </w:r>
      <w:r>
        <w:rPr>
          <w:snapToGrid w:val="0"/>
        </w:rPr>
        <w:t>.</w:t>
      </w:r>
      <w:r>
        <w:rPr>
          <w:snapToGrid w:val="0"/>
        </w:rPr>
        <w:tab/>
        <w:t>Riding vehicles, etc., on jetties or premises</w:t>
      </w:r>
      <w:bookmarkEnd w:id="269"/>
      <w:bookmarkEnd w:id="270"/>
      <w:bookmarkEnd w:id="271"/>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spacing w:before="120"/>
        <w:rPr>
          <w:snapToGrid w:val="0"/>
        </w:rPr>
      </w:pPr>
      <w:bookmarkStart w:id="272" w:name="_Toc454867108"/>
      <w:bookmarkStart w:id="273" w:name="_Toc13117015"/>
      <w:bookmarkStart w:id="274" w:name="_Toc170210171"/>
      <w:r>
        <w:rPr>
          <w:rStyle w:val="CharSectno"/>
        </w:rPr>
        <w:t>41A</w:t>
      </w:r>
      <w:r>
        <w:rPr>
          <w:snapToGrid w:val="0"/>
        </w:rPr>
        <w:t>.</w:t>
      </w:r>
      <w:r>
        <w:rPr>
          <w:snapToGrid w:val="0"/>
        </w:rPr>
        <w:tab/>
        <w:t>Vehicles not to be parked on jetties</w:t>
      </w:r>
      <w:bookmarkEnd w:id="272"/>
      <w:bookmarkEnd w:id="273"/>
      <w:bookmarkEnd w:id="274"/>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spacing w:before="120"/>
        <w:rPr>
          <w:snapToGrid w:val="0"/>
        </w:rPr>
      </w:pPr>
      <w:bookmarkStart w:id="275" w:name="_Toc454867109"/>
      <w:bookmarkStart w:id="276" w:name="_Toc13117016"/>
      <w:bookmarkStart w:id="277" w:name="_Toc170210172"/>
      <w:r>
        <w:rPr>
          <w:rStyle w:val="CharSectno"/>
        </w:rPr>
        <w:t>41B</w:t>
      </w:r>
      <w:r>
        <w:rPr>
          <w:snapToGrid w:val="0"/>
        </w:rPr>
        <w:t>.</w:t>
      </w:r>
      <w:r>
        <w:rPr>
          <w:snapToGrid w:val="0"/>
        </w:rPr>
        <w:tab/>
        <w:t>Department not responsible for vehicles on jetties</w:t>
      </w:r>
      <w:bookmarkEnd w:id="275"/>
      <w:bookmarkEnd w:id="276"/>
      <w:bookmarkEnd w:id="277"/>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278" w:name="_Toc454867110"/>
      <w:bookmarkStart w:id="279" w:name="_Toc13117017"/>
      <w:bookmarkStart w:id="280" w:name="_Toc170210173"/>
      <w:r>
        <w:rPr>
          <w:rStyle w:val="CharSectno"/>
        </w:rPr>
        <w:t>42</w:t>
      </w:r>
      <w:r>
        <w:rPr>
          <w:snapToGrid w:val="0"/>
        </w:rPr>
        <w:t>.</w:t>
      </w:r>
      <w:r>
        <w:rPr>
          <w:snapToGrid w:val="0"/>
        </w:rPr>
        <w:tab/>
        <w:t>Drivers of vehicles to obey instructions</w:t>
      </w:r>
      <w:bookmarkEnd w:id="278"/>
      <w:bookmarkEnd w:id="279"/>
      <w:bookmarkEnd w:id="280"/>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rPr>
          <w:snapToGrid w:val="0"/>
        </w:rPr>
      </w:pPr>
      <w:bookmarkStart w:id="281" w:name="_Toc454867111"/>
      <w:bookmarkStart w:id="282" w:name="_Toc13117018"/>
      <w:bookmarkStart w:id="283" w:name="_Toc170210174"/>
      <w:r>
        <w:rPr>
          <w:rStyle w:val="CharSectno"/>
        </w:rPr>
        <w:t>43</w:t>
      </w:r>
      <w:r>
        <w:rPr>
          <w:snapToGrid w:val="0"/>
        </w:rPr>
        <w:t>.</w:t>
      </w:r>
      <w:r>
        <w:rPr>
          <w:snapToGrid w:val="0"/>
        </w:rPr>
        <w:tab/>
        <w:t>Persons not to be on jetties when livestock is being handled</w:t>
      </w:r>
      <w:bookmarkEnd w:id="281"/>
      <w:bookmarkEnd w:id="282"/>
      <w:bookmarkEnd w:id="283"/>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rPr>
          <w:snapToGrid w:val="0"/>
        </w:rPr>
      </w:pPr>
      <w:bookmarkStart w:id="284" w:name="_Toc81295462"/>
      <w:bookmarkStart w:id="285" w:name="_Toc92097418"/>
      <w:bookmarkStart w:id="286" w:name="_Toc92858871"/>
      <w:bookmarkStart w:id="287" w:name="_Toc94070481"/>
      <w:bookmarkStart w:id="288" w:name="_Toc95554121"/>
      <w:bookmarkStart w:id="289" w:name="_Toc95559334"/>
      <w:bookmarkStart w:id="290" w:name="_Toc97361719"/>
      <w:bookmarkStart w:id="291" w:name="_Toc97362071"/>
      <w:bookmarkStart w:id="292" w:name="_Toc97530724"/>
      <w:bookmarkStart w:id="293" w:name="_Toc97539196"/>
      <w:bookmarkStart w:id="294" w:name="_Toc98562991"/>
      <w:bookmarkStart w:id="295" w:name="_Toc99266380"/>
      <w:bookmarkStart w:id="296" w:name="_Toc102390901"/>
      <w:bookmarkStart w:id="297" w:name="_Toc170210175"/>
      <w:r>
        <w:rPr>
          <w:rStyle w:val="CharDivNo"/>
        </w:rPr>
        <w:t>Division 10</w:t>
      </w:r>
      <w:r>
        <w:rPr>
          <w:snapToGrid w:val="0"/>
        </w:rPr>
        <w:t> — </w:t>
      </w:r>
      <w:r>
        <w:rPr>
          <w:rStyle w:val="CharDivText"/>
        </w:rPr>
        <w:t>Miscellaneous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DivText"/>
        </w:rPr>
        <w:t xml:space="preserve"> </w:t>
      </w:r>
    </w:p>
    <w:p>
      <w:pPr>
        <w:pStyle w:val="Footnotesection"/>
      </w:pPr>
      <w:r>
        <w:tab/>
        <w:t xml:space="preserve">[Heading inserted in Gazette 19 May 1989 p. 1494.] </w:t>
      </w:r>
    </w:p>
    <w:p>
      <w:pPr>
        <w:pStyle w:val="Heading5"/>
        <w:rPr>
          <w:snapToGrid w:val="0"/>
        </w:rPr>
      </w:pPr>
      <w:bookmarkStart w:id="298" w:name="_Toc454867112"/>
      <w:bookmarkStart w:id="299" w:name="_Toc13117019"/>
      <w:bookmarkStart w:id="300" w:name="_Toc170210176"/>
      <w:r>
        <w:rPr>
          <w:rStyle w:val="CharSectno"/>
        </w:rPr>
        <w:t>44</w:t>
      </w:r>
      <w:r>
        <w:rPr>
          <w:snapToGrid w:val="0"/>
        </w:rPr>
        <w:t>.</w:t>
      </w:r>
      <w:r>
        <w:rPr>
          <w:snapToGrid w:val="0"/>
        </w:rPr>
        <w:tab/>
        <w:t>Bill posting, defacement and obscenity</w:t>
      </w:r>
      <w:bookmarkEnd w:id="298"/>
      <w:bookmarkEnd w:id="299"/>
      <w:bookmarkEnd w:id="300"/>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301" w:name="_Toc454867113"/>
      <w:bookmarkStart w:id="302" w:name="_Toc13117020"/>
      <w:bookmarkStart w:id="303" w:name="_Toc170210177"/>
      <w:r>
        <w:rPr>
          <w:rStyle w:val="CharSectno"/>
        </w:rPr>
        <w:t>45</w:t>
      </w:r>
      <w:r>
        <w:rPr>
          <w:snapToGrid w:val="0"/>
        </w:rPr>
        <w:t>.</w:t>
      </w:r>
      <w:r>
        <w:rPr>
          <w:snapToGrid w:val="0"/>
        </w:rPr>
        <w:tab/>
        <w:t>Disorderly persons</w:t>
      </w:r>
      <w:bookmarkEnd w:id="301"/>
      <w:bookmarkEnd w:id="302"/>
      <w:bookmarkEnd w:id="303"/>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304" w:name="_Toc454867114"/>
      <w:bookmarkStart w:id="305" w:name="_Toc13117021"/>
      <w:bookmarkStart w:id="306" w:name="_Toc170210178"/>
      <w:r>
        <w:rPr>
          <w:rStyle w:val="CharSectno"/>
        </w:rPr>
        <w:t>46</w:t>
      </w:r>
      <w:r>
        <w:rPr>
          <w:snapToGrid w:val="0"/>
        </w:rPr>
        <w:t>.</w:t>
      </w:r>
      <w:r>
        <w:rPr>
          <w:snapToGrid w:val="0"/>
        </w:rPr>
        <w:tab/>
        <w:t>Fires not to be lit</w:t>
      </w:r>
      <w:bookmarkEnd w:id="304"/>
      <w:bookmarkEnd w:id="305"/>
      <w:bookmarkEnd w:id="306"/>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307" w:name="_Toc454867115"/>
      <w:bookmarkStart w:id="308" w:name="_Toc13117022"/>
      <w:bookmarkStart w:id="309" w:name="_Toc170210179"/>
      <w:r>
        <w:rPr>
          <w:rStyle w:val="CharSectno"/>
        </w:rPr>
        <w:t>47</w:t>
      </w:r>
      <w:r>
        <w:rPr>
          <w:snapToGrid w:val="0"/>
        </w:rPr>
        <w:t>.</w:t>
      </w:r>
      <w:r>
        <w:rPr>
          <w:snapToGrid w:val="0"/>
        </w:rPr>
        <w:tab/>
        <w:t>Gates to be shut</w:t>
      </w:r>
      <w:bookmarkEnd w:id="307"/>
      <w:bookmarkEnd w:id="308"/>
      <w:bookmarkEnd w:id="309"/>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310" w:name="_Toc454867116"/>
      <w:bookmarkStart w:id="311" w:name="_Toc13117023"/>
      <w:bookmarkStart w:id="312" w:name="_Toc170210180"/>
      <w:r>
        <w:rPr>
          <w:rStyle w:val="CharSectno"/>
        </w:rPr>
        <w:t>48</w:t>
      </w:r>
      <w:r>
        <w:rPr>
          <w:snapToGrid w:val="0"/>
        </w:rPr>
        <w:t>.</w:t>
      </w:r>
      <w:r>
        <w:rPr>
          <w:snapToGrid w:val="0"/>
        </w:rPr>
        <w:tab/>
        <w:t>Interference with lights</w:t>
      </w:r>
      <w:bookmarkEnd w:id="310"/>
      <w:bookmarkEnd w:id="311"/>
      <w:bookmarkEnd w:id="312"/>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313" w:name="_Toc454867117"/>
      <w:bookmarkStart w:id="314" w:name="_Toc13117024"/>
      <w:bookmarkStart w:id="315" w:name="_Toc170210181"/>
      <w:r>
        <w:rPr>
          <w:rStyle w:val="CharSectno"/>
        </w:rPr>
        <w:t>49</w:t>
      </w:r>
      <w:r>
        <w:rPr>
          <w:snapToGrid w:val="0"/>
        </w:rPr>
        <w:t>.</w:t>
      </w:r>
      <w:r>
        <w:rPr>
          <w:snapToGrid w:val="0"/>
        </w:rPr>
        <w:tab/>
        <w:t>Interference with or damaging property</w:t>
      </w:r>
      <w:bookmarkEnd w:id="313"/>
      <w:bookmarkEnd w:id="314"/>
      <w:bookmarkEnd w:id="315"/>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 — </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316" w:name="_Toc454867118"/>
      <w:bookmarkStart w:id="317" w:name="_Toc13117025"/>
      <w:bookmarkStart w:id="318" w:name="_Toc170210182"/>
      <w:r>
        <w:rPr>
          <w:rStyle w:val="CharSectno"/>
        </w:rPr>
        <w:t>50</w:t>
      </w:r>
      <w:r>
        <w:rPr>
          <w:snapToGrid w:val="0"/>
        </w:rPr>
        <w:t>.</w:t>
      </w:r>
      <w:r>
        <w:rPr>
          <w:snapToGrid w:val="0"/>
        </w:rPr>
        <w:tab/>
        <w:t>Lost property</w:t>
      </w:r>
      <w:bookmarkEnd w:id="316"/>
      <w:bookmarkEnd w:id="317"/>
      <w:bookmarkEnd w:id="318"/>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319" w:name="_Toc454867119"/>
      <w:bookmarkStart w:id="320" w:name="_Toc13117026"/>
      <w:bookmarkStart w:id="321" w:name="_Toc170210183"/>
      <w:r>
        <w:rPr>
          <w:rStyle w:val="CharSectno"/>
        </w:rPr>
        <w:t>51</w:t>
      </w:r>
      <w:r>
        <w:rPr>
          <w:snapToGrid w:val="0"/>
        </w:rPr>
        <w:t>.</w:t>
      </w:r>
      <w:r>
        <w:rPr>
          <w:snapToGrid w:val="0"/>
        </w:rPr>
        <w:tab/>
        <w:t>Obstruction of officers, or premises</w:t>
      </w:r>
      <w:bookmarkEnd w:id="319"/>
      <w:bookmarkEnd w:id="320"/>
      <w:bookmarkEnd w:id="321"/>
      <w:r>
        <w:rPr>
          <w:snapToGrid w:val="0"/>
        </w:rPr>
        <w:t xml:space="preserve"> </w:t>
      </w:r>
    </w:p>
    <w:p>
      <w:pPr>
        <w:pStyle w:val="Subsection"/>
        <w:keepNext/>
        <w:keepLines/>
        <w:spacing w:before="100"/>
        <w:rPr>
          <w:snapToGrid w:val="0"/>
        </w:rPr>
      </w:pPr>
      <w:r>
        <w:rPr>
          <w:snapToGrid w:val="0"/>
        </w:rPr>
        <w:tab/>
      </w:r>
      <w:r>
        <w:rPr>
          <w:snapToGrid w:val="0"/>
        </w:rPr>
        <w:tab/>
        <w:t>No person shall do, attempt to do, assist or aid in doing, cause or procure to be done, any of the following things: — </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322" w:name="_Toc454867120"/>
      <w:bookmarkStart w:id="323" w:name="_Toc13117027"/>
      <w:bookmarkStart w:id="324" w:name="_Toc170210184"/>
      <w:r>
        <w:rPr>
          <w:rStyle w:val="CharSectno"/>
        </w:rPr>
        <w:t>52</w:t>
      </w:r>
      <w:r>
        <w:rPr>
          <w:snapToGrid w:val="0"/>
        </w:rPr>
        <w:t>.</w:t>
      </w:r>
      <w:r>
        <w:rPr>
          <w:snapToGrid w:val="0"/>
        </w:rPr>
        <w:tab/>
        <w:t>Obstruction of or damage to jetties or premises</w:t>
      </w:r>
      <w:bookmarkEnd w:id="322"/>
      <w:bookmarkEnd w:id="323"/>
      <w:bookmarkEnd w:id="324"/>
      <w:r>
        <w:rPr>
          <w:snapToGrid w:val="0"/>
        </w:rPr>
        <w:t xml:space="preserve"> </w:t>
      </w:r>
    </w:p>
    <w:p>
      <w:pPr>
        <w:pStyle w:val="Subsection"/>
        <w:keepNext/>
        <w:keepLines/>
        <w:spacing w:before="100"/>
        <w:rPr>
          <w:snapToGrid w:val="0"/>
        </w:rPr>
      </w:pPr>
      <w:r>
        <w:rPr>
          <w:snapToGrid w:val="0"/>
        </w:rPr>
        <w:tab/>
      </w:r>
      <w:r>
        <w:rPr>
          <w:snapToGrid w:val="0"/>
        </w:rPr>
        <w:tab/>
        <w:t>No person, without having lawful authority or written permission from the officer in charge of any jetty, shall cause or procure to be done any of the following acts: — </w:t>
      </w:r>
    </w:p>
    <w:p>
      <w:pPr>
        <w:pStyle w:val="Indenta"/>
        <w:spacing w:before="60"/>
        <w:rPr>
          <w:snapToGrid w:val="0"/>
        </w:rPr>
      </w:pPr>
      <w:r>
        <w:rPr>
          <w:snapToGrid w:val="0"/>
        </w:rPr>
        <w:tab/>
        <w:t>(a)</w:t>
      </w:r>
      <w:r>
        <w:rPr>
          <w:snapToGrid w:val="0"/>
        </w:rPr>
        <w:tab/>
        <w:t>encroach upon any jetty or premises of the Department by making any building, fence, ditch, or other obstacle thereon;</w:t>
      </w:r>
    </w:p>
    <w:p>
      <w:pPr>
        <w:pStyle w:val="Indenta"/>
        <w:spacing w:before="60"/>
        <w:rPr>
          <w:snapToGrid w:val="0"/>
        </w:rPr>
      </w:pPr>
      <w:r>
        <w:rPr>
          <w:snapToGrid w:val="0"/>
        </w:rPr>
        <w:tab/>
        <w:t>(b)</w:t>
      </w:r>
      <w:r>
        <w:rPr>
          <w:snapToGrid w:val="0"/>
        </w:rPr>
        <w:tab/>
        <w:t>damage, dig up, destroy, remove, or alter in any way the material or soil thereof;</w:t>
      </w:r>
    </w:p>
    <w:p>
      <w:pPr>
        <w:pStyle w:val="Indenta"/>
        <w:spacing w:before="60"/>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spacing w:before="60"/>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325" w:name="_Toc454867121"/>
      <w:bookmarkStart w:id="326" w:name="_Toc13117028"/>
      <w:bookmarkStart w:id="327" w:name="_Toc170210185"/>
      <w:r>
        <w:rPr>
          <w:rStyle w:val="CharSectno"/>
        </w:rPr>
        <w:t>53</w:t>
      </w:r>
      <w:r>
        <w:rPr>
          <w:snapToGrid w:val="0"/>
        </w:rPr>
        <w:t>.</w:t>
      </w:r>
      <w:r>
        <w:rPr>
          <w:snapToGrid w:val="0"/>
        </w:rPr>
        <w:tab/>
        <w:t>Rubbish, etc., not to be thrown</w:t>
      </w:r>
      <w:bookmarkEnd w:id="325"/>
      <w:bookmarkEnd w:id="326"/>
      <w:bookmarkEnd w:id="327"/>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rPr>
          <w:snapToGrid w:val="0"/>
        </w:rPr>
      </w:pPr>
      <w:bookmarkStart w:id="328" w:name="_Toc454867122"/>
      <w:bookmarkStart w:id="329" w:name="_Toc13117029"/>
      <w:bookmarkStart w:id="330" w:name="_Toc170210186"/>
      <w:r>
        <w:rPr>
          <w:rStyle w:val="CharSectno"/>
        </w:rPr>
        <w:t>54</w:t>
      </w:r>
      <w:r>
        <w:rPr>
          <w:snapToGrid w:val="0"/>
        </w:rPr>
        <w:t>.</w:t>
      </w:r>
      <w:r>
        <w:rPr>
          <w:snapToGrid w:val="0"/>
        </w:rPr>
        <w:tab/>
        <w:t>Sale of articles prohibited</w:t>
      </w:r>
      <w:bookmarkEnd w:id="328"/>
      <w:bookmarkEnd w:id="329"/>
      <w:bookmarkEnd w:id="330"/>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331" w:name="_Toc454867123"/>
      <w:bookmarkStart w:id="332" w:name="_Toc13117030"/>
      <w:bookmarkStart w:id="333" w:name="_Toc170210187"/>
      <w:r>
        <w:rPr>
          <w:rStyle w:val="CharSectno"/>
        </w:rPr>
        <w:t>55</w:t>
      </w:r>
      <w:r>
        <w:rPr>
          <w:snapToGrid w:val="0"/>
        </w:rPr>
        <w:t>.</w:t>
      </w:r>
      <w:r>
        <w:rPr>
          <w:snapToGrid w:val="0"/>
        </w:rPr>
        <w:tab/>
        <w:t>Smoking and loitering</w:t>
      </w:r>
      <w:bookmarkEnd w:id="331"/>
      <w:bookmarkEnd w:id="332"/>
      <w:bookmarkEnd w:id="333"/>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334" w:name="_Toc454867124"/>
      <w:bookmarkStart w:id="335" w:name="_Toc13117031"/>
      <w:bookmarkStart w:id="336" w:name="_Toc170210188"/>
      <w:r>
        <w:rPr>
          <w:rStyle w:val="CharSectno"/>
        </w:rPr>
        <w:t>56</w:t>
      </w:r>
      <w:r>
        <w:rPr>
          <w:snapToGrid w:val="0"/>
        </w:rPr>
        <w:t>.</w:t>
      </w:r>
      <w:r>
        <w:rPr>
          <w:snapToGrid w:val="0"/>
        </w:rPr>
        <w:tab/>
        <w:t>Trespassing</w:t>
      </w:r>
      <w:bookmarkEnd w:id="334"/>
      <w:bookmarkEnd w:id="335"/>
      <w:bookmarkEnd w:id="336"/>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Repealed in Gazette 24 Nov 1972 p. 4487.] </w:t>
      </w:r>
    </w:p>
    <w:p>
      <w:pPr>
        <w:pStyle w:val="Heading5"/>
        <w:rPr>
          <w:snapToGrid w:val="0"/>
        </w:rPr>
      </w:pPr>
      <w:bookmarkStart w:id="337" w:name="_Toc454867125"/>
      <w:bookmarkStart w:id="338" w:name="_Toc13117032"/>
      <w:bookmarkStart w:id="339" w:name="_Toc170210189"/>
      <w:r>
        <w:rPr>
          <w:rStyle w:val="CharSectno"/>
        </w:rPr>
        <w:t>67A</w:t>
      </w:r>
      <w:r>
        <w:rPr>
          <w:snapToGrid w:val="0"/>
        </w:rPr>
        <w:t>.</w:t>
      </w:r>
      <w:r>
        <w:rPr>
          <w:snapToGrid w:val="0"/>
        </w:rPr>
        <w:tab/>
        <w:t>Conditions for construction and installation of pipelines</w:t>
      </w:r>
      <w:bookmarkEnd w:id="337"/>
      <w:bookmarkEnd w:id="338"/>
      <w:bookmarkEnd w:id="339"/>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 — </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340" w:name="_Toc454867126"/>
      <w:bookmarkStart w:id="341" w:name="_Toc13117033"/>
      <w:bookmarkStart w:id="342" w:name="_Toc170210190"/>
      <w:r>
        <w:rPr>
          <w:rStyle w:val="CharSectno"/>
        </w:rPr>
        <w:t>67B</w:t>
      </w:r>
      <w:r>
        <w:rPr>
          <w:snapToGrid w:val="0"/>
        </w:rPr>
        <w:t>.</w:t>
      </w:r>
      <w:r>
        <w:rPr>
          <w:snapToGrid w:val="0"/>
        </w:rPr>
        <w:tab/>
        <w:t>Maintenance and operation of pipelines</w:t>
      </w:r>
      <w:bookmarkEnd w:id="340"/>
      <w:bookmarkEnd w:id="341"/>
      <w:bookmarkEnd w:id="342"/>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 — </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Repealed in Gazette 14 Apr 1966 p. 918.] </w:t>
      </w:r>
    </w:p>
    <w:p>
      <w:pPr>
        <w:pStyle w:val="Heading5"/>
        <w:rPr>
          <w:snapToGrid w:val="0"/>
        </w:rPr>
      </w:pPr>
      <w:bookmarkStart w:id="343" w:name="_Toc454867127"/>
      <w:bookmarkStart w:id="344" w:name="_Toc13117034"/>
      <w:bookmarkStart w:id="345" w:name="_Toc170210191"/>
      <w:r>
        <w:rPr>
          <w:rStyle w:val="CharSectno"/>
        </w:rPr>
        <w:t>67D</w:t>
      </w:r>
      <w:r>
        <w:rPr>
          <w:snapToGrid w:val="0"/>
        </w:rPr>
        <w:t>.</w:t>
      </w:r>
      <w:r>
        <w:rPr>
          <w:snapToGrid w:val="0"/>
        </w:rPr>
        <w:tab/>
        <w:t>Penalty for failure to remove or amend pipeline</w:t>
      </w:r>
      <w:bookmarkEnd w:id="343"/>
      <w:bookmarkEnd w:id="344"/>
      <w:bookmarkEnd w:id="345"/>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2"/>
      </w:pPr>
      <w:bookmarkStart w:id="346" w:name="_Toc81295479"/>
      <w:bookmarkStart w:id="347" w:name="_Toc92097435"/>
      <w:bookmarkStart w:id="348" w:name="_Toc92858888"/>
      <w:bookmarkStart w:id="349" w:name="_Toc94070498"/>
      <w:bookmarkStart w:id="350" w:name="_Toc95554138"/>
      <w:bookmarkStart w:id="351" w:name="_Toc95559351"/>
      <w:bookmarkStart w:id="352" w:name="_Toc97361736"/>
      <w:bookmarkStart w:id="353" w:name="_Toc97362088"/>
      <w:bookmarkStart w:id="354" w:name="_Toc97530741"/>
      <w:bookmarkStart w:id="355" w:name="_Toc97539213"/>
      <w:bookmarkStart w:id="356" w:name="_Toc98563008"/>
      <w:bookmarkStart w:id="357" w:name="_Toc99266397"/>
      <w:bookmarkStart w:id="358" w:name="_Toc102390918"/>
      <w:bookmarkStart w:id="359" w:name="_Toc170210192"/>
      <w:r>
        <w:rPr>
          <w:rStyle w:val="CharPartNo"/>
        </w:rPr>
        <w:t>Part 2</w:t>
      </w:r>
      <w:r>
        <w:t> — </w:t>
      </w:r>
      <w:r>
        <w:rPr>
          <w:rStyle w:val="CharPartText"/>
        </w:rPr>
        <w:t>Regulations applying to jetties within the Port of Perth</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PartText"/>
        </w:rPr>
        <w:t xml:space="preserve"> </w:t>
      </w:r>
    </w:p>
    <w:p>
      <w:pPr>
        <w:pStyle w:val="Footnotesection"/>
      </w:pPr>
      <w:r>
        <w:tab/>
        <w:t xml:space="preserve">[Heading inserted in Gazette 19 May 1989 p. 1494.] </w:t>
      </w:r>
    </w:p>
    <w:p>
      <w:pPr>
        <w:pStyle w:val="Heading3"/>
        <w:rPr>
          <w:snapToGrid w:val="0"/>
        </w:rPr>
      </w:pPr>
      <w:bookmarkStart w:id="360" w:name="_Toc81295480"/>
      <w:bookmarkStart w:id="361" w:name="_Toc92097436"/>
      <w:bookmarkStart w:id="362" w:name="_Toc92858889"/>
      <w:bookmarkStart w:id="363" w:name="_Toc94070499"/>
      <w:bookmarkStart w:id="364" w:name="_Toc95554139"/>
      <w:bookmarkStart w:id="365" w:name="_Toc95559352"/>
      <w:bookmarkStart w:id="366" w:name="_Toc97361737"/>
      <w:bookmarkStart w:id="367" w:name="_Toc97362089"/>
      <w:bookmarkStart w:id="368" w:name="_Toc97530742"/>
      <w:bookmarkStart w:id="369" w:name="_Toc97539214"/>
      <w:bookmarkStart w:id="370" w:name="_Toc98563009"/>
      <w:bookmarkStart w:id="371" w:name="_Toc99266398"/>
      <w:bookmarkStart w:id="372" w:name="_Toc102390919"/>
      <w:bookmarkStart w:id="373" w:name="_Toc170210193"/>
      <w:r>
        <w:rPr>
          <w:rStyle w:val="CharDivNo"/>
        </w:rPr>
        <w:t>Division 1</w:t>
      </w:r>
      <w:r>
        <w:rPr>
          <w:snapToGrid w:val="0"/>
        </w:rPr>
        <w:t> — </w:t>
      </w:r>
      <w:r>
        <w:rPr>
          <w:rStyle w:val="CharDivText"/>
        </w:rPr>
        <w:t>Application of this Part</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rStyle w:val="CharDivText"/>
        </w:rPr>
        <w:t xml:space="preserve"> </w:t>
      </w:r>
    </w:p>
    <w:p>
      <w:pPr>
        <w:pStyle w:val="Footnotesection"/>
      </w:pPr>
      <w:r>
        <w:tab/>
        <w:t xml:space="preserve">[Heading inserted in Gazette 19 May 1989 p. 1494.] </w:t>
      </w:r>
    </w:p>
    <w:p>
      <w:pPr>
        <w:pStyle w:val="Heading5"/>
        <w:rPr>
          <w:snapToGrid w:val="0"/>
        </w:rPr>
      </w:pPr>
      <w:bookmarkStart w:id="374" w:name="_Toc454867128"/>
      <w:bookmarkStart w:id="375" w:name="_Toc13117035"/>
      <w:bookmarkStart w:id="376" w:name="_Toc170210194"/>
      <w:r>
        <w:rPr>
          <w:rStyle w:val="CharSectno"/>
        </w:rPr>
        <w:t>67E</w:t>
      </w:r>
      <w:r>
        <w:rPr>
          <w:snapToGrid w:val="0"/>
        </w:rPr>
        <w:t>.</w:t>
      </w:r>
      <w:r>
        <w:rPr>
          <w:snapToGrid w:val="0"/>
        </w:rPr>
        <w:tab/>
        <w:t>Application</w:t>
      </w:r>
      <w:bookmarkEnd w:id="374"/>
      <w:bookmarkEnd w:id="375"/>
      <w:bookmarkEnd w:id="376"/>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section"/>
      </w:pPr>
      <w:r>
        <w:tab/>
        <w:t xml:space="preserve">[Regulation 67E inserted in Gazette 19 May 1989 p. 1494.] </w:t>
      </w:r>
    </w:p>
    <w:p>
      <w:pPr>
        <w:pStyle w:val="Heading3"/>
        <w:rPr>
          <w:snapToGrid w:val="0"/>
        </w:rPr>
      </w:pPr>
      <w:bookmarkStart w:id="377" w:name="_Toc81295482"/>
      <w:bookmarkStart w:id="378" w:name="_Toc92097438"/>
      <w:bookmarkStart w:id="379" w:name="_Toc92858891"/>
      <w:bookmarkStart w:id="380" w:name="_Toc94070501"/>
      <w:bookmarkStart w:id="381" w:name="_Toc95554141"/>
      <w:bookmarkStart w:id="382" w:name="_Toc95559354"/>
      <w:bookmarkStart w:id="383" w:name="_Toc97361739"/>
      <w:bookmarkStart w:id="384" w:name="_Toc97362091"/>
      <w:bookmarkStart w:id="385" w:name="_Toc97530744"/>
      <w:bookmarkStart w:id="386" w:name="_Toc97539216"/>
      <w:bookmarkStart w:id="387" w:name="_Toc98563011"/>
      <w:bookmarkStart w:id="388" w:name="_Toc99266400"/>
      <w:bookmarkStart w:id="389" w:name="_Toc102390921"/>
      <w:bookmarkStart w:id="390" w:name="_Toc170210195"/>
      <w:r>
        <w:rPr>
          <w:rStyle w:val="CharDivNo"/>
        </w:rPr>
        <w:t>Division 2</w:t>
      </w:r>
      <w:r>
        <w:rPr>
          <w:snapToGrid w:val="0"/>
        </w:rPr>
        <w:t> — </w:t>
      </w:r>
      <w:r>
        <w:rPr>
          <w:rStyle w:val="CharDivText"/>
        </w:rPr>
        <w:t>Management and use of jetties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391" w:name="_Toc454867129"/>
      <w:bookmarkStart w:id="392" w:name="_Toc13117036"/>
      <w:bookmarkStart w:id="393" w:name="_Toc170210196"/>
      <w:r>
        <w:rPr>
          <w:rStyle w:val="CharSectno"/>
        </w:rPr>
        <w:t>68</w:t>
      </w:r>
      <w:r>
        <w:rPr>
          <w:snapToGrid w:val="0"/>
        </w:rPr>
        <w:t>.</w:t>
      </w:r>
      <w:r>
        <w:rPr>
          <w:snapToGrid w:val="0"/>
        </w:rPr>
        <w:tab/>
        <w:t>Control of jetties</w:t>
      </w:r>
      <w:bookmarkEnd w:id="391"/>
      <w:bookmarkEnd w:id="392"/>
      <w:bookmarkEnd w:id="393"/>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394" w:name="_Toc454867130"/>
      <w:bookmarkStart w:id="395" w:name="_Toc13117037"/>
      <w:bookmarkStart w:id="396" w:name="_Toc170210197"/>
      <w:r>
        <w:rPr>
          <w:rStyle w:val="CharSectno"/>
        </w:rPr>
        <w:t>69</w:t>
      </w:r>
      <w:r>
        <w:rPr>
          <w:snapToGrid w:val="0"/>
        </w:rPr>
        <w:t>.</w:t>
      </w:r>
      <w:r>
        <w:rPr>
          <w:snapToGrid w:val="0"/>
        </w:rPr>
        <w:tab/>
        <w:t>Use of jetties</w:t>
      </w:r>
      <w:bookmarkEnd w:id="394"/>
      <w:bookmarkEnd w:id="395"/>
      <w:bookmarkEnd w:id="396"/>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rPr>
          <w:snapToGrid w:val="0"/>
        </w:rPr>
      </w:pPr>
      <w:bookmarkStart w:id="397" w:name="_Toc454867131"/>
      <w:bookmarkStart w:id="398" w:name="_Toc13117038"/>
      <w:bookmarkStart w:id="399" w:name="_Toc170210198"/>
      <w:r>
        <w:rPr>
          <w:rStyle w:val="CharSectno"/>
        </w:rPr>
        <w:t>70</w:t>
      </w:r>
      <w:r>
        <w:rPr>
          <w:snapToGrid w:val="0"/>
        </w:rPr>
        <w:t>.</w:t>
      </w:r>
      <w:r>
        <w:rPr>
          <w:snapToGrid w:val="0"/>
        </w:rPr>
        <w:tab/>
        <w:t>Jetties may be closed</w:t>
      </w:r>
      <w:bookmarkEnd w:id="397"/>
      <w:bookmarkEnd w:id="398"/>
      <w:bookmarkEnd w:id="399"/>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bookmarkStart w:id="400" w:name="_Toc454867133"/>
      <w:r>
        <w:t>[</w:t>
      </w:r>
      <w:r>
        <w:rPr>
          <w:b/>
        </w:rPr>
        <w:t>70A.</w:t>
      </w:r>
      <w:r>
        <w:tab/>
      </w:r>
      <w:r>
        <w:tab/>
        <w:t xml:space="preserve">Repealed in Gazette </w:t>
      </w:r>
      <w:r>
        <w:rPr>
          <w:color w:val="000000"/>
        </w:rPr>
        <w:t>27 Jun 2003 p. </w:t>
      </w:r>
      <w:r>
        <w:t>2502.]</w:t>
      </w:r>
    </w:p>
    <w:bookmarkEnd w:id="400"/>
    <w:p>
      <w:pPr>
        <w:pStyle w:val="Ednotesection"/>
      </w:pPr>
      <w:r>
        <w:t>[</w:t>
      </w:r>
      <w:r>
        <w:rPr>
          <w:b/>
        </w:rPr>
        <w:t>70B.</w:t>
      </w:r>
      <w:r>
        <w:rPr>
          <w:b/>
        </w:rPr>
        <w:tab/>
      </w:r>
      <w:r>
        <w:rPr>
          <w:b/>
        </w:rPr>
        <w:tab/>
      </w:r>
      <w:r>
        <w:t>Repealed in Gazette 25 Jun 2004 p. 2270.]</w:t>
      </w:r>
    </w:p>
    <w:p>
      <w:pPr>
        <w:pStyle w:val="Heading3"/>
        <w:rPr>
          <w:snapToGrid w:val="0"/>
        </w:rPr>
      </w:pPr>
      <w:bookmarkStart w:id="401" w:name="_Toc81295486"/>
      <w:bookmarkStart w:id="402" w:name="_Toc92097442"/>
      <w:bookmarkStart w:id="403" w:name="_Toc92858895"/>
      <w:bookmarkStart w:id="404" w:name="_Toc94070505"/>
      <w:bookmarkStart w:id="405" w:name="_Toc95554145"/>
      <w:bookmarkStart w:id="406" w:name="_Toc95559358"/>
      <w:bookmarkStart w:id="407" w:name="_Toc97361743"/>
      <w:bookmarkStart w:id="408" w:name="_Toc97362095"/>
      <w:bookmarkStart w:id="409" w:name="_Toc97530748"/>
      <w:bookmarkStart w:id="410" w:name="_Toc97539220"/>
      <w:bookmarkStart w:id="411" w:name="_Toc98563015"/>
      <w:bookmarkStart w:id="412" w:name="_Toc99266404"/>
      <w:bookmarkStart w:id="413" w:name="_Toc102390925"/>
      <w:bookmarkStart w:id="414" w:name="_Toc170210199"/>
      <w:r>
        <w:rPr>
          <w:rStyle w:val="CharDivNo"/>
        </w:rPr>
        <w:t>Division 3</w:t>
      </w:r>
      <w:r>
        <w:rPr>
          <w:snapToGrid w:val="0"/>
        </w:rPr>
        <w:t> — </w:t>
      </w:r>
      <w:r>
        <w:rPr>
          <w:rStyle w:val="CharDivText"/>
        </w:rPr>
        <w:t>Mooring and berthing of vessels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Style w:val="CharDivText"/>
        </w:rPr>
        <w:t xml:space="preserve"> </w:t>
      </w:r>
    </w:p>
    <w:p>
      <w:pPr>
        <w:pStyle w:val="Footnotesection"/>
      </w:pPr>
      <w:r>
        <w:tab/>
        <w:t xml:space="preserve">[Heading inserted in Gazette 19 May 1989 p. 1494.] </w:t>
      </w:r>
    </w:p>
    <w:p>
      <w:pPr>
        <w:pStyle w:val="Heading5"/>
        <w:keepNext w:val="0"/>
        <w:keepLines w:val="0"/>
        <w:rPr>
          <w:snapToGrid w:val="0"/>
        </w:rPr>
      </w:pPr>
      <w:bookmarkStart w:id="415" w:name="_Toc454867134"/>
      <w:bookmarkStart w:id="416" w:name="_Toc13117041"/>
      <w:bookmarkStart w:id="417" w:name="_Toc170210200"/>
      <w:r>
        <w:rPr>
          <w:rStyle w:val="CharSectno"/>
        </w:rPr>
        <w:t>71</w:t>
      </w:r>
      <w:r>
        <w:rPr>
          <w:snapToGrid w:val="0"/>
        </w:rPr>
        <w:t>.</w:t>
      </w:r>
      <w:r>
        <w:rPr>
          <w:snapToGrid w:val="0"/>
        </w:rPr>
        <w:tab/>
        <w:t>Permit required to moor, etc., alongside jetty or buoy</w:t>
      </w:r>
      <w:bookmarkEnd w:id="415"/>
      <w:bookmarkEnd w:id="416"/>
      <w:bookmarkEnd w:id="417"/>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418" w:name="_Toc454867135"/>
      <w:bookmarkStart w:id="419" w:name="_Toc13117042"/>
      <w:bookmarkStart w:id="420" w:name="_Toc170210201"/>
      <w:r>
        <w:rPr>
          <w:rStyle w:val="CharSectno"/>
        </w:rPr>
        <w:t>72</w:t>
      </w:r>
      <w:r>
        <w:rPr>
          <w:snapToGrid w:val="0"/>
        </w:rPr>
        <w:t>.</w:t>
      </w:r>
      <w:r>
        <w:rPr>
          <w:snapToGrid w:val="0"/>
        </w:rPr>
        <w:tab/>
        <w:t>Duration of, and charges for, permits</w:t>
      </w:r>
      <w:bookmarkEnd w:id="418"/>
      <w:bookmarkEnd w:id="419"/>
      <w:bookmarkEnd w:id="420"/>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421" w:name="_Toc454867136"/>
      <w:bookmarkStart w:id="422" w:name="_Toc13117043"/>
      <w:bookmarkStart w:id="423" w:name="_Toc170210202"/>
      <w:r>
        <w:rPr>
          <w:rStyle w:val="CharSectno"/>
        </w:rPr>
        <w:t>73</w:t>
      </w:r>
      <w:r>
        <w:rPr>
          <w:snapToGrid w:val="0"/>
        </w:rPr>
        <w:t>.</w:t>
      </w:r>
      <w:r>
        <w:rPr>
          <w:snapToGrid w:val="0"/>
        </w:rPr>
        <w:tab/>
        <w:t>Permit for exclusive use of a berth</w:t>
      </w:r>
      <w:bookmarkEnd w:id="421"/>
      <w:bookmarkEnd w:id="422"/>
      <w:bookmarkEnd w:id="423"/>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424" w:name="_Toc454867137"/>
      <w:bookmarkStart w:id="425" w:name="_Toc13117044"/>
      <w:bookmarkStart w:id="426" w:name="_Toc170210203"/>
      <w:r>
        <w:rPr>
          <w:rStyle w:val="CharSectno"/>
        </w:rPr>
        <w:t>74</w:t>
      </w:r>
      <w:r>
        <w:rPr>
          <w:snapToGrid w:val="0"/>
        </w:rPr>
        <w:t>.</w:t>
      </w:r>
      <w:r>
        <w:rPr>
          <w:snapToGrid w:val="0"/>
        </w:rPr>
        <w:tab/>
        <w:t>Manner of mooring vessels</w:t>
      </w:r>
      <w:bookmarkEnd w:id="424"/>
      <w:bookmarkEnd w:id="425"/>
      <w:bookmarkEnd w:id="426"/>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427" w:name="_Toc454867138"/>
      <w:bookmarkStart w:id="428" w:name="_Toc13117045"/>
      <w:bookmarkStart w:id="429" w:name="_Toc170210204"/>
      <w:r>
        <w:rPr>
          <w:rStyle w:val="CharSectno"/>
        </w:rPr>
        <w:t>75</w:t>
      </w:r>
      <w:r>
        <w:rPr>
          <w:snapToGrid w:val="0"/>
        </w:rPr>
        <w:t>.</w:t>
      </w:r>
      <w:r>
        <w:rPr>
          <w:snapToGrid w:val="0"/>
        </w:rPr>
        <w:tab/>
        <w:t>Vessels not to remain at jetties longer than necessary</w:t>
      </w:r>
      <w:bookmarkEnd w:id="427"/>
      <w:bookmarkEnd w:id="428"/>
      <w:bookmarkEnd w:id="429"/>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430" w:name="_Toc454867139"/>
      <w:bookmarkStart w:id="431" w:name="_Toc13117046"/>
      <w:bookmarkStart w:id="432" w:name="_Toc170210205"/>
      <w:r>
        <w:rPr>
          <w:rStyle w:val="CharSectno"/>
        </w:rPr>
        <w:t>76</w:t>
      </w:r>
      <w:r>
        <w:rPr>
          <w:snapToGrid w:val="0"/>
        </w:rPr>
        <w:t>.</w:t>
      </w:r>
      <w:r>
        <w:rPr>
          <w:snapToGrid w:val="0"/>
        </w:rPr>
        <w:tab/>
        <w:t>Mooring of rafts and boathouses</w:t>
      </w:r>
      <w:bookmarkEnd w:id="430"/>
      <w:bookmarkEnd w:id="431"/>
      <w:bookmarkEnd w:id="432"/>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433" w:name="_Toc454867140"/>
      <w:bookmarkStart w:id="434" w:name="_Toc13117047"/>
      <w:bookmarkStart w:id="435" w:name="_Toc170210206"/>
      <w:r>
        <w:rPr>
          <w:rStyle w:val="CharSectno"/>
        </w:rPr>
        <w:t>77</w:t>
      </w:r>
      <w:r>
        <w:rPr>
          <w:snapToGrid w:val="0"/>
        </w:rPr>
        <w:t>.</w:t>
      </w:r>
      <w:r>
        <w:rPr>
          <w:snapToGrid w:val="0"/>
        </w:rPr>
        <w:tab/>
        <w:t>Vessels to be in charge of a competent person</w:t>
      </w:r>
      <w:bookmarkEnd w:id="433"/>
      <w:bookmarkEnd w:id="434"/>
      <w:bookmarkEnd w:id="435"/>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436" w:name="_Toc454867141"/>
      <w:bookmarkStart w:id="437" w:name="_Toc13117048"/>
      <w:bookmarkStart w:id="438" w:name="_Toc170210207"/>
      <w:r>
        <w:rPr>
          <w:rStyle w:val="CharSectno"/>
        </w:rPr>
        <w:t>78</w:t>
      </w:r>
      <w:r>
        <w:rPr>
          <w:snapToGrid w:val="0"/>
        </w:rPr>
        <w:t>.</w:t>
      </w:r>
      <w:r>
        <w:rPr>
          <w:snapToGrid w:val="0"/>
        </w:rPr>
        <w:tab/>
        <w:t>Approaching jetties after sunset</w:t>
      </w:r>
      <w:bookmarkEnd w:id="436"/>
      <w:bookmarkEnd w:id="437"/>
      <w:bookmarkEnd w:id="438"/>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rPr>
          <w:snapToGrid w:val="0"/>
        </w:rPr>
      </w:pPr>
      <w:bookmarkStart w:id="439" w:name="_Toc81295495"/>
      <w:bookmarkStart w:id="440" w:name="_Toc92097451"/>
      <w:bookmarkStart w:id="441" w:name="_Toc92858904"/>
      <w:bookmarkStart w:id="442" w:name="_Toc94070514"/>
      <w:bookmarkStart w:id="443" w:name="_Toc95554154"/>
      <w:bookmarkStart w:id="444" w:name="_Toc95559367"/>
      <w:bookmarkStart w:id="445" w:name="_Toc97361752"/>
      <w:bookmarkStart w:id="446" w:name="_Toc97362104"/>
      <w:bookmarkStart w:id="447" w:name="_Toc97530757"/>
      <w:bookmarkStart w:id="448" w:name="_Toc97539229"/>
      <w:bookmarkStart w:id="449" w:name="_Toc98563024"/>
      <w:bookmarkStart w:id="450" w:name="_Toc99266413"/>
      <w:bookmarkStart w:id="451" w:name="_Toc102390934"/>
      <w:bookmarkStart w:id="452" w:name="_Toc170210208"/>
      <w:r>
        <w:rPr>
          <w:rStyle w:val="CharDivNo"/>
        </w:rPr>
        <w:t>Division 4</w:t>
      </w:r>
      <w:r>
        <w:rPr>
          <w:snapToGrid w:val="0"/>
        </w:rPr>
        <w:t> — </w:t>
      </w:r>
      <w:r>
        <w:rPr>
          <w:rStyle w:val="CharDivText"/>
        </w:rPr>
        <w:t>Loading or discharging cargo</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DivText"/>
        </w:rPr>
        <w:t xml:space="preserve"> </w:t>
      </w:r>
    </w:p>
    <w:p>
      <w:pPr>
        <w:pStyle w:val="Footnotesection"/>
      </w:pPr>
      <w:r>
        <w:tab/>
        <w:t xml:space="preserve">[Heading inserted in Gazette 19 May 1989 p. 1494.] </w:t>
      </w:r>
    </w:p>
    <w:p>
      <w:pPr>
        <w:pStyle w:val="Ednotesection"/>
      </w:pPr>
      <w:r>
        <w:t>[</w:t>
      </w:r>
      <w:r>
        <w:rPr>
          <w:b/>
        </w:rPr>
        <w:t>79.</w:t>
      </w:r>
      <w:r>
        <w:tab/>
        <w:t xml:space="preserve">Repealed in Gazette 30 Jun 1992 p. 2893.] </w:t>
      </w:r>
    </w:p>
    <w:p>
      <w:pPr>
        <w:pStyle w:val="Heading5"/>
        <w:rPr>
          <w:snapToGrid w:val="0"/>
        </w:rPr>
      </w:pPr>
      <w:bookmarkStart w:id="453" w:name="_Toc454867142"/>
      <w:bookmarkStart w:id="454" w:name="_Toc13117049"/>
      <w:bookmarkStart w:id="455" w:name="_Toc170210209"/>
      <w:r>
        <w:rPr>
          <w:rStyle w:val="CharSectno"/>
        </w:rPr>
        <w:t>80</w:t>
      </w:r>
      <w:r>
        <w:rPr>
          <w:snapToGrid w:val="0"/>
        </w:rPr>
        <w:t>.</w:t>
      </w:r>
      <w:r>
        <w:rPr>
          <w:snapToGrid w:val="0"/>
        </w:rPr>
        <w:tab/>
        <w:t>Vessels loading or discharging</w:t>
      </w:r>
      <w:bookmarkEnd w:id="453"/>
      <w:bookmarkEnd w:id="454"/>
      <w:bookmarkEnd w:id="455"/>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456" w:name="_Toc454867143"/>
      <w:bookmarkStart w:id="457" w:name="_Toc13117050"/>
      <w:bookmarkStart w:id="458" w:name="_Toc170210210"/>
      <w:r>
        <w:rPr>
          <w:rStyle w:val="CharSectno"/>
        </w:rPr>
        <w:t>81</w:t>
      </w:r>
      <w:r>
        <w:rPr>
          <w:snapToGrid w:val="0"/>
        </w:rPr>
        <w:t>.</w:t>
      </w:r>
      <w:r>
        <w:rPr>
          <w:snapToGrid w:val="0"/>
        </w:rPr>
        <w:tab/>
        <w:t>Cargo to be removed</w:t>
      </w:r>
      <w:bookmarkEnd w:id="456"/>
      <w:bookmarkEnd w:id="457"/>
      <w:bookmarkEnd w:id="458"/>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459" w:name="_Toc454867144"/>
      <w:bookmarkStart w:id="460" w:name="_Toc13117051"/>
      <w:bookmarkStart w:id="461" w:name="_Toc170210211"/>
      <w:r>
        <w:rPr>
          <w:rStyle w:val="CharSectno"/>
        </w:rPr>
        <w:t>82</w:t>
      </w:r>
      <w:r>
        <w:rPr>
          <w:snapToGrid w:val="0"/>
        </w:rPr>
        <w:t>.</w:t>
      </w:r>
      <w:r>
        <w:rPr>
          <w:snapToGrid w:val="0"/>
        </w:rPr>
        <w:tab/>
        <w:t>Cargo not to remain on jetties overnight</w:t>
      </w:r>
      <w:bookmarkEnd w:id="459"/>
      <w:bookmarkEnd w:id="460"/>
      <w:bookmarkEnd w:id="461"/>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462" w:name="_Toc454867145"/>
      <w:bookmarkStart w:id="463" w:name="_Toc13117052"/>
      <w:bookmarkStart w:id="464" w:name="_Toc170210212"/>
      <w:r>
        <w:rPr>
          <w:rStyle w:val="CharSectno"/>
        </w:rPr>
        <w:t>83</w:t>
      </w:r>
      <w:r>
        <w:rPr>
          <w:snapToGrid w:val="0"/>
        </w:rPr>
        <w:t>.</w:t>
      </w:r>
      <w:r>
        <w:rPr>
          <w:snapToGrid w:val="0"/>
        </w:rPr>
        <w:tab/>
        <w:t>Explosives not to be handled without permission</w:t>
      </w:r>
      <w:bookmarkEnd w:id="462"/>
      <w:bookmarkEnd w:id="463"/>
      <w:bookmarkEnd w:id="464"/>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2</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465" w:name="_Toc454867146"/>
      <w:bookmarkStart w:id="466" w:name="_Toc13117053"/>
      <w:bookmarkStart w:id="467" w:name="_Toc170210213"/>
      <w:r>
        <w:rPr>
          <w:rStyle w:val="CharSectno"/>
        </w:rPr>
        <w:t>84</w:t>
      </w:r>
      <w:r>
        <w:rPr>
          <w:snapToGrid w:val="0"/>
        </w:rPr>
        <w:t>.</w:t>
      </w:r>
      <w:r>
        <w:rPr>
          <w:snapToGrid w:val="0"/>
        </w:rPr>
        <w:tab/>
        <w:t>Manner of handling cargo</w:t>
      </w:r>
      <w:bookmarkEnd w:id="465"/>
      <w:bookmarkEnd w:id="466"/>
      <w:bookmarkEnd w:id="467"/>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468" w:name="_Toc81295501"/>
      <w:bookmarkStart w:id="469" w:name="_Toc92097457"/>
      <w:bookmarkStart w:id="470" w:name="_Toc92858910"/>
      <w:bookmarkStart w:id="471" w:name="_Toc94070520"/>
      <w:bookmarkStart w:id="472" w:name="_Toc95554160"/>
      <w:bookmarkStart w:id="473" w:name="_Toc95559373"/>
      <w:bookmarkStart w:id="474" w:name="_Toc97361758"/>
      <w:bookmarkStart w:id="475" w:name="_Toc97362110"/>
      <w:bookmarkStart w:id="476" w:name="_Toc97530763"/>
      <w:bookmarkStart w:id="477" w:name="_Toc97539235"/>
      <w:bookmarkStart w:id="478" w:name="_Toc98563030"/>
      <w:bookmarkStart w:id="479" w:name="_Toc99266419"/>
      <w:bookmarkStart w:id="480" w:name="_Toc102390940"/>
      <w:bookmarkStart w:id="481" w:name="_Toc170210214"/>
      <w:r>
        <w:rPr>
          <w:rStyle w:val="CharDivNo"/>
        </w:rPr>
        <w:t>Division 5</w:t>
      </w:r>
      <w:r>
        <w:rPr>
          <w:snapToGrid w:val="0"/>
        </w:rPr>
        <w:t> — </w:t>
      </w:r>
      <w:r>
        <w:rPr>
          <w:rStyle w:val="CharDivText"/>
        </w:rPr>
        <w:t>Navigation of vessels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Style w:val="CharDivText"/>
        </w:rPr>
        <w:t xml:space="preserve"> </w:t>
      </w:r>
    </w:p>
    <w:p>
      <w:pPr>
        <w:pStyle w:val="Footnotesection"/>
      </w:pPr>
      <w:r>
        <w:tab/>
        <w:t xml:space="preserve">[Heading inserted in Gazette 19 May 1989 p. 1494.] </w:t>
      </w:r>
    </w:p>
    <w:p>
      <w:pPr>
        <w:pStyle w:val="Heading5"/>
        <w:rPr>
          <w:snapToGrid w:val="0"/>
        </w:rPr>
      </w:pPr>
      <w:bookmarkStart w:id="482" w:name="_Toc454867147"/>
      <w:bookmarkStart w:id="483" w:name="_Toc13117054"/>
      <w:bookmarkStart w:id="484" w:name="_Toc170210215"/>
      <w:r>
        <w:rPr>
          <w:rStyle w:val="CharSectno"/>
        </w:rPr>
        <w:t>85</w:t>
      </w:r>
      <w:r>
        <w:rPr>
          <w:snapToGrid w:val="0"/>
        </w:rPr>
        <w:t>.</w:t>
      </w:r>
      <w:r>
        <w:rPr>
          <w:snapToGrid w:val="0"/>
        </w:rPr>
        <w:tab/>
        <w:t>Power vessels approaching jetties</w:t>
      </w:r>
      <w:bookmarkEnd w:id="482"/>
      <w:bookmarkEnd w:id="483"/>
      <w:bookmarkEnd w:id="484"/>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485" w:name="_Toc81295503"/>
      <w:bookmarkStart w:id="486" w:name="_Toc92097459"/>
      <w:bookmarkStart w:id="487" w:name="_Toc92858912"/>
      <w:bookmarkStart w:id="488" w:name="_Toc94070522"/>
      <w:bookmarkStart w:id="489" w:name="_Toc95554162"/>
      <w:bookmarkStart w:id="490" w:name="_Toc95559375"/>
      <w:bookmarkStart w:id="491" w:name="_Toc97361760"/>
      <w:bookmarkStart w:id="492" w:name="_Toc97362112"/>
      <w:bookmarkStart w:id="493" w:name="_Toc97530765"/>
      <w:bookmarkStart w:id="494" w:name="_Toc97539237"/>
      <w:bookmarkStart w:id="495" w:name="_Toc98563032"/>
      <w:bookmarkStart w:id="496" w:name="_Toc99266421"/>
      <w:bookmarkStart w:id="497" w:name="_Toc102390942"/>
      <w:bookmarkStart w:id="498" w:name="_Toc170210216"/>
      <w:r>
        <w:rPr>
          <w:rStyle w:val="CharDivNo"/>
        </w:rPr>
        <w:t>Division 6</w:t>
      </w:r>
      <w:r>
        <w:rPr>
          <w:snapToGrid w:val="0"/>
        </w:rPr>
        <w:t> — </w:t>
      </w:r>
      <w:r>
        <w:rPr>
          <w:rStyle w:val="CharDivText"/>
        </w:rPr>
        <w:t>Miscellaneous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Style w:val="CharDivText"/>
        </w:rPr>
        <w:t xml:space="preserve"> </w:t>
      </w:r>
    </w:p>
    <w:p>
      <w:pPr>
        <w:pStyle w:val="Footnotesection"/>
      </w:pPr>
      <w:r>
        <w:tab/>
        <w:t xml:space="preserve">[Heading inserted in Gazette 19 May 1989 p. 1494.] </w:t>
      </w:r>
    </w:p>
    <w:p>
      <w:pPr>
        <w:pStyle w:val="Heading5"/>
        <w:rPr>
          <w:snapToGrid w:val="0"/>
        </w:rPr>
      </w:pPr>
      <w:bookmarkStart w:id="499" w:name="_Toc454867148"/>
      <w:bookmarkStart w:id="500" w:name="_Toc13117055"/>
      <w:bookmarkStart w:id="501" w:name="_Toc170210217"/>
      <w:r>
        <w:rPr>
          <w:rStyle w:val="CharSectno"/>
        </w:rPr>
        <w:t>86</w:t>
      </w:r>
      <w:r>
        <w:rPr>
          <w:snapToGrid w:val="0"/>
        </w:rPr>
        <w:t>.</w:t>
      </w:r>
      <w:r>
        <w:rPr>
          <w:snapToGrid w:val="0"/>
        </w:rPr>
        <w:tab/>
        <w:t>Bathing from jetties</w:t>
      </w:r>
      <w:bookmarkEnd w:id="499"/>
      <w:bookmarkEnd w:id="500"/>
      <w:bookmarkEnd w:id="501"/>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502" w:name="_Toc454867149"/>
      <w:bookmarkStart w:id="503" w:name="_Toc13117056"/>
      <w:bookmarkStart w:id="504" w:name="_Toc170210218"/>
      <w:r>
        <w:rPr>
          <w:rStyle w:val="CharSectno"/>
        </w:rPr>
        <w:t>87</w:t>
      </w:r>
      <w:r>
        <w:rPr>
          <w:snapToGrid w:val="0"/>
        </w:rPr>
        <w:t>.</w:t>
      </w:r>
      <w:r>
        <w:rPr>
          <w:snapToGrid w:val="0"/>
        </w:rPr>
        <w:tab/>
        <w:t>Damage to jetties</w:t>
      </w:r>
      <w:bookmarkEnd w:id="502"/>
      <w:bookmarkEnd w:id="503"/>
      <w:bookmarkEnd w:id="504"/>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505" w:name="_Toc454867150"/>
      <w:bookmarkStart w:id="506" w:name="_Toc13117057"/>
      <w:bookmarkStart w:id="507" w:name="_Toc170210219"/>
      <w:r>
        <w:rPr>
          <w:rStyle w:val="CharSectno"/>
        </w:rPr>
        <w:t>88</w:t>
      </w:r>
      <w:r>
        <w:rPr>
          <w:snapToGrid w:val="0"/>
        </w:rPr>
        <w:t>.</w:t>
      </w:r>
      <w:r>
        <w:rPr>
          <w:snapToGrid w:val="0"/>
        </w:rPr>
        <w:tab/>
        <w:t>Fishing from certain places prohibited</w:t>
      </w:r>
      <w:bookmarkEnd w:id="505"/>
      <w:bookmarkEnd w:id="506"/>
      <w:bookmarkEnd w:id="507"/>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in Gazette 19 May 1989 p. 1495.] </w:t>
      </w:r>
    </w:p>
    <w:p>
      <w:pPr>
        <w:pStyle w:val="Heading5"/>
        <w:rPr>
          <w:snapToGrid w:val="0"/>
        </w:rPr>
      </w:pPr>
      <w:bookmarkStart w:id="508" w:name="_Toc454867151"/>
      <w:bookmarkStart w:id="509" w:name="_Toc13117058"/>
      <w:bookmarkStart w:id="510" w:name="_Toc170210220"/>
      <w:r>
        <w:rPr>
          <w:rStyle w:val="CharSectno"/>
        </w:rPr>
        <w:t>89</w:t>
      </w:r>
      <w:r>
        <w:rPr>
          <w:snapToGrid w:val="0"/>
        </w:rPr>
        <w:t>.</w:t>
      </w:r>
      <w:r>
        <w:rPr>
          <w:snapToGrid w:val="0"/>
        </w:rPr>
        <w:tab/>
        <w:t>Fishing nets on jetties</w:t>
      </w:r>
      <w:bookmarkEnd w:id="508"/>
      <w:bookmarkEnd w:id="509"/>
      <w:bookmarkEnd w:id="510"/>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511" w:name="_Toc454867152"/>
      <w:bookmarkStart w:id="512" w:name="_Toc13117059"/>
      <w:bookmarkStart w:id="513" w:name="_Toc170210221"/>
      <w:r>
        <w:rPr>
          <w:rStyle w:val="CharSectno"/>
        </w:rPr>
        <w:t>90</w:t>
      </w:r>
      <w:r>
        <w:rPr>
          <w:snapToGrid w:val="0"/>
        </w:rPr>
        <w:t>.</w:t>
      </w:r>
      <w:r>
        <w:rPr>
          <w:snapToGrid w:val="0"/>
        </w:rPr>
        <w:tab/>
        <w:t>Gangways to be provided</w:t>
      </w:r>
      <w:bookmarkEnd w:id="511"/>
      <w:bookmarkEnd w:id="512"/>
      <w:bookmarkEnd w:id="513"/>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514" w:name="_Toc454867153"/>
      <w:bookmarkStart w:id="515" w:name="_Toc13117060"/>
      <w:bookmarkStart w:id="516" w:name="_Toc170210222"/>
      <w:r>
        <w:rPr>
          <w:rStyle w:val="CharSectno"/>
        </w:rPr>
        <w:t>91</w:t>
      </w:r>
      <w:r>
        <w:rPr>
          <w:snapToGrid w:val="0"/>
        </w:rPr>
        <w:t>.</w:t>
      </w:r>
      <w:r>
        <w:rPr>
          <w:snapToGrid w:val="0"/>
        </w:rPr>
        <w:tab/>
        <w:t>Interference with jetties or approaches</w:t>
      </w:r>
      <w:bookmarkEnd w:id="514"/>
      <w:bookmarkEnd w:id="515"/>
      <w:bookmarkEnd w:id="516"/>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517" w:name="_Toc454867154"/>
      <w:bookmarkStart w:id="518" w:name="_Toc13117061"/>
      <w:bookmarkStart w:id="519" w:name="_Toc170210223"/>
      <w:r>
        <w:rPr>
          <w:rStyle w:val="CharSectno"/>
        </w:rPr>
        <w:t>92</w:t>
      </w:r>
      <w:r>
        <w:rPr>
          <w:snapToGrid w:val="0"/>
        </w:rPr>
        <w:t>.</w:t>
      </w:r>
      <w:r>
        <w:rPr>
          <w:snapToGrid w:val="0"/>
        </w:rPr>
        <w:tab/>
        <w:t>Lifebuoys on jetties</w:t>
      </w:r>
      <w:bookmarkEnd w:id="517"/>
      <w:bookmarkEnd w:id="518"/>
      <w:bookmarkEnd w:id="519"/>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520" w:name="_Toc454867155"/>
      <w:bookmarkStart w:id="521" w:name="_Toc13117062"/>
      <w:bookmarkStart w:id="522" w:name="_Toc170210224"/>
      <w:r>
        <w:rPr>
          <w:rStyle w:val="CharSectno"/>
        </w:rPr>
        <w:t>93</w:t>
      </w:r>
      <w:r>
        <w:rPr>
          <w:snapToGrid w:val="0"/>
        </w:rPr>
        <w:t>.</w:t>
      </w:r>
      <w:r>
        <w:rPr>
          <w:snapToGrid w:val="0"/>
        </w:rPr>
        <w:tab/>
        <w:t>Obstruction of jetties or officers</w:t>
      </w:r>
      <w:bookmarkEnd w:id="520"/>
      <w:bookmarkEnd w:id="521"/>
      <w:bookmarkEnd w:id="522"/>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523" w:name="_Toc454867156"/>
      <w:bookmarkStart w:id="524" w:name="_Toc13117063"/>
      <w:bookmarkStart w:id="525" w:name="_Toc170210225"/>
      <w:r>
        <w:rPr>
          <w:rStyle w:val="CharSectno"/>
        </w:rPr>
        <w:t>94</w:t>
      </w:r>
      <w:r>
        <w:rPr>
          <w:snapToGrid w:val="0"/>
        </w:rPr>
        <w:t>.</w:t>
      </w:r>
      <w:r>
        <w:rPr>
          <w:snapToGrid w:val="0"/>
        </w:rPr>
        <w:tab/>
        <w:t>Rubbish not to be thrown in river, etc.</w:t>
      </w:r>
      <w:bookmarkEnd w:id="523"/>
      <w:bookmarkEnd w:id="524"/>
      <w:bookmarkEnd w:id="525"/>
      <w:r>
        <w:rPr>
          <w:snapToGrid w:val="0"/>
        </w:rPr>
        <w:t xml:space="preserve"> </w:t>
      </w:r>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526" w:name="_Toc81295513"/>
      <w:bookmarkStart w:id="527" w:name="_Toc92097469"/>
      <w:bookmarkStart w:id="528" w:name="_Toc92858922"/>
      <w:bookmarkStart w:id="529" w:name="_Toc94070532"/>
      <w:bookmarkStart w:id="530" w:name="_Toc95554172"/>
      <w:bookmarkStart w:id="531" w:name="_Toc95559385"/>
      <w:bookmarkStart w:id="532" w:name="_Toc97361770"/>
      <w:bookmarkStart w:id="533" w:name="_Toc97362122"/>
      <w:bookmarkStart w:id="534" w:name="_Toc97530775"/>
      <w:bookmarkStart w:id="535" w:name="_Toc97539247"/>
      <w:bookmarkStart w:id="536" w:name="_Toc98563042"/>
      <w:bookmarkStart w:id="537" w:name="_Toc99266431"/>
      <w:bookmarkStart w:id="538" w:name="_Toc102390952"/>
      <w:bookmarkStart w:id="539" w:name="_Toc170210226"/>
      <w:r>
        <w:rPr>
          <w:rStyle w:val="CharPartNo"/>
        </w:rPr>
        <w:t>Part 2A</w:t>
      </w:r>
      <w:r>
        <w:rPr>
          <w:rStyle w:val="CharDivNo"/>
        </w:rPr>
        <w:t> </w:t>
      </w:r>
      <w:r>
        <w:t>—</w:t>
      </w:r>
      <w:r>
        <w:rPr>
          <w:rStyle w:val="CharDivText"/>
        </w:rPr>
        <w:t> </w:t>
      </w:r>
      <w:r>
        <w:rPr>
          <w:rStyle w:val="CharPartText"/>
        </w:rPr>
        <w:t>Mooring and berthing other than in the Port of Perth</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PartText"/>
        </w:rPr>
        <w:t xml:space="preserve"> </w:t>
      </w:r>
    </w:p>
    <w:p>
      <w:pPr>
        <w:pStyle w:val="Footnotesection"/>
      </w:pPr>
      <w:r>
        <w:tab/>
        <w:t>[Heading inserted in Gazette 1 Aug 1990 p. 3633</w:t>
      </w:r>
      <w:r>
        <w:noBreakHyphen/>
        <w:t xml:space="preserve">4.] </w:t>
      </w:r>
    </w:p>
    <w:p>
      <w:pPr>
        <w:pStyle w:val="Heading5"/>
      </w:pPr>
      <w:bookmarkStart w:id="540" w:name="_Toc13117064"/>
      <w:bookmarkStart w:id="541" w:name="_Toc170210227"/>
      <w:bookmarkStart w:id="542" w:name="_Toc454867158"/>
      <w:r>
        <w:rPr>
          <w:rStyle w:val="CharSectno"/>
        </w:rPr>
        <w:t>94A</w:t>
      </w:r>
      <w:r>
        <w:t>.</w:t>
      </w:r>
      <w:r>
        <w:tab/>
        <w:t>Fees, etc. for pen rentals and services</w:t>
      </w:r>
      <w:bookmarkEnd w:id="540"/>
      <w:bookmarkEnd w:id="541"/>
    </w:p>
    <w:p>
      <w:pPr>
        <w:pStyle w:val="Subsection"/>
      </w:pPr>
      <w:r>
        <w:tab/>
      </w:r>
      <w:r>
        <w:tab/>
        <w:t>The fees and charges payable for pen rentals and services in particular ports and harbours (other than the Port of Perth) are as set out in Schedule 4 Division 1.</w:t>
      </w:r>
    </w:p>
    <w:p>
      <w:pPr>
        <w:pStyle w:val="Footnotesection"/>
      </w:pPr>
      <w:r>
        <w:tab/>
        <w:t>[Regulation 94A inserted in Gazette 14 Jun 2002 p. 2800; amended in Gazette 24 Jun 2005 p. 2817.]</w:t>
      </w:r>
    </w:p>
    <w:p>
      <w:pPr>
        <w:pStyle w:val="Heading5"/>
        <w:rPr>
          <w:snapToGrid w:val="0"/>
        </w:rPr>
      </w:pPr>
      <w:bookmarkStart w:id="543" w:name="_Toc13117065"/>
      <w:bookmarkStart w:id="544" w:name="_Toc170210228"/>
      <w:r>
        <w:rPr>
          <w:rStyle w:val="CharSectno"/>
        </w:rPr>
        <w:t>94B</w:t>
      </w:r>
      <w:r>
        <w:rPr>
          <w:snapToGrid w:val="0"/>
        </w:rPr>
        <w:t>.</w:t>
      </w:r>
      <w:r>
        <w:rPr>
          <w:snapToGrid w:val="0"/>
        </w:rPr>
        <w:tab/>
        <w:t>Fees for pile mooring</w:t>
      </w:r>
      <w:bookmarkEnd w:id="542"/>
      <w:bookmarkEnd w:id="543"/>
      <w:bookmarkEnd w:id="544"/>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4 Division 2 </w:t>
      </w:r>
      <w:r>
        <w:rPr>
          <w:snapToGrid w:val="0"/>
        </w:rPr>
        <w:t>are payable in respect to a pile mooring rented by any vessel in any boat harbour or fishing boat harbour in the State, according to the size of that vessel.</w:t>
      </w:r>
    </w:p>
    <w:p>
      <w:pPr>
        <w:pStyle w:val="Ednotesubsection"/>
      </w:pPr>
      <w:r>
        <w:tab/>
        <w:t>[(2)</w:t>
      </w:r>
      <w:r>
        <w:tab/>
        <w:t>repealed]</w:t>
      </w:r>
    </w:p>
    <w:p>
      <w:pPr>
        <w:pStyle w:val="Footnotesection"/>
      </w:pPr>
      <w:r>
        <w:tab/>
        <w:t>[Regulation 94B inserted in Gazette 1 Aug 1990 p. 3633</w:t>
      </w:r>
      <w:r>
        <w:noBreakHyphen/>
        <w:t xml:space="preserve">4; amended in Gazette 25 Jun 1996 p. 2981; 24 Jun 2005 p. 2817.] </w:t>
      </w:r>
    </w:p>
    <w:p>
      <w:pPr>
        <w:pStyle w:val="Heading5"/>
        <w:rPr>
          <w:snapToGrid w:val="0"/>
        </w:rPr>
      </w:pPr>
      <w:bookmarkStart w:id="545" w:name="_Toc454867159"/>
      <w:bookmarkStart w:id="546" w:name="_Toc13117066"/>
      <w:bookmarkStart w:id="547" w:name="_Toc170210229"/>
      <w:r>
        <w:rPr>
          <w:rStyle w:val="CharSectno"/>
        </w:rPr>
        <w:t>94C</w:t>
      </w:r>
      <w:r>
        <w:rPr>
          <w:snapToGrid w:val="0"/>
        </w:rPr>
        <w:t>.</w:t>
      </w:r>
      <w:r>
        <w:rPr>
          <w:snapToGrid w:val="0"/>
        </w:rPr>
        <w:tab/>
        <w:t>Fees for berthing or mooring on a casual basis</w:t>
      </w:r>
      <w:bookmarkEnd w:id="545"/>
      <w:bookmarkEnd w:id="546"/>
      <w:bookmarkEnd w:id="547"/>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4 Division 3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w:t>
      </w:r>
    </w:p>
    <w:p>
      <w:pPr>
        <w:pStyle w:val="Heading2"/>
      </w:pPr>
      <w:bookmarkStart w:id="548" w:name="_Toc81295517"/>
      <w:bookmarkStart w:id="549" w:name="_Toc92097473"/>
      <w:bookmarkStart w:id="550" w:name="_Toc92858926"/>
      <w:bookmarkStart w:id="551" w:name="_Toc94070536"/>
      <w:bookmarkStart w:id="552" w:name="_Toc95554176"/>
      <w:bookmarkStart w:id="553" w:name="_Toc95559389"/>
      <w:bookmarkStart w:id="554" w:name="_Toc97361774"/>
      <w:bookmarkStart w:id="555" w:name="_Toc97362126"/>
      <w:bookmarkStart w:id="556" w:name="_Toc97530779"/>
      <w:bookmarkStart w:id="557" w:name="_Toc97539251"/>
      <w:bookmarkStart w:id="558" w:name="_Toc98563046"/>
      <w:bookmarkStart w:id="559" w:name="_Toc99266435"/>
      <w:bookmarkStart w:id="560" w:name="_Toc102390956"/>
      <w:bookmarkStart w:id="561" w:name="_Toc170210230"/>
      <w:r>
        <w:rPr>
          <w:rStyle w:val="CharPartNo"/>
        </w:rPr>
        <w:t>Part 3</w:t>
      </w:r>
      <w:r>
        <w:t> — </w:t>
      </w:r>
      <w:r>
        <w:rPr>
          <w:rStyle w:val="CharPartText"/>
        </w:rPr>
        <w:t>Special provisions applying at particular ports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PartText"/>
        </w:rPr>
        <w:t xml:space="preserve"> </w:t>
      </w:r>
    </w:p>
    <w:p>
      <w:pPr>
        <w:pStyle w:val="Footnotesection"/>
      </w:pPr>
      <w:r>
        <w:tab/>
        <w:t xml:space="preserve">[Heading inserted in Gazette 19 May 1989 p. 1494.] </w:t>
      </w:r>
    </w:p>
    <w:p>
      <w:pPr>
        <w:pStyle w:val="Heading3"/>
        <w:rPr>
          <w:snapToGrid w:val="0"/>
        </w:rPr>
      </w:pPr>
      <w:bookmarkStart w:id="562" w:name="_Toc81295518"/>
      <w:bookmarkStart w:id="563" w:name="_Toc92097474"/>
      <w:bookmarkStart w:id="564" w:name="_Toc92858927"/>
      <w:bookmarkStart w:id="565" w:name="_Toc94070537"/>
      <w:bookmarkStart w:id="566" w:name="_Toc95554177"/>
      <w:bookmarkStart w:id="567" w:name="_Toc95559390"/>
      <w:bookmarkStart w:id="568" w:name="_Toc97361775"/>
      <w:bookmarkStart w:id="569" w:name="_Toc97362127"/>
      <w:bookmarkStart w:id="570" w:name="_Toc97530780"/>
      <w:bookmarkStart w:id="571" w:name="_Toc97539252"/>
      <w:bookmarkStart w:id="572" w:name="_Toc98563047"/>
      <w:bookmarkStart w:id="573" w:name="_Toc99266436"/>
      <w:bookmarkStart w:id="574" w:name="_Toc102390957"/>
      <w:bookmarkStart w:id="575" w:name="_Toc170210231"/>
      <w:r>
        <w:rPr>
          <w:rStyle w:val="CharDivNo"/>
        </w:rPr>
        <w:t>Division 1</w:t>
      </w:r>
      <w:r>
        <w:rPr>
          <w:snapToGrid w:val="0"/>
        </w:rPr>
        <w:t> — </w:t>
      </w:r>
      <w:r>
        <w:rPr>
          <w:rStyle w:val="CharDivText"/>
        </w:rPr>
        <w:t>Use of slipways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rPr>
          <w:rStyle w:val="CharDivText"/>
        </w:rPr>
        <w:t xml:space="preserve"> </w:t>
      </w:r>
    </w:p>
    <w:p>
      <w:pPr>
        <w:pStyle w:val="Footnotesection"/>
      </w:pPr>
      <w:r>
        <w:tab/>
        <w:t xml:space="preserve">[Heading inserted in Gazette 19 May 1989 p. 1494.] </w:t>
      </w:r>
    </w:p>
    <w:p>
      <w:pPr>
        <w:pStyle w:val="Heading5"/>
      </w:pPr>
      <w:bookmarkStart w:id="576" w:name="_Toc13117067"/>
      <w:bookmarkStart w:id="577" w:name="_Toc170210232"/>
      <w:bookmarkStart w:id="578" w:name="_Toc454867161"/>
      <w:r>
        <w:rPr>
          <w:rStyle w:val="CharSectno"/>
        </w:rPr>
        <w:t>95</w:t>
      </w:r>
      <w:r>
        <w:t>.</w:t>
      </w:r>
      <w:r>
        <w:tab/>
        <w:t>Management and control of departmental slipways</w:t>
      </w:r>
      <w:bookmarkEnd w:id="576"/>
      <w:bookmarkEnd w:id="577"/>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579" w:name="_Toc13117068"/>
      <w:bookmarkStart w:id="580" w:name="_Toc170210233"/>
      <w:r>
        <w:rPr>
          <w:rStyle w:val="CharSectno"/>
        </w:rPr>
        <w:t>95A</w:t>
      </w:r>
      <w:r>
        <w:rPr>
          <w:snapToGrid w:val="0"/>
        </w:rPr>
        <w:t>.</w:t>
      </w:r>
      <w:r>
        <w:rPr>
          <w:snapToGrid w:val="0"/>
        </w:rPr>
        <w:tab/>
        <w:t>Application for use of slipway</w:t>
      </w:r>
      <w:bookmarkEnd w:id="578"/>
      <w:bookmarkEnd w:id="579"/>
      <w:bookmarkEnd w:id="580"/>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581" w:name="_Toc454867162"/>
      <w:bookmarkStart w:id="582" w:name="_Toc13117069"/>
      <w:bookmarkStart w:id="583" w:name="_Toc170210234"/>
      <w:r>
        <w:rPr>
          <w:rStyle w:val="CharSectno"/>
        </w:rPr>
        <w:t>96</w:t>
      </w:r>
      <w:r>
        <w:rPr>
          <w:snapToGrid w:val="0"/>
        </w:rPr>
        <w:t>.</w:t>
      </w:r>
      <w:r>
        <w:rPr>
          <w:snapToGrid w:val="0"/>
        </w:rPr>
        <w:tab/>
        <w:t>Charges for use of slipway</w:t>
      </w:r>
      <w:bookmarkEnd w:id="581"/>
      <w:bookmarkEnd w:id="582"/>
      <w:bookmarkEnd w:id="583"/>
      <w:r>
        <w:rPr>
          <w:snapToGrid w:val="0"/>
        </w:rPr>
        <w:t xml:space="preserve"> </w:t>
      </w:r>
    </w:p>
    <w:p>
      <w:pPr>
        <w:pStyle w:val="Subsection"/>
        <w:rPr>
          <w:snapToGrid w:val="0"/>
        </w:rPr>
      </w:pPr>
      <w:r>
        <w:rPr>
          <w:snapToGrid w:val="0"/>
        </w:rPr>
        <w:tab/>
        <w:t>(a)</w:t>
      </w:r>
      <w:r>
        <w:rPr>
          <w:snapToGrid w:val="0"/>
        </w:rPr>
        <w:tab/>
        <w:t xml:space="preserve">All vessels shall be charged for services rendered 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w:t>
      </w:r>
    </w:p>
    <w:p>
      <w:pPr>
        <w:pStyle w:val="Heading5"/>
        <w:rPr>
          <w:snapToGrid w:val="0"/>
        </w:rPr>
      </w:pPr>
      <w:bookmarkStart w:id="584" w:name="_Toc454867163"/>
      <w:bookmarkStart w:id="585" w:name="_Toc13117070"/>
      <w:bookmarkStart w:id="586" w:name="_Toc170210235"/>
      <w:r>
        <w:rPr>
          <w:rStyle w:val="CharSectno"/>
        </w:rPr>
        <w:t>97</w:t>
      </w:r>
      <w:r>
        <w:rPr>
          <w:snapToGrid w:val="0"/>
        </w:rPr>
        <w:t>.</w:t>
      </w:r>
      <w:r>
        <w:rPr>
          <w:snapToGrid w:val="0"/>
        </w:rPr>
        <w:tab/>
        <w:t>Government vessels may take precedence</w:t>
      </w:r>
      <w:bookmarkEnd w:id="584"/>
      <w:bookmarkEnd w:id="585"/>
      <w:bookmarkEnd w:id="586"/>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587" w:name="_Toc454867164"/>
      <w:bookmarkStart w:id="588" w:name="_Toc13117071"/>
      <w:bookmarkStart w:id="589" w:name="_Toc170210236"/>
      <w:r>
        <w:rPr>
          <w:rStyle w:val="CharSectno"/>
        </w:rPr>
        <w:t>98</w:t>
      </w:r>
      <w:r>
        <w:rPr>
          <w:snapToGrid w:val="0"/>
        </w:rPr>
        <w:t>.</w:t>
      </w:r>
      <w:r>
        <w:rPr>
          <w:snapToGrid w:val="0"/>
        </w:rPr>
        <w:tab/>
        <w:t>Vessels may forfeit their turn</w:t>
      </w:r>
      <w:bookmarkEnd w:id="587"/>
      <w:bookmarkEnd w:id="588"/>
      <w:bookmarkEnd w:id="589"/>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590" w:name="_Toc454867165"/>
      <w:bookmarkStart w:id="591" w:name="_Toc13117072"/>
      <w:bookmarkStart w:id="592" w:name="_Toc170210237"/>
      <w:r>
        <w:rPr>
          <w:rStyle w:val="CharSectno"/>
        </w:rPr>
        <w:t>99</w:t>
      </w:r>
      <w:r>
        <w:rPr>
          <w:snapToGrid w:val="0"/>
        </w:rPr>
        <w:t>.</w:t>
      </w:r>
      <w:r>
        <w:rPr>
          <w:snapToGrid w:val="0"/>
        </w:rPr>
        <w:tab/>
        <w:t>Department will not undertake repairs, etc.</w:t>
      </w:r>
      <w:bookmarkEnd w:id="590"/>
      <w:bookmarkEnd w:id="591"/>
      <w:bookmarkEnd w:id="592"/>
      <w:r>
        <w:rPr>
          <w:snapToGrid w:val="0"/>
        </w:rPr>
        <w:t xml:space="preserve"> </w:t>
      </w:r>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593" w:name="_Toc454867166"/>
      <w:bookmarkStart w:id="594" w:name="_Toc13117073"/>
      <w:bookmarkStart w:id="595" w:name="_Toc170210238"/>
      <w:r>
        <w:rPr>
          <w:rStyle w:val="CharSectno"/>
        </w:rPr>
        <w:t>100</w:t>
      </w:r>
      <w:r>
        <w:rPr>
          <w:snapToGrid w:val="0"/>
        </w:rPr>
        <w:t>.</w:t>
      </w:r>
      <w:r>
        <w:rPr>
          <w:snapToGrid w:val="0"/>
        </w:rPr>
        <w:tab/>
        <w:t>Department not responsible for damage to vessel when in use of slip</w:t>
      </w:r>
      <w:bookmarkEnd w:id="593"/>
      <w:bookmarkEnd w:id="594"/>
      <w:bookmarkEnd w:id="595"/>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596" w:name="_Toc454867167"/>
      <w:bookmarkStart w:id="597" w:name="_Toc13117074"/>
      <w:bookmarkStart w:id="598" w:name="_Toc170210239"/>
      <w:r>
        <w:rPr>
          <w:rStyle w:val="CharSectno"/>
        </w:rPr>
        <w:t>101</w:t>
      </w:r>
      <w:r>
        <w:rPr>
          <w:snapToGrid w:val="0"/>
        </w:rPr>
        <w:t>.</w:t>
      </w:r>
      <w:r>
        <w:rPr>
          <w:snapToGrid w:val="0"/>
        </w:rPr>
        <w:tab/>
        <w:t>Duties of owner or master using slipway</w:t>
      </w:r>
      <w:bookmarkEnd w:id="596"/>
      <w:bookmarkEnd w:id="597"/>
      <w:bookmarkEnd w:id="598"/>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599" w:name="_Toc454867168"/>
      <w:bookmarkStart w:id="600" w:name="_Toc13117075"/>
      <w:bookmarkStart w:id="601" w:name="_Toc170210240"/>
      <w:r>
        <w:rPr>
          <w:rStyle w:val="CharSectno"/>
        </w:rPr>
        <w:t>101A</w:t>
      </w:r>
      <w:r>
        <w:rPr>
          <w:snapToGrid w:val="0"/>
        </w:rPr>
        <w:t>.</w:t>
      </w:r>
      <w:r>
        <w:rPr>
          <w:snapToGrid w:val="0"/>
        </w:rPr>
        <w:tab/>
        <w:t>Slipping of more than one vessel at a time</w:t>
      </w:r>
      <w:bookmarkEnd w:id="599"/>
      <w:bookmarkEnd w:id="600"/>
      <w:bookmarkEnd w:id="601"/>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rPr>
          <w:snapToGrid w:val="0"/>
        </w:rPr>
      </w:pPr>
      <w:bookmarkStart w:id="602" w:name="_Toc454867169"/>
      <w:bookmarkStart w:id="603" w:name="_Toc13117076"/>
      <w:bookmarkStart w:id="604" w:name="_Toc170210241"/>
      <w:r>
        <w:rPr>
          <w:rStyle w:val="CharSectno"/>
        </w:rPr>
        <w:t>101B</w:t>
      </w:r>
      <w:r>
        <w:rPr>
          <w:snapToGrid w:val="0"/>
        </w:rPr>
        <w:t>.</w:t>
      </w:r>
      <w:r>
        <w:rPr>
          <w:snapToGrid w:val="0"/>
        </w:rPr>
        <w:tab/>
        <w:t>Dispute procedure</w:t>
      </w:r>
      <w:bookmarkEnd w:id="602"/>
      <w:bookmarkEnd w:id="603"/>
      <w:bookmarkEnd w:id="604"/>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pPr>
      <w:r>
        <w:t>[</w:t>
      </w:r>
      <w:r>
        <w:rPr>
          <w:b/>
        </w:rPr>
        <w:t>102-105.</w:t>
      </w:r>
      <w:r>
        <w:tab/>
        <w:t>Repealed in Gazette 24 Nov 1972 p. 4488.]</w:t>
      </w:r>
    </w:p>
    <w:p>
      <w:pPr>
        <w:pStyle w:val="Heading3"/>
        <w:rPr>
          <w:snapToGrid w:val="0"/>
        </w:rPr>
      </w:pPr>
      <w:bookmarkStart w:id="605" w:name="_Toc81295529"/>
      <w:bookmarkStart w:id="606" w:name="_Toc92097485"/>
      <w:bookmarkStart w:id="607" w:name="_Toc92858938"/>
      <w:bookmarkStart w:id="608" w:name="_Toc94070548"/>
      <w:bookmarkStart w:id="609" w:name="_Toc95554188"/>
      <w:bookmarkStart w:id="610" w:name="_Toc95559401"/>
      <w:bookmarkStart w:id="611" w:name="_Toc97361786"/>
      <w:bookmarkStart w:id="612" w:name="_Toc97362138"/>
      <w:bookmarkStart w:id="613" w:name="_Toc97530791"/>
      <w:bookmarkStart w:id="614" w:name="_Toc97539263"/>
      <w:bookmarkStart w:id="615" w:name="_Toc98563058"/>
      <w:bookmarkStart w:id="616" w:name="_Toc99266447"/>
      <w:bookmarkStart w:id="617" w:name="_Toc102390968"/>
      <w:bookmarkStart w:id="618" w:name="_Toc170210242"/>
      <w:r>
        <w:rPr>
          <w:rStyle w:val="CharDivNo"/>
        </w:rPr>
        <w:t>Division 2</w:t>
      </w:r>
      <w:r>
        <w:rPr>
          <w:snapToGrid w:val="0"/>
        </w:rPr>
        <w:t> — </w:t>
      </w:r>
      <w:r>
        <w:rPr>
          <w:rStyle w:val="CharDivText"/>
        </w:rPr>
        <w:t>Use of mooring springs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rPr>
          <w:snapToGrid w:val="0"/>
        </w:rPr>
        <w:t xml:space="preserve"> </w:t>
      </w:r>
    </w:p>
    <w:p>
      <w:pPr>
        <w:pStyle w:val="Footnotesection"/>
      </w:pPr>
      <w:r>
        <w:tab/>
        <w:t xml:space="preserve">[Heading inserted in Gazette 19 May 1989 p. 1494.] </w:t>
      </w:r>
    </w:p>
    <w:p>
      <w:pPr>
        <w:pStyle w:val="Ednotesection"/>
      </w:pPr>
      <w:r>
        <w:t>[</w:t>
      </w:r>
      <w:r>
        <w:rPr>
          <w:b/>
        </w:rPr>
        <w:t>105A</w:t>
      </w:r>
      <w:r>
        <w:rPr>
          <w:b/>
        </w:rPr>
        <w:noBreakHyphen/>
        <w:t>105E.</w:t>
      </w:r>
      <w:r>
        <w:tab/>
        <w:t>Repealed in Gazette 30 Jun 1995 p. 2700.]</w:t>
      </w:r>
    </w:p>
    <w:p>
      <w:pPr>
        <w:pStyle w:val="Heading5"/>
        <w:rPr>
          <w:snapToGrid w:val="0"/>
        </w:rPr>
      </w:pPr>
      <w:bookmarkStart w:id="619" w:name="_Toc454867170"/>
      <w:bookmarkStart w:id="620" w:name="_Toc13117077"/>
      <w:bookmarkStart w:id="621" w:name="_Toc170210243"/>
      <w:r>
        <w:rPr>
          <w:rStyle w:val="CharSectno"/>
        </w:rPr>
        <w:t>105F</w:t>
      </w:r>
      <w:r>
        <w:rPr>
          <w:snapToGrid w:val="0"/>
        </w:rPr>
        <w:t>.</w:t>
      </w:r>
      <w:r>
        <w:rPr>
          <w:snapToGrid w:val="0"/>
        </w:rPr>
        <w:tab/>
        <w:t>Approaching bollard or jetty to which mooring spring or rope fastened</w:t>
      </w:r>
      <w:bookmarkEnd w:id="619"/>
      <w:bookmarkEnd w:id="620"/>
      <w:bookmarkEnd w:id="621"/>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keepNext/>
        <w:keepLines/>
      </w:pPr>
      <w:r>
        <w:t>[</w:t>
      </w:r>
      <w:r>
        <w:rPr>
          <w:b/>
        </w:rPr>
        <w:t>105G, 105H, 105HA, 105HB.</w:t>
      </w:r>
      <w:r>
        <w:tab/>
        <w:t>Repealed in Gazette 30 Jun 1995 p. 2700.]</w:t>
      </w:r>
    </w:p>
    <w:p>
      <w:pPr>
        <w:pStyle w:val="Ednotedivision"/>
      </w:pPr>
      <w:r>
        <w:t>[Division 3 (regulation 105HC) repealed in Gazette 30 Jun 1995 p. 2700.]</w:t>
      </w:r>
    </w:p>
    <w:p>
      <w:pPr>
        <w:pStyle w:val="Heading3"/>
        <w:rPr>
          <w:snapToGrid w:val="0"/>
        </w:rPr>
      </w:pPr>
      <w:bookmarkStart w:id="622" w:name="_Toc81295531"/>
      <w:bookmarkStart w:id="623" w:name="_Toc92097487"/>
      <w:bookmarkStart w:id="624" w:name="_Toc92858940"/>
      <w:bookmarkStart w:id="625" w:name="_Toc94070550"/>
      <w:bookmarkStart w:id="626" w:name="_Toc95554190"/>
      <w:bookmarkStart w:id="627" w:name="_Toc95559403"/>
      <w:bookmarkStart w:id="628" w:name="_Toc97361788"/>
      <w:bookmarkStart w:id="629" w:name="_Toc97362140"/>
      <w:bookmarkStart w:id="630" w:name="_Toc97530793"/>
      <w:bookmarkStart w:id="631" w:name="_Toc97539265"/>
      <w:bookmarkStart w:id="632" w:name="_Toc98563060"/>
      <w:bookmarkStart w:id="633" w:name="_Toc99266449"/>
      <w:bookmarkStart w:id="634" w:name="_Toc102390970"/>
      <w:bookmarkStart w:id="635" w:name="_Toc170210244"/>
      <w:r>
        <w:rPr>
          <w:rStyle w:val="CharDivNo"/>
        </w:rPr>
        <w:t>Division 4</w:t>
      </w:r>
      <w:r>
        <w:rPr>
          <w:snapToGrid w:val="0"/>
        </w:rPr>
        <w:t> — </w:t>
      </w:r>
      <w:r>
        <w:rPr>
          <w:rStyle w:val="CharDivText"/>
        </w:rPr>
        <w:t>Use of weighbridges at Wyndham</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Pr>
          <w:rStyle w:val="CharDivText"/>
        </w:rPr>
        <w:t xml:space="preserve"> </w:t>
      </w:r>
    </w:p>
    <w:p>
      <w:pPr>
        <w:pStyle w:val="Footnotesection"/>
      </w:pPr>
      <w:r>
        <w:tab/>
        <w:t xml:space="preserve">[Heading inserted in Gazette 19 May 1989 p. 1494; amended in Gazette 20 Jun 2000 p. 3044.] </w:t>
      </w:r>
    </w:p>
    <w:p>
      <w:pPr>
        <w:pStyle w:val="Heading5"/>
        <w:rPr>
          <w:snapToGrid w:val="0"/>
        </w:rPr>
      </w:pPr>
      <w:bookmarkStart w:id="636" w:name="_Toc454867171"/>
      <w:bookmarkStart w:id="637" w:name="_Toc13117078"/>
      <w:bookmarkStart w:id="638" w:name="_Toc170210245"/>
      <w:r>
        <w:rPr>
          <w:rStyle w:val="CharSectno"/>
        </w:rPr>
        <w:t>105I</w:t>
      </w:r>
      <w:r>
        <w:rPr>
          <w:snapToGrid w:val="0"/>
        </w:rPr>
        <w:t>.</w:t>
      </w:r>
      <w:r>
        <w:rPr>
          <w:snapToGrid w:val="0"/>
        </w:rPr>
        <w:tab/>
        <w:t>Weighbridge fees</w:t>
      </w:r>
      <w:bookmarkEnd w:id="636"/>
      <w:bookmarkEnd w:id="637"/>
      <w:bookmarkEnd w:id="638"/>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(regulation 105J) repealed in Gazette 30 Jun 1992 p. 2893.]</w:t>
      </w:r>
    </w:p>
    <w:p>
      <w:pPr>
        <w:pStyle w:val="Heading2"/>
      </w:pPr>
      <w:bookmarkStart w:id="639" w:name="_Toc81295533"/>
      <w:bookmarkStart w:id="640" w:name="_Toc92097489"/>
      <w:bookmarkStart w:id="641" w:name="_Toc92858942"/>
      <w:bookmarkStart w:id="642" w:name="_Toc94070552"/>
      <w:bookmarkStart w:id="643" w:name="_Toc95554192"/>
      <w:bookmarkStart w:id="644" w:name="_Toc95559405"/>
      <w:bookmarkStart w:id="645" w:name="_Toc97361790"/>
      <w:bookmarkStart w:id="646" w:name="_Toc97362142"/>
      <w:bookmarkStart w:id="647" w:name="_Toc97530795"/>
      <w:bookmarkStart w:id="648" w:name="_Toc97539267"/>
      <w:bookmarkStart w:id="649" w:name="_Toc98563062"/>
      <w:bookmarkStart w:id="650" w:name="_Toc99266451"/>
      <w:bookmarkStart w:id="651" w:name="_Toc102390972"/>
      <w:bookmarkStart w:id="652" w:name="_Toc170210246"/>
      <w:r>
        <w:rPr>
          <w:rStyle w:val="CharPartNo"/>
        </w:rPr>
        <w:t>Part 4</w:t>
      </w:r>
      <w:r>
        <w:rPr>
          <w:rStyle w:val="CharDivNo"/>
        </w:rPr>
        <w:t> </w:t>
      </w:r>
      <w:r>
        <w:t>—</w:t>
      </w:r>
      <w:r>
        <w:rPr>
          <w:rStyle w:val="CharDivText"/>
        </w:rPr>
        <w:t> </w:t>
      </w:r>
      <w:r>
        <w:rPr>
          <w:rStyle w:val="CharPartText"/>
        </w:rPr>
        <w:t>Breach of regulations and penalties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rPr>
          <w:rStyle w:val="CharPartText"/>
        </w:rPr>
        <w:t xml:space="preserve"> </w:t>
      </w:r>
    </w:p>
    <w:p>
      <w:pPr>
        <w:pStyle w:val="Footnotesection"/>
      </w:pPr>
      <w:r>
        <w:tab/>
        <w:t xml:space="preserve">[Heading inserted in Gazette 19 May 1989 p. 1494.] </w:t>
      </w:r>
    </w:p>
    <w:p>
      <w:pPr>
        <w:pStyle w:val="Heading5"/>
        <w:rPr>
          <w:snapToGrid w:val="0"/>
        </w:rPr>
      </w:pPr>
      <w:bookmarkStart w:id="653" w:name="_Toc454867172"/>
      <w:bookmarkStart w:id="654" w:name="_Toc13117079"/>
      <w:bookmarkStart w:id="655" w:name="_Toc170210247"/>
      <w:r>
        <w:rPr>
          <w:rStyle w:val="CharSectno"/>
        </w:rPr>
        <w:t>106</w:t>
      </w:r>
      <w:r>
        <w:rPr>
          <w:snapToGrid w:val="0"/>
        </w:rPr>
        <w:t>.</w:t>
      </w:r>
      <w:r>
        <w:rPr>
          <w:snapToGrid w:val="0"/>
        </w:rPr>
        <w:tab/>
        <w:t>Powers of officer of Department</w:t>
      </w:r>
      <w:bookmarkEnd w:id="653"/>
      <w:bookmarkEnd w:id="654"/>
      <w:bookmarkEnd w:id="655"/>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656" w:name="_Toc454867173"/>
      <w:bookmarkStart w:id="657" w:name="_Toc13117080"/>
      <w:bookmarkStart w:id="658" w:name="_Toc170210248"/>
      <w:r>
        <w:rPr>
          <w:rStyle w:val="CharSectno"/>
        </w:rPr>
        <w:t>107</w:t>
      </w:r>
      <w:r>
        <w:rPr>
          <w:snapToGrid w:val="0"/>
        </w:rPr>
        <w:t>.</w:t>
      </w:r>
      <w:r>
        <w:rPr>
          <w:snapToGrid w:val="0"/>
        </w:rPr>
        <w:tab/>
        <w:t>Recovery of expenses incurred by breaches of regulations</w:t>
      </w:r>
      <w:bookmarkEnd w:id="656"/>
      <w:bookmarkEnd w:id="657"/>
      <w:bookmarkEnd w:id="658"/>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659" w:name="_Toc454867174"/>
      <w:bookmarkStart w:id="660" w:name="_Toc13117081"/>
      <w:bookmarkStart w:id="661" w:name="_Toc170210249"/>
      <w:r>
        <w:rPr>
          <w:rStyle w:val="CharSectno"/>
        </w:rPr>
        <w:t>107A</w:t>
      </w:r>
      <w:r>
        <w:rPr>
          <w:snapToGrid w:val="0"/>
        </w:rPr>
        <w:t>.</w:t>
      </w:r>
      <w:r>
        <w:rPr>
          <w:snapToGrid w:val="0"/>
        </w:rPr>
        <w:tab/>
        <w:t>Police have authority to enforce regulations</w:t>
      </w:r>
      <w:bookmarkEnd w:id="659"/>
      <w:bookmarkEnd w:id="660"/>
      <w:bookmarkEnd w:id="661"/>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662" w:name="_Toc454867175"/>
      <w:bookmarkStart w:id="663" w:name="_Toc13117082"/>
      <w:bookmarkStart w:id="664" w:name="_Toc170210250"/>
      <w:r>
        <w:rPr>
          <w:rStyle w:val="CharSectno"/>
        </w:rPr>
        <w:t>108</w:t>
      </w:r>
      <w:r>
        <w:rPr>
          <w:snapToGrid w:val="0"/>
        </w:rPr>
        <w:t>.</w:t>
      </w:r>
      <w:r>
        <w:rPr>
          <w:snapToGrid w:val="0"/>
        </w:rPr>
        <w:tab/>
        <w:t>Penalty for offences</w:t>
      </w:r>
      <w:bookmarkEnd w:id="662"/>
      <w:bookmarkEnd w:id="663"/>
      <w:bookmarkEnd w:id="664"/>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rPr>
          <w:rStyle w:val="CharSchNo"/>
        </w:rPr>
      </w:pPr>
      <w:bookmarkStart w:id="665" w:name="_Toc170210251"/>
      <w:bookmarkStart w:id="666" w:name="_Toc98563078"/>
      <w:bookmarkStart w:id="667" w:name="_Toc99266467"/>
      <w:r>
        <w:rPr>
          <w:rStyle w:val="CharSchNo"/>
        </w:rPr>
        <w:t>Schedule 1</w:t>
      </w:r>
      <w:bookmarkEnd w:id="665"/>
    </w:p>
    <w:p>
      <w:pPr>
        <w:pStyle w:val="yFootnoteheading"/>
      </w:pPr>
      <w:r>
        <w:tab/>
        <w:t>[Heading inserted in Gazette 24 Jun 2005 p. 2818.]</w:t>
      </w:r>
    </w:p>
    <w:p>
      <w:pPr>
        <w:pStyle w:val="yNumberedItem"/>
      </w:pPr>
      <w:r>
        <w:t>Note:</w:t>
      </w:r>
      <w:r>
        <w:tab/>
        <w:t>Fees charged per tonne, per cubic metre or per kilolitre are charged per unit or part of a unit (see regulation 25(1a)).</w:t>
      </w:r>
    </w:p>
    <w:p>
      <w:pPr>
        <w:pStyle w:val="yHeading3"/>
      </w:pPr>
      <w:bookmarkStart w:id="668" w:name="_Toc170210252"/>
      <w:r>
        <w:rPr>
          <w:rStyle w:val="CharSDivNo"/>
        </w:rPr>
        <w:t>Division 1</w:t>
      </w:r>
      <w:r>
        <w:rPr>
          <w:b w:val="0"/>
        </w:rPr>
        <w:t> — </w:t>
      </w:r>
      <w:r>
        <w:rPr>
          <w:rStyle w:val="CharSDivText"/>
        </w:rPr>
        <w:t>Berthing dues at Wyndham</w:t>
      </w:r>
      <w:bookmarkEnd w:id="668"/>
    </w:p>
    <w:p>
      <w:pPr>
        <w:pStyle w:val="yShoulderClause"/>
      </w:pPr>
      <w:r>
        <w:t>[r. 6]</w:t>
      </w:r>
    </w:p>
    <w:p>
      <w:pPr>
        <w:pStyle w:val="yFootnoteheading"/>
      </w:pPr>
      <w:r>
        <w:tab/>
        <w:t>[Heading inserted in Gazette 24 Jun 2005 p. 2818.]</w:t>
      </w:r>
    </w:p>
    <w:tbl>
      <w:tblPr>
        <w:tblW w:w="0" w:type="auto"/>
        <w:tblInd w:w="197"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247"/>
        <w:gridCol w:w="3595"/>
        <w:gridCol w:w="1059"/>
      </w:tblGrid>
      <w:tr>
        <w:tc>
          <w:tcPr>
            <w:tcW w:w="2247" w:type="dxa"/>
          </w:tcPr>
          <w:p>
            <w:pPr>
              <w:pStyle w:val="yTable"/>
              <w:spacing w:after="40"/>
              <w:rPr>
                <w:spacing w:val="-2"/>
                <w:sz w:val="20"/>
              </w:rPr>
            </w:pPr>
          </w:p>
        </w:tc>
        <w:tc>
          <w:tcPr>
            <w:tcW w:w="3595" w:type="dxa"/>
          </w:tcPr>
          <w:p>
            <w:pPr>
              <w:pStyle w:val="yTable"/>
              <w:spacing w:after="40"/>
              <w:jc w:val="center"/>
              <w:rPr>
                <w:spacing w:val="-2"/>
                <w:sz w:val="20"/>
              </w:rPr>
            </w:pPr>
            <w:r>
              <w:rPr>
                <w:b/>
                <w:spacing w:val="-2"/>
                <w:sz w:val="20"/>
              </w:rPr>
              <w:t>Rate</w:t>
            </w:r>
          </w:p>
        </w:tc>
        <w:tc>
          <w:tcPr>
            <w:tcW w:w="1059" w:type="dxa"/>
          </w:tcPr>
          <w:p>
            <w:pPr>
              <w:pStyle w:val="yTable"/>
              <w:spacing w:after="40"/>
              <w:jc w:val="center"/>
              <w:rPr>
                <w:spacing w:val="-2"/>
                <w:sz w:val="20"/>
              </w:rPr>
            </w:pPr>
            <w:r>
              <w:rPr>
                <w:b/>
                <w:spacing w:val="-2"/>
                <w:sz w:val="20"/>
              </w:rPr>
              <w:t>Minimum per day</w:t>
            </w:r>
          </w:p>
        </w:tc>
      </w:tr>
      <w:tr>
        <w:tc>
          <w:tcPr>
            <w:tcW w:w="2247" w:type="dxa"/>
            <w:tcBorders>
              <w:bottom w:val="single" w:sz="4" w:space="0" w:color="auto"/>
            </w:tcBorders>
          </w:tcPr>
          <w:p>
            <w:pPr>
              <w:pStyle w:val="yTable"/>
              <w:spacing w:after="40"/>
              <w:rPr>
                <w:spacing w:val="-2"/>
                <w:sz w:val="20"/>
              </w:rPr>
            </w:pPr>
            <w:r>
              <w:rPr>
                <w:spacing w:val="-2"/>
                <w:sz w:val="20"/>
              </w:rPr>
              <w:t>Vessels 300 gross registered tonnes and over</w:t>
            </w:r>
          </w:p>
        </w:tc>
        <w:tc>
          <w:tcPr>
            <w:tcW w:w="3595" w:type="dxa"/>
            <w:tcBorders>
              <w:bottom w:val="single" w:sz="4" w:space="0" w:color="auto"/>
            </w:tcBorders>
          </w:tcPr>
          <w:p>
            <w:pPr>
              <w:pStyle w:val="yTable"/>
              <w:spacing w:after="40"/>
              <w:rPr>
                <w:spacing w:val="-2"/>
                <w:sz w:val="20"/>
              </w:rPr>
            </w:pPr>
            <w:r>
              <w:rPr>
                <w:spacing w:val="-2"/>
                <w:sz w:val="20"/>
              </w:rPr>
              <w:t xml:space="preserve">$0.83 per tonne, per cubic metre or per kilolitre at option of officer in charge, on all cargo landed or shipped </w:t>
            </w:r>
          </w:p>
        </w:tc>
        <w:tc>
          <w:tcPr>
            <w:tcW w:w="1059" w:type="dxa"/>
            <w:tcBorders>
              <w:bottom w:val="single" w:sz="4" w:space="0" w:color="auto"/>
            </w:tcBorders>
          </w:tcPr>
          <w:p>
            <w:pPr>
              <w:pStyle w:val="yTable"/>
              <w:spacing w:after="40"/>
              <w:jc w:val="right"/>
              <w:rPr>
                <w:spacing w:val="-2"/>
                <w:sz w:val="20"/>
              </w:rPr>
            </w:pPr>
            <w:r>
              <w:rPr>
                <w:spacing w:val="-2"/>
                <w:sz w:val="20"/>
              </w:rPr>
              <w:br/>
            </w:r>
            <w:r>
              <w:rPr>
                <w:spacing w:val="-2"/>
                <w:sz w:val="20"/>
              </w:rPr>
              <w:br/>
              <w:t>$127.50</w:t>
            </w:r>
          </w:p>
        </w:tc>
      </w:tr>
      <w:tr>
        <w:tc>
          <w:tcPr>
            <w:tcW w:w="2247" w:type="dxa"/>
            <w:tcBorders>
              <w:bottom w:val="single" w:sz="4" w:space="0" w:color="auto"/>
            </w:tcBorders>
          </w:tcPr>
          <w:p>
            <w:pPr>
              <w:pStyle w:val="yTable"/>
              <w:spacing w:after="40"/>
              <w:rPr>
                <w:spacing w:val="-2"/>
                <w:sz w:val="20"/>
              </w:rPr>
            </w:pPr>
            <w:r>
              <w:rPr>
                <w:spacing w:val="-2"/>
                <w:sz w:val="20"/>
              </w:rPr>
              <w:t>Vessels under 300 gross registered tonnes</w:t>
            </w:r>
          </w:p>
        </w:tc>
        <w:tc>
          <w:tcPr>
            <w:tcW w:w="3595" w:type="dxa"/>
            <w:tcBorders>
              <w:bottom w:val="single" w:sz="4" w:space="0" w:color="auto"/>
            </w:tcBorders>
          </w:tcPr>
          <w:p>
            <w:pPr>
              <w:pStyle w:val="yTable"/>
              <w:spacing w:after="40"/>
              <w:rPr>
                <w:spacing w:val="-2"/>
                <w:sz w:val="20"/>
              </w:rPr>
            </w:pPr>
            <w:r>
              <w:rPr>
                <w:spacing w:val="-2"/>
                <w:sz w:val="20"/>
              </w:rPr>
              <w:br/>
              <w:t>$4.60 per metre, per day or part of a day</w:t>
            </w:r>
          </w:p>
        </w:tc>
        <w:tc>
          <w:tcPr>
            <w:tcW w:w="1059" w:type="dxa"/>
            <w:tcBorders>
              <w:bottom w:val="single" w:sz="4" w:space="0" w:color="auto"/>
            </w:tcBorders>
          </w:tcPr>
          <w:p>
            <w:pPr>
              <w:pStyle w:val="yTable"/>
              <w:spacing w:after="40"/>
              <w:jc w:val="right"/>
              <w:rPr>
                <w:spacing w:val="-2"/>
                <w:sz w:val="20"/>
              </w:rPr>
            </w:pPr>
            <w:r>
              <w:rPr>
                <w:spacing w:val="-2"/>
                <w:sz w:val="20"/>
              </w:rPr>
              <w:br/>
              <w:t>$84.97</w:t>
            </w:r>
          </w:p>
        </w:tc>
      </w:tr>
      <w:tr>
        <w:tc>
          <w:tcPr>
            <w:tcW w:w="2247" w:type="dxa"/>
            <w:tcBorders>
              <w:top w:val="single" w:sz="4" w:space="0" w:color="auto"/>
              <w:bottom w:val="nil"/>
            </w:tcBorders>
          </w:tcPr>
          <w:p>
            <w:pPr>
              <w:pStyle w:val="yTable"/>
              <w:pageBreakBefore/>
              <w:spacing w:after="40"/>
              <w:rPr>
                <w:spacing w:val="-2"/>
                <w:sz w:val="20"/>
              </w:rPr>
            </w:pPr>
            <w:r>
              <w:rPr>
                <w:spacing w:val="-2"/>
                <w:sz w:val="20"/>
              </w:rPr>
              <w:t>Passenger vessels or other vessels using berth for purposes other than cargo handling</w:t>
            </w:r>
          </w:p>
        </w:tc>
        <w:tc>
          <w:tcPr>
            <w:tcW w:w="3595" w:type="dxa"/>
            <w:tcBorders>
              <w:top w:val="single" w:sz="4" w:space="0" w:color="auto"/>
              <w:bottom w:val="nil"/>
            </w:tcBorders>
          </w:tcPr>
          <w:p>
            <w:pPr>
              <w:pStyle w:val="yTable"/>
              <w:keepNext/>
              <w:keepLines/>
              <w:spacing w:after="40"/>
              <w:rPr>
                <w:spacing w:val="-2"/>
                <w:sz w:val="20"/>
              </w:rPr>
            </w:pPr>
            <w:r>
              <w:rPr>
                <w:spacing w:val="-2"/>
                <w:sz w:val="20"/>
              </w:rPr>
              <w:br/>
            </w:r>
            <w:r>
              <w:rPr>
                <w:spacing w:val="-2"/>
                <w:sz w:val="20"/>
              </w:rPr>
              <w:br/>
            </w:r>
            <w:r>
              <w:rPr>
                <w:spacing w:val="-2"/>
                <w:sz w:val="20"/>
              </w:rPr>
              <w:br/>
              <w:t>$4.60 per metre, per day or part of a day</w:t>
            </w:r>
          </w:p>
        </w:tc>
        <w:tc>
          <w:tcPr>
            <w:tcW w:w="1059" w:type="dxa"/>
            <w:tcBorders>
              <w:top w:val="single" w:sz="4" w:space="0" w:color="auto"/>
              <w:bottom w:val="nil"/>
            </w:tcBorders>
          </w:tcPr>
          <w:p>
            <w:pPr>
              <w:pStyle w:val="yTable"/>
              <w:keepNext/>
              <w:keepLines/>
              <w:spacing w:after="40"/>
              <w:jc w:val="right"/>
              <w:rPr>
                <w:spacing w:val="-2"/>
                <w:sz w:val="20"/>
              </w:rPr>
            </w:pPr>
            <w:r>
              <w:rPr>
                <w:spacing w:val="-2"/>
                <w:sz w:val="20"/>
              </w:rPr>
              <w:br/>
            </w:r>
            <w:r>
              <w:rPr>
                <w:spacing w:val="-2"/>
                <w:sz w:val="20"/>
              </w:rPr>
              <w:br/>
            </w:r>
            <w:r>
              <w:rPr>
                <w:spacing w:val="-2"/>
                <w:sz w:val="20"/>
              </w:rPr>
              <w:br/>
              <w:t>$84.97</w:t>
            </w:r>
          </w:p>
        </w:tc>
      </w:tr>
      <w:tr>
        <w:tc>
          <w:tcPr>
            <w:tcW w:w="2247" w:type="dxa"/>
            <w:tcBorders>
              <w:bottom w:val="single" w:sz="4" w:space="0" w:color="auto"/>
            </w:tcBorders>
          </w:tcPr>
          <w:p>
            <w:pPr>
              <w:pStyle w:val="yTable"/>
              <w:spacing w:after="40"/>
              <w:rPr>
                <w:spacing w:val="-2"/>
                <w:sz w:val="20"/>
              </w:rPr>
            </w:pPr>
            <w:r>
              <w:rPr>
                <w:spacing w:val="-2"/>
                <w:sz w:val="20"/>
              </w:rPr>
              <w:t>Containers </w:t>
            </w:r>
            <w:r>
              <w:rPr>
                <w:i/>
                <w:snapToGrid w:val="0"/>
                <w:sz w:val="20"/>
              </w:rPr>
              <w:t>—</w:t>
            </w:r>
            <w:r>
              <w:rPr>
                <w:spacing w:val="-2"/>
                <w:sz w:val="20"/>
              </w:rPr>
              <w:t> </w:t>
            </w:r>
          </w:p>
          <w:p>
            <w:pPr>
              <w:pStyle w:val="yTable"/>
              <w:spacing w:after="40"/>
              <w:ind w:left="482"/>
              <w:rPr>
                <w:spacing w:val="-2"/>
                <w:sz w:val="20"/>
              </w:rPr>
            </w:pPr>
            <w:r>
              <w:rPr>
                <w:spacing w:val="-2"/>
                <w:sz w:val="20"/>
              </w:rPr>
              <w:t>Empty</w:t>
            </w:r>
          </w:p>
          <w:p>
            <w:pPr>
              <w:pStyle w:val="yTable"/>
              <w:spacing w:after="40"/>
              <w:ind w:left="482"/>
              <w:rPr>
                <w:spacing w:val="-2"/>
                <w:sz w:val="20"/>
              </w:rPr>
            </w:pPr>
            <w:r>
              <w:rPr>
                <w:spacing w:val="-2"/>
                <w:sz w:val="20"/>
              </w:rPr>
              <w:t>Loaded</w:t>
            </w:r>
          </w:p>
        </w:tc>
        <w:tc>
          <w:tcPr>
            <w:tcW w:w="3595" w:type="dxa"/>
            <w:tcBorders>
              <w:bottom w:val="single" w:sz="4" w:space="0" w:color="auto"/>
            </w:tcBorders>
          </w:tcPr>
          <w:p>
            <w:pPr>
              <w:pStyle w:val="yTable"/>
              <w:spacing w:after="40"/>
              <w:rPr>
                <w:spacing w:val="-2"/>
                <w:sz w:val="20"/>
              </w:rPr>
            </w:pPr>
          </w:p>
          <w:p>
            <w:pPr>
              <w:pStyle w:val="yTable"/>
              <w:spacing w:after="40"/>
              <w:rPr>
                <w:spacing w:val="-2"/>
                <w:sz w:val="20"/>
              </w:rPr>
            </w:pPr>
            <w:r>
              <w:rPr>
                <w:spacing w:val="-2"/>
                <w:sz w:val="20"/>
              </w:rPr>
              <w:t>$6.61 per container</w:t>
            </w:r>
          </w:p>
          <w:p>
            <w:pPr>
              <w:pStyle w:val="yTable"/>
              <w:spacing w:after="40"/>
              <w:rPr>
                <w:spacing w:val="-2"/>
                <w:sz w:val="20"/>
              </w:rPr>
            </w:pPr>
            <w:r>
              <w:rPr>
                <w:spacing w:val="-2"/>
                <w:sz w:val="20"/>
              </w:rPr>
              <w:t>$21.29 per container</w:t>
            </w:r>
          </w:p>
        </w:tc>
        <w:tc>
          <w:tcPr>
            <w:tcW w:w="1059" w:type="dxa"/>
            <w:tcBorders>
              <w:bottom w:val="single" w:sz="4" w:space="0" w:color="auto"/>
            </w:tcBorders>
          </w:tcPr>
          <w:p>
            <w:pPr>
              <w:pStyle w:val="yTable"/>
              <w:spacing w:after="40"/>
              <w:rPr>
                <w:spacing w:val="-2"/>
                <w:sz w:val="20"/>
              </w:rPr>
            </w:pPr>
          </w:p>
        </w:tc>
      </w:tr>
    </w:tbl>
    <w:p>
      <w:pPr>
        <w:pStyle w:val="yFootnotesection"/>
      </w:pPr>
      <w:r>
        <w:tab/>
        <w:t>[Division 1 inserted in Gazette 24 Jun 2005 p. 2818-19.]</w:t>
      </w:r>
    </w:p>
    <w:p>
      <w:pPr>
        <w:pStyle w:val="yHeading3"/>
      </w:pPr>
      <w:bookmarkStart w:id="669" w:name="_Toc170210253"/>
      <w:r>
        <w:rPr>
          <w:rStyle w:val="CharSDivNo"/>
        </w:rPr>
        <w:t>Division 2</w:t>
      </w:r>
      <w:r>
        <w:rPr>
          <w:b w:val="0"/>
        </w:rPr>
        <w:t> — </w:t>
      </w:r>
      <w:r>
        <w:rPr>
          <w:rStyle w:val="CharSDivText"/>
        </w:rPr>
        <w:t>Wharfage dues and handling and haulage charges</w:t>
      </w:r>
      <w:bookmarkEnd w:id="669"/>
    </w:p>
    <w:p>
      <w:pPr>
        <w:pStyle w:val="yShoulderClause"/>
      </w:pPr>
      <w:r>
        <w:t>[r. 10A]</w:t>
      </w:r>
    </w:p>
    <w:p>
      <w:pPr>
        <w:pStyle w:val="yFootnoteheading"/>
      </w:pPr>
      <w:r>
        <w:tab/>
        <w:t>[Heading inserted in Gazette 24 Jun 2005 p. 2819.]</w:t>
      </w:r>
    </w:p>
    <w:p>
      <w:pPr>
        <w:pStyle w:val="yHeading4"/>
      </w:pPr>
      <w:bookmarkStart w:id="670" w:name="_Toc170210254"/>
      <w:r>
        <w:t>Subdivision 1</w:t>
      </w:r>
      <w:r>
        <w:rPr>
          <w:b w:val="0"/>
        </w:rPr>
        <w:t> — </w:t>
      </w:r>
      <w:r>
        <w:t>Wyndham</w:t>
      </w:r>
      <w:bookmarkEnd w:id="670"/>
    </w:p>
    <w:p>
      <w:pPr>
        <w:pStyle w:val="yFootnoteheading"/>
      </w:pPr>
      <w:r>
        <w:tab/>
        <w:t>[Heading inserted in Gazette 24 Jun 2005 p. 2819.]</w:t>
      </w:r>
    </w:p>
    <w:tbl>
      <w:tblPr>
        <w:tblW w:w="0" w:type="auto"/>
        <w:tblInd w:w="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97"/>
        <w:gridCol w:w="1559"/>
        <w:gridCol w:w="1045"/>
      </w:tblGrid>
      <w:tr>
        <w:tc>
          <w:tcPr>
            <w:tcW w:w="4297" w:type="dxa"/>
          </w:tcPr>
          <w:p>
            <w:pPr>
              <w:pStyle w:val="yTable"/>
              <w:spacing w:after="40"/>
              <w:rPr>
                <w:snapToGrid w:val="0"/>
              </w:rPr>
            </w:pPr>
            <w:r>
              <w:rPr>
                <w:spacing w:val="-2"/>
                <w:sz w:val="20"/>
              </w:rPr>
              <w:t>Cargo in containers (T E U containers) </w:t>
            </w:r>
            <w:r>
              <w:rPr>
                <w:i/>
                <w:snapToGrid w:val="0"/>
                <w:sz w:val="20"/>
              </w:rPr>
              <w:t>—</w:t>
            </w:r>
            <w:r>
              <w:rPr>
                <w:spacing w:val="-2"/>
                <w:sz w:val="20"/>
              </w:rPr>
              <w:t> </w:t>
            </w:r>
          </w:p>
        </w:tc>
        <w:tc>
          <w:tcPr>
            <w:tcW w:w="1559" w:type="dxa"/>
          </w:tcPr>
          <w:p>
            <w:pPr>
              <w:pStyle w:val="yTable"/>
              <w:spacing w:after="40"/>
              <w:rPr>
                <w:snapToGrid w:val="0"/>
              </w:rPr>
            </w:pPr>
          </w:p>
        </w:tc>
        <w:tc>
          <w:tcPr>
            <w:tcW w:w="1045" w:type="dxa"/>
          </w:tcPr>
          <w:p>
            <w:pPr>
              <w:pStyle w:val="yTable"/>
              <w:spacing w:after="40"/>
              <w:rPr>
                <w:snapToGrid w:val="0"/>
              </w:rPr>
            </w:pPr>
          </w:p>
        </w:tc>
      </w:tr>
      <w:tr>
        <w:tc>
          <w:tcPr>
            <w:tcW w:w="4297" w:type="dxa"/>
          </w:tcPr>
          <w:p>
            <w:pPr>
              <w:pStyle w:val="yTable"/>
              <w:spacing w:after="40"/>
              <w:ind w:firstLine="220"/>
              <w:rPr>
                <w:snapToGrid w:val="0"/>
              </w:rPr>
            </w:pPr>
            <w:r>
              <w:rPr>
                <w:spacing w:val="-2"/>
                <w:sz w:val="20"/>
              </w:rPr>
              <w:t>Empty returns</w:t>
            </w:r>
          </w:p>
        </w:tc>
        <w:tc>
          <w:tcPr>
            <w:tcW w:w="1559" w:type="dxa"/>
          </w:tcPr>
          <w:p>
            <w:pPr>
              <w:pStyle w:val="yTable"/>
              <w:spacing w:after="40"/>
              <w:rPr>
                <w:snapToGrid w:val="0"/>
              </w:rPr>
            </w:pPr>
            <w:r>
              <w:rPr>
                <w:spacing w:val="-2"/>
                <w:sz w:val="20"/>
              </w:rPr>
              <w:t>each</w:t>
            </w:r>
          </w:p>
        </w:tc>
        <w:tc>
          <w:tcPr>
            <w:tcW w:w="1045" w:type="dxa"/>
          </w:tcPr>
          <w:p>
            <w:pPr>
              <w:pStyle w:val="yTable"/>
              <w:spacing w:after="40"/>
              <w:jc w:val="right"/>
              <w:rPr>
                <w:snapToGrid w:val="0"/>
              </w:rPr>
            </w:pPr>
            <w:r>
              <w:rPr>
                <w:spacing w:val="-2"/>
                <w:sz w:val="20"/>
              </w:rPr>
              <w:t>$42.58</w:t>
            </w:r>
          </w:p>
        </w:tc>
      </w:tr>
      <w:tr>
        <w:tc>
          <w:tcPr>
            <w:tcW w:w="4297" w:type="dxa"/>
          </w:tcPr>
          <w:p>
            <w:pPr>
              <w:pStyle w:val="yTable"/>
              <w:spacing w:after="40"/>
              <w:ind w:firstLine="220"/>
              <w:rPr>
                <w:snapToGrid w:val="0"/>
              </w:rPr>
            </w:pPr>
            <w:r>
              <w:rPr>
                <w:spacing w:val="-2"/>
                <w:sz w:val="20"/>
              </w:rPr>
              <w:t>Loaded containers </w:t>
            </w:r>
            <w:r>
              <w:rPr>
                <w:i/>
                <w:snapToGrid w:val="0"/>
                <w:sz w:val="20"/>
              </w:rPr>
              <w:t>—</w:t>
            </w:r>
            <w:r>
              <w:rPr>
                <w:spacing w:val="-2"/>
                <w:sz w:val="20"/>
              </w:rPr>
              <w:t> General</w:t>
            </w:r>
          </w:p>
        </w:tc>
        <w:tc>
          <w:tcPr>
            <w:tcW w:w="1559" w:type="dxa"/>
          </w:tcPr>
          <w:p>
            <w:pPr>
              <w:pStyle w:val="yTable"/>
              <w:spacing w:after="40"/>
              <w:rPr>
                <w:snapToGrid w:val="0"/>
              </w:rPr>
            </w:pPr>
            <w:r>
              <w:rPr>
                <w:spacing w:val="-2"/>
                <w:sz w:val="20"/>
              </w:rPr>
              <w:t>each</w:t>
            </w:r>
          </w:p>
        </w:tc>
        <w:tc>
          <w:tcPr>
            <w:tcW w:w="1045" w:type="dxa"/>
          </w:tcPr>
          <w:p>
            <w:pPr>
              <w:pStyle w:val="yTable"/>
              <w:spacing w:after="40"/>
              <w:jc w:val="right"/>
              <w:rPr>
                <w:snapToGrid w:val="0"/>
              </w:rPr>
            </w:pPr>
            <w:r>
              <w:rPr>
                <w:spacing w:val="-2"/>
                <w:sz w:val="20"/>
              </w:rPr>
              <w:t>$146.55</w:t>
            </w:r>
          </w:p>
        </w:tc>
      </w:tr>
      <w:tr>
        <w:tc>
          <w:tcPr>
            <w:tcW w:w="4297" w:type="dxa"/>
          </w:tcPr>
          <w:p>
            <w:pPr>
              <w:pStyle w:val="yTable"/>
              <w:spacing w:after="40"/>
              <w:rPr>
                <w:snapToGrid w:val="0"/>
              </w:rPr>
            </w:pPr>
            <w:r>
              <w:rPr>
                <w:spacing w:val="-2"/>
                <w:sz w:val="20"/>
              </w:rPr>
              <w:t xml:space="preserve">Products of the soil </w:t>
            </w:r>
            <w:r>
              <w:rPr>
                <w:spacing w:val="-2"/>
                <w:sz w:val="18"/>
              </w:rPr>
              <w:t>(unless otherwise stated)</w:t>
            </w:r>
          </w:p>
        </w:tc>
        <w:tc>
          <w:tcPr>
            <w:tcW w:w="1559" w:type="dxa"/>
          </w:tcPr>
          <w:p>
            <w:pPr>
              <w:pStyle w:val="yTable"/>
              <w:spacing w:after="40"/>
              <w:rPr>
                <w:snapToGrid w:val="0"/>
              </w:rPr>
            </w:pPr>
            <w:r>
              <w:rPr>
                <w:spacing w:val="-2"/>
                <w:sz w:val="20"/>
              </w:rPr>
              <w:t>each</w:t>
            </w:r>
          </w:p>
        </w:tc>
        <w:tc>
          <w:tcPr>
            <w:tcW w:w="1045" w:type="dxa"/>
          </w:tcPr>
          <w:p>
            <w:pPr>
              <w:pStyle w:val="yTable"/>
              <w:spacing w:after="40"/>
              <w:jc w:val="right"/>
              <w:rPr>
                <w:snapToGrid w:val="0"/>
              </w:rPr>
            </w:pPr>
            <w:r>
              <w:rPr>
                <w:spacing w:val="-2"/>
                <w:sz w:val="20"/>
              </w:rPr>
              <w:t>$46.37</w:t>
            </w:r>
          </w:p>
        </w:tc>
      </w:tr>
      <w:tr>
        <w:tc>
          <w:tcPr>
            <w:tcW w:w="4297" w:type="dxa"/>
          </w:tcPr>
          <w:p>
            <w:pPr>
              <w:pStyle w:val="yTable"/>
              <w:spacing w:after="40"/>
              <w:rPr>
                <w:snapToGrid w:val="0"/>
              </w:rPr>
            </w:pPr>
            <w:r>
              <w:rPr>
                <w:spacing w:val="-2"/>
                <w:sz w:val="20"/>
              </w:rPr>
              <w:t>Fertilisers</w:t>
            </w:r>
          </w:p>
        </w:tc>
        <w:tc>
          <w:tcPr>
            <w:tcW w:w="1559" w:type="dxa"/>
          </w:tcPr>
          <w:p>
            <w:pPr>
              <w:pStyle w:val="yTable"/>
              <w:spacing w:after="40"/>
              <w:rPr>
                <w:snapToGrid w:val="0"/>
              </w:rPr>
            </w:pPr>
            <w:r>
              <w:rPr>
                <w:spacing w:val="-2"/>
                <w:sz w:val="20"/>
              </w:rPr>
              <w:t>each</w:t>
            </w:r>
          </w:p>
        </w:tc>
        <w:tc>
          <w:tcPr>
            <w:tcW w:w="1045" w:type="dxa"/>
          </w:tcPr>
          <w:p>
            <w:pPr>
              <w:pStyle w:val="yTable"/>
              <w:spacing w:after="40"/>
              <w:jc w:val="right"/>
              <w:rPr>
                <w:snapToGrid w:val="0"/>
              </w:rPr>
            </w:pPr>
            <w:r>
              <w:rPr>
                <w:spacing w:val="-2"/>
                <w:sz w:val="20"/>
              </w:rPr>
              <w:t>$73.89</w:t>
            </w:r>
          </w:p>
        </w:tc>
      </w:tr>
      <w:tr>
        <w:tc>
          <w:tcPr>
            <w:tcW w:w="4297" w:type="dxa"/>
          </w:tcPr>
          <w:p>
            <w:pPr>
              <w:pStyle w:val="yTable"/>
              <w:spacing w:after="40"/>
              <w:rPr>
                <w:spacing w:val="-2"/>
                <w:sz w:val="20"/>
              </w:rPr>
            </w:pPr>
            <w:r>
              <w:rPr>
                <w:spacing w:val="-2"/>
                <w:sz w:val="20"/>
              </w:rPr>
              <w:t>Explosives</w:t>
            </w:r>
          </w:p>
        </w:tc>
        <w:tc>
          <w:tcPr>
            <w:tcW w:w="1559" w:type="dxa"/>
          </w:tcPr>
          <w:p>
            <w:pPr>
              <w:pStyle w:val="yTable"/>
              <w:spacing w:after="40"/>
              <w:rPr>
                <w:spacing w:val="-2"/>
                <w:sz w:val="20"/>
              </w:rPr>
            </w:pPr>
            <w:r>
              <w:rPr>
                <w:spacing w:val="-2"/>
                <w:sz w:val="20"/>
              </w:rPr>
              <w:t>each</w:t>
            </w:r>
          </w:p>
        </w:tc>
        <w:tc>
          <w:tcPr>
            <w:tcW w:w="1045" w:type="dxa"/>
          </w:tcPr>
          <w:p>
            <w:pPr>
              <w:pStyle w:val="yTable"/>
              <w:spacing w:after="40"/>
              <w:jc w:val="right"/>
              <w:rPr>
                <w:spacing w:val="-2"/>
                <w:sz w:val="20"/>
              </w:rPr>
            </w:pPr>
            <w:r>
              <w:rPr>
                <w:spacing w:val="-2"/>
                <w:sz w:val="20"/>
              </w:rPr>
              <w:t>$91.44</w:t>
            </w:r>
          </w:p>
        </w:tc>
      </w:tr>
      <w:tr>
        <w:tc>
          <w:tcPr>
            <w:tcW w:w="4297" w:type="dxa"/>
          </w:tcPr>
          <w:p>
            <w:pPr>
              <w:pStyle w:val="yTable"/>
              <w:spacing w:after="40"/>
              <w:rPr>
                <w:spacing w:val="-2"/>
                <w:sz w:val="20"/>
              </w:rPr>
            </w:pPr>
            <w:r>
              <w:rPr>
                <w:spacing w:val="-2"/>
                <w:sz w:val="20"/>
              </w:rPr>
              <w:t>Empty returns (other than T E U Containers)</w:t>
            </w:r>
          </w:p>
        </w:tc>
        <w:tc>
          <w:tcPr>
            <w:tcW w:w="1559" w:type="dxa"/>
          </w:tcPr>
          <w:p>
            <w:pPr>
              <w:pStyle w:val="yTable"/>
              <w:spacing w:after="40"/>
              <w:rPr>
                <w:spacing w:val="-2"/>
                <w:sz w:val="20"/>
              </w:rPr>
            </w:pPr>
            <w:r>
              <w:rPr>
                <w:spacing w:val="-2"/>
                <w:sz w:val="20"/>
              </w:rPr>
              <w:t>per tonne or m</w:t>
            </w:r>
            <w:r>
              <w:rPr>
                <w:spacing w:val="-2"/>
                <w:sz w:val="20"/>
                <w:vertAlign w:val="superscript"/>
              </w:rPr>
              <w:t>3</w:t>
            </w:r>
          </w:p>
        </w:tc>
        <w:tc>
          <w:tcPr>
            <w:tcW w:w="1045" w:type="dxa"/>
          </w:tcPr>
          <w:p>
            <w:pPr>
              <w:pStyle w:val="yTable"/>
              <w:spacing w:after="40"/>
              <w:jc w:val="right"/>
              <w:rPr>
                <w:spacing w:val="-2"/>
                <w:sz w:val="20"/>
              </w:rPr>
            </w:pPr>
            <w:r>
              <w:rPr>
                <w:spacing w:val="-2"/>
                <w:sz w:val="20"/>
              </w:rPr>
              <w:t>$1.82</w:t>
            </w:r>
          </w:p>
        </w:tc>
      </w:tr>
      <w:tr>
        <w:tc>
          <w:tcPr>
            <w:tcW w:w="4297" w:type="dxa"/>
          </w:tcPr>
          <w:p>
            <w:pPr>
              <w:pStyle w:val="yTable"/>
              <w:spacing w:after="40"/>
              <w:rPr>
                <w:spacing w:val="-2"/>
                <w:sz w:val="20"/>
              </w:rPr>
            </w:pPr>
            <w:r>
              <w:rPr>
                <w:spacing w:val="-2"/>
                <w:sz w:val="20"/>
              </w:rPr>
              <w:t>Explosives</w:t>
            </w:r>
          </w:p>
        </w:tc>
        <w:tc>
          <w:tcPr>
            <w:tcW w:w="1559" w:type="dxa"/>
          </w:tcPr>
          <w:p>
            <w:pPr>
              <w:pStyle w:val="yTable"/>
              <w:spacing w:after="40"/>
              <w:rPr>
                <w:spacing w:val="-2"/>
                <w:sz w:val="20"/>
              </w:rPr>
            </w:pPr>
            <w:r>
              <w:rPr>
                <w:spacing w:val="-2"/>
                <w:sz w:val="20"/>
              </w:rPr>
              <w:t>per tonne or m</w:t>
            </w:r>
            <w:r>
              <w:rPr>
                <w:spacing w:val="-2"/>
                <w:sz w:val="20"/>
                <w:vertAlign w:val="superscript"/>
              </w:rPr>
              <w:t>3</w:t>
            </w:r>
          </w:p>
        </w:tc>
        <w:tc>
          <w:tcPr>
            <w:tcW w:w="1045" w:type="dxa"/>
          </w:tcPr>
          <w:p>
            <w:pPr>
              <w:pStyle w:val="yTable"/>
              <w:spacing w:after="40"/>
              <w:jc w:val="right"/>
              <w:rPr>
                <w:spacing w:val="-2"/>
                <w:sz w:val="20"/>
              </w:rPr>
            </w:pPr>
            <w:r>
              <w:rPr>
                <w:spacing w:val="-2"/>
                <w:sz w:val="20"/>
              </w:rPr>
              <w:t>$3.15</w:t>
            </w:r>
          </w:p>
        </w:tc>
      </w:tr>
      <w:tr>
        <w:tc>
          <w:tcPr>
            <w:tcW w:w="4297" w:type="dxa"/>
          </w:tcPr>
          <w:p>
            <w:pPr>
              <w:pStyle w:val="yTable"/>
              <w:spacing w:after="40"/>
              <w:rPr>
                <w:spacing w:val="-2"/>
                <w:sz w:val="20"/>
              </w:rPr>
            </w:pPr>
            <w:r>
              <w:rPr>
                <w:spacing w:val="-2"/>
                <w:sz w:val="20"/>
              </w:rPr>
              <w:t>Fertiliser</w:t>
            </w:r>
          </w:p>
        </w:tc>
        <w:tc>
          <w:tcPr>
            <w:tcW w:w="1559" w:type="dxa"/>
          </w:tcPr>
          <w:p>
            <w:pPr>
              <w:pStyle w:val="yTable"/>
              <w:spacing w:after="40"/>
              <w:rPr>
                <w:spacing w:val="-2"/>
                <w:sz w:val="20"/>
              </w:rPr>
            </w:pPr>
            <w:r>
              <w:rPr>
                <w:spacing w:val="-2"/>
                <w:sz w:val="20"/>
              </w:rPr>
              <w:t>per tonne or m</w:t>
            </w:r>
            <w:r>
              <w:rPr>
                <w:spacing w:val="-2"/>
                <w:sz w:val="20"/>
                <w:vertAlign w:val="superscript"/>
              </w:rPr>
              <w:t>3</w:t>
            </w:r>
          </w:p>
        </w:tc>
        <w:tc>
          <w:tcPr>
            <w:tcW w:w="1045" w:type="dxa"/>
          </w:tcPr>
          <w:p>
            <w:pPr>
              <w:pStyle w:val="yTable"/>
              <w:spacing w:after="40"/>
              <w:jc w:val="right"/>
              <w:rPr>
                <w:spacing w:val="-2"/>
                <w:sz w:val="20"/>
              </w:rPr>
            </w:pPr>
            <w:r>
              <w:rPr>
                <w:spacing w:val="-2"/>
                <w:sz w:val="20"/>
              </w:rPr>
              <w:t>$2.55</w:t>
            </w:r>
          </w:p>
        </w:tc>
      </w:tr>
      <w:tr>
        <w:tc>
          <w:tcPr>
            <w:tcW w:w="4297" w:type="dxa"/>
          </w:tcPr>
          <w:p>
            <w:pPr>
              <w:pStyle w:val="yTable"/>
              <w:spacing w:after="40"/>
              <w:rPr>
                <w:spacing w:val="-2"/>
                <w:sz w:val="20"/>
              </w:rPr>
            </w:pPr>
            <w:r>
              <w:rPr>
                <w:spacing w:val="-2"/>
                <w:sz w:val="20"/>
              </w:rPr>
              <w:t>Bullocks, cows, etc.</w:t>
            </w:r>
          </w:p>
        </w:tc>
        <w:tc>
          <w:tcPr>
            <w:tcW w:w="1559" w:type="dxa"/>
          </w:tcPr>
          <w:p>
            <w:pPr>
              <w:pStyle w:val="yTable"/>
              <w:spacing w:after="40"/>
              <w:rPr>
                <w:spacing w:val="-2"/>
                <w:sz w:val="20"/>
              </w:rPr>
            </w:pPr>
            <w:r>
              <w:rPr>
                <w:spacing w:val="-2"/>
                <w:sz w:val="20"/>
              </w:rPr>
              <w:t>each</w:t>
            </w:r>
          </w:p>
        </w:tc>
        <w:tc>
          <w:tcPr>
            <w:tcW w:w="1045" w:type="dxa"/>
          </w:tcPr>
          <w:p>
            <w:pPr>
              <w:pStyle w:val="yTable"/>
              <w:spacing w:after="40"/>
              <w:jc w:val="right"/>
              <w:rPr>
                <w:spacing w:val="-2"/>
                <w:sz w:val="20"/>
              </w:rPr>
            </w:pPr>
            <w:r>
              <w:rPr>
                <w:spacing w:val="-2"/>
                <w:sz w:val="20"/>
              </w:rPr>
              <w:t>$1.82</w:t>
            </w:r>
          </w:p>
        </w:tc>
      </w:tr>
      <w:tr>
        <w:tc>
          <w:tcPr>
            <w:tcW w:w="4297" w:type="dxa"/>
          </w:tcPr>
          <w:p>
            <w:pPr>
              <w:pStyle w:val="yTable"/>
              <w:spacing w:after="40"/>
              <w:rPr>
                <w:spacing w:val="-2"/>
                <w:sz w:val="20"/>
              </w:rPr>
            </w:pPr>
            <w:r>
              <w:rPr>
                <w:spacing w:val="-2"/>
                <w:sz w:val="20"/>
              </w:rPr>
              <w:t>Pigs, sheep, goats and dogs</w:t>
            </w:r>
          </w:p>
        </w:tc>
        <w:tc>
          <w:tcPr>
            <w:tcW w:w="1559" w:type="dxa"/>
          </w:tcPr>
          <w:p>
            <w:pPr>
              <w:pStyle w:val="yTable"/>
              <w:spacing w:after="40"/>
              <w:rPr>
                <w:spacing w:val="-2"/>
                <w:sz w:val="20"/>
              </w:rPr>
            </w:pPr>
            <w:r>
              <w:rPr>
                <w:spacing w:val="-2"/>
                <w:sz w:val="20"/>
              </w:rPr>
              <w:t>each</w:t>
            </w:r>
          </w:p>
        </w:tc>
        <w:tc>
          <w:tcPr>
            <w:tcW w:w="1045" w:type="dxa"/>
          </w:tcPr>
          <w:p>
            <w:pPr>
              <w:pStyle w:val="yTable"/>
              <w:spacing w:after="40"/>
              <w:jc w:val="right"/>
              <w:rPr>
                <w:spacing w:val="-2"/>
                <w:sz w:val="20"/>
              </w:rPr>
            </w:pPr>
            <w:r>
              <w:rPr>
                <w:spacing w:val="-2"/>
                <w:sz w:val="20"/>
              </w:rPr>
              <w:t>$0.38</w:t>
            </w:r>
          </w:p>
        </w:tc>
      </w:tr>
      <w:tr>
        <w:tc>
          <w:tcPr>
            <w:tcW w:w="4297" w:type="dxa"/>
          </w:tcPr>
          <w:p>
            <w:pPr>
              <w:pStyle w:val="yTable"/>
              <w:spacing w:after="40"/>
              <w:rPr>
                <w:spacing w:val="-2"/>
                <w:sz w:val="20"/>
              </w:rPr>
            </w:pPr>
            <w:r>
              <w:rPr>
                <w:spacing w:val="-2"/>
                <w:sz w:val="20"/>
              </w:rPr>
              <w:t>Meat </w:t>
            </w:r>
            <w:r>
              <w:rPr>
                <w:i/>
                <w:snapToGrid w:val="0"/>
                <w:sz w:val="20"/>
              </w:rPr>
              <w:t>—</w:t>
            </w:r>
            <w:r>
              <w:rPr>
                <w:spacing w:val="-2"/>
                <w:sz w:val="20"/>
              </w:rPr>
              <w:t>  chilled or frozen</w:t>
            </w:r>
          </w:p>
        </w:tc>
        <w:tc>
          <w:tcPr>
            <w:tcW w:w="1559" w:type="dxa"/>
          </w:tcPr>
          <w:p>
            <w:pPr>
              <w:pStyle w:val="yTable"/>
              <w:spacing w:after="40"/>
              <w:rPr>
                <w:spacing w:val="-2"/>
                <w:sz w:val="20"/>
              </w:rPr>
            </w:pPr>
            <w:r>
              <w:rPr>
                <w:spacing w:val="-2"/>
                <w:sz w:val="20"/>
              </w:rPr>
              <w:t>per tonne or m</w:t>
            </w:r>
            <w:r>
              <w:rPr>
                <w:spacing w:val="-2"/>
                <w:sz w:val="20"/>
                <w:vertAlign w:val="superscript"/>
              </w:rPr>
              <w:t>3</w:t>
            </w:r>
          </w:p>
        </w:tc>
        <w:tc>
          <w:tcPr>
            <w:tcW w:w="1045" w:type="dxa"/>
          </w:tcPr>
          <w:p>
            <w:pPr>
              <w:pStyle w:val="yTable"/>
              <w:spacing w:after="40"/>
              <w:jc w:val="right"/>
              <w:rPr>
                <w:spacing w:val="-2"/>
                <w:sz w:val="20"/>
              </w:rPr>
            </w:pPr>
            <w:r>
              <w:rPr>
                <w:spacing w:val="-2"/>
                <w:sz w:val="20"/>
              </w:rPr>
              <w:t>$3.00</w:t>
            </w:r>
          </w:p>
        </w:tc>
      </w:tr>
      <w:tr>
        <w:tc>
          <w:tcPr>
            <w:tcW w:w="4297" w:type="dxa"/>
          </w:tcPr>
          <w:p>
            <w:pPr>
              <w:pStyle w:val="yTable"/>
              <w:spacing w:after="40"/>
            </w:pPr>
            <w:r>
              <w:rPr>
                <w:spacing w:val="-2"/>
                <w:sz w:val="20"/>
              </w:rPr>
              <w:t>Bulk Products </w:t>
            </w:r>
            <w:r>
              <w:rPr>
                <w:i/>
                <w:snapToGrid w:val="0"/>
                <w:sz w:val="20"/>
              </w:rPr>
              <w:t>—</w:t>
            </w:r>
            <w:r>
              <w:rPr>
                <w:spacing w:val="-2"/>
                <w:sz w:val="20"/>
              </w:rPr>
              <w:t> </w:t>
            </w:r>
          </w:p>
          <w:p>
            <w:pPr>
              <w:pStyle w:val="yTable"/>
              <w:spacing w:after="40"/>
              <w:ind w:firstLine="220"/>
              <w:rPr>
                <w:spacing w:val="-2"/>
                <w:sz w:val="20"/>
              </w:rPr>
            </w:pPr>
            <w:r>
              <w:rPr>
                <w:spacing w:val="-2"/>
                <w:sz w:val="20"/>
              </w:rPr>
              <w:t>By pipeline</w:t>
            </w:r>
          </w:p>
        </w:tc>
        <w:tc>
          <w:tcPr>
            <w:tcW w:w="1559" w:type="dxa"/>
          </w:tcPr>
          <w:p>
            <w:pPr>
              <w:pStyle w:val="yTable"/>
              <w:spacing w:after="40"/>
              <w:ind w:left="340"/>
              <w:rPr>
                <w:spacing w:val="-2"/>
                <w:sz w:val="20"/>
              </w:rPr>
            </w:pPr>
          </w:p>
          <w:p>
            <w:pPr>
              <w:pStyle w:val="yTable"/>
              <w:spacing w:after="40"/>
              <w:rPr>
                <w:spacing w:val="-2"/>
                <w:sz w:val="20"/>
              </w:rPr>
            </w:pPr>
            <w:r>
              <w:rPr>
                <w:spacing w:val="-2"/>
                <w:sz w:val="20"/>
              </w:rPr>
              <w:t>per kilolitre</w:t>
            </w:r>
          </w:p>
        </w:tc>
        <w:tc>
          <w:tcPr>
            <w:tcW w:w="1045" w:type="dxa"/>
          </w:tcPr>
          <w:p>
            <w:pPr>
              <w:pStyle w:val="yTable"/>
              <w:spacing w:after="40"/>
              <w:ind w:left="340"/>
              <w:jc w:val="right"/>
              <w:rPr>
                <w:spacing w:val="-2"/>
                <w:sz w:val="20"/>
              </w:rPr>
            </w:pPr>
          </w:p>
          <w:p>
            <w:pPr>
              <w:pStyle w:val="yTable"/>
              <w:spacing w:after="40"/>
              <w:jc w:val="right"/>
              <w:rPr>
                <w:spacing w:val="-2"/>
                <w:sz w:val="20"/>
              </w:rPr>
            </w:pPr>
            <w:r>
              <w:rPr>
                <w:spacing w:val="-2"/>
                <w:sz w:val="20"/>
              </w:rPr>
              <w:t>$7.77</w:t>
            </w:r>
          </w:p>
        </w:tc>
      </w:tr>
      <w:tr>
        <w:tc>
          <w:tcPr>
            <w:tcW w:w="4297" w:type="dxa"/>
          </w:tcPr>
          <w:p>
            <w:pPr>
              <w:pStyle w:val="yTable"/>
              <w:spacing w:after="40"/>
              <w:ind w:left="361" w:hanging="141"/>
              <w:rPr>
                <w:spacing w:val="-2"/>
                <w:sz w:val="20"/>
              </w:rPr>
            </w:pPr>
            <w:r>
              <w:rPr>
                <w:spacing w:val="-2"/>
                <w:sz w:val="20"/>
              </w:rPr>
              <w:t>By pipeline involving use of road tanker on jetty</w:t>
            </w:r>
          </w:p>
        </w:tc>
        <w:tc>
          <w:tcPr>
            <w:tcW w:w="1559" w:type="dxa"/>
          </w:tcPr>
          <w:p>
            <w:pPr>
              <w:pStyle w:val="yTable"/>
              <w:spacing w:after="40"/>
              <w:ind w:left="33" w:hanging="33"/>
              <w:rPr>
                <w:spacing w:val="-2"/>
                <w:sz w:val="20"/>
              </w:rPr>
            </w:pPr>
            <w:r>
              <w:rPr>
                <w:spacing w:val="-2"/>
                <w:sz w:val="20"/>
              </w:rPr>
              <w:t>per kilolitre</w:t>
            </w:r>
          </w:p>
        </w:tc>
        <w:tc>
          <w:tcPr>
            <w:tcW w:w="1045" w:type="dxa"/>
          </w:tcPr>
          <w:p>
            <w:pPr>
              <w:pStyle w:val="yTable"/>
              <w:spacing w:after="40"/>
              <w:jc w:val="right"/>
              <w:rPr>
                <w:spacing w:val="-2"/>
                <w:sz w:val="20"/>
              </w:rPr>
            </w:pPr>
            <w:r>
              <w:rPr>
                <w:spacing w:val="-2"/>
                <w:sz w:val="20"/>
              </w:rPr>
              <w:t>$8.07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PrEx>
        <w:tc>
          <w:tcPr>
            <w:tcW w:w="4297" w:type="dxa"/>
            <w:tcBorders>
              <w:top w:val="single" w:sz="4" w:space="0" w:color="auto"/>
              <w:left w:val="single" w:sz="4" w:space="0" w:color="auto"/>
              <w:bottom w:val="single" w:sz="4" w:space="0" w:color="auto"/>
              <w:right w:val="single" w:sz="4" w:space="0" w:color="auto"/>
            </w:tcBorders>
          </w:tcPr>
          <w:p>
            <w:pPr>
              <w:pStyle w:val="yTable"/>
              <w:spacing w:after="40"/>
              <w:rPr>
                <w:spacing w:val="-2"/>
                <w:sz w:val="20"/>
              </w:rPr>
            </w:pPr>
            <w:r>
              <w:rPr>
                <w:spacing w:val="-2"/>
                <w:sz w:val="20"/>
              </w:rPr>
              <w:t>Bulk ore</w:t>
            </w:r>
          </w:p>
        </w:tc>
        <w:tc>
          <w:tcPr>
            <w:tcW w:w="1559" w:type="dxa"/>
            <w:tcBorders>
              <w:top w:val="single" w:sz="4" w:space="0" w:color="auto"/>
              <w:left w:val="single" w:sz="4" w:space="0" w:color="auto"/>
              <w:bottom w:val="single" w:sz="4" w:space="0" w:color="auto"/>
              <w:right w:val="single" w:sz="4" w:space="0" w:color="auto"/>
            </w:tcBorders>
          </w:tcPr>
          <w:p>
            <w:pPr>
              <w:pStyle w:val="yTable"/>
              <w:spacing w:after="40"/>
              <w:rPr>
                <w:spacing w:val="-2"/>
                <w:sz w:val="20"/>
              </w:rPr>
            </w:pPr>
            <w:r>
              <w:rPr>
                <w:spacing w:val="-2"/>
                <w:sz w:val="20"/>
              </w:rPr>
              <w:t>per tonne</w:t>
            </w:r>
          </w:p>
        </w:tc>
        <w:tc>
          <w:tcPr>
            <w:tcW w:w="1045" w:type="dxa"/>
            <w:tcBorders>
              <w:top w:val="single" w:sz="4" w:space="0" w:color="auto"/>
              <w:left w:val="single" w:sz="4" w:space="0" w:color="auto"/>
              <w:bottom w:val="single" w:sz="4" w:space="0" w:color="auto"/>
              <w:right w:val="single" w:sz="4" w:space="0" w:color="auto"/>
            </w:tcBorders>
          </w:tcPr>
          <w:p>
            <w:pPr>
              <w:pStyle w:val="yTable"/>
              <w:spacing w:after="40"/>
              <w:jc w:val="right"/>
              <w:rPr>
                <w:spacing w:val="-2"/>
                <w:sz w:val="20"/>
              </w:rPr>
            </w:pPr>
            <w:r>
              <w:rPr>
                <w:spacing w:val="-2"/>
                <w:sz w:val="20"/>
              </w:rPr>
              <w:t>$2.50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PrEx>
        <w:tc>
          <w:tcPr>
            <w:tcW w:w="4297" w:type="dxa"/>
            <w:tcBorders>
              <w:top w:val="single" w:sz="4" w:space="0" w:color="auto"/>
              <w:left w:val="single" w:sz="4" w:space="0" w:color="auto"/>
              <w:bottom w:val="single" w:sz="4" w:space="0" w:color="auto"/>
              <w:right w:val="single" w:sz="4" w:space="0" w:color="auto"/>
            </w:tcBorders>
          </w:tcPr>
          <w:p>
            <w:pPr>
              <w:pStyle w:val="yTable"/>
              <w:spacing w:after="40"/>
              <w:rPr>
                <w:spacing w:val="-2"/>
                <w:sz w:val="20"/>
              </w:rPr>
            </w:pPr>
            <w:r>
              <w:rPr>
                <w:spacing w:val="-2"/>
                <w:sz w:val="20"/>
              </w:rPr>
              <w:t>Products of the soil of the State, except otherwise stated (exported)</w:t>
            </w:r>
          </w:p>
        </w:tc>
        <w:tc>
          <w:tcPr>
            <w:tcW w:w="1559" w:type="dxa"/>
            <w:tcBorders>
              <w:top w:val="single" w:sz="4" w:space="0" w:color="auto"/>
              <w:left w:val="single" w:sz="4" w:space="0" w:color="auto"/>
              <w:bottom w:val="single" w:sz="4" w:space="0" w:color="auto"/>
              <w:right w:val="single" w:sz="4" w:space="0" w:color="auto"/>
            </w:tcBorders>
          </w:tcPr>
          <w:p>
            <w:pPr>
              <w:pStyle w:val="yTable"/>
              <w:spacing w:after="40"/>
              <w:rPr>
                <w:spacing w:val="-2"/>
                <w:sz w:val="20"/>
              </w:rPr>
            </w:pPr>
            <w:r>
              <w:rPr>
                <w:spacing w:val="-2"/>
                <w:sz w:val="20"/>
              </w:rPr>
              <w:br/>
              <w:t>per tonne or m</w:t>
            </w:r>
            <w:r>
              <w:rPr>
                <w:spacing w:val="-2"/>
                <w:sz w:val="20"/>
                <w:vertAlign w:val="superscript"/>
              </w:rPr>
              <w:t>3</w:t>
            </w:r>
          </w:p>
        </w:tc>
        <w:tc>
          <w:tcPr>
            <w:tcW w:w="1045" w:type="dxa"/>
            <w:tcBorders>
              <w:top w:val="single" w:sz="4" w:space="0" w:color="auto"/>
              <w:left w:val="single" w:sz="4" w:space="0" w:color="auto"/>
              <w:bottom w:val="single" w:sz="4" w:space="0" w:color="auto"/>
              <w:right w:val="single" w:sz="4" w:space="0" w:color="auto"/>
            </w:tcBorders>
          </w:tcPr>
          <w:p>
            <w:pPr>
              <w:pStyle w:val="yTable"/>
              <w:spacing w:after="40"/>
              <w:jc w:val="right"/>
              <w:rPr>
                <w:spacing w:val="-2"/>
                <w:sz w:val="20"/>
              </w:rPr>
            </w:pPr>
            <w:r>
              <w:rPr>
                <w:spacing w:val="-2"/>
                <w:sz w:val="20"/>
              </w:rPr>
              <w:br/>
              <w:t>$1.70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PrEx>
        <w:tc>
          <w:tcPr>
            <w:tcW w:w="4297" w:type="dxa"/>
            <w:tcBorders>
              <w:top w:val="single" w:sz="4" w:space="0" w:color="auto"/>
              <w:left w:val="single" w:sz="4" w:space="0" w:color="auto"/>
              <w:bottom w:val="single" w:sz="4" w:space="0" w:color="auto"/>
              <w:right w:val="single" w:sz="4" w:space="0" w:color="auto"/>
            </w:tcBorders>
          </w:tcPr>
          <w:p>
            <w:pPr>
              <w:pStyle w:val="yTable"/>
              <w:pageBreakBefore/>
              <w:spacing w:after="40"/>
              <w:rPr>
                <w:spacing w:val="-2"/>
                <w:sz w:val="20"/>
              </w:rPr>
            </w:pPr>
            <w:r>
              <w:rPr>
                <w:spacing w:val="-2"/>
                <w:sz w:val="20"/>
              </w:rPr>
              <w:t>Vehicles </w:t>
            </w:r>
            <w:r>
              <w:rPr>
                <w:i/>
                <w:snapToGrid w:val="0"/>
                <w:sz w:val="20"/>
              </w:rPr>
              <w:t>—</w:t>
            </w:r>
            <w:r>
              <w:rPr>
                <w:spacing w:val="-2"/>
                <w:sz w:val="20"/>
              </w:rPr>
              <w:t> </w:t>
            </w:r>
          </w:p>
          <w:p>
            <w:pPr>
              <w:pStyle w:val="yTable"/>
              <w:spacing w:after="40"/>
              <w:ind w:left="340" w:hanging="97"/>
              <w:rPr>
                <w:spacing w:val="-2"/>
                <w:sz w:val="20"/>
              </w:rPr>
            </w:pPr>
            <w:r>
              <w:rPr>
                <w:spacing w:val="-2"/>
                <w:sz w:val="20"/>
              </w:rPr>
              <w:t>Commercial vehicles on own wheels</w:t>
            </w:r>
          </w:p>
        </w:tc>
        <w:tc>
          <w:tcPr>
            <w:tcW w:w="1559" w:type="dxa"/>
            <w:tcBorders>
              <w:top w:val="single" w:sz="4" w:space="0" w:color="auto"/>
              <w:left w:val="single" w:sz="4" w:space="0" w:color="auto"/>
              <w:bottom w:val="single" w:sz="4" w:space="0" w:color="auto"/>
              <w:right w:val="single" w:sz="4" w:space="0" w:color="auto"/>
            </w:tcBorders>
          </w:tcPr>
          <w:p>
            <w:pPr>
              <w:pStyle w:val="yTable"/>
              <w:spacing w:after="40"/>
              <w:rPr>
                <w:spacing w:val="-2"/>
                <w:sz w:val="20"/>
              </w:rPr>
            </w:pPr>
          </w:p>
          <w:p>
            <w:pPr>
              <w:pStyle w:val="yTable"/>
              <w:spacing w:after="40"/>
              <w:rPr>
                <w:spacing w:val="-2"/>
                <w:sz w:val="20"/>
              </w:rPr>
            </w:pPr>
            <w:r>
              <w:rPr>
                <w:spacing w:val="-2"/>
                <w:sz w:val="20"/>
              </w:rPr>
              <w:t>per tonne or m</w:t>
            </w:r>
            <w:r>
              <w:rPr>
                <w:spacing w:val="-2"/>
                <w:sz w:val="20"/>
                <w:vertAlign w:val="superscript"/>
              </w:rPr>
              <w:t>3</w:t>
            </w:r>
          </w:p>
        </w:tc>
        <w:tc>
          <w:tcPr>
            <w:tcW w:w="1045" w:type="dxa"/>
            <w:tcBorders>
              <w:top w:val="single" w:sz="4" w:space="0" w:color="auto"/>
              <w:left w:val="single" w:sz="4" w:space="0" w:color="auto"/>
              <w:bottom w:val="single" w:sz="4" w:space="0" w:color="auto"/>
              <w:right w:val="single" w:sz="4" w:space="0" w:color="auto"/>
            </w:tcBorders>
          </w:tcPr>
          <w:p>
            <w:pPr>
              <w:pStyle w:val="yTable"/>
              <w:spacing w:after="40"/>
              <w:jc w:val="right"/>
              <w:rPr>
                <w:spacing w:val="-2"/>
                <w:sz w:val="20"/>
              </w:rPr>
            </w:pPr>
          </w:p>
          <w:p>
            <w:pPr>
              <w:pStyle w:val="yTable"/>
              <w:spacing w:after="40"/>
              <w:jc w:val="right"/>
              <w:rPr>
                <w:spacing w:val="-2"/>
                <w:sz w:val="20"/>
              </w:rPr>
            </w:pPr>
            <w:r>
              <w:rPr>
                <w:spacing w:val="-2"/>
                <w:sz w:val="20"/>
              </w:rPr>
              <w:t>$3.00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PrEx>
        <w:tc>
          <w:tcPr>
            <w:tcW w:w="4297" w:type="dxa"/>
            <w:tcBorders>
              <w:left w:val="single" w:sz="4" w:space="0" w:color="auto"/>
              <w:right w:val="single" w:sz="4" w:space="0" w:color="auto"/>
            </w:tcBorders>
          </w:tcPr>
          <w:p>
            <w:pPr>
              <w:pStyle w:val="yTable"/>
              <w:spacing w:after="40"/>
              <w:ind w:left="341" w:hanging="98"/>
              <w:rPr>
                <w:spacing w:val="-2"/>
                <w:sz w:val="20"/>
              </w:rPr>
            </w:pPr>
            <w:r>
              <w:rPr>
                <w:spacing w:val="-2"/>
                <w:sz w:val="20"/>
              </w:rPr>
              <w:t>Motor cars and utilities on own wheels</w:t>
            </w:r>
          </w:p>
        </w:tc>
        <w:tc>
          <w:tcPr>
            <w:tcW w:w="1559" w:type="dxa"/>
            <w:tcBorders>
              <w:left w:val="single" w:sz="4" w:space="0" w:color="auto"/>
              <w:right w:val="single" w:sz="4" w:space="0" w:color="auto"/>
            </w:tcBorders>
          </w:tcPr>
          <w:p>
            <w:pPr>
              <w:pStyle w:val="yTable"/>
              <w:spacing w:after="40"/>
              <w:rPr>
                <w:spacing w:val="-2"/>
                <w:sz w:val="20"/>
              </w:rPr>
            </w:pPr>
            <w:r>
              <w:rPr>
                <w:spacing w:val="-2"/>
                <w:sz w:val="20"/>
              </w:rPr>
              <w:t>per tonne or m</w:t>
            </w:r>
            <w:r>
              <w:rPr>
                <w:spacing w:val="-2"/>
                <w:sz w:val="20"/>
                <w:vertAlign w:val="superscript"/>
              </w:rPr>
              <w:t>3</w:t>
            </w:r>
          </w:p>
        </w:tc>
        <w:tc>
          <w:tcPr>
            <w:tcW w:w="1045" w:type="dxa"/>
            <w:tcBorders>
              <w:left w:val="single" w:sz="4" w:space="0" w:color="auto"/>
              <w:right w:val="single" w:sz="4" w:space="0" w:color="auto"/>
            </w:tcBorders>
          </w:tcPr>
          <w:p>
            <w:pPr>
              <w:pStyle w:val="yTable"/>
              <w:spacing w:after="40"/>
              <w:jc w:val="right"/>
              <w:rPr>
                <w:spacing w:val="-2"/>
                <w:sz w:val="20"/>
              </w:rPr>
            </w:pPr>
            <w:r>
              <w:rPr>
                <w:spacing w:val="-2"/>
                <w:sz w:val="20"/>
              </w:rPr>
              <w:t>$2.88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PrEx>
        <w:tc>
          <w:tcPr>
            <w:tcW w:w="4297" w:type="dxa"/>
            <w:tcBorders>
              <w:top w:val="single" w:sz="4" w:space="0" w:color="auto"/>
              <w:left w:val="single" w:sz="4" w:space="0" w:color="auto"/>
              <w:right w:val="single" w:sz="4" w:space="0" w:color="auto"/>
            </w:tcBorders>
          </w:tcPr>
          <w:p>
            <w:pPr>
              <w:pStyle w:val="yTable"/>
              <w:spacing w:after="40"/>
              <w:ind w:left="-41"/>
              <w:rPr>
                <w:spacing w:val="-2"/>
                <w:sz w:val="20"/>
              </w:rPr>
            </w:pPr>
            <w:r>
              <w:rPr>
                <w:spacing w:val="-2"/>
                <w:sz w:val="20"/>
              </w:rPr>
              <w:t>Other cargo </w:t>
            </w:r>
            <w:r>
              <w:rPr>
                <w:i/>
                <w:snapToGrid w:val="0"/>
                <w:sz w:val="20"/>
              </w:rPr>
              <w:t>—</w:t>
            </w:r>
            <w:r>
              <w:rPr>
                <w:spacing w:val="-2"/>
                <w:sz w:val="20"/>
              </w:rPr>
              <w:t> </w:t>
            </w:r>
          </w:p>
          <w:p>
            <w:pPr>
              <w:pStyle w:val="yTable"/>
              <w:spacing w:after="40"/>
              <w:ind w:left="340" w:hanging="97"/>
              <w:rPr>
                <w:spacing w:val="-2"/>
                <w:sz w:val="20"/>
              </w:rPr>
            </w:pPr>
            <w:r>
              <w:rPr>
                <w:spacing w:val="-2"/>
                <w:sz w:val="20"/>
              </w:rPr>
              <w:t>General cargo</w:t>
            </w:r>
          </w:p>
        </w:tc>
        <w:tc>
          <w:tcPr>
            <w:tcW w:w="1559" w:type="dxa"/>
            <w:tcBorders>
              <w:top w:val="single" w:sz="4" w:space="0" w:color="auto"/>
              <w:left w:val="single" w:sz="4" w:space="0" w:color="auto"/>
              <w:right w:val="single" w:sz="4" w:space="0" w:color="auto"/>
            </w:tcBorders>
          </w:tcPr>
          <w:p>
            <w:pPr>
              <w:pStyle w:val="yTable"/>
              <w:spacing w:after="40"/>
              <w:rPr>
                <w:spacing w:val="-2"/>
                <w:sz w:val="20"/>
              </w:rPr>
            </w:pPr>
          </w:p>
          <w:p>
            <w:pPr>
              <w:pStyle w:val="yTable"/>
              <w:spacing w:after="40"/>
              <w:rPr>
                <w:spacing w:val="-2"/>
                <w:sz w:val="20"/>
              </w:rPr>
            </w:pPr>
            <w:r>
              <w:rPr>
                <w:spacing w:val="-2"/>
                <w:sz w:val="20"/>
              </w:rPr>
              <w:t>per tonne or m</w:t>
            </w:r>
            <w:r>
              <w:rPr>
                <w:spacing w:val="-2"/>
                <w:sz w:val="20"/>
                <w:vertAlign w:val="superscript"/>
              </w:rPr>
              <w:t>3</w:t>
            </w:r>
          </w:p>
        </w:tc>
        <w:tc>
          <w:tcPr>
            <w:tcW w:w="1045" w:type="dxa"/>
            <w:tcBorders>
              <w:top w:val="single" w:sz="4" w:space="0" w:color="auto"/>
              <w:left w:val="single" w:sz="4" w:space="0" w:color="auto"/>
              <w:right w:val="single" w:sz="4" w:space="0" w:color="auto"/>
            </w:tcBorders>
          </w:tcPr>
          <w:p>
            <w:pPr>
              <w:pStyle w:val="yTable"/>
              <w:spacing w:after="40"/>
              <w:jc w:val="right"/>
              <w:rPr>
                <w:spacing w:val="-2"/>
                <w:sz w:val="20"/>
              </w:rPr>
            </w:pPr>
          </w:p>
          <w:p>
            <w:pPr>
              <w:pStyle w:val="yTable"/>
              <w:spacing w:after="40"/>
              <w:jc w:val="right"/>
              <w:rPr>
                <w:spacing w:val="-2"/>
                <w:sz w:val="20"/>
              </w:rPr>
            </w:pPr>
            <w:r>
              <w:rPr>
                <w:spacing w:val="-2"/>
                <w:sz w:val="20"/>
              </w:rPr>
              <w:t>$4.95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PrEx>
        <w:tc>
          <w:tcPr>
            <w:tcW w:w="4297" w:type="dxa"/>
            <w:tcBorders>
              <w:top w:val="single" w:sz="4" w:space="0" w:color="auto"/>
              <w:left w:val="single" w:sz="4" w:space="0" w:color="auto"/>
              <w:bottom w:val="single" w:sz="4" w:space="0" w:color="auto"/>
              <w:right w:val="single" w:sz="4" w:space="0" w:color="auto"/>
            </w:tcBorders>
          </w:tcPr>
          <w:p>
            <w:pPr>
              <w:pStyle w:val="yTable"/>
              <w:spacing w:after="40"/>
              <w:rPr>
                <w:spacing w:val="-2"/>
                <w:sz w:val="20"/>
              </w:rPr>
            </w:pPr>
            <w:r>
              <w:rPr>
                <w:spacing w:val="-2"/>
                <w:sz w:val="20"/>
              </w:rPr>
              <w:t>Recreational vessels</w:t>
            </w:r>
          </w:p>
        </w:tc>
        <w:tc>
          <w:tcPr>
            <w:tcW w:w="1559" w:type="dxa"/>
            <w:tcBorders>
              <w:top w:val="single" w:sz="4" w:space="0" w:color="auto"/>
              <w:left w:val="single" w:sz="4" w:space="0" w:color="auto"/>
              <w:bottom w:val="single" w:sz="4" w:space="0" w:color="auto"/>
              <w:right w:val="single" w:sz="4" w:space="0" w:color="auto"/>
            </w:tcBorders>
          </w:tcPr>
          <w:p>
            <w:pPr>
              <w:pStyle w:val="yTable"/>
              <w:spacing w:after="40"/>
              <w:rPr>
                <w:spacing w:val="-2"/>
                <w:sz w:val="20"/>
              </w:rPr>
            </w:pPr>
            <w:r>
              <w:rPr>
                <w:spacing w:val="-2"/>
                <w:sz w:val="20"/>
              </w:rPr>
              <w:t>per metre</w:t>
            </w:r>
          </w:p>
        </w:tc>
        <w:tc>
          <w:tcPr>
            <w:tcW w:w="1045" w:type="dxa"/>
            <w:tcBorders>
              <w:top w:val="single" w:sz="4" w:space="0" w:color="auto"/>
              <w:left w:val="single" w:sz="4" w:space="0" w:color="auto"/>
              <w:bottom w:val="single" w:sz="4" w:space="0" w:color="auto"/>
              <w:right w:val="single" w:sz="4" w:space="0" w:color="auto"/>
            </w:tcBorders>
          </w:tcPr>
          <w:p>
            <w:pPr>
              <w:pStyle w:val="yTable"/>
              <w:spacing w:after="40"/>
              <w:jc w:val="right"/>
              <w:rPr>
                <w:spacing w:val="-2"/>
                <w:sz w:val="20"/>
              </w:rPr>
            </w:pPr>
            <w:r>
              <w:rPr>
                <w:spacing w:val="-2"/>
                <w:sz w:val="20"/>
              </w:rPr>
              <w:t>$11.34</w:t>
            </w:r>
          </w:p>
        </w:tc>
      </w:tr>
    </w:tbl>
    <w:p>
      <w:pPr>
        <w:pStyle w:val="yMiscellaneousBody"/>
        <w:rPr>
          <w:snapToGrid w:val="0"/>
        </w:rPr>
      </w:pPr>
      <w:r>
        <w:rPr>
          <w:snapToGrid w:val="0"/>
        </w:rPr>
        <w:t>Notes:</w:t>
      </w:r>
    </w:p>
    <w:p>
      <w:pPr>
        <w:pStyle w:val="yNumberedItem"/>
      </w:pPr>
      <w:r>
        <w:t>1.</w:t>
      </w:r>
      <w:r>
        <w:tab/>
        <w:t>The empty rate relates only to containers used in connection with the carriage of cargo through the port.</w:t>
      </w:r>
    </w:p>
    <w:p>
      <w:pPr>
        <w:pStyle w:val="yNumberedItem"/>
      </w:pPr>
      <w:r>
        <w:t>2.</w:t>
      </w:r>
      <w:r>
        <w:tab/>
        <w:t>Charges for any unspecified services are dependent on the type of service.</w:t>
      </w:r>
    </w:p>
    <w:p>
      <w:pPr>
        <w:pStyle w:val="yNumberedItem"/>
      </w:pPr>
      <w:r>
        <w:t>3.</w:t>
      </w:r>
      <w:r>
        <w:tab/>
        <w:t>Under regulation 13, the Port Manager may make extra charges for handling packages over one tonne in weight, or of an exceptional shape, or where extra labour is required or unusual risk is involved.</w:t>
      </w:r>
    </w:p>
    <w:p>
      <w:pPr>
        <w:pStyle w:val="yNumberedItem"/>
      </w:pPr>
      <w:r>
        <w:t>4.</w:t>
      </w:r>
      <w:r>
        <w:tab/>
        <w:t>Under regulation 35, the Port Manager may make an extra charge if insufficiently packed goods involve additional labour or risk.</w:t>
      </w:r>
    </w:p>
    <w:p>
      <w:pPr>
        <w:pStyle w:val="yHeading4"/>
      </w:pPr>
      <w:bookmarkStart w:id="671" w:name="_Toc170210255"/>
      <w:r>
        <w:t>Subdivision 2</w:t>
      </w:r>
      <w:r>
        <w:rPr>
          <w:b w:val="0"/>
        </w:rPr>
        <w:t> — </w:t>
      </w:r>
      <w:r>
        <w:t>Bremer Bay</w:t>
      </w:r>
      <w:bookmarkEnd w:id="671"/>
    </w:p>
    <w:p>
      <w:pPr>
        <w:pStyle w:val="yFootnoteheading"/>
      </w:pPr>
      <w:r>
        <w:tab/>
        <w:t>[Heading inserted in Gazette 24 Jun 2005 p. 2820.]</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77"/>
        <w:gridCol w:w="3738"/>
      </w:tblGrid>
      <w:tr>
        <w:trPr>
          <w:cantSplit/>
        </w:trPr>
        <w:tc>
          <w:tcPr>
            <w:tcW w:w="3177" w:type="dxa"/>
          </w:tcPr>
          <w:p>
            <w:pPr>
              <w:pStyle w:val="yTable"/>
              <w:keepNext/>
              <w:keepLines/>
              <w:spacing w:after="40"/>
              <w:rPr>
                <w:b/>
                <w:spacing w:val="-2"/>
                <w:sz w:val="20"/>
              </w:rPr>
            </w:pPr>
            <w:r>
              <w:rPr>
                <w:b/>
                <w:spacing w:val="-2"/>
                <w:sz w:val="20"/>
              </w:rPr>
              <w:t>Fishing Product Wharfage Fee —</w:t>
            </w:r>
          </w:p>
        </w:tc>
        <w:tc>
          <w:tcPr>
            <w:tcW w:w="3738" w:type="dxa"/>
          </w:tcPr>
          <w:p>
            <w:pPr>
              <w:pStyle w:val="yTable"/>
              <w:keepNext/>
              <w:keepLines/>
              <w:spacing w:after="40"/>
              <w:rPr>
                <w:spacing w:val="-2"/>
                <w:sz w:val="20"/>
              </w:rPr>
            </w:pPr>
          </w:p>
        </w:tc>
      </w:tr>
      <w:tr>
        <w:trPr>
          <w:cantSplit/>
        </w:trPr>
        <w:tc>
          <w:tcPr>
            <w:tcW w:w="3177" w:type="dxa"/>
          </w:tcPr>
          <w:p>
            <w:pPr>
              <w:pStyle w:val="yTable"/>
              <w:spacing w:after="40"/>
              <w:ind w:left="342" w:hanging="142"/>
              <w:rPr>
                <w:spacing w:val="-2"/>
                <w:sz w:val="20"/>
              </w:rPr>
            </w:pPr>
            <w:r>
              <w:rPr>
                <w:spacing w:val="-2"/>
                <w:sz w:val="20"/>
              </w:rPr>
              <w:t>products other than purse seine</w:t>
            </w:r>
          </w:p>
        </w:tc>
        <w:tc>
          <w:tcPr>
            <w:tcW w:w="3738" w:type="dxa"/>
          </w:tcPr>
          <w:p>
            <w:pPr>
              <w:pStyle w:val="yTable"/>
              <w:spacing w:after="40"/>
              <w:rPr>
                <w:spacing w:val="-2"/>
                <w:sz w:val="20"/>
              </w:rPr>
            </w:pPr>
            <w:r>
              <w:rPr>
                <w:spacing w:val="-2"/>
                <w:sz w:val="20"/>
              </w:rPr>
              <w:t>$23.71/t</w:t>
            </w:r>
          </w:p>
        </w:tc>
      </w:tr>
      <w:tr>
        <w:trPr>
          <w:cantSplit/>
        </w:trPr>
        <w:tc>
          <w:tcPr>
            <w:tcW w:w="3177" w:type="dxa"/>
          </w:tcPr>
          <w:p>
            <w:pPr>
              <w:pStyle w:val="yTable"/>
              <w:spacing w:after="40"/>
              <w:ind w:left="200"/>
              <w:rPr>
                <w:spacing w:val="-2"/>
                <w:sz w:val="20"/>
              </w:rPr>
            </w:pPr>
            <w:r>
              <w:rPr>
                <w:spacing w:val="-2"/>
                <w:sz w:val="20"/>
              </w:rPr>
              <w:t>purse seine products where allocated quota for region is —</w:t>
            </w:r>
          </w:p>
        </w:tc>
        <w:tc>
          <w:tcPr>
            <w:tcW w:w="3738" w:type="dxa"/>
          </w:tcPr>
          <w:p>
            <w:pPr>
              <w:pStyle w:val="yTable"/>
              <w:spacing w:after="40"/>
              <w:rPr>
                <w:spacing w:val="-2"/>
                <w:sz w:val="20"/>
              </w:rPr>
            </w:pPr>
          </w:p>
        </w:tc>
      </w:tr>
      <w:tr>
        <w:trPr>
          <w:cantSplit/>
        </w:trPr>
        <w:tc>
          <w:tcPr>
            <w:tcW w:w="3177" w:type="dxa"/>
          </w:tcPr>
          <w:p>
            <w:pPr>
              <w:pStyle w:val="yTable"/>
              <w:spacing w:after="40"/>
              <w:ind w:left="483"/>
              <w:rPr>
                <w:spacing w:val="-2"/>
                <w:sz w:val="20"/>
              </w:rPr>
            </w:pPr>
            <w:r>
              <w:rPr>
                <w:spacing w:val="-2"/>
                <w:sz w:val="20"/>
              </w:rPr>
              <w:t>less than 1 500 tonnes</w:t>
            </w:r>
          </w:p>
        </w:tc>
        <w:tc>
          <w:tcPr>
            <w:tcW w:w="3738" w:type="dxa"/>
          </w:tcPr>
          <w:p>
            <w:pPr>
              <w:pStyle w:val="yTable"/>
              <w:spacing w:after="40"/>
              <w:rPr>
                <w:spacing w:val="-2"/>
                <w:sz w:val="20"/>
              </w:rPr>
            </w:pPr>
            <w:r>
              <w:rPr>
                <w:spacing w:val="-2"/>
                <w:sz w:val="20"/>
              </w:rPr>
              <w:t>$11.86/t</w:t>
            </w:r>
          </w:p>
        </w:tc>
      </w:tr>
      <w:tr>
        <w:trPr>
          <w:cantSplit/>
        </w:trPr>
        <w:tc>
          <w:tcPr>
            <w:tcW w:w="3177" w:type="dxa"/>
            <w:tcBorders>
              <w:bottom w:val="nil"/>
            </w:tcBorders>
          </w:tcPr>
          <w:p>
            <w:pPr>
              <w:pStyle w:val="yTable"/>
              <w:ind w:left="483"/>
              <w:rPr>
                <w:spacing w:val="-2"/>
                <w:sz w:val="20"/>
              </w:rPr>
            </w:pPr>
            <w:r>
              <w:rPr>
                <w:spacing w:val="-2"/>
                <w:sz w:val="20"/>
              </w:rPr>
              <w:t xml:space="preserve">over 1 500, but less than 2 000, tonnes </w:t>
            </w:r>
          </w:p>
        </w:tc>
        <w:tc>
          <w:tcPr>
            <w:tcW w:w="3738" w:type="dxa"/>
            <w:tcBorders>
              <w:bottom w:val="nil"/>
            </w:tcBorders>
          </w:tcPr>
          <w:p>
            <w:pPr>
              <w:pStyle w:val="yTable"/>
              <w:rPr>
                <w:spacing w:val="-2"/>
                <w:sz w:val="20"/>
              </w:rPr>
            </w:pPr>
            <w:r>
              <w:rPr>
                <w:spacing w:val="-2"/>
                <w:sz w:val="20"/>
              </w:rPr>
              <w:br/>
              <w:t>$17.78/t</w:t>
            </w:r>
          </w:p>
        </w:tc>
      </w:tr>
      <w:tr>
        <w:tblPrEx>
          <w:tblBorders>
            <w:bottom w:val="double" w:sz="4" w:space="0" w:color="auto"/>
          </w:tblBorders>
          <w:tblCellMar>
            <w:left w:w="108" w:type="dxa"/>
            <w:right w:w="108" w:type="dxa"/>
          </w:tblCellMar>
        </w:tblPrEx>
        <w:trPr>
          <w:cantSplit/>
        </w:trPr>
        <w:tc>
          <w:tcPr>
            <w:tcW w:w="3177" w:type="dxa"/>
            <w:tcBorders>
              <w:bottom w:val="nil"/>
            </w:tcBorders>
          </w:tcPr>
          <w:p>
            <w:pPr>
              <w:pStyle w:val="yTable"/>
              <w:ind w:left="482"/>
              <w:rPr>
                <w:sz w:val="20"/>
              </w:rPr>
            </w:pPr>
            <w:r>
              <w:rPr>
                <w:sz w:val="20"/>
              </w:rPr>
              <w:t xml:space="preserve">2 000 </w:t>
            </w:r>
            <w:r>
              <w:rPr>
                <w:spacing w:val="-2"/>
                <w:sz w:val="20"/>
              </w:rPr>
              <w:t>tonnes</w:t>
            </w:r>
            <w:r>
              <w:rPr>
                <w:sz w:val="20"/>
              </w:rPr>
              <w:t xml:space="preserve"> or over</w:t>
            </w:r>
          </w:p>
        </w:tc>
        <w:tc>
          <w:tcPr>
            <w:tcW w:w="3738" w:type="dxa"/>
            <w:tcBorders>
              <w:bottom w:val="nil"/>
            </w:tcBorders>
          </w:tcPr>
          <w:p>
            <w:pPr>
              <w:pStyle w:val="yTable"/>
              <w:rPr>
                <w:sz w:val="20"/>
              </w:rPr>
            </w:pPr>
            <w:r>
              <w:rPr>
                <w:sz w:val="20"/>
              </w:rPr>
              <w:t>$23.71/t</w:t>
            </w:r>
          </w:p>
        </w:tc>
      </w:tr>
      <w:tr>
        <w:tblPrEx>
          <w:tblBorders>
            <w:bottom w:val="double" w:sz="4" w:space="0" w:color="auto"/>
          </w:tblBorders>
          <w:tblCellMar>
            <w:left w:w="108" w:type="dxa"/>
            <w:right w:w="108" w:type="dxa"/>
          </w:tblCellMar>
        </w:tblPrEx>
        <w:trPr>
          <w:cantSplit/>
        </w:trPr>
        <w:tc>
          <w:tcPr>
            <w:tcW w:w="3177" w:type="dxa"/>
            <w:tcBorders>
              <w:bottom w:val="single" w:sz="4" w:space="0" w:color="auto"/>
            </w:tcBorders>
          </w:tcPr>
          <w:p>
            <w:pPr>
              <w:pStyle w:val="yTable"/>
              <w:spacing w:after="40"/>
              <w:rPr>
                <w:sz w:val="20"/>
              </w:rPr>
            </w:pPr>
            <w:r>
              <w:rPr>
                <w:b/>
                <w:sz w:val="20"/>
              </w:rPr>
              <w:t>General Cargo Wharfage Fee</w:t>
            </w:r>
            <w:r>
              <w:rPr>
                <w:sz w:val="20"/>
              </w:rPr>
              <w:t xml:space="preserve"> </w:t>
            </w:r>
            <w:r>
              <w:rPr>
                <w:sz w:val="20"/>
              </w:rPr>
              <w:br/>
              <w:t>(fish bait exempt)</w:t>
            </w:r>
          </w:p>
        </w:tc>
        <w:tc>
          <w:tcPr>
            <w:tcW w:w="3738" w:type="dxa"/>
            <w:tcBorders>
              <w:bottom w:val="single" w:sz="4" w:space="0" w:color="auto"/>
            </w:tcBorders>
          </w:tcPr>
          <w:p>
            <w:pPr>
              <w:pStyle w:val="yTable"/>
              <w:spacing w:after="40"/>
              <w:rPr>
                <w:sz w:val="20"/>
                <w:vertAlign w:val="superscript"/>
              </w:rPr>
            </w:pPr>
            <w:r>
              <w:rPr>
                <w:sz w:val="20"/>
              </w:rPr>
              <w:br/>
              <w:t>$23.71/t or m</w:t>
            </w:r>
            <w:r>
              <w:rPr>
                <w:sz w:val="20"/>
                <w:vertAlign w:val="superscript"/>
              </w:rPr>
              <w:t>3</w:t>
            </w:r>
          </w:p>
        </w:tc>
      </w:tr>
    </w:tbl>
    <w:p>
      <w:pPr>
        <w:pStyle w:val="yNumberedItem"/>
        <w:rPr>
          <w:snapToGrid w:val="0"/>
        </w:rPr>
      </w:pPr>
      <w:r>
        <w:rPr>
          <w:snapToGrid w:val="0"/>
        </w:rPr>
        <w:t>Note:</w:t>
      </w:r>
      <w:r>
        <w:rPr>
          <w:snapToGrid w:val="0"/>
        </w:rPr>
        <w:tab/>
        <w:t>If this charge is paid due to the loading or unloading of fishing product, then no casual berthing fee is payable (see Schedule 4 Division 1).  This charge is payable in addition to mooring fees.</w:t>
      </w:r>
    </w:p>
    <w:p>
      <w:pPr>
        <w:pStyle w:val="yHeading4"/>
      </w:pPr>
      <w:bookmarkStart w:id="672" w:name="_Toc170210256"/>
      <w:r>
        <w:t>Subdivision 3</w:t>
      </w:r>
      <w:r>
        <w:rPr>
          <w:b w:val="0"/>
        </w:rPr>
        <w:t> — </w:t>
      </w:r>
      <w:r>
        <w:t>Exmouth</w:t>
      </w:r>
      <w:bookmarkEnd w:id="672"/>
    </w:p>
    <w:p>
      <w:pPr>
        <w:pStyle w:val="yFootnoteheading"/>
      </w:pPr>
      <w:r>
        <w:tab/>
        <w:t>[Heading inserted in Gazette 24 Jun 2005 p. 2821.]</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63"/>
        <w:gridCol w:w="3724"/>
      </w:tblGrid>
      <w:tr>
        <w:tc>
          <w:tcPr>
            <w:tcW w:w="3163" w:type="dxa"/>
          </w:tcPr>
          <w:p>
            <w:pPr>
              <w:pStyle w:val="yTable"/>
              <w:spacing w:after="40"/>
              <w:ind w:left="342" w:hanging="342"/>
              <w:rPr>
                <w:b/>
                <w:spacing w:val="-2"/>
                <w:sz w:val="20"/>
              </w:rPr>
            </w:pPr>
            <w:r>
              <w:rPr>
                <w:b/>
                <w:spacing w:val="-2"/>
                <w:sz w:val="20"/>
              </w:rPr>
              <w:t>General Cargo Wharfage Charge</w:t>
            </w:r>
          </w:p>
        </w:tc>
        <w:tc>
          <w:tcPr>
            <w:tcW w:w="3724" w:type="dxa"/>
          </w:tcPr>
          <w:p>
            <w:pPr>
              <w:pStyle w:val="yTable"/>
              <w:spacing w:after="40"/>
              <w:rPr>
                <w:spacing w:val="-2"/>
                <w:sz w:val="20"/>
              </w:rPr>
            </w:pPr>
          </w:p>
        </w:tc>
      </w:tr>
      <w:tr>
        <w:tc>
          <w:tcPr>
            <w:tcW w:w="3163" w:type="dxa"/>
          </w:tcPr>
          <w:p>
            <w:pPr>
              <w:pStyle w:val="yTable"/>
              <w:spacing w:after="40"/>
              <w:ind w:left="342" w:firstLine="4"/>
              <w:rPr>
                <w:spacing w:val="-2"/>
                <w:sz w:val="20"/>
              </w:rPr>
            </w:pPr>
            <w:r>
              <w:rPr>
                <w:spacing w:val="-2"/>
                <w:sz w:val="20"/>
              </w:rPr>
              <w:t>At service wharf —</w:t>
            </w:r>
          </w:p>
        </w:tc>
        <w:tc>
          <w:tcPr>
            <w:tcW w:w="3724" w:type="dxa"/>
          </w:tcPr>
          <w:p>
            <w:pPr>
              <w:pStyle w:val="yTable"/>
              <w:spacing w:after="40"/>
              <w:rPr>
                <w:spacing w:val="-2"/>
                <w:sz w:val="20"/>
              </w:rPr>
            </w:pPr>
          </w:p>
        </w:tc>
      </w:tr>
      <w:tr>
        <w:tc>
          <w:tcPr>
            <w:tcW w:w="3163" w:type="dxa"/>
            <w:tcBorders>
              <w:bottom w:val="nil"/>
            </w:tcBorders>
          </w:tcPr>
          <w:p>
            <w:pPr>
              <w:pStyle w:val="yTable"/>
              <w:spacing w:after="40"/>
              <w:ind w:left="765" w:firstLine="6"/>
              <w:rPr>
                <w:spacing w:val="-2"/>
                <w:sz w:val="20"/>
              </w:rPr>
            </w:pPr>
            <w:r>
              <w:rPr>
                <w:spacing w:val="-2"/>
                <w:sz w:val="20"/>
              </w:rPr>
              <w:t>Cargo</w:t>
            </w:r>
          </w:p>
        </w:tc>
        <w:tc>
          <w:tcPr>
            <w:tcW w:w="3724" w:type="dxa"/>
            <w:tcBorders>
              <w:bottom w:val="nil"/>
            </w:tcBorders>
          </w:tcPr>
          <w:p>
            <w:pPr>
              <w:pStyle w:val="yTable"/>
              <w:spacing w:after="40"/>
              <w:rPr>
                <w:spacing w:val="-2"/>
                <w:vertAlign w:val="superscript"/>
              </w:rPr>
            </w:pPr>
            <w:r>
              <w:rPr>
                <w:spacing w:val="-2"/>
                <w:sz w:val="20"/>
              </w:rPr>
              <w:t>$4.88/t or m</w:t>
            </w:r>
            <w:r>
              <w:rPr>
                <w:spacing w:val="-2"/>
                <w:sz w:val="20"/>
                <w:vertAlign w:val="superscript"/>
              </w:rPr>
              <w:t>3</w:t>
            </w:r>
          </w:p>
        </w:tc>
      </w:tr>
      <w:tr>
        <w:tc>
          <w:tcPr>
            <w:tcW w:w="3163" w:type="dxa"/>
            <w:tcBorders>
              <w:bottom w:val="nil"/>
            </w:tcBorders>
          </w:tcPr>
          <w:p>
            <w:pPr>
              <w:pStyle w:val="yTable"/>
              <w:spacing w:after="40"/>
              <w:ind w:left="765" w:firstLine="6"/>
              <w:rPr>
                <w:spacing w:val="-2"/>
                <w:sz w:val="20"/>
              </w:rPr>
            </w:pPr>
            <w:r>
              <w:rPr>
                <w:spacing w:val="-2"/>
                <w:sz w:val="20"/>
              </w:rPr>
              <w:t>if vessel lifted</w:t>
            </w:r>
          </w:p>
        </w:tc>
        <w:tc>
          <w:tcPr>
            <w:tcW w:w="3724" w:type="dxa"/>
            <w:tcBorders>
              <w:bottom w:val="nil"/>
            </w:tcBorders>
          </w:tcPr>
          <w:p>
            <w:pPr>
              <w:pStyle w:val="yTable"/>
              <w:spacing w:after="40"/>
            </w:pPr>
            <w:r>
              <w:rPr>
                <w:spacing w:val="-2"/>
                <w:sz w:val="20"/>
              </w:rPr>
              <w:t>$10.99/m x length of vessel</w:t>
            </w:r>
          </w:p>
        </w:tc>
      </w:tr>
      <w:tr>
        <w:tc>
          <w:tcPr>
            <w:tcW w:w="3163" w:type="dxa"/>
            <w:tcBorders>
              <w:bottom w:val="single" w:sz="4" w:space="0" w:color="auto"/>
            </w:tcBorders>
          </w:tcPr>
          <w:p>
            <w:pPr>
              <w:pStyle w:val="yTable"/>
              <w:spacing w:after="40"/>
              <w:ind w:left="342" w:firstLine="4"/>
              <w:rPr>
                <w:spacing w:val="-2"/>
                <w:sz w:val="20"/>
              </w:rPr>
            </w:pPr>
            <w:r>
              <w:rPr>
                <w:spacing w:val="-2"/>
                <w:sz w:val="20"/>
              </w:rPr>
              <w:t>Over beach or ramp operation</w:t>
            </w:r>
          </w:p>
        </w:tc>
        <w:tc>
          <w:tcPr>
            <w:tcW w:w="3724" w:type="dxa"/>
            <w:tcBorders>
              <w:bottom w:val="single" w:sz="4" w:space="0" w:color="auto"/>
            </w:tcBorders>
          </w:tcPr>
          <w:p>
            <w:pPr>
              <w:pStyle w:val="yTable"/>
              <w:spacing w:after="40"/>
              <w:rPr>
                <w:spacing w:val="-2"/>
                <w:vertAlign w:val="superscript"/>
              </w:rPr>
            </w:pPr>
            <w:r>
              <w:rPr>
                <w:spacing w:val="-2"/>
                <w:sz w:val="20"/>
              </w:rPr>
              <w:t>$3.66/t or m</w:t>
            </w:r>
            <w:r>
              <w:rPr>
                <w:spacing w:val="-2"/>
                <w:sz w:val="20"/>
                <w:vertAlign w:val="superscript"/>
              </w:rPr>
              <w:t>3</w:t>
            </w:r>
          </w:p>
        </w:tc>
      </w:tr>
    </w:tbl>
    <w:p>
      <w:pPr>
        <w:pStyle w:val="yFootnotesection"/>
      </w:pPr>
      <w:r>
        <w:tab/>
        <w:t>[Division 2 inserted in Gazette 24 Jun 2005 p. 2819-21.]</w:t>
      </w:r>
    </w:p>
    <w:p>
      <w:pPr>
        <w:pStyle w:val="yHeading3"/>
      </w:pPr>
      <w:bookmarkStart w:id="673" w:name="_Toc170210257"/>
      <w:r>
        <w:rPr>
          <w:rStyle w:val="CharSDivNo"/>
        </w:rPr>
        <w:t>Division 3</w:t>
      </w:r>
      <w:r>
        <w:rPr>
          <w:b w:val="0"/>
        </w:rPr>
        <w:t> — </w:t>
      </w:r>
      <w:r>
        <w:rPr>
          <w:rStyle w:val="CharSDivText"/>
        </w:rPr>
        <w:t>Transhipment charges at Wyndham</w:t>
      </w:r>
      <w:bookmarkEnd w:id="673"/>
    </w:p>
    <w:p>
      <w:pPr>
        <w:pStyle w:val="yShoulderClause"/>
      </w:pPr>
      <w:r>
        <w:t>[r. 11]</w:t>
      </w:r>
    </w:p>
    <w:p>
      <w:pPr>
        <w:pStyle w:val="yFootnoteheading"/>
      </w:pPr>
      <w:r>
        <w:tab/>
        <w:t>[Heading inserted in Gazette 24 Jun 2005 p. 2821.]</w:t>
      </w:r>
    </w:p>
    <w:tbl>
      <w:tblPr>
        <w:tblW w:w="0" w:type="auto"/>
        <w:tblInd w:w="183"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411"/>
        <w:gridCol w:w="2476"/>
      </w:tblGrid>
      <w:tr>
        <w:tc>
          <w:tcPr>
            <w:tcW w:w="4411" w:type="dxa"/>
          </w:tcPr>
          <w:p>
            <w:pPr>
              <w:pStyle w:val="yTable"/>
              <w:spacing w:after="40"/>
              <w:rPr>
                <w:spacing w:val="-2"/>
                <w:sz w:val="20"/>
              </w:rPr>
            </w:pPr>
            <w:r>
              <w:rPr>
                <w:spacing w:val="-2"/>
                <w:sz w:val="20"/>
              </w:rPr>
              <w:t>For Cargo — </w:t>
            </w:r>
          </w:p>
        </w:tc>
        <w:tc>
          <w:tcPr>
            <w:tcW w:w="2476" w:type="dxa"/>
          </w:tcPr>
          <w:p>
            <w:pPr>
              <w:pStyle w:val="yTable"/>
              <w:spacing w:after="40"/>
              <w:rPr>
                <w:spacing w:val="-2"/>
                <w:sz w:val="20"/>
              </w:rPr>
            </w:pPr>
          </w:p>
        </w:tc>
      </w:tr>
      <w:tr>
        <w:tc>
          <w:tcPr>
            <w:tcW w:w="4411" w:type="dxa"/>
            <w:tcBorders>
              <w:bottom w:val="nil"/>
            </w:tcBorders>
          </w:tcPr>
          <w:p>
            <w:pPr>
              <w:pStyle w:val="yTable"/>
              <w:spacing w:after="40"/>
              <w:ind w:left="482"/>
              <w:rPr>
                <w:spacing w:val="-2"/>
                <w:sz w:val="20"/>
              </w:rPr>
            </w:pPr>
            <w:r>
              <w:rPr>
                <w:spacing w:val="-2"/>
                <w:sz w:val="20"/>
              </w:rPr>
              <w:t>loaded over the side onto another vessel</w:t>
            </w:r>
          </w:p>
        </w:tc>
        <w:tc>
          <w:tcPr>
            <w:tcW w:w="2476" w:type="dxa"/>
            <w:tcBorders>
              <w:bottom w:val="nil"/>
            </w:tcBorders>
          </w:tcPr>
          <w:p>
            <w:pPr>
              <w:pStyle w:val="yTable"/>
              <w:spacing w:after="40"/>
              <w:rPr>
                <w:spacing w:val="-2"/>
                <w:sz w:val="20"/>
              </w:rPr>
            </w:pPr>
            <w:r>
              <w:rPr>
                <w:spacing w:val="-2"/>
                <w:sz w:val="20"/>
              </w:rPr>
              <w:t>50% of the appropriate wharfage dues</w:t>
            </w:r>
          </w:p>
        </w:tc>
      </w:tr>
      <w:tr>
        <w:tc>
          <w:tcPr>
            <w:tcW w:w="4411" w:type="dxa"/>
            <w:tcBorders>
              <w:bottom w:val="single" w:sz="4" w:space="0" w:color="auto"/>
            </w:tcBorders>
          </w:tcPr>
          <w:p>
            <w:pPr>
              <w:pStyle w:val="yTable"/>
              <w:spacing w:after="40"/>
              <w:ind w:left="482"/>
              <w:rPr>
                <w:spacing w:val="-2"/>
                <w:sz w:val="20"/>
              </w:rPr>
            </w:pPr>
            <w:r>
              <w:rPr>
                <w:spacing w:val="-2"/>
                <w:sz w:val="20"/>
              </w:rPr>
              <w:t xml:space="preserve">landed onto a jetty </w:t>
            </w:r>
          </w:p>
        </w:tc>
        <w:tc>
          <w:tcPr>
            <w:tcW w:w="2476" w:type="dxa"/>
            <w:tcBorders>
              <w:bottom w:val="single" w:sz="4" w:space="0" w:color="auto"/>
            </w:tcBorders>
          </w:tcPr>
          <w:p>
            <w:pPr>
              <w:pStyle w:val="yTable"/>
              <w:spacing w:after="40"/>
              <w:rPr>
                <w:spacing w:val="-2"/>
                <w:sz w:val="20"/>
              </w:rPr>
            </w:pPr>
            <w:r>
              <w:rPr>
                <w:spacing w:val="-2"/>
                <w:sz w:val="20"/>
              </w:rPr>
              <w:t>Full wharfage dues</w:t>
            </w:r>
          </w:p>
        </w:tc>
      </w:tr>
    </w:tbl>
    <w:p>
      <w:pPr>
        <w:pStyle w:val="yFootnotesection"/>
      </w:pPr>
      <w:r>
        <w:tab/>
        <w:t>[Division 3 inserted in Gazette 24 Jun 2005 p. 2821.]</w:t>
      </w:r>
    </w:p>
    <w:p>
      <w:pPr>
        <w:pStyle w:val="yHeading3"/>
      </w:pPr>
      <w:bookmarkStart w:id="674" w:name="_Toc170210258"/>
      <w:r>
        <w:rPr>
          <w:rStyle w:val="CharSDivNo"/>
        </w:rPr>
        <w:t>Division 4</w:t>
      </w:r>
      <w:r>
        <w:rPr>
          <w:b w:val="0"/>
        </w:rPr>
        <w:t> — </w:t>
      </w:r>
      <w:r>
        <w:rPr>
          <w:rStyle w:val="CharSDivText"/>
        </w:rPr>
        <w:t>Fuel oil charges at Wyndham</w:t>
      </w:r>
      <w:bookmarkEnd w:id="674"/>
    </w:p>
    <w:p>
      <w:pPr>
        <w:pStyle w:val="yShoulderClause"/>
      </w:pPr>
      <w:r>
        <w:t>[r. 11B]</w:t>
      </w:r>
    </w:p>
    <w:p>
      <w:pPr>
        <w:pStyle w:val="yFootnoteheading"/>
      </w:pPr>
      <w:r>
        <w:tab/>
        <w:t>[Heading inserted in Gazette 24 Jun 2005 p. 2821.]</w:t>
      </w:r>
    </w:p>
    <w:tbl>
      <w:tblPr>
        <w:tblW w:w="0" w:type="auto"/>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461"/>
        <w:gridCol w:w="2440"/>
      </w:tblGrid>
      <w:tr>
        <w:tc>
          <w:tcPr>
            <w:tcW w:w="4461" w:type="dxa"/>
          </w:tcPr>
          <w:p>
            <w:pPr>
              <w:pStyle w:val="yTable"/>
              <w:rPr>
                <w:spacing w:val="-2"/>
                <w:sz w:val="20"/>
              </w:rPr>
            </w:pPr>
            <w:r>
              <w:rPr>
                <w:spacing w:val="-2"/>
                <w:sz w:val="20"/>
              </w:rPr>
              <w:t>Oil loaded as bunkers for the vessel’s own use</w:t>
            </w:r>
          </w:p>
        </w:tc>
        <w:tc>
          <w:tcPr>
            <w:tcW w:w="2440" w:type="dxa"/>
          </w:tcPr>
          <w:p>
            <w:pPr>
              <w:pStyle w:val="yTable"/>
              <w:rPr>
                <w:spacing w:val="-2"/>
                <w:sz w:val="20"/>
              </w:rPr>
            </w:pPr>
            <w:r>
              <w:rPr>
                <w:spacing w:val="-2"/>
                <w:sz w:val="20"/>
              </w:rPr>
              <w:t>$7.77/kL</w:t>
            </w:r>
          </w:p>
        </w:tc>
      </w:tr>
    </w:tbl>
    <w:p>
      <w:pPr>
        <w:pStyle w:val="yFootnotesection"/>
      </w:pPr>
      <w:r>
        <w:tab/>
        <w:t>[Division 4 inserted in Gazette 24 Jun 2005 p. 2821.]</w:t>
      </w:r>
    </w:p>
    <w:p>
      <w:pPr>
        <w:pStyle w:val="yHeading3"/>
      </w:pPr>
      <w:bookmarkStart w:id="675" w:name="_Toc170210259"/>
      <w:r>
        <w:rPr>
          <w:rStyle w:val="CharSDivNo"/>
        </w:rPr>
        <w:t>Division 5</w:t>
      </w:r>
      <w:r>
        <w:rPr>
          <w:b w:val="0"/>
        </w:rPr>
        <w:t> — </w:t>
      </w:r>
      <w:r>
        <w:rPr>
          <w:rStyle w:val="CharSDivText"/>
        </w:rPr>
        <w:t>Storage charges at Wyndham</w:t>
      </w:r>
      <w:bookmarkEnd w:id="675"/>
    </w:p>
    <w:p>
      <w:pPr>
        <w:pStyle w:val="yShoulderClause"/>
      </w:pPr>
      <w:r>
        <w:t>[r. 25]</w:t>
      </w:r>
    </w:p>
    <w:p>
      <w:pPr>
        <w:pStyle w:val="yFootnoteheading"/>
      </w:pPr>
      <w:r>
        <w:tab/>
        <w:t>[Heading inserted in Gazette 24 Jun 2005 p. 2821.]</w:t>
      </w:r>
    </w:p>
    <w:tbl>
      <w:tblPr>
        <w:tblW w:w="0" w:type="auto"/>
        <w:tblInd w:w="169"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461"/>
        <w:gridCol w:w="2440"/>
      </w:tblGrid>
      <w:tr>
        <w:tc>
          <w:tcPr>
            <w:tcW w:w="4461" w:type="dxa"/>
            <w:tcBorders>
              <w:bottom w:val="nil"/>
            </w:tcBorders>
          </w:tcPr>
          <w:p>
            <w:pPr>
              <w:pStyle w:val="yTable"/>
              <w:spacing w:after="40"/>
              <w:rPr>
                <w:spacing w:val="-2"/>
                <w:sz w:val="20"/>
              </w:rPr>
            </w:pPr>
            <w:r>
              <w:rPr>
                <w:spacing w:val="-2"/>
                <w:sz w:val="20"/>
              </w:rPr>
              <w:t>Transit cargo not removed from the goods shed within 3 days of the cargo being received</w:t>
            </w:r>
          </w:p>
        </w:tc>
        <w:tc>
          <w:tcPr>
            <w:tcW w:w="2440" w:type="dxa"/>
            <w:tcBorders>
              <w:bottom w:val="nil"/>
            </w:tcBorders>
          </w:tcPr>
          <w:p>
            <w:pPr>
              <w:pStyle w:val="yTable"/>
              <w:spacing w:after="40"/>
              <w:rPr>
                <w:spacing w:val="-2"/>
                <w:sz w:val="20"/>
              </w:rPr>
            </w:pPr>
            <w:r>
              <w:rPr>
                <w:spacing w:val="-2"/>
                <w:sz w:val="20"/>
              </w:rPr>
              <w:br/>
              <w:t>$0.49/t per day</w:t>
            </w:r>
          </w:p>
        </w:tc>
      </w:tr>
      <w:tr>
        <w:tc>
          <w:tcPr>
            <w:tcW w:w="4461" w:type="dxa"/>
            <w:tcBorders>
              <w:bottom w:val="single" w:sz="4" w:space="0" w:color="auto"/>
            </w:tcBorders>
          </w:tcPr>
          <w:p>
            <w:pPr>
              <w:pStyle w:val="yTable"/>
              <w:spacing w:after="40"/>
            </w:pPr>
            <w:r>
              <w:t>Transhipment cargo — </w:t>
            </w:r>
          </w:p>
          <w:p>
            <w:pPr>
              <w:pStyle w:val="yTable"/>
              <w:tabs>
                <w:tab w:val="left" w:pos="624"/>
              </w:tabs>
              <w:spacing w:after="40"/>
              <w:rPr>
                <w:spacing w:val="-2"/>
                <w:sz w:val="20"/>
              </w:rPr>
            </w:pPr>
            <w:r>
              <w:rPr>
                <w:spacing w:val="-2"/>
                <w:sz w:val="20"/>
              </w:rPr>
              <w:tab/>
              <w:t>for first 2 weeks</w:t>
            </w:r>
          </w:p>
        </w:tc>
        <w:tc>
          <w:tcPr>
            <w:tcW w:w="2440" w:type="dxa"/>
            <w:tcBorders>
              <w:bottom w:val="single" w:sz="4" w:space="0" w:color="auto"/>
            </w:tcBorders>
          </w:tcPr>
          <w:p>
            <w:pPr>
              <w:pStyle w:val="yTable"/>
              <w:spacing w:after="40"/>
              <w:rPr>
                <w:spacing w:val="-2"/>
                <w:sz w:val="20"/>
              </w:rPr>
            </w:pPr>
          </w:p>
          <w:p>
            <w:pPr>
              <w:pStyle w:val="yTable"/>
              <w:spacing w:after="40"/>
              <w:rPr>
                <w:spacing w:val="-2"/>
                <w:sz w:val="20"/>
              </w:rPr>
            </w:pPr>
            <w:r>
              <w:rPr>
                <w:spacing w:val="-2"/>
                <w:sz w:val="20"/>
              </w:rPr>
              <w:t>$0.49/t or per m</w:t>
            </w:r>
            <w:r>
              <w:rPr>
                <w:spacing w:val="-2"/>
                <w:sz w:val="20"/>
                <w:vertAlign w:val="superscript"/>
              </w:rPr>
              <w:t>3</w:t>
            </w:r>
            <w:r>
              <w:rPr>
                <w:spacing w:val="-2"/>
                <w:sz w:val="20"/>
              </w:rPr>
              <w:t xml:space="preserve"> per week</w:t>
            </w:r>
          </w:p>
        </w:tc>
      </w:tr>
      <w:tr>
        <w:tc>
          <w:tcPr>
            <w:tcW w:w="4461" w:type="dxa"/>
            <w:tcBorders>
              <w:bottom w:val="nil"/>
            </w:tcBorders>
          </w:tcPr>
          <w:p>
            <w:pPr>
              <w:pStyle w:val="yTable"/>
              <w:tabs>
                <w:tab w:val="left" w:pos="624"/>
              </w:tabs>
              <w:spacing w:after="40"/>
              <w:rPr>
                <w:spacing w:val="-2"/>
                <w:sz w:val="20"/>
              </w:rPr>
            </w:pPr>
            <w:r>
              <w:rPr>
                <w:spacing w:val="-2"/>
                <w:sz w:val="20"/>
              </w:rPr>
              <w:tab/>
              <w:t>after 2 weeks</w:t>
            </w:r>
          </w:p>
        </w:tc>
        <w:tc>
          <w:tcPr>
            <w:tcW w:w="2440" w:type="dxa"/>
            <w:tcBorders>
              <w:bottom w:val="nil"/>
            </w:tcBorders>
          </w:tcPr>
          <w:p>
            <w:pPr>
              <w:pStyle w:val="yTable"/>
              <w:spacing w:after="40"/>
              <w:rPr>
                <w:spacing w:val="-2"/>
                <w:sz w:val="20"/>
              </w:rPr>
            </w:pPr>
            <w:r>
              <w:rPr>
                <w:spacing w:val="-2"/>
                <w:sz w:val="20"/>
              </w:rPr>
              <w:t>Transit cargo rates apply</w:t>
            </w:r>
          </w:p>
        </w:tc>
      </w:tr>
      <w:tr>
        <w:tc>
          <w:tcPr>
            <w:tcW w:w="4461" w:type="dxa"/>
            <w:tcBorders>
              <w:top w:val="single" w:sz="4" w:space="0" w:color="auto"/>
              <w:bottom w:val="single" w:sz="4" w:space="0" w:color="auto"/>
            </w:tcBorders>
          </w:tcPr>
          <w:p>
            <w:pPr>
              <w:pStyle w:val="yTable"/>
              <w:tabs>
                <w:tab w:val="left" w:pos="624"/>
              </w:tabs>
              <w:spacing w:after="40"/>
              <w:rPr>
                <w:spacing w:val="-2"/>
                <w:sz w:val="20"/>
              </w:rPr>
            </w:pPr>
            <w:r>
              <w:rPr>
                <w:spacing w:val="-2"/>
                <w:sz w:val="20"/>
              </w:rPr>
              <w:t>Storage at Container Park, Wyndham</w:t>
            </w:r>
          </w:p>
        </w:tc>
        <w:tc>
          <w:tcPr>
            <w:tcW w:w="2440" w:type="dxa"/>
            <w:tcBorders>
              <w:top w:val="single" w:sz="4" w:space="0" w:color="auto"/>
              <w:bottom w:val="single" w:sz="4" w:space="0" w:color="auto"/>
            </w:tcBorders>
          </w:tcPr>
          <w:p>
            <w:pPr>
              <w:pStyle w:val="yTable"/>
              <w:spacing w:after="40"/>
              <w:rPr>
                <w:spacing w:val="-2"/>
                <w:sz w:val="20"/>
              </w:rPr>
            </w:pPr>
            <w:r>
              <w:rPr>
                <w:spacing w:val="-2"/>
                <w:sz w:val="20"/>
              </w:rPr>
              <w:t>$27.15 per loaded container</w:t>
            </w:r>
          </w:p>
        </w:tc>
      </w:tr>
    </w:tbl>
    <w:p>
      <w:pPr>
        <w:pStyle w:val="yFootnotesection"/>
      </w:pPr>
      <w:r>
        <w:tab/>
        <w:t>[Division 5 inserted in Gazette 24 Jun 2005 p. 2821.]</w:t>
      </w:r>
    </w:p>
    <w:p>
      <w:pPr>
        <w:pStyle w:val="yHeading3"/>
      </w:pPr>
      <w:bookmarkStart w:id="676" w:name="_Toc170210260"/>
      <w:r>
        <w:rPr>
          <w:rStyle w:val="CharSDivNo"/>
        </w:rPr>
        <w:t>Division 6</w:t>
      </w:r>
      <w:r>
        <w:rPr>
          <w:b w:val="0"/>
        </w:rPr>
        <w:t> — </w:t>
      </w:r>
      <w:r>
        <w:rPr>
          <w:rStyle w:val="CharSDivText"/>
        </w:rPr>
        <w:t>Weighbridge fees at Wyndham</w:t>
      </w:r>
      <w:bookmarkEnd w:id="676"/>
    </w:p>
    <w:p>
      <w:pPr>
        <w:pStyle w:val="yShoulderClause"/>
      </w:pPr>
      <w:r>
        <w:t>[r. 105I]</w:t>
      </w:r>
    </w:p>
    <w:p>
      <w:pPr>
        <w:pStyle w:val="yFootnoteheading"/>
      </w:pPr>
      <w:r>
        <w:tab/>
        <w:t>[Heading inserted in Gazette 24 Jun 2005 p. 2822.]</w:t>
      </w:r>
    </w:p>
    <w:tbl>
      <w:tblPr>
        <w:tblW w:w="0" w:type="auto"/>
        <w:tblInd w:w="155" w:type="dxa"/>
        <w:tblBorders>
          <w:top w:val="single" w:sz="4" w:space="0" w:color="auto"/>
          <w:left w:val="single" w:sz="4" w:space="0" w:color="auto"/>
          <w:bottom w:val="single" w:sz="4" w:space="0" w:color="auto"/>
          <w:right w:val="single" w:sz="4" w:space="0" w:color="auto"/>
        </w:tblBorders>
        <w:tblLayout w:type="fixed"/>
        <w:tblCellMar>
          <w:left w:w="85" w:type="dxa"/>
          <w:right w:w="85" w:type="dxa"/>
        </w:tblCellMar>
        <w:tblLook w:val="0000" w:firstRow="0" w:lastRow="0" w:firstColumn="0" w:lastColumn="0" w:noHBand="0" w:noVBand="0"/>
      </w:tblPr>
      <w:tblGrid>
        <w:gridCol w:w="4426"/>
        <w:gridCol w:w="2489"/>
      </w:tblGrid>
      <w:tr>
        <w:tc>
          <w:tcPr>
            <w:tcW w:w="4426" w:type="dxa"/>
            <w:tcBorders>
              <w:top w:val="single" w:sz="4" w:space="0" w:color="auto"/>
              <w:bottom w:val="single" w:sz="4" w:space="0" w:color="auto"/>
              <w:right w:val="single" w:sz="4" w:space="0" w:color="auto"/>
            </w:tcBorders>
          </w:tcPr>
          <w:p>
            <w:pPr>
              <w:pStyle w:val="yTable"/>
              <w:rPr>
                <w:spacing w:val="-2"/>
                <w:sz w:val="20"/>
              </w:rPr>
            </w:pPr>
            <w:r>
              <w:rPr>
                <w:spacing w:val="-2"/>
                <w:sz w:val="20"/>
              </w:rPr>
              <w:t xml:space="preserve">For use of the 50 t weighbridge during normal hours — </w:t>
            </w:r>
          </w:p>
        </w:tc>
        <w:tc>
          <w:tcPr>
            <w:tcW w:w="2489" w:type="dxa"/>
            <w:tcBorders>
              <w:top w:val="single" w:sz="4" w:space="0" w:color="auto"/>
              <w:left w:val="single" w:sz="4" w:space="0" w:color="auto"/>
              <w:bottom w:val="single" w:sz="4" w:space="0" w:color="auto"/>
            </w:tcBorders>
          </w:tcPr>
          <w:p>
            <w:pPr>
              <w:pStyle w:val="yTable"/>
              <w:rPr>
                <w:spacing w:val="-2"/>
                <w:sz w:val="20"/>
              </w:rPr>
            </w:pPr>
          </w:p>
        </w:tc>
      </w:tr>
      <w:tr>
        <w:tc>
          <w:tcPr>
            <w:tcW w:w="4426" w:type="dxa"/>
            <w:tcBorders>
              <w:top w:val="single" w:sz="4" w:space="0" w:color="auto"/>
              <w:bottom w:val="single" w:sz="4" w:space="0" w:color="auto"/>
              <w:right w:val="single" w:sz="4" w:space="0" w:color="auto"/>
            </w:tcBorders>
          </w:tcPr>
          <w:p>
            <w:pPr>
              <w:pStyle w:val="yTable"/>
              <w:spacing w:after="40"/>
              <w:rPr>
                <w:spacing w:val="-2"/>
                <w:sz w:val="20"/>
              </w:rPr>
            </w:pPr>
            <w:r>
              <w:rPr>
                <w:spacing w:val="-2"/>
                <w:sz w:val="20"/>
              </w:rPr>
              <w:t xml:space="preserve">Not exceeding 10 t </w:t>
            </w:r>
          </w:p>
        </w:tc>
        <w:tc>
          <w:tcPr>
            <w:tcW w:w="2489" w:type="dxa"/>
            <w:tcBorders>
              <w:top w:val="single" w:sz="4" w:space="0" w:color="auto"/>
              <w:left w:val="single" w:sz="4" w:space="0" w:color="auto"/>
              <w:bottom w:val="single" w:sz="4" w:space="0" w:color="auto"/>
            </w:tcBorders>
          </w:tcPr>
          <w:p>
            <w:pPr>
              <w:pStyle w:val="yTable"/>
              <w:spacing w:after="40"/>
              <w:rPr>
                <w:spacing w:val="-2"/>
                <w:sz w:val="20"/>
              </w:rPr>
            </w:pPr>
            <w:r>
              <w:rPr>
                <w:spacing w:val="-2"/>
                <w:sz w:val="20"/>
              </w:rPr>
              <w:t>$9.71</w:t>
            </w:r>
          </w:p>
        </w:tc>
      </w:tr>
      <w:tr>
        <w:tc>
          <w:tcPr>
            <w:tcW w:w="4426" w:type="dxa"/>
            <w:tcBorders>
              <w:top w:val="single" w:sz="4" w:space="0" w:color="auto"/>
              <w:bottom w:val="single" w:sz="4" w:space="0" w:color="auto"/>
              <w:right w:val="single" w:sz="4" w:space="0" w:color="auto"/>
            </w:tcBorders>
          </w:tcPr>
          <w:p>
            <w:pPr>
              <w:pStyle w:val="yTable"/>
              <w:spacing w:after="40"/>
              <w:rPr>
                <w:spacing w:val="-2"/>
                <w:sz w:val="20"/>
              </w:rPr>
            </w:pPr>
            <w:r>
              <w:rPr>
                <w:spacing w:val="-2"/>
                <w:sz w:val="20"/>
              </w:rPr>
              <w:t xml:space="preserve">Exceeding 10 t but not exceeding 30 t </w:t>
            </w:r>
          </w:p>
        </w:tc>
        <w:tc>
          <w:tcPr>
            <w:tcW w:w="2489" w:type="dxa"/>
            <w:tcBorders>
              <w:top w:val="single" w:sz="4" w:space="0" w:color="auto"/>
              <w:left w:val="single" w:sz="4" w:space="0" w:color="auto"/>
              <w:bottom w:val="single" w:sz="4" w:space="0" w:color="auto"/>
            </w:tcBorders>
          </w:tcPr>
          <w:p>
            <w:pPr>
              <w:pStyle w:val="yTable"/>
              <w:spacing w:after="40"/>
              <w:rPr>
                <w:spacing w:val="-2"/>
                <w:sz w:val="20"/>
              </w:rPr>
            </w:pPr>
            <w:r>
              <w:rPr>
                <w:spacing w:val="-2"/>
                <w:sz w:val="20"/>
              </w:rPr>
              <w:t>$11.07</w:t>
            </w:r>
          </w:p>
        </w:tc>
      </w:tr>
      <w:tr>
        <w:tc>
          <w:tcPr>
            <w:tcW w:w="4426" w:type="dxa"/>
            <w:tcBorders>
              <w:top w:val="single" w:sz="4" w:space="0" w:color="auto"/>
              <w:bottom w:val="nil"/>
              <w:right w:val="single" w:sz="4" w:space="0" w:color="auto"/>
            </w:tcBorders>
          </w:tcPr>
          <w:p>
            <w:pPr>
              <w:pStyle w:val="yTable"/>
              <w:spacing w:after="40"/>
              <w:rPr>
                <w:spacing w:val="-2"/>
                <w:sz w:val="20"/>
              </w:rPr>
            </w:pPr>
            <w:r>
              <w:rPr>
                <w:spacing w:val="-2"/>
                <w:sz w:val="20"/>
              </w:rPr>
              <w:t xml:space="preserve">Exceeding 30 t </w:t>
            </w:r>
          </w:p>
        </w:tc>
        <w:tc>
          <w:tcPr>
            <w:tcW w:w="2489" w:type="dxa"/>
            <w:tcBorders>
              <w:top w:val="single" w:sz="4" w:space="0" w:color="auto"/>
              <w:left w:val="single" w:sz="4" w:space="0" w:color="auto"/>
              <w:bottom w:val="nil"/>
            </w:tcBorders>
          </w:tcPr>
          <w:p>
            <w:pPr>
              <w:pStyle w:val="yTable"/>
              <w:spacing w:after="40"/>
              <w:rPr>
                <w:spacing w:val="-2"/>
                <w:sz w:val="20"/>
              </w:rPr>
            </w:pPr>
            <w:r>
              <w:rPr>
                <w:spacing w:val="-2"/>
                <w:sz w:val="20"/>
              </w:rPr>
              <w:t>$13.83</w:t>
            </w:r>
          </w:p>
        </w:tc>
      </w:tr>
      <w:tr>
        <w:trPr>
          <w:cantSplit/>
        </w:trPr>
        <w:tc>
          <w:tcPr>
            <w:tcW w:w="6915" w:type="dxa"/>
            <w:gridSpan w:val="2"/>
            <w:tcBorders>
              <w:top w:val="single" w:sz="4" w:space="0" w:color="auto"/>
              <w:bottom w:val="single" w:sz="4" w:space="0" w:color="auto"/>
            </w:tcBorders>
          </w:tcPr>
          <w:p>
            <w:pPr>
              <w:pStyle w:val="yTable"/>
              <w:spacing w:after="40"/>
              <w:rPr>
                <w:spacing w:val="-2"/>
                <w:sz w:val="20"/>
              </w:rPr>
            </w:pPr>
            <w:r>
              <w:rPr>
                <w:spacing w:val="-2"/>
                <w:sz w:val="20"/>
              </w:rPr>
              <w:t xml:space="preserve">Outside normal hours, operator’s wages are added to the above fees </w:t>
            </w:r>
            <w:r>
              <w:rPr>
                <w:spacing w:val="-2"/>
                <w:sz w:val="20"/>
              </w:rPr>
              <w:br/>
              <w:t>(see regulation 105I(2))</w:t>
            </w:r>
          </w:p>
        </w:tc>
      </w:tr>
    </w:tbl>
    <w:p>
      <w:pPr>
        <w:pStyle w:val="yFootnotesection"/>
      </w:pPr>
      <w:r>
        <w:tab/>
        <w:t>[Division 6 inserted in Gazette 24 Jun 2005 p. 2822.]</w:t>
      </w:r>
    </w:p>
    <w:p>
      <w:pPr>
        <w:pStyle w:val="yHeading3"/>
      </w:pPr>
      <w:bookmarkStart w:id="677" w:name="_Toc170210261"/>
      <w:r>
        <w:rPr>
          <w:rStyle w:val="CharSDivNo"/>
        </w:rPr>
        <w:t>Division 7</w:t>
      </w:r>
      <w:r>
        <w:rPr>
          <w:b w:val="0"/>
        </w:rPr>
        <w:t> — </w:t>
      </w:r>
      <w:r>
        <w:rPr>
          <w:rStyle w:val="CharSDivText"/>
        </w:rPr>
        <w:t>Miscellaneous charges at Wyndham</w:t>
      </w:r>
      <w:bookmarkEnd w:id="677"/>
    </w:p>
    <w:p>
      <w:pPr>
        <w:pStyle w:val="yFootnoteheading"/>
      </w:pPr>
      <w:r>
        <w:tab/>
        <w:t>[Heading inserted in Gazette 24 Jun 2005 p. 2822.]</w:t>
      </w:r>
    </w:p>
    <w:tbl>
      <w:tblPr>
        <w:tblW w:w="0" w:type="auto"/>
        <w:tblInd w:w="169"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521"/>
        <w:gridCol w:w="2380"/>
      </w:tblGrid>
      <w:tr>
        <w:trPr>
          <w:trHeight w:val="284"/>
        </w:trPr>
        <w:tc>
          <w:tcPr>
            <w:tcW w:w="4521" w:type="dxa"/>
          </w:tcPr>
          <w:p>
            <w:pPr>
              <w:pStyle w:val="yTable"/>
              <w:rPr>
                <w:spacing w:val="-2"/>
                <w:sz w:val="20"/>
              </w:rPr>
            </w:pPr>
            <w:r>
              <w:rPr>
                <w:spacing w:val="-2"/>
                <w:sz w:val="20"/>
              </w:rPr>
              <w:t>Fresh water supplied to ships</w:t>
            </w:r>
          </w:p>
        </w:tc>
        <w:tc>
          <w:tcPr>
            <w:tcW w:w="2380" w:type="dxa"/>
          </w:tcPr>
          <w:p>
            <w:pPr>
              <w:pStyle w:val="yTable"/>
              <w:rPr>
                <w:spacing w:val="-2"/>
                <w:sz w:val="20"/>
              </w:rPr>
            </w:pPr>
            <w:r>
              <w:rPr>
                <w:spacing w:val="-2"/>
                <w:sz w:val="20"/>
              </w:rPr>
              <w:t>$2.54/kL</w:t>
            </w:r>
          </w:p>
        </w:tc>
      </w:tr>
      <w:tr>
        <w:trPr>
          <w:trHeight w:val="228"/>
        </w:trPr>
        <w:tc>
          <w:tcPr>
            <w:tcW w:w="4521" w:type="dxa"/>
          </w:tcPr>
          <w:p>
            <w:pPr>
              <w:pStyle w:val="yTable"/>
              <w:tabs>
                <w:tab w:val="left" w:pos="624"/>
              </w:tabs>
              <w:spacing w:after="40"/>
              <w:rPr>
                <w:spacing w:val="-2"/>
                <w:sz w:val="20"/>
              </w:rPr>
            </w:pPr>
            <w:r>
              <w:rPr>
                <w:spacing w:val="-2"/>
                <w:sz w:val="20"/>
              </w:rPr>
              <w:t>Lighting of jetty — </w:t>
            </w:r>
          </w:p>
        </w:tc>
        <w:tc>
          <w:tcPr>
            <w:tcW w:w="2380" w:type="dxa"/>
          </w:tcPr>
          <w:p>
            <w:pPr>
              <w:pStyle w:val="yTable"/>
              <w:spacing w:after="40"/>
              <w:rPr>
                <w:spacing w:val="-2"/>
                <w:sz w:val="20"/>
              </w:rPr>
            </w:pPr>
          </w:p>
        </w:tc>
      </w:tr>
      <w:tr>
        <w:trPr>
          <w:trHeight w:val="284"/>
        </w:trPr>
        <w:tc>
          <w:tcPr>
            <w:tcW w:w="4521" w:type="dxa"/>
          </w:tcPr>
          <w:p>
            <w:pPr>
              <w:pStyle w:val="yTable"/>
              <w:tabs>
                <w:tab w:val="left" w:pos="624"/>
              </w:tabs>
              <w:spacing w:after="40"/>
              <w:rPr>
                <w:spacing w:val="-2"/>
                <w:sz w:val="20"/>
              </w:rPr>
            </w:pPr>
            <w:r>
              <w:rPr>
                <w:spacing w:val="-2"/>
                <w:sz w:val="20"/>
              </w:rPr>
              <w:tab/>
              <w:t>full lighting of jetty shed and yard</w:t>
            </w:r>
          </w:p>
        </w:tc>
        <w:tc>
          <w:tcPr>
            <w:tcW w:w="2380" w:type="dxa"/>
          </w:tcPr>
          <w:p>
            <w:pPr>
              <w:pStyle w:val="yTable"/>
              <w:spacing w:after="40"/>
              <w:rPr>
                <w:spacing w:val="-2"/>
                <w:sz w:val="20"/>
              </w:rPr>
            </w:pPr>
            <w:r>
              <w:rPr>
                <w:spacing w:val="-2"/>
                <w:sz w:val="20"/>
              </w:rPr>
              <w:t>$23.47 per hour</w:t>
            </w:r>
          </w:p>
        </w:tc>
      </w:tr>
      <w:tr>
        <w:trPr>
          <w:trHeight w:val="285"/>
        </w:trPr>
        <w:tc>
          <w:tcPr>
            <w:tcW w:w="4521" w:type="dxa"/>
            <w:tcBorders>
              <w:bottom w:val="nil"/>
            </w:tcBorders>
          </w:tcPr>
          <w:p>
            <w:pPr>
              <w:pStyle w:val="yTable"/>
              <w:tabs>
                <w:tab w:val="left" w:pos="624"/>
              </w:tabs>
              <w:spacing w:after="40"/>
              <w:rPr>
                <w:spacing w:val="-2"/>
                <w:sz w:val="20"/>
              </w:rPr>
            </w:pPr>
            <w:r>
              <w:rPr>
                <w:spacing w:val="-2"/>
                <w:sz w:val="20"/>
              </w:rPr>
              <w:tab/>
              <w:t xml:space="preserve">use of jetty lighting </w:t>
            </w:r>
          </w:p>
        </w:tc>
        <w:tc>
          <w:tcPr>
            <w:tcW w:w="2380" w:type="dxa"/>
            <w:tcBorders>
              <w:bottom w:val="nil"/>
            </w:tcBorders>
          </w:tcPr>
          <w:p>
            <w:pPr>
              <w:pStyle w:val="yTable"/>
              <w:spacing w:after="40"/>
              <w:rPr>
                <w:spacing w:val="-2"/>
                <w:sz w:val="20"/>
              </w:rPr>
            </w:pPr>
            <w:r>
              <w:rPr>
                <w:spacing w:val="-2"/>
                <w:sz w:val="20"/>
              </w:rPr>
              <w:t>$7.52 per hour</w:t>
            </w:r>
          </w:p>
        </w:tc>
      </w:tr>
      <w:tr>
        <w:trPr>
          <w:trHeight w:val="285"/>
        </w:trPr>
        <w:tc>
          <w:tcPr>
            <w:tcW w:w="4521" w:type="dxa"/>
            <w:tcBorders>
              <w:bottom w:val="single" w:sz="4" w:space="0" w:color="auto"/>
            </w:tcBorders>
          </w:tcPr>
          <w:p>
            <w:pPr>
              <w:pStyle w:val="yTable"/>
              <w:tabs>
                <w:tab w:val="left" w:pos="624"/>
              </w:tabs>
              <w:rPr>
                <w:spacing w:val="-2"/>
                <w:sz w:val="20"/>
              </w:rPr>
            </w:pPr>
            <w:r>
              <w:rPr>
                <w:spacing w:val="-2"/>
                <w:sz w:val="20"/>
              </w:rPr>
              <w:tab/>
              <w:t xml:space="preserve">Reduced lighting </w:t>
            </w:r>
          </w:p>
        </w:tc>
        <w:tc>
          <w:tcPr>
            <w:tcW w:w="2380" w:type="dxa"/>
            <w:tcBorders>
              <w:bottom w:val="single" w:sz="4" w:space="0" w:color="auto"/>
            </w:tcBorders>
          </w:tcPr>
          <w:p>
            <w:pPr>
              <w:pStyle w:val="yTable"/>
              <w:rPr>
                <w:spacing w:val="-2"/>
                <w:sz w:val="20"/>
              </w:rPr>
            </w:pPr>
            <w:r>
              <w:rPr>
                <w:spacing w:val="-2"/>
                <w:sz w:val="20"/>
              </w:rPr>
              <w:t>$2.50 per hour</w:t>
            </w:r>
          </w:p>
        </w:tc>
      </w:tr>
    </w:tbl>
    <w:p>
      <w:pPr>
        <w:pStyle w:val="yFootnotesection"/>
      </w:pPr>
      <w:r>
        <w:tab/>
        <w:t>[Division 7 inserted in Gazette 24 Jun 2005 p. 2822.]</w:t>
      </w:r>
    </w:p>
    <w:p>
      <w:pPr>
        <w:pStyle w:val="yHeading3"/>
      </w:pPr>
      <w:bookmarkStart w:id="678" w:name="_Toc170210262"/>
      <w:r>
        <w:rPr>
          <w:rStyle w:val="CharSDivNo"/>
        </w:rPr>
        <w:t>Division 8</w:t>
      </w:r>
      <w:r>
        <w:rPr>
          <w:b w:val="0"/>
        </w:rPr>
        <w:t> — </w:t>
      </w:r>
      <w:r>
        <w:rPr>
          <w:rStyle w:val="CharSDivText"/>
        </w:rPr>
        <w:t>Slipway charges</w:t>
      </w:r>
      <w:bookmarkEnd w:id="678"/>
    </w:p>
    <w:p>
      <w:pPr>
        <w:pStyle w:val="yShoulderClause"/>
      </w:pPr>
      <w:r>
        <w:t>[r. 96]</w:t>
      </w:r>
    </w:p>
    <w:p>
      <w:pPr>
        <w:pStyle w:val="yFootnoteheading"/>
      </w:pPr>
      <w:r>
        <w:tab/>
        <w:t>[Heading inserted in Gazette 24 Jun 2005 p. 2822.]</w:t>
      </w:r>
    </w:p>
    <w:p>
      <w:pPr>
        <w:pStyle w:val="yMiscellaneousBody"/>
        <w:rPr>
          <w:snapToGrid w:val="0"/>
        </w:rPr>
      </w:pPr>
      <w:r>
        <w:rPr>
          <w:snapToGrid w:val="0"/>
        </w:rPr>
        <w:t>Notes:</w:t>
      </w:r>
    </w:p>
    <w:p>
      <w:pPr>
        <w:pStyle w:val="yNumberedItem"/>
      </w:pPr>
      <w:r>
        <w:t>1.</w:t>
      </w:r>
      <w:r>
        <w:tab/>
        <w:t>All slipway charges are charged per day or part thereof except for haulage charges, which are charged per service.</w:t>
      </w:r>
    </w:p>
    <w:p>
      <w:pPr>
        <w:pStyle w:val="yNumberedItem"/>
      </w:pPr>
      <w:r>
        <w:t>2.</w:t>
      </w:r>
      <w:r>
        <w:tab/>
        <w:t>The slipway charges are subject to regulations 37 and 38, which specify the working hours of a port and the payments that are required in addition to the usual charges when work takes place outside those hours or during holidays.</w:t>
      </w:r>
    </w:p>
    <w:p>
      <w:pPr>
        <w:pStyle w:val="yHeading4"/>
      </w:pPr>
      <w:bookmarkStart w:id="679" w:name="_Toc170210263"/>
      <w:r>
        <w:t>Subdivision 1</w:t>
      </w:r>
      <w:r>
        <w:rPr>
          <w:b w:val="0"/>
        </w:rPr>
        <w:t> — </w:t>
      </w:r>
      <w:r>
        <w:t>Water and electric power charges</w:t>
      </w:r>
      <w:bookmarkEnd w:id="679"/>
    </w:p>
    <w:p>
      <w:pPr>
        <w:pStyle w:val="yFootnoteheading"/>
      </w:pPr>
      <w:r>
        <w:tab/>
        <w:t>[Heading inserted in Gazette 24 Jun 2005 p. 2823.]</w:t>
      </w:r>
    </w:p>
    <w:p>
      <w:pPr>
        <w:pStyle w:val="zyMiscellaneousHeading"/>
        <w:rPr>
          <w:snapToGrid w:val="0"/>
        </w:rPr>
      </w:pPr>
      <w:r>
        <w:rPr>
          <w:snapToGrid w:val="0"/>
        </w:rPr>
        <w:t>All locations, or where no specific charge applies</w:t>
      </w:r>
    </w:p>
    <w:tbl>
      <w:tblPr>
        <w:tblW w:w="0" w:type="auto"/>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3178"/>
        <w:gridCol w:w="3709"/>
      </w:tblGrid>
      <w:tr>
        <w:tc>
          <w:tcPr>
            <w:tcW w:w="3178" w:type="dxa"/>
            <w:tcBorders>
              <w:bottom w:val="nil"/>
            </w:tcBorders>
          </w:tcPr>
          <w:p>
            <w:pPr>
              <w:pStyle w:val="yTable"/>
              <w:spacing w:after="40"/>
              <w:rPr>
                <w:spacing w:val="-2"/>
                <w:sz w:val="20"/>
              </w:rPr>
            </w:pPr>
            <w:r>
              <w:rPr>
                <w:spacing w:val="-2"/>
                <w:sz w:val="20"/>
              </w:rPr>
              <w:t>Use of water</w:t>
            </w:r>
          </w:p>
        </w:tc>
        <w:tc>
          <w:tcPr>
            <w:tcW w:w="3709" w:type="dxa"/>
            <w:tcBorders>
              <w:bottom w:val="nil"/>
            </w:tcBorders>
          </w:tcPr>
          <w:p>
            <w:pPr>
              <w:pStyle w:val="yTable"/>
              <w:spacing w:after="40"/>
              <w:rPr>
                <w:spacing w:val="-2"/>
                <w:sz w:val="20"/>
              </w:rPr>
            </w:pPr>
            <w:r>
              <w:rPr>
                <w:spacing w:val="-2"/>
                <w:sz w:val="20"/>
              </w:rPr>
              <w:t>$3.55</w:t>
            </w:r>
          </w:p>
        </w:tc>
      </w:tr>
      <w:tr>
        <w:tc>
          <w:tcPr>
            <w:tcW w:w="3178" w:type="dxa"/>
            <w:tcBorders>
              <w:bottom w:val="single" w:sz="4" w:space="0" w:color="auto"/>
            </w:tcBorders>
          </w:tcPr>
          <w:p>
            <w:pPr>
              <w:pStyle w:val="yTable"/>
              <w:spacing w:after="40"/>
              <w:rPr>
                <w:spacing w:val="-2"/>
                <w:sz w:val="20"/>
              </w:rPr>
            </w:pPr>
            <w:r>
              <w:rPr>
                <w:spacing w:val="-2"/>
                <w:sz w:val="20"/>
              </w:rPr>
              <w:t>Use of power</w:t>
            </w:r>
          </w:p>
        </w:tc>
        <w:tc>
          <w:tcPr>
            <w:tcW w:w="3709" w:type="dxa"/>
            <w:tcBorders>
              <w:bottom w:val="single" w:sz="4" w:space="0" w:color="auto"/>
            </w:tcBorders>
          </w:tcPr>
          <w:p>
            <w:pPr>
              <w:pStyle w:val="yTable"/>
              <w:spacing w:after="40"/>
              <w:rPr>
                <w:spacing w:val="-2"/>
                <w:sz w:val="20"/>
              </w:rPr>
            </w:pPr>
            <w:r>
              <w:rPr>
                <w:spacing w:val="-2"/>
                <w:sz w:val="20"/>
              </w:rPr>
              <w:t>$5.92 or, if metering indicates that electric power usage is occurring in excess of $5.92 per day, at cost</w:t>
            </w:r>
          </w:p>
        </w:tc>
      </w:tr>
    </w:tbl>
    <w:p>
      <w:pPr>
        <w:pStyle w:val="zyMiscellaneousHeading"/>
        <w:rPr>
          <w:snapToGrid w:val="0"/>
        </w:rPr>
      </w:pPr>
      <w:r>
        <w:rPr>
          <w:snapToGrid w:val="0"/>
        </w:rPr>
        <w:t>Princess Royal Harbour (Albany)</w:t>
      </w: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3163"/>
        <w:gridCol w:w="3724"/>
      </w:tblGrid>
      <w:tr>
        <w:trPr>
          <w:cantSplit/>
        </w:trPr>
        <w:tc>
          <w:tcPr>
            <w:tcW w:w="3163" w:type="dxa"/>
          </w:tcPr>
          <w:p>
            <w:pPr>
              <w:pStyle w:val="yTable"/>
              <w:spacing w:before="40" w:after="20"/>
              <w:rPr>
                <w:spacing w:val="-2"/>
                <w:sz w:val="20"/>
              </w:rPr>
            </w:pPr>
            <w:r>
              <w:rPr>
                <w:spacing w:val="-2"/>
                <w:sz w:val="20"/>
              </w:rPr>
              <w:t>Use of water</w:t>
            </w:r>
          </w:p>
        </w:tc>
        <w:tc>
          <w:tcPr>
            <w:tcW w:w="3724" w:type="dxa"/>
          </w:tcPr>
          <w:p>
            <w:pPr>
              <w:pStyle w:val="yTable"/>
              <w:spacing w:before="40" w:after="20"/>
              <w:rPr>
                <w:spacing w:val="-2"/>
                <w:sz w:val="20"/>
              </w:rPr>
            </w:pPr>
            <w:r>
              <w:rPr>
                <w:spacing w:val="-2"/>
                <w:sz w:val="20"/>
              </w:rPr>
              <w:t>$4.07 per day or, if metering indicates that water usage is occurring in excess of $4.07 per day, at cost</w:t>
            </w:r>
          </w:p>
        </w:tc>
      </w:tr>
      <w:tr>
        <w:trPr>
          <w:cantSplit/>
        </w:trPr>
        <w:tc>
          <w:tcPr>
            <w:tcW w:w="3163" w:type="dxa"/>
            <w:tcBorders>
              <w:bottom w:val="nil"/>
            </w:tcBorders>
          </w:tcPr>
          <w:p>
            <w:pPr>
              <w:pStyle w:val="yTable"/>
              <w:spacing w:before="40" w:after="20"/>
              <w:rPr>
                <w:spacing w:val="-2"/>
                <w:sz w:val="20"/>
              </w:rPr>
            </w:pPr>
            <w:r>
              <w:rPr>
                <w:spacing w:val="-2"/>
                <w:sz w:val="20"/>
              </w:rPr>
              <w:t>Use of 3</w:t>
            </w:r>
            <w:r>
              <w:rPr>
                <w:spacing w:val="-2"/>
                <w:sz w:val="20"/>
              </w:rPr>
              <w:noBreakHyphen/>
              <w:t>phase power</w:t>
            </w:r>
          </w:p>
        </w:tc>
        <w:tc>
          <w:tcPr>
            <w:tcW w:w="3724" w:type="dxa"/>
            <w:tcBorders>
              <w:bottom w:val="nil"/>
            </w:tcBorders>
          </w:tcPr>
          <w:p>
            <w:pPr>
              <w:pStyle w:val="yTable"/>
              <w:spacing w:before="40" w:after="20"/>
              <w:rPr>
                <w:spacing w:val="-2"/>
                <w:sz w:val="20"/>
              </w:rPr>
            </w:pPr>
            <w:r>
              <w:rPr>
                <w:spacing w:val="-2"/>
                <w:sz w:val="20"/>
              </w:rPr>
              <w:t>$28.09</w:t>
            </w:r>
          </w:p>
        </w:tc>
      </w:tr>
      <w:tr>
        <w:trPr>
          <w:cantSplit/>
        </w:trPr>
        <w:tc>
          <w:tcPr>
            <w:tcW w:w="3163" w:type="dxa"/>
            <w:tcBorders>
              <w:bottom w:val="single" w:sz="4" w:space="0" w:color="auto"/>
            </w:tcBorders>
          </w:tcPr>
          <w:p>
            <w:pPr>
              <w:pStyle w:val="yTable"/>
              <w:spacing w:before="40" w:after="20"/>
              <w:rPr>
                <w:spacing w:val="-2"/>
                <w:sz w:val="20"/>
              </w:rPr>
            </w:pPr>
            <w:r>
              <w:rPr>
                <w:spacing w:val="-2"/>
                <w:sz w:val="20"/>
              </w:rPr>
              <w:t>Use of single</w:t>
            </w:r>
            <w:r>
              <w:rPr>
                <w:spacing w:val="-2"/>
                <w:sz w:val="20"/>
              </w:rPr>
              <w:noBreakHyphen/>
              <w:t>phase power</w:t>
            </w:r>
          </w:p>
        </w:tc>
        <w:tc>
          <w:tcPr>
            <w:tcW w:w="3724" w:type="dxa"/>
            <w:tcBorders>
              <w:bottom w:val="single" w:sz="4" w:space="0" w:color="auto"/>
            </w:tcBorders>
          </w:tcPr>
          <w:p>
            <w:pPr>
              <w:pStyle w:val="yTable"/>
              <w:spacing w:before="40" w:after="20"/>
              <w:rPr>
                <w:spacing w:val="-2"/>
                <w:sz w:val="20"/>
              </w:rPr>
            </w:pPr>
            <w:r>
              <w:rPr>
                <w:spacing w:val="-2"/>
                <w:sz w:val="20"/>
              </w:rPr>
              <w:t>$7.03 per day or, if metering indicates that electric power usage is occurring in excess of $7.03 per day, at cost</w:t>
            </w:r>
          </w:p>
        </w:tc>
      </w:tr>
    </w:tbl>
    <w:p>
      <w:pPr>
        <w:pStyle w:val="yHeading4"/>
      </w:pPr>
      <w:bookmarkStart w:id="680" w:name="_Toc170210264"/>
      <w:r>
        <w:t>Subdivision 2</w:t>
      </w:r>
      <w:r>
        <w:rPr>
          <w:b w:val="0"/>
        </w:rPr>
        <w:t> — </w:t>
      </w:r>
      <w:r>
        <w:t>General charges</w:t>
      </w:r>
      <w:bookmarkEnd w:id="680"/>
    </w:p>
    <w:p>
      <w:pPr>
        <w:pStyle w:val="yFootnoteheading"/>
      </w:pPr>
      <w:r>
        <w:tab/>
        <w:t>[Heading inserted in Gazette 24 Jun 2005 p. 2823.]</w:t>
      </w:r>
    </w:p>
    <w:p>
      <w:pPr>
        <w:pStyle w:val="zyMiscellaneousHeading"/>
        <w:rPr>
          <w:snapToGrid w:val="0"/>
        </w:rPr>
      </w:pPr>
      <w:r>
        <w:rPr>
          <w:snapToGrid w:val="0"/>
        </w:rPr>
        <w:t>Casuarina Boat Harbour (Bunbury)</w:t>
      </w: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3871"/>
        <w:gridCol w:w="3016"/>
      </w:tblGrid>
      <w:tr>
        <w:tc>
          <w:tcPr>
            <w:tcW w:w="3871" w:type="dxa"/>
            <w:tcBorders>
              <w:bottom w:val="nil"/>
            </w:tcBorders>
          </w:tcPr>
          <w:p>
            <w:pPr>
              <w:pStyle w:val="yTable"/>
              <w:spacing w:after="20"/>
              <w:rPr>
                <w:spacing w:val="-2"/>
                <w:sz w:val="20"/>
              </w:rPr>
            </w:pPr>
            <w:r>
              <w:rPr>
                <w:spacing w:val="-2"/>
                <w:sz w:val="20"/>
              </w:rPr>
              <w:t>All Vessels (per day or part of a day on the slipway)</w:t>
            </w:r>
            <w:r>
              <w:rPr>
                <w:spacing w:val="-2"/>
                <w:sz w:val="20"/>
              </w:rPr>
              <w:br/>
              <w:t>1 April to next succeeding 31 August</w:t>
            </w:r>
            <w:r>
              <w:rPr>
                <w:spacing w:val="-2"/>
                <w:sz w:val="20"/>
              </w:rPr>
              <w:br/>
              <w:t>1 September to next succeeding 31 March</w:t>
            </w:r>
          </w:p>
        </w:tc>
        <w:tc>
          <w:tcPr>
            <w:tcW w:w="3016" w:type="dxa"/>
            <w:tcBorders>
              <w:bottom w:val="nil"/>
            </w:tcBorders>
          </w:tcPr>
          <w:p>
            <w:pPr>
              <w:pStyle w:val="yTable"/>
              <w:spacing w:after="20"/>
              <w:rPr>
                <w:spacing w:val="-2"/>
                <w:sz w:val="20"/>
              </w:rPr>
            </w:pPr>
            <w:r>
              <w:rPr>
                <w:spacing w:val="-2"/>
                <w:sz w:val="20"/>
              </w:rPr>
              <w:br/>
            </w:r>
            <w:r>
              <w:rPr>
                <w:spacing w:val="-2"/>
                <w:sz w:val="20"/>
              </w:rPr>
              <w:br/>
              <w:t>$50.77</w:t>
            </w:r>
            <w:r>
              <w:rPr>
                <w:spacing w:val="-2"/>
                <w:sz w:val="20"/>
              </w:rPr>
              <w:br/>
              <w:t>$101.54</w:t>
            </w:r>
          </w:p>
        </w:tc>
      </w:tr>
      <w:tr>
        <w:tc>
          <w:tcPr>
            <w:tcW w:w="3871" w:type="dxa"/>
            <w:tcBorders>
              <w:bottom w:val="single" w:sz="4" w:space="0" w:color="auto"/>
            </w:tcBorders>
          </w:tcPr>
          <w:p>
            <w:pPr>
              <w:pStyle w:val="yTable"/>
              <w:spacing w:after="20"/>
              <w:rPr>
                <w:spacing w:val="-2"/>
                <w:sz w:val="20"/>
              </w:rPr>
            </w:pPr>
            <w:r>
              <w:rPr>
                <w:spacing w:val="-2"/>
                <w:sz w:val="20"/>
              </w:rPr>
              <w:t>Haulage charge (includes hauls up and down) —</w:t>
            </w:r>
          </w:p>
        </w:tc>
        <w:tc>
          <w:tcPr>
            <w:tcW w:w="3016" w:type="dxa"/>
            <w:tcBorders>
              <w:bottom w:val="single" w:sz="4" w:space="0" w:color="auto"/>
            </w:tcBorders>
          </w:tcPr>
          <w:p>
            <w:pPr>
              <w:pStyle w:val="yTable"/>
              <w:spacing w:after="20"/>
              <w:rPr>
                <w:spacing w:val="-2"/>
                <w:sz w:val="20"/>
              </w:rPr>
            </w:pPr>
          </w:p>
        </w:tc>
      </w:tr>
      <w:tr>
        <w:tc>
          <w:tcPr>
            <w:tcW w:w="3871" w:type="dxa"/>
            <w:tcBorders>
              <w:bottom w:val="single" w:sz="4" w:space="0" w:color="auto"/>
            </w:tcBorders>
          </w:tcPr>
          <w:p>
            <w:pPr>
              <w:pStyle w:val="yTable"/>
              <w:spacing w:after="20"/>
              <w:ind w:left="170"/>
              <w:rPr>
                <w:spacing w:val="-2"/>
                <w:sz w:val="20"/>
              </w:rPr>
            </w:pPr>
            <w:r>
              <w:rPr>
                <w:spacing w:val="-2"/>
                <w:sz w:val="20"/>
              </w:rPr>
              <w:t xml:space="preserve">vessels for which mooring fee under the </w:t>
            </w:r>
            <w:r>
              <w:rPr>
                <w:i/>
                <w:spacing w:val="-2"/>
                <w:sz w:val="20"/>
              </w:rPr>
              <w:t>Shipping and Pilotage (Mooring Control Areas) Regulations 1983</w:t>
            </w:r>
            <w:r>
              <w:rPr>
                <w:spacing w:val="-2"/>
                <w:sz w:val="20"/>
              </w:rPr>
              <w:t xml:space="preserve"> or annual pen fee paid</w:t>
            </w:r>
          </w:p>
        </w:tc>
        <w:tc>
          <w:tcPr>
            <w:tcW w:w="3016" w:type="dxa"/>
            <w:tcBorders>
              <w:bottom w:val="single" w:sz="4" w:space="0" w:color="auto"/>
            </w:tcBorders>
          </w:tcPr>
          <w:p>
            <w:pPr>
              <w:pStyle w:val="yTable"/>
              <w:spacing w:after="20"/>
              <w:rPr>
                <w:spacing w:val="-2"/>
                <w:sz w:val="20"/>
              </w:rPr>
            </w:pPr>
            <w:r>
              <w:rPr>
                <w:spacing w:val="-2"/>
                <w:sz w:val="20"/>
              </w:rPr>
              <w:br/>
            </w:r>
            <w:r>
              <w:rPr>
                <w:spacing w:val="-2"/>
                <w:sz w:val="20"/>
              </w:rPr>
              <w:br/>
            </w:r>
            <w:r>
              <w:rPr>
                <w:spacing w:val="-2"/>
                <w:sz w:val="20"/>
              </w:rPr>
              <w:br/>
              <w:t>$172.68</w:t>
            </w:r>
          </w:p>
        </w:tc>
      </w:tr>
      <w:tr>
        <w:tc>
          <w:tcPr>
            <w:tcW w:w="3871" w:type="dxa"/>
            <w:tcBorders>
              <w:bottom w:val="single" w:sz="4" w:space="0" w:color="auto"/>
            </w:tcBorders>
          </w:tcPr>
          <w:p>
            <w:pPr>
              <w:pStyle w:val="yTable"/>
              <w:spacing w:after="20"/>
              <w:ind w:left="170"/>
              <w:rPr>
                <w:spacing w:val="-2"/>
                <w:sz w:val="20"/>
              </w:rPr>
            </w:pPr>
            <w:r>
              <w:rPr>
                <w:spacing w:val="-2"/>
                <w:sz w:val="20"/>
              </w:rPr>
              <w:t xml:space="preserve">vessels for which mooring fee under the </w:t>
            </w:r>
            <w:r>
              <w:rPr>
                <w:i/>
                <w:spacing w:val="-2"/>
                <w:sz w:val="20"/>
              </w:rPr>
              <w:t>Shipping and Pilotage (Mooring Control Areas) Regulations 1983</w:t>
            </w:r>
            <w:r>
              <w:rPr>
                <w:spacing w:val="-2"/>
                <w:sz w:val="20"/>
              </w:rPr>
              <w:t xml:space="preserve"> or annual pen fee not paid</w:t>
            </w:r>
          </w:p>
        </w:tc>
        <w:tc>
          <w:tcPr>
            <w:tcW w:w="3016" w:type="dxa"/>
            <w:tcBorders>
              <w:bottom w:val="single" w:sz="4" w:space="0" w:color="auto"/>
            </w:tcBorders>
          </w:tcPr>
          <w:p>
            <w:pPr>
              <w:pStyle w:val="yTable"/>
              <w:spacing w:after="20"/>
              <w:rPr>
                <w:spacing w:val="-2"/>
                <w:sz w:val="20"/>
              </w:rPr>
            </w:pPr>
            <w:r>
              <w:rPr>
                <w:spacing w:val="-2"/>
                <w:sz w:val="20"/>
              </w:rPr>
              <w:br/>
            </w:r>
            <w:r>
              <w:rPr>
                <w:spacing w:val="-2"/>
                <w:sz w:val="20"/>
              </w:rPr>
              <w:br/>
            </w:r>
            <w:r>
              <w:rPr>
                <w:spacing w:val="-2"/>
                <w:sz w:val="20"/>
              </w:rPr>
              <w:br/>
              <w:t>$201.46</w:t>
            </w:r>
          </w:p>
        </w:tc>
      </w:tr>
      <w:tr>
        <w:tc>
          <w:tcPr>
            <w:tcW w:w="3871" w:type="dxa"/>
            <w:tcBorders>
              <w:top w:val="nil"/>
              <w:bottom w:val="single" w:sz="4" w:space="0" w:color="auto"/>
            </w:tcBorders>
          </w:tcPr>
          <w:p>
            <w:pPr>
              <w:pStyle w:val="yTable"/>
              <w:spacing w:after="20"/>
              <w:rPr>
                <w:spacing w:val="-2"/>
                <w:sz w:val="20"/>
              </w:rPr>
            </w:pPr>
            <w:r>
              <w:rPr>
                <w:spacing w:val="-2"/>
                <w:sz w:val="20"/>
              </w:rPr>
              <w:t xml:space="preserve">Fee for use of Department for Planning and Infrastructure land adjacent to the slipway for maintenance or storage — </w:t>
            </w:r>
          </w:p>
        </w:tc>
        <w:tc>
          <w:tcPr>
            <w:tcW w:w="3016" w:type="dxa"/>
            <w:tcBorders>
              <w:top w:val="nil"/>
              <w:bottom w:val="single" w:sz="4" w:space="0" w:color="auto"/>
            </w:tcBorders>
          </w:tcPr>
          <w:p>
            <w:pPr>
              <w:pStyle w:val="yTable"/>
              <w:spacing w:after="20"/>
              <w:rPr>
                <w:spacing w:val="-2"/>
                <w:sz w:val="20"/>
              </w:rPr>
            </w:pPr>
          </w:p>
        </w:tc>
      </w:tr>
      <w:tr>
        <w:tc>
          <w:tcPr>
            <w:tcW w:w="3871" w:type="dxa"/>
            <w:tcBorders>
              <w:bottom w:val="single" w:sz="4" w:space="0" w:color="auto"/>
            </w:tcBorders>
          </w:tcPr>
          <w:p>
            <w:pPr>
              <w:pStyle w:val="yTable"/>
              <w:spacing w:after="20"/>
              <w:ind w:left="170"/>
              <w:rPr>
                <w:spacing w:val="-2"/>
                <w:sz w:val="20"/>
              </w:rPr>
            </w:pPr>
            <w:r>
              <w:rPr>
                <w:spacing w:val="-2"/>
                <w:sz w:val="20"/>
              </w:rPr>
              <w:t>for the first 30 days (per day or part of a day)</w:t>
            </w:r>
          </w:p>
        </w:tc>
        <w:tc>
          <w:tcPr>
            <w:tcW w:w="3016" w:type="dxa"/>
            <w:tcBorders>
              <w:bottom w:val="single" w:sz="4" w:space="0" w:color="auto"/>
            </w:tcBorders>
          </w:tcPr>
          <w:p>
            <w:pPr>
              <w:pStyle w:val="yTable"/>
              <w:spacing w:after="20"/>
              <w:rPr>
                <w:spacing w:val="-2"/>
                <w:sz w:val="20"/>
              </w:rPr>
            </w:pPr>
            <w:r>
              <w:rPr>
                <w:spacing w:val="-2"/>
                <w:sz w:val="20"/>
              </w:rPr>
              <w:t>$7.25</w:t>
            </w:r>
          </w:p>
        </w:tc>
      </w:tr>
      <w:tr>
        <w:tc>
          <w:tcPr>
            <w:tcW w:w="3871" w:type="dxa"/>
            <w:tcBorders>
              <w:top w:val="single" w:sz="4" w:space="0" w:color="auto"/>
              <w:bottom w:val="single" w:sz="4" w:space="0" w:color="auto"/>
            </w:tcBorders>
          </w:tcPr>
          <w:p>
            <w:pPr>
              <w:pStyle w:val="yTable"/>
              <w:spacing w:after="20"/>
              <w:ind w:left="170"/>
              <w:rPr>
                <w:spacing w:val="-2"/>
                <w:sz w:val="20"/>
              </w:rPr>
            </w:pPr>
            <w:r>
              <w:rPr>
                <w:spacing w:val="-2"/>
                <w:sz w:val="20"/>
              </w:rPr>
              <w:t>after 30 days (per day or part of a day)</w:t>
            </w:r>
          </w:p>
        </w:tc>
        <w:tc>
          <w:tcPr>
            <w:tcW w:w="3016" w:type="dxa"/>
            <w:tcBorders>
              <w:top w:val="single" w:sz="4" w:space="0" w:color="auto"/>
              <w:bottom w:val="single" w:sz="4" w:space="0" w:color="auto"/>
            </w:tcBorders>
          </w:tcPr>
          <w:p>
            <w:pPr>
              <w:pStyle w:val="yTable"/>
              <w:spacing w:after="20"/>
              <w:rPr>
                <w:spacing w:val="-2"/>
                <w:sz w:val="20"/>
              </w:rPr>
            </w:pPr>
            <w:r>
              <w:rPr>
                <w:spacing w:val="-2"/>
                <w:sz w:val="20"/>
              </w:rPr>
              <w:t>$30.22</w:t>
            </w:r>
          </w:p>
        </w:tc>
      </w:tr>
      <w:tr>
        <w:tc>
          <w:tcPr>
            <w:tcW w:w="3871" w:type="dxa"/>
            <w:tcBorders>
              <w:top w:val="nil"/>
              <w:bottom w:val="single" w:sz="4" w:space="0" w:color="auto"/>
            </w:tcBorders>
          </w:tcPr>
          <w:p>
            <w:pPr>
              <w:pStyle w:val="yTable"/>
              <w:spacing w:after="20"/>
              <w:rPr>
                <w:spacing w:val="-2"/>
                <w:sz w:val="20"/>
              </w:rPr>
            </w:pPr>
            <w:r>
              <w:rPr>
                <w:spacing w:val="-2"/>
                <w:sz w:val="20"/>
              </w:rPr>
              <w:t xml:space="preserve">Fee for storage or maintenance of vessel on harbour land not immediately adjacent to the slipway — </w:t>
            </w:r>
          </w:p>
        </w:tc>
        <w:tc>
          <w:tcPr>
            <w:tcW w:w="3016" w:type="dxa"/>
            <w:tcBorders>
              <w:top w:val="nil"/>
              <w:bottom w:val="single" w:sz="4" w:space="0" w:color="auto"/>
            </w:tcBorders>
          </w:tcPr>
          <w:p>
            <w:pPr>
              <w:pStyle w:val="yTable"/>
              <w:spacing w:after="20"/>
              <w:rPr>
                <w:spacing w:val="-2"/>
                <w:sz w:val="20"/>
              </w:rPr>
            </w:pPr>
          </w:p>
        </w:tc>
      </w:tr>
      <w:tr>
        <w:tc>
          <w:tcPr>
            <w:tcW w:w="3871" w:type="dxa"/>
            <w:tcBorders>
              <w:bottom w:val="nil"/>
            </w:tcBorders>
          </w:tcPr>
          <w:p>
            <w:pPr>
              <w:pStyle w:val="yTable"/>
              <w:spacing w:after="20"/>
              <w:ind w:left="170"/>
              <w:rPr>
                <w:spacing w:val="-2"/>
                <w:sz w:val="20"/>
              </w:rPr>
            </w:pPr>
            <w:r>
              <w:rPr>
                <w:spacing w:val="-2"/>
                <w:sz w:val="20"/>
              </w:rPr>
              <w:t>for the first 90 days (per day or part of a day)</w:t>
            </w:r>
          </w:p>
        </w:tc>
        <w:tc>
          <w:tcPr>
            <w:tcW w:w="3016" w:type="dxa"/>
            <w:tcBorders>
              <w:bottom w:val="nil"/>
            </w:tcBorders>
          </w:tcPr>
          <w:p>
            <w:pPr>
              <w:pStyle w:val="yTable"/>
              <w:spacing w:after="20"/>
              <w:rPr>
                <w:spacing w:val="-2"/>
                <w:sz w:val="20"/>
              </w:rPr>
            </w:pPr>
            <w:r>
              <w:rPr>
                <w:spacing w:val="-2"/>
                <w:sz w:val="20"/>
              </w:rPr>
              <w:t>$7.25</w:t>
            </w:r>
          </w:p>
        </w:tc>
      </w:tr>
      <w:tr>
        <w:tc>
          <w:tcPr>
            <w:tcW w:w="3871" w:type="dxa"/>
            <w:tcBorders>
              <w:bottom w:val="single" w:sz="4" w:space="0" w:color="auto"/>
            </w:tcBorders>
          </w:tcPr>
          <w:p>
            <w:pPr>
              <w:pStyle w:val="yTable"/>
              <w:spacing w:after="20"/>
              <w:ind w:left="170"/>
              <w:rPr>
                <w:spacing w:val="-2"/>
                <w:sz w:val="20"/>
              </w:rPr>
            </w:pPr>
            <w:r>
              <w:rPr>
                <w:spacing w:val="-2"/>
                <w:sz w:val="20"/>
              </w:rPr>
              <w:t>after 90 days (per day or part of a day)</w:t>
            </w:r>
          </w:p>
        </w:tc>
        <w:tc>
          <w:tcPr>
            <w:tcW w:w="3016" w:type="dxa"/>
            <w:tcBorders>
              <w:bottom w:val="single" w:sz="4" w:space="0" w:color="auto"/>
            </w:tcBorders>
          </w:tcPr>
          <w:p>
            <w:pPr>
              <w:pStyle w:val="yTable"/>
              <w:spacing w:after="20"/>
              <w:rPr>
                <w:spacing w:val="-2"/>
                <w:sz w:val="20"/>
              </w:rPr>
            </w:pPr>
            <w:r>
              <w:rPr>
                <w:spacing w:val="-2"/>
                <w:sz w:val="20"/>
              </w:rPr>
              <w:t>$30.22</w:t>
            </w:r>
          </w:p>
        </w:tc>
      </w:tr>
      <w:tr>
        <w:trPr>
          <w:cantSplit/>
        </w:trPr>
        <w:tc>
          <w:tcPr>
            <w:tcW w:w="6887" w:type="dxa"/>
            <w:gridSpan w:val="2"/>
            <w:tcBorders>
              <w:top w:val="nil"/>
              <w:bottom w:val="nil"/>
            </w:tcBorders>
          </w:tcPr>
          <w:p>
            <w:pPr>
              <w:pStyle w:val="yNumberedItem"/>
            </w:pPr>
            <w:r>
              <w:t>Note:</w:t>
            </w:r>
            <w:r>
              <w:tab/>
              <w:t>if use of land adjacent to the slipway precedes use of land away from the slipway, all days involved will be counted towards the 90 days allowed at the lower rate.</w:t>
            </w:r>
          </w:p>
        </w:tc>
      </w:tr>
      <w:tr>
        <w:tc>
          <w:tcPr>
            <w:tcW w:w="3871" w:type="dxa"/>
            <w:tcBorders>
              <w:top w:val="single" w:sz="4" w:space="0" w:color="auto"/>
              <w:bottom w:val="single" w:sz="4" w:space="0" w:color="auto"/>
            </w:tcBorders>
          </w:tcPr>
          <w:p>
            <w:pPr>
              <w:pStyle w:val="yTable"/>
              <w:spacing w:after="20"/>
              <w:rPr>
                <w:spacing w:val="-2"/>
                <w:sz w:val="20"/>
              </w:rPr>
            </w:pPr>
            <w:r>
              <w:rPr>
                <w:spacing w:val="-2"/>
                <w:sz w:val="20"/>
              </w:rPr>
              <w:t>Water and power (where metered)</w:t>
            </w:r>
          </w:p>
        </w:tc>
        <w:tc>
          <w:tcPr>
            <w:tcW w:w="3016" w:type="dxa"/>
            <w:tcBorders>
              <w:top w:val="single" w:sz="4" w:space="0" w:color="auto"/>
              <w:bottom w:val="single" w:sz="4" w:space="0" w:color="auto"/>
            </w:tcBorders>
          </w:tcPr>
          <w:p>
            <w:pPr>
              <w:pStyle w:val="yTable"/>
              <w:spacing w:after="20"/>
              <w:rPr>
                <w:spacing w:val="-2"/>
                <w:sz w:val="20"/>
              </w:rPr>
            </w:pPr>
            <w:r>
              <w:rPr>
                <w:spacing w:val="-2"/>
                <w:sz w:val="20"/>
              </w:rPr>
              <w:t>at cost</w:t>
            </w:r>
          </w:p>
        </w:tc>
      </w:tr>
    </w:tbl>
    <w:p>
      <w:pPr>
        <w:pStyle w:val="zyMiscellaneousHeading"/>
        <w:rPr>
          <w:snapToGrid w:val="0"/>
        </w:rPr>
      </w:pPr>
      <w:r>
        <w:rPr>
          <w:snapToGrid w:val="0"/>
        </w:rPr>
        <w:t>Johns Creek Boat Harbour (Point Samson)</w:t>
      </w: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431"/>
        <w:gridCol w:w="1470"/>
      </w:tblGrid>
      <w:tr>
        <w:tc>
          <w:tcPr>
            <w:tcW w:w="5431" w:type="dxa"/>
          </w:tcPr>
          <w:p>
            <w:pPr>
              <w:pStyle w:val="yTable"/>
              <w:spacing w:after="20"/>
              <w:rPr>
                <w:spacing w:val="-2"/>
                <w:sz w:val="20"/>
              </w:rPr>
            </w:pPr>
            <w:r>
              <w:rPr>
                <w:spacing w:val="-2"/>
                <w:sz w:val="20"/>
              </w:rPr>
              <w:t>Slippage Fees </w:t>
            </w:r>
            <w:r>
              <w:rPr>
                <w:i/>
                <w:snapToGrid w:val="0"/>
                <w:sz w:val="20"/>
              </w:rPr>
              <w:t>—</w:t>
            </w:r>
            <w:r>
              <w:rPr>
                <w:spacing w:val="-2"/>
                <w:sz w:val="20"/>
              </w:rPr>
              <w:t> </w:t>
            </w:r>
          </w:p>
        </w:tc>
        <w:tc>
          <w:tcPr>
            <w:tcW w:w="1470" w:type="dxa"/>
          </w:tcPr>
          <w:p>
            <w:pPr>
              <w:pStyle w:val="yTable"/>
              <w:spacing w:after="20"/>
              <w:rPr>
                <w:spacing w:val="-2"/>
                <w:sz w:val="20"/>
              </w:rPr>
            </w:pPr>
          </w:p>
        </w:tc>
      </w:tr>
      <w:tr>
        <w:tc>
          <w:tcPr>
            <w:tcW w:w="5431" w:type="dxa"/>
          </w:tcPr>
          <w:p>
            <w:pPr>
              <w:pStyle w:val="yTable"/>
              <w:spacing w:after="20"/>
              <w:ind w:left="243" w:hanging="243"/>
              <w:rPr>
                <w:spacing w:val="-2"/>
                <w:sz w:val="20"/>
              </w:rPr>
            </w:pPr>
            <w:r>
              <w:rPr>
                <w:spacing w:val="-2"/>
                <w:sz w:val="20"/>
              </w:rPr>
              <w:tab/>
              <w:t>Vessels for which annual pen fees paid </w:t>
            </w:r>
            <w:r>
              <w:rPr>
                <w:i/>
                <w:snapToGrid w:val="0"/>
                <w:sz w:val="20"/>
              </w:rPr>
              <w:t>—</w:t>
            </w:r>
            <w:r>
              <w:rPr>
                <w:spacing w:val="-2"/>
                <w:sz w:val="20"/>
              </w:rPr>
              <w:t> </w:t>
            </w:r>
          </w:p>
        </w:tc>
        <w:tc>
          <w:tcPr>
            <w:tcW w:w="1470" w:type="dxa"/>
          </w:tcPr>
          <w:p>
            <w:pPr>
              <w:pStyle w:val="yTable"/>
              <w:spacing w:after="20"/>
              <w:rPr>
                <w:spacing w:val="-2"/>
                <w:sz w:val="20"/>
              </w:rPr>
            </w:pPr>
          </w:p>
        </w:tc>
      </w:tr>
      <w:tr>
        <w:tc>
          <w:tcPr>
            <w:tcW w:w="5431" w:type="dxa"/>
          </w:tcPr>
          <w:p>
            <w:pPr>
              <w:pStyle w:val="yTable"/>
              <w:tabs>
                <w:tab w:val="left" w:pos="433"/>
              </w:tabs>
              <w:spacing w:after="20"/>
              <w:rPr>
                <w:spacing w:val="-2"/>
                <w:sz w:val="20"/>
              </w:rPr>
            </w:pPr>
            <w:r>
              <w:rPr>
                <w:spacing w:val="-2"/>
                <w:sz w:val="20"/>
              </w:rPr>
              <w:tab/>
              <w:t>Vessels not exceeding 15 m</w:t>
            </w:r>
          </w:p>
        </w:tc>
        <w:tc>
          <w:tcPr>
            <w:tcW w:w="1470" w:type="dxa"/>
          </w:tcPr>
          <w:p>
            <w:pPr>
              <w:pStyle w:val="yTable"/>
              <w:spacing w:after="20"/>
              <w:rPr>
                <w:spacing w:val="-2"/>
                <w:sz w:val="20"/>
              </w:rPr>
            </w:pPr>
            <w:r>
              <w:rPr>
                <w:spacing w:val="-2"/>
                <w:sz w:val="20"/>
              </w:rPr>
              <w:t>$118.57</w:t>
            </w:r>
          </w:p>
        </w:tc>
      </w:tr>
      <w:tr>
        <w:tc>
          <w:tcPr>
            <w:tcW w:w="5431" w:type="dxa"/>
          </w:tcPr>
          <w:p>
            <w:pPr>
              <w:pStyle w:val="yTable"/>
              <w:tabs>
                <w:tab w:val="left" w:pos="461"/>
              </w:tabs>
              <w:spacing w:after="20"/>
              <w:rPr>
                <w:spacing w:val="-2"/>
                <w:sz w:val="20"/>
              </w:rPr>
            </w:pPr>
            <w:r>
              <w:rPr>
                <w:spacing w:val="-2"/>
                <w:sz w:val="20"/>
              </w:rPr>
              <w:tab/>
              <w:t>Vessels over 15 m</w:t>
            </w:r>
          </w:p>
        </w:tc>
        <w:tc>
          <w:tcPr>
            <w:tcW w:w="1470" w:type="dxa"/>
          </w:tcPr>
          <w:p>
            <w:pPr>
              <w:pStyle w:val="yTable"/>
              <w:spacing w:after="20"/>
              <w:rPr>
                <w:spacing w:val="-2"/>
                <w:sz w:val="20"/>
              </w:rPr>
            </w:pPr>
            <w:r>
              <w:rPr>
                <w:spacing w:val="-2"/>
                <w:sz w:val="20"/>
              </w:rPr>
              <w:t>$168.37</w:t>
            </w:r>
          </w:p>
        </w:tc>
      </w:tr>
      <w:tr>
        <w:tc>
          <w:tcPr>
            <w:tcW w:w="5431" w:type="dxa"/>
          </w:tcPr>
          <w:p>
            <w:pPr>
              <w:pStyle w:val="yTable"/>
              <w:keepNext/>
              <w:keepLines/>
              <w:tabs>
                <w:tab w:val="left" w:pos="243"/>
              </w:tabs>
              <w:spacing w:after="20"/>
              <w:rPr>
                <w:spacing w:val="-2"/>
                <w:sz w:val="20"/>
              </w:rPr>
            </w:pPr>
            <w:r>
              <w:rPr>
                <w:spacing w:val="-2"/>
                <w:sz w:val="20"/>
              </w:rPr>
              <w:tab/>
              <w:t>Vessels for which annual pen fees not paid </w:t>
            </w:r>
            <w:r>
              <w:rPr>
                <w:i/>
                <w:snapToGrid w:val="0"/>
                <w:sz w:val="20"/>
              </w:rPr>
              <w:t>—</w:t>
            </w:r>
            <w:r>
              <w:rPr>
                <w:spacing w:val="-2"/>
                <w:sz w:val="20"/>
              </w:rPr>
              <w:t> </w:t>
            </w:r>
          </w:p>
        </w:tc>
        <w:tc>
          <w:tcPr>
            <w:tcW w:w="1470" w:type="dxa"/>
          </w:tcPr>
          <w:p>
            <w:pPr>
              <w:pStyle w:val="yTable"/>
              <w:keepNext/>
              <w:keepLines/>
              <w:spacing w:after="20"/>
              <w:rPr>
                <w:spacing w:val="-2"/>
                <w:sz w:val="20"/>
              </w:rPr>
            </w:pPr>
          </w:p>
        </w:tc>
      </w:tr>
      <w:tr>
        <w:tc>
          <w:tcPr>
            <w:tcW w:w="5431" w:type="dxa"/>
            <w:tcBorders>
              <w:bottom w:val="nil"/>
            </w:tcBorders>
          </w:tcPr>
          <w:p>
            <w:pPr>
              <w:pStyle w:val="yTable"/>
              <w:keepNext/>
              <w:keepLines/>
              <w:tabs>
                <w:tab w:val="left" w:pos="475"/>
              </w:tabs>
              <w:spacing w:after="20"/>
              <w:rPr>
                <w:spacing w:val="-2"/>
                <w:sz w:val="20"/>
              </w:rPr>
            </w:pPr>
            <w:r>
              <w:rPr>
                <w:spacing w:val="-2"/>
                <w:sz w:val="20"/>
              </w:rPr>
              <w:tab/>
              <w:t>Vessels not exceeding 15 m</w:t>
            </w:r>
          </w:p>
        </w:tc>
        <w:tc>
          <w:tcPr>
            <w:tcW w:w="1470" w:type="dxa"/>
            <w:tcBorders>
              <w:bottom w:val="nil"/>
            </w:tcBorders>
          </w:tcPr>
          <w:p>
            <w:pPr>
              <w:pStyle w:val="yTable"/>
              <w:keepNext/>
              <w:keepLines/>
              <w:spacing w:after="20"/>
              <w:rPr>
                <w:spacing w:val="-2"/>
                <w:sz w:val="20"/>
              </w:rPr>
            </w:pPr>
            <w:r>
              <w:rPr>
                <w:spacing w:val="-2"/>
                <w:sz w:val="20"/>
              </w:rPr>
              <w:t>$142.29</w:t>
            </w:r>
          </w:p>
        </w:tc>
      </w:tr>
      <w:tr>
        <w:tc>
          <w:tcPr>
            <w:tcW w:w="5431" w:type="dxa"/>
            <w:tcBorders>
              <w:bottom w:val="nil"/>
            </w:tcBorders>
          </w:tcPr>
          <w:p>
            <w:pPr>
              <w:pStyle w:val="yTable"/>
              <w:tabs>
                <w:tab w:val="left" w:pos="489"/>
              </w:tabs>
              <w:spacing w:after="20"/>
              <w:rPr>
                <w:spacing w:val="-2"/>
                <w:sz w:val="20"/>
              </w:rPr>
            </w:pPr>
            <w:r>
              <w:rPr>
                <w:spacing w:val="-2"/>
                <w:sz w:val="20"/>
              </w:rPr>
              <w:tab/>
              <w:t>Vessels over 15 m</w:t>
            </w:r>
          </w:p>
        </w:tc>
        <w:tc>
          <w:tcPr>
            <w:tcW w:w="1470" w:type="dxa"/>
            <w:tcBorders>
              <w:bottom w:val="nil"/>
            </w:tcBorders>
          </w:tcPr>
          <w:p>
            <w:pPr>
              <w:pStyle w:val="yTable"/>
              <w:spacing w:after="20"/>
              <w:rPr>
                <w:spacing w:val="-2"/>
                <w:sz w:val="20"/>
              </w:rPr>
            </w:pPr>
            <w:r>
              <w:rPr>
                <w:spacing w:val="-2"/>
                <w:sz w:val="20"/>
              </w:rPr>
              <w:t>$207.50</w:t>
            </w:r>
          </w:p>
        </w:tc>
      </w:tr>
      <w:tr>
        <w:tc>
          <w:tcPr>
            <w:tcW w:w="5431" w:type="dxa"/>
            <w:tcBorders>
              <w:bottom w:val="nil"/>
            </w:tcBorders>
          </w:tcPr>
          <w:p>
            <w:pPr>
              <w:pStyle w:val="yTable"/>
              <w:tabs>
                <w:tab w:val="left" w:pos="624"/>
              </w:tabs>
              <w:spacing w:after="20"/>
              <w:rPr>
                <w:spacing w:val="-2"/>
                <w:sz w:val="20"/>
              </w:rPr>
            </w:pPr>
            <w:r>
              <w:rPr>
                <w:spacing w:val="-2"/>
                <w:sz w:val="20"/>
              </w:rPr>
              <w:t>Water Charges</w:t>
            </w:r>
          </w:p>
        </w:tc>
        <w:tc>
          <w:tcPr>
            <w:tcW w:w="1470" w:type="dxa"/>
            <w:tcBorders>
              <w:bottom w:val="nil"/>
            </w:tcBorders>
          </w:tcPr>
          <w:p>
            <w:pPr>
              <w:pStyle w:val="yTable"/>
              <w:spacing w:after="20"/>
              <w:rPr>
                <w:spacing w:val="-2"/>
                <w:sz w:val="20"/>
              </w:rPr>
            </w:pPr>
            <w:r>
              <w:rPr>
                <w:spacing w:val="-2"/>
                <w:sz w:val="20"/>
              </w:rPr>
              <w:t>$3.20 (per day)</w:t>
            </w:r>
          </w:p>
        </w:tc>
      </w:tr>
      <w:tr>
        <w:tc>
          <w:tcPr>
            <w:tcW w:w="5431" w:type="dxa"/>
            <w:tcBorders>
              <w:top w:val="single" w:sz="4" w:space="0" w:color="auto"/>
              <w:bottom w:val="single" w:sz="4" w:space="0" w:color="auto"/>
            </w:tcBorders>
          </w:tcPr>
          <w:p>
            <w:pPr>
              <w:pStyle w:val="yTable"/>
              <w:spacing w:after="20"/>
              <w:rPr>
                <w:spacing w:val="-2"/>
                <w:sz w:val="20"/>
              </w:rPr>
            </w:pPr>
            <w:r>
              <w:rPr>
                <w:spacing w:val="-2"/>
                <w:sz w:val="20"/>
              </w:rPr>
              <w:t>Electrical power</w:t>
            </w:r>
          </w:p>
        </w:tc>
        <w:tc>
          <w:tcPr>
            <w:tcW w:w="1470" w:type="dxa"/>
            <w:tcBorders>
              <w:top w:val="single" w:sz="4" w:space="0" w:color="auto"/>
              <w:bottom w:val="single" w:sz="4" w:space="0" w:color="auto"/>
            </w:tcBorders>
          </w:tcPr>
          <w:p>
            <w:pPr>
              <w:pStyle w:val="yTable"/>
              <w:spacing w:after="20"/>
              <w:rPr>
                <w:spacing w:val="-2"/>
                <w:sz w:val="20"/>
              </w:rPr>
            </w:pPr>
            <w:r>
              <w:rPr>
                <w:spacing w:val="-2"/>
                <w:sz w:val="20"/>
              </w:rPr>
              <w:t>at cost, with a minimum daily charge of $5.51</w:t>
            </w:r>
          </w:p>
        </w:tc>
      </w:tr>
    </w:tbl>
    <w:p>
      <w:pPr>
        <w:pStyle w:val="zyMiscellaneousHeading"/>
        <w:rPr>
          <w:snapToGrid w:val="0"/>
        </w:rPr>
      </w:pPr>
      <w:r>
        <w:rPr>
          <w:snapToGrid w:val="0"/>
        </w:rPr>
        <w:t>Princess Royal Harbour (Albany)</w:t>
      </w: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431"/>
        <w:gridCol w:w="1470"/>
      </w:tblGrid>
      <w:tr>
        <w:tc>
          <w:tcPr>
            <w:tcW w:w="5431" w:type="dxa"/>
          </w:tcPr>
          <w:p>
            <w:pPr>
              <w:pStyle w:val="yTable"/>
              <w:spacing w:after="20"/>
              <w:rPr>
                <w:spacing w:val="-2"/>
                <w:sz w:val="20"/>
              </w:rPr>
            </w:pPr>
            <w:r>
              <w:rPr>
                <w:spacing w:val="-2"/>
                <w:sz w:val="20"/>
              </w:rPr>
              <w:t>Slippage Fees — </w:t>
            </w:r>
          </w:p>
        </w:tc>
        <w:tc>
          <w:tcPr>
            <w:tcW w:w="1470" w:type="dxa"/>
          </w:tcPr>
          <w:p>
            <w:pPr>
              <w:pStyle w:val="yTable"/>
              <w:spacing w:after="20"/>
              <w:rPr>
                <w:spacing w:val="-2"/>
                <w:sz w:val="20"/>
              </w:rPr>
            </w:pPr>
          </w:p>
        </w:tc>
      </w:tr>
      <w:tr>
        <w:tc>
          <w:tcPr>
            <w:tcW w:w="5431" w:type="dxa"/>
          </w:tcPr>
          <w:p>
            <w:pPr>
              <w:pStyle w:val="yTable"/>
              <w:spacing w:after="20"/>
              <w:rPr>
                <w:spacing w:val="-2"/>
                <w:sz w:val="20"/>
              </w:rPr>
            </w:pPr>
            <w:r>
              <w:rPr>
                <w:spacing w:val="-2"/>
                <w:sz w:val="20"/>
              </w:rPr>
              <w:t>Vessels not exceeding 100 Gross Registered Tonnes — </w:t>
            </w:r>
          </w:p>
        </w:tc>
        <w:tc>
          <w:tcPr>
            <w:tcW w:w="1470" w:type="dxa"/>
          </w:tcPr>
          <w:p>
            <w:pPr>
              <w:pStyle w:val="yTable"/>
              <w:spacing w:after="20"/>
              <w:rPr>
                <w:spacing w:val="-2"/>
                <w:sz w:val="20"/>
              </w:rPr>
            </w:pPr>
          </w:p>
        </w:tc>
      </w:tr>
      <w:tr>
        <w:tc>
          <w:tcPr>
            <w:tcW w:w="5431" w:type="dxa"/>
          </w:tcPr>
          <w:p>
            <w:pPr>
              <w:pStyle w:val="yTable"/>
              <w:tabs>
                <w:tab w:val="left" w:pos="243"/>
              </w:tabs>
              <w:spacing w:after="20"/>
              <w:rPr>
                <w:spacing w:val="-2"/>
                <w:sz w:val="20"/>
              </w:rPr>
            </w:pPr>
            <w:r>
              <w:rPr>
                <w:spacing w:val="-2"/>
                <w:sz w:val="20"/>
              </w:rPr>
              <w:tab/>
              <w:t>Vessels not exceeding 15 m</w:t>
            </w:r>
          </w:p>
        </w:tc>
        <w:tc>
          <w:tcPr>
            <w:tcW w:w="1470" w:type="dxa"/>
          </w:tcPr>
          <w:p>
            <w:pPr>
              <w:pStyle w:val="yTable"/>
              <w:spacing w:after="20"/>
              <w:rPr>
                <w:spacing w:val="-2"/>
                <w:sz w:val="20"/>
              </w:rPr>
            </w:pPr>
            <w:r>
              <w:rPr>
                <w:spacing w:val="-2"/>
                <w:sz w:val="20"/>
              </w:rPr>
              <w:t>$141.66</w:t>
            </w:r>
          </w:p>
        </w:tc>
      </w:tr>
      <w:tr>
        <w:tc>
          <w:tcPr>
            <w:tcW w:w="5431" w:type="dxa"/>
          </w:tcPr>
          <w:p>
            <w:pPr>
              <w:pStyle w:val="yTable"/>
              <w:tabs>
                <w:tab w:val="left" w:pos="243"/>
              </w:tabs>
              <w:spacing w:after="20"/>
              <w:ind w:left="170"/>
              <w:rPr>
                <w:spacing w:val="-2"/>
                <w:sz w:val="20"/>
              </w:rPr>
            </w:pPr>
            <w:r>
              <w:rPr>
                <w:spacing w:val="-2"/>
                <w:sz w:val="20"/>
              </w:rPr>
              <w:tab/>
              <w:t>Vessels over 15 but not exceeding 20 m</w:t>
            </w:r>
          </w:p>
        </w:tc>
        <w:tc>
          <w:tcPr>
            <w:tcW w:w="1470" w:type="dxa"/>
          </w:tcPr>
          <w:p>
            <w:pPr>
              <w:pStyle w:val="yTable"/>
              <w:spacing w:after="20"/>
              <w:rPr>
                <w:spacing w:val="-2"/>
                <w:sz w:val="20"/>
              </w:rPr>
            </w:pPr>
            <w:r>
              <w:rPr>
                <w:spacing w:val="-2"/>
                <w:sz w:val="20"/>
              </w:rPr>
              <w:t>$228.38</w:t>
            </w:r>
          </w:p>
        </w:tc>
      </w:tr>
      <w:tr>
        <w:tc>
          <w:tcPr>
            <w:tcW w:w="5431" w:type="dxa"/>
          </w:tcPr>
          <w:p>
            <w:pPr>
              <w:pStyle w:val="yTable"/>
              <w:tabs>
                <w:tab w:val="left" w:pos="243"/>
              </w:tabs>
              <w:spacing w:after="20"/>
              <w:ind w:left="170"/>
              <w:rPr>
                <w:spacing w:val="-2"/>
                <w:sz w:val="20"/>
              </w:rPr>
            </w:pPr>
            <w:r>
              <w:rPr>
                <w:spacing w:val="-2"/>
                <w:sz w:val="20"/>
              </w:rPr>
              <w:tab/>
              <w:t>Vessels over 20 but not exceeding 25 m</w:t>
            </w:r>
          </w:p>
        </w:tc>
        <w:tc>
          <w:tcPr>
            <w:tcW w:w="1470" w:type="dxa"/>
          </w:tcPr>
          <w:p>
            <w:pPr>
              <w:pStyle w:val="yTable"/>
              <w:spacing w:after="20"/>
              <w:rPr>
                <w:spacing w:val="-2"/>
                <w:sz w:val="20"/>
              </w:rPr>
            </w:pPr>
            <w:r>
              <w:rPr>
                <w:spacing w:val="-2"/>
                <w:sz w:val="20"/>
              </w:rPr>
              <w:t>$284.56</w:t>
            </w:r>
          </w:p>
        </w:tc>
      </w:tr>
      <w:tr>
        <w:tc>
          <w:tcPr>
            <w:tcW w:w="5431" w:type="dxa"/>
          </w:tcPr>
          <w:p>
            <w:pPr>
              <w:pStyle w:val="yTable"/>
              <w:tabs>
                <w:tab w:val="left" w:pos="243"/>
              </w:tabs>
              <w:spacing w:after="20"/>
              <w:ind w:left="170"/>
              <w:rPr>
                <w:spacing w:val="-2"/>
                <w:sz w:val="20"/>
              </w:rPr>
            </w:pPr>
            <w:r>
              <w:rPr>
                <w:spacing w:val="-2"/>
                <w:sz w:val="20"/>
              </w:rPr>
              <w:tab/>
              <w:t>Vessels over 25 m</w:t>
            </w:r>
          </w:p>
        </w:tc>
        <w:tc>
          <w:tcPr>
            <w:tcW w:w="1470" w:type="dxa"/>
          </w:tcPr>
          <w:p>
            <w:pPr>
              <w:pStyle w:val="yTable"/>
              <w:spacing w:after="20"/>
              <w:rPr>
                <w:spacing w:val="-2"/>
                <w:sz w:val="20"/>
              </w:rPr>
            </w:pPr>
            <w:r>
              <w:rPr>
                <w:spacing w:val="-2"/>
                <w:sz w:val="20"/>
              </w:rPr>
              <w:t>$427.45</w:t>
            </w:r>
          </w:p>
        </w:tc>
      </w:tr>
      <w:tr>
        <w:tc>
          <w:tcPr>
            <w:tcW w:w="5431" w:type="dxa"/>
          </w:tcPr>
          <w:p>
            <w:pPr>
              <w:pStyle w:val="yTable"/>
              <w:spacing w:after="20"/>
              <w:ind w:left="461" w:hanging="218"/>
              <w:rPr>
                <w:spacing w:val="-2"/>
                <w:sz w:val="20"/>
              </w:rPr>
            </w:pPr>
            <w:r>
              <w:rPr>
                <w:spacing w:val="-2"/>
                <w:sz w:val="20"/>
              </w:rPr>
              <w:t>Vessels over 100 but not exceeding 200 Gross Registered Tons</w:t>
            </w:r>
          </w:p>
        </w:tc>
        <w:tc>
          <w:tcPr>
            <w:tcW w:w="1470" w:type="dxa"/>
          </w:tcPr>
          <w:p>
            <w:pPr>
              <w:pStyle w:val="yTable"/>
              <w:spacing w:after="20"/>
              <w:rPr>
                <w:spacing w:val="-2"/>
                <w:sz w:val="20"/>
              </w:rPr>
            </w:pPr>
            <w:r>
              <w:rPr>
                <w:spacing w:val="-2"/>
                <w:sz w:val="20"/>
              </w:rPr>
              <w:t>$1 387.38</w:t>
            </w:r>
          </w:p>
        </w:tc>
      </w:tr>
      <w:tr>
        <w:tc>
          <w:tcPr>
            <w:tcW w:w="5431" w:type="dxa"/>
            <w:tcBorders>
              <w:bottom w:val="nil"/>
            </w:tcBorders>
          </w:tcPr>
          <w:p>
            <w:pPr>
              <w:pStyle w:val="yTable"/>
              <w:tabs>
                <w:tab w:val="left" w:pos="243"/>
              </w:tabs>
              <w:spacing w:after="20"/>
              <w:rPr>
                <w:spacing w:val="-2"/>
                <w:sz w:val="20"/>
              </w:rPr>
            </w:pPr>
            <w:r>
              <w:rPr>
                <w:spacing w:val="-2"/>
                <w:sz w:val="20"/>
              </w:rPr>
              <w:tab/>
              <w:t>Vessels over 200 Gross Registered Tons:</w:t>
            </w:r>
          </w:p>
        </w:tc>
        <w:tc>
          <w:tcPr>
            <w:tcW w:w="1470" w:type="dxa"/>
            <w:tcBorders>
              <w:bottom w:val="nil"/>
            </w:tcBorders>
          </w:tcPr>
          <w:p>
            <w:pPr>
              <w:pStyle w:val="yTable"/>
              <w:spacing w:after="20"/>
              <w:rPr>
                <w:spacing w:val="-2"/>
                <w:sz w:val="20"/>
              </w:rPr>
            </w:pPr>
            <w:r>
              <w:rPr>
                <w:spacing w:val="-2"/>
                <w:sz w:val="20"/>
              </w:rPr>
              <w:t>$2 745.45</w:t>
            </w:r>
          </w:p>
        </w:tc>
      </w:tr>
      <w:tr>
        <w:tc>
          <w:tcPr>
            <w:tcW w:w="5431" w:type="dxa"/>
            <w:tcBorders>
              <w:bottom w:val="single" w:sz="4" w:space="0" w:color="auto"/>
            </w:tcBorders>
          </w:tcPr>
          <w:p>
            <w:pPr>
              <w:pStyle w:val="yTable"/>
              <w:tabs>
                <w:tab w:val="left" w:pos="243"/>
              </w:tabs>
              <w:spacing w:after="20"/>
              <w:rPr>
                <w:spacing w:val="-2"/>
                <w:sz w:val="20"/>
              </w:rPr>
            </w:pPr>
            <w:r>
              <w:rPr>
                <w:spacing w:val="-2"/>
                <w:sz w:val="20"/>
              </w:rPr>
              <w:tab/>
              <w:t>Operator’s Time — At cost with a minimum for each service</w:t>
            </w:r>
          </w:p>
        </w:tc>
        <w:tc>
          <w:tcPr>
            <w:tcW w:w="1470" w:type="dxa"/>
            <w:tcBorders>
              <w:bottom w:val="single" w:sz="4" w:space="0" w:color="auto"/>
            </w:tcBorders>
          </w:tcPr>
          <w:p>
            <w:pPr>
              <w:pStyle w:val="yTable"/>
              <w:spacing w:after="20"/>
              <w:rPr>
                <w:spacing w:val="-2"/>
                <w:sz w:val="20"/>
              </w:rPr>
            </w:pPr>
            <w:r>
              <w:rPr>
                <w:spacing w:val="-2"/>
                <w:sz w:val="20"/>
              </w:rPr>
              <w:t>$344.40</w:t>
            </w:r>
          </w:p>
        </w:tc>
      </w:tr>
    </w:tbl>
    <w:p>
      <w:pPr>
        <w:pStyle w:val="zyMiscellaneousHeading"/>
        <w:pageBreakBefore/>
        <w:rPr>
          <w:snapToGrid w:val="0"/>
        </w:rPr>
      </w:pPr>
      <w:r>
        <w:rPr>
          <w:snapToGrid w:val="0"/>
        </w:rPr>
        <w:t>Wyndham Port</w:t>
      </w:r>
    </w:p>
    <w:tbl>
      <w:tblPr>
        <w:tblW w:w="0" w:type="auto"/>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417"/>
        <w:gridCol w:w="1456"/>
      </w:tblGrid>
      <w:tr>
        <w:tc>
          <w:tcPr>
            <w:tcW w:w="5417" w:type="dxa"/>
          </w:tcPr>
          <w:p>
            <w:pPr>
              <w:pStyle w:val="yTable"/>
              <w:spacing w:after="20"/>
              <w:rPr>
                <w:spacing w:val="-2"/>
                <w:sz w:val="20"/>
              </w:rPr>
            </w:pPr>
            <w:r>
              <w:rPr>
                <w:spacing w:val="-2"/>
                <w:sz w:val="20"/>
              </w:rPr>
              <w:t>Slippage Fees — </w:t>
            </w:r>
          </w:p>
        </w:tc>
        <w:tc>
          <w:tcPr>
            <w:tcW w:w="1456" w:type="dxa"/>
          </w:tcPr>
          <w:p>
            <w:pPr>
              <w:pStyle w:val="yTable"/>
              <w:spacing w:after="20"/>
              <w:rPr>
                <w:spacing w:val="-2"/>
                <w:sz w:val="20"/>
              </w:rPr>
            </w:pPr>
          </w:p>
        </w:tc>
      </w:tr>
      <w:tr>
        <w:tc>
          <w:tcPr>
            <w:tcW w:w="5417" w:type="dxa"/>
          </w:tcPr>
          <w:p>
            <w:pPr>
              <w:pStyle w:val="yTable"/>
              <w:tabs>
                <w:tab w:val="left" w:pos="229"/>
              </w:tabs>
              <w:spacing w:after="20"/>
              <w:rPr>
                <w:spacing w:val="-2"/>
                <w:sz w:val="20"/>
              </w:rPr>
            </w:pPr>
            <w:r>
              <w:rPr>
                <w:spacing w:val="-2"/>
                <w:sz w:val="20"/>
              </w:rPr>
              <w:tab/>
              <w:t>Vessels not exceeding 15 m</w:t>
            </w:r>
          </w:p>
        </w:tc>
        <w:tc>
          <w:tcPr>
            <w:tcW w:w="1456" w:type="dxa"/>
          </w:tcPr>
          <w:p>
            <w:pPr>
              <w:pStyle w:val="yTable"/>
              <w:spacing w:after="20"/>
              <w:rPr>
                <w:spacing w:val="-2"/>
                <w:sz w:val="20"/>
              </w:rPr>
            </w:pPr>
            <w:r>
              <w:rPr>
                <w:spacing w:val="-2"/>
                <w:sz w:val="20"/>
              </w:rPr>
              <w:t>$104.52</w:t>
            </w:r>
          </w:p>
        </w:tc>
      </w:tr>
      <w:tr>
        <w:tc>
          <w:tcPr>
            <w:tcW w:w="5417" w:type="dxa"/>
            <w:tcBorders>
              <w:bottom w:val="nil"/>
            </w:tcBorders>
          </w:tcPr>
          <w:p>
            <w:pPr>
              <w:pStyle w:val="yTable"/>
              <w:tabs>
                <w:tab w:val="left" w:pos="229"/>
              </w:tabs>
              <w:spacing w:after="20"/>
              <w:rPr>
                <w:spacing w:val="-2"/>
                <w:sz w:val="20"/>
              </w:rPr>
            </w:pPr>
            <w:r>
              <w:rPr>
                <w:spacing w:val="-2"/>
                <w:sz w:val="20"/>
              </w:rPr>
              <w:tab/>
              <w:t>Vessels over 15 m</w:t>
            </w:r>
          </w:p>
        </w:tc>
        <w:tc>
          <w:tcPr>
            <w:tcW w:w="1456" w:type="dxa"/>
            <w:tcBorders>
              <w:bottom w:val="nil"/>
            </w:tcBorders>
          </w:tcPr>
          <w:p>
            <w:pPr>
              <w:pStyle w:val="yTable"/>
              <w:spacing w:after="20"/>
              <w:rPr>
                <w:spacing w:val="-2"/>
                <w:sz w:val="20"/>
              </w:rPr>
            </w:pPr>
            <w:r>
              <w:rPr>
                <w:spacing w:val="-2"/>
                <w:sz w:val="20"/>
              </w:rPr>
              <w:t>$152.26</w:t>
            </w:r>
          </w:p>
        </w:tc>
      </w:tr>
      <w:tr>
        <w:tc>
          <w:tcPr>
            <w:tcW w:w="5417" w:type="dxa"/>
          </w:tcPr>
          <w:p>
            <w:pPr>
              <w:pStyle w:val="yTable"/>
              <w:tabs>
                <w:tab w:val="left" w:pos="624"/>
              </w:tabs>
              <w:spacing w:after="20"/>
              <w:rPr>
                <w:spacing w:val="-2"/>
                <w:sz w:val="20"/>
              </w:rPr>
            </w:pPr>
            <w:r>
              <w:rPr>
                <w:spacing w:val="-2"/>
                <w:sz w:val="20"/>
              </w:rPr>
              <w:t>Haulage charge — all vessels</w:t>
            </w:r>
          </w:p>
        </w:tc>
        <w:tc>
          <w:tcPr>
            <w:tcW w:w="1456" w:type="dxa"/>
          </w:tcPr>
          <w:p>
            <w:pPr>
              <w:pStyle w:val="yTable"/>
              <w:spacing w:after="20"/>
              <w:rPr>
                <w:spacing w:val="-2"/>
                <w:sz w:val="20"/>
              </w:rPr>
            </w:pPr>
            <w:r>
              <w:rPr>
                <w:spacing w:val="-2"/>
                <w:sz w:val="20"/>
              </w:rPr>
              <w:t>$127.73</w:t>
            </w:r>
          </w:p>
        </w:tc>
      </w:tr>
    </w:tbl>
    <w:p>
      <w:pPr>
        <w:pStyle w:val="yFootnotesection"/>
      </w:pPr>
      <w:r>
        <w:tab/>
        <w:t>[Division 8 inserted in Gazette 24 Jun 2005 p. 2822-5.]</w:t>
      </w:r>
    </w:p>
    <w:p>
      <w:pPr>
        <w:pStyle w:val="yScheduleHeading"/>
        <w:rPr>
          <w:rStyle w:val="CharSchNo"/>
        </w:rPr>
      </w:pPr>
      <w:bookmarkStart w:id="681" w:name="_Toc170210265"/>
      <w:bookmarkStart w:id="682" w:name="_Toc98563081"/>
      <w:bookmarkEnd w:id="666"/>
      <w:bookmarkEnd w:id="667"/>
      <w:r>
        <w:rPr>
          <w:rStyle w:val="CharSchNo"/>
        </w:rPr>
        <w:t>Schedule 2</w:t>
      </w:r>
      <w:bookmarkEnd w:id="681"/>
    </w:p>
    <w:p>
      <w:pPr>
        <w:pStyle w:val="yShoulderClause"/>
      </w:pPr>
      <w:r>
        <w:t>[r. 72]</w:t>
      </w:r>
    </w:p>
    <w:p>
      <w:pPr>
        <w:pStyle w:val="yFootnoteheading"/>
      </w:pPr>
      <w:r>
        <w:tab/>
        <w:t>[Heading inserted in Gazette 24 Jun 2005 p. 2825.]</w:t>
      </w:r>
    </w:p>
    <w:p>
      <w:pPr>
        <w:pStyle w:val="yHeading3"/>
      </w:pPr>
      <w:bookmarkStart w:id="683" w:name="_Toc170210266"/>
      <w:r>
        <w:rPr>
          <w:rStyle w:val="CharSDivNo"/>
        </w:rPr>
        <w:t>Division 1</w:t>
      </w:r>
      <w:r>
        <w:rPr>
          <w:b w:val="0"/>
        </w:rPr>
        <w:t> — </w:t>
      </w:r>
      <w:r>
        <w:rPr>
          <w:rStyle w:val="CharSDivText"/>
        </w:rPr>
        <w:t>Berthing fees: Port of Perth</w:t>
      </w:r>
      <w:bookmarkEnd w:id="683"/>
    </w:p>
    <w:p>
      <w:pPr>
        <w:pStyle w:val="yFootnoteheading"/>
      </w:pPr>
      <w:r>
        <w:tab/>
        <w:t>[Heading inserted in Gazette 24 Jun 2005 p. 2825.]</w:t>
      </w:r>
    </w:p>
    <w:p>
      <w:pPr>
        <w:pStyle w:val="yHeading4"/>
      </w:pPr>
      <w:bookmarkStart w:id="684" w:name="_Toc170210267"/>
      <w:r>
        <w:t>Subdivision 1</w:t>
      </w:r>
      <w:r>
        <w:rPr>
          <w:b w:val="0"/>
        </w:rPr>
        <w:t> — </w:t>
      </w:r>
      <w:r>
        <w:t>Barrack Street and Mends Street Jetties</w:t>
      </w:r>
      <w:bookmarkEnd w:id="684"/>
    </w:p>
    <w:p>
      <w:pPr>
        <w:pStyle w:val="yFootnoteheading"/>
      </w:pPr>
      <w:r>
        <w:tab/>
        <w:t>[Heading inserted in Gazette 24 Jun 2005 p. 2825.]</w:t>
      </w: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005"/>
        <w:gridCol w:w="1882"/>
      </w:tblGrid>
      <w:tr>
        <w:tc>
          <w:tcPr>
            <w:tcW w:w="5005" w:type="dxa"/>
          </w:tcPr>
          <w:p>
            <w:pPr>
              <w:pStyle w:val="yTable"/>
              <w:tabs>
                <w:tab w:val="left" w:pos="567"/>
              </w:tabs>
              <w:spacing w:after="20"/>
              <w:rPr>
                <w:spacing w:val="-2"/>
                <w:sz w:val="20"/>
              </w:rPr>
            </w:pPr>
            <w:r>
              <w:rPr>
                <w:b/>
                <w:spacing w:val="-2"/>
                <w:sz w:val="20"/>
              </w:rPr>
              <w:t>Annual Rate</w:t>
            </w:r>
            <w:r>
              <w:rPr>
                <w:spacing w:val="-2"/>
                <w:sz w:val="20"/>
              </w:rPr>
              <w:t xml:space="preserve"> (based on surveyed passenger carrying capacity for the vessel’s highest class of survey)</w:t>
            </w:r>
          </w:p>
          <w:p>
            <w:pPr>
              <w:pStyle w:val="yTable"/>
              <w:tabs>
                <w:tab w:val="left" w:pos="567"/>
              </w:tabs>
              <w:spacing w:after="20"/>
              <w:rPr>
                <w:spacing w:val="-2"/>
                <w:sz w:val="20"/>
              </w:rPr>
            </w:pPr>
            <w:r>
              <w:rPr>
                <w:spacing w:val="-2"/>
                <w:sz w:val="20"/>
              </w:rPr>
              <w:tab/>
            </w:r>
            <w:r>
              <w:rPr>
                <w:b/>
                <w:i/>
                <w:spacing w:val="-2"/>
                <w:sz w:val="20"/>
              </w:rPr>
              <w:t>plus</w:t>
            </w:r>
            <w:r>
              <w:rPr>
                <w:spacing w:val="-2"/>
                <w:sz w:val="20"/>
              </w:rPr>
              <w:t> —</w:t>
            </w:r>
          </w:p>
        </w:tc>
        <w:tc>
          <w:tcPr>
            <w:tcW w:w="1882" w:type="dxa"/>
          </w:tcPr>
          <w:p>
            <w:pPr>
              <w:pStyle w:val="yTable"/>
              <w:spacing w:after="20"/>
              <w:rPr>
                <w:spacing w:val="-2"/>
                <w:sz w:val="20"/>
              </w:rPr>
            </w:pPr>
            <w:r>
              <w:rPr>
                <w:spacing w:val="-2"/>
                <w:sz w:val="20"/>
              </w:rPr>
              <w:br/>
              <w:t>$41.51 per passenger</w:t>
            </w:r>
          </w:p>
        </w:tc>
      </w:tr>
      <w:tr>
        <w:tc>
          <w:tcPr>
            <w:tcW w:w="5005" w:type="dxa"/>
            <w:tcBorders>
              <w:bottom w:val="nil"/>
            </w:tcBorders>
          </w:tcPr>
          <w:p>
            <w:pPr>
              <w:pStyle w:val="yTable"/>
              <w:tabs>
                <w:tab w:val="left" w:pos="1044"/>
              </w:tabs>
              <w:spacing w:after="20"/>
              <w:rPr>
                <w:spacing w:val="-2"/>
                <w:sz w:val="20"/>
              </w:rPr>
            </w:pPr>
            <w:r>
              <w:rPr>
                <w:spacing w:val="-2"/>
                <w:sz w:val="20"/>
              </w:rPr>
              <w:tab/>
              <w:t>Vessels up to 35 m</w:t>
            </w:r>
          </w:p>
        </w:tc>
        <w:tc>
          <w:tcPr>
            <w:tcW w:w="1882" w:type="dxa"/>
            <w:tcBorders>
              <w:bottom w:val="nil"/>
            </w:tcBorders>
          </w:tcPr>
          <w:p>
            <w:pPr>
              <w:pStyle w:val="yTable"/>
              <w:spacing w:after="20"/>
              <w:rPr>
                <w:spacing w:val="-2"/>
                <w:sz w:val="20"/>
              </w:rPr>
            </w:pPr>
            <w:r>
              <w:rPr>
                <w:spacing w:val="-2"/>
                <w:sz w:val="20"/>
              </w:rPr>
              <w:t>$296.43/m x length of vessel, or $5 335.75 (whichever is higher)</w:t>
            </w:r>
          </w:p>
        </w:tc>
      </w:tr>
      <w:tr>
        <w:tc>
          <w:tcPr>
            <w:tcW w:w="5005" w:type="dxa"/>
          </w:tcPr>
          <w:p>
            <w:pPr>
              <w:pStyle w:val="yTable"/>
              <w:tabs>
                <w:tab w:val="left" w:pos="1044"/>
              </w:tabs>
              <w:spacing w:after="20"/>
              <w:rPr>
                <w:spacing w:val="-2"/>
                <w:sz w:val="20"/>
              </w:rPr>
            </w:pPr>
            <w:r>
              <w:rPr>
                <w:spacing w:val="-2"/>
                <w:sz w:val="20"/>
              </w:rPr>
              <w:tab/>
              <w:t>Vessels 35 m and over</w:t>
            </w:r>
          </w:p>
        </w:tc>
        <w:tc>
          <w:tcPr>
            <w:tcW w:w="1882" w:type="dxa"/>
          </w:tcPr>
          <w:p>
            <w:pPr>
              <w:pStyle w:val="yTable"/>
              <w:spacing w:after="20"/>
              <w:rPr>
                <w:spacing w:val="-2"/>
                <w:sz w:val="20"/>
              </w:rPr>
            </w:pPr>
            <w:r>
              <w:rPr>
                <w:spacing w:val="-2"/>
                <w:sz w:val="20"/>
              </w:rPr>
              <w:t>$474.29/m x length of vessel</w:t>
            </w:r>
          </w:p>
        </w:tc>
      </w:tr>
      <w:tr>
        <w:tc>
          <w:tcPr>
            <w:tcW w:w="5005" w:type="dxa"/>
          </w:tcPr>
          <w:p>
            <w:pPr>
              <w:pStyle w:val="yTable"/>
              <w:tabs>
                <w:tab w:val="left" w:pos="624"/>
              </w:tabs>
              <w:spacing w:after="20"/>
              <w:rPr>
                <w:b/>
                <w:i/>
                <w:spacing w:val="-2"/>
                <w:sz w:val="20"/>
              </w:rPr>
            </w:pPr>
            <w:r>
              <w:rPr>
                <w:spacing w:val="-2"/>
                <w:sz w:val="20"/>
              </w:rPr>
              <w:tab/>
            </w:r>
            <w:r>
              <w:rPr>
                <w:b/>
                <w:i/>
                <w:spacing w:val="-2"/>
                <w:sz w:val="20"/>
              </w:rPr>
              <w:t>less</w:t>
            </w:r>
          </w:p>
        </w:tc>
        <w:tc>
          <w:tcPr>
            <w:tcW w:w="1882" w:type="dxa"/>
          </w:tcPr>
          <w:p>
            <w:pPr>
              <w:pStyle w:val="yTable"/>
              <w:spacing w:after="20"/>
              <w:rPr>
                <w:spacing w:val="-2"/>
                <w:sz w:val="20"/>
              </w:rPr>
            </w:pPr>
            <w:r>
              <w:rPr>
                <w:spacing w:val="-2"/>
                <w:sz w:val="20"/>
              </w:rPr>
              <w:t>$4 150.00</w:t>
            </w:r>
          </w:p>
        </w:tc>
      </w:tr>
      <w:tr>
        <w:tc>
          <w:tcPr>
            <w:tcW w:w="5005" w:type="dxa"/>
            <w:tcBorders>
              <w:bottom w:val="nil"/>
            </w:tcBorders>
          </w:tcPr>
          <w:p>
            <w:pPr>
              <w:pStyle w:val="yTable"/>
              <w:tabs>
                <w:tab w:val="left" w:pos="624"/>
              </w:tabs>
              <w:spacing w:after="20"/>
              <w:rPr>
                <w:b/>
                <w:spacing w:val="-2"/>
                <w:sz w:val="20"/>
              </w:rPr>
            </w:pPr>
            <w:r>
              <w:rPr>
                <w:b/>
                <w:spacing w:val="-2"/>
                <w:sz w:val="20"/>
              </w:rPr>
              <w:t>Minimum Annual Fee</w:t>
            </w:r>
          </w:p>
        </w:tc>
        <w:tc>
          <w:tcPr>
            <w:tcW w:w="1882" w:type="dxa"/>
            <w:tcBorders>
              <w:bottom w:val="nil"/>
            </w:tcBorders>
          </w:tcPr>
          <w:p>
            <w:pPr>
              <w:pStyle w:val="yTable"/>
              <w:spacing w:after="20"/>
              <w:rPr>
                <w:spacing w:val="-2"/>
                <w:sz w:val="20"/>
              </w:rPr>
            </w:pPr>
            <w:r>
              <w:rPr>
                <w:spacing w:val="-2"/>
                <w:sz w:val="20"/>
              </w:rPr>
              <w:t>$2 964.29</w:t>
            </w:r>
          </w:p>
        </w:tc>
      </w:tr>
      <w:tr>
        <w:tc>
          <w:tcPr>
            <w:tcW w:w="5005" w:type="dxa"/>
            <w:tcBorders>
              <w:bottom w:val="single" w:sz="4" w:space="0" w:color="auto"/>
            </w:tcBorders>
          </w:tcPr>
          <w:p>
            <w:pPr>
              <w:pStyle w:val="yTable"/>
              <w:tabs>
                <w:tab w:val="left" w:pos="624"/>
              </w:tabs>
              <w:spacing w:after="20"/>
              <w:rPr>
                <w:b/>
                <w:spacing w:val="-2"/>
                <w:sz w:val="20"/>
              </w:rPr>
            </w:pPr>
            <w:r>
              <w:rPr>
                <w:b/>
                <w:spacing w:val="-2"/>
                <w:sz w:val="20"/>
              </w:rPr>
              <w:t xml:space="preserve">Sullage Fee </w:t>
            </w:r>
            <w:r>
              <w:rPr>
                <w:spacing w:val="-2"/>
                <w:sz w:val="20"/>
              </w:rPr>
              <w:t>for vessels not paying annual fee</w:t>
            </w:r>
          </w:p>
        </w:tc>
        <w:tc>
          <w:tcPr>
            <w:tcW w:w="1882" w:type="dxa"/>
            <w:tcBorders>
              <w:bottom w:val="single" w:sz="4" w:space="0" w:color="auto"/>
            </w:tcBorders>
          </w:tcPr>
          <w:p>
            <w:pPr>
              <w:pStyle w:val="yTable"/>
              <w:spacing w:after="20"/>
              <w:rPr>
                <w:spacing w:val="-2"/>
                <w:sz w:val="20"/>
              </w:rPr>
            </w:pPr>
            <w:r>
              <w:rPr>
                <w:spacing w:val="-2"/>
                <w:sz w:val="20"/>
              </w:rPr>
              <w:t>$59.29 per pump out</w:t>
            </w:r>
          </w:p>
        </w:tc>
      </w:tr>
    </w:tbl>
    <w:p>
      <w:pPr>
        <w:pStyle w:val="yHeading4"/>
      </w:pPr>
      <w:bookmarkStart w:id="685" w:name="_Toc170210268"/>
      <w:r>
        <w:t>Subdivision 2</w:t>
      </w:r>
      <w:r>
        <w:rPr>
          <w:b w:val="0"/>
        </w:rPr>
        <w:t> — </w:t>
      </w:r>
      <w:r>
        <w:t>Swan and Canning Rivers</w:t>
      </w:r>
      <w:bookmarkEnd w:id="685"/>
    </w:p>
    <w:p>
      <w:pPr>
        <w:pStyle w:val="yFootnoteheading"/>
      </w:pPr>
      <w:r>
        <w:tab/>
        <w:t>[Heading inserted in Gazette 24 Jun 2005 p. 2826.]</w:t>
      </w: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005"/>
        <w:gridCol w:w="1882"/>
      </w:tblGrid>
      <w:tr>
        <w:tc>
          <w:tcPr>
            <w:tcW w:w="5005" w:type="dxa"/>
          </w:tcPr>
          <w:p>
            <w:pPr>
              <w:pStyle w:val="yTable"/>
              <w:spacing w:after="20"/>
              <w:rPr>
                <w:spacing w:val="-2"/>
                <w:sz w:val="20"/>
              </w:rPr>
            </w:pPr>
            <w:r>
              <w:rPr>
                <w:spacing w:val="-2"/>
                <w:sz w:val="20"/>
              </w:rPr>
              <w:t>For other jetties provided by the Department —</w:t>
            </w:r>
          </w:p>
        </w:tc>
        <w:tc>
          <w:tcPr>
            <w:tcW w:w="1882" w:type="dxa"/>
          </w:tcPr>
          <w:p>
            <w:pPr>
              <w:pStyle w:val="yTable"/>
              <w:spacing w:after="20"/>
              <w:rPr>
                <w:spacing w:val="-2"/>
                <w:sz w:val="20"/>
              </w:rPr>
            </w:pPr>
          </w:p>
        </w:tc>
      </w:tr>
      <w:tr>
        <w:tc>
          <w:tcPr>
            <w:tcW w:w="5005" w:type="dxa"/>
            <w:tcBorders>
              <w:bottom w:val="nil"/>
            </w:tcBorders>
          </w:tcPr>
          <w:p>
            <w:pPr>
              <w:pStyle w:val="yTable"/>
              <w:tabs>
                <w:tab w:val="left" w:pos="482"/>
              </w:tabs>
              <w:spacing w:after="20"/>
              <w:rPr>
                <w:spacing w:val="-2"/>
                <w:sz w:val="20"/>
              </w:rPr>
            </w:pPr>
            <w:r>
              <w:rPr>
                <w:spacing w:val="-2"/>
                <w:sz w:val="20"/>
              </w:rPr>
              <w:t xml:space="preserve">Commercial or Charter Vessels — </w:t>
            </w:r>
          </w:p>
          <w:p>
            <w:pPr>
              <w:pStyle w:val="yTable"/>
              <w:tabs>
                <w:tab w:val="left" w:pos="243"/>
              </w:tabs>
              <w:spacing w:after="20"/>
              <w:rPr>
                <w:spacing w:val="-2"/>
                <w:sz w:val="20"/>
              </w:rPr>
            </w:pPr>
            <w:r>
              <w:rPr>
                <w:spacing w:val="-2"/>
                <w:sz w:val="20"/>
              </w:rPr>
              <w:tab/>
              <w:t>annual rate</w:t>
            </w:r>
          </w:p>
        </w:tc>
        <w:tc>
          <w:tcPr>
            <w:tcW w:w="1882" w:type="dxa"/>
            <w:tcBorders>
              <w:bottom w:val="nil"/>
            </w:tcBorders>
          </w:tcPr>
          <w:p>
            <w:pPr>
              <w:pStyle w:val="yTable"/>
              <w:spacing w:after="20"/>
              <w:rPr>
                <w:spacing w:val="-2"/>
                <w:sz w:val="20"/>
              </w:rPr>
            </w:pPr>
          </w:p>
          <w:p>
            <w:pPr>
              <w:pStyle w:val="yTable"/>
              <w:spacing w:after="20"/>
              <w:rPr>
                <w:spacing w:val="-2"/>
                <w:sz w:val="20"/>
              </w:rPr>
            </w:pPr>
            <w:r>
              <w:rPr>
                <w:spacing w:val="-2"/>
                <w:sz w:val="20"/>
              </w:rPr>
              <w:t>$56.21/m x length of vessel</w:t>
            </w:r>
          </w:p>
        </w:tc>
      </w:tr>
      <w:tr>
        <w:tc>
          <w:tcPr>
            <w:tcW w:w="5005" w:type="dxa"/>
            <w:tcBorders>
              <w:bottom w:val="single" w:sz="4" w:space="0" w:color="auto"/>
            </w:tcBorders>
          </w:tcPr>
          <w:p>
            <w:pPr>
              <w:pStyle w:val="yTable"/>
              <w:tabs>
                <w:tab w:val="left" w:pos="243"/>
              </w:tabs>
              <w:spacing w:after="20"/>
              <w:rPr>
                <w:spacing w:val="-2"/>
                <w:sz w:val="20"/>
              </w:rPr>
            </w:pPr>
            <w:r>
              <w:rPr>
                <w:spacing w:val="-2"/>
                <w:sz w:val="20"/>
              </w:rPr>
              <w:tab/>
              <w:t>part year fee (for 3 months or less)</w:t>
            </w:r>
          </w:p>
        </w:tc>
        <w:tc>
          <w:tcPr>
            <w:tcW w:w="1882" w:type="dxa"/>
            <w:tcBorders>
              <w:bottom w:val="single" w:sz="4" w:space="0" w:color="auto"/>
            </w:tcBorders>
          </w:tcPr>
          <w:p>
            <w:pPr>
              <w:pStyle w:val="yTable"/>
              <w:spacing w:after="20"/>
              <w:rPr>
                <w:spacing w:val="-2"/>
                <w:sz w:val="20"/>
              </w:rPr>
            </w:pPr>
            <w:r>
              <w:rPr>
                <w:spacing w:val="-2"/>
                <w:sz w:val="20"/>
              </w:rPr>
              <w:t>$11.24/m x length of vessel</w:t>
            </w:r>
          </w:p>
        </w:tc>
      </w:tr>
    </w:tbl>
    <w:p>
      <w:pPr>
        <w:pStyle w:val="yNumberedItem"/>
      </w:pPr>
      <w:r>
        <w:t>Note:</w:t>
      </w:r>
      <w:r>
        <w:tab/>
        <w:t>The part year fee is payable in advance and is available only once in any 12  month period.  The annual rate applies for any period after the period for which the part year fee is paid.</w:t>
      </w:r>
    </w:p>
    <w:p>
      <w:pPr>
        <w:pStyle w:val="yFootnotesection"/>
      </w:pPr>
      <w:r>
        <w:tab/>
        <w:t>[Division 1 inserted in Gazette 24 Jun 2005 p. 2825-6.]</w:t>
      </w:r>
    </w:p>
    <w:p>
      <w:pPr>
        <w:pStyle w:val="yHeading3"/>
      </w:pPr>
      <w:bookmarkStart w:id="686" w:name="_Toc170210269"/>
      <w:r>
        <w:rPr>
          <w:rStyle w:val="CharSDivNo"/>
        </w:rPr>
        <w:t>Division 2</w:t>
      </w:r>
      <w:r>
        <w:rPr>
          <w:b w:val="0"/>
        </w:rPr>
        <w:t> — </w:t>
      </w:r>
      <w:r>
        <w:rPr>
          <w:rStyle w:val="CharSDivText"/>
        </w:rPr>
        <w:t>Pen fees: Port of Perth</w:t>
      </w:r>
      <w:bookmarkEnd w:id="686"/>
    </w:p>
    <w:p>
      <w:pPr>
        <w:pStyle w:val="yFootnoteheading"/>
      </w:pPr>
      <w:r>
        <w:tab/>
        <w:t>[Heading inserted in Gazette 24 Jun 2005 p. 2826.]</w:t>
      </w:r>
    </w:p>
    <w:p>
      <w:pPr>
        <w:pStyle w:val="yHeading4"/>
      </w:pPr>
      <w:bookmarkStart w:id="687" w:name="_Toc170210270"/>
      <w:r>
        <w:t>Subdivision 1</w:t>
      </w:r>
      <w:r>
        <w:rPr>
          <w:b w:val="0"/>
        </w:rPr>
        <w:t> — </w:t>
      </w:r>
      <w:r>
        <w:t>Hillarys Boat Harbour</w:t>
      </w:r>
      <w:bookmarkEnd w:id="687"/>
    </w:p>
    <w:p>
      <w:pPr>
        <w:pStyle w:val="yFootnoteheading"/>
      </w:pPr>
      <w:r>
        <w:tab/>
        <w:t>[Heading inserted in Gazette 24 Jun 2005 p. 2826.]</w:t>
      </w:r>
    </w:p>
    <w:tbl>
      <w:tblPr>
        <w:tblW w:w="0" w:type="auto"/>
        <w:tblInd w:w="206"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37"/>
        <w:gridCol w:w="1560"/>
        <w:gridCol w:w="2590"/>
      </w:tblGrid>
      <w:tr>
        <w:trPr>
          <w:cantSplit/>
        </w:trPr>
        <w:tc>
          <w:tcPr>
            <w:tcW w:w="2737" w:type="dxa"/>
          </w:tcPr>
          <w:p>
            <w:pPr>
              <w:pStyle w:val="ySubsection"/>
              <w:keepNext/>
              <w:keepLines/>
              <w:spacing w:before="120"/>
              <w:ind w:left="0" w:firstLine="0"/>
              <w:rPr>
                <w:b/>
              </w:rPr>
            </w:pPr>
            <w:r>
              <w:rPr>
                <w:b/>
              </w:rPr>
              <w:t>Annual Fee</w:t>
            </w:r>
          </w:p>
        </w:tc>
        <w:tc>
          <w:tcPr>
            <w:tcW w:w="4150" w:type="dxa"/>
            <w:gridSpan w:val="2"/>
          </w:tcPr>
          <w:p>
            <w:pPr>
              <w:pStyle w:val="ySubsection"/>
              <w:keepNext/>
              <w:keepLines/>
              <w:spacing w:before="120"/>
              <w:ind w:left="0" w:firstLine="0"/>
            </w:pPr>
          </w:p>
        </w:tc>
      </w:tr>
      <w:tr>
        <w:tblPrEx>
          <w:tblCellMar>
            <w:left w:w="84" w:type="dxa"/>
            <w:right w:w="84" w:type="dxa"/>
          </w:tblCellMar>
        </w:tblPrEx>
        <w:trPr>
          <w:cantSplit/>
          <w:trHeight w:val="600"/>
        </w:trPr>
        <w:tc>
          <w:tcPr>
            <w:tcW w:w="2737" w:type="dxa"/>
            <w:tcBorders>
              <w:bottom w:val="nil"/>
            </w:tcBorders>
          </w:tcPr>
          <w:p>
            <w:pPr>
              <w:pStyle w:val="yTable"/>
              <w:keepNext/>
              <w:keepLines/>
              <w:spacing w:after="20"/>
              <w:ind w:firstLine="244"/>
              <w:rPr>
                <w:spacing w:val="-2"/>
                <w:sz w:val="20"/>
              </w:rPr>
            </w:pPr>
            <w:r>
              <w:rPr>
                <w:spacing w:val="-2"/>
                <w:sz w:val="20"/>
              </w:rPr>
              <w:t>fixed pens</w:t>
            </w:r>
          </w:p>
          <w:p>
            <w:pPr>
              <w:pStyle w:val="yTable"/>
              <w:keepNext/>
              <w:keepLines/>
              <w:spacing w:after="20"/>
              <w:ind w:left="244" w:hanging="244"/>
              <w:rPr>
                <w:spacing w:val="-2"/>
                <w:sz w:val="20"/>
              </w:rPr>
            </w:pPr>
            <w:r>
              <w:rPr>
                <w:spacing w:val="-2"/>
                <w:sz w:val="20"/>
              </w:rPr>
              <w:tab/>
              <w:t>Recreational vessel</w:t>
            </w:r>
            <w:r>
              <w:rPr>
                <w:spacing w:val="-2"/>
                <w:sz w:val="20"/>
              </w:rPr>
              <w:br/>
            </w:r>
            <w:r>
              <w:rPr>
                <w:spacing w:val="-2"/>
                <w:sz w:val="20"/>
              </w:rPr>
              <w:br/>
            </w:r>
          </w:p>
          <w:p>
            <w:pPr>
              <w:pStyle w:val="yTable"/>
              <w:keepNext/>
              <w:keepLines/>
              <w:spacing w:after="20"/>
              <w:ind w:left="244" w:hanging="244"/>
              <w:rPr>
                <w:spacing w:val="-2"/>
                <w:sz w:val="20"/>
              </w:rPr>
            </w:pPr>
            <w:r>
              <w:rPr>
                <w:spacing w:val="-2"/>
                <w:sz w:val="20"/>
              </w:rPr>
              <w:tab/>
              <w:t>Commercial vessel</w:t>
            </w:r>
          </w:p>
        </w:tc>
        <w:tc>
          <w:tcPr>
            <w:tcW w:w="4150" w:type="dxa"/>
            <w:gridSpan w:val="2"/>
            <w:tcBorders>
              <w:bottom w:val="nil"/>
            </w:tcBorders>
          </w:tcPr>
          <w:p>
            <w:pPr>
              <w:pStyle w:val="yTable"/>
              <w:keepNext/>
              <w:keepLines/>
              <w:spacing w:after="20"/>
              <w:rPr>
                <w:spacing w:val="-2"/>
                <w:sz w:val="20"/>
              </w:rPr>
            </w:pPr>
          </w:p>
          <w:p>
            <w:pPr>
              <w:pStyle w:val="yTable"/>
              <w:keepNext/>
              <w:keepLines/>
              <w:spacing w:after="20"/>
              <w:rPr>
                <w:spacing w:val="-2"/>
                <w:sz w:val="20"/>
              </w:rPr>
            </w:pPr>
            <w:r>
              <w:rPr>
                <w:spacing w:val="-2"/>
                <w:sz w:val="20"/>
              </w:rPr>
              <w:t>$317.24/m x length of vessel (</w:t>
            </w:r>
            <w:r>
              <w:rPr>
                <w:i/>
                <w:spacing w:val="-2"/>
                <w:sz w:val="20"/>
              </w:rPr>
              <w:t>subject to a minimum chargeable length relative to the size of the pen, as set out below</w:t>
            </w:r>
            <w:r>
              <w:rPr>
                <w:spacing w:val="-2"/>
                <w:sz w:val="20"/>
              </w:rPr>
              <w:t>)</w:t>
            </w:r>
          </w:p>
          <w:p>
            <w:pPr>
              <w:pStyle w:val="yTable"/>
              <w:keepNext/>
              <w:keepLines/>
              <w:spacing w:after="20"/>
              <w:rPr>
                <w:spacing w:val="-2"/>
                <w:sz w:val="20"/>
              </w:rPr>
            </w:pPr>
            <w:r>
              <w:rPr>
                <w:spacing w:val="-2"/>
                <w:sz w:val="20"/>
              </w:rPr>
              <w:t>$344.74/m x length of vessel (</w:t>
            </w:r>
            <w:r>
              <w:rPr>
                <w:i/>
                <w:spacing w:val="-2"/>
                <w:sz w:val="20"/>
              </w:rPr>
              <w:t>subject to a minimum chargeable length relative to the size of the pen, as set out below</w:t>
            </w:r>
            <w:r>
              <w:rPr>
                <w:spacing w:val="-2"/>
                <w:sz w:val="20"/>
              </w:rPr>
              <w:t>)</w:t>
            </w:r>
          </w:p>
        </w:tc>
      </w:tr>
      <w:tr>
        <w:tblPrEx>
          <w:tblCellMar>
            <w:left w:w="84" w:type="dxa"/>
            <w:right w:w="84" w:type="dxa"/>
          </w:tblCellMar>
        </w:tblPrEx>
        <w:trPr>
          <w:cantSplit/>
          <w:trHeight w:val="600"/>
        </w:trPr>
        <w:tc>
          <w:tcPr>
            <w:tcW w:w="2737" w:type="dxa"/>
            <w:tcBorders>
              <w:bottom w:val="single" w:sz="4" w:space="0" w:color="auto"/>
            </w:tcBorders>
          </w:tcPr>
          <w:p>
            <w:pPr>
              <w:pStyle w:val="yTable"/>
              <w:tabs>
                <w:tab w:val="left" w:pos="244"/>
              </w:tabs>
              <w:spacing w:after="20"/>
              <w:rPr>
                <w:spacing w:val="-2"/>
                <w:sz w:val="20"/>
              </w:rPr>
            </w:pPr>
            <w:r>
              <w:rPr>
                <w:spacing w:val="-2"/>
                <w:sz w:val="20"/>
              </w:rPr>
              <w:tab/>
              <w:t>floating pens</w:t>
            </w:r>
          </w:p>
          <w:p>
            <w:pPr>
              <w:pStyle w:val="yTable"/>
              <w:spacing w:after="20"/>
              <w:ind w:left="244" w:hanging="244"/>
              <w:rPr>
                <w:spacing w:val="-2"/>
                <w:sz w:val="20"/>
              </w:rPr>
            </w:pPr>
            <w:r>
              <w:rPr>
                <w:spacing w:val="-2"/>
                <w:sz w:val="20"/>
              </w:rPr>
              <w:tab/>
              <w:t>Recreational vessel</w:t>
            </w:r>
            <w:r>
              <w:rPr>
                <w:spacing w:val="-2"/>
                <w:sz w:val="20"/>
              </w:rPr>
              <w:br/>
            </w:r>
            <w:r>
              <w:rPr>
                <w:spacing w:val="-2"/>
                <w:sz w:val="20"/>
              </w:rPr>
              <w:br/>
            </w:r>
          </w:p>
          <w:p>
            <w:pPr>
              <w:pStyle w:val="yTable"/>
              <w:spacing w:after="20"/>
              <w:ind w:left="244" w:hanging="244"/>
              <w:rPr>
                <w:spacing w:val="-2"/>
                <w:sz w:val="20"/>
              </w:rPr>
            </w:pPr>
            <w:r>
              <w:rPr>
                <w:spacing w:val="-2"/>
                <w:sz w:val="20"/>
              </w:rPr>
              <w:tab/>
              <w:t>Commercial vessel</w:t>
            </w:r>
          </w:p>
        </w:tc>
        <w:tc>
          <w:tcPr>
            <w:tcW w:w="4150" w:type="dxa"/>
            <w:gridSpan w:val="2"/>
            <w:tcBorders>
              <w:bottom w:val="single" w:sz="4" w:space="0" w:color="auto"/>
            </w:tcBorders>
          </w:tcPr>
          <w:p>
            <w:pPr>
              <w:pStyle w:val="yTable"/>
              <w:spacing w:after="20"/>
              <w:rPr>
                <w:spacing w:val="-2"/>
                <w:sz w:val="20"/>
              </w:rPr>
            </w:pPr>
          </w:p>
          <w:p>
            <w:pPr>
              <w:pStyle w:val="yTable"/>
              <w:spacing w:after="20"/>
              <w:rPr>
                <w:spacing w:val="-2"/>
                <w:sz w:val="20"/>
              </w:rPr>
            </w:pPr>
            <w:r>
              <w:rPr>
                <w:spacing w:val="-4"/>
                <w:sz w:val="20"/>
              </w:rPr>
              <w:t>$339.90/m x length of vessel (</w:t>
            </w:r>
            <w:r>
              <w:rPr>
                <w:i/>
                <w:spacing w:val="-4"/>
                <w:sz w:val="20"/>
              </w:rPr>
              <w:t>subject to a minimum chargeable length relative to the size of the pen, as set out below</w:t>
            </w:r>
            <w:r>
              <w:rPr>
                <w:spacing w:val="-4"/>
                <w:sz w:val="20"/>
              </w:rPr>
              <w:t>)</w:t>
            </w:r>
          </w:p>
          <w:p>
            <w:pPr>
              <w:pStyle w:val="yTable"/>
              <w:spacing w:after="20"/>
              <w:rPr>
                <w:spacing w:val="-4"/>
                <w:sz w:val="20"/>
              </w:rPr>
            </w:pPr>
            <w:r>
              <w:rPr>
                <w:spacing w:val="-2"/>
                <w:sz w:val="20"/>
              </w:rPr>
              <w:t>$367.40/m x length of vessel (</w:t>
            </w:r>
            <w:r>
              <w:rPr>
                <w:i/>
                <w:spacing w:val="-2"/>
                <w:sz w:val="20"/>
              </w:rPr>
              <w:t>subject to a minimum chargeable length relative to the size of the pen, as set out below</w:t>
            </w:r>
            <w:r>
              <w:rPr>
                <w:spacing w:val="-2"/>
                <w:sz w:val="20"/>
              </w:rPr>
              <w:t>)</w:t>
            </w:r>
          </w:p>
        </w:tc>
      </w:tr>
      <w:tr>
        <w:tblPrEx>
          <w:tblBorders>
            <w:bottom w:val="single" w:sz="4" w:space="0" w:color="auto"/>
          </w:tblBorders>
          <w:tblCellMar>
            <w:left w:w="84" w:type="dxa"/>
            <w:right w:w="84" w:type="dxa"/>
          </w:tblCellMar>
        </w:tblPrEx>
        <w:trPr>
          <w:cantSplit/>
          <w:trHeight w:val="270"/>
        </w:trPr>
        <w:tc>
          <w:tcPr>
            <w:tcW w:w="2737" w:type="dxa"/>
            <w:vMerge w:val="restart"/>
          </w:tcPr>
          <w:p>
            <w:pPr>
              <w:pStyle w:val="yTable"/>
              <w:spacing w:after="20"/>
              <w:rPr>
                <w:i/>
                <w:spacing w:val="-2"/>
                <w:sz w:val="20"/>
              </w:rPr>
            </w:pPr>
            <w:r>
              <w:rPr>
                <w:i/>
                <w:spacing w:val="-2"/>
                <w:sz w:val="20"/>
              </w:rPr>
              <w:t>Minimum chargeable length when calculating annual fee for fixed or floating pens of a particular size.</w:t>
            </w:r>
          </w:p>
        </w:tc>
        <w:tc>
          <w:tcPr>
            <w:tcW w:w="1560" w:type="dxa"/>
            <w:tcBorders>
              <w:bottom w:val="single" w:sz="4" w:space="0" w:color="auto"/>
            </w:tcBorders>
          </w:tcPr>
          <w:p>
            <w:pPr>
              <w:pStyle w:val="yTable"/>
              <w:spacing w:after="20"/>
              <w:rPr>
                <w:spacing w:val="-2"/>
                <w:sz w:val="20"/>
              </w:rPr>
            </w:pPr>
            <w:r>
              <w:rPr>
                <w:spacing w:val="-2"/>
                <w:sz w:val="20"/>
              </w:rPr>
              <w:t>10 m pen</w:t>
            </w:r>
          </w:p>
        </w:tc>
        <w:tc>
          <w:tcPr>
            <w:tcW w:w="2590" w:type="dxa"/>
          </w:tcPr>
          <w:p>
            <w:pPr>
              <w:pStyle w:val="yTable"/>
              <w:keepNext/>
              <w:keepLines/>
              <w:spacing w:after="20"/>
              <w:rPr>
                <w:spacing w:val="-2"/>
                <w:sz w:val="20"/>
              </w:rPr>
            </w:pPr>
            <w:r>
              <w:rPr>
                <w:spacing w:val="-2"/>
                <w:sz w:val="20"/>
              </w:rPr>
              <w:t>at least 8 m</w:t>
            </w:r>
          </w:p>
        </w:tc>
      </w:tr>
      <w:tr>
        <w:tblPrEx>
          <w:tblBorders>
            <w:bottom w:val="single" w:sz="4" w:space="0" w:color="auto"/>
          </w:tblBorders>
          <w:tblCellMar>
            <w:left w:w="84" w:type="dxa"/>
            <w:right w:w="84" w:type="dxa"/>
          </w:tblCellMar>
        </w:tblPrEx>
        <w:trPr>
          <w:cantSplit/>
          <w:trHeight w:val="268"/>
        </w:trPr>
        <w:tc>
          <w:tcPr>
            <w:tcW w:w="2737" w:type="dxa"/>
            <w:vMerge/>
          </w:tcPr>
          <w:p>
            <w:pPr>
              <w:pStyle w:val="yTable"/>
              <w:spacing w:after="20"/>
              <w:rPr>
                <w:i/>
                <w:spacing w:val="-2"/>
                <w:sz w:val="20"/>
              </w:rPr>
            </w:pPr>
          </w:p>
        </w:tc>
        <w:tc>
          <w:tcPr>
            <w:tcW w:w="1560" w:type="dxa"/>
            <w:tcBorders>
              <w:bottom w:val="single" w:sz="4" w:space="0" w:color="auto"/>
            </w:tcBorders>
          </w:tcPr>
          <w:p>
            <w:pPr>
              <w:pStyle w:val="yTable"/>
              <w:spacing w:after="20"/>
              <w:rPr>
                <w:spacing w:val="-2"/>
                <w:sz w:val="20"/>
              </w:rPr>
            </w:pPr>
            <w:r>
              <w:rPr>
                <w:spacing w:val="-2"/>
                <w:sz w:val="20"/>
              </w:rPr>
              <w:t>12 m pen</w:t>
            </w:r>
          </w:p>
        </w:tc>
        <w:tc>
          <w:tcPr>
            <w:tcW w:w="2590" w:type="dxa"/>
          </w:tcPr>
          <w:p>
            <w:pPr>
              <w:pStyle w:val="yTable"/>
              <w:keepNext/>
              <w:keepLines/>
              <w:spacing w:after="20"/>
              <w:rPr>
                <w:spacing w:val="-2"/>
                <w:sz w:val="20"/>
              </w:rPr>
            </w:pPr>
            <w:r>
              <w:rPr>
                <w:spacing w:val="-2"/>
                <w:sz w:val="20"/>
              </w:rPr>
              <w:t>at least 9.6 m</w:t>
            </w:r>
          </w:p>
        </w:tc>
      </w:tr>
      <w:tr>
        <w:tblPrEx>
          <w:tblBorders>
            <w:bottom w:val="single" w:sz="4" w:space="0" w:color="auto"/>
          </w:tblBorders>
          <w:tblCellMar>
            <w:left w:w="84" w:type="dxa"/>
            <w:right w:w="84" w:type="dxa"/>
          </w:tblCellMar>
        </w:tblPrEx>
        <w:trPr>
          <w:cantSplit/>
          <w:trHeight w:val="268"/>
        </w:trPr>
        <w:tc>
          <w:tcPr>
            <w:tcW w:w="2737" w:type="dxa"/>
            <w:vMerge/>
          </w:tcPr>
          <w:p>
            <w:pPr>
              <w:pStyle w:val="yTable"/>
              <w:spacing w:after="20"/>
              <w:rPr>
                <w:i/>
                <w:spacing w:val="-2"/>
                <w:sz w:val="20"/>
              </w:rPr>
            </w:pPr>
          </w:p>
        </w:tc>
        <w:tc>
          <w:tcPr>
            <w:tcW w:w="1560" w:type="dxa"/>
            <w:tcBorders>
              <w:bottom w:val="single" w:sz="4" w:space="0" w:color="auto"/>
            </w:tcBorders>
          </w:tcPr>
          <w:p>
            <w:pPr>
              <w:pStyle w:val="yTable"/>
              <w:spacing w:after="20"/>
              <w:rPr>
                <w:spacing w:val="-2"/>
                <w:sz w:val="20"/>
              </w:rPr>
            </w:pPr>
            <w:r>
              <w:rPr>
                <w:spacing w:val="-2"/>
                <w:sz w:val="20"/>
              </w:rPr>
              <w:t>13 m pen</w:t>
            </w:r>
          </w:p>
        </w:tc>
        <w:tc>
          <w:tcPr>
            <w:tcW w:w="2590" w:type="dxa"/>
          </w:tcPr>
          <w:p>
            <w:pPr>
              <w:pStyle w:val="yTable"/>
              <w:keepNext/>
              <w:keepLines/>
              <w:spacing w:after="20"/>
              <w:rPr>
                <w:spacing w:val="-2"/>
                <w:sz w:val="20"/>
              </w:rPr>
            </w:pPr>
            <w:r>
              <w:rPr>
                <w:spacing w:val="-2"/>
                <w:sz w:val="20"/>
              </w:rPr>
              <w:t>at least 10.4 m</w:t>
            </w:r>
          </w:p>
        </w:tc>
      </w:tr>
      <w:tr>
        <w:tblPrEx>
          <w:tblBorders>
            <w:bottom w:val="single" w:sz="4" w:space="0" w:color="auto"/>
          </w:tblBorders>
          <w:tblCellMar>
            <w:left w:w="84" w:type="dxa"/>
            <w:right w:w="84" w:type="dxa"/>
          </w:tblCellMar>
        </w:tblPrEx>
        <w:trPr>
          <w:cantSplit/>
          <w:trHeight w:val="268"/>
        </w:trPr>
        <w:tc>
          <w:tcPr>
            <w:tcW w:w="2737" w:type="dxa"/>
            <w:vMerge/>
          </w:tcPr>
          <w:p>
            <w:pPr>
              <w:pStyle w:val="yTable"/>
              <w:spacing w:after="20"/>
              <w:rPr>
                <w:i/>
                <w:spacing w:val="-2"/>
                <w:sz w:val="20"/>
              </w:rPr>
            </w:pPr>
          </w:p>
        </w:tc>
        <w:tc>
          <w:tcPr>
            <w:tcW w:w="1560" w:type="dxa"/>
            <w:tcBorders>
              <w:bottom w:val="single" w:sz="4" w:space="0" w:color="auto"/>
            </w:tcBorders>
          </w:tcPr>
          <w:p>
            <w:pPr>
              <w:pStyle w:val="yTable"/>
              <w:spacing w:after="20"/>
              <w:rPr>
                <w:spacing w:val="-2"/>
                <w:sz w:val="20"/>
              </w:rPr>
            </w:pPr>
            <w:r>
              <w:rPr>
                <w:spacing w:val="-2"/>
                <w:sz w:val="20"/>
              </w:rPr>
              <w:t>15 m pen</w:t>
            </w:r>
          </w:p>
        </w:tc>
        <w:tc>
          <w:tcPr>
            <w:tcW w:w="2590" w:type="dxa"/>
          </w:tcPr>
          <w:p>
            <w:pPr>
              <w:pStyle w:val="yTable"/>
              <w:keepNext/>
              <w:keepLines/>
              <w:spacing w:after="20"/>
              <w:rPr>
                <w:spacing w:val="-2"/>
                <w:sz w:val="20"/>
              </w:rPr>
            </w:pPr>
            <w:r>
              <w:rPr>
                <w:spacing w:val="-2"/>
                <w:sz w:val="20"/>
              </w:rPr>
              <w:t>at least 12 m</w:t>
            </w:r>
          </w:p>
        </w:tc>
      </w:tr>
      <w:tr>
        <w:tblPrEx>
          <w:tblBorders>
            <w:bottom w:val="single" w:sz="4" w:space="0" w:color="auto"/>
          </w:tblBorders>
          <w:tblCellMar>
            <w:left w:w="84" w:type="dxa"/>
            <w:right w:w="84" w:type="dxa"/>
          </w:tblCellMar>
        </w:tblPrEx>
        <w:trPr>
          <w:cantSplit/>
          <w:trHeight w:val="268"/>
        </w:trPr>
        <w:tc>
          <w:tcPr>
            <w:tcW w:w="2737" w:type="dxa"/>
            <w:vMerge/>
          </w:tcPr>
          <w:p>
            <w:pPr>
              <w:pStyle w:val="yTable"/>
              <w:spacing w:after="20"/>
              <w:rPr>
                <w:i/>
                <w:spacing w:val="-2"/>
                <w:sz w:val="20"/>
              </w:rPr>
            </w:pPr>
          </w:p>
        </w:tc>
        <w:tc>
          <w:tcPr>
            <w:tcW w:w="1560" w:type="dxa"/>
            <w:tcBorders>
              <w:bottom w:val="single" w:sz="4" w:space="0" w:color="auto"/>
            </w:tcBorders>
          </w:tcPr>
          <w:p>
            <w:pPr>
              <w:pStyle w:val="yTable"/>
              <w:spacing w:after="20"/>
              <w:rPr>
                <w:spacing w:val="-2"/>
                <w:sz w:val="20"/>
              </w:rPr>
            </w:pPr>
            <w:r>
              <w:rPr>
                <w:spacing w:val="-2"/>
                <w:sz w:val="20"/>
              </w:rPr>
              <w:t>18 m pen</w:t>
            </w:r>
          </w:p>
        </w:tc>
        <w:tc>
          <w:tcPr>
            <w:tcW w:w="2590" w:type="dxa"/>
          </w:tcPr>
          <w:p>
            <w:pPr>
              <w:pStyle w:val="yTable"/>
              <w:keepNext/>
              <w:keepLines/>
              <w:spacing w:after="20"/>
              <w:rPr>
                <w:spacing w:val="-2"/>
                <w:sz w:val="20"/>
              </w:rPr>
            </w:pPr>
            <w:r>
              <w:rPr>
                <w:spacing w:val="-2"/>
                <w:sz w:val="20"/>
              </w:rPr>
              <w:t>at least 14.4 m</w:t>
            </w:r>
          </w:p>
        </w:tc>
      </w:tr>
      <w:tr>
        <w:tblPrEx>
          <w:tblBorders>
            <w:bottom w:val="single" w:sz="4" w:space="0" w:color="auto"/>
          </w:tblBorders>
          <w:tblCellMar>
            <w:left w:w="84" w:type="dxa"/>
            <w:right w:w="84" w:type="dxa"/>
          </w:tblCellMar>
        </w:tblPrEx>
        <w:trPr>
          <w:cantSplit/>
          <w:trHeight w:val="268"/>
        </w:trPr>
        <w:tc>
          <w:tcPr>
            <w:tcW w:w="2737" w:type="dxa"/>
            <w:vMerge/>
            <w:tcBorders>
              <w:bottom w:val="single" w:sz="4" w:space="0" w:color="auto"/>
            </w:tcBorders>
          </w:tcPr>
          <w:p>
            <w:pPr>
              <w:pStyle w:val="yTable"/>
              <w:spacing w:after="20"/>
              <w:rPr>
                <w:i/>
                <w:spacing w:val="-2"/>
                <w:sz w:val="20"/>
              </w:rPr>
            </w:pPr>
          </w:p>
        </w:tc>
        <w:tc>
          <w:tcPr>
            <w:tcW w:w="1560" w:type="dxa"/>
            <w:tcBorders>
              <w:bottom w:val="single" w:sz="4" w:space="0" w:color="auto"/>
            </w:tcBorders>
          </w:tcPr>
          <w:p>
            <w:pPr>
              <w:pStyle w:val="yTable"/>
              <w:spacing w:after="20"/>
              <w:rPr>
                <w:spacing w:val="-2"/>
                <w:sz w:val="20"/>
              </w:rPr>
            </w:pPr>
            <w:r>
              <w:rPr>
                <w:spacing w:val="-2"/>
                <w:sz w:val="20"/>
              </w:rPr>
              <w:t>22 m pen</w:t>
            </w:r>
          </w:p>
        </w:tc>
        <w:tc>
          <w:tcPr>
            <w:tcW w:w="2590" w:type="dxa"/>
            <w:tcBorders>
              <w:bottom w:val="single" w:sz="4" w:space="0" w:color="auto"/>
            </w:tcBorders>
          </w:tcPr>
          <w:p>
            <w:pPr>
              <w:pStyle w:val="yTable"/>
              <w:keepNext/>
              <w:keepLines/>
              <w:spacing w:after="20"/>
              <w:rPr>
                <w:spacing w:val="-2"/>
                <w:sz w:val="20"/>
              </w:rPr>
            </w:pPr>
            <w:r>
              <w:rPr>
                <w:spacing w:val="-2"/>
                <w:sz w:val="20"/>
              </w:rPr>
              <w:t>at least 17.6 m</w:t>
            </w:r>
          </w:p>
        </w:tc>
      </w:tr>
      <w:tr>
        <w:tblPrEx>
          <w:tblBorders>
            <w:bottom w:val="single" w:sz="4" w:space="0" w:color="auto"/>
          </w:tblBorders>
          <w:tblCellMar>
            <w:left w:w="84" w:type="dxa"/>
            <w:right w:w="84" w:type="dxa"/>
          </w:tblCellMar>
        </w:tblPrEx>
        <w:trPr>
          <w:cantSplit/>
        </w:trPr>
        <w:tc>
          <w:tcPr>
            <w:tcW w:w="2737" w:type="dxa"/>
            <w:tcBorders>
              <w:top w:val="single" w:sz="4" w:space="0" w:color="auto"/>
            </w:tcBorders>
          </w:tcPr>
          <w:p>
            <w:pPr>
              <w:pStyle w:val="yTable"/>
              <w:spacing w:after="20"/>
              <w:rPr>
                <w:spacing w:val="-2"/>
                <w:sz w:val="20"/>
              </w:rPr>
            </w:pPr>
            <w:r>
              <w:rPr>
                <w:b/>
                <w:spacing w:val="-2"/>
                <w:sz w:val="20"/>
              </w:rPr>
              <w:t>Part Year Fee – 3 months or more paid in advance</w:t>
            </w:r>
          </w:p>
        </w:tc>
        <w:tc>
          <w:tcPr>
            <w:tcW w:w="4150" w:type="dxa"/>
            <w:gridSpan w:val="2"/>
            <w:tcBorders>
              <w:top w:val="single" w:sz="4" w:space="0" w:color="auto"/>
            </w:tcBorders>
          </w:tcPr>
          <w:p>
            <w:pPr>
              <w:pStyle w:val="yTable"/>
              <w:spacing w:after="20"/>
              <w:rPr>
                <w:spacing w:val="-2"/>
                <w:sz w:val="20"/>
              </w:rPr>
            </w:pPr>
          </w:p>
        </w:tc>
      </w:tr>
      <w:tr>
        <w:tblPrEx>
          <w:tblBorders>
            <w:bottom w:val="single" w:sz="4" w:space="0" w:color="auto"/>
          </w:tblBorders>
          <w:tblCellMar>
            <w:left w:w="84" w:type="dxa"/>
            <w:right w:w="84" w:type="dxa"/>
          </w:tblCellMar>
        </w:tblPrEx>
        <w:trPr>
          <w:cantSplit/>
        </w:trPr>
        <w:tc>
          <w:tcPr>
            <w:tcW w:w="2737" w:type="dxa"/>
            <w:tcBorders>
              <w:bottom w:val="single" w:sz="4" w:space="0" w:color="auto"/>
            </w:tcBorders>
          </w:tcPr>
          <w:p>
            <w:pPr>
              <w:pStyle w:val="yTable"/>
              <w:spacing w:after="20"/>
              <w:ind w:firstLine="244"/>
              <w:rPr>
                <w:spacing w:val="-2"/>
                <w:sz w:val="20"/>
              </w:rPr>
            </w:pPr>
            <w:r>
              <w:rPr>
                <w:spacing w:val="-2"/>
                <w:sz w:val="20"/>
              </w:rPr>
              <w:t>fixed pens</w:t>
            </w:r>
          </w:p>
          <w:p>
            <w:pPr>
              <w:pStyle w:val="yTable"/>
              <w:spacing w:after="20"/>
              <w:ind w:left="244" w:hanging="244"/>
              <w:rPr>
                <w:spacing w:val="-2"/>
                <w:sz w:val="20"/>
              </w:rPr>
            </w:pPr>
            <w:r>
              <w:rPr>
                <w:spacing w:val="-2"/>
                <w:sz w:val="20"/>
              </w:rPr>
              <w:tab/>
              <w:t>Recreational vessel</w:t>
            </w:r>
          </w:p>
          <w:p>
            <w:pPr>
              <w:pStyle w:val="yTable"/>
              <w:spacing w:after="20"/>
              <w:ind w:left="244" w:hanging="244"/>
              <w:rPr>
                <w:spacing w:val="-2"/>
                <w:sz w:val="20"/>
              </w:rPr>
            </w:pPr>
            <w:r>
              <w:rPr>
                <w:spacing w:val="-2"/>
                <w:sz w:val="20"/>
              </w:rPr>
              <w:tab/>
              <w:t>Commercial vessel</w:t>
            </w:r>
          </w:p>
        </w:tc>
        <w:tc>
          <w:tcPr>
            <w:tcW w:w="4150" w:type="dxa"/>
            <w:gridSpan w:val="2"/>
            <w:tcBorders>
              <w:bottom w:val="single" w:sz="4" w:space="0" w:color="auto"/>
            </w:tcBorders>
          </w:tcPr>
          <w:p>
            <w:pPr>
              <w:pStyle w:val="yTable"/>
              <w:spacing w:after="20"/>
              <w:rPr>
                <w:spacing w:val="-2"/>
                <w:sz w:val="20"/>
              </w:rPr>
            </w:pPr>
          </w:p>
          <w:p>
            <w:pPr>
              <w:pStyle w:val="yTable"/>
              <w:spacing w:after="20"/>
              <w:rPr>
                <w:spacing w:val="-2"/>
                <w:sz w:val="20"/>
              </w:rPr>
            </w:pPr>
            <w:r>
              <w:rPr>
                <w:spacing w:val="-2"/>
                <w:sz w:val="20"/>
              </w:rPr>
              <w:t>$31.72/m x length of vessel, per month</w:t>
            </w:r>
          </w:p>
          <w:p>
            <w:pPr>
              <w:pStyle w:val="yTable"/>
              <w:spacing w:after="20"/>
              <w:rPr>
                <w:spacing w:val="-2"/>
                <w:sz w:val="20"/>
              </w:rPr>
            </w:pPr>
            <w:r>
              <w:rPr>
                <w:spacing w:val="-2"/>
                <w:sz w:val="20"/>
              </w:rPr>
              <w:t>$34.47/m x length of vessel, per month</w:t>
            </w:r>
          </w:p>
        </w:tc>
      </w:tr>
      <w:tr>
        <w:tblPrEx>
          <w:tblBorders>
            <w:bottom w:val="single" w:sz="4" w:space="0" w:color="auto"/>
          </w:tblBorders>
          <w:tblCellMar>
            <w:left w:w="84" w:type="dxa"/>
            <w:right w:w="84" w:type="dxa"/>
          </w:tblCellMar>
        </w:tblPrEx>
        <w:trPr>
          <w:cantSplit/>
        </w:trPr>
        <w:tc>
          <w:tcPr>
            <w:tcW w:w="2737" w:type="dxa"/>
            <w:tcBorders>
              <w:bottom w:val="single" w:sz="4" w:space="0" w:color="auto"/>
            </w:tcBorders>
          </w:tcPr>
          <w:p>
            <w:pPr>
              <w:pStyle w:val="yTable"/>
              <w:spacing w:after="20"/>
              <w:ind w:left="244" w:hanging="244"/>
              <w:rPr>
                <w:spacing w:val="-2"/>
                <w:sz w:val="20"/>
              </w:rPr>
            </w:pPr>
            <w:r>
              <w:rPr>
                <w:spacing w:val="-2"/>
                <w:sz w:val="20"/>
              </w:rPr>
              <w:tab/>
              <w:t>floating pens</w:t>
            </w:r>
          </w:p>
          <w:p>
            <w:pPr>
              <w:pStyle w:val="yTable"/>
              <w:spacing w:after="20"/>
              <w:ind w:left="244" w:hanging="244"/>
              <w:rPr>
                <w:spacing w:val="-2"/>
                <w:sz w:val="20"/>
              </w:rPr>
            </w:pPr>
            <w:r>
              <w:rPr>
                <w:spacing w:val="-2"/>
                <w:sz w:val="20"/>
              </w:rPr>
              <w:tab/>
              <w:t>Recreational vessel</w:t>
            </w:r>
          </w:p>
          <w:p>
            <w:pPr>
              <w:pStyle w:val="yTable"/>
              <w:spacing w:after="20"/>
              <w:ind w:left="244" w:hanging="244"/>
              <w:rPr>
                <w:spacing w:val="-2"/>
                <w:sz w:val="20"/>
              </w:rPr>
            </w:pPr>
            <w:r>
              <w:rPr>
                <w:spacing w:val="-2"/>
                <w:sz w:val="20"/>
              </w:rPr>
              <w:tab/>
              <w:t>Commercial vessel</w:t>
            </w:r>
          </w:p>
        </w:tc>
        <w:tc>
          <w:tcPr>
            <w:tcW w:w="4150" w:type="dxa"/>
            <w:gridSpan w:val="2"/>
            <w:tcBorders>
              <w:bottom w:val="single" w:sz="4" w:space="0" w:color="auto"/>
            </w:tcBorders>
          </w:tcPr>
          <w:p>
            <w:pPr>
              <w:pStyle w:val="yTable"/>
              <w:spacing w:after="20"/>
              <w:rPr>
                <w:spacing w:val="-2"/>
                <w:sz w:val="20"/>
              </w:rPr>
            </w:pPr>
          </w:p>
          <w:p>
            <w:pPr>
              <w:pStyle w:val="yTable"/>
              <w:spacing w:after="20"/>
              <w:rPr>
                <w:spacing w:val="-2"/>
                <w:sz w:val="20"/>
              </w:rPr>
            </w:pPr>
            <w:r>
              <w:rPr>
                <w:spacing w:val="-2"/>
                <w:sz w:val="20"/>
              </w:rPr>
              <w:t>$33.99/m x length of vessel, per month</w:t>
            </w:r>
          </w:p>
          <w:p>
            <w:pPr>
              <w:pStyle w:val="yTable"/>
              <w:spacing w:after="20"/>
              <w:rPr>
                <w:spacing w:val="-2"/>
                <w:sz w:val="20"/>
              </w:rPr>
            </w:pPr>
            <w:r>
              <w:rPr>
                <w:spacing w:val="-2"/>
                <w:sz w:val="20"/>
              </w:rPr>
              <w:t>$36.74/m x length of vessel, per month</w:t>
            </w:r>
          </w:p>
        </w:tc>
      </w:tr>
      <w:tr>
        <w:tblPrEx>
          <w:tblBorders>
            <w:bottom w:val="single" w:sz="4" w:space="0" w:color="auto"/>
          </w:tblBorders>
          <w:tblCellMar>
            <w:left w:w="84" w:type="dxa"/>
            <w:right w:w="84" w:type="dxa"/>
          </w:tblCellMar>
        </w:tblPrEx>
        <w:trPr>
          <w:cantSplit/>
        </w:trPr>
        <w:tc>
          <w:tcPr>
            <w:tcW w:w="2737" w:type="dxa"/>
            <w:tcBorders>
              <w:top w:val="single" w:sz="4" w:space="0" w:color="auto"/>
            </w:tcBorders>
          </w:tcPr>
          <w:p>
            <w:pPr>
              <w:pStyle w:val="yTable"/>
              <w:keepNext/>
              <w:spacing w:after="20"/>
              <w:rPr>
                <w:spacing w:val="-2"/>
                <w:sz w:val="20"/>
              </w:rPr>
            </w:pPr>
            <w:r>
              <w:rPr>
                <w:b/>
                <w:spacing w:val="-2"/>
                <w:sz w:val="20"/>
              </w:rPr>
              <w:t>Monthly Fee</w:t>
            </w:r>
          </w:p>
        </w:tc>
        <w:tc>
          <w:tcPr>
            <w:tcW w:w="4150" w:type="dxa"/>
            <w:gridSpan w:val="2"/>
            <w:tcBorders>
              <w:top w:val="single" w:sz="4" w:space="0" w:color="auto"/>
            </w:tcBorders>
          </w:tcPr>
          <w:p>
            <w:pPr>
              <w:pStyle w:val="yTable"/>
              <w:keepNext/>
              <w:spacing w:after="20"/>
              <w:rPr>
                <w:spacing w:val="-2"/>
                <w:sz w:val="20"/>
              </w:rPr>
            </w:pPr>
          </w:p>
        </w:tc>
      </w:tr>
      <w:tr>
        <w:tblPrEx>
          <w:tblBorders>
            <w:bottom w:val="single" w:sz="4" w:space="0" w:color="auto"/>
          </w:tblBorders>
          <w:tblCellMar>
            <w:left w:w="84" w:type="dxa"/>
            <w:right w:w="84" w:type="dxa"/>
          </w:tblCellMar>
        </w:tblPrEx>
        <w:trPr>
          <w:cantSplit/>
        </w:trPr>
        <w:tc>
          <w:tcPr>
            <w:tcW w:w="2737" w:type="dxa"/>
          </w:tcPr>
          <w:p>
            <w:pPr>
              <w:pStyle w:val="yTable"/>
              <w:spacing w:after="20"/>
              <w:ind w:left="244" w:hanging="244"/>
              <w:rPr>
                <w:spacing w:val="-2"/>
                <w:sz w:val="20"/>
              </w:rPr>
            </w:pPr>
            <w:r>
              <w:rPr>
                <w:spacing w:val="-2"/>
                <w:sz w:val="20"/>
              </w:rPr>
              <w:tab/>
              <w:t>fixed pens</w:t>
            </w:r>
          </w:p>
          <w:p>
            <w:pPr>
              <w:pStyle w:val="yTable"/>
              <w:spacing w:after="20"/>
              <w:ind w:left="340" w:hanging="96"/>
              <w:rPr>
                <w:spacing w:val="-2"/>
                <w:sz w:val="20"/>
              </w:rPr>
            </w:pPr>
            <w:r>
              <w:rPr>
                <w:spacing w:val="-2"/>
                <w:sz w:val="20"/>
              </w:rPr>
              <w:t>Recreational vessel</w:t>
            </w:r>
          </w:p>
          <w:p>
            <w:pPr>
              <w:pStyle w:val="yTable"/>
              <w:spacing w:after="20"/>
              <w:ind w:left="340" w:hanging="96"/>
              <w:rPr>
                <w:spacing w:val="-2"/>
                <w:sz w:val="20"/>
              </w:rPr>
            </w:pPr>
            <w:r>
              <w:rPr>
                <w:spacing w:val="-2"/>
                <w:sz w:val="20"/>
              </w:rPr>
              <w:t>Commercial vessel</w:t>
            </w:r>
          </w:p>
        </w:tc>
        <w:tc>
          <w:tcPr>
            <w:tcW w:w="4150" w:type="dxa"/>
            <w:gridSpan w:val="2"/>
          </w:tcPr>
          <w:p>
            <w:pPr>
              <w:pStyle w:val="yTable"/>
              <w:spacing w:after="20"/>
              <w:rPr>
                <w:spacing w:val="-2"/>
                <w:sz w:val="20"/>
              </w:rPr>
            </w:pPr>
          </w:p>
          <w:p>
            <w:pPr>
              <w:pStyle w:val="yTable"/>
              <w:spacing w:after="20"/>
              <w:rPr>
                <w:spacing w:val="-2"/>
                <w:sz w:val="20"/>
              </w:rPr>
            </w:pPr>
            <w:r>
              <w:rPr>
                <w:spacing w:val="-2"/>
                <w:sz w:val="20"/>
              </w:rPr>
              <w:t>$63.45/m x length of vessel, per month</w:t>
            </w:r>
          </w:p>
          <w:p>
            <w:pPr>
              <w:pStyle w:val="yTable"/>
              <w:spacing w:after="20"/>
              <w:rPr>
                <w:spacing w:val="-2"/>
                <w:sz w:val="20"/>
              </w:rPr>
            </w:pPr>
            <w:r>
              <w:rPr>
                <w:spacing w:val="-2"/>
                <w:sz w:val="20"/>
              </w:rPr>
              <w:t>$68.95/m x length of vessel, per month</w:t>
            </w:r>
          </w:p>
        </w:tc>
      </w:tr>
      <w:tr>
        <w:tblPrEx>
          <w:tblBorders>
            <w:bottom w:val="single" w:sz="4" w:space="0" w:color="auto"/>
          </w:tblBorders>
          <w:tblCellMar>
            <w:left w:w="84" w:type="dxa"/>
            <w:right w:w="84" w:type="dxa"/>
          </w:tblCellMar>
        </w:tblPrEx>
        <w:trPr>
          <w:cantSplit/>
        </w:trPr>
        <w:tc>
          <w:tcPr>
            <w:tcW w:w="2737" w:type="dxa"/>
          </w:tcPr>
          <w:p>
            <w:pPr>
              <w:pStyle w:val="yTable"/>
              <w:spacing w:after="20"/>
              <w:ind w:firstLine="244"/>
              <w:rPr>
                <w:spacing w:val="-2"/>
                <w:sz w:val="20"/>
              </w:rPr>
            </w:pPr>
            <w:r>
              <w:rPr>
                <w:spacing w:val="-2"/>
                <w:sz w:val="20"/>
              </w:rPr>
              <w:t>floating pens</w:t>
            </w:r>
          </w:p>
          <w:p>
            <w:pPr>
              <w:pStyle w:val="yTable"/>
              <w:spacing w:after="20"/>
              <w:ind w:left="340" w:hanging="96"/>
              <w:rPr>
                <w:spacing w:val="-2"/>
                <w:sz w:val="20"/>
              </w:rPr>
            </w:pPr>
            <w:r>
              <w:rPr>
                <w:spacing w:val="-2"/>
                <w:sz w:val="20"/>
              </w:rPr>
              <w:t>Recreational vessel</w:t>
            </w:r>
          </w:p>
          <w:p>
            <w:pPr>
              <w:pStyle w:val="yTable"/>
              <w:spacing w:after="20"/>
              <w:ind w:left="340" w:hanging="96"/>
              <w:rPr>
                <w:spacing w:val="-2"/>
                <w:sz w:val="20"/>
              </w:rPr>
            </w:pPr>
            <w:r>
              <w:rPr>
                <w:spacing w:val="-2"/>
                <w:sz w:val="20"/>
              </w:rPr>
              <w:t>Commercial vessel</w:t>
            </w:r>
          </w:p>
        </w:tc>
        <w:tc>
          <w:tcPr>
            <w:tcW w:w="4150" w:type="dxa"/>
            <w:gridSpan w:val="2"/>
          </w:tcPr>
          <w:p>
            <w:pPr>
              <w:pStyle w:val="yTable"/>
              <w:spacing w:after="20"/>
              <w:rPr>
                <w:spacing w:val="-2"/>
                <w:sz w:val="20"/>
              </w:rPr>
            </w:pPr>
          </w:p>
          <w:p>
            <w:pPr>
              <w:pStyle w:val="yTable"/>
              <w:spacing w:after="20"/>
              <w:rPr>
                <w:spacing w:val="-2"/>
                <w:sz w:val="20"/>
              </w:rPr>
            </w:pPr>
            <w:r>
              <w:rPr>
                <w:spacing w:val="-2"/>
                <w:sz w:val="20"/>
              </w:rPr>
              <w:t>$67.98/m x length of vessel, per month</w:t>
            </w:r>
          </w:p>
          <w:p>
            <w:pPr>
              <w:pStyle w:val="yTable"/>
              <w:spacing w:after="20"/>
              <w:rPr>
                <w:spacing w:val="-2"/>
                <w:sz w:val="20"/>
              </w:rPr>
            </w:pPr>
            <w:r>
              <w:rPr>
                <w:spacing w:val="-2"/>
                <w:sz w:val="20"/>
              </w:rPr>
              <w:t>$73.48/m x length of vessel, per month</w:t>
            </w:r>
          </w:p>
        </w:tc>
      </w:tr>
      <w:tr>
        <w:tblPrEx>
          <w:tblBorders>
            <w:bottom w:val="single" w:sz="4" w:space="0" w:color="auto"/>
          </w:tblBorders>
          <w:tblCellMar>
            <w:left w:w="84" w:type="dxa"/>
            <w:right w:w="84" w:type="dxa"/>
          </w:tblCellMar>
        </w:tblPrEx>
        <w:trPr>
          <w:cantSplit/>
        </w:trPr>
        <w:tc>
          <w:tcPr>
            <w:tcW w:w="2737" w:type="dxa"/>
          </w:tcPr>
          <w:p>
            <w:pPr>
              <w:pStyle w:val="yTable"/>
              <w:spacing w:after="20"/>
              <w:rPr>
                <w:spacing w:val="-2"/>
                <w:sz w:val="20"/>
              </w:rPr>
            </w:pPr>
            <w:r>
              <w:rPr>
                <w:b/>
                <w:spacing w:val="-2"/>
                <w:sz w:val="20"/>
              </w:rPr>
              <w:t>Weekly Fee</w:t>
            </w:r>
          </w:p>
        </w:tc>
        <w:tc>
          <w:tcPr>
            <w:tcW w:w="4150" w:type="dxa"/>
            <w:gridSpan w:val="2"/>
          </w:tcPr>
          <w:p>
            <w:pPr>
              <w:pStyle w:val="yTable"/>
              <w:spacing w:after="20"/>
              <w:rPr>
                <w:spacing w:val="-2"/>
                <w:sz w:val="20"/>
              </w:rPr>
            </w:pPr>
          </w:p>
        </w:tc>
      </w:tr>
      <w:tr>
        <w:tblPrEx>
          <w:tblBorders>
            <w:bottom w:val="single" w:sz="4" w:space="0" w:color="auto"/>
          </w:tblBorders>
          <w:tblCellMar>
            <w:left w:w="84" w:type="dxa"/>
            <w:right w:w="84" w:type="dxa"/>
          </w:tblCellMar>
        </w:tblPrEx>
        <w:trPr>
          <w:cantSplit/>
        </w:trPr>
        <w:tc>
          <w:tcPr>
            <w:tcW w:w="2737" w:type="dxa"/>
          </w:tcPr>
          <w:p>
            <w:pPr>
              <w:pStyle w:val="yTable"/>
              <w:spacing w:after="20"/>
              <w:ind w:left="244" w:hanging="244"/>
              <w:rPr>
                <w:spacing w:val="-2"/>
                <w:sz w:val="20"/>
              </w:rPr>
            </w:pPr>
            <w:r>
              <w:rPr>
                <w:spacing w:val="-2"/>
                <w:sz w:val="20"/>
              </w:rPr>
              <w:tab/>
              <w:t>Recreational vessel</w:t>
            </w:r>
            <w:r>
              <w:rPr>
                <w:spacing w:val="-2"/>
                <w:sz w:val="20"/>
              </w:rPr>
              <w:br/>
            </w:r>
          </w:p>
          <w:p>
            <w:pPr>
              <w:pStyle w:val="yTable"/>
              <w:spacing w:after="20"/>
              <w:ind w:left="244" w:hanging="244"/>
              <w:rPr>
                <w:b/>
                <w:spacing w:val="-2"/>
                <w:sz w:val="20"/>
              </w:rPr>
            </w:pPr>
            <w:r>
              <w:rPr>
                <w:spacing w:val="-2"/>
                <w:sz w:val="20"/>
              </w:rPr>
              <w:tab/>
              <w:t>Commercial vessel</w:t>
            </w:r>
          </w:p>
        </w:tc>
        <w:tc>
          <w:tcPr>
            <w:tcW w:w="4150" w:type="dxa"/>
            <w:gridSpan w:val="2"/>
          </w:tcPr>
          <w:p>
            <w:pPr>
              <w:pStyle w:val="yTable"/>
              <w:spacing w:after="20"/>
              <w:rPr>
                <w:spacing w:val="-2"/>
                <w:sz w:val="20"/>
              </w:rPr>
            </w:pPr>
            <w:r>
              <w:rPr>
                <w:spacing w:val="-2"/>
                <w:sz w:val="20"/>
              </w:rPr>
              <w:t>$17.00/m x length of vessel, per week (with a minimum weekly charge of $150.00 per vessel)</w:t>
            </w:r>
          </w:p>
          <w:p>
            <w:pPr>
              <w:pStyle w:val="yTable"/>
              <w:spacing w:after="20"/>
              <w:rPr>
                <w:spacing w:val="-2"/>
                <w:sz w:val="20"/>
              </w:rPr>
            </w:pPr>
            <w:r>
              <w:rPr>
                <w:spacing w:val="-2"/>
                <w:sz w:val="20"/>
              </w:rPr>
              <w:t>$18.38/m x length of vessel, per week (with a minimum weekly charge of $150.00 per vessel)</w:t>
            </w:r>
          </w:p>
        </w:tc>
      </w:tr>
      <w:tr>
        <w:tblPrEx>
          <w:tblBorders>
            <w:bottom w:val="single" w:sz="4" w:space="0" w:color="auto"/>
          </w:tblBorders>
          <w:tblCellMar>
            <w:left w:w="84" w:type="dxa"/>
            <w:right w:w="84" w:type="dxa"/>
          </w:tblCellMar>
        </w:tblPrEx>
        <w:trPr>
          <w:cantSplit/>
        </w:trPr>
        <w:tc>
          <w:tcPr>
            <w:tcW w:w="2737" w:type="dxa"/>
          </w:tcPr>
          <w:p>
            <w:pPr>
              <w:pStyle w:val="yTable"/>
              <w:spacing w:after="20"/>
              <w:rPr>
                <w:spacing w:val="-2"/>
                <w:sz w:val="20"/>
              </w:rPr>
            </w:pPr>
            <w:r>
              <w:rPr>
                <w:b/>
                <w:spacing w:val="-2"/>
                <w:sz w:val="20"/>
              </w:rPr>
              <w:t>Daily Casual Fee</w:t>
            </w:r>
          </w:p>
        </w:tc>
        <w:tc>
          <w:tcPr>
            <w:tcW w:w="4150" w:type="dxa"/>
            <w:gridSpan w:val="2"/>
          </w:tcPr>
          <w:p>
            <w:pPr>
              <w:pStyle w:val="yTable"/>
              <w:spacing w:after="20"/>
              <w:rPr>
                <w:spacing w:val="-2"/>
                <w:sz w:val="20"/>
              </w:rPr>
            </w:pPr>
            <w:r>
              <w:rPr>
                <w:spacing w:val="-2"/>
                <w:sz w:val="20"/>
              </w:rPr>
              <w:t>$3.40/m x length of vessel (with a minimum overnight charge of $30.00 per vessel)</w:t>
            </w:r>
          </w:p>
        </w:tc>
      </w:tr>
      <w:tr>
        <w:tblPrEx>
          <w:tblBorders>
            <w:bottom w:val="single" w:sz="4" w:space="0" w:color="auto"/>
          </w:tblBorders>
          <w:tblCellMar>
            <w:left w:w="84" w:type="dxa"/>
            <w:right w:w="84" w:type="dxa"/>
          </w:tblCellMar>
        </w:tblPrEx>
        <w:trPr>
          <w:cantSplit/>
        </w:trPr>
        <w:tc>
          <w:tcPr>
            <w:tcW w:w="2737" w:type="dxa"/>
            <w:tcBorders>
              <w:bottom w:val="nil"/>
            </w:tcBorders>
          </w:tcPr>
          <w:p>
            <w:pPr>
              <w:pStyle w:val="yTable"/>
              <w:spacing w:after="20"/>
              <w:rPr>
                <w:b/>
                <w:spacing w:val="-2"/>
                <w:sz w:val="20"/>
              </w:rPr>
            </w:pPr>
            <w:r>
              <w:rPr>
                <w:b/>
                <w:spacing w:val="-2"/>
                <w:sz w:val="20"/>
              </w:rPr>
              <w:t>Short</w:t>
            </w:r>
            <w:r>
              <w:rPr>
                <w:b/>
                <w:spacing w:val="-2"/>
                <w:sz w:val="20"/>
              </w:rPr>
              <w:noBreakHyphen/>
              <w:t>Term Use Fee for Recreational vessels</w:t>
            </w:r>
          </w:p>
          <w:p>
            <w:pPr>
              <w:pStyle w:val="yTable"/>
              <w:spacing w:after="20"/>
              <w:rPr>
                <w:spacing w:val="-2"/>
                <w:sz w:val="20"/>
              </w:rPr>
            </w:pPr>
            <w:r>
              <w:rPr>
                <w:spacing w:val="-2"/>
                <w:sz w:val="20"/>
              </w:rPr>
              <w:t>(up to 3 hours)</w:t>
            </w:r>
          </w:p>
        </w:tc>
        <w:tc>
          <w:tcPr>
            <w:tcW w:w="4150" w:type="dxa"/>
            <w:gridSpan w:val="2"/>
            <w:tcBorders>
              <w:bottom w:val="nil"/>
            </w:tcBorders>
          </w:tcPr>
          <w:p>
            <w:pPr>
              <w:pStyle w:val="yTable"/>
              <w:spacing w:after="20"/>
              <w:rPr>
                <w:b/>
                <w:spacing w:val="-2"/>
                <w:sz w:val="20"/>
              </w:rPr>
            </w:pPr>
            <w:r>
              <w:rPr>
                <w:b/>
                <w:spacing w:val="-2"/>
                <w:sz w:val="20"/>
              </w:rPr>
              <w:br/>
            </w:r>
          </w:p>
          <w:p>
            <w:pPr>
              <w:pStyle w:val="yTable"/>
              <w:spacing w:after="20"/>
              <w:rPr>
                <w:spacing w:val="-2"/>
                <w:sz w:val="20"/>
              </w:rPr>
            </w:pPr>
            <w:r>
              <w:rPr>
                <w:spacing w:val="-2"/>
                <w:sz w:val="20"/>
              </w:rPr>
              <w:t>$22.00/3 hours</w:t>
            </w:r>
          </w:p>
        </w:tc>
      </w:tr>
      <w:tr>
        <w:tblPrEx>
          <w:tblBorders>
            <w:bottom w:val="single" w:sz="4" w:space="0" w:color="auto"/>
          </w:tblBorders>
          <w:tblCellMar>
            <w:left w:w="84" w:type="dxa"/>
            <w:right w:w="84" w:type="dxa"/>
          </w:tblCellMar>
        </w:tblPrEx>
        <w:trPr>
          <w:cantSplit/>
        </w:trPr>
        <w:tc>
          <w:tcPr>
            <w:tcW w:w="2737" w:type="dxa"/>
            <w:tcBorders>
              <w:bottom w:val="single" w:sz="4" w:space="0" w:color="auto"/>
            </w:tcBorders>
          </w:tcPr>
          <w:p>
            <w:pPr>
              <w:pStyle w:val="yTable"/>
              <w:spacing w:after="20"/>
              <w:rPr>
                <w:spacing w:val="-2"/>
                <w:sz w:val="20"/>
              </w:rPr>
            </w:pPr>
            <w:r>
              <w:rPr>
                <w:b/>
                <w:spacing w:val="-2"/>
                <w:sz w:val="20"/>
              </w:rPr>
              <w:t>‘Live on Board’ Fee</w:t>
            </w:r>
          </w:p>
        </w:tc>
        <w:tc>
          <w:tcPr>
            <w:tcW w:w="4150" w:type="dxa"/>
            <w:gridSpan w:val="2"/>
            <w:tcBorders>
              <w:bottom w:val="single" w:sz="4" w:space="0" w:color="auto"/>
            </w:tcBorders>
          </w:tcPr>
          <w:p>
            <w:pPr>
              <w:pStyle w:val="yTable"/>
              <w:spacing w:after="20"/>
              <w:rPr>
                <w:spacing w:val="-2"/>
                <w:sz w:val="20"/>
              </w:rPr>
            </w:pPr>
            <w:r>
              <w:rPr>
                <w:sz w:val="20"/>
              </w:rPr>
              <w:t>$86.26/month per vessel</w:t>
            </w:r>
          </w:p>
        </w:tc>
      </w:tr>
    </w:tbl>
    <w:p>
      <w:pPr>
        <w:pStyle w:val="yHeading4"/>
      </w:pPr>
      <w:bookmarkStart w:id="688" w:name="_Toc170210271"/>
      <w:r>
        <w:t>Subdivision 2</w:t>
      </w:r>
      <w:r>
        <w:rPr>
          <w:b w:val="0"/>
        </w:rPr>
        <w:t> — </w:t>
      </w:r>
      <w:r>
        <w:t>Challenger Boat Harbour (Fremantle)</w:t>
      </w:r>
      <w:bookmarkEnd w:id="688"/>
    </w:p>
    <w:p>
      <w:pPr>
        <w:pStyle w:val="yFootnoteheading"/>
      </w:pPr>
      <w:r>
        <w:tab/>
        <w:t>[Heading inserted in Gazette 24 Jun 2005 p. 2827.]</w:t>
      </w:r>
    </w:p>
    <w:p>
      <w:pPr>
        <w:pStyle w:val="yMiscellaneousBody"/>
        <w:spacing w:after="80"/>
        <w:rPr>
          <w:snapToGrid w:val="0"/>
        </w:rPr>
      </w:pPr>
      <w:r>
        <w:rPr>
          <w:snapToGrid w:val="0"/>
        </w:rPr>
        <w:t>(including Mediterranean moorings)</w:t>
      </w:r>
    </w:p>
    <w:tbl>
      <w:tblPr>
        <w:tblW w:w="0" w:type="auto"/>
        <w:tblInd w:w="182"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2737"/>
        <w:gridCol w:w="4150"/>
      </w:tblGrid>
      <w:tr>
        <w:tc>
          <w:tcPr>
            <w:tcW w:w="2737" w:type="dxa"/>
            <w:tcBorders>
              <w:bottom w:val="single" w:sz="4" w:space="0" w:color="auto"/>
            </w:tcBorders>
          </w:tcPr>
          <w:p>
            <w:pPr>
              <w:pStyle w:val="yTable"/>
              <w:spacing w:after="20"/>
              <w:rPr>
                <w:spacing w:val="-2"/>
                <w:sz w:val="20"/>
              </w:rPr>
            </w:pPr>
            <w:r>
              <w:rPr>
                <w:b/>
                <w:spacing w:val="-2"/>
                <w:sz w:val="20"/>
              </w:rPr>
              <w:t>Annual Fee</w:t>
            </w:r>
          </w:p>
        </w:tc>
        <w:tc>
          <w:tcPr>
            <w:tcW w:w="4150" w:type="dxa"/>
            <w:tcBorders>
              <w:bottom w:val="single" w:sz="4" w:space="0" w:color="auto"/>
            </w:tcBorders>
          </w:tcPr>
          <w:p>
            <w:pPr>
              <w:pStyle w:val="yTable"/>
              <w:spacing w:after="20"/>
              <w:rPr>
                <w:spacing w:val="-2"/>
                <w:sz w:val="20"/>
              </w:rPr>
            </w:pPr>
          </w:p>
        </w:tc>
      </w:tr>
      <w:tr>
        <w:tc>
          <w:tcPr>
            <w:tcW w:w="2737" w:type="dxa"/>
            <w:tcBorders>
              <w:bottom w:val="single" w:sz="4" w:space="0" w:color="auto"/>
            </w:tcBorders>
          </w:tcPr>
          <w:p>
            <w:pPr>
              <w:pStyle w:val="yTable"/>
              <w:spacing w:after="20"/>
              <w:ind w:left="244"/>
              <w:rPr>
                <w:spacing w:val="-2"/>
                <w:sz w:val="20"/>
              </w:rPr>
            </w:pPr>
            <w:r>
              <w:rPr>
                <w:spacing w:val="-2"/>
                <w:sz w:val="20"/>
              </w:rPr>
              <w:t>Catamaran pens with walkways</w:t>
            </w:r>
          </w:p>
        </w:tc>
        <w:tc>
          <w:tcPr>
            <w:tcW w:w="4150" w:type="dxa"/>
            <w:tcBorders>
              <w:bottom w:val="single" w:sz="4" w:space="0" w:color="auto"/>
            </w:tcBorders>
          </w:tcPr>
          <w:p>
            <w:pPr>
              <w:pStyle w:val="yTable"/>
              <w:spacing w:after="20"/>
              <w:rPr>
                <w:spacing w:val="-2"/>
                <w:sz w:val="20"/>
              </w:rPr>
            </w:pPr>
            <w:r>
              <w:rPr>
                <w:spacing w:val="-2"/>
                <w:sz w:val="20"/>
              </w:rPr>
              <w:t xml:space="preserve">$505.90/m x length of vessel </w:t>
            </w:r>
            <w:r>
              <w:rPr>
                <w:i/>
                <w:spacing w:val="-2"/>
                <w:sz w:val="20"/>
              </w:rPr>
              <w:t>(subject to a minimum chargeable length relative to the size of the pen, as set out below)</w:t>
            </w:r>
          </w:p>
        </w:tc>
      </w:tr>
      <w:tr>
        <w:tc>
          <w:tcPr>
            <w:tcW w:w="2737" w:type="dxa"/>
            <w:tcBorders>
              <w:top w:val="single" w:sz="4" w:space="0" w:color="auto"/>
            </w:tcBorders>
          </w:tcPr>
          <w:p>
            <w:pPr>
              <w:pStyle w:val="yTable"/>
              <w:spacing w:after="20"/>
              <w:ind w:left="244"/>
              <w:rPr>
                <w:spacing w:val="-2"/>
                <w:sz w:val="20"/>
              </w:rPr>
            </w:pPr>
            <w:r>
              <w:rPr>
                <w:spacing w:val="-2"/>
                <w:sz w:val="20"/>
              </w:rPr>
              <w:t>Other pens with walkways</w:t>
            </w:r>
          </w:p>
        </w:tc>
        <w:tc>
          <w:tcPr>
            <w:tcW w:w="4150" w:type="dxa"/>
            <w:tcBorders>
              <w:top w:val="single" w:sz="4" w:space="0" w:color="auto"/>
            </w:tcBorders>
          </w:tcPr>
          <w:p>
            <w:pPr>
              <w:pStyle w:val="yTable"/>
              <w:spacing w:after="20"/>
              <w:rPr>
                <w:spacing w:val="-2"/>
                <w:sz w:val="20"/>
              </w:rPr>
            </w:pPr>
            <w:r>
              <w:rPr>
                <w:spacing w:val="-2"/>
                <w:sz w:val="20"/>
              </w:rPr>
              <w:t xml:space="preserve">$348.50/m x length of vessel </w:t>
            </w:r>
            <w:r>
              <w:rPr>
                <w:i/>
                <w:spacing w:val="-2"/>
                <w:sz w:val="20"/>
              </w:rPr>
              <w:t>(subject to a minimum chargeable length relative to the size of the pen, as set out below)</w:t>
            </w:r>
          </w:p>
        </w:tc>
      </w:tr>
      <w:tr>
        <w:tc>
          <w:tcPr>
            <w:tcW w:w="2737" w:type="dxa"/>
          </w:tcPr>
          <w:p>
            <w:pPr>
              <w:pStyle w:val="yTable"/>
              <w:spacing w:after="20"/>
              <w:ind w:left="244"/>
              <w:rPr>
                <w:spacing w:val="-2"/>
                <w:sz w:val="20"/>
              </w:rPr>
            </w:pPr>
            <w:r>
              <w:rPr>
                <w:spacing w:val="-2"/>
                <w:sz w:val="20"/>
              </w:rPr>
              <w:t>Other pens</w:t>
            </w:r>
          </w:p>
        </w:tc>
        <w:tc>
          <w:tcPr>
            <w:tcW w:w="4150" w:type="dxa"/>
          </w:tcPr>
          <w:p>
            <w:pPr>
              <w:pStyle w:val="yTable"/>
              <w:spacing w:after="20"/>
              <w:rPr>
                <w:spacing w:val="-2"/>
                <w:sz w:val="20"/>
              </w:rPr>
            </w:pPr>
            <w:r>
              <w:rPr>
                <w:spacing w:val="-2"/>
                <w:sz w:val="20"/>
              </w:rPr>
              <w:t xml:space="preserve">$314.78/m x length of vessel </w:t>
            </w:r>
            <w:r>
              <w:rPr>
                <w:i/>
                <w:spacing w:val="-2"/>
                <w:sz w:val="20"/>
              </w:rPr>
              <w:t>(subject to a minimum chargeable length relative to the size of the pen, as set out below)</w:t>
            </w:r>
          </w:p>
        </w:tc>
      </w:tr>
      <w:tr>
        <w:tc>
          <w:tcPr>
            <w:tcW w:w="2737" w:type="dxa"/>
          </w:tcPr>
          <w:p>
            <w:pPr>
              <w:pStyle w:val="yTable"/>
              <w:spacing w:after="20"/>
              <w:rPr>
                <w:spacing w:val="-2"/>
                <w:sz w:val="20"/>
              </w:rPr>
            </w:pPr>
            <w:r>
              <w:rPr>
                <w:b/>
                <w:spacing w:val="-2"/>
                <w:sz w:val="20"/>
              </w:rPr>
              <w:t>Daily Casual Fee</w:t>
            </w:r>
          </w:p>
        </w:tc>
        <w:tc>
          <w:tcPr>
            <w:tcW w:w="4150" w:type="dxa"/>
          </w:tcPr>
          <w:p>
            <w:pPr>
              <w:pStyle w:val="yTable"/>
              <w:spacing w:after="20"/>
              <w:rPr>
                <w:spacing w:val="-2"/>
                <w:sz w:val="20"/>
              </w:rPr>
            </w:pPr>
            <w:r>
              <w:rPr>
                <w:spacing w:val="-2"/>
                <w:sz w:val="20"/>
              </w:rPr>
              <w:t xml:space="preserve">$28.10/day (all vessels) </w:t>
            </w:r>
          </w:p>
        </w:tc>
      </w:tr>
      <w:tr>
        <w:tc>
          <w:tcPr>
            <w:tcW w:w="2737" w:type="dxa"/>
          </w:tcPr>
          <w:p>
            <w:pPr>
              <w:pStyle w:val="yTable"/>
              <w:spacing w:after="20"/>
              <w:rPr>
                <w:spacing w:val="-2"/>
                <w:sz w:val="20"/>
              </w:rPr>
            </w:pPr>
            <w:r>
              <w:rPr>
                <w:b/>
                <w:spacing w:val="-2"/>
                <w:sz w:val="20"/>
              </w:rPr>
              <w:t>Weekly Fee</w:t>
            </w:r>
          </w:p>
        </w:tc>
        <w:tc>
          <w:tcPr>
            <w:tcW w:w="4150" w:type="dxa"/>
          </w:tcPr>
          <w:p>
            <w:pPr>
              <w:pStyle w:val="yTable"/>
              <w:spacing w:after="20"/>
              <w:rPr>
                <w:spacing w:val="-2"/>
                <w:sz w:val="20"/>
              </w:rPr>
            </w:pPr>
            <w:r>
              <w:rPr>
                <w:spacing w:val="-2"/>
                <w:sz w:val="20"/>
              </w:rPr>
              <w:t>$140.50/week (all vessels)</w:t>
            </w:r>
          </w:p>
        </w:tc>
      </w:tr>
      <w:tr>
        <w:tc>
          <w:tcPr>
            <w:tcW w:w="2737" w:type="dxa"/>
          </w:tcPr>
          <w:p>
            <w:pPr>
              <w:pStyle w:val="yTable"/>
              <w:keepNext/>
              <w:keepLines/>
              <w:spacing w:after="20"/>
              <w:rPr>
                <w:spacing w:val="-2"/>
                <w:sz w:val="20"/>
              </w:rPr>
            </w:pPr>
            <w:r>
              <w:rPr>
                <w:b/>
                <w:spacing w:val="-2"/>
                <w:sz w:val="20"/>
              </w:rPr>
              <w:t>Monthly Fee</w:t>
            </w:r>
          </w:p>
        </w:tc>
        <w:tc>
          <w:tcPr>
            <w:tcW w:w="4150" w:type="dxa"/>
          </w:tcPr>
          <w:p>
            <w:pPr>
              <w:pStyle w:val="yTable"/>
              <w:keepNext/>
              <w:keepLines/>
              <w:spacing w:after="20"/>
              <w:rPr>
                <w:spacing w:val="-2"/>
                <w:sz w:val="20"/>
              </w:rPr>
            </w:pPr>
          </w:p>
        </w:tc>
      </w:tr>
      <w:tr>
        <w:tc>
          <w:tcPr>
            <w:tcW w:w="2737" w:type="dxa"/>
          </w:tcPr>
          <w:p>
            <w:pPr>
              <w:pStyle w:val="yTable"/>
              <w:spacing w:after="20"/>
              <w:ind w:left="244"/>
              <w:rPr>
                <w:b/>
                <w:spacing w:val="-2"/>
                <w:sz w:val="20"/>
              </w:rPr>
            </w:pPr>
            <w:r>
              <w:rPr>
                <w:spacing w:val="-2"/>
                <w:sz w:val="20"/>
              </w:rPr>
              <w:t>Catamaran pens with walkways</w:t>
            </w:r>
          </w:p>
        </w:tc>
        <w:tc>
          <w:tcPr>
            <w:tcW w:w="4150" w:type="dxa"/>
          </w:tcPr>
          <w:p>
            <w:pPr>
              <w:pStyle w:val="yTable"/>
              <w:spacing w:after="20"/>
              <w:rPr>
                <w:spacing w:val="-2"/>
                <w:sz w:val="20"/>
              </w:rPr>
            </w:pPr>
            <w:r>
              <w:rPr>
                <w:spacing w:val="-2"/>
                <w:sz w:val="20"/>
              </w:rPr>
              <w:t xml:space="preserve">$101.18/m x length of vessel, per m </w:t>
            </w:r>
            <w:r>
              <w:rPr>
                <w:i/>
                <w:spacing w:val="-2"/>
                <w:sz w:val="20"/>
              </w:rPr>
              <w:t>(subject to a minimum chargeable length relative to the size of the pen, as set out below)</w:t>
            </w:r>
          </w:p>
        </w:tc>
      </w:tr>
      <w:tr>
        <w:tc>
          <w:tcPr>
            <w:tcW w:w="2737" w:type="dxa"/>
            <w:tcBorders>
              <w:bottom w:val="nil"/>
            </w:tcBorders>
          </w:tcPr>
          <w:p>
            <w:pPr>
              <w:pStyle w:val="yTable"/>
              <w:spacing w:after="20"/>
              <w:ind w:left="244"/>
              <w:rPr>
                <w:b/>
                <w:spacing w:val="-2"/>
                <w:sz w:val="20"/>
              </w:rPr>
            </w:pPr>
            <w:r>
              <w:rPr>
                <w:spacing w:val="-2"/>
                <w:sz w:val="20"/>
              </w:rPr>
              <w:t>Other pens with walkways</w:t>
            </w:r>
          </w:p>
        </w:tc>
        <w:tc>
          <w:tcPr>
            <w:tcW w:w="4150" w:type="dxa"/>
            <w:tcBorders>
              <w:bottom w:val="nil"/>
            </w:tcBorders>
          </w:tcPr>
          <w:p>
            <w:pPr>
              <w:pStyle w:val="yTable"/>
              <w:spacing w:after="20"/>
              <w:rPr>
                <w:spacing w:val="-2"/>
                <w:sz w:val="20"/>
              </w:rPr>
            </w:pPr>
            <w:r>
              <w:rPr>
                <w:spacing w:val="-2"/>
                <w:sz w:val="20"/>
              </w:rPr>
              <w:t xml:space="preserve">$69.70/m x length of vessel, per month </w:t>
            </w:r>
            <w:r>
              <w:rPr>
                <w:i/>
                <w:spacing w:val="-2"/>
                <w:sz w:val="20"/>
              </w:rPr>
              <w:t>(subject to a minimum chargeable length relative to the size of the pen, as set out below)</w:t>
            </w:r>
          </w:p>
        </w:tc>
      </w:tr>
      <w:tr>
        <w:tc>
          <w:tcPr>
            <w:tcW w:w="2737" w:type="dxa"/>
            <w:tcBorders>
              <w:bottom w:val="single" w:sz="4" w:space="0" w:color="auto"/>
            </w:tcBorders>
          </w:tcPr>
          <w:p>
            <w:pPr>
              <w:pStyle w:val="yTable"/>
              <w:spacing w:after="20"/>
              <w:ind w:left="244"/>
              <w:rPr>
                <w:b/>
                <w:spacing w:val="-2"/>
                <w:sz w:val="20"/>
              </w:rPr>
            </w:pPr>
            <w:r>
              <w:rPr>
                <w:spacing w:val="-2"/>
                <w:sz w:val="20"/>
              </w:rPr>
              <w:t>Other pens</w:t>
            </w:r>
          </w:p>
        </w:tc>
        <w:tc>
          <w:tcPr>
            <w:tcW w:w="4150" w:type="dxa"/>
            <w:tcBorders>
              <w:bottom w:val="single" w:sz="4" w:space="0" w:color="auto"/>
            </w:tcBorders>
          </w:tcPr>
          <w:p>
            <w:pPr>
              <w:pStyle w:val="yTable"/>
              <w:spacing w:after="20"/>
              <w:rPr>
                <w:spacing w:val="-2"/>
                <w:sz w:val="20"/>
              </w:rPr>
            </w:pPr>
            <w:r>
              <w:rPr>
                <w:spacing w:val="-2"/>
                <w:sz w:val="20"/>
              </w:rPr>
              <w:t xml:space="preserve">$62.96/m x length of vessel, per month </w:t>
            </w:r>
            <w:r>
              <w:rPr>
                <w:i/>
                <w:spacing w:val="-2"/>
                <w:sz w:val="20"/>
              </w:rPr>
              <w:t>(subject to a minimum chargeable length relative to the size of the pen, as set out below)</w:t>
            </w:r>
          </w:p>
        </w:tc>
      </w:tr>
    </w:tbl>
    <w:p>
      <w:pPr>
        <w:pStyle w:val="yTable"/>
      </w:pPr>
    </w:p>
    <w:tbl>
      <w:tblPr>
        <w:tblW w:w="0" w:type="auto"/>
        <w:tblInd w:w="182"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2737"/>
        <w:gridCol w:w="2126"/>
        <w:gridCol w:w="2010"/>
      </w:tblGrid>
      <w:tr>
        <w:trPr>
          <w:cantSplit/>
        </w:trPr>
        <w:tc>
          <w:tcPr>
            <w:tcW w:w="2737" w:type="dxa"/>
            <w:tcBorders>
              <w:top w:val="single" w:sz="4" w:space="0" w:color="auto"/>
              <w:bottom w:val="single" w:sz="4" w:space="0" w:color="auto"/>
            </w:tcBorders>
          </w:tcPr>
          <w:p>
            <w:pPr>
              <w:pStyle w:val="yTable"/>
              <w:spacing w:after="20"/>
              <w:rPr>
                <w:spacing w:val="-2"/>
                <w:sz w:val="20"/>
              </w:rPr>
            </w:pPr>
            <w:r>
              <w:rPr>
                <w:b/>
                <w:spacing w:val="-2"/>
                <w:sz w:val="20"/>
              </w:rPr>
              <w:t>Part Year Fee — 3 months or more paid in advance</w:t>
            </w:r>
          </w:p>
        </w:tc>
        <w:tc>
          <w:tcPr>
            <w:tcW w:w="4136" w:type="dxa"/>
            <w:gridSpan w:val="2"/>
            <w:tcBorders>
              <w:top w:val="single" w:sz="4" w:space="0" w:color="auto"/>
              <w:bottom w:val="single" w:sz="4" w:space="0" w:color="auto"/>
            </w:tcBorders>
          </w:tcPr>
          <w:p>
            <w:pPr>
              <w:pStyle w:val="yTable"/>
              <w:spacing w:after="20"/>
              <w:rPr>
                <w:spacing w:val="-2"/>
                <w:sz w:val="20"/>
              </w:rPr>
            </w:pPr>
          </w:p>
        </w:tc>
      </w:tr>
      <w:tr>
        <w:trPr>
          <w:cantSplit/>
        </w:trPr>
        <w:tc>
          <w:tcPr>
            <w:tcW w:w="2737" w:type="dxa"/>
            <w:tcBorders>
              <w:top w:val="nil"/>
            </w:tcBorders>
          </w:tcPr>
          <w:p>
            <w:pPr>
              <w:pStyle w:val="yTable"/>
              <w:spacing w:after="20"/>
              <w:ind w:left="244"/>
              <w:rPr>
                <w:b/>
                <w:spacing w:val="-2"/>
                <w:sz w:val="20"/>
              </w:rPr>
            </w:pPr>
            <w:r>
              <w:rPr>
                <w:spacing w:val="-2"/>
                <w:sz w:val="20"/>
              </w:rPr>
              <w:t>Catamaran pens with walkways</w:t>
            </w:r>
          </w:p>
        </w:tc>
        <w:tc>
          <w:tcPr>
            <w:tcW w:w="4136" w:type="dxa"/>
            <w:gridSpan w:val="2"/>
            <w:tcBorders>
              <w:top w:val="nil"/>
            </w:tcBorders>
          </w:tcPr>
          <w:p>
            <w:pPr>
              <w:pStyle w:val="yTable"/>
              <w:spacing w:after="20"/>
              <w:rPr>
                <w:spacing w:val="-2"/>
                <w:sz w:val="20"/>
              </w:rPr>
            </w:pPr>
            <w:r>
              <w:rPr>
                <w:spacing w:val="-2"/>
                <w:sz w:val="20"/>
              </w:rPr>
              <w:t xml:space="preserve">$50.59/m x length of vessel, per month </w:t>
            </w:r>
            <w:r>
              <w:rPr>
                <w:i/>
                <w:spacing w:val="-2"/>
                <w:sz w:val="20"/>
              </w:rPr>
              <w:t>(subject to a minimum chargeable length relative to the size of the pen, as set out below)</w:t>
            </w:r>
          </w:p>
        </w:tc>
      </w:tr>
      <w:tr>
        <w:trPr>
          <w:cantSplit/>
        </w:trPr>
        <w:tc>
          <w:tcPr>
            <w:tcW w:w="2737" w:type="dxa"/>
            <w:tcBorders>
              <w:bottom w:val="nil"/>
            </w:tcBorders>
          </w:tcPr>
          <w:p>
            <w:pPr>
              <w:pStyle w:val="yTable"/>
              <w:spacing w:after="20"/>
              <w:ind w:left="244"/>
              <w:rPr>
                <w:b/>
                <w:spacing w:val="-2"/>
                <w:sz w:val="20"/>
              </w:rPr>
            </w:pPr>
            <w:r>
              <w:rPr>
                <w:spacing w:val="-2"/>
                <w:sz w:val="20"/>
              </w:rPr>
              <w:t>Other pens with walkways</w:t>
            </w:r>
          </w:p>
        </w:tc>
        <w:tc>
          <w:tcPr>
            <w:tcW w:w="4136" w:type="dxa"/>
            <w:gridSpan w:val="2"/>
            <w:tcBorders>
              <w:bottom w:val="nil"/>
            </w:tcBorders>
          </w:tcPr>
          <w:p>
            <w:pPr>
              <w:pStyle w:val="yTable"/>
              <w:spacing w:after="20"/>
              <w:rPr>
                <w:spacing w:val="-2"/>
                <w:sz w:val="20"/>
              </w:rPr>
            </w:pPr>
            <w:r>
              <w:rPr>
                <w:spacing w:val="-2"/>
                <w:sz w:val="20"/>
              </w:rPr>
              <w:t xml:space="preserve">$34.85/m x length of vessel, per month </w:t>
            </w:r>
            <w:r>
              <w:rPr>
                <w:i/>
                <w:spacing w:val="-2"/>
                <w:sz w:val="20"/>
              </w:rPr>
              <w:t>(subject to a minimum chargeable length relative to the size of the pen, as set out below)</w:t>
            </w:r>
          </w:p>
        </w:tc>
      </w:tr>
      <w:tr>
        <w:trPr>
          <w:cantSplit/>
        </w:trPr>
        <w:tc>
          <w:tcPr>
            <w:tcW w:w="2737" w:type="dxa"/>
            <w:tcBorders>
              <w:bottom w:val="single" w:sz="4" w:space="0" w:color="auto"/>
            </w:tcBorders>
          </w:tcPr>
          <w:p>
            <w:pPr>
              <w:pStyle w:val="yTable"/>
              <w:spacing w:after="20"/>
              <w:ind w:left="244"/>
              <w:rPr>
                <w:b/>
                <w:spacing w:val="-2"/>
                <w:sz w:val="20"/>
              </w:rPr>
            </w:pPr>
            <w:r>
              <w:rPr>
                <w:spacing w:val="-2"/>
                <w:sz w:val="20"/>
              </w:rPr>
              <w:t>Other pens</w:t>
            </w:r>
          </w:p>
        </w:tc>
        <w:tc>
          <w:tcPr>
            <w:tcW w:w="4136" w:type="dxa"/>
            <w:gridSpan w:val="2"/>
            <w:tcBorders>
              <w:bottom w:val="single" w:sz="4" w:space="0" w:color="auto"/>
            </w:tcBorders>
          </w:tcPr>
          <w:p>
            <w:pPr>
              <w:pStyle w:val="yTable"/>
              <w:spacing w:after="20"/>
              <w:rPr>
                <w:spacing w:val="-2"/>
                <w:sz w:val="20"/>
              </w:rPr>
            </w:pPr>
            <w:r>
              <w:rPr>
                <w:spacing w:val="-2"/>
                <w:sz w:val="20"/>
              </w:rPr>
              <w:t xml:space="preserve">$31.48/m x length of vessel, per month </w:t>
            </w:r>
            <w:r>
              <w:rPr>
                <w:i/>
                <w:spacing w:val="-2"/>
                <w:sz w:val="20"/>
              </w:rPr>
              <w:t>(subject to a minimum chargeable length relative to the size of the pen, as set out below)</w:t>
            </w:r>
          </w:p>
        </w:tc>
      </w:tr>
      <w:tr>
        <w:tc>
          <w:tcPr>
            <w:tcW w:w="2737" w:type="dxa"/>
            <w:tcBorders>
              <w:bottom w:val="single" w:sz="4" w:space="0" w:color="auto"/>
            </w:tcBorders>
          </w:tcPr>
          <w:p>
            <w:pPr>
              <w:pStyle w:val="yTable"/>
              <w:spacing w:after="20"/>
              <w:rPr>
                <w:spacing w:val="-2"/>
                <w:sz w:val="20"/>
              </w:rPr>
            </w:pPr>
            <w:r>
              <w:br w:type="page"/>
            </w:r>
            <w:r>
              <w:rPr>
                <w:b/>
                <w:spacing w:val="-2"/>
                <w:sz w:val="20"/>
              </w:rPr>
              <w:t>‘Live on Board’ Fee</w:t>
            </w:r>
          </w:p>
        </w:tc>
        <w:tc>
          <w:tcPr>
            <w:tcW w:w="4136" w:type="dxa"/>
            <w:gridSpan w:val="2"/>
            <w:tcBorders>
              <w:bottom w:val="single" w:sz="4" w:space="0" w:color="auto"/>
            </w:tcBorders>
          </w:tcPr>
          <w:p>
            <w:pPr>
              <w:pStyle w:val="yTable"/>
              <w:spacing w:after="20"/>
              <w:rPr>
                <w:spacing w:val="-2"/>
                <w:sz w:val="20"/>
              </w:rPr>
            </w:pPr>
            <w:r>
              <w:rPr>
                <w:spacing w:val="-2"/>
                <w:sz w:val="20"/>
              </w:rPr>
              <w:t>$86.26/month per vessel</w:t>
            </w:r>
          </w:p>
        </w:tc>
      </w:tr>
      <w:tr>
        <w:trPr>
          <w:cantSplit/>
        </w:trPr>
        <w:tc>
          <w:tcPr>
            <w:tcW w:w="2737" w:type="dxa"/>
            <w:vMerge w:val="restart"/>
            <w:tcBorders>
              <w:bottom w:val="nil"/>
            </w:tcBorders>
          </w:tcPr>
          <w:p>
            <w:pPr>
              <w:pStyle w:val="yTable"/>
              <w:spacing w:after="20"/>
              <w:rPr>
                <w:i/>
                <w:spacing w:val="-2"/>
                <w:sz w:val="20"/>
              </w:rPr>
            </w:pPr>
            <w:r>
              <w:rPr>
                <w:i/>
                <w:spacing w:val="-2"/>
                <w:sz w:val="20"/>
              </w:rPr>
              <w:t>Minimum chargeable length when calculating a fee for pen of a particular size</w:t>
            </w:r>
          </w:p>
        </w:tc>
        <w:tc>
          <w:tcPr>
            <w:tcW w:w="2126" w:type="dxa"/>
            <w:tcBorders>
              <w:bottom w:val="single" w:sz="4" w:space="0" w:color="auto"/>
            </w:tcBorders>
          </w:tcPr>
          <w:p>
            <w:pPr>
              <w:pStyle w:val="yTable"/>
              <w:spacing w:after="20"/>
              <w:rPr>
                <w:spacing w:val="-2"/>
                <w:sz w:val="20"/>
              </w:rPr>
            </w:pPr>
            <w:r>
              <w:rPr>
                <w:spacing w:val="-2"/>
                <w:sz w:val="20"/>
              </w:rPr>
              <w:t>10 m pen</w:t>
            </w:r>
          </w:p>
        </w:tc>
        <w:tc>
          <w:tcPr>
            <w:tcW w:w="2010" w:type="dxa"/>
            <w:tcBorders>
              <w:bottom w:val="single" w:sz="4" w:space="0" w:color="auto"/>
            </w:tcBorders>
          </w:tcPr>
          <w:p>
            <w:pPr>
              <w:pStyle w:val="yTable"/>
              <w:spacing w:after="20"/>
              <w:rPr>
                <w:spacing w:val="-2"/>
                <w:sz w:val="20"/>
              </w:rPr>
            </w:pPr>
            <w:r>
              <w:rPr>
                <w:spacing w:val="-2"/>
                <w:sz w:val="20"/>
              </w:rPr>
              <w:t>at least 10 m</w:t>
            </w:r>
          </w:p>
        </w:tc>
      </w:tr>
      <w:tr>
        <w:trPr>
          <w:cantSplit/>
        </w:trPr>
        <w:tc>
          <w:tcPr>
            <w:tcW w:w="2737" w:type="dxa"/>
            <w:vMerge/>
            <w:tcBorders>
              <w:top w:val="nil"/>
              <w:bottom w:val="nil"/>
            </w:tcBorders>
          </w:tcPr>
          <w:p>
            <w:pPr>
              <w:pStyle w:val="yTable"/>
              <w:spacing w:after="20"/>
              <w:rPr>
                <w:b/>
                <w:spacing w:val="-2"/>
                <w:sz w:val="20"/>
              </w:rPr>
            </w:pPr>
          </w:p>
        </w:tc>
        <w:tc>
          <w:tcPr>
            <w:tcW w:w="2126" w:type="dxa"/>
            <w:tcBorders>
              <w:top w:val="single" w:sz="4" w:space="0" w:color="auto"/>
              <w:bottom w:val="single" w:sz="4" w:space="0" w:color="auto"/>
            </w:tcBorders>
          </w:tcPr>
          <w:p>
            <w:pPr>
              <w:pStyle w:val="yTable"/>
              <w:spacing w:after="20"/>
              <w:rPr>
                <w:spacing w:val="-2"/>
                <w:sz w:val="20"/>
              </w:rPr>
            </w:pPr>
            <w:r>
              <w:rPr>
                <w:spacing w:val="-2"/>
                <w:sz w:val="20"/>
              </w:rPr>
              <w:t>12 m pen</w:t>
            </w:r>
          </w:p>
        </w:tc>
        <w:tc>
          <w:tcPr>
            <w:tcW w:w="2010" w:type="dxa"/>
            <w:tcBorders>
              <w:top w:val="single" w:sz="4" w:space="0" w:color="auto"/>
              <w:bottom w:val="single" w:sz="4" w:space="0" w:color="auto"/>
            </w:tcBorders>
          </w:tcPr>
          <w:p>
            <w:pPr>
              <w:pStyle w:val="yTable"/>
              <w:spacing w:after="20"/>
              <w:rPr>
                <w:spacing w:val="-2"/>
                <w:sz w:val="20"/>
              </w:rPr>
            </w:pPr>
            <w:r>
              <w:rPr>
                <w:spacing w:val="-2"/>
                <w:sz w:val="20"/>
              </w:rPr>
              <w:t>at least 12 m</w:t>
            </w:r>
          </w:p>
        </w:tc>
      </w:tr>
      <w:tr>
        <w:trPr>
          <w:cantSplit/>
        </w:trPr>
        <w:tc>
          <w:tcPr>
            <w:tcW w:w="2737" w:type="dxa"/>
            <w:vMerge/>
            <w:tcBorders>
              <w:top w:val="nil"/>
              <w:bottom w:val="single" w:sz="4" w:space="0" w:color="auto"/>
            </w:tcBorders>
          </w:tcPr>
          <w:p>
            <w:pPr>
              <w:pStyle w:val="yTable"/>
              <w:spacing w:after="20"/>
              <w:rPr>
                <w:b/>
                <w:spacing w:val="-2"/>
                <w:sz w:val="20"/>
              </w:rPr>
            </w:pPr>
          </w:p>
        </w:tc>
        <w:tc>
          <w:tcPr>
            <w:tcW w:w="2126" w:type="dxa"/>
            <w:tcBorders>
              <w:top w:val="single" w:sz="4" w:space="0" w:color="auto"/>
              <w:bottom w:val="single" w:sz="4" w:space="0" w:color="auto"/>
            </w:tcBorders>
          </w:tcPr>
          <w:p>
            <w:pPr>
              <w:pStyle w:val="yTable"/>
              <w:spacing w:after="20"/>
              <w:rPr>
                <w:spacing w:val="-2"/>
                <w:sz w:val="20"/>
              </w:rPr>
            </w:pPr>
            <w:r>
              <w:rPr>
                <w:spacing w:val="-2"/>
                <w:sz w:val="20"/>
              </w:rPr>
              <w:t>20 m pen</w:t>
            </w:r>
          </w:p>
        </w:tc>
        <w:tc>
          <w:tcPr>
            <w:tcW w:w="2010" w:type="dxa"/>
            <w:tcBorders>
              <w:top w:val="single" w:sz="4" w:space="0" w:color="auto"/>
              <w:bottom w:val="single" w:sz="4" w:space="0" w:color="auto"/>
            </w:tcBorders>
          </w:tcPr>
          <w:p>
            <w:pPr>
              <w:pStyle w:val="yTable"/>
              <w:spacing w:after="20"/>
              <w:rPr>
                <w:spacing w:val="-2"/>
                <w:sz w:val="20"/>
              </w:rPr>
            </w:pPr>
            <w:r>
              <w:rPr>
                <w:spacing w:val="-2"/>
                <w:sz w:val="20"/>
              </w:rPr>
              <w:t>at least 20 m</w:t>
            </w:r>
          </w:p>
        </w:tc>
      </w:tr>
    </w:tbl>
    <w:p>
      <w:pPr>
        <w:pStyle w:val="yFootnotesection"/>
      </w:pPr>
      <w:r>
        <w:tab/>
        <w:t>[Division 2 inserted in Gazette 24 Jun 2005 p. 2826-8.]</w:t>
      </w:r>
    </w:p>
    <w:p>
      <w:pPr>
        <w:pStyle w:val="yScheduleHeading"/>
      </w:pPr>
      <w:bookmarkStart w:id="689" w:name="_Toc170210272"/>
      <w:bookmarkEnd w:id="682"/>
      <w:r>
        <w:rPr>
          <w:rStyle w:val="CharSchNo"/>
        </w:rPr>
        <w:t>Schedule 3</w:t>
      </w:r>
      <w:r>
        <w:t> — </w:t>
      </w:r>
      <w:r>
        <w:rPr>
          <w:rStyle w:val="CharSchText"/>
        </w:rPr>
        <w:t>Forms</w:t>
      </w:r>
      <w:bookmarkEnd w:id="689"/>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r>
        <w:t>Western Australia</w:t>
      </w:r>
    </w:p>
    <w:p>
      <w:pPr>
        <w:pStyle w:val="yTable"/>
        <w:jc w:val="center"/>
      </w:pPr>
      <w:r>
        <w:t>Department of Marine and Harbours</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3</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[Form 3 inserted in Gazette 6 Jul 1984 p. 2029.]</w:t>
      </w:r>
    </w:p>
    <w:p>
      <w:pPr>
        <w:pStyle w:val="yScheduleHeading"/>
        <w:rPr>
          <w:rStyle w:val="CharSchNo"/>
        </w:rPr>
      </w:pPr>
      <w:bookmarkStart w:id="690" w:name="_Toc170210273"/>
      <w:r>
        <w:rPr>
          <w:rStyle w:val="CharSchNo"/>
        </w:rPr>
        <w:t>Schedule 4</w:t>
      </w:r>
      <w:bookmarkEnd w:id="690"/>
    </w:p>
    <w:p>
      <w:pPr>
        <w:pStyle w:val="yFootnoteheading"/>
      </w:pPr>
      <w:r>
        <w:tab/>
        <w:t>[Heading inserted in Gazette 24 Jun 2005 p. 2829.]</w:t>
      </w:r>
    </w:p>
    <w:p>
      <w:pPr>
        <w:pStyle w:val="yHeading3"/>
      </w:pPr>
      <w:bookmarkStart w:id="691" w:name="_Toc170210274"/>
      <w:r>
        <w:rPr>
          <w:rStyle w:val="CharSDivNo"/>
        </w:rPr>
        <w:t>Division 1</w:t>
      </w:r>
      <w:r>
        <w:rPr>
          <w:b w:val="0"/>
        </w:rPr>
        <w:t> — </w:t>
      </w:r>
      <w:r>
        <w:rPr>
          <w:rStyle w:val="CharSDivText"/>
        </w:rPr>
        <w:t>Pen and berthage fees</w:t>
      </w:r>
      <w:r>
        <w:rPr>
          <w:rStyle w:val="CharSDivText"/>
        </w:rPr>
        <w:br/>
        <w:t>(other than Port of Perth)</w:t>
      </w:r>
      <w:bookmarkEnd w:id="691"/>
    </w:p>
    <w:p>
      <w:pPr>
        <w:pStyle w:val="yShoulderClause"/>
      </w:pPr>
      <w:r>
        <w:t>[r. 94A]</w:t>
      </w:r>
    </w:p>
    <w:p>
      <w:pPr>
        <w:pStyle w:val="yFootnoteheading"/>
      </w:pPr>
      <w:r>
        <w:tab/>
        <w:t>[Heading inserted in Gazette 24 Jun 2005 p. 2829.]</w:t>
      </w:r>
    </w:p>
    <w:p>
      <w:pPr>
        <w:pStyle w:val="yNumberedItem"/>
      </w:pPr>
      <w:r>
        <w:t>Note:</w:t>
      </w:r>
      <w:r>
        <w:tab/>
        <w:t>All Daily Casual Fees are charged per 24 hours or part of a day.</w:t>
      </w:r>
    </w:p>
    <w:p>
      <w:pPr>
        <w:pStyle w:val="yHeading4"/>
      </w:pPr>
      <w:bookmarkStart w:id="692" w:name="_Toc170210275"/>
      <w:r>
        <w:t>Subdivision 1</w:t>
      </w:r>
      <w:r>
        <w:rPr>
          <w:b w:val="0"/>
        </w:rPr>
        <w:t> — </w:t>
      </w:r>
      <w:r>
        <w:t>Augusta</w:t>
      </w:r>
      <w:bookmarkEnd w:id="692"/>
    </w:p>
    <w:p>
      <w:pPr>
        <w:pStyle w:val="yFootnoteheading"/>
      </w:pPr>
      <w:r>
        <w:tab/>
        <w:t>[Heading inserted in Gazette 24 Jun 2005 p. 2829.]</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56"/>
        <w:gridCol w:w="3745"/>
      </w:tblGrid>
      <w:tr>
        <w:tc>
          <w:tcPr>
            <w:tcW w:w="3156" w:type="dxa"/>
          </w:tcPr>
          <w:p>
            <w:pPr>
              <w:pStyle w:val="yTable"/>
              <w:spacing w:after="40"/>
              <w:rPr>
                <w:spacing w:val="-2"/>
                <w:sz w:val="20"/>
              </w:rPr>
            </w:pPr>
            <w:r>
              <w:rPr>
                <w:b/>
              </w:rPr>
              <w:t>Shared use of jetty</w:t>
            </w:r>
          </w:p>
        </w:tc>
        <w:tc>
          <w:tcPr>
            <w:tcW w:w="3745" w:type="dxa"/>
          </w:tcPr>
          <w:p>
            <w:pPr>
              <w:pStyle w:val="yTable"/>
              <w:spacing w:after="40"/>
              <w:rPr>
                <w:spacing w:val="-2"/>
                <w:sz w:val="20"/>
              </w:rPr>
            </w:pPr>
          </w:p>
        </w:tc>
      </w:tr>
      <w:tr>
        <w:tc>
          <w:tcPr>
            <w:tcW w:w="3156" w:type="dxa"/>
            <w:tcBorders>
              <w:bottom w:val="nil"/>
            </w:tcBorders>
          </w:tcPr>
          <w:p>
            <w:pPr>
              <w:pStyle w:val="yTable"/>
              <w:spacing w:after="40"/>
              <w:ind w:left="244"/>
              <w:rPr>
                <w:spacing w:val="-2"/>
                <w:sz w:val="20"/>
              </w:rPr>
            </w:pPr>
            <w:r>
              <w:rPr>
                <w:spacing w:val="-2"/>
                <w:sz w:val="20"/>
              </w:rPr>
              <w:t>Annual Fee</w:t>
            </w:r>
          </w:p>
        </w:tc>
        <w:tc>
          <w:tcPr>
            <w:tcW w:w="3745" w:type="dxa"/>
            <w:tcBorders>
              <w:bottom w:val="nil"/>
            </w:tcBorders>
          </w:tcPr>
          <w:p>
            <w:pPr>
              <w:pStyle w:val="yTable"/>
              <w:spacing w:after="40"/>
              <w:rPr>
                <w:spacing w:val="-2"/>
                <w:sz w:val="20"/>
              </w:rPr>
            </w:pPr>
            <w:r>
              <w:rPr>
                <w:spacing w:val="-2"/>
                <w:sz w:val="20"/>
              </w:rPr>
              <w:t>$592.86</w:t>
            </w:r>
          </w:p>
        </w:tc>
      </w:tr>
      <w:tr>
        <w:tc>
          <w:tcPr>
            <w:tcW w:w="3156" w:type="dxa"/>
            <w:tcBorders>
              <w:bottom w:val="single" w:sz="4" w:space="0" w:color="auto"/>
            </w:tcBorders>
          </w:tcPr>
          <w:p>
            <w:pPr>
              <w:pStyle w:val="yTable"/>
              <w:spacing w:after="40"/>
              <w:ind w:left="244"/>
              <w:rPr>
                <w:spacing w:val="-2"/>
                <w:sz w:val="20"/>
              </w:rPr>
            </w:pPr>
            <w:r>
              <w:rPr>
                <w:spacing w:val="-2"/>
                <w:sz w:val="20"/>
              </w:rPr>
              <w:t>Daily Casual Fee</w:t>
            </w:r>
          </w:p>
        </w:tc>
        <w:tc>
          <w:tcPr>
            <w:tcW w:w="3745" w:type="dxa"/>
            <w:tcBorders>
              <w:bottom w:val="single" w:sz="4" w:space="0" w:color="auto"/>
            </w:tcBorders>
          </w:tcPr>
          <w:p>
            <w:pPr>
              <w:pStyle w:val="yTable"/>
              <w:spacing w:after="40"/>
              <w:rPr>
                <w:spacing w:val="-2"/>
                <w:sz w:val="20"/>
              </w:rPr>
            </w:pPr>
            <w:r>
              <w:rPr>
                <w:spacing w:val="-2"/>
                <w:sz w:val="20"/>
              </w:rPr>
              <w:t>$3.55/m x length of vessel</w:t>
            </w:r>
          </w:p>
        </w:tc>
      </w:tr>
    </w:tbl>
    <w:p>
      <w:pPr>
        <w:pStyle w:val="yHeading4"/>
      </w:pPr>
      <w:bookmarkStart w:id="693" w:name="_Toc170210276"/>
      <w:r>
        <w:t>Subdivision 2</w:t>
      </w:r>
      <w:r>
        <w:rPr>
          <w:b w:val="0"/>
        </w:rPr>
        <w:t> — </w:t>
      </w:r>
      <w:r>
        <w:t>Bandy Creek Boat Harbour (Esperance)</w:t>
      </w:r>
      <w:bookmarkEnd w:id="693"/>
    </w:p>
    <w:p>
      <w:pPr>
        <w:pStyle w:val="yFootnoteheading"/>
      </w:pPr>
      <w:r>
        <w:tab/>
        <w:t>[Heading inserted in Gazette 24 Jun 2005 p. 2829.]</w:t>
      </w:r>
    </w:p>
    <w:tbl>
      <w:tblPr>
        <w:tblW w:w="0" w:type="auto"/>
        <w:tblInd w:w="196" w:type="dxa"/>
        <w:tblBorders>
          <w:left w:val="single" w:sz="4" w:space="0" w:color="auto"/>
          <w:bottom w:val="double" w:sz="2"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49"/>
        <w:gridCol w:w="3752"/>
      </w:tblGrid>
      <w:tr>
        <w:tc>
          <w:tcPr>
            <w:tcW w:w="3149" w:type="dxa"/>
            <w:tcBorders>
              <w:top w:val="single" w:sz="4" w:space="0" w:color="auto"/>
              <w:bottom w:val="nil"/>
            </w:tcBorders>
          </w:tcPr>
          <w:p>
            <w:pPr>
              <w:pStyle w:val="yTable"/>
              <w:tabs>
                <w:tab w:val="left" w:pos="342"/>
              </w:tabs>
              <w:spacing w:after="40"/>
              <w:ind w:left="342" w:hanging="342"/>
              <w:rPr>
                <w:spacing w:val="-2"/>
                <w:sz w:val="20"/>
              </w:rPr>
            </w:pPr>
            <w:r>
              <w:rPr>
                <w:b/>
                <w:spacing w:val="-2"/>
                <w:sz w:val="20"/>
              </w:rPr>
              <w:t>Fees for Serviced Pens</w:t>
            </w:r>
          </w:p>
        </w:tc>
        <w:tc>
          <w:tcPr>
            <w:tcW w:w="3752" w:type="dxa"/>
            <w:tcBorders>
              <w:top w:val="single" w:sz="4" w:space="0" w:color="auto"/>
              <w:bottom w:val="nil"/>
              <w:right w:val="single" w:sz="4" w:space="0" w:color="auto"/>
            </w:tcBorders>
          </w:tcPr>
          <w:p>
            <w:pPr>
              <w:pStyle w:val="yTable"/>
              <w:spacing w:after="40"/>
              <w:rPr>
                <w:spacing w:val="-2"/>
                <w:sz w:val="20"/>
              </w:rPr>
            </w:pPr>
          </w:p>
        </w:tc>
      </w:tr>
      <w:tr>
        <w:tc>
          <w:tcPr>
            <w:tcW w:w="3149" w:type="dxa"/>
            <w:tcBorders>
              <w:top w:val="single" w:sz="4" w:space="0" w:color="auto"/>
              <w:bottom w:val="single" w:sz="4" w:space="0" w:color="auto"/>
            </w:tcBorders>
          </w:tcPr>
          <w:p>
            <w:pPr>
              <w:pStyle w:val="yTable"/>
              <w:tabs>
                <w:tab w:val="left" w:pos="342"/>
              </w:tabs>
              <w:spacing w:after="40"/>
              <w:ind w:left="342" w:hanging="342"/>
              <w:rPr>
                <w:b/>
                <w:spacing w:val="-2"/>
                <w:sz w:val="20"/>
              </w:rPr>
            </w:pPr>
            <w:r>
              <w:rPr>
                <w:b/>
                <w:spacing w:val="-2"/>
                <w:sz w:val="20"/>
              </w:rPr>
              <w:t xml:space="preserve">Annual Fee </w:t>
            </w:r>
            <w:r>
              <w:rPr>
                <w:spacing w:val="-2"/>
                <w:sz w:val="20"/>
              </w:rPr>
              <w:t>(paid annually)</w:t>
            </w:r>
          </w:p>
        </w:tc>
        <w:tc>
          <w:tcPr>
            <w:tcW w:w="3752" w:type="dxa"/>
            <w:tcBorders>
              <w:top w:val="single" w:sz="4" w:space="0" w:color="auto"/>
              <w:bottom w:val="single" w:sz="4" w:space="0" w:color="auto"/>
              <w:right w:val="single" w:sz="4" w:space="0" w:color="auto"/>
            </w:tcBorders>
          </w:tcPr>
          <w:p>
            <w:pPr>
              <w:pStyle w:val="yTable"/>
              <w:spacing w:after="40"/>
              <w:rPr>
                <w:spacing w:val="-2"/>
                <w:sz w:val="20"/>
              </w:rPr>
            </w:pPr>
            <w:r>
              <w:rPr>
                <w:spacing w:val="-2"/>
                <w:sz w:val="20"/>
              </w:rPr>
              <w:t>$214.95/m x length of vessel</w:t>
            </w:r>
          </w:p>
        </w:tc>
      </w:tr>
      <w:tr>
        <w:trPr>
          <w:cantSplit/>
        </w:trPr>
        <w:tc>
          <w:tcPr>
            <w:tcW w:w="3149" w:type="dxa"/>
            <w:tcBorders>
              <w:top w:val="single" w:sz="4" w:space="0" w:color="auto"/>
              <w:bottom w:val="single" w:sz="4" w:space="0" w:color="auto"/>
            </w:tcBorders>
          </w:tcPr>
          <w:p>
            <w:pPr>
              <w:pStyle w:val="yTable"/>
              <w:tabs>
                <w:tab w:val="left" w:pos="0"/>
              </w:tabs>
              <w:spacing w:after="40"/>
              <w:rPr>
                <w:spacing w:val="-2"/>
                <w:sz w:val="20"/>
              </w:rPr>
            </w:pPr>
            <w:r>
              <w:rPr>
                <w:b/>
                <w:spacing w:val="-2"/>
                <w:sz w:val="20"/>
              </w:rPr>
              <w:t>Part Year Fee — 3 months or more paid in advance</w:t>
            </w:r>
          </w:p>
        </w:tc>
        <w:tc>
          <w:tcPr>
            <w:tcW w:w="3752" w:type="dxa"/>
            <w:tcBorders>
              <w:top w:val="single" w:sz="4" w:space="0" w:color="auto"/>
              <w:bottom w:val="single" w:sz="4" w:space="0" w:color="auto"/>
              <w:right w:val="single" w:sz="4" w:space="0" w:color="auto"/>
            </w:tcBorders>
          </w:tcPr>
          <w:p>
            <w:pPr>
              <w:pStyle w:val="yTable"/>
              <w:spacing w:after="40"/>
              <w:rPr>
                <w:spacing w:val="-2"/>
                <w:sz w:val="20"/>
              </w:rPr>
            </w:pPr>
            <w:r>
              <w:rPr>
                <w:spacing w:val="-2"/>
                <w:sz w:val="20"/>
              </w:rPr>
              <w:br/>
              <w:t>$21.49/m x length of vessel, per month</w:t>
            </w:r>
          </w:p>
        </w:tc>
      </w:tr>
      <w:tr>
        <w:trPr>
          <w:cantSplit/>
        </w:trPr>
        <w:tc>
          <w:tcPr>
            <w:tcW w:w="3149" w:type="dxa"/>
            <w:tcBorders>
              <w:top w:val="single" w:sz="4" w:space="0" w:color="auto"/>
              <w:bottom w:val="single" w:sz="4" w:space="0" w:color="auto"/>
            </w:tcBorders>
          </w:tcPr>
          <w:p>
            <w:pPr>
              <w:pStyle w:val="yTable"/>
              <w:tabs>
                <w:tab w:val="left" w:pos="342"/>
              </w:tabs>
              <w:spacing w:after="40"/>
              <w:ind w:left="340" w:hanging="340"/>
              <w:rPr>
                <w:spacing w:val="-2"/>
                <w:sz w:val="20"/>
              </w:rPr>
            </w:pPr>
            <w:r>
              <w:rPr>
                <w:b/>
                <w:spacing w:val="-2"/>
                <w:sz w:val="20"/>
              </w:rPr>
              <w:t>Monthly Fee</w:t>
            </w:r>
          </w:p>
        </w:tc>
        <w:tc>
          <w:tcPr>
            <w:tcW w:w="3752" w:type="dxa"/>
            <w:tcBorders>
              <w:top w:val="single" w:sz="4" w:space="0" w:color="auto"/>
              <w:bottom w:val="single" w:sz="4" w:space="0" w:color="auto"/>
              <w:right w:val="single" w:sz="4" w:space="0" w:color="auto"/>
            </w:tcBorders>
          </w:tcPr>
          <w:p>
            <w:pPr>
              <w:pStyle w:val="yTable"/>
              <w:spacing w:after="40"/>
              <w:rPr>
                <w:spacing w:val="-2"/>
                <w:sz w:val="20"/>
              </w:rPr>
            </w:pPr>
            <w:r>
              <w:rPr>
                <w:spacing w:val="-2"/>
                <w:sz w:val="20"/>
              </w:rPr>
              <w:t>$42.99/m x length of vessel, per month</w:t>
            </w:r>
          </w:p>
        </w:tc>
      </w:tr>
      <w:tr>
        <w:trPr>
          <w:cantSplit/>
        </w:trPr>
        <w:tc>
          <w:tcPr>
            <w:tcW w:w="3149" w:type="dxa"/>
            <w:tcBorders>
              <w:top w:val="single" w:sz="4" w:space="0" w:color="auto"/>
              <w:bottom w:val="single" w:sz="4" w:space="0" w:color="auto"/>
            </w:tcBorders>
          </w:tcPr>
          <w:p>
            <w:pPr>
              <w:pStyle w:val="yTable"/>
              <w:tabs>
                <w:tab w:val="left" w:pos="342"/>
              </w:tabs>
              <w:spacing w:after="40"/>
              <w:ind w:left="340" w:hanging="340"/>
              <w:rPr>
                <w:spacing w:val="-2"/>
                <w:sz w:val="20"/>
              </w:rPr>
            </w:pPr>
            <w:r>
              <w:rPr>
                <w:b/>
                <w:spacing w:val="-2"/>
                <w:sz w:val="20"/>
              </w:rPr>
              <w:t>Weekly Fee</w:t>
            </w:r>
          </w:p>
        </w:tc>
        <w:tc>
          <w:tcPr>
            <w:tcW w:w="3752" w:type="dxa"/>
            <w:tcBorders>
              <w:top w:val="single" w:sz="4" w:space="0" w:color="auto"/>
              <w:bottom w:val="single" w:sz="4" w:space="0" w:color="auto"/>
              <w:right w:val="single" w:sz="4" w:space="0" w:color="auto"/>
            </w:tcBorders>
          </w:tcPr>
          <w:p>
            <w:pPr>
              <w:pStyle w:val="yTable"/>
              <w:spacing w:after="40"/>
              <w:rPr>
                <w:spacing w:val="-2"/>
                <w:sz w:val="20"/>
              </w:rPr>
            </w:pPr>
            <w:r>
              <w:rPr>
                <w:spacing w:val="-2"/>
                <w:sz w:val="20"/>
              </w:rPr>
              <w:t>$30.50/m x length of vessel, per week</w:t>
            </w:r>
          </w:p>
        </w:tc>
      </w:tr>
      <w:tr>
        <w:trPr>
          <w:cantSplit/>
          <w:trHeight w:val="362"/>
        </w:trPr>
        <w:tc>
          <w:tcPr>
            <w:tcW w:w="3149" w:type="dxa"/>
            <w:tcBorders>
              <w:top w:val="single" w:sz="4" w:space="0" w:color="auto"/>
            </w:tcBorders>
          </w:tcPr>
          <w:p>
            <w:pPr>
              <w:pStyle w:val="yTable"/>
              <w:tabs>
                <w:tab w:val="left" w:pos="342"/>
              </w:tabs>
              <w:spacing w:after="40"/>
              <w:ind w:left="340" w:hanging="340"/>
              <w:rPr>
                <w:spacing w:val="-2"/>
                <w:sz w:val="20"/>
              </w:rPr>
            </w:pPr>
            <w:r>
              <w:rPr>
                <w:b/>
                <w:spacing w:val="-2"/>
                <w:sz w:val="20"/>
              </w:rPr>
              <w:t>Daily Casual Fee</w:t>
            </w:r>
          </w:p>
        </w:tc>
        <w:tc>
          <w:tcPr>
            <w:tcW w:w="3752" w:type="dxa"/>
            <w:tcBorders>
              <w:top w:val="single" w:sz="4" w:space="0" w:color="auto"/>
              <w:bottom w:val="nil"/>
              <w:right w:val="single" w:sz="4" w:space="0" w:color="auto"/>
            </w:tcBorders>
          </w:tcPr>
          <w:p>
            <w:pPr>
              <w:pStyle w:val="yTable"/>
              <w:spacing w:after="40"/>
              <w:rPr>
                <w:spacing w:val="-2"/>
                <w:sz w:val="20"/>
              </w:rPr>
            </w:pPr>
            <w:r>
              <w:rPr>
                <w:spacing w:val="-2"/>
                <w:sz w:val="20"/>
              </w:rPr>
              <w:t>$6.10/m x length of vessel, per day</w:t>
            </w:r>
          </w:p>
        </w:tc>
      </w:tr>
      <w:tr>
        <w:tc>
          <w:tcPr>
            <w:tcW w:w="3149" w:type="dxa"/>
            <w:tcBorders>
              <w:top w:val="single" w:sz="4" w:space="0" w:color="auto"/>
              <w:bottom w:val="nil"/>
            </w:tcBorders>
          </w:tcPr>
          <w:p>
            <w:pPr>
              <w:pStyle w:val="yTable"/>
              <w:tabs>
                <w:tab w:val="left" w:pos="342"/>
              </w:tabs>
              <w:spacing w:after="40"/>
              <w:ind w:left="342" w:hanging="342"/>
              <w:rPr>
                <w:spacing w:val="-2"/>
                <w:sz w:val="20"/>
              </w:rPr>
            </w:pPr>
            <w:r>
              <w:rPr>
                <w:b/>
                <w:spacing w:val="-2"/>
                <w:sz w:val="20"/>
              </w:rPr>
              <w:t>Fees for Partially Serviced Pens</w:t>
            </w:r>
          </w:p>
        </w:tc>
        <w:tc>
          <w:tcPr>
            <w:tcW w:w="3752" w:type="dxa"/>
            <w:tcBorders>
              <w:top w:val="single" w:sz="4" w:space="0" w:color="auto"/>
              <w:bottom w:val="nil"/>
              <w:right w:val="single" w:sz="4" w:space="0" w:color="auto"/>
            </w:tcBorders>
          </w:tcPr>
          <w:p>
            <w:pPr>
              <w:pStyle w:val="yTable"/>
              <w:spacing w:after="40"/>
              <w:rPr>
                <w:spacing w:val="-2"/>
                <w:sz w:val="20"/>
              </w:rPr>
            </w:pPr>
          </w:p>
        </w:tc>
      </w:tr>
      <w:tr>
        <w:trPr>
          <w:cantSplit/>
        </w:trPr>
        <w:tc>
          <w:tcPr>
            <w:tcW w:w="3149" w:type="dxa"/>
            <w:tcBorders>
              <w:top w:val="single" w:sz="4" w:space="0" w:color="auto"/>
              <w:bottom w:val="single" w:sz="4" w:space="0" w:color="auto"/>
            </w:tcBorders>
          </w:tcPr>
          <w:p>
            <w:pPr>
              <w:pStyle w:val="yTable"/>
              <w:tabs>
                <w:tab w:val="left" w:pos="342"/>
              </w:tabs>
              <w:spacing w:after="40"/>
              <w:ind w:left="340" w:hanging="340"/>
              <w:rPr>
                <w:spacing w:val="-2"/>
                <w:sz w:val="20"/>
              </w:rPr>
            </w:pPr>
            <w:r>
              <w:rPr>
                <w:b/>
                <w:spacing w:val="-2"/>
                <w:sz w:val="20"/>
              </w:rPr>
              <w:t>Annual Fee</w:t>
            </w:r>
          </w:p>
          <w:p>
            <w:pPr>
              <w:pStyle w:val="yTable"/>
              <w:tabs>
                <w:tab w:val="left" w:pos="0"/>
              </w:tabs>
              <w:spacing w:after="40"/>
              <w:rPr>
                <w:spacing w:val="-2"/>
                <w:sz w:val="20"/>
              </w:rPr>
            </w:pPr>
            <w:r>
              <w:rPr>
                <w:spacing w:val="-2"/>
                <w:sz w:val="20"/>
              </w:rPr>
              <w:t>(Partially serviced pens </w:t>
            </w:r>
            <w:r>
              <w:rPr>
                <w:b/>
                <w:i/>
                <w:snapToGrid w:val="0"/>
                <w:sz w:val="20"/>
              </w:rPr>
              <w:t>— </w:t>
            </w:r>
            <w:r>
              <w:rPr>
                <w:spacing w:val="-2"/>
                <w:sz w:val="20"/>
              </w:rPr>
              <w:t>paid annually)</w:t>
            </w:r>
          </w:p>
          <w:p>
            <w:pPr>
              <w:pStyle w:val="yTable"/>
              <w:spacing w:after="60"/>
              <w:ind w:left="230" w:hanging="230"/>
              <w:rPr>
                <w:spacing w:val="-2"/>
                <w:sz w:val="20"/>
              </w:rPr>
            </w:pPr>
            <w:r>
              <w:rPr>
                <w:spacing w:val="-2"/>
                <w:sz w:val="20"/>
              </w:rPr>
              <w:tab/>
              <w:t>Recreational vessel</w:t>
            </w:r>
          </w:p>
          <w:p>
            <w:pPr>
              <w:pStyle w:val="yTable"/>
              <w:spacing w:after="40"/>
              <w:ind w:left="230" w:hanging="230"/>
              <w:rPr>
                <w:spacing w:val="-2"/>
                <w:sz w:val="20"/>
              </w:rPr>
            </w:pPr>
            <w:r>
              <w:rPr>
                <w:spacing w:val="-2"/>
                <w:sz w:val="20"/>
              </w:rPr>
              <w:tab/>
              <w:t>Commercial vessel</w:t>
            </w:r>
          </w:p>
        </w:tc>
        <w:tc>
          <w:tcPr>
            <w:tcW w:w="3752" w:type="dxa"/>
            <w:tcBorders>
              <w:top w:val="single" w:sz="4" w:space="0" w:color="auto"/>
              <w:bottom w:val="single" w:sz="4" w:space="0" w:color="auto"/>
              <w:right w:val="single" w:sz="4" w:space="0" w:color="auto"/>
            </w:tcBorders>
          </w:tcPr>
          <w:p>
            <w:pPr>
              <w:pStyle w:val="yTable"/>
              <w:spacing w:before="20" w:after="60"/>
              <w:rPr>
                <w:spacing w:val="-2"/>
                <w:sz w:val="20"/>
              </w:rPr>
            </w:pPr>
            <w:r>
              <w:rPr>
                <w:spacing w:val="-2"/>
                <w:sz w:val="20"/>
              </w:rPr>
              <w:br/>
            </w:r>
            <w:r>
              <w:rPr>
                <w:spacing w:val="-2"/>
                <w:sz w:val="20"/>
              </w:rPr>
              <w:br/>
            </w:r>
            <w:r>
              <w:rPr>
                <w:spacing w:val="-2"/>
                <w:sz w:val="20"/>
              </w:rPr>
              <w:br/>
            </w:r>
            <w:r>
              <w:rPr>
                <w:spacing w:val="-2"/>
                <w:sz w:val="20"/>
              </w:rPr>
              <w:br/>
              <w:t>$150.22/m x length of vessel</w:t>
            </w:r>
          </w:p>
          <w:p>
            <w:pPr>
              <w:pStyle w:val="yTable"/>
              <w:spacing w:after="40"/>
              <w:rPr>
                <w:spacing w:val="-2"/>
                <w:sz w:val="20"/>
              </w:rPr>
            </w:pPr>
            <w:r>
              <w:rPr>
                <w:spacing w:val="-2"/>
                <w:sz w:val="20"/>
              </w:rPr>
              <w:t>$172.20/m x length of vessel</w:t>
            </w:r>
          </w:p>
        </w:tc>
      </w:tr>
      <w:tr>
        <w:trPr>
          <w:cantSplit/>
        </w:trPr>
        <w:tc>
          <w:tcPr>
            <w:tcW w:w="3149" w:type="dxa"/>
            <w:tcBorders>
              <w:top w:val="single" w:sz="4" w:space="0" w:color="auto"/>
              <w:bottom w:val="single" w:sz="4" w:space="0" w:color="auto"/>
            </w:tcBorders>
          </w:tcPr>
          <w:p>
            <w:pPr>
              <w:pStyle w:val="yTable"/>
              <w:tabs>
                <w:tab w:val="left" w:pos="342"/>
              </w:tabs>
              <w:spacing w:after="40"/>
              <w:rPr>
                <w:spacing w:val="-2"/>
                <w:sz w:val="20"/>
              </w:rPr>
            </w:pPr>
            <w:r>
              <w:rPr>
                <w:b/>
                <w:spacing w:val="-2"/>
                <w:sz w:val="20"/>
              </w:rPr>
              <w:t>Part Year Fee — 3 months or more paid in advance</w:t>
            </w:r>
          </w:p>
          <w:p>
            <w:pPr>
              <w:pStyle w:val="yTable"/>
              <w:spacing w:after="40"/>
              <w:ind w:left="230" w:hanging="230"/>
              <w:rPr>
                <w:spacing w:val="-2"/>
                <w:sz w:val="20"/>
              </w:rPr>
            </w:pPr>
            <w:r>
              <w:rPr>
                <w:spacing w:val="-2"/>
                <w:sz w:val="20"/>
              </w:rPr>
              <w:tab/>
              <w:t>Recreational vessel</w:t>
            </w:r>
          </w:p>
          <w:p>
            <w:pPr>
              <w:pStyle w:val="yTable"/>
              <w:spacing w:after="40"/>
              <w:ind w:left="230" w:hanging="230"/>
              <w:rPr>
                <w:b/>
                <w:spacing w:val="-2"/>
                <w:sz w:val="20"/>
              </w:rPr>
            </w:pPr>
            <w:r>
              <w:rPr>
                <w:spacing w:val="-2"/>
                <w:sz w:val="20"/>
              </w:rPr>
              <w:tab/>
              <w:t>Commercial vessel</w:t>
            </w:r>
          </w:p>
        </w:tc>
        <w:tc>
          <w:tcPr>
            <w:tcW w:w="3752" w:type="dxa"/>
            <w:tcBorders>
              <w:top w:val="single" w:sz="4" w:space="0" w:color="auto"/>
              <w:bottom w:val="single" w:sz="4" w:space="0" w:color="auto"/>
              <w:right w:val="single" w:sz="4" w:space="0" w:color="auto"/>
            </w:tcBorders>
          </w:tcPr>
          <w:p>
            <w:pPr>
              <w:pStyle w:val="yTable"/>
              <w:spacing w:before="0" w:after="40"/>
              <w:rPr>
                <w:spacing w:val="-2"/>
                <w:sz w:val="20"/>
              </w:rPr>
            </w:pPr>
          </w:p>
          <w:p>
            <w:pPr>
              <w:pStyle w:val="yTable"/>
              <w:spacing w:before="0" w:after="40"/>
              <w:rPr>
                <w:spacing w:val="-2"/>
                <w:sz w:val="20"/>
              </w:rPr>
            </w:pPr>
          </w:p>
          <w:p>
            <w:pPr>
              <w:pStyle w:val="yTable"/>
              <w:spacing w:after="40"/>
              <w:rPr>
                <w:spacing w:val="-2"/>
                <w:sz w:val="20"/>
              </w:rPr>
            </w:pPr>
            <w:r>
              <w:rPr>
                <w:spacing w:val="-2"/>
                <w:sz w:val="20"/>
              </w:rPr>
              <w:t>$15.02/m x length of vessel, per month</w:t>
            </w:r>
          </w:p>
          <w:p>
            <w:pPr>
              <w:pStyle w:val="yTable"/>
              <w:spacing w:after="40"/>
              <w:rPr>
                <w:spacing w:val="-2"/>
                <w:sz w:val="20"/>
              </w:rPr>
            </w:pPr>
            <w:r>
              <w:rPr>
                <w:spacing w:val="-2"/>
                <w:sz w:val="20"/>
              </w:rPr>
              <w:t>$17.22/m x length of vessel, per month</w:t>
            </w:r>
          </w:p>
        </w:tc>
      </w:tr>
      <w:tr>
        <w:trPr>
          <w:cantSplit/>
        </w:trPr>
        <w:tc>
          <w:tcPr>
            <w:tcW w:w="3149" w:type="dxa"/>
            <w:tcBorders>
              <w:top w:val="single" w:sz="4" w:space="0" w:color="auto"/>
              <w:bottom w:val="single" w:sz="4" w:space="0" w:color="auto"/>
              <w:right w:val="single" w:sz="4" w:space="0" w:color="auto"/>
            </w:tcBorders>
          </w:tcPr>
          <w:p>
            <w:pPr>
              <w:pStyle w:val="yTable"/>
              <w:tabs>
                <w:tab w:val="left" w:pos="342"/>
              </w:tabs>
              <w:spacing w:after="40"/>
              <w:rPr>
                <w:spacing w:val="-2"/>
                <w:sz w:val="20"/>
              </w:rPr>
            </w:pPr>
            <w:r>
              <w:rPr>
                <w:b/>
                <w:spacing w:val="-2"/>
                <w:sz w:val="20"/>
              </w:rPr>
              <w:t>Monthly Fee</w:t>
            </w:r>
          </w:p>
          <w:p>
            <w:pPr>
              <w:pStyle w:val="yTable"/>
              <w:spacing w:after="40"/>
              <w:ind w:left="230" w:hanging="230"/>
              <w:rPr>
                <w:spacing w:val="-2"/>
                <w:sz w:val="20"/>
              </w:rPr>
            </w:pPr>
            <w:r>
              <w:rPr>
                <w:spacing w:val="-2"/>
                <w:sz w:val="20"/>
              </w:rPr>
              <w:tab/>
              <w:t>Recreational vessel</w:t>
            </w:r>
          </w:p>
          <w:p>
            <w:pPr>
              <w:pStyle w:val="yTable"/>
              <w:spacing w:after="40"/>
              <w:ind w:left="230" w:hanging="230"/>
              <w:rPr>
                <w:spacing w:val="-2"/>
                <w:sz w:val="20"/>
              </w:rPr>
            </w:pPr>
            <w:r>
              <w:rPr>
                <w:spacing w:val="-2"/>
                <w:sz w:val="20"/>
              </w:rPr>
              <w:tab/>
              <w:t>Commercial vessel</w:t>
            </w:r>
          </w:p>
        </w:tc>
        <w:tc>
          <w:tcPr>
            <w:tcW w:w="3752" w:type="dxa"/>
            <w:tcBorders>
              <w:top w:val="single" w:sz="4" w:space="0" w:color="auto"/>
              <w:left w:val="single" w:sz="4" w:space="0" w:color="auto"/>
              <w:bottom w:val="single" w:sz="4" w:space="0" w:color="auto"/>
              <w:right w:val="single" w:sz="4" w:space="0" w:color="auto"/>
            </w:tcBorders>
          </w:tcPr>
          <w:p>
            <w:pPr>
              <w:pStyle w:val="yTable"/>
              <w:spacing w:after="40"/>
              <w:rPr>
                <w:spacing w:val="-2"/>
                <w:sz w:val="20"/>
              </w:rPr>
            </w:pPr>
          </w:p>
          <w:p>
            <w:pPr>
              <w:pStyle w:val="yTable"/>
              <w:spacing w:after="40"/>
              <w:rPr>
                <w:spacing w:val="-2"/>
                <w:sz w:val="20"/>
              </w:rPr>
            </w:pPr>
            <w:r>
              <w:rPr>
                <w:spacing w:val="-2"/>
                <w:sz w:val="20"/>
              </w:rPr>
              <w:t>$30.05/m x length of vessel, per month</w:t>
            </w:r>
          </w:p>
          <w:p>
            <w:pPr>
              <w:pStyle w:val="yTable"/>
              <w:spacing w:after="40"/>
              <w:rPr>
                <w:spacing w:val="-2"/>
                <w:sz w:val="20"/>
              </w:rPr>
            </w:pPr>
            <w:r>
              <w:rPr>
                <w:spacing w:val="-2"/>
                <w:sz w:val="20"/>
              </w:rPr>
              <w:t>$34.44/m x length of vessel, per month</w:t>
            </w:r>
          </w:p>
        </w:tc>
      </w:tr>
      <w:tr>
        <w:trPr>
          <w:cantSplit/>
        </w:trPr>
        <w:tc>
          <w:tcPr>
            <w:tcW w:w="3149" w:type="dxa"/>
            <w:tcBorders>
              <w:top w:val="single" w:sz="4" w:space="0" w:color="auto"/>
              <w:bottom w:val="nil"/>
            </w:tcBorders>
          </w:tcPr>
          <w:p>
            <w:pPr>
              <w:pStyle w:val="yTable"/>
              <w:tabs>
                <w:tab w:val="left" w:pos="342"/>
              </w:tabs>
              <w:spacing w:after="40"/>
              <w:rPr>
                <w:spacing w:val="-2"/>
                <w:sz w:val="20"/>
              </w:rPr>
            </w:pPr>
            <w:r>
              <w:rPr>
                <w:b/>
                <w:spacing w:val="-2"/>
                <w:sz w:val="20"/>
              </w:rPr>
              <w:t>Weekly Fee</w:t>
            </w:r>
          </w:p>
          <w:p>
            <w:pPr>
              <w:pStyle w:val="yTable"/>
              <w:spacing w:after="40"/>
              <w:ind w:left="230" w:hanging="230"/>
              <w:rPr>
                <w:spacing w:val="-2"/>
                <w:sz w:val="20"/>
              </w:rPr>
            </w:pPr>
            <w:r>
              <w:rPr>
                <w:spacing w:val="-2"/>
                <w:sz w:val="20"/>
              </w:rPr>
              <w:tab/>
              <w:t>Recreational vessel</w:t>
            </w:r>
          </w:p>
          <w:p>
            <w:pPr>
              <w:pStyle w:val="yTable"/>
              <w:spacing w:after="40"/>
              <w:ind w:left="230" w:hanging="230"/>
              <w:rPr>
                <w:spacing w:val="-2"/>
                <w:sz w:val="20"/>
              </w:rPr>
            </w:pPr>
            <w:r>
              <w:rPr>
                <w:spacing w:val="-2"/>
                <w:sz w:val="20"/>
              </w:rPr>
              <w:tab/>
              <w:t>Commercial vessel</w:t>
            </w:r>
          </w:p>
        </w:tc>
        <w:tc>
          <w:tcPr>
            <w:tcW w:w="3752" w:type="dxa"/>
            <w:tcBorders>
              <w:top w:val="single" w:sz="4" w:space="0" w:color="auto"/>
              <w:bottom w:val="nil"/>
              <w:right w:val="single" w:sz="4" w:space="0" w:color="auto"/>
            </w:tcBorders>
          </w:tcPr>
          <w:p>
            <w:pPr>
              <w:pStyle w:val="yTable"/>
              <w:spacing w:after="40"/>
              <w:rPr>
                <w:spacing w:val="-2"/>
                <w:sz w:val="20"/>
              </w:rPr>
            </w:pPr>
          </w:p>
          <w:p>
            <w:pPr>
              <w:pStyle w:val="yTable"/>
              <w:spacing w:after="40"/>
              <w:rPr>
                <w:spacing w:val="-2"/>
                <w:sz w:val="20"/>
              </w:rPr>
            </w:pPr>
            <w:r>
              <w:rPr>
                <w:spacing w:val="-2"/>
                <w:sz w:val="20"/>
              </w:rPr>
              <w:t>$18.30/m x length of vessel, per week</w:t>
            </w:r>
          </w:p>
          <w:p>
            <w:pPr>
              <w:pStyle w:val="yTable"/>
              <w:spacing w:after="40"/>
              <w:rPr>
                <w:spacing w:val="-2"/>
                <w:sz w:val="20"/>
              </w:rPr>
            </w:pPr>
            <w:r>
              <w:rPr>
                <w:spacing w:val="-2"/>
                <w:sz w:val="20"/>
              </w:rPr>
              <w:t>$30.50/m x length of vessel, per week</w:t>
            </w:r>
          </w:p>
        </w:tc>
      </w:tr>
      <w:tr>
        <w:trPr>
          <w:cantSplit/>
        </w:trPr>
        <w:tc>
          <w:tcPr>
            <w:tcW w:w="3149" w:type="dxa"/>
            <w:tcBorders>
              <w:top w:val="single" w:sz="4" w:space="0" w:color="auto"/>
              <w:bottom w:val="nil"/>
            </w:tcBorders>
          </w:tcPr>
          <w:p>
            <w:pPr>
              <w:pStyle w:val="yTable"/>
              <w:tabs>
                <w:tab w:val="left" w:pos="342"/>
              </w:tabs>
              <w:spacing w:after="40"/>
              <w:rPr>
                <w:spacing w:val="-2"/>
                <w:sz w:val="20"/>
              </w:rPr>
            </w:pPr>
            <w:r>
              <w:rPr>
                <w:b/>
                <w:spacing w:val="-2"/>
                <w:sz w:val="20"/>
              </w:rPr>
              <w:t>Daily Casual Fee</w:t>
            </w:r>
          </w:p>
          <w:p>
            <w:pPr>
              <w:pStyle w:val="yTable"/>
              <w:spacing w:after="40"/>
              <w:ind w:left="230" w:hanging="230"/>
              <w:rPr>
                <w:spacing w:val="-2"/>
                <w:sz w:val="20"/>
              </w:rPr>
            </w:pPr>
            <w:r>
              <w:rPr>
                <w:spacing w:val="-2"/>
                <w:sz w:val="20"/>
              </w:rPr>
              <w:tab/>
              <w:t>Recreational vessel</w:t>
            </w:r>
          </w:p>
          <w:p>
            <w:pPr>
              <w:pStyle w:val="yTable"/>
              <w:spacing w:after="40"/>
              <w:ind w:left="230" w:hanging="230"/>
              <w:rPr>
                <w:spacing w:val="-2"/>
                <w:sz w:val="20"/>
              </w:rPr>
            </w:pPr>
            <w:r>
              <w:rPr>
                <w:spacing w:val="-2"/>
                <w:sz w:val="20"/>
              </w:rPr>
              <w:tab/>
              <w:t>Commercial vessel</w:t>
            </w:r>
          </w:p>
        </w:tc>
        <w:tc>
          <w:tcPr>
            <w:tcW w:w="3752" w:type="dxa"/>
            <w:tcBorders>
              <w:top w:val="single" w:sz="4" w:space="0" w:color="auto"/>
              <w:bottom w:val="nil"/>
              <w:right w:val="single" w:sz="4" w:space="0" w:color="auto"/>
            </w:tcBorders>
          </w:tcPr>
          <w:p>
            <w:pPr>
              <w:pStyle w:val="yTable"/>
              <w:spacing w:after="40"/>
              <w:rPr>
                <w:spacing w:val="-2"/>
                <w:sz w:val="20"/>
              </w:rPr>
            </w:pPr>
          </w:p>
          <w:p>
            <w:pPr>
              <w:pStyle w:val="yTable"/>
              <w:spacing w:after="40"/>
              <w:rPr>
                <w:spacing w:val="-2"/>
                <w:sz w:val="20"/>
              </w:rPr>
            </w:pPr>
            <w:r>
              <w:rPr>
                <w:spacing w:val="-2"/>
                <w:sz w:val="20"/>
              </w:rPr>
              <w:t>$3.66/m x length of vessel, per day</w:t>
            </w:r>
          </w:p>
          <w:p>
            <w:pPr>
              <w:pStyle w:val="yTable"/>
              <w:spacing w:after="40"/>
              <w:rPr>
                <w:spacing w:val="-2"/>
                <w:sz w:val="20"/>
              </w:rPr>
            </w:pPr>
            <w:r>
              <w:rPr>
                <w:spacing w:val="-2"/>
                <w:sz w:val="20"/>
              </w:rPr>
              <w:t>$6.10/m x length of vessel, per day</w:t>
            </w:r>
          </w:p>
        </w:tc>
      </w:tr>
      <w:tr>
        <w:tc>
          <w:tcPr>
            <w:tcW w:w="3149" w:type="dxa"/>
            <w:tcBorders>
              <w:top w:val="single" w:sz="4" w:space="0" w:color="auto"/>
              <w:bottom w:val="single" w:sz="4" w:space="0" w:color="auto"/>
            </w:tcBorders>
          </w:tcPr>
          <w:p>
            <w:pPr>
              <w:pStyle w:val="yTable"/>
              <w:spacing w:after="40"/>
              <w:rPr>
                <w:b/>
                <w:spacing w:val="-2"/>
                <w:sz w:val="20"/>
              </w:rPr>
            </w:pPr>
            <w:r>
              <w:rPr>
                <w:b/>
                <w:spacing w:val="-2"/>
                <w:sz w:val="20"/>
              </w:rPr>
              <w:t>Short</w:t>
            </w:r>
            <w:r>
              <w:rPr>
                <w:b/>
                <w:spacing w:val="-2"/>
                <w:sz w:val="20"/>
              </w:rPr>
              <w:noBreakHyphen/>
              <w:t>term use</w:t>
            </w:r>
          </w:p>
        </w:tc>
        <w:tc>
          <w:tcPr>
            <w:tcW w:w="3752" w:type="dxa"/>
            <w:tcBorders>
              <w:top w:val="single" w:sz="4" w:space="0" w:color="auto"/>
              <w:bottom w:val="single" w:sz="4" w:space="0" w:color="auto"/>
              <w:right w:val="single" w:sz="4" w:space="0" w:color="auto"/>
            </w:tcBorders>
          </w:tcPr>
          <w:p>
            <w:pPr>
              <w:pStyle w:val="yTable"/>
              <w:spacing w:after="40"/>
              <w:rPr>
                <w:spacing w:val="-2"/>
                <w:sz w:val="20"/>
              </w:rPr>
            </w:pPr>
            <w:r>
              <w:rPr>
                <w:spacing w:val="-2"/>
                <w:sz w:val="20"/>
              </w:rPr>
              <w:t>$3.06/m x length of vessel, per 3 hours</w:t>
            </w:r>
          </w:p>
        </w:tc>
      </w:tr>
      <w:tr>
        <w:tc>
          <w:tcPr>
            <w:tcW w:w="3149" w:type="dxa"/>
            <w:tcBorders>
              <w:top w:val="single" w:sz="4" w:space="0" w:color="auto"/>
              <w:bottom w:val="single" w:sz="4" w:space="0" w:color="auto"/>
            </w:tcBorders>
          </w:tcPr>
          <w:p>
            <w:pPr>
              <w:pStyle w:val="yTable"/>
              <w:spacing w:after="40"/>
              <w:rPr>
                <w:b/>
                <w:spacing w:val="-2"/>
                <w:sz w:val="20"/>
              </w:rPr>
            </w:pPr>
            <w:r>
              <w:rPr>
                <w:b/>
                <w:spacing w:val="-2"/>
                <w:sz w:val="20"/>
              </w:rPr>
              <w:t>Electric Power Charge</w:t>
            </w:r>
          </w:p>
          <w:p>
            <w:pPr>
              <w:pStyle w:val="yTable"/>
              <w:spacing w:after="40"/>
              <w:ind w:left="230" w:hanging="230"/>
              <w:rPr>
                <w:spacing w:val="-2"/>
                <w:sz w:val="20"/>
              </w:rPr>
            </w:pPr>
            <w:r>
              <w:rPr>
                <w:spacing w:val="-2"/>
                <w:sz w:val="20"/>
              </w:rPr>
              <w:tab/>
              <w:t>Single phase</w:t>
            </w:r>
          </w:p>
          <w:p>
            <w:pPr>
              <w:pStyle w:val="yTable"/>
              <w:spacing w:after="40"/>
              <w:ind w:left="230" w:hanging="230"/>
              <w:rPr>
                <w:spacing w:val="-2"/>
                <w:sz w:val="20"/>
              </w:rPr>
            </w:pPr>
            <w:r>
              <w:rPr>
                <w:spacing w:val="-2"/>
                <w:sz w:val="20"/>
              </w:rPr>
              <w:tab/>
              <w:t>3</w:t>
            </w:r>
            <w:r>
              <w:rPr>
                <w:spacing w:val="-2"/>
                <w:sz w:val="20"/>
              </w:rPr>
              <w:noBreakHyphen/>
              <w:t>phase metered</w:t>
            </w:r>
          </w:p>
          <w:p>
            <w:pPr>
              <w:pStyle w:val="yTable"/>
              <w:spacing w:after="40"/>
              <w:ind w:left="230" w:hanging="230"/>
              <w:rPr>
                <w:b/>
                <w:spacing w:val="-2"/>
                <w:sz w:val="20"/>
              </w:rPr>
            </w:pPr>
            <w:r>
              <w:rPr>
                <w:spacing w:val="-2"/>
                <w:sz w:val="20"/>
              </w:rPr>
              <w:tab/>
              <w:t>3</w:t>
            </w:r>
            <w:r>
              <w:rPr>
                <w:spacing w:val="-2"/>
                <w:sz w:val="20"/>
              </w:rPr>
              <w:noBreakHyphen/>
              <w:t>phase unmetered</w:t>
            </w:r>
          </w:p>
        </w:tc>
        <w:tc>
          <w:tcPr>
            <w:tcW w:w="3752" w:type="dxa"/>
            <w:tcBorders>
              <w:top w:val="single" w:sz="4" w:space="0" w:color="auto"/>
              <w:bottom w:val="single" w:sz="4" w:space="0" w:color="auto"/>
              <w:right w:val="single" w:sz="4" w:space="0" w:color="auto"/>
            </w:tcBorders>
          </w:tcPr>
          <w:p>
            <w:pPr>
              <w:pStyle w:val="yTable"/>
              <w:keepNext/>
              <w:spacing w:after="40"/>
              <w:rPr>
                <w:spacing w:val="-2"/>
                <w:sz w:val="20"/>
              </w:rPr>
            </w:pPr>
          </w:p>
          <w:p>
            <w:pPr>
              <w:pStyle w:val="yTable"/>
              <w:keepNext/>
              <w:spacing w:after="40"/>
              <w:rPr>
                <w:spacing w:val="-2"/>
                <w:sz w:val="20"/>
              </w:rPr>
            </w:pPr>
            <w:r>
              <w:rPr>
                <w:spacing w:val="-2"/>
                <w:sz w:val="20"/>
              </w:rPr>
              <w:t>At cost</w:t>
            </w:r>
          </w:p>
          <w:p>
            <w:pPr>
              <w:pStyle w:val="yTable"/>
              <w:keepNext/>
              <w:spacing w:after="40"/>
              <w:rPr>
                <w:spacing w:val="-2"/>
                <w:sz w:val="20"/>
              </w:rPr>
            </w:pPr>
            <w:r>
              <w:rPr>
                <w:spacing w:val="-2"/>
                <w:sz w:val="20"/>
              </w:rPr>
              <w:t>At cost</w:t>
            </w:r>
          </w:p>
          <w:p>
            <w:pPr>
              <w:pStyle w:val="yTable"/>
              <w:keepNext/>
              <w:spacing w:after="40"/>
              <w:rPr>
                <w:spacing w:val="-2"/>
                <w:sz w:val="20"/>
              </w:rPr>
            </w:pPr>
            <w:r>
              <w:rPr>
                <w:spacing w:val="-2"/>
                <w:sz w:val="20"/>
              </w:rPr>
              <w:t xml:space="preserve">$24.43 per day or part of a day </w:t>
            </w:r>
          </w:p>
        </w:tc>
      </w:tr>
      <w:tr>
        <w:trPr>
          <w:cantSplit/>
        </w:trPr>
        <w:tc>
          <w:tcPr>
            <w:tcW w:w="3149" w:type="dxa"/>
            <w:tcBorders>
              <w:top w:val="single" w:sz="4" w:space="0" w:color="auto"/>
              <w:bottom w:val="single" w:sz="4" w:space="0" w:color="auto"/>
            </w:tcBorders>
          </w:tcPr>
          <w:p>
            <w:pPr>
              <w:pStyle w:val="yTable"/>
              <w:rPr>
                <w:b/>
                <w:spacing w:val="-2"/>
                <w:sz w:val="20"/>
              </w:rPr>
            </w:pPr>
            <w:r>
              <w:rPr>
                <w:b/>
                <w:spacing w:val="-2"/>
                <w:sz w:val="20"/>
              </w:rPr>
              <w:t>Boat Launching Ramp Fee</w:t>
            </w:r>
          </w:p>
          <w:p>
            <w:pPr>
              <w:pStyle w:val="yTable"/>
              <w:tabs>
                <w:tab w:val="left" w:pos="767"/>
              </w:tabs>
              <w:rPr>
                <w:spacing w:val="-2"/>
                <w:sz w:val="20"/>
              </w:rPr>
            </w:pPr>
            <w:r>
              <w:rPr>
                <w:spacing w:val="-2"/>
                <w:sz w:val="20"/>
              </w:rPr>
              <w:t>(Commercial vessels only)</w:t>
            </w:r>
          </w:p>
          <w:p>
            <w:pPr>
              <w:pStyle w:val="yTable"/>
              <w:tabs>
                <w:tab w:val="left" w:pos="342"/>
              </w:tabs>
              <w:ind w:left="340" w:hanging="340"/>
              <w:rPr>
                <w:spacing w:val="-2"/>
                <w:sz w:val="20"/>
              </w:rPr>
            </w:pPr>
            <w:r>
              <w:rPr>
                <w:spacing w:val="-2"/>
                <w:sz w:val="20"/>
              </w:rPr>
              <w:tab/>
              <w:t>Annual Fee</w:t>
            </w:r>
          </w:p>
          <w:p>
            <w:pPr>
              <w:pStyle w:val="yTable"/>
              <w:tabs>
                <w:tab w:val="left" w:pos="342"/>
              </w:tabs>
              <w:ind w:left="340" w:hanging="340"/>
              <w:rPr>
                <w:spacing w:val="-2"/>
                <w:sz w:val="20"/>
              </w:rPr>
            </w:pPr>
            <w:r>
              <w:rPr>
                <w:spacing w:val="-2"/>
                <w:sz w:val="20"/>
              </w:rPr>
              <w:tab/>
              <w:t>Monthly Fee</w:t>
            </w:r>
          </w:p>
        </w:tc>
        <w:tc>
          <w:tcPr>
            <w:tcW w:w="3752" w:type="dxa"/>
            <w:tcBorders>
              <w:top w:val="single" w:sz="4" w:space="0" w:color="auto"/>
              <w:bottom w:val="single" w:sz="4" w:space="0" w:color="auto"/>
              <w:right w:val="single" w:sz="4" w:space="0" w:color="auto"/>
            </w:tcBorders>
          </w:tcPr>
          <w:p>
            <w:pPr>
              <w:pStyle w:val="yTable"/>
              <w:rPr>
                <w:spacing w:val="-2"/>
                <w:sz w:val="20"/>
              </w:rPr>
            </w:pPr>
          </w:p>
          <w:p>
            <w:pPr>
              <w:pStyle w:val="yTable"/>
              <w:rPr>
                <w:spacing w:val="-2"/>
                <w:sz w:val="20"/>
              </w:rPr>
            </w:pPr>
          </w:p>
          <w:p>
            <w:pPr>
              <w:pStyle w:val="yTable"/>
              <w:rPr>
                <w:spacing w:val="-2"/>
                <w:sz w:val="20"/>
              </w:rPr>
            </w:pPr>
            <w:r>
              <w:rPr>
                <w:spacing w:val="-2"/>
                <w:sz w:val="20"/>
              </w:rPr>
              <w:t>$610.44 per vessel</w:t>
            </w:r>
          </w:p>
          <w:p>
            <w:pPr>
              <w:pStyle w:val="yTable"/>
              <w:rPr>
                <w:spacing w:val="-2"/>
                <w:sz w:val="20"/>
              </w:rPr>
            </w:pPr>
            <w:r>
              <w:rPr>
                <w:spacing w:val="-2"/>
                <w:sz w:val="20"/>
              </w:rPr>
              <w:t>$122.13 per vessel</w:t>
            </w:r>
          </w:p>
        </w:tc>
      </w:tr>
      <w:tr>
        <w:tc>
          <w:tcPr>
            <w:tcW w:w="3149" w:type="dxa"/>
            <w:tcBorders>
              <w:top w:val="single" w:sz="4" w:space="0" w:color="auto"/>
              <w:bottom w:val="single" w:sz="4" w:space="0" w:color="auto"/>
            </w:tcBorders>
          </w:tcPr>
          <w:p>
            <w:pPr>
              <w:pStyle w:val="yTable"/>
              <w:pageBreakBefore/>
              <w:rPr>
                <w:b/>
                <w:spacing w:val="-2"/>
                <w:sz w:val="20"/>
              </w:rPr>
            </w:pPr>
            <w:r>
              <w:rPr>
                <w:spacing w:val="-2"/>
                <w:sz w:val="20"/>
              </w:rPr>
              <w:t>Fee for crane use of wharf/hardstand to lift vessels to and from harbour</w:t>
            </w:r>
          </w:p>
        </w:tc>
        <w:tc>
          <w:tcPr>
            <w:tcW w:w="3752" w:type="dxa"/>
            <w:tcBorders>
              <w:top w:val="single" w:sz="4" w:space="0" w:color="auto"/>
              <w:bottom w:val="single" w:sz="4" w:space="0" w:color="auto"/>
              <w:right w:val="single" w:sz="4" w:space="0" w:color="auto"/>
            </w:tcBorders>
          </w:tcPr>
          <w:p>
            <w:pPr>
              <w:pStyle w:val="yTable"/>
              <w:rPr>
                <w:spacing w:val="-2"/>
                <w:sz w:val="20"/>
              </w:rPr>
            </w:pPr>
          </w:p>
          <w:p>
            <w:pPr>
              <w:pStyle w:val="yTable"/>
              <w:rPr>
                <w:spacing w:val="-2"/>
                <w:sz w:val="20"/>
              </w:rPr>
            </w:pPr>
            <w:r>
              <w:rPr>
                <w:spacing w:val="-2"/>
                <w:sz w:val="20"/>
              </w:rPr>
              <w:t>$183.20 per lift</w:t>
            </w:r>
          </w:p>
        </w:tc>
      </w:tr>
      <w:tr>
        <w:tc>
          <w:tcPr>
            <w:tcW w:w="3149" w:type="dxa"/>
            <w:tcBorders>
              <w:top w:val="single" w:sz="4" w:space="0" w:color="auto"/>
              <w:bottom w:val="single" w:sz="4" w:space="0" w:color="auto"/>
            </w:tcBorders>
          </w:tcPr>
          <w:p>
            <w:pPr>
              <w:pStyle w:val="yTable"/>
              <w:tabs>
                <w:tab w:val="left" w:pos="1192"/>
              </w:tabs>
              <w:rPr>
                <w:b/>
                <w:spacing w:val="-2"/>
                <w:sz w:val="20"/>
              </w:rPr>
            </w:pPr>
            <w:r>
              <w:rPr>
                <w:b/>
                <w:spacing w:val="-2"/>
                <w:sz w:val="20"/>
              </w:rPr>
              <w:t>‘Live on Board’ Fee</w:t>
            </w:r>
          </w:p>
        </w:tc>
        <w:tc>
          <w:tcPr>
            <w:tcW w:w="3752" w:type="dxa"/>
            <w:tcBorders>
              <w:top w:val="single" w:sz="4" w:space="0" w:color="auto"/>
              <w:bottom w:val="single" w:sz="4" w:space="0" w:color="auto"/>
              <w:right w:val="single" w:sz="4" w:space="0" w:color="auto"/>
            </w:tcBorders>
          </w:tcPr>
          <w:p>
            <w:pPr>
              <w:pStyle w:val="yTable"/>
              <w:rPr>
                <w:spacing w:val="-2"/>
                <w:sz w:val="20"/>
              </w:rPr>
            </w:pPr>
            <w:r>
              <w:rPr>
                <w:spacing w:val="-2"/>
                <w:sz w:val="20"/>
              </w:rPr>
              <w:t>$32.35 per vessel per month</w:t>
            </w:r>
          </w:p>
        </w:tc>
      </w:tr>
    </w:tbl>
    <w:p>
      <w:pPr>
        <w:pStyle w:val="yHeading4"/>
      </w:pPr>
      <w:bookmarkStart w:id="694" w:name="_Toc170210277"/>
      <w:r>
        <w:t>Subdivision 3</w:t>
      </w:r>
      <w:r>
        <w:rPr>
          <w:b w:val="0"/>
        </w:rPr>
        <w:t> — </w:t>
      </w:r>
      <w:r>
        <w:t>Batavia Coast Boat Harbour</w:t>
      </w:r>
      <w:bookmarkEnd w:id="694"/>
    </w:p>
    <w:p>
      <w:pPr>
        <w:pStyle w:val="yFootnoteheading"/>
      </w:pPr>
      <w:r>
        <w:tab/>
        <w:t>[Heading inserted in Gazette 24 Jun 2005 p. 2831.]</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63"/>
        <w:gridCol w:w="1913"/>
        <w:gridCol w:w="1839"/>
      </w:tblGrid>
      <w:tr>
        <w:trPr>
          <w:cantSplit/>
        </w:trPr>
        <w:tc>
          <w:tcPr>
            <w:tcW w:w="6915" w:type="dxa"/>
            <w:gridSpan w:val="3"/>
          </w:tcPr>
          <w:p>
            <w:pPr>
              <w:pStyle w:val="yTable"/>
              <w:spacing w:before="40"/>
              <w:ind w:left="1332" w:hanging="1332"/>
              <w:rPr>
                <w:spacing w:val="-2"/>
                <w:sz w:val="20"/>
              </w:rPr>
            </w:pPr>
            <w:r>
              <w:rPr>
                <w:b/>
                <w:sz w:val="20"/>
              </w:rPr>
              <w:t>Standard Fees</w:t>
            </w:r>
            <w:r>
              <w:rPr>
                <w:sz w:val="20"/>
              </w:rPr>
              <w:t> </w:t>
            </w:r>
            <w:r>
              <w:rPr>
                <w:spacing w:val="-2"/>
                <w:sz w:val="20"/>
              </w:rPr>
              <w:t>(</w:t>
            </w:r>
            <w:r>
              <w:rPr>
                <w:i/>
                <w:spacing w:val="-2"/>
                <w:sz w:val="20"/>
              </w:rPr>
              <w:t>subject to a minimum chargeable length relative to the size of the pen, as set out below</w:t>
            </w:r>
            <w:r>
              <w:rPr>
                <w:spacing w:val="-2"/>
                <w:sz w:val="20"/>
              </w:rPr>
              <w:t>)</w:t>
            </w:r>
          </w:p>
        </w:tc>
      </w:tr>
      <w:tr>
        <w:trPr>
          <w:cantSplit/>
          <w:trHeight w:val="454"/>
        </w:trPr>
        <w:tc>
          <w:tcPr>
            <w:tcW w:w="3163" w:type="dxa"/>
            <w:vMerge w:val="restart"/>
          </w:tcPr>
          <w:p>
            <w:pPr>
              <w:pStyle w:val="yTable"/>
              <w:rPr>
                <w:i/>
                <w:iCs/>
                <w:spacing w:val="-2"/>
                <w:sz w:val="20"/>
              </w:rPr>
            </w:pPr>
            <w:r>
              <w:rPr>
                <w:i/>
                <w:iCs/>
                <w:spacing w:val="-2"/>
                <w:sz w:val="20"/>
              </w:rPr>
              <w:t>Minimum chargeable length when calculating the fee for pens of a particular size</w:t>
            </w:r>
          </w:p>
        </w:tc>
        <w:tc>
          <w:tcPr>
            <w:tcW w:w="1913" w:type="dxa"/>
          </w:tcPr>
          <w:p>
            <w:pPr>
              <w:pStyle w:val="yTable"/>
              <w:keepNext/>
              <w:rPr>
                <w:spacing w:val="-2"/>
                <w:sz w:val="20"/>
              </w:rPr>
            </w:pPr>
            <w:r>
              <w:rPr>
                <w:spacing w:val="-2"/>
                <w:sz w:val="20"/>
              </w:rPr>
              <w:t>10 m pen</w:t>
            </w:r>
          </w:p>
        </w:tc>
        <w:tc>
          <w:tcPr>
            <w:tcW w:w="1839" w:type="dxa"/>
          </w:tcPr>
          <w:p>
            <w:pPr>
              <w:pStyle w:val="yTable"/>
              <w:rPr>
                <w:spacing w:val="-2"/>
                <w:sz w:val="20"/>
              </w:rPr>
            </w:pPr>
            <w:r>
              <w:rPr>
                <w:spacing w:val="-2"/>
                <w:sz w:val="20"/>
              </w:rPr>
              <w:t>at least 8 m</w:t>
            </w:r>
          </w:p>
        </w:tc>
      </w:tr>
      <w:tr>
        <w:trPr>
          <w:cantSplit/>
          <w:trHeight w:val="451"/>
        </w:trPr>
        <w:tc>
          <w:tcPr>
            <w:tcW w:w="3163" w:type="dxa"/>
            <w:vMerge/>
          </w:tcPr>
          <w:p>
            <w:pPr>
              <w:pStyle w:val="yTable"/>
              <w:rPr>
                <w:spacing w:val="-2"/>
                <w:sz w:val="20"/>
              </w:rPr>
            </w:pPr>
          </w:p>
        </w:tc>
        <w:tc>
          <w:tcPr>
            <w:tcW w:w="1913" w:type="dxa"/>
          </w:tcPr>
          <w:p>
            <w:pPr>
              <w:pStyle w:val="yTable"/>
              <w:keepNext/>
              <w:rPr>
                <w:spacing w:val="-2"/>
                <w:sz w:val="20"/>
              </w:rPr>
            </w:pPr>
            <w:r>
              <w:rPr>
                <w:spacing w:val="-2"/>
                <w:sz w:val="20"/>
              </w:rPr>
              <w:t>12 m pen</w:t>
            </w:r>
          </w:p>
        </w:tc>
        <w:tc>
          <w:tcPr>
            <w:tcW w:w="1839" w:type="dxa"/>
          </w:tcPr>
          <w:p>
            <w:pPr>
              <w:pStyle w:val="yTable"/>
              <w:keepNext/>
              <w:rPr>
                <w:spacing w:val="-2"/>
                <w:sz w:val="20"/>
              </w:rPr>
            </w:pPr>
            <w:r>
              <w:rPr>
                <w:spacing w:val="-2"/>
                <w:sz w:val="20"/>
              </w:rPr>
              <w:t>at least 9.6 m</w:t>
            </w:r>
          </w:p>
        </w:tc>
      </w:tr>
      <w:tr>
        <w:trPr>
          <w:cantSplit/>
          <w:trHeight w:val="451"/>
        </w:trPr>
        <w:tc>
          <w:tcPr>
            <w:tcW w:w="3163" w:type="dxa"/>
            <w:vMerge/>
          </w:tcPr>
          <w:p>
            <w:pPr>
              <w:pStyle w:val="yTable"/>
              <w:rPr>
                <w:spacing w:val="-2"/>
                <w:sz w:val="20"/>
              </w:rPr>
            </w:pPr>
          </w:p>
        </w:tc>
        <w:tc>
          <w:tcPr>
            <w:tcW w:w="1913" w:type="dxa"/>
          </w:tcPr>
          <w:p>
            <w:pPr>
              <w:pStyle w:val="yTable"/>
              <w:keepNext/>
              <w:rPr>
                <w:spacing w:val="-2"/>
                <w:sz w:val="20"/>
              </w:rPr>
            </w:pPr>
            <w:r>
              <w:rPr>
                <w:spacing w:val="-2"/>
                <w:sz w:val="20"/>
              </w:rPr>
              <w:t>15 m pen</w:t>
            </w:r>
          </w:p>
        </w:tc>
        <w:tc>
          <w:tcPr>
            <w:tcW w:w="1839" w:type="dxa"/>
          </w:tcPr>
          <w:p>
            <w:pPr>
              <w:pStyle w:val="yTable"/>
              <w:keepNext/>
              <w:rPr>
                <w:spacing w:val="-2"/>
                <w:sz w:val="20"/>
              </w:rPr>
            </w:pPr>
            <w:r>
              <w:rPr>
                <w:spacing w:val="-2"/>
                <w:sz w:val="20"/>
              </w:rPr>
              <w:t>at least 12 m</w:t>
            </w:r>
          </w:p>
        </w:tc>
      </w:tr>
      <w:tr>
        <w:trPr>
          <w:cantSplit/>
          <w:trHeight w:val="451"/>
        </w:trPr>
        <w:tc>
          <w:tcPr>
            <w:tcW w:w="3163" w:type="dxa"/>
            <w:vMerge/>
          </w:tcPr>
          <w:p>
            <w:pPr>
              <w:pStyle w:val="yTable"/>
              <w:rPr>
                <w:spacing w:val="-2"/>
                <w:sz w:val="20"/>
              </w:rPr>
            </w:pPr>
          </w:p>
        </w:tc>
        <w:tc>
          <w:tcPr>
            <w:tcW w:w="1913" w:type="dxa"/>
          </w:tcPr>
          <w:p>
            <w:pPr>
              <w:pStyle w:val="yTable"/>
              <w:keepNext/>
              <w:rPr>
                <w:spacing w:val="-2"/>
                <w:sz w:val="20"/>
              </w:rPr>
            </w:pPr>
            <w:r>
              <w:rPr>
                <w:spacing w:val="-2"/>
                <w:sz w:val="20"/>
              </w:rPr>
              <w:t>18 m pen</w:t>
            </w:r>
          </w:p>
        </w:tc>
        <w:tc>
          <w:tcPr>
            <w:tcW w:w="1839" w:type="dxa"/>
          </w:tcPr>
          <w:p>
            <w:pPr>
              <w:pStyle w:val="yTable"/>
              <w:keepNext/>
              <w:rPr>
                <w:spacing w:val="-2"/>
                <w:sz w:val="20"/>
              </w:rPr>
            </w:pPr>
            <w:r>
              <w:rPr>
                <w:spacing w:val="-2"/>
                <w:sz w:val="20"/>
              </w:rPr>
              <w:t>at least 14.4 m</w:t>
            </w:r>
          </w:p>
        </w:tc>
      </w:tr>
      <w:tr>
        <w:trPr>
          <w:cantSplit/>
          <w:trHeight w:val="451"/>
        </w:trPr>
        <w:tc>
          <w:tcPr>
            <w:tcW w:w="3163" w:type="dxa"/>
            <w:vMerge/>
          </w:tcPr>
          <w:p>
            <w:pPr>
              <w:pStyle w:val="yTable"/>
              <w:rPr>
                <w:spacing w:val="-2"/>
                <w:sz w:val="20"/>
              </w:rPr>
            </w:pPr>
          </w:p>
        </w:tc>
        <w:tc>
          <w:tcPr>
            <w:tcW w:w="1913" w:type="dxa"/>
          </w:tcPr>
          <w:p>
            <w:pPr>
              <w:pStyle w:val="yTable"/>
              <w:keepNext/>
              <w:rPr>
                <w:spacing w:val="-2"/>
                <w:sz w:val="20"/>
              </w:rPr>
            </w:pPr>
            <w:r>
              <w:rPr>
                <w:spacing w:val="-2"/>
                <w:sz w:val="20"/>
              </w:rPr>
              <w:t>20 m pen</w:t>
            </w:r>
          </w:p>
        </w:tc>
        <w:tc>
          <w:tcPr>
            <w:tcW w:w="1839" w:type="dxa"/>
          </w:tcPr>
          <w:p>
            <w:pPr>
              <w:pStyle w:val="yTable"/>
              <w:keepNext/>
              <w:rPr>
                <w:spacing w:val="-2"/>
                <w:sz w:val="20"/>
              </w:rPr>
            </w:pPr>
            <w:r>
              <w:rPr>
                <w:spacing w:val="-2"/>
                <w:sz w:val="20"/>
              </w:rPr>
              <w:t>at least 16 m</w:t>
            </w:r>
          </w:p>
        </w:tc>
      </w:tr>
      <w:tr>
        <w:trPr>
          <w:cantSplit/>
          <w:trHeight w:val="451"/>
        </w:trPr>
        <w:tc>
          <w:tcPr>
            <w:tcW w:w="3163" w:type="dxa"/>
          </w:tcPr>
          <w:p>
            <w:pPr>
              <w:pStyle w:val="yTable"/>
              <w:rPr>
                <w:b/>
                <w:bCs/>
                <w:spacing w:val="-2"/>
                <w:sz w:val="20"/>
              </w:rPr>
            </w:pPr>
            <w:r>
              <w:rPr>
                <w:b/>
                <w:bCs/>
                <w:spacing w:val="-2"/>
                <w:sz w:val="20"/>
              </w:rPr>
              <w:t>Annual Fee</w:t>
            </w:r>
          </w:p>
        </w:tc>
        <w:tc>
          <w:tcPr>
            <w:tcW w:w="3752" w:type="dxa"/>
            <w:gridSpan w:val="2"/>
          </w:tcPr>
          <w:p>
            <w:pPr>
              <w:pStyle w:val="yTable"/>
              <w:keepNext/>
              <w:rPr>
                <w:spacing w:val="-2"/>
                <w:sz w:val="20"/>
              </w:rPr>
            </w:pPr>
            <w:r>
              <w:rPr>
                <w:spacing w:val="-2"/>
                <w:sz w:val="20"/>
              </w:rPr>
              <w:t>$247.81/m x length of vessel</w:t>
            </w:r>
          </w:p>
        </w:tc>
      </w:tr>
      <w:tr>
        <w:trPr>
          <w:cantSplit/>
          <w:trHeight w:val="451"/>
        </w:trPr>
        <w:tc>
          <w:tcPr>
            <w:tcW w:w="3163" w:type="dxa"/>
          </w:tcPr>
          <w:p>
            <w:pPr>
              <w:pStyle w:val="yTable"/>
              <w:rPr>
                <w:b/>
                <w:bCs/>
                <w:spacing w:val="-2"/>
                <w:sz w:val="20"/>
              </w:rPr>
            </w:pPr>
            <w:r>
              <w:rPr>
                <w:b/>
                <w:bCs/>
                <w:spacing w:val="-2"/>
                <w:sz w:val="20"/>
              </w:rPr>
              <w:t>Part Year Fee</w:t>
            </w:r>
            <w:r>
              <w:rPr>
                <w:spacing w:val="-2"/>
                <w:sz w:val="20"/>
              </w:rPr>
              <w:t> — 3 months or more, paid in advance</w:t>
            </w:r>
          </w:p>
        </w:tc>
        <w:tc>
          <w:tcPr>
            <w:tcW w:w="3752" w:type="dxa"/>
            <w:gridSpan w:val="2"/>
          </w:tcPr>
          <w:p>
            <w:pPr>
              <w:pStyle w:val="yTable"/>
              <w:keepNext/>
              <w:rPr>
                <w:spacing w:val="-2"/>
                <w:sz w:val="20"/>
              </w:rPr>
            </w:pPr>
            <w:r>
              <w:rPr>
                <w:spacing w:val="-2"/>
                <w:sz w:val="20"/>
              </w:rPr>
              <w:t>$24.78/m x length of vessel, per month</w:t>
            </w:r>
          </w:p>
        </w:tc>
      </w:tr>
      <w:tr>
        <w:trPr>
          <w:cantSplit/>
          <w:trHeight w:val="451"/>
        </w:trPr>
        <w:tc>
          <w:tcPr>
            <w:tcW w:w="3163" w:type="dxa"/>
          </w:tcPr>
          <w:p>
            <w:pPr>
              <w:pStyle w:val="yTable"/>
              <w:rPr>
                <w:b/>
                <w:bCs/>
                <w:spacing w:val="-2"/>
                <w:sz w:val="20"/>
              </w:rPr>
            </w:pPr>
            <w:r>
              <w:rPr>
                <w:b/>
                <w:bCs/>
                <w:spacing w:val="-2"/>
                <w:sz w:val="20"/>
              </w:rPr>
              <w:t>Monthly Fee</w:t>
            </w:r>
          </w:p>
        </w:tc>
        <w:tc>
          <w:tcPr>
            <w:tcW w:w="3752" w:type="dxa"/>
            <w:gridSpan w:val="2"/>
          </w:tcPr>
          <w:p>
            <w:pPr>
              <w:pStyle w:val="yTable"/>
              <w:keepNext/>
              <w:rPr>
                <w:spacing w:val="-2"/>
                <w:sz w:val="20"/>
              </w:rPr>
            </w:pPr>
            <w:r>
              <w:rPr>
                <w:spacing w:val="-2"/>
                <w:sz w:val="20"/>
              </w:rPr>
              <w:t>$49.56/m x length of vessel, per month</w:t>
            </w:r>
          </w:p>
        </w:tc>
      </w:tr>
      <w:tr>
        <w:trPr>
          <w:cantSplit/>
          <w:trHeight w:val="451"/>
        </w:trPr>
        <w:tc>
          <w:tcPr>
            <w:tcW w:w="3163" w:type="dxa"/>
          </w:tcPr>
          <w:p>
            <w:pPr>
              <w:pStyle w:val="yTable"/>
              <w:rPr>
                <w:b/>
                <w:bCs/>
                <w:spacing w:val="-2"/>
                <w:sz w:val="20"/>
              </w:rPr>
            </w:pPr>
            <w:r>
              <w:rPr>
                <w:b/>
                <w:bCs/>
                <w:spacing w:val="-2"/>
                <w:sz w:val="20"/>
              </w:rPr>
              <w:t>Weekly Fee</w:t>
            </w:r>
          </w:p>
        </w:tc>
        <w:tc>
          <w:tcPr>
            <w:tcW w:w="3752" w:type="dxa"/>
            <w:gridSpan w:val="2"/>
          </w:tcPr>
          <w:p>
            <w:pPr>
              <w:pStyle w:val="yTable"/>
              <w:keepNext/>
              <w:rPr>
                <w:spacing w:val="-2"/>
                <w:sz w:val="20"/>
              </w:rPr>
            </w:pPr>
            <w:r>
              <w:rPr>
                <w:spacing w:val="-2"/>
                <w:sz w:val="20"/>
              </w:rPr>
              <w:t>$24.80/m x length of vessel, per week</w:t>
            </w:r>
          </w:p>
        </w:tc>
      </w:tr>
      <w:tr>
        <w:trPr>
          <w:cantSplit/>
          <w:trHeight w:val="451"/>
        </w:trPr>
        <w:tc>
          <w:tcPr>
            <w:tcW w:w="3163" w:type="dxa"/>
          </w:tcPr>
          <w:p>
            <w:pPr>
              <w:pStyle w:val="yTable"/>
              <w:rPr>
                <w:b/>
                <w:bCs/>
                <w:spacing w:val="-2"/>
                <w:sz w:val="20"/>
              </w:rPr>
            </w:pPr>
            <w:r>
              <w:rPr>
                <w:b/>
                <w:bCs/>
                <w:spacing w:val="-2"/>
                <w:sz w:val="20"/>
              </w:rPr>
              <w:t>3 Day Fee</w:t>
            </w:r>
          </w:p>
        </w:tc>
        <w:tc>
          <w:tcPr>
            <w:tcW w:w="3752" w:type="dxa"/>
            <w:gridSpan w:val="2"/>
          </w:tcPr>
          <w:p>
            <w:pPr>
              <w:pStyle w:val="yTable"/>
              <w:keepNext/>
              <w:rPr>
                <w:spacing w:val="-2"/>
                <w:sz w:val="20"/>
              </w:rPr>
            </w:pPr>
            <w:r>
              <w:rPr>
                <w:spacing w:val="-2"/>
                <w:sz w:val="20"/>
              </w:rPr>
              <w:t>$9.92/m x length of vessel, per 3 day period</w:t>
            </w:r>
          </w:p>
        </w:tc>
      </w:tr>
      <w:tr>
        <w:trPr>
          <w:cantSplit/>
          <w:trHeight w:val="451"/>
        </w:trPr>
        <w:tc>
          <w:tcPr>
            <w:tcW w:w="3163" w:type="dxa"/>
          </w:tcPr>
          <w:p>
            <w:pPr>
              <w:pStyle w:val="yTable"/>
              <w:rPr>
                <w:b/>
                <w:bCs/>
                <w:spacing w:val="-2"/>
                <w:sz w:val="20"/>
              </w:rPr>
            </w:pPr>
            <w:r>
              <w:rPr>
                <w:b/>
                <w:bCs/>
                <w:spacing w:val="-2"/>
                <w:sz w:val="20"/>
              </w:rPr>
              <w:t>Daily Casual Fee</w:t>
            </w:r>
          </w:p>
        </w:tc>
        <w:tc>
          <w:tcPr>
            <w:tcW w:w="3752" w:type="dxa"/>
            <w:gridSpan w:val="2"/>
          </w:tcPr>
          <w:p>
            <w:pPr>
              <w:pStyle w:val="yTable"/>
              <w:keepNext/>
              <w:rPr>
                <w:spacing w:val="-2"/>
                <w:sz w:val="20"/>
              </w:rPr>
            </w:pPr>
            <w:r>
              <w:rPr>
                <w:spacing w:val="-2"/>
                <w:sz w:val="20"/>
              </w:rPr>
              <w:t>$4.96/m x length of vessel, per day or part of a day</w:t>
            </w:r>
          </w:p>
        </w:tc>
      </w:tr>
      <w:tr>
        <w:trPr>
          <w:cantSplit/>
          <w:trHeight w:val="451"/>
        </w:trPr>
        <w:tc>
          <w:tcPr>
            <w:tcW w:w="3163" w:type="dxa"/>
            <w:tcBorders>
              <w:bottom w:val="single" w:sz="4" w:space="0" w:color="auto"/>
            </w:tcBorders>
          </w:tcPr>
          <w:p>
            <w:pPr>
              <w:pStyle w:val="yTable"/>
              <w:rPr>
                <w:b/>
                <w:bCs/>
                <w:spacing w:val="-2"/>
                <w:sz w:val="20"/>
              </w:rPr>
            </w:pPr>
            <w:r>
              <w:rPr>
                <w:b/>
                <w:bCs/>
                <w:spacing w:val="-2"/>
                <w:sz w:val="20"/>
              </w:rPr>
              <w:t>Live on Board Fee</w:t>
            </w:r>
          </w:p>
        </w:tc>
        <w:tc>
          <w:tcPr>
            <w:tcW w:w="3752" w:type="dxa"/>
            <w:gridSpan w:val="2"/>
            <w:tcBorders>
              <w:bottom w:val="single" w:sz="4" w:space="0" w:color="auto"/>
            </w:tcBorders>
          </w:tcPr>
          <w:p>
            <w:pPr>
              <w:pStyle w:val="yTable"/>
              <w:keepNext/>
              <w:rPr>
                <w:spacing w:val="-2"/>
                <w:sz w:val="20"/>
              </w:rPr>
            </w:pPr>
            <w:r>
              <w:rPr>
                <w:spacing w:val="-2"/>
                <w:sz w:val="20"/>
              </w:rPr>
              <w:t>$86.26 per vessel per month</w:t>
            </w:r>
          </w:p>
        </w:tc>
      </w:tr>
    </w:tbl>
    <w:p>
      <w:pPr>
        <w:pStyle w:val="yNumberedItem"/>
      </w:pPr>
      <w:r>
        <w:t>Note:</w:t>
      </w:r>
      <w:r>
        <w:tab/>
        <w:t>All fees are inclusive of GST at the standard rate of 10% except for the “Live on Board” fee (long term arrangements in excess of 28 days), which has the GST applied at the concessional rate of 5.5%.  Where the “Live on Board” fee is charged, the corresponding pen fee will also have GST applied at 5.5%. (Refer to the Australian Tax Office public GST ruling: GSTB 2003/2 Goods and Services Tax: Long term accommodation at Marinas.)</w:t>
      </w:r>
    </w:p>
    <w:p>
      <w:pPr>
        <w:pStyle w:val="yHeading4"/>
      </w:pPr>
      <w:bookmarkStart w:id="695" w:name="_Toc170210278"/>
      <w:r>
        <w:t>Subdivision 4</w:t>
      </w:r>
      <w:r>
        <w:rPr>
          <w:b w:val="0"/>
        </w:rPr>
        <w:t> — </w:t>
      </w:r>
      <w:r>
        <w:t>Beadon Creek Boat Harbour (Onslow)</w:t>
      </w:r>
      <w:bookmarkEnd w:id="695"/>
    </w:p>
    <w:p>
      <w:pPr>
        <w:pStyle w:val="yFootnoteheading"/>
      </w:pPr>
      <w:r>
        <w:tab/>
        <w:t>[Heading inserted in Gazette 24 Jun 2005 p. 2832.]</w:t>
      </w: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49"/>
        <w:gridCol w:w="3766"/>
      </w:tblGrid>
      <w:tr>
        <w:tc>
          <w:tcPr>
            <w:tcW w:w="3149" w:type="dxa"/>
          </w:tcPr>
          <w:p>
            <w:pPr>
              <w:pStyle w:val="yTable"/>
              <w:spacing w:before="120" w:after="40"/>
              <w:ind w:left="482" w:hanging="482"/>
              <w:rPr>
                <w:b/>
                <w:spacing w:val="-2"/>
                <w:sz w:val="20"/>
              </w:rPr>
            </w:pPr>
            <w:r>
              <w:rPr>
                <w:b/>
                <w:spacing w:val="-2"/>
                <w:sz w:val="20"/>
              </w:rPr>
              <w:t>Berthage/Use of Service Jetty</w:t>
            </w:r>
          </w:p>
          <w:p>
            <w:pPr>
              <w:pStyle w:val="yTable"/>
              <w:spacing w:after="40"/>
              <w:rPr>
                <w:spacing w:val="-2"/>
                <w:sz w:val="20"/>
              </w:rPr>
            </w:pPr>
            <w:r>
              <w:rPr>
                <w:spacing w:val="-2"/>
                <w:sz w:val="20"/>
              </w:rPr>
              <w:t>Daily Casual Fee (per day or part of a day)</w:t>
            </w:r>
          </w:p>
        </w:tc>
        <w:tc>
          <w:tcPr>
            <w:tcW w:w="3766" w:type="dxa"/>
          </w:tcPr>
          <w:p>
            <w:pPr>
              <w:pStyle w:val="yTable"/>
              <w:spacing w:after="40"/>
              <w:rPr>
                <w:spacing w:val="-2"/>
                <w:sz w:val="20"/>
              </w:rPr>
            </w:pPr>
          </w:p>
          <w:p>
            <w:pPr>
              <w:pStyle w:val="yTable"/>
              <w:spacing w:after="40"/>
              <w:rPr>
                <w:spacing w:val="-2"/>
                <w:sz w:val="20"/>
              </w:rPr>
            </w:pPr>
            <w:r>
              <w:rPr>
                <w:spacing w:val="-2"/>
                <w:sz w:val="20"/>
              </w:rPr>
              <w:br/>
              <w:t>$5.92/m x length of vessel</w:t>
            </w:r>
          </w:p>
        </w:tc>
      </w:tr>
    </w:tbl>
    <w:p>
      <w:pPr>
        <w:pStyle w:val="yNumberedItem"/>
      </w:pPr>
      <w:r>
        <w:t xml:space="preserve">Note: </w:t>
      </w:r>
      <w:r>
        <w:tab/>
        <w:t>Use of the service jetty is likely to be restricted to load/unload/fuelling operations only, after which vessels will need to be relocated to the mooring piles.</w:t>
      </w: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36"/>
        <w:gridCol w:w="3765"/>
      </w:tblGrid>
      <w:tr>
        <w:trPr>
          <w:cantSplit/>
        </w:trPr>
        <w:tc>
          <w:tcPr>
            <w:tcW w:w="3136" w:type="dxa"/>
            <w:tcBorders>
              <w:bottom w:val="single" w:sz="4" w:space="0" w:color="auto"/>
            </w:tcBorders>
          </w:tcPr>
          <w:p>
            <w:pPr>
              <w:pStyle w:val="yTable"/>
              <w:spacing w:after="120"/>
              <w:rPr>
                <w:spacing w:val="-2"/>
                <w:sz w:val="20"/>
              </w:rPr>
            </w:pPr>
            <w:r>
              <w:rPr>
                <w:spacing w:val="-2"/>
                <w:sz w:val="20"/>
              </w:rPr>
              <w:t>Annual Casual Berthage Fee (for short term use, e.g. 1 to 2 hours) —</w:t>
            </w:r>
          </w:p>
        </w:tc>
        <w:tc>
          <w:tcPr>
            <w:tcW w:w="3765" w:type="dxa"/>
            <w:tcBorders>
              <w:bottom w:val="single" w:sz="4" w:space="0" w:color="auto"/>
            </w:tcBorders>
          </w:tcPr>
          <w:p>
            <w:pPr>
              <w:pStyle w:val="yTable"/>
              <w:spacing w:after="120"/>
              <w:rPr>
                <w:spacing w:val="-2"/>
                <w:sz w:val="20"/>
              </w:rPr>
            </w:pPr>
            <w:r>
              <w:rPr>
                <w:spacing w:val="-2"/>
                <w:sz w:val="20"/>
              </w:rPr>
              <w:br/>
              <w:t>$118.57/m x length of vessel</w:t>
            </w:r>
          </w:p>
        </w:tc>
      </w:tr>
      <w:tr>
        <w:trPr>
          <w:cantSplit/>
        </w:trPr>
        <w:tc>
          <w:tcPr>
            <w:tcW w:w="6901" w:type="dxa"/>
            <w:gridSpan w:val="2"/>
            <w:tcBorders>
              <w:top w:val="nil"/>
              <w:left w:val="nil"/>
              <w:right w:val="nil"/>
            </w:tcBorders>
          </w:tcPr>
          <w:p>
            <w:pPr>
              <w:pStyle w:val="yNumberedItem"/>
            </w:pPr>
            <w:r>
              <w:t xml:space="preserve">Note: </w:t>
            </w:r>
            <w:r>
              <w:tab/>
              <w:t>Despite the payment of an Annual Casual Berthing Fee, vessels remaining alongside the wharf for other than active loading/unloading/fuelling operations will also be required to pay the Daily Casual Fee, and will be subject to similar conditions as those set out in the note to that Fee, on each day that extended use is required/approved.</w:t>
            </w:r>
          </w:p>
          <w:p>
            <w:pPr>
              <w:pStyle w:val="yNumberedItem"/>
            </w:pPr>
            <w:r>
              <w:t xml:space="preserve">Note: </w:t>
            </w:r>
            <w:r>
              <w:tab/>
              <w:t>Subject to availability, and to suitability of vessel, payment of the annual fee option would also cover shared use of the mooring piles or service wharf during cyclone alerts.</w:t>
            </w:r>
          </w:p>
        </w:tc>
      </w:tr>
      <w:tr>
        <w:trPr>
          <w:cantSplit/>
        </w:trPr>
        <w:tc>
          <w:tcPr>
            <w:tcW w:w="6901" w:type="dxa"/>
            <w:gridSpan w:val="2"/>
          </w:tcPr>
          <w:p>
            <w:pPr>
              <w:pStyle w:val="yTable"/>
              <w:spacing w:after="120"/>
              <w:rPr>
                <w:spacing w:val="-2"/>
                <w:sz w:val="20"/>
              </w:rPr>
            </w:pPr>
            <w:r>
              <w:rPr>
                <w:b/>
                <w:spacing w:val="-2"/>
                <w:sz w:val="20"/>
              </w:rPr>
              <w:t xml:space="preserve">Shared use of facilities </w:t>
            </w:r>
            <w:r>
              <w:rPr>
                <w:spacing w:val="-2"/>
                <w:sz w:val="20"/>
              </w:rPr>
              <w:t>(including mooring piles, service wharf to load, unload or for maintenance, extended berthing, access during cyclone alerts)</w:t>
            </w:r>
          </w:p>
        </w:tc>
      </w:tr>
      <w:tr>
        <w:trPr>
          <w:cantSplit/>
        </w:trPr>
        <w:tc>
          <w:tcPr>
            <w:tcW w:w="3136" w:type="dxa"/>
          </w:tcPr>
          <w:p>
            <w:pPr>
              <w:pStyle w:val="yTable"/>
              <w:spacing w:after="60"/>
              <w:ind w:left="198"/>
              <w:rPr>
                <w:spacing w:val="-2"/>
                <w:sz w:val="20"/>
              </w:rPr>
            </w:pPr>
            <w:r>
              <w:rPr>
                <w:spacing w:val="-2"/>
                <w:sz w:val="20"/>
              </w:rPr>
              <w:t>Annual Fee</w:t>
            </w:r>
          </w:p>
        </w:tc>
        <w:tc>
          <w:tcPr>
            <w:tcW w:w="3765" w:type="dxa"/>
          </w:tcPr>
          <w:p>
            <w:pPr>
              <w:pStyle w:val="yTable"/>
              <w:spacing w:after="60"/>
              <w:rPr>
                <w:spacing w:val="-2"/>
                <w:sz w:val="20"/>
              </w:rPr>
            </w:pPr>
            <w:r>
              <w:rPr>
                <w:spacing w:val="-2"/>
                <w:sz w:val="20"/>
              </w:rPr>
              <w:t>$237.14/m x length of vessel</w:t>
            </w:r>
          </w:p>
        </w:tc>
      </w:tr>
      <w:tr>
        <w:trPr>
          <w:cantSplit/>
        </w:trPr>
        <w:tc>
          <w:tcPr>
            <w:tcW w:w="3136" w:type="dxa"/>
          </w:tcPr>
          <w:p>
            <w:pPr>
              <w:pStyle w:val="yTable"/>
              <w:spacing w:after="60"/>
              <w:ind w:left="198"/>
              <w:rPr>
                <w:spacing w:val="-2"/>
                <w:sz w:val="20"/>
              </w:rPr>
            </w:pPr>
            <w:r>
              <w:rPr>
                <w:spacing w:val="-2"/>
                <w:sz w:val="20"/>
              </w:rPr>
              <w:t>Part Year Fee — 3 months or more paid in advance</w:t>
            </w:r>
          </w:p>
        </w:tc>
        <w:tc>
          <w:tcPr>
            <w:tcW w:w="3765" w:type="dxa"/>
          </w:tcPr>
          <w:p>
            <w:pPr>
              <w:pStyle w:val="yTable"/>
              <w:spacing w:after="60"/>
              <w:rPr>
                <w:spacing w:val="-2"/>
                <w:sz w:val="20"/>
              </w:rPr>
            </w:pPr>
            <w:r>
              <w:rPr>
                <w:spacing w:val="-2"/>
                <w:sz w:val="20"/>
              </w:rPr>
              <w:br/>
              <w:t>$23.71/m x length of vessel, per month</w:t>
            </w:r>
          </w:p>
        </w:tc>
      </w:tr>
      <w:tr>
        <w:trPr>
          <w:cantSplit/>
        </w:trPr>
        <w:tc>
          <w:tcPr>
            <w:tcW w:w="3136" w:type="dxa"/>
          </w:tcPr>
          <w:p>
            <w:pPr>
              <w:pStyle w:val="yTable"/>
              <w:spacing w:after="60"/>
              <w:ind w:left="198"/>
              <w:rPr>
                <w:spacing w:val="-2"/>
                <w:sz w:val="20"/>
              </w:rPr>
            </w:pPr>
            <w:r>
              <w:rPr>
                <w:spacing w:val="-2"/>
                <w:sz w:val="20"/>
              </w:rPr>
              <w:t>Monthly Fee</w:t>
            </w:r>
          </w:p>
        </w:tc>
        <w:tc>
          <w:tcPr>
            <w:tcW w:w="3765" w:type="dxa"/>
          </w:tcPr>
          <w:p>
            <w:pPr>
              <w:pStyle w:val="yTable"/>
              <w:spacing w:after="60"/>
              <w:rPr>
                <w:spacing w:val="-2"/>
                <w:sz w:val="20"/>
              </w:rPr>
            </w:pPr>
            <w:r>
              <w:rPr>
                <w:spacing w:val="-2"/>
                <w:sz w:val="20"/>
              </w:rPr>
              <w:t>$47.43/m x length of vessel, per month</w:t>
            </w:r>
          </w:p>
        </w:tc>
      </w:tr>
      <w:tr>
        <w:trPr>
          <w:cantSplit/>
        </w:trPr>
        <w:tc>
          <w:tcPr>
            <w:tcW w:w="3136" w:type="dxa"/>
          </w:tcPr>
          <w:p>
            <w:pPr>
              <w:pStyle w:val="yTable"/>
              <w:spacing w:after="60"/>
              <w:ind w:left="198"/>
              <w:rPr>
                <w:spacing w:val="-2"/>
                <w:sz w:val="20"/>
              </w:rPr>
            </w:pPr>
            <w:r>
              <w:rPr>
                <w:spacing w:val="-2"/>
                <w:sz w:val="20"/>
              </w:rPr>
              <w:t>Weekly Fee</w:t>
            </w:r>
          </w:p>
        </w:tc>
        <w:tc>
          <w:tcPr>
            <w:tcW w:w="3765" w:type="dxa"/>
          </w:tcPr>
          <w:p>
            <w:pPr>
              <w:pStyle w:val="yTable"/>
              <w:spacing w:after="60"/>
              <w:rPr>
                <w:spacing w:val="-2"/>
                <w:sz w:val="20"/>
              </w:rPr>
            </w:pPr>
            <w:r>
              <w:rPr>
                <w:spacing w:val="-2"/>
                <w:sz w:val="20"/>
              </w:rPr>
              <w:t>$29.60/m x length of vessel, per week</w:t>
            </w:r>
          </w:p>
        </w:tc>
      </w:tr>
      <w:tr>
        <w:trPr>
          <w:cantSplit/>
        </w:trPr>
        <w:tc>
          <w:tcPr>
            <w:tcW w:w="3136" w:type="dxa"/>
          </w:tcPr>
          <w:p>
            <w:pPr>
              <w:pStyle w:val="yTable"/>
              <w:spacing w:after="60"/>
              <w:ind w:left="198"/>
              <w:rPr>
                <w:spacing w:val="-2"/>
                <w:sz w:val="20"/>
              </w:rPr>
            </w:pPr>
            <w:r>
              <w:rPr>
                <w:spacing w:val="-2"/>
                <w:sz w:val="20"/>
              </w:rPr>
              <w:t>Daily Fee</w:t>
            </w:r>
          </w:p>
        </w:tc>
        <w:tc>
          <w:tcPr>
            <w:tcW w:w="3765" w:type="dxa"/>
          </w:tcPr>
          <w:p>
            <w:pPr>
              <w:pStyle w:val="yTable"/>
              <w:spacing w:after="60"/>
              <w:rPr>
                <w:spacing w:val="-2"/>
                <w:sz w:val="20"/>
              </w:rPr>
            </w:pPr>
            <w:r>
              <w:rPr>
                <w:spacing w:val="-2"/>
                <w:sz w:val="20"/>
              </w:rPr>
              <w:t>$5.92/m x length of vessel, per day</w:t>
            </w:r>
          </w:p>
        </w:tc>
      </w:tr>
      <w:tr>
        <w:trPr>
          <w:cantSplit/>
        </w:trPr>
        <w:tc>
          <w:tcPr>
            <w:tcW w:w="3136" w:type="dxa"/>
          </w:tcPr>
          <w:p>
            <w:pPr>
              <w:pStyle w:val="yTable"/>
              <w:spacing w:after="60"/>
              <w:rPr>
                <w:spacing w:val="-2"/>
                <w:sz w:val="20"/>
              </w:rPr>
            </w:pPr>
            <w:r>
              <w:rPr>
                <w:b/>
                <w:spacing w:val="-2"/>
                <w:sz w:val="20"/>
              </w:rPr>
              <w:t>Fee for use of Service Jetty Hardstanding Area for storage or maintenance</w:t>
            </w:r>
            <w:r>
              <w:rPr>
                <w:spacing w:val="-2"/>
                <w:sz w:val="20"/>
              </w:rPr>
              <w:t> </w:t>
            </w:r>
            <w:r>
              <w:rPr>
                <w:i/>
                <w:snapToGrid w:val="0"/>
                <w:sz w:val="20"/>
              </w:rPr>
              <w:t>—</w:t>
            </w:r>
            <w:r>
              <w:rPr>
                <w:spacing w:val="-2"/>
                <w:sz w:val="20"/>
              </w:rPr>
              <w:t> </w:t>
            </w:r>
          </w:p>
          <w:p>
            <w:pPr>
              <w:pStyle w:val="yTable"/>
              <w:spacing w:after="40"/>
              <w:ind w:left="340" w:hanging="142"/>
              <w:rPr>
                <w:spacing w:val="-2"/>
                <w:sz w:val="20"/>
              </w:rPr>
            </w:pPr>
            <w:r>
              <w:rPr>
                <w:spacing w:val="-2"/>
                <w:sz w:val="20"/>
              </w:rPr>
              <w:t>For the first 30 days</w:t>
            </w:r>
          </w:p>
        </w:tc>
        <w:tc>
          <w:tcPr>
            <w:tcW w:w="3765" w:type="dxa"/>
          </w:tcPr>
          <w:p>
            <w:pPr>
              <w:pStyle w:val="yTable"/>
              <w:spacing w:after="40"/>
              <w:rPr>
                <w:spacing w:val="-2"/>
                <w:sz w:val="20"/>
              </w:rPr>
            </w:pPr>
            <w:r>
              <w:rPr>
                <w:spacing w:val="-2"/>
                <w:sz w:val="20"/>
              </w:rPr>
              <w:br/>
            </w:r>
            <w:r>
              <w:rPr>
                <w:spacing w:val="-2"/>
                <w:sz w:val="20"/>
              </w:rPr>
              <w:br/>
            </w:r>
          </w:p>
          <w:p>
            <w:pPr>
              <w:pStyle w:val="yTable"/>
              <w:spacing w:after="40"/>
              <w:rPr>
                <w:b/>
                <w:spacing w:val="-2"/>
                <w:sz w:val="20"/>
              </w:rPr>
            </w:pPr>
            <w:r>
              <w:rPr>
                <w:spacing w:val="-2"/>
                <w:sz w:val="20"/>
              </w:rPr>
              <w:t>$5.92 per day or part of a day</w:t>
            </w:r>
          </w:p>
        </w:tc>
      </w:tr>
      <w:tr>
        <w:trPr>
          <w:cantSplit/>
        </w:trPr>
        <w:tc>
          <w:tcPr>
            <w:tcW w:w="3136" w:type="dxa"/>
          </w:tcPr>
          <w:p>
            <w:pPr>
              <w:pStyle w:val="yTable"/>
              <w:spacing w:after="60"/>
              <w:ind w:left="340" w:hanging="142"/>
              <w:rPr>
                <w:spacing w:val="-2"/>
                <w:sz w:val="20"/>
              </w:rPr>
            </w:pPr>
            <w:r>
              <w:rPr>
                <w:spacing w:val="-2"/>
                <w:sz w:val="20"/>
              </w:rPr>
              <w:t>After 30 days</w:t>
            </w:r>
          </w:p>
        </w:tc>
        <w:tc>
          <w:tcPr>
            <w:tcW w:w="3765" w:type="dxa"/>
          </w:tcPr>
          <w:p>
            <w:pPr>
              <w:pStyle w:val="yTable"/>
              <w:spacing w:after="60"/>
              <w:rPr>
                <w:spacing w:val="-2"/>
                <w:sz w:val="20"/>
              </w:rPr>
            </w:pPr>
            <w:r>
              <w:rPr>
                <w:spacing w:val="-2"/>
                <w:sz w:val="20"/>
              </w:rPr>
              <w:t>$23.71 per day or part of a day</w:t>
            </w:r>
          </w:p>
        </w:tc>
      </w:tr>
      <w:tr>
        <w:trPr>
          <w:cantSplit/>
        </w:trPr>
        <w:tc>
          <w:tcPr>
            <w:tcW w:w="3136" w:type="dxa"/>
          </w:tcPr>
          <w:p>
            <w:pPr>
              <w:pStyle w:val="yTable"/>
              <w:spacing w:after="120"/>
              <w:ind w:left="198" w:hanging="198"/>
              <w:rPr>
                <w:spacing w:val="-2"/>
                <w:sz w:val="20"/>
              </w:rPr>
            </w:pPr>
            <w:r>
              <w:rPr>
                <w:b/>
                <w:spacing w:val="-2"/>
                <w:sz w:val="20"/>
              </w:rPr>
              <w:t>3</w:t>
            </w:r>
            <w:r>
              <w:rPr>
                <w:b/>
                <w:spacing w:val="-2"/>
                <w:sz w:val="20"/>
              </w:rPr>
              <w:noBreakHyphen/>
              <w:t>phase electric power charges</w:t>
            </w:r>
            <w:r>
              <w:rPr>
                <w:spacing w:val="-2"/>
                <w:sz w:val="20"/>
              </w:rPr>
              <w:t> </w:t>
            </w:r>
            <w:r>
              <w:rPr>
                <w:i/>
                <w:snapToGrid w:val="0"/>
                <w:sz w:val="20"/>
              </w:rPr>
              <w:t>—</w:t>
            </w:r>
            <w:r>
              <w:rPr>
                <w:spacing w:val="-2"/>
                <w:sz w:val="20"/>
              </w:rPr>
              <w:t> </w:t>
            </w:r>
            <w:r>
              <w:rPr>
                <w:spacing w:val="-2"/>
                <w:sz w:val="20"/>
              </w:rPr>
              <w:br/>
              <w:t>(all vessels)</w:t>
            </w:r>
          </w:p>
        </w:tc>
        <w:tc>
          <w:tcPr>
            <w:tcW w:w="3765" w:type="dxa"/>
          </w:tcPr>
          <w:p>
            <w:pPr>
              <w:pStyle w:val="yTable"/>
              <w:spacing w:after="40"/>
              <w:rPr>
                <w:spacing w:val="-2"/>
                <w:sz w:val="20"/>
              </w:rPr>
            </w:pPr>
            <w:r>
              <w:rPr>
                <w:spacing w:val="-2"/>
                <w:sz w:val="20"/>
              </w:rPr>
              <w:br/>
              <w:t>At cost</w:t>
            </w:r>
          </w:p>
        </w:tc>
      </w:tr>
      <w:tr>
        <w:tblPrEx>
          <w:tblCellMar>
            <w:left w:w="85" w:type="dxa"/>
            <w:right w:w="85" w:type="dxa"/>
          </w:tblCellMar>
        </w:tblPrEx>
        <w:trPr>
          <w:cantSplit/>
        </w:trPr>
        <w:tc>
          <w:tcPr>
            <w:tcW w:w="3136" w:type="dxa"/>
            <w:tcBorders>
              <w:bottom w:val="nil"/>
            </w:tcBorders>
          </w:tcPr>
          <w:p>
            <w:pPr>
              <w:pStyle w:val="yTable"/>
              <w:spacing w:before="120" w:after="120"/>
              <w:ind w:left="198" w:hanging="198"/>
              <w:rPr>
                <w:spacing w:val="-2"/>
                <w:sz w:val="20"/>
              </w:rPr>
            </w:pPr>
            <w:r>
              <w:rPr>
                <w:b/>
                <w:spacing w:val="-2"/>
                <w:sz w:val="20"/>
              </w:rPr>
              <w:t>Service charges</w:t>
            </w:r>
            <w:r>
              <w:rPr>
                <w:spacing w:val="-2"/>
                <w:sz w:val="20"/>
              </w:rPr>
              <w:t> </w:t>
            </w:r>
            <w:r>
              <w:rPr>
                <w:i/>
                <w:snapToGrid w:val="0"/>
                <w:sz w:val="20"/>
              </w:rPr>
              <w:t>—</w:t>
            </w:r>
            <w:r>
              <w:rPr>
                <w:i/>
                <w:snapToGrid w:val="0"/>
                <w:sz w:val="20"/>
              </w:rPr>
              <w:br/>
            </w:r>
            <w:r>
              <w:rPr>
                <w:spacing w:val="-4"/>
                <w:sz w:val="20"/>
              </w:rPr>
              <w:t>water and electric power (single phase) when berthed at private jetties and drawing water or single phase power from service jetty outlets</w:t>
            </w:r>
          </w:p>
        </w:tc>
        <w:tc>
          <w:tcPr>
            <w:tcW w:w="3765" w:type="dxa"/>
            <w:tcBorders>
              <w:bottom w:val="nil"/>
            </w:tcBorders>
          </w:tcPr>
          <w:p>
            <w:pPr>
              <w:pStyle w:val="yTable"/>
              <w:spacing w:before="120" w:after="120"/>
              <w:rPr>
                <w:spacing w:val="-2"/>
                <w:sz w:val="20"/>
              </w:rPr>
            </w:pPr>
            <w:r>
              <w:rPr>
                <w:spacing w:val="-2"/>
                <w:sz w:val="20"/>
              </w:rPr>
              <w:br/>
              <w:t>$5.92 per day or part of a day but, if any large drawing of water occurs and the value of the water exceeds $5.92, the water to be charged at cost</w:t>
            </w:r>
          </w:p>
        </w:tc>
      </w:tr>
      <w:tr>
        <w:tblPrEx>
          <w:tblCellMar>
            <w:left w:w="85" w:type="dxa"/>
            <w:right w:w="85" w:type="dxa"/>
          </w:tblCellMar>
        </w:tblPrEx>
        <w:trPr>
          <w:cantSplit/>
        </w:trPr>
        <w:tc>
          <w:tcPr>
            <w:tcW w:w="3136" w:type="dxa"/>
            <w:tcBorders>
              <w:bottom w:val="single" w:sz="4" w:space="0" w:color="auto"/>
            </w:tcBorders>
          </w:tcPr>
          <w:p>
            <w:pPr>
              <w:pStyle w:val="yTable"/>
              <w:spacing w:after="40"/>
              <w:ind w:left="198"/>
              <w:rPr>
                <w:spacing w:val="-4"/>
                <w:sz w:val="20"/>
              </w:rPr>
            </w:pPr>
            <w:r>
              <w:rPr>
                <w:spacing w:val="-4"/>
                <w:sz w:val="20"/>
              </w:rPr>
              <w:t>water and electric power (single phase) when using the service jetty hardstand for storage or maintenance</w:t>
            </w:r>
          </w:p>
        </w:tc>
        <w:tc>
          <w:tcPr>
            <w:tcW w:w="3765" w:type="dxa"/>
            <w:tcBorders>
              <w:bottom w:val="single" w:sz="4" w:space="0" w:color="auto"/>
            </w:tcBorders>
          </w:tcPr>
          <w:p>
            <w:pPr>
              <w:pStyle w:val="yTable"/>
              <w:keepNext/>
              <w:spacing w:after="40"/>
              <w:rPr>
                <w:spacing w:val="-2"/>
                <w:sz w:val="20"/>
              </w:rPr>
            </w:pPr>
            <w:r>
              <w:rPr>
                <w:spacing w:val="-2"/>
                <w:sz w:val="20"/>
              </w:rPr>
              <w:br/>
            </w:r>
            <w:r>
              <w:rPr>
                <w:spacing w:val="-2"/>
                <w:sz w:val="20"/>
              </w:rPr>
              <w:br/>
              <w:t>Charge forms a part of berthage fee</w:t>
            </w:r>
          </w:p>
        </w:tc>
      </w:tr>
    </w:tbl>
    <w:p>
      <w:pPr>
        <w:pStyle w:val="yNumberedItem"/>
      </w:pPr>
      <w:r>
        <w:t>Note:</w:t>
      </w:r>
      <w:r>
        <w:tab/>
        <w:t>No fee is payable for vessels seeking and being granted accommodation on the hardstand purely during the course of a cyclone event.</w:t>
      </w:r>
    </w:p>
    <w:p>
      <w:pPr>
        <w:pStyle w:val="yHeading4"/>
      </w:pPr>
      <w:bookmarkStart w:id="696" w:name="_Toc170210279"/>
      <w:r>
        <w:t>Subdivision 5</w:t>
      </w:r>
      <w:r>
        <w:rPr>
          <w:b w:val="0"/>
        </w:rPr>
        <w:t> — </w:t>
      </w:r>
      <w:r>
        <w:t>Bremer Bay</w:t>
      </w:r>
      <w:bookmarkEnd w:id="696"/>
    </w:p>
    <w:p>
      <w:pPr>
        <w:pStyle w:val="yFootnoteheading"/>
      </w:pPr>
      <w:r>
        <w:tab/>
        <w:t>[Heading inserted in Gazette 24 Jun 2005 p. 2833.]</w:t>
      </w: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49"/>
        <w:gridCol w:w="3780"/>
      </w:tblGrid>
      <w:tr>
        <w:tc>
          <w:tcPr>
            <w:tcW w:w="3149" w:type="dxa"/>
          </w:tcPr>
          <w:p>
            <w:pPr>
              <w:pStyle w:val="yTable"/>
              <w:spacing w:after="120"/>
              <w:rPr>
                <w:spacing w:val="-2"/>
                <w:sz w:val="20"/>
              </w:rPr>
            </w:pPr>
            <w:r>
              <w:rPr>
                <w:b/>
                <w:spacing w:val="-2"/>
                <w:sz w:val="20"/>
              </w:rPr>
              <w:t>Berthage Fee</w:t>
            </w:r>
            <w:r>
              <w:rPr>
                <w:spacing w:val="-2"/>
                <w:sz w:val="20"/>
              </w:rPr>
              <w:t xml:space="preserve"> (per day or part of a day) To be paid by users of service jetty</w:t>
            </w:r>
          </w:p>
        </w:tc>
        <w:tc>
          <w:tcPr>
            <w:tcW w:w="3780" w:type="dxa"/>
          </w:tcPr>
          <w:p>
            <w:pPr>
              <w:pStyle w:val="yTable"/>
              <w:spacing w:after="120"/>
              <w:rPr>
                <w:spacing w:val="-2"/>
                <w:sz w:val="20"/>
              </w:rPr>
            </w:pPr>
            <w:r>
              <w:rPr>
                <w:spacing w:val="-2"/>
                <w:sz w:val="20"/>
              </w:rPr>
              <w:br/>
            </w:r>
            <w:r>
              <w:rPr>
                <w:spacing w:val="-2"/>
                <w:sz w:val="20"/>
              </w:rPr>
              <w:br/>
              <w:t>$5.92/m x length of vessel</w:t>
            </w:r>
          </w:p>
        </w:tc>
      </w:tr>
      <w:tr>
        <w:tc>
          <w:tcPr>
            <w:tcW w:w="3149" w:type="dxa"/>
            <w:tcBorders>
              <w:bottom w:val="nil"/>
            </w:tcBorders>
          </w:tcPr>
          <w:p>
            <w:pPr>
              <w:pStyle w:val="yTable"/>
              <w:spacing w:after="120"/>
              <w:rPr>
                <w:b/>
                <w:spacing w:val="-2"/>
                <w:sz w:val="20"/>
              </w:rPr>
            </w:pPr>
            <w:r>
              <w:rPr>
                <w:b/>
                <w:spacing w:val="-2"/>
                <w:sz w:val="20"/>
              </w:rPr>
              <w:t>Casual Berthage Fees for Short Term Use</w:t>
            </w:r>
            <w:r>
              <w:rPr>
                <w:b/>
                <w:spacing w:val="-2"/>
                <w:sz w:val="20"/>
              </w:rPr>
              <w:br/>
            </w:r>
            <w:r>
              <w:rPr>
                <w:spacing w:val="-2"/>
                <w:sz w:val="20"/>
              </w:rPr>
              <w:t xml:space="preserve">For charter vessels or combined charter/fishing vessels that have paid mooring fees, and use the jetty for passenger transfer or maintenance — </w:t>
            </w:r>
            <w:r>
              <w:rPr>
                <w:spacing w:val="-2"/>
                <w:sz w:val="20"/>
              </w:rPr>
              <w:br/>
              <w:t>per annum</w:t>
            </w:r>
            <w:r>
              <w:rPr>
                <w:spacing w:val="-2"/>
                <w:sz w:val="20"/>
              </w:rPr>
              <w:br/>
              <w:t>per day (or part of a day)</w:t>
            </w:r>
          </w:p>
        </w:tc>
        <w:tc>
          <w:tcPr>
            <w:tcW w:w="3780" w:type="dxa"/>
            <w:tcBorders>
              <w:bottom w:val="nil"/>
            </w:tcBorders>
          </w:tcPr>
          <w:p>
            <w:pPr>
              <w:pStyle w:val="yTable"/>
              <w:keepNext/>
              <w:spacing w:after="120"/>
              <w:rPr>
                <w:spacing w:val="-2"/>
                <w:sz w:val="20"/>
              </w:rPr>
            </w:pPr>
            <w:r>
              <w:rPr>
                <w:spacing w:val="-2"/>
                <w:sz w:val="20"/>
              </w:rPr>
              <w:br/>
            </w:r>
            <w:r>
              <w:rPr>
                <w:spacing w:val="-2"/>
                <w:sz w:val="20"/>
              </w:rPr>
              <w:br/>
            </w:r>
            <w:r>
              <w:rPr>
                <w:spacing w:val="-2"/>
                <w:sz w:val="20"/>
              </w:rPr>
              <w:br/>
            </w:r>
            <w:r>
              <w:rPr>
                <w:spacing w:val="-2"/>
                <w:sz w:val="20"/>
              </w:rPr>
              <w:br/>
            </w:r>
            <w:r>
              <w:rPr>
                <w:spacing w:val="-2"/>
                <w:sz w:val="20"/>
              </w:rPr>
              <w:br/>
            </w:r>
            <w:r>
              <w:rPr>
                <w:spacing w:val="-2"/>
                <w:sz w:val="20"/>
              </w:rPr>
              <w:br/>
              <w:t>$71.14/m x length of vessel</w:t>
            </w:r>
            <w:r>
              <w:rPr>
                <w:spacing w:val="-2"/>
                <w:sz w:val="20"/>
              </w:rPr>
              <w:br/>
              <w:t>$2.97/m x length of vessel</w:t>
            </w:r>
          </w:p>
        </w:tc>
      </w:tr>
      <w:tr>
        <w:tc>
          <w:tcPr>
            <w:tcW w:w="3149" w:type="dxa"/>
            <w:tcBorders>
              <w:bottom w:val="nil"/>
            </w:tcBorders>
          </w:tcPr>
          <w:p>
            <w:pPr>
              <w:pStyle w:val="yTable"/>
              <w:spacing w:after="40"/>
              <w:rPr>
                <w:b/>
                <w:spacing w:val="-2"/>
                <w:sz w:val="20"/>
              </w:rPr>
            </w:pPr>
            <w:r>
              <w:rPr>
                <w:b/>
                <w:spacing w:val="-2"/>
                <w:sz w:val="20"/>
              </w:rPr>
              <w:t>Electric Power Charge</w:t>
            </w:r>
          </w:p>
          <w:p>
            <w:pPr>
              <w:pStyle w:val="yTable"/>
              <w:spacing w:after="40"/>
              <w:ind w:left="230"/>
              <w:rPr>
                <w:spacing w:val="-2"/>
                <w:sz w:val="20"/>
              </w:rPr>
            </w:pPr>
            <w:r>
              <w:rPr>
                <w:spacing w:val="-2"/>
                <w:sz w:val="20"/>
              </w:rPr>
              <w:t>3</w:t>
            </w:r>
            <w:r>
              <w:rPr>
                <w:spacing w:val="-2"/>
                <w:sz w:val="20"/>
              </w:rPr>
              <w:noBreakHyphen/>
              <w:t>phase</w:t>
            </w:r>
          </w:p>
          <w:p>
            <w:pPr>
              <w:pStyle w:val="yTable"/>
              <w:spacing w:after="40"/>
              <w:ind w:left="230"/>
              <w:rPr>
                <w:b/>
                <w:spacing w:val="-2"/>
                <w:sz w:val="20"/>
              </w:rPr>
            </w:pPr>
            <w:r>
              <w:rPr>
                <w:spacing w:val="-2"/>
                <w:sz w:val="20"/>
              </w:rPr>
              <w:t>Single phase (for vessels not paying wharfage or berthage fee)</w:t>
            </w:r>
          </w:p>
        </w:tc>
        <w:tc>
          <w:tcPr>
            <w:tcW w:w="3780" w:type="dxa"/>
            <w:tcBorders>
              <w:bottom w:val="nil"/>
            </w:tcBorders>
          </w:tcPr>
          <w:p>
            <w:pPr>
              <w:pStyle w:val="yTable"/>
              <w:spacing w:after="40"/>
              <w:rPr>
                <w:spacing w:val="-2"/>
                <w:sz w:val="20"/>
              </w:rPr>
            </w:pPr>
          </w:p>
          <w:p>
            <w:pPr>
              <w:pStyle w:val="yTable"/>
              <w:spacing w:after="40"/>
              <w:rPr>
                <w:spacing w:val="-2"/>
                <w:sz w:val="20"/>
              </w:rPr>
            </w:pPr>
            <w:r>
              <w:rPr>
                <w:spacing w:val="-2"/>
                <w:sz w:val="20"/>
              </w:rPr>
              <w:t>$23.71 per 12 hour period</w:t>
            </w:r>
          </w:p>
          <w:p>
            <w:pPr>
              <w:pStyle w:val="yTable"/>
              <w:spacing w:after="40"/>
              <w:rPr>
                <w:spacing w:val="-2"/>
                <w:sz w:val="20"/>
              </w:rPr>
            </w:pPr>
            <w:r>
              <w:rPr>
                <w:spacing w:val="-2"/>
                <w:sz w:val="20"/>
              </w:rPr>
              <w:br/>
              <w:t xml:space="preserve">$5.92 per day </w:t>
            </w:r>
          </w:p>
        </w:tc>
      </w:tr>
      <w:tr>
        <w:tc>
          <w:tcPr>
            <w:tcW w:w="3149" w:type="dxa"/>
            <w:tcBorders>
              <w:bottom w:val="single" w:sz="4" w:space="0" w:color="auto"/>
            </w:tcBorders>
          </w:tcPr>
          <w:p>
            <w:pPr>
              <w:pStyle w:val="yTable"/>
              <w:spacing w:after="120"/>
              <w:rPr>
                <w:b/>
                <w:spacing w:val="-2"/>
                <w:sz w:val="20"/>
                <w:lang w:val="en-US"/>
              </w:rPr>
            </w:pPr>
            <w:r>
              <w:rPr>
                <w:b/>
                <w:spacing w:val="-2"/>
                <w:sz w:val="20"/>
              </w:rPr>
              <w:t xml:space="preserve">Water Charge </w:t>
            </w:r>
            <w:r>
              <w:rPr>
                <w:spacing w:val="-2"/>
                <w:sz w:val="20"/>
              </w:rPr>
              <w:t>(for vessels not paying wharfage or berthage fee)</w:t>
            </w:r>
          </w:p>
        </w:tc>
        <w:tc>
          <w:tcPr>
            <w:tcW w:w="3780" w:type="dxa"/>
            <w:tcBorders>
              <w:bottom w:val="single" w:sz="4" w:space="0" w:color="auto"/>
            </w:tcBorders>
          </w:tcPr>
          <w:p>
            <w:pPr>
              <w:pStyle w:val="yTable"/>
              <w:spacing w:after="120"/>
              <w:rPr>
                <w:spacing w:val="-2"/>
                <w:sz w:val="20"/>
              </w:rPr>
            </w:pPr>
            <w:r>
              <w:rPr>
                <w:spacing w:val="-2"/>
                <w:sz w:val="20"/>
              </w:rPr>
              <w:t>$5.92 per day but, if any large drawing of water occurs and the value of the water exceeds $5.92, the water to be charged at cost</w:t>
            </w:r>
          </w:p>
        </w:tc>
      </w:tr>
    </w:tbl>
    <w:p>
      <w:pPr>
        <w:pStyle w:val="yNumberedItem"/>
      </w:pPr>
      <w:r>
        <w:t xml:space="preserve">Note: </w:t>
      </w:r>
      <w:r>
        <w:tab/>
        <w:t>The Berthage Fee is only payable by the users of the service jetty who are not paying wharfage on loaded or unloaded fishing products (see Schedule 1 Division 2).</w:t>
      </w:r>
    </w:p>
    <w:p>
      <w:pPr>
        <w:pStyle w:val="yHeading4"/>
      </w:pPr>
      <w:bookmarkStart w:id="697" w:name="_Toc170210280"/>
      <w:r>
        <w:t>Subdivision 6</w:t>
      </w:r>
      <w:r>
        <w:rPr>
          <w:b w:val="0"/>
        </w:rPr>
        <w:t> — </w:t>
      </w:r>
      <w:r>
        <w:t>Carnarvon Boat Harbour</w:t>
      </w:r>
      <w:bookmarkEnd w:id="697"/>
    </w:p>
    <w:p>
      <w:pPr>
        <w:pStyle w:val="yFootnoteheading"/>
      </w:pPr>
      <w:r>
        <w:tab/>
        <w:t>[Heading inserted in Gazette 24 Jun 2005 p. 2834.]</w:t>
      </w: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2015"/>
        <w:gridCol w:w="1134"/>
        <w:gridCol w:w="1134"/>
        <w:gridCol w:w="2693"/>
      </w:tblGrid>
      <w:tr>
        <w:trPr>
          <w:cantSplit/>
        </w:trPr>
        <w:tc>
          <w:tcPr>
            <w:tcW w:w="6976" w:type="dxa"/>
            <w:gridSpan w:val="4"/>
            <w:tcBorders>
              <w:bottom w:val="nil"/>
            </w:tcBorders>
          </w:tcPr>
          <w:p>
            <w:pPr>
              <w:pStyle w:val="yTable"/>
              <w:keepNext/>
              <w:spacing w:after="20"/>
              <w:rPr>
                <w:spacing w:val="-2"/>
                <w:sz w:val="20"/>
              </w:rPr>
            </w:pPr>
            <w:r>
              <w:rPr>
                <w:b/>
                <w:sz w:val="20"/>
              </w:rPr>
              <w:t>General mooring pens</w:t>
            </w:r>
            <w:r>
              <w:rPr>
                <w:sz w:val="20"/>
              </w:rPr>
              <w:t> </w:t>
            </w:r>
            <w:r>
              <w:rPr>
                <w:spacing w:val="-2"/>
                <w:sz w:val="20"/>
              </w:rPr>
              <w:t>(</w:t>
            </w:r>
            <w:r>
              <w:rPr>
                <w:i/>
                <w:spacing w:val="-2"/>
                <w:sz w:val="20"/>
              </w:rPr>
              <w:t>subject to a minimum chargeable length relative to the size of the pen, as set out below</w:t>
            </w:r>
            <w:r>
              <w:rPr>
                <w:spacing w:val="-2"/>
                <w:sz w:val="20"/>
              </w:rPr>
              <w:t>)</w:t>
            </w:r>
          </w:p>
        </w:tc>
      </w:tr>
      <w:tr>
        <w:tblPrEx>
          <w:tblBorders>
            <w:bottom w:val="double" w:sz="4" w:space="0" w:color="auto"/>
          </w:tblBorders>
        </w:tblPrEx>
        <w:trPr>
          <w:cantSplit/>
          <w:trHeight w:val="300"/>
        </w:trPr>
        <w:tc>
          <w:tcPr>
            <w:tcW w:w="2015" w:type="dxa"/>
            <w:tcBorders>
              <w:bottom w:val="single" w:sz="4" w:space="0" w:color="auto"/>
            </w:tcBorders>
          </w:tcPr>
          <w:p>
            <w:pPr>
              <w:pStyle w:val="yTable"/>
              <w:spacing w:after="20"/>
              <w:rPr>
                <w:b/>
                <w:spacing w:val="-2"/>
                <w:sz w:val="20"/>
              </w:rPr>
            </w:pPr>
          </w:p>
        </w:tc>
        <w:tc>
          <w:tcPr>
            <w:tcW w:w="2268" w:type="dxa"/>
            <w:gridSpan w:val="2"/>
            <w:tcBorders>
              <w:bottom w:val="single" w:sz="4" w:space="0" w:color="auto"/>
            </w:tcBorders>
          </w:tcPr>
          <w:p>
            <w:pPr>
              <w:pStyle w:val="yTable"/>
              <w:spacing w:after="20"/>
              <w:rPr>
                <w:spacing w:val="-2"/>
                <w:sz w:val="20"/>
              </w:rPr>
            </w:pPr>
            <w:r>
              <w:rPr>
                <w:spacing w:val="-2"/>
                <w:sz w:val="20"/>
              </w:rPr>
              <w:t>12 m pen</w:t>
            </w:r>
          </w:p>
        </w:tc>
        <w:tc>
          <w:tcPr>
            <w:tcW w:w="2693" w:type="dxa"/>
            <w:tcBorders>
              <w:bottom w:val="single" w:sz="4" w:space="0" w:color="auto"/>
            </w:tcBorders>
          </w:tcPr>
          <w:p>
            <w:pPr>
              <w:pStyle w:val="yTable"/>
              <w:spacing w:after="20"/>
              <w:rPr>
                <w:spacing w:val="-2"/>
                <w:sz w:val="20"/>
              </w:rPr>
            </w:pPr>
            <w:r>
              <w:rPr>
                <w:spacing w:val="-2"/>
                <w:sz w:val="20"/>
              </w:rPr>
              <w:t>at least 9.6 m</w:t>
            </w:r>
          </w:p>
        </w:tc>
      </w:tr>
      <w:tr>
        <w:tblPrEx>
          <w:tblBorders>
            <w:bottom w:val="double" w:sz="4" w:space="0" w:color="auto"/>
          </w:tblBorders>
        </w:tblPrEx>
        <w:trPr>
          <w:cantSplit/>
          <w:trHeight w:val="300"/>
        </w:trPr>
        <w:tc>
          <w:tcPr>
            <w:tcW w:w="2015" w:type="dxa"/>
            <w:tcBorders>
              <w:top w:val="single" w:sz="4" w:space="0" w:color="auto"/>
              <w:bottom w:val="single" w:sz="4" w:space="0" w:color="auto"/>
            </w:tcBorders>
          </w:tcPr>
          <w:p>
            <w:pPr>
              <w:pStyle w:val="yTable"/>
              <w:spacing w:after="20"/>
              <w:rPr>
                <w:b/>
                <w:spacing w:val="-2"/>
                <w:sz w:val="20"/>
              </w:rPr>
            </w:pPr>
          </w:p>
        </w:tc>
        <w:tc>
          <w:tcPr>
            <w:tcW w:w="2268" w:type="dxa"/>
            <w:gridSpan w:val="2"/>
            <w:tcBorders>
              <w:bottom w:val="single" w:sz="4" w:space="0" w:color="auto"/>
            </w:tcBorders>
          </w:tcPr>
          <w:p>
            <w:pPr>
              <w:pStyle w:val="yTable"/>
              <w:spacing w:after="20"/>
              <w:rPr>
                <w:spacing w:val="-2"/>
                <w:sz w:val="20"/>
              </w:rPr>
            </w:pPr>
            <w:r>
              <w:rPr>
                <w:spacing w:val="-2"/>
                <w:sz w:val="20"/>
              </w:rPr>
              <w:t>15 m pen</w:t>
            </w:r>
          </w:p>
        </w:tc>
        <w:tc>
          <w:tcPr>
            <w:tcW w:w="2693" w:type="dxa"/>
            <w:tcBorders>
              <w:bottom w:val="single" w:sz="4" w:space="0" w:color="auto"/>
            </w:tcBorders>
          </w:tcPr>
          <w:p>
            <w:pPr>
              <w:pStyle w:val="yTable"/>
              <w:spacing w:after="20"/>
              <w:rPr>
                <w:spacing w:val="-2"/>
                <w:sz w:val="20"/>
              </w:rPr>
            </w:pPr>
            <w:r>
              <w:rPr>
                <w:spacing w:val="-2"/>
                <w:sz w:val="20"/>
              </w:rPr>
              <w:t>at least 12 m</w:t>
            </w:r>
          </w:p>
        </w:tc>
      </w:tr>
      <w:tr>
        <w:tblPrEx>
          <w:tblBorders>
            <w:bottom w:val="double" w:sz="4" w:space="0" w:color="auto"/>
          </w:tblBorders>
        </w:tblPrEx>
        <w:trPr>
          <w:cantSplit/>
          <w:trHeight w:val="285"/>
        </w:trPr>
        <w:tc>
          <w:tcPr>
            <w:tcW w:w="2015" w:type="dxa"/>
            <w:tcBorders>
              <w:top w:val="nil"/>
              <w:bottom w:val="single" w:sz="4" w:space="0" w:color="auto"/>
            </w:tcBorders>
          </w:tcPr>
          <w:p>
            <w:pPr>
              <w:pStyle w:val="yTable"/>
              <w:spacing w:after="20"/>
              <w:rPr>
                <w:b/>
                <w:spacing w:val="-2"/>
                <w:sz w:val="20"/>
              </w:rPr>
            </w:pPr>
          </w:p>
        </w:tc>
        <w:tc>
          <w:tcPr>
            <w:tcW w:w="2268" w:type="dxa"/>
            <w:gridSpan w:val="2"/>
            <w:tcBorders>
              <w:bottom w:val="single" w:sz="4" w:space="0" w:color="auto"/>
            </w:tcBorders>
          </w:tcPr>
          <w:p>
            <w:pPr>
              <w:pStyle w:val="yTable"/>
              <w:spacing w:after="20"/>
              <w:rPr>
                <w:spacing w:val="-2"/>
                <w:sz w:val="20"/>
              </w:rPr>
            </w:pPr>
            <w:r>
              <w:rPr>
                <w:spacing w:val="-2"/>
                <w:sz w:val="20"/>
              </w:rPr>
              <w:t>20 m pen</w:t>
            </w:r>
          </w:p>
        </w:tc>
        <w:tc>
          <w:tcPr>
            <w:tcW w:w="2693" w:type="dxa"/>
            <w:tcBorders>
              <w:bottom w:val="single" w:sz="4" w:space="0" w:color="auto"/>
            </w:tcBorders>
          </w:tcPr>
          <w:p>
            <w:pPr>
              <w:pStyle w:val="yTable"/>
              <w:spacing w:after="20"/>
              <w:rPr>
                <w:spacing w:val="-2"/>
                <w:sz w:val="20"/>
              </w:rPr>
            </w:pPr>
            <w:r>
              <w:rPr>
                <w:spacing w:val="-2"/>
                <w:sz w:val="20"/>
              </w:rPr>
              <w:t>at least 16 m</w:t>
            </w:r>
          </w:p>
        </w:tc>
      </w:tr>
      <w:tr>
        <w:trPr>
          <w:cantSplit/>
        </w:trPr>
        <w:tc>
          <w:tcPr>
            <w:tcW w:w="3149" w:type="dxa"/>
            <w:gridSpan w:val="2"/>
          </w:tcPr>
          <w:p>
            <w:pPr>
              <w:pStyle w:val="yTable"/>
              <w:spacing w:after="20"/>
              <w:rPr>
                <w:spacing w:val="-2"/>
                <w:sz w:val="20"/>
              </w:rPr>
            </w:pPr>
            <w:r>
              <w:rPr>
                <w:b/>
                <w:spacing w:val="-2"/>
                <w:sz w:val="20"/>
              </w:rPr>
              <w:t>Annual Fee</w:t>
            </w:r>
          </w:p>
        </w:tc>
        <w:tc>
          <w:tcPr>
            <w:tcW w:w="3827" w:type="dxa"/>
            <w:gridSpan w:val="2"/>
          </w:tcPr>
          <w:p>
            <w:pPr>
              <w:pStyle w:val="yTable"/>
              <w:spacing w:after="20"/>
              <w:rPr>
                <w:spacing w:val="-2"/>
                <w:sz w:val="20"/>
              </w:rPr>
            </w:pPr>
            <w:r>
              <w:rPr>
                <w:spacing w:val="-2"/>
                <w:sz w:val="20"/>
              </w:rPr>
              <w:t xml:space="preserve">$191.06/m x length of vessel </w:t>
            </w:r>
          </w:p>
        </w:tc>
      </w:tr>
      <w:tr>
        <w:trPr>
          <w:cantSplit/>
        </w:trPr>
        <w:tc>
          <w:tcPr>
            <w:tcW w:w="3149" w:type="dxa"/>
            <w:gridSpan w:val="2"/>
          </w:tcPr>
          <w:p>
            <w:pPr>
              <w:pStyle w:val="yTable"/>
              <w:spacing w:after="20"/>
              <w:rPr>
                <w:spacing w:val="-2"/>
                <w:sz w:val="20"/>
              </w:rPr>
            </w:pPr>
            <w:r>
              <w:rPr>
                <w:b/>
                <w:spacing w:val="-2"/>
                <w:sz w:val="20"/>
              </w:rPr>
              <w:t>Part Year Fee – 3 months or more, paid in advance</w:t>
            </w:r>
          </w:p>
        </w:tc>
        <w:tc>
          <w:tcPr>
            <w:tcW w:w="3827" w:type="dxa"/>
            <w:gridSpan w:val="2"/>
          </w:tcPr>
          <w:p>
            <w:pPr>
              <w:pStyle w:val="yTable"/>
              <w:spacing w:after="20"/>
              <w:rPr>
                <w:spacing w:val="-2"/>
                <w:sz w:val="20"/>
              </w:rPr>
            </w:pPr>
            <w:r>
              <w:rPr>
                <w:spacing w:val="-2"/>
                <w:sz w:val="20"/>
              </w:rPr>
              <w:br/>
              <w:t>$19.11/m x length of vessel, per month</w:t>
            </w:r>
          </w:p>
        </w:tc>
      </w:tr>
      <w:tr>
        <w:trPr>
          <w:cantSplit/>
        </w:trPr>
        <w:tc>
          <w:tcPr>
            <w:tcW w:w="3149" w:type="dxa"/>
            <w:gridSpan w:val="2"/>
          </w:tcPr>
          <w:p>
            <w:pPr>
              <w:pStyle w:val="yTable"/>
              <w:spacing w:after="40"/>
              <w:rPr>
                <w:spacing w:val="-2"/>
                <w:sz w:val="20"/>
              </w:rPr>
            </w:pPr>
            <w:r>
              <w:rPr>
                <w:b/>
                <w:spacing w:val="-2"/>
                <w:sz w:val="20"/>
              </w:rPr>
              <w:t>Monthly Fee</w:t>
            </w:r>
          </w:p>
        </w:tc>
        <w:tc>
          <w:tcPr>
            <w:tcW w:w="3827" w:type="dxa"/>
            <w:gridSpan w:val="2"/>
          </w:tcPr>
          <w:p>
            <w:pPr>
              <w:pStyle w:val="yTable"/>
              <w:spacing w:after="40"/>
              <w:rPr>
                <w:spacing w:val="-2"/>
                <w:sz w:val="20"/>
              </w:rPr>
            </w:pPr>
            <w:r>
              <w:rPr>
                <w:spacing w:val="-2"/>
                <w:sz w:val="20"/>
              </w:rPr>
              <w:t>$38.21/m x length of vessel, per month</w:t>
            </w:r>
          </w:p>
        </w:tc>
      </w:tr>
      <w:tr>
        <w:trPr>
          <w:cantSplit/>
        </w:trPr>
        <w:tc>
          <w:tcPr>
            <w:tcW w:w="3149" w:type="dxa"/>
            <w:gridSpan w:val="2"/>
            <w:tcBorders>
              <w:bottom w:val="nil"/>
            </w:tcBorders>
          </w:tcPr>
          <w:p>
            <w:pPr>
              <w:pStyle w:val="yTable"/>
              <w:spacing w:after="40"/>
              <w:rPr>
                <w:spacing w:val="-2"/>
                <w:sz w:val="20"/>
              </w:rPr>
            </w:pPr>
            <w:r>
              <w:rPr>
                <w:b/>
                <w:spacing w:val="-2"/>
                <w:sz w:val="20"/>
              </w:rPr>
              <w:t>Weekly Fee</w:t>
            </w:r>
          </w:p>
        </w:tc>
        <w:tc>
          <w:tcPr>
            <w:tcW w:w="3827" w:type="dxa"/>
            <w:gridSpan w:val="2"/>
            <w:tcBorders>
              <w:bottom w:val="nil"/>
            </w:tcBorders>
          </w:tcPr>
          <w:p>
            <w:pPr>
              <w:pStyle w:val="yTable"/>
              <w:spacing w:after="40"/>
              <w:rPr>
                <w:spacing w:val="-2"/>
                <w:sz w:val="20"/>
              </w:rPr>
            </w:pPr>
            <w:r>
              <w:rPr>
                <w:spacing w:val="-2"/>
                <w:sz w:val="20"/>
              </w:rPr>
              <w:t>$17.85/m x length of vessel, per week</w:t>
            </w:r>
          </w:p>
        </w:tc>
      </w:tr>
      <w:tr>
        <w:trPr>
          <w:cantSplit/>
        </w:trPr>
        <w:tc>
          <w:tcPr>
            <w:tcW w:w="3149" w:type="dxa"/>
            <w:gridSpan w:val="2"/>
            <w:tcBorders>
              <w:bottom w:val="single" w:sz="4" w:space="0" w:color="auto"/>
            </w:tcBorders>
          </w:tcPr>
          <w:p>
            <w:pPr>
              <w:pStyle w:val="yTable"/>
              <w:spacing w:after="40"/>
              <w:rPr>
                <w:spacing w:val="-2"/>
                <w:sz w:val="20"/>
              </w:rPr>
            </w:pPr>
            <w:r>
              <w:rPr>
                <w:b/>
                <w:spacing w:val="-2"/>
                <w:sz w:val="20"/>
              </w:rPr>
              <w:t xml:space="preserve">Daily Casual Fee </w:t>
            </w:r>
            <w:r>
              <w:rPr>
                <w:spacing w:val="-2"/>
                <w:sz w:val="20"/>
              </w:rPr>
              <w:t>(all vessels)</w:t>
            </w:r>
          </w:p>
        </w:tc>
        <w:tc>
          <w:tcPr>
            <w:tcW w:w="3827" w:type="dxa"/>
            <w:gridSpan w:val="2"/>
            <w:tcBorders>
              <w:bottom w:val="single" w:sz="4" w:space="0" w:color="auto"/>
            </w:tcBorders>
          </w:tcPr>
          <w:p>
            <w:pPr>
              <w:pStyle w:val="yTable"/>
              <w:spacing w:after="40"/>
              <w:rPr>
                <w:spacing w:val="-2"/>
                <w:sz w:val="20"/>
              </w:rPr>
            </w:pPr>
            <w:r>
              <w:rPr>
                <w:spacing w:val="-2"/>
                <w:sz w:val="20"/>
              </w:rPr>
              <w:t>$3.57/m x length of vessel per day</w:t>
            </w:r>
          </w:p>
        </w:tc>
      </w:tr>
    </w:tbl>
    <w:p>
      <w:pPr>
        <w:pStyle w:val="yNumberedItem"/>
      </w:pPr>
      <w:r>
        <w:t xml:space="preserve">Note: </w:t>
      </w:r>
      <w:r>
        <w:tab/>
        <w:t>Does not include entitlement to use Land Backed Wharf, T Jetty or T Jetty pens for other than fuelling purposes for which fuel wharfage is payable.</w:t>
      </w:r>
    </w:p>
    <w:p>
      <w:pPr>
        <w:pStyle w:val="yNumberedItem"/>
      </w:pPr>
      <w:r>
        <w:t xml:space="preserve">Note: </w:t>
      </w:r>
      <w:r>
        <w:tab/>
        <w:t>Vessels requiring use of the Land Backed Wharf, T Jetty or T Jetty pens have the option of paying casual or term fees specified for use of Land Backed Wharf, T Jetty or T Jetty pens.</w:t>
      </w:r>
    </w:p>
    <w:tbl>
      <w:tblPr>
        <w:tblW w:w="0" w:type="auto"/>
        <w:tblInd w:w="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21"/>
        <w:gridCol w:w="3794"/>
      </w:tblGrid>
      <w:tr>
        <w:trPr>
          <w:cantSplit/>
        </w:trPr>
        <w:tc>
          <w:tcPr>
            <w:tcW w:w="6915" w:type="dxa"/>
            <w:gridSpan w:val="2"/>
            <w:tcBorders>
              <w:top w:val="single" w:sz="4" w:space="0" w:color="auto"/>
              <w:left w:val="single" w:sz="4" w:space="0" w:color="auto"/>
              <w:bottom w:val="single" w:sz="4" w:space="0" w:color="auto"/>
              <w:right w:val="single" w:sz="4" w:space="0" w:color="auto"/>
            </w:tcBorders>
          </w:tcPr>
          <w:p>
            <w:pPr>
              <w:pStyle w:val="yTable"/>
              <w:spacing w:after="40"/>
              <w:rPr>
                <w:spacing w:val="-2"/>
                <w:sz w:val="20"/>
              </w:rPr>
            </w:pPr>
            <w:r>
              <w:rPr>
                <w:b/>
                <w:spacing w:val="-2"/>
                <w:sz w:val="20"/>
              </w:rPr>
              <w:t xml:space="preserve">Shared use of Snapper Jetty/low level landing and attached partly serviced mooring pens </w:t>
            </w:r>
          </w:p>
        </w:tc>
      </w:tr>
      <w:tr>
        <w:tc>
          <w:tcPr>
            <w:tcW w:w="3121" w:type="dxa"/>
            <w:tcBorders>
              <w:top w:val="single" w:sz="4" w:space="0" w:color="auto"/>
            </w:tcBorders>
          </w:tcPr>
          <w:p>
            <w:pPr>
              <w:pStyle w:val="yTable"/>
              <w:tabs>
                <w:tab w:val="left" w:pos="342"/>
              </w:tabs>
              <w:spacing w:after="40"/>
              <w:ind w:left="202"/>
              <w:rPr>
                <w:spacing w:val="-2"/>
                <w:sz w:val="20"/>
              </w:rPr>
            </w:pPr>
            <w:r>
              <w:rPr>
                <w:b/>
                <w:spacing w:val="-2"/>
                <w:sz w:val="20"/>
              </w:rPr>
              <w:t>Annual Fee</w:t>
            </w:r>
          </w:p>
        </w:tc>
        <w:tc>
          <w:tcPr>
            <w:tcW w:w="3794" w:type="dxa"/>
            <w:tcBorders>
              <w:top w:val="nil"/>
            </w:tcBorders>
          </w:tcPr>
          <w:p>
            <w:pPr>
              <w:pStyle w:val="yTable"/>
              <w:spacing w:after="40"/>
              <w:rPr>
                <w:spacing w:val="-2"/>
                <w:sz w:val="20"/>
              </w:rPr>
            </w:pPr>
            <w:r>
              <w:rPr>
                <w:spacing w:val="-2"/>
                <w:sz w:val="20"/>
              </w:rPr>
              <w:t xml:space="preserve">$174.27/m x length of vessel </w:t>
            </w:r>
          </w:p>
        </w:tc>
      </w:tr>
      <w:tr>
        <w:tc>
          <w:tcPr>
            <w:tcW w:w="3121" w:type="dxa"/>
          </w:tcPr>
          <w:p>
            <w:pPr>
              <w:pStyle w:val="yTable"/>
              <w:spacing w:after="40"/>
              <w:ind w:left="202"/>
              <w:rPr>
                <w:spacing w:val="-2"/>
                <w:sz w:val="20"/>
              </w:rPr>
            </w:pPr>
            <w:r>
              <w:rPr>
                <w:b/>
                <w:spacing w:val="-2"/>
                <w:sz w:val="20"/>
              </w:rPr>
              <w:t>Part Year Fee – 3 months or more, paid in advance</w:t>
            </w:r>
          </w:p>
        </w:tc>
        <w:tc>
          <w:tcPr>
            <w:tcW w:w="3794" w:type="dxa"/>
          </w:tcPr>
          <w:p>
            <w:pPr>
              <w:pStyle w:val="yTable"/>
              <w:spacing w:after="40"/>
              <w:rPr>
                <w:spacing w:val="-2"/>
                <w:sz w:val="20"/>
              </w:rPr>
            </w:pPr>
            <w:r>
              <w:rPr>
                <w:spacing w:val="-2"/>
                <w:sz w:val="20"/>
              </w:rPr>
              <w:br/>
              <w:t>$17.43/m x length of vessel, per month</w:t>
            </w:r>
          </w:p>
        </w:tc>
      </w:tr>
      <w:tr>
        <w:tc>
          <w:tcPr>
            <w:tcW w:w="3121" w:type="dxa"/>
          </w:tcPr>
          <w:p>
            <w:pPr>
              <w:pStyle w:val="yTable"/>
              <w:spacing w:after="40"/>
              <w:ind w:left="202"/>
              <w:rPr>
                <w:spacing w:val="-2"/>
                <w:sz w:val="20"/>
              </w:rPr>
            </w:pPr>
            <w:r>
              <w:rPr>
                <w:b/>
                <w:spacing w:val="-2"/>
                <w:sz w:val="20"/>
              </w:rPr>
              <w:t>Monthly Fee</w:t>
            </w:r>
          </w:p>
        </w:tc>
        <w:tc>
          <w:tcPr>
            <w:tcW w:w="3794" w:type="dxa"/>
          </w:tcPr>
          <w:p>
            <w:pPr>
              <w:pStyle w:val="yTable"/>
              <w:spacing w:after="40"/>
              <w:rPr>
                <w:spacing w:val="-2"/>
                <w:sz w:val="20"/>
              </w:rPr>
            </w:pPr>
            <w:r>
              <w:rPr>
                <w:spacing w:val="-2"/>
                <w:sz w:val="20"/>
              </w:rPr>
              <w:t>$34.85/m x length of vessel, per month</w:t>
            </w:r>
          </w:p>
        </w:tc>
      </w:tr>
      <w:tr>
        <w:tc>
          <w:tcPr>
            <w:tcW w:w="3121" w:type="dxa"/>
            <w:tcBorders>
              <w:bottom w:val="nil"/>
            </w:tcBorders>
          </w:tcPr>
          <w:p>
            <w:pPr>
              <w:pStyle w:val="yTable"/>
              <w:spacing w:after="40"/>
              <w:ind w:left="202"/>
              <w:rPr>
                <w:spacing w:val="-2"/>
                <w:sz w:val="20"/>
              </w:rPr>
            </w:pPr>
            <w:r>
              <w:rPr>
                <w:b/>
                <w:spacing w:val="-2"/>
                <w:sz w:val="20"/>
              </w:rPr>
              <w:t>Weekly Fee</w:t>
            </w:r>
          </w:p>
        </w:tc>
        <w:tc>
          <w:tcPr>
            <w:tcW w:w="3794" w:type="dxa"/>
            <w:tcBorders>
              <w:bottom w:val="nil"/>
            </w:tcBorders>
          </w:tcPr>
          <w:p>
            <w:pPr>
              <w:pStyle w:val="yTable"/>
              <w:spacing w:after="40"/>
              <w:rPr>
                <w:spacing w:val="-2"/>
                <w:sz w:val="20"/>
              </w:rPr>
            </w:pPr>
            <w:r>
              <w:rPr>
                <w:spacing w:val="-2"/>
                <w:sz w:val="20"/>
              </w:rPr>
              <w:t>$17.85/m x length of vessel, per week</w:t>
            </w:r>
          </w:p>
        </w:tc>
      </w:tr>
      <w:tr>
        <w:tc>
          <w:tcPr>
            <w:tcW w:w="3121" w:type="dxa"/>
            <w:tcBorders>
              <w:bottom w:val="single" w:sz="4" w:space="0" w:color="auto"/>
            </w:tcBorders>
          </w:tcPr>
          <w:p>
            <w:pPr>
              <w:pStyle w:val="yTable"/>
              <w:spacing w:after="40"/>
              <w:ind w:left="202"/>
              <w:rPr>
                <w:spacing w:val="-2"/>
                <w:sz w:val="20"/>
                <w:lang w:val="en-US"/>
              </w:rPr>
            </w:pPr>
            <w:r>
              <w:rPr>
                <w:b/>
                <w:spacing w:val="-2"/>
                <w:sz w:val="20"/>
              </w:rPr>
              <w:t>Daily Casual Fee</w:t>
            </w:r>
          </w:p>
        </w:tc>
        <w:tc>
          <w:tcPr>
            <w:tcW w:w="3794" w:type="dxa"/>
            <w:tcBorders>
              <w:bottom w:val="single" w:sz="4" w:space="0" w:color="auto"/>
            </w:tcBorders>
          </w:tcPr>
          <w:p>
            <w:pPr>
              <w:pStyle w:val="yTable"/>
              <w:spacing w:after="40"/>
              <w:rPr>
                <w:spacing w:val="-2"/>
                <w:sz w:val="20"/>
              </w:rPr>
            </w:pPr>
            <w:r>
              <w:rPr>
                <w:spacing w:val="-2"/>
                <w:sz w:val="20"/>
              </w:rPr>
              <w:t>$3.57/m x length of vessel, per day</w:t>
            </w:r>
          </w:p>
        </w:tc>
      </w:tr>
      <w:tr>
        <w:trPr>
          <w:cantSplit/>
        </w:trPr>
        <w:tc>
          <w:tcPr>
            <w:tcW w:w="6915" w:type="dxa"/>
            <w:gridSpan w:val="2"/>
            <w:tcBorders>
              <w:top w:val="single" w:sz="4" w:space="0" w:color="auto"/>
              <w:bottom w:val="single" w:sz="4" w:space="0" w:color="auto"/>
            </w:tcBorders>
          </w:tcPr>
          <w:p>
            <w:pPr>
              <w:pStyle w:val="yTable"/>
              <w:spacing w:after="40"/>
              <w:rPr>
                <w:spacing w:val="-2"/>
                <w:sz w:val="20"/>
              </w:rPr>
            </w:pPr>
            <w:r>
              <w:rPr>
                <w:b/>
                <w:spacing w:val="-2"/>
                <w:sz w:val="20"/>
              </w:rPr>
              <w:t>Land Backed Wharf, T Jetty and T Jetty pens</w:t>
            </w:r>
          </w:p>
        </w:tc>
      </w:tr>
      <w:tr>
        <w:tc>
          <w:tcPr>
            <w:tcW w:w="3121" w:type="dxa"/>
            <w:tcBorders>
              <w:top w:val="single" w:sz="4" w:space="0" w:color="auto"/>
              <w:bottom w:val="nil"/>
            </w:tcBorders>
          </w:tcPr>
          <w:p>
            <w:pPr>
              <w:pStyle w:val="yTable"/>
              <w:tabs>
                <w:tab w:val="left" w:pos="342"/>
              </w:tabs>
              <w:spacing w:after="40"/>
              <w:ind w:left="202"/>
              <w:rPr>
                <w:spacing w:val="-2"/>
                <w:sz w:val="20"/>
              </w:rPr>
            </w:pPr>
            <w:r>
              <w:rPr>
                <w:b/>
                <w:spacing w:val="-2"/>
                <w:sz w:val="20"/>
              </w:rPr>
              <w:t>Annual Fee</w:t>
            </w:r>
          </w:p>
        </w:tc>
        <w:tc>
          <w:tcPr>
            <w:tcW w:w="3794" w:type="dxa"/>
            <w:tcBorders>
              <w:top w:val="single" w:sz="4" w:space="0" w:color="auto"/>
              <w:bottom w:val="nil"/>
            </w:tcBorders>
          </w:tcPr>
          <w:p>
            <w:pPr>
              <w:pStyle w:val="yTable"/>
              <w:spacing w:after="40"/>
              <w:rPr>
                <w:spacing w:val="-2"/>
                <w:sz w:val="20"/>
              </w:rPr>
            </w:pPr>
            <w:r>
              <w:rPr>
                <w:spacing w:val="-2"/>
                <w:sz w:val="20"/>
              </w:rPr>
              <w:t xml:space="preserve">$224.84/m x length of vessel </w:t>
            </w:r>
          </w:p>
        </w:tc>
      </w:tr>
      <w:tr>
        <w:tc>
          <w:tcPr>
            <w:tcW w:w="3121" w:type="dxa"/>
            <w:tcBorders>
              <w:bottom w:val="single" w:sz="4" w:space="0" w:color="auto"/>
            </w:tcBorders>
          </w:tcPr>
          <w:p>
            <w:pPr>
              <w:pStyle w:val="yTable"/>
              <w:spacing w:after="40"/>
              <w:ind w:left="202"/>
              <w:rPr>
                <w:spacing w:val="-2"/>
                <w:sz w:val="20"/>
              </w:rPr>
            </w:pPr>
            <w:r>
              <w:rPr>
                <w:b/>
                <w:spacing w:val="-2"/>
                <w:sz w:val="20"/>
              </w:rPr>
              <w:t>Part Year Fee – 3 months or more, paid in advance</w:t>
            </w:r>
          </w:p>
        </w:tc>
        <w:tc>
          <w:tcPr>
            <w:tcW w:w="3794" w:type="dxa"/>
            <w:tcBorders>
              <w:bottom w:val="single" w:sz="4" w:space="0" w:color="auto"/>
            </w:tcBorders>
          </w:tcPr>
          <w:p>
            <w:pPr>
              <w:pStyle w:val="yTable"/>
              <w:spacing w:after="40"/>
              <w:rPr>
                <w:spacing w:val="-2"/>
                <w:sz w:val="20"/>
              </w:rPr>
            </w:pPr>
            <w:r>
              <w:rPr>
                <w:spacing w:val="-2"/>
                <w:sz w:val="20"/>
              </w:rPr>
              <w:br/>
              <w:t>$22.48/m x length of vessel, per month</w:t>
            </w:r>
          </w:p>
        </w:tc>
      </w:tr>
      <w:tr>
        <w:tc>
          <w:tcPr>
            <w:tcW w:w="3121" w:type="dxa"/>
            <w:tcBorders>
              <w:bottom w:val="single" w:sz="4" w:space="0" w:color="auto"/>
            </w:tcBorders>
          </w:tcPr>
          <w:p>
            <w:pPr>
              <w:pStyle w:val="yTable"/>
              <w:spacing w:after="40"/>
              <w:ind w:left="202"/>
              <w:rPr>
                <w:spacing w:val="-2"/>
                <w:sz w:val="20"/>
              </w:rPr>
            </w:pPr>
            <w:r>
              <w:rPr>
                <w:b/>
                <w:spacing w:val="-2"/>
                <w:sz w:val="20"/>
              </w:rPr>
              <w:t>Monthly Fee</w:t>
            </w:r>
          </w:p>
        </w:tc>
        <w:tc>
          <w:tcPr>
            <w:tcW w:w="3794" w:type="dxa"/>
            <w:tcBorders>
              <w:bottom w:val="single" w:sz="4" w:space="0" w:color="auto"/>
            </w:tcBorders>
          </w:tcPr>
          <w:p>
            <w:pPr>
              <w:pStyle w:val="yTable"/>
              <w:spacing w:after="40"/>
              <w:rPr>
                <w:spacing w:val="-2"/>
                <w:sz w:val="20"/>
              </w:rPr>
            </w:pPr>
            <w:r>
              <w:rPr>
                <w:spacing w:val="-2"/>
                <w:sz w:val="20"/>
              </w:rPr>
              <w:t>$44.97/m x length of vessel, per month</w:t>
            </w:r>
          </w:p>
        </w:tc>
      </w:tr>
      <w:tr>
        <w:tc>
          <w:tcPr>
            <w:tcW w:w="3121" w:type="dxa"/>
            <w:tcBorders>
              <w:bottom w:val="single" w:sz="4" w:space="0" w:color="auto"/>
            </w:tcBorders>
          </w:tcPr>
          <w:p>
            <w:pPr>
              <w:pStyle w:val="yTable"/>
              <w:spacing w:after="40"/>
              <w:ind w:left="202"/>
              <w:rPr>
                <w:spacing w:val="-2"/>
                <w:sz w:val="20"/>
              </w:rPr>
            </w:pPr>
            <w:r>
              <w:rPr>
                <w:b/>
                <w:spacing w:val="-2"/>
                <w:sz w:val="20"/>
              </w:rPr>
              <w:t>Weekly Fee</w:t>
            </w:r>
          </w:p>
        </w:tc>
        <w:tc>
          <w:tcPr>
            <w:tcW w:w="3794" w:type="dxa"/>
            <w:tcBorders>
              <w:bottom w:val="single" w:sz="4" w:space="0" w:color="auto"/>
            </w:tcBorders>
          </w:tcPr>
          <w:p>
            <w:pPr>
              <w:pStyle w:val="yTable"/>
              <w:spacing w:after="40"/>
              <w:rPr>
                <w:spacing w:val="-2"/>
                <w:sz w:val="20"/>
              </w:rPr>
            </w:pPr>
            <w:r>
              <w:rPr>
                <w:spacing w:val="-2"/>
                <w:sz w:val="20"/>
              </w:rPr>
              <w:t>$33.75/m x length of vessel, per week</w:t>
            </w:r>
          </w:p>
        </w:tc>
      </w:tr>
      <w:tr>
        <w:tc>
          <w:tcPr>
            <w:tcW w:w="3121" w:type="dxa"/>
          </w:tcPr>
          <w:p>
            <w:pPr>
              <w:pStyle w:val="yTable"/>
              <w:spacing w:after="40"/>
              <w:ind w:left="202"/>
              <w:rPr>
                <w:spacing w:val="-2"/>
                <w:sz w:val="20"/>
                <w:lang w:val="en-US"/>
              </w:rPr>
            </w:pPr>
            <w:r>
              <w:rPr>
                <w:b/>
                <w:spacing w:val="-2"/>
                <w:sz w:val="20"/>
              </w:rPr>
              <w:t>Daily Casual Fee</w:t>
            </w:r>
          </w:p>
        </w:tc>
        <w:tc>
          <w:tcPr>
            <w:tcW w:w="3794" w:type="dxa"/>
          </w:tcPr>
          <w:p>
            <w:pPr>
              <w:pStyle w:val="yTable"/>
              <w:spacing w:after="40"/>
              <w:rPr>
                <w:spacing w:val="-2"/>
                <w:sz w:val="20"/>
              </w:rPr>
            </w:pPr>
            <w:r>
              <w:rPr>
                <w:spacing w:val="-2"/>
                <w:sz w:val="20"/>
              </w:rPr>
              <w:t>$6.75/m x length of vessel, per day</w:t>
            </w:r>
          </w:p>
        </w:tc>
      </w:tr>
      <w:tr>
        <w:tc>
          <w:tcPr>
            <w:tcW w:w="3121" w:type="dxa"/>
          </w:tcPr>
          <w:p>
            <w:pPr>
              <w:pStyle w:val="yTable"/>
              <w:spacing w:after="40"/>
              <w:ind w:left="202"/>
              <w:rPr>
                <w:b/>
                <w:spacing w:val="-2"/>
                <w:sz w:val="20"/>
              </w:rPr>
            </w:pPr>
            <w:r>
              <w:rPr>
                <w:b/>
                <w:spacing w:val="-2"/>
                <w:sz w:val="20"/>
              </w:rPr>
              <w:t>Electric Power Charge (3</w:t>
            </w:r>
            <w:r>
              <w:rPr>
                <w:b/>
                <w:spacing w:val="-2"/>
                <w:sz w:val="20"/>
              </w:rPr>
              <w:noBreakHyphen/>
              <w:t>phase)</w:t>
            </w:r>
          </w:p>
        </w:tc>
        <w:tc>
          <w:tcPr>
            <w:tcW w:w="3794" w:type="dxa"/>
          </w:tcPr>
          <w:p>
            <w:pPr>
              <w:pStyle w:val="yTable"/>
              <w:spacing w:after="40"/>
              <w:rPr>
                <w:spacing w:val="-2"/>
                <w:sz w:val="20"/>
              </w:rPr>
            </w:pPr>
            <w:r>
              <w:rPr>
                <w:spacing w:val="-2"/>
                <w:sz w:val="20"/>
              </w:rPr>
              <w:t>$23.74 per day or part of a day</w:t>
            </w:r>
          </w:p>
        </w:tc>
      </w:tr>
      <w:tr>
        <w:tc>
          <w:tcPr>
            <w:tcW w:w="3121" w:type="dxa"/>
            <w:tcBorders>
              <w:bottom w:val="single" w:sz="4" w:space="0" w:color="auto"/>
            </w:tcBorders>
          </w:tcPr>
          <w:p>
            <w:pPr>
              <w:pStyle w:val="yTable"/>
              <w:spacing w:after="40"/>
              <w:ind w:left="202"/>
              <w:rPr>
                <w:b/>
                <w:spacing w:val="-2"/>
                <w:sz w:val="20"/>
              </w:rPr>
            </w:pPr>
            <w:r>
              <w:rPr>
                <w:b/>
                <w:spacing w:val="-2"/>
                <w:sz w:val="20"/>
              </w:rPr>
              <w:t>‘Live on Board’ Fee</w:t>
            </w:r>
          </w:p>
        </w:tc>
        <w:tc>
          <w:tcPr>
            <w:tcW w:w="3794" w:type="dxa"/>
            <w:tcBorders>
              <w:bottom w:val="single" w:sz="4" w:space="0" w:color="auto"/>
            </w:tcBorders>
          </w:tcPr>
          <w:p>
            <w:pPr>
              <w:pStyle w:val="yTable"/>
              <w:spacing w:after="40"/>
              <w:rPr>
                <w:spacing w:val="-2"/>
                <w:sz w:val="20"/>
              </w:rPr>
            </w:pPr>
            <w:r>
              <w:rPr>
                <w:sz w:val="20"/>
              </w:rPr>
              <w:t>$32.35/month per vessel</w:t>
            </w:r>
          </w:p>
        </w:tc>
      </w:tr>
    </w:tbl>
    <w:p>
      <w:pPr>
        <w:pStyle w:val="yHeading4"/>
      </w:pPr>
      <w:bookmarkStart w:id="698" w:name="_Toc170210281"/>
      <w:r>
        <w:t>Subdivision 7</w:t>
      </w:r>
      <w:r>
        <w:rPr>
          <w:b w:val="0"/>
        </w:rPr>
        <w:t> — </w:t>
      </w:r>
      <w:r>
        <w:t>Casuarina Boat Harbour</w:t>
      </w:r>
      <w:bookmarkEnd w:id="698"/>
    </w:p>
    <w:p>
      <w:pPr>
        <w:pStyle w:val="yFootnoteheading"/>
      </w:pPr>
      <w:r>
        <w:tab/>
        <w:t>[Heading inserted in Gazette 24 Jun 2005 p. 2835.]</w:t>
      </w: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2015"/>
        <w:gridCol w:w="1134"/>
        <w:gridCol w:w="1134"/>
        <w:gridCol w:w="2646"/>
      </w:tblGrid>
      <w:tr>
        <w:trPr>
          <w:cantSplit/>
        </w:trPr>
        <w:tc>
          <w:tcPr>
            <w:tcW w:w="6929" w:type="dxa"/>
            <w:gridSpan w:val="4"/>
          </w:tcPr>
          <w:p>
            <w:pPr>
              <w:pStyle w:val="yTable"/>
              <w:keepNext/>
              <w:spacing w:after="20"/>
              <w:rPr>
                <w:spacing w:val="-2"/>
                <w:sz w:val="20"/>
              </w:rPr>
            </w:pPr>
            <w:r>
              <w:rPr>
                <w:b/>
                <w:sz w:val="20"/>
              </w:rPr>
              <w:t>General</w:t>
            </w:r>
            <w:r>
              <w:rPr>
                <w:sz w:val="20"/>
              </w:rPr>
              <w:t> </w:t>
            </w:r>
            <w:r>
              <w:rPr>
                <w:spacing w:val="-2"/>
                <w:sz w:val="20"/>
              </w:rPr>
              <w:t>(</w:t>
            </w:r>
            <w:r>
              <w:rPr>
                <w:i/>
                <w:spacing w:val="-2"/>
                <w:sz w:val="20"/>
              </w:rPr>
              <w:t>subject to a minimum chargeable length relative to the size of the pen, as set out below</w:t>
            </w:r>
            <w:r>
              <w:rPr>
                <w:spacing w:val="-2"/>
                <w:sz w:val="20"/>
              </w:rPr>
              <w:t>)</w:t>
            </w:r>
          </w:p>
        </w:tc>
      </w:tr>
      <w:tr>
        <w:tblPrEx>
          <w:tblBorders>
            <w:bottom w:val="double" w:sz="4" w:space="0" w:color="auto"/>
          </w:tblBorders>
        </w:tblPrEx>
        <w:trPr>
          <w:cantSplit/>
          <w:trHeight w:val="375"/>
        </w:trPr>
        <w:tc>
          <w:tcPr>
            <w:tcW w:w="2015" w:type="dxa"/>
            <w:vMerge w:val="restart"/>
          </w:tcPr>
          <w:p>
            <w:pPr>
              <w:pStyle w:val="yTable"/>
              <w:keepNext/>
              <w:spacing w:after="20"/>
              <w:rPr>
                <w:i/>
                <w:spacing w:val="-2"/>
                <w:sz w:val="20"/>
              </w:rPr>
            </w:pPr>
            <w:r>
              <w:rPr>
                <w:i/>
                <w:spacing w:val="-2"/>
                <w:sz w:val="20"/>
              </w:rPr>
              <w:t>Minimum chargeable length when calculating fee for pens of a particular size</w:t>
            </w:r>
          </w:p>
        </w:tc>
        <w:tc>
          <w:tcPr>
            <w:tcW w:w="2268" w:type="dxa"/>
            <w:gridSpan w:val="2"/>
          </w:tcPr>
          <w:p>
            <w:pPr>
              <w:pStyle w:val="yTable"/>
              <w:keepNext/>
              <w:spacing w:after="20"/>
              <w:rPr>
                <w:spacing w:val="-2"/>
                <w:sz w:val="20"/>
              </w:rPr>
            </w:pPr>
            <w:r>
              <w:rPr>
                <w:spacing w:val="-2"/>
                <w:sz w:val="20"/>
              </w:rPr>
              <w:t>10 m pen</w:t>
            </w:r>
          </w:p>
        </w:tc>
        <w:tc>
          <w:tcPr>
            <w:tcW w:w="2646" w:type="dxa"/>
          </w:tcPr>
          <w:p>
            <w:pPr>
              <w:pStyle w:val="yTable"/>
              <w:keepNext/>
              <w:spacing w:after="20"/>
              <w:rPr>
                <w:spacing w:val="-2"/>
                <w:sz w:val="20"/>
              </w:rPr>
            </w:pPr>
            <w:r>
              <w:rPr>
                <w:spacing w:val="-2"/>
                <w:sz w:val="20"/>
              </w:rPr>
              <w:t>at least 8 m</w:t>
            </w:r>
          </w:p>
        </w:tc>
      </w:tr>
      <w:tr>
        <w:tblPrEx>
          <w:tblBorders>
            <w:bottom w:val="double" w:sz="4" w:space="0" w:color="auto"/>
          </w:tblBorders>
        </w:tblPrEx>
        <w:trPr>
          <w:cantSplit/>
          <w:trHeight w:val="300"/>
        </w:trPr>
        <w:tc>
          <w:tcPr>
            <w:tcW w:w="2015" w:type="dxa"/>
            <w:vMerge/>
          </w:tcPr>
          <w:p>
            <w:pPr>
              <w:pStyle w:val="yTable"/>
              <w:keepNext/>
              <w:keepLines/>
              <w:spacing w:after="20"/>
              <w:rPr>
                <w:b/>
                <w:spacing w:val="-2"/>
                <w:sz w:val="20"/>
              </w:rPr>
            </w:pPr>
          </w:p>
        </w:tc>
        <w:tc>
          <w:tcPr>
            <w:tcW w:w="2268" w:type="dxa"/>
            <w:gridSpan w:val="2"/>
          </w:tcPr>
          <w:p>
            <w:pPr>
              <w:pStyle w:val="yTable"/>
              <w:spacing w:after="20"/>
              <w:rPr>
                <w:spacing w:val="-2"/>
                <w:sz w:val="20"/>
              </w:rPr>
            </w:pPr>
            <w:r>
              <w:rPr>
                <w:spacing w:val="-2"/>
                <w:sz w:val="20"/>
              </w:rPr>
              <w:t>12 m pen</w:t>
            </w:r>
          </w:p>
        </w:tc>
        <w:tc>
          <w:tcPr>
            <w:tcW w:w="2646" w:type="dxa"/>
          </w:tcPr>
          <w:p>
            <w:pPr>
              <w:pStyle w:val="yTable"/>
              <w:spacing w:after="20"/>
              <w:rPr>
                <w:spacing w:val="-2"/>
                <w:sz w:val="20"/>
              </w:rPr>
            </w:pPr>
            <w:r>
              <w:rPr>
                <w:spacing w:val="-2"/>
                <w:sz w:val="20"/>
              </w:rPr>
              <w:t>at least 9.6 m</w:t>
            </w:r>
          </w:p>
        </w:tc>
      </w:tr>
      <w:tr>
        <w:tblPrEx>
          <w:tblBorders>
            <w:bottom w:val="double" w:sz="4" w:space="0" w:color="auto"/>
          </w:tblBorders>
        </w:tblPrEx>
        <w:trPr>
          <w:cantSplit/>
          <w:trHeight w:val="285"/>
        </w:trPr>
        <w:tc>
          <w:tcPr>
            <w:tcW w:w="2015" w:type="dxa"/>
            <w:vMerge/>
          </w:tcPr>
          <w:p>
            <w:pPr>
              <w:pStyle w:val="yTable"/>
              <w:keepNext/>
              <w:keepLines/>
              <w:spacing w:after="20"/>
              <w:rPr>
                <w:b/>
                <w:spacing w:val="-2"/>
                <w:sz w:val="20"/>
              </w:rPr>
            </w:pPr>
          </w:p>
        </w:tc>
        <w:tc>
          <w:tcPr>
            <w:tcW w:w="2268" w:type="dxa"/>
            <w:gridSpan w:val="2"/>
          </w:tcPr>
          <w:p>
            <w:pPr>
              <w:pStyle w:val="yTable"/>
              <w:spacing w:after="20"/>
              <w:rPr>
                <w:spacing w:val="-2"/>
                <w:sz w:val="20"/>
              </w:rPr>
            </w:pPr>
            <w:r>
              <w:rPr>
                <w:spacing w:val="-2"/>
                <w:sz w:val="20"/>
              </w:rPr>
              <w:t>15 m pen</w:t>
            </w:r>
          </w:p>
        </w:tc>
        <w:tc>
          <w:tcPr>
            <w:tcW w:w="2646" w:type="dxa"/>
          </w:tcPr>
          <w:p>
            <w:pPr>
              <w:pStyle w:val="yTable"/>
              <w:spacing w:after="20"/>
              <w:rPr>
                <w:spacing w:val="-2"/>
                <w:sz w:val="20"/>
              </w:rPr>
            </w:pPr>
            <w:r>
              <w:rPr>
                <w:spacing w:val="-2"/>
                <w:sz w:val="20"/>
              </w:rPr>
              <w:t>at least 12 m</w:t>
            </w:r>
          </w:p>
        </w:tc>
      </w:tr>
      <w:tr>
        <w:trPr>
          <w:cantSplit/>
        </w:trPr>
        <w:tc>
          <w:tcPr>
            <w:tcW w:w="2015" w:type="dxa"/>
            <w:vMerge/>
          </w:tcPr>
          <w:p>
            <w:pPr>
              <w:pStyle w:val="yTable"/>
              <w:spacing w:after="20"/>
              <w:ind w:left="483"/>
              <w:rPr>
                <w:spacing w:val="-2"/>
                <w:sz w:val="20"/>
              </w:rPr>
            </w:pPr>
          </w:p>
        </w:tc>
        <w:tc>
          <w:tcPr>
            <w:tcW w:w="2268" w:type="dxa"/>
            <w:gridSpan w:val="2"/>
          </w:tcPr>
          <w:p>
            <w:pPr>
              <w:pStyle w:val="yTable"/>
              <w:spacing w:after="20"/>
              <w:rPr>
                <w:spacing w:val="-2"/>
                <w:sz w:val="20"/>
              </w:rPr>
            </w:pPr>
            <w:r>
              <w:rPr>
                <w:spacing w:val="-2"/>
                <w:sz w:val="20"/>
              </w:rPr>
              <w:t>18 m pen</w:t>
            </w:r>
          </w:p>
        </w:tc>
        <w:tc>
          <w:tcPr>
            <w:tcW w:w="2646" w:type="dxa"/>
          </w:tcPr>
          <w:p>
            <w:pPr>
              <w:pStyle w:val="yTable"/>
              <w:spacing w:after="20"/>
              <w:rPr>
                <w:spacing w:val="-2"/>
                <w:sz w:val="20"/>
              </w:rPr>
            </w:pPr>
            <w:r>
              <w:rPr>
                <w:spacing w:val="-2"/>
                <w:sz w:val="20"/>
              </w:rPr>
              <w:t>at least 14.4 m</w:t>
            </w:r>
          </w:p>
        </w:tc>
      </w:tr>
      <w:tr>
        <w:tc>
          <w:tcPr>
            <w:tcW w:w="3149" w:type="dxa"/>
            <w:gridSpan w:val="2"/>
          </w:tcPr>
          <w:p>
            <w:pPr>
              <w:pStyle w:val="yTable"/>
              <w:spacing w:after="20"/>
              <w:ind w:left="88"/>
              <w:rPr>
                <w:spacing w:val="-2"/>
                <w:sz w:val="20"/>
              </w:rPr>
            </w:pPr>
            <w:r>
              <w:rPr>
                <w:b/>
                <w:spacing w:val="-2"/>
                <w:sz w:val="20"/>
              </w:rPr>
              <w:t>Annual Fee</w:t>
            </w:r>
          </w:p>
        </w:tc>
        <w:tc>
          <w:tcPr>
            <w:tcW w:w="3780" w:type="dxa"/>
            <w:gridSpan w:val="2"/>
          </w:tcPr>
          <w:p>
            <w:pPr>
              <w:pStyle w:val="yTable"/>
              <w:spacing w:after="20"/>
              <w:rPr>
                <w:spacing w:val="-2"/>
                <w:sz w:val="20"/>
              </w:rPr>
            </w:pPr>
            <w:r>
              <w:rPr>
                <w:spacing w:val="-2"/>
                <w:sz w:val="20"/>
              </w:rPr>
              <w:t xml:space="preserve">$241.75/m x length of vessel </w:t>
            </w:r>
          </w:p>
        </w:tc>
      </w:tr>
      <w:tr>
        <w:tc>
          <w:tcPr>
            <w:tcW w:w="3149" w:type="dxa"/>
            <w:gridSpan w:val="2"/>
          </w:tcPr>
          <w:p>
            <w:pPr>
              <w:pStyle w:val="yTable"/>
              <w:spacing w:after="20"/>
              <w:ind w:left="88"/>
              <w:rPr>
                <w:spacing w:val="-2"/>
                <w:sz w:val="20"/>
              </w:rPr>
            </w:pPr>
            <w:r>
              <w:rPr>
                <w:b/>
                <w:spacing w:val="-2"/>
                <w:sz w:val="20"/>
              </w:rPr>
              <w:t>Part Year Fee – 3 months or more, paid in advance</w:t>
            </w:r>
          </w:p>
        </w:tc>
        <w:tc>
          <w:tcPr>
            <w:tcW w:w="3780" w:type="dxa"/>
            <w:gridSpan w:val="2"/>
          </w:tcPr>
          <w:p>
            <w:pPr>
              <w:pStyle w:val="yTable"/>
              <w:spacing w:after="20"/>
              <w:rPr>
                <w:spacing w:val="-2"/>
                <w:sz w:val="20"/>
              </w:rPr>
            </w:pPr>
            <w:r>
              <w:rPr>
                <w:spacing w:val="-2"/>
                <w:sz w:val="20"/>
              </w:rPr>
              <w:br/>
              <w:t>$24.17/m x length of vessel, per month</w:t>
            </w:r>
          </w:p>
        </w:tc>
      </w:tr>
      <w:tr>
        <w:tc>
          <w:tcPr>
            <w:tcW w:w="3149" w:type="dxa"/>
            <w:gridSpan w:val="2"/>
          </w:tcPr>
          <w:p>
            <w:pPr>
              <w:pStyle w:val="yTable"/>
              <w:spacing w:after="20"/>
              <w:ind w:left="88"/>
              <w:rPr>
                <w:spacing w:val="-2"/>
                <w:sz w:val="20"/>
              </w:rPr>
            </w:pPr>
            <w:r>
              <w:rPr>
                <w:b/>
                <w:spacing w:val="-2"/>
                <w:sz w:val="20"/>
              </w:rPr>
              <w:t>Monthly Fee</w:t>
            </w:r>
          </w:p>
        </w:tc>
        <w:tc>
          <w:tcPr>
            <w:tcW w:w="3780" w:type="dxa"/>
            <w:gridSpan w:val="2"/>
          </w:tcPr>
          <w:p>
            <w:pPr>
              <w:pStyle w:val="yTable"/>
              <w:spacing w:after="20"/>
              <w:rPr>
                <w:spacing w:val="-2"/>
                <w:sz w:val="20"/>
              </w:rPr>
            </w:pPr>
            <w:r>
              <w:rPr>
                <w:spacing w:val="-2"/>
                <w:sz w:val="20"/>
              </w:rPr>
              <w:t>$48.35/m x length of vessel, per month</w:t>
            </w:r>
          </w:p>
        </w:tc>
      </w:tr>
      <w:tr>
        <w:tc>
          <w:tcPr>
            <w:tcW w:w="3149" w:type="dxa"/>
            <w:gridSpan w:val="2"/>
            <w:tcBorders>
              <w:bottom w:val="nil"/>
            </w:tcBorders>
          </w:tcPr>
          <w:p>
            <w:pPr>
              <w:pStyle w:val="yTable"/>
              <w:spacing w:after="20"/>
              <w:ind w:left="88"/>
              <w:rPr>
                <w:spacing w:val="-2"/>
                <w:sz w:val="20"/>
              </w:rPr>
            </w:pPr>
            <w:r>
              <w:rPr>
                <w:b/>
                <w:spacing w:val="-2"/>
                <w:sz w:val="20"/>
              </w:rPr>
              <w:t>Weekly Fee</w:t>
            </w:r>
          </w:p>
        </w:tc>
        <w:tc>
          <w:tcPr>
            <w:tcW w:w="3780" w:type="dxa"/>
            <w:gridSpan w:val="2"/>
            <w:tcBorders>
              <w:bottom w:val="nil"/>
            </w:tcBorders>
          </w:tcPr>
          <w:p>
            <w:pPr>
              <w:pStyle w:val="yTable"/>
              <w:spacing w:after="20"/>
              <w:rPr>
                <w:spacing w:val="-2"/>
                <w:sz w:val="20"/>
              </w:rPr>
            </w:pPr>
            <w:r>
              <w:rPr>
                <w:spacing w:val="-2"/>
                <w:sz w:val="20"/>
              </w:rPr>
              <w:t>$18.15/m x length of vessel, per week</w:t>
            </w:r>
          </w:p>
        </w:tc>
      </w:tr>
      <w:tr>
        <w:tc>
          <w:tcPr>
            <w:tcW w:w="3149" w:type="dxa"/>
            <w:gridSpan w:val="2"/>
            <w:tcBorders>
              <w:bottom w:val="single" w:sz="4" w:space="0" w:color="auto"/>
            </w:tcBorders>
          </w:tcPr>
          <w:p>
            <w:pPr>
              <w:pStyle w:val="yTable"/>
              <w:spacing w:after="20"/>
              <w:ind w:left="88"/>
              <w:rPr>
                <w:spacing w:val="-2"/>
                <w:sz w:val="20"/>
              </w:rPr>
            </w:pPr>
            <w:r>
              <w:rPr>
                <w:b/>
                <w:spacing w:val="-2"/>
                <w:sz w:val="20"/>
              </w:rPr>
              <w:t>Daily Casual Fee</w:t>
            </w:r>
          </w:p>
        </w:tc>
        <w:tc>
          <w:tcPr>
            <w:tcW w:w="3780" w:type="dxa"/>
            <w:gridSpan w:val="2"/>
            <w:tcBorders>
              <w:bottom w:val="single" w:sz="4" w:space="0" w:color="auto"/>
            </w:tcBorders>
          </w:tcPr>
          <w:p>
            <w:pPr>
              <w:pStyle w:val="yTable"/>
              <w:spacing w:after="20"/>
              <w:rPr>
                <w:spacing w:val="-2"/>
                <w:sz w:val="20"/>
              </w:rPr>
            </w:pPr>
            <w:r>
              <w:rPr>
                <w:spacing w:val="-2"/>
                <w:sz w:val="20"/>
              </w:rPr>
              <w:t>$3.63/m x length of vessel, per day or part of a day</w:t>
            </w:r>
          </w:p>
        </w:tc>
      </w:tr>
      <w:tr>
        <w:tblPrEx>
          <w:tblBorders>
            <w:bottom w:val="double" w:sz="4" w:space="0" w:color="auto"/>
          </w:tblBorders>
        </w:tblPrEx>
        <w:tc>
          <w:tcPr>
            <w:tcW w:w="3149" w:type="dxa"/>
            <w:gridSpan w:val="2"/>
            <w:tcBorders>
              <w:top w:val="single" w:sz="4" w:space="0" w:color="auto"/>
              <w:bottom w:val="single" w:sz="4" w:space="0" w:color="auto"/>
            </w:tcBorders>
          </w:tcPr>
          <w:p>
            <w:pPr>
              <w:pStyle w:val="yTable"/>
              <w:spacing w:after="20"/>
              <w:rPr>
                <w:b/>
                <w:spacing w:val="-2"/>
                <w:sz w:val="20"/>
              </w:rPr>
            </w:pPr>
            <w:r>
              <w:rPr>
                <w:b/>
                <w:spacing w:val="-2"/>
                <w:sz w:val="20"/>
              </w:rPr>
              <w:t>Extended Berthage at Service Jetty —</w:t>
            </w:r>
          </w:p>
        </w:tc>
        <w:tc>
          <w:tcPr>
            <w:tcW w:w="3780" w:type="dxa"/>
            <w:gridSpan w:val="2"/>
            <w:tcBorders>
              <w:top w:val="single" w:sz="4" w:space="0" w:color="auto"/>
              <w:bottom w:val="single" w:sz="4" w:space="0" w:color="auto"/>
            </w:tcBorders>
          </w:tcPr>
          <w:p>
            <w:pPr>
              <w:pStyle w:val="yTable"/>
              <w:spacing w:after="20"/>
              <w:rPr>
                <w:spacing w:val="-2"/>
                <w:sz w:val="20"/>
              </w:rPr>
            </w:pPr>
          </w:p>
        </w:tc>
      </w:tr>
      <w:tr>
        <w:tblPrEx>
          <w:tblBorders>
            <w:bottom w:val="double" w:sz="4" w:space="0" w:color="auto"/>
          </w:tblBorders>
        </w:tblPrEx>
        <w:tc>
          <w:tcPr>
            <w:tcW w:w="3149" w:type="dxa"/>
            <w:gridSpan w:val="2"/>
            <w:tcBorders>
              <w:top w:val="nil"/>
            </w:tcBorders>
          </w:tcPr>
          <w:p>
            <w:pPr>
              <w:pStyle w:val="yTable"/>
              <w:spacing w:after="20"/>
              <w:ind w:left="230"/>
              <w:rPr>
                <w:spacing w:val="-2"/>
                <w:sz w:val="20"/>
              </w:rPr>
            </w:pPr>
            <w:r>
              <w:rPr>
                <w:b/>
                <w:spacing w:val="-2"/>
                <w:sz w:val="20"/>
              </w:rPr>
              <w:t>Annual Fee</w:t>
            </w:r>
          </w:p>
        </w:tc>
        <w:tc>
          <w:tcPr>
            <w:tcW w:w="3780" w:type="dxa"/>
            <w:gridSpan w:val="2"/>
            <w:tcBorders>
              <w:top w:val="nil"/>
            </w:tcBorders>
          </w:tcPr>
          <w:p>
            <w:pPr>
              <w:pStyle w:val="yTable"/>
              <w:spacing w:after="20"/>
              <w:rPr>
                <w:spacing w:val="-2"/>
                <w:sz w:val="20"/>
              </w:rPr>
            </w:pPr>
            <w:r>
              <w:rPr>
                <w:spacing w:val="-2"/>
                <w:sz w:val="20"/>
              </w:rPr>
              <w:t xml:space="preserve">$241.75/m x length of vessel </w:t>
            </w:r>
          </w:p>
        </w:tc>
      </w:tr>
      <w:tr>
        <w:tc>
          <w:tcPr>
            <w:tcW w:w="3149" w:type="dxa"/>
            <w:gridSpan w:val="2"/>
          </w:tcPr>
          <w:p>
            <w:pPr>
              <w:pStyle w:val="yTable"/>
              <w:spacing w:after="20"/>
              <w:ind w:left="230"/>
              <w:rPr>
                <w:spacing w:val="-2"/>
                <w:sz w:val="20"/>
              </w:rPr>
            </w:pPr>
            <w:r>
              <w:rPr>
                <w:b/>
                <w:spacing w:val="-2"/>
                <w:sz w:val="20"/>
              </w:rPr>
              <w:t>Part Year Fee – 3 months or more, paid in advance</w:t>
            </w:r>
          </w:p>
        </w:tc>
        <w:tc>
          <w:tcPr>
            <w:tcW w:w="3780" w:type="dxa"/>
            <w:gridSpan w:val="2"/>
          </w:tcPr>
          <w:p>
            <w:pPr>
              <w:pStyle w:val="yTable"/>
              <w:spacing w:after="20"/>
              <w:rPr>
                <w:spacing w:val="-2"/>
                <w:sz w:val="20"/>
              </w:rPr>
            </w:pPr>
            <w:r>
              <w:rPr>
                <w:spacing w:val="-2"/>
                <w:sz w:val="20"/>
              </w:rPr>
              <w:br/>
              <w:t>$24.17/m x length of vessel, per month</w:t>
            </w:r>
          </w:p>
        </w:tc>
      </w:tr>
      <w:tr>
        <w:tblPrEx>
          <w:tblBorders>
            <w:bottom w:val="double" w:sz="4" w:space="0" w:color="auto"/>
          </w:tblBorders>
        </w:tblPrEx>
        <w:tc>
          <w:tcPr>
            <w:tcW w:w="3149" w:type="dxa"/>
            <w:gridSpan w:val="2"/>
            <w:tcBorders>
              <w:bottom w:val="nil"/>
            </w:tcBorders>
          </w:tcPr>
          <w:p>
            <w:pPr>
              <w:pStyle w:val="yTable"/>
              <w:spacing w:after="20"/>
              <w:ind w:left="230"/>
              <w:rPr>
                <w:spacing w:val="-2"/>
                <w:sz w:val="20"/>
              </w:rPr>
            </w:pPr>
            <w:r>
              <w:rPr>
                <w:b/>
                <w:spacing w:val="-2"/>
                <w:sz w:val="20"/>
              </w:rPr>
              <w:t>Monthly Fee</w:t>
            </w:r>
          </w:p>
        </w:tc>
        <w:tc>
          <w:tcPr>
            <w:tcW w:w="3780" w:type="dxa"/>
            <w:gridSpan w:val="2"/>
            <w:tcBorders>
              <w:bottom w:val="nil"/>
            </w:tcBorders>
          </w:tcPr>
          <w:p>
            <w:pPr>
              <w:pStyle w:val="yTable"/>
              <w:spacing w:after="20"/>
              <w:rPr>
                <w:spacing w:val="-2"/>
                <w:sz w:val="20"/>
              </w:rPr>
            </w:pPr>
            <w:r>
              <w:rPr>
                <w:spacing w:val="-2"/>
                <w:sz w:val="20"/>
              </w:rPr>
              <w:t>$48.35/m x length of vessel, per month</w:t>
            </w:r>
          </w:p>
        </w:tc>
      </w:tr>
      <w:tr>
        <w:tc>
          <w:tcPr>
            <w:tcW w:w="3149" w:type="dxa"/>
            <w:gridSpan w:val="2"/>
            <w:tcBorders>
              <w:bottom w:val="single" w:sz="4" w:space="0" w:color="auto"/>
            </w:tcBorders>
          </w:tcPr>
          <w:p>
            <w:pPr>
              <w:pStyle w:val="yTable"/>
              <w:spacing w:after="20"/>
              <w:rPr>
                <w:spacing w:val="-2"/>
                <w:sz w:val="20"/>
              </w:rPr>
            </w:pPr>
            <w:r>
              <w:rPr>
                <w:b/>
                <w:spacing w:val="-2"/>
                <w:sz w:val="20"/>
              </w:rPr>
              <w:t>‘Live on Board’ Fee</w:t>
            </w:r>
          </w:p>
        </w:tc>
        <w:tc>
          <w:tcPr>
            <w:tcW w:w="3780" w:type="dxa"/>
            <w:gridSpan w:val="2"/>
            <w:tcBorders>
              <w:bottom w:val="single" w:sz="4" w:space="0" w:color="auto"/>
            </w:tcBorders>
          </w:tcPr>
          <w:p>
            <w:pPr>
              <w:pStyle w:val="yTable"/>
              <w:spacing w:after="20"/>
              <w:rPr>
                <w:spacing w:val="-2"/>
                <w:sz w:val="20"/>
              </w:rPr>
            </w:pPr>
            <w:r>
              <w:rPr>
                <w:spacing w:val="-2"/>
                <w:sz w:val="20"/>
              </w:rPr>
              <w:t xml:space="preserve">$32.35 per month per vessel </w:t>
            </w:r>
          </w:p>
        </w:tc>
      </w:tr>
    </w:tbl>
    <w:p>
      <w:pPr>
        <w:pStyle w:val="yHeading4"/>
      </w:pPr>
      <w:bookmarkStart w:id="699" w:name="_Toc170210282"/>
      <w:r>
        <w:t>Subdivision 8</w:t>
      </w:r>
      <w:r>
        <w:rPr>
          <w:b w:val="0"/>
        </w:rPr>
        <w:t> — </w:t>
      </w:r>
      <w:r>
        <w:t>Cervantes</w:t>
      </w:r>
      <w:bookmarkEnd w:id="699"/>
    </w:p>
    <w:p>
      <w:pPr>
        <w:pStyle w:val="yFootnoteheading"/>
      </w:pPr>
      <w:r>
        <w:tab/>
        <w:t>[Heading inserted in Gazette 24 Jun 2005 p. 2835.]</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77"/>
        <w:gridCol w:w="3766"/>
      </w:tblGrid>
      <w:tr>
        <w:trPr>
          <w:cantSplit/>
        </w:trPr>
        <w:tc>
          <w:tcPr>
            <w:tcW w:w="3177" w:type="dxa"/>
          </w:tcPr>
          <w:p>
            <w:pPr>
              <w:pStyle w:val="yTable"/>
              <w:spacing w:after="20"/>
              <w:ind w:left="-26" w:firstLine="26"/>
              <w:rPr>
                <w:spacing w:val="-2"/>
                <w:sz w:val="20"/>
              </w:rPr>
            </w:pPr>
            <w:r>
              <w:rPr>
                <w:b/>
                <w:spacing w:val="-2"/>
                <w:sz w:val="20"/>
              </w:rPr>
              <w:t>Berthage/Use of Service Jetty (for extended overnight stay)</w:t>
            </w:r>
          </w:p>
          <w:p>
            <w:pPr>
              <w:pStyle w:val="yTable"/>
              <w:tabs>
                <w:tab w:val="left" w:pos="116"/>
              </w:tabs>
              <w:spacing w:after="20"/>
              <w:jc w:val="both"/>
              <w:rPr>
                <w:spacing w:val="-2"/>
                <w:sz w:val="20"/>
              </w:rPr>
            </w:pPr>
            <w:r>
              <w:rPr>
                <w:spacing w:val="-2"/>
                <w:sz w:val="20"/>
              </w:rPr>
              <w:tab/>
              <w:t>Daily Casual Fee</w:t>
            </w:r>
          </w:p>
        </w:tc>
        <w:tc>
          <w:tcPr>
            <w:tcW w:w="3766" w:type="dxa"/>
          </w:tcPr>
          <w:p>
            <w:pPr>
              <w:pStyle w:val="yTable"/>
              <w:spacing w:after="20"/>
              <w:rPr>
                <w:spacing w:val="-2"/>
                <w:sz w:val="20"/>
              </w:rPr>
            </w:pPr>
            <w:r>
              <w:rPr>
                <w:spacing w:val="-2"/>
                <w:sz w:val="20"/>
              </w:rPr>
              <w:br/>
            </w:r>
          </w:p>
          <w:p>
            <w:pPr>
              <w:pStyle w:val="yTable"/>
              <w:spacing w:after="20"/>
              <w:rPr>
                <w:spacing w:val="-2"/>
                <w:sz w:val="20"/>
              </w:rPr>
            </w:pPr>
            <w:r>
              <w:rPr>
                <w:spacing w:val="-2"/>
                <w:sz w:val="20"/>
              </w:rPr>
              <w:t>$5.50/m x length of vessel, per day or part of a day</w:t>
            </w:r>
          </w:p>
        </w:tc>
      </w:tr>
    </w:tbl>
    <w:p>
      <w:pPr>
        <w:pStyle w:val="yNumberedItem"/>
      </w:pPr>
      <w:r>
        <w:t>Note:</w:t>
      </w:r>
      <w:r>
        <w:tab/>
        <w:t>Vessels undertaking emergency repairs, for which specific prior Department approval has been obtained to berth at the jetty for the period in question, are exempt from this fee.</w:t>
      </w:r>
    </w:p>
    <w:p>
      <w:pPr>
        <w:pStyle w:val="yHeading4"/>
      </w:pPr>
      <w:bookmarkStart w:id="700" w:name="_Toc170210283"/>
      <w:r>
        <w:t>Subdivision 9</w:t>
      </w:r>
      <w:r>
        <w:rPr>
          <w:b w:val="0"/>
        </w:rPr>
        <w:t> — </w:t>
      </w:r>
      <w:r>
        <w:t>Emu Point Boat Harbour (Albany)</w:t>
      </w:r>
      <w:bookmarkEnd w:id="700"/>
    </w:p>
    <w:p>
      <w:pPr>
        <w:pStyle w:val="yFootnoteheading"/>
      </w:pPr>
      <w:r>
        <w:tab/>
        <w:t>[Heading inserted in Gazette 24 Jun 2005 p. 2836.]</w:t>
      </w:r>
    </w:p>
    <w:tbl>
      <w:tblPr>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219"/>
        <w:gridCol w:w="3766"/>
      </w:tblGrid>
      <w:tr>
        <w:trPr>
          <w:cantSplit/>
        </w:trPr>
        <w:tc>
          <w:tcPr>
            <w:tcW w:w="3219" w:type="dxa"/>
          </w:tcPr>
          <w:p>
            <w:pPr>
              <w:pStyle w:val="yTable"/>
              <w:spacing w:after="40"/>
              <w:rPr>
                <w:spacing w:val="-2"/>
                <w:sz w:val="20"/>
              </w:rPr>
            </w:pPr>
            <w:r>
              <w:rPr>
                <w:b/>
                <w:spacing w:val="-2"/>
                <w:sz w:val="20"/>
              </w:rPr>
              <w:t>Annual Fee</w:t>
            </w:r>
          </w:p>
          <w:p>
            <w:pPr>
              <w:pStyle w:val="yTable"/>
              <w:tabs>
                <w:tab w:val="left" w:pos="1192"/>
              </w:tabs>
              <w:spacing w:after="40"/>
              <w:ind w:left="170"/>
              <w:rPr>
                <w:spacing w:val="-2"/>
                <w:sz w:val="20"/>
              </w:rPr>
            </w:pPr>
            <w:r>
              <w:rPr>
                <w:spacing w:val="-2"/>
                <w:sz w:val="20"/>
              </w:rPr>
              <w:t>Recreational vessel</w:t>
            </w:r>
          </w:p>
          <w:p>
            <w:pPr>
              <w:pStyle w:val="yTable"/>
              <w:tabs>
                <w:tab w:val="left" w:pos="1192"/>
              </w:tabs>
              <w:spacing w:after="40"/>
              <w:ind w:left="170"/>
              <w:rPr>
                <w:spacing w:val="-2"/>
                <w:sz w:val="20"/>
              </w:rPr>
            </w:pPr>
            <w:r>
              <w:rPr>
                <w:spacing w:val="-2"/>
                <w:sz w:val="20"/>
              </w:rPr>
              <w:t>Commercial vessel up to 20 m</w:t>
            </w:r>
          </w:p>
          <w:p>
            <w:pPr>
              <w:pStyle w:val="yTable"/>
              <w:tabs>
                <w:tab w:val="left" w:pos="1192"/>
              </w:tabs>
              <w:spacing w:after="40"/>
              <w:ind w:left="170"/>
              <w:rPr>
                <w:spacing w:val="-2"/>
                <w:sz w:val="20"/>
              </w:rPr>
            </w:pPr>
            <w:r>
              <w:rPr>
                <w:spacing w:val="-2"/>
                <w:sz w:val="20"/>
              </w:rPr>
              <w:t>Commercial vessel 20 m and over</w:t>
            </w:r>
          </w:p>
        </w:tc>
        <w:tc>
          <w:tcPr>
            <w:tcW w:w="3766" w:type="dxa"/>
          </w:tcPr>
          <w:p>
            <w:pPr>
              <w:pStyle w:val="yTable"/>
              <w:spacing w:after="40"/>
              <w:rPr>
                <w:spacing w:val="-2"/>
                <w:sz w:val="20"/>
              </w:rPr>
            </w:pPr>
          </w:p>
          <w:p>
            <w:pPr>
              <w:pStyle w:val="yTable"/>
              <w:spacing w:after="40"/>
              <w:rPr>
                <w:spacing w:val="-2"/>
                <w:sz w:val="20"/>
              </w:rPr>
            </w:pPr>
            <w:r>
              <w:rPr>
                <w:spacing w:val="-2"/>
                <w:sz w:val="20"/>
              </w:rPr>
              <w:t>$166.09/m x length of vessel</w:t>
            </w:r>
          </w:p>
          <w:p>
            <w:pPr>
              <w:pStyle w:val="yTable"/>
              <w:spacing w:after="40"/>
              <w:rPr>
                <w:spacing w:val="-2"/>
                <w:sz w:val="20"/>
              </w:rPr>
            </w:pPr>
            <w:r>
              <w:rPr>
                <w:spacing w:val="-2"/>
                <w:sz w:val="20"/>
              </w:rPr>
              <w:t>$183.20/m x length of vessel</w:t>
            </w:r>
          </w:p>
          <w:p>
            <w:pPr>
              <w:pStyle w:val="yTable"/>
              <w:spacing w:after="40"/>
              <w:rPr>
                <w:spacing w:val="-2"/>
                <w:sz w:val="20"/>
              </w:rPr>
            </w:pPr>
            <w:r>
              <w:rPr>
                <w:spacing w:val="-2"/>
                <w:sz w:val="20"/>
              </w:rPr>
              <w:t>$217.39/m x length of vessel</w:t>
            </w:r>
          </w:p>
        </w:tc>
      </w:tr>
      <w:tr>
        <w:trPr>
          <w:cantSplit/>
        </w:trPr>
        <w:tc>
          <w:tcPr>
            <w:tcW w:w="3219" w:type="dxa"/>
          </w:tcPr>
          <w:p>
            <w:pPr>
              <w:pStyle w:val="yTable"/>
              <w:spacing w:before="40"/>
              <w:rPr>
                <w:b/>
                <w:spacing w:val="-2"/>
                <w:sz w:val="20"/>
              </w:rPr>
            </w:pPr>
            <w:r>
              <w:rPr>
                <w:b/>
                <w:spacing w:val="-2"/>
                <w:sz w:val="20"/>
              </w:rPr>
              <w:t>Part Year Fee – 3 months or more</w:t>
            </w:r>
          </w:p>
          <w:p>
            <w:pPr>
              <w:pStyle w:val="yTable"/>
              <w:spacing w:before="40"/>
              <w:rPr>
                <w:spacing w:val="-2"/>
                <w:sz w:val="20"/>
              </w:rPr>
            </w:pPr>
            <w:r>
              <w:rPr>
                <w:b/>
                <w:spacing w:val="-2"/>
                <w:sz w:val="20"/>
              </w:rPr>
              <w:t>and paid in advance</w:t>
            </w:r>
          </w:p>
          <w:p>
            <w:pPr>
              <w:pStyle w:val="yTable"/>
              <w:tabs>
                <w:tab w:val="left" w:pos="1192"/>
              </w:tabs>
              <w:spacing w:after="40"/>
              <w:ind w:left="170"/>
              <w:rPr>
                <w:spacing w:val="-2"/>
                <w:sz w:val="20"/>
              </w:rPr>
            </w:pPr>
            <w:r>
              <w:rPr>
                <w:spacing w:val="-2"/>
                <w:sz w:val="20"/>
              </w:rPr>
              <w:t>Recreational vessel</w:t>
            </w:r>
          </w:p>
          <w:p>
            <w:pPr>
              <w:pStyle w:val="yTable"/>
              <w:tabs>
                <w:tab w:val="left" w:pos="1192"/>
              </w:tabs>
              <w:spacing w:after="40"/>
              <w:ind w:left="170"/>
              <w:rPr>
                <w:spacing w:val="-2"/>
                <w:sz w:val="20"/>
              </w:rPr>
            </w:pPr>
            <w:r>
              <w:rPr>
                <w:spacing w:val="-2"/>
                <w:sz w:val="20"/>
              </w:rPr>
              <w:t>Commercial vessel up to 20 m</w:t>
            </w:r>
          </w:p>
          <w:p>
            <w:pPr>
              <w:pStyle w:val="yTable"/>
              <w:tabs>
                <w:tab w:val="left" w:pos="1192"/>
              </w:tabs>
              <w:spacing w:after="40"/>
              <w:ind w:left="170"/>
              <w:rPr>
                <w:spacing w:val="-2"/>
                <w:sz w:val="20"/>
              </w:rPr>
            </w:pPr>
            <w:r>
              <w:rPr>
                <w:spacing w:val="-2"/>
                <w:sz w:val="20"/>
              </w:rPr>
              <w:t>Commercial vessel 20 m and over</w:t>
            </w:r>
          </w:p>
        </w:tc>
        <w:tc>
          <w:tcPr>
            <w:tcW w:w="3766" w:type="dxa"/>
          </w:tcPr>
          <w:p>
            <w:pPr>
              <w:pStyle w:val="yTable"/>
              <w:spacing w:before="40"/>
              <w:rPr>
                <w:b/>
                <w:spacing w:val="-2"/>
                <w:sz w:val="20"/>
              </w:rPr>
            </w:pPr>
          </w:p>
          <w:p>
            <w:pPr>
              <w:pStyle w:val="yTable"/>
              <w:spacing w:before="40"/>
              <w:rPr>
                <w:b/>
                <w:spacing w:val="-2"/>
                <w:sz w:val="20"/>
              </w:rPr>
            </w:pPr>
          </w:p>
          <w:p>
            <w:pPr>
              <w:pStyle w:val="yTable"/>
              <w:spacing w:after="40"/>
              <w:rPr>
                <w:spacing w:val="-2"/>
                <w:sz w:val="20"/>
              </w:rPr>
            </w:pPr>
            <w:r>
              <w:rPr>
                <w:spacing w:val="-2"/>
                <w:sz w:val="20"/>
              </w:rPr>
              <w:t>$16.61/m x length of vessel, per month</w:t>
            </w:r>
          </w:p>
          <w:p>
            <w:pPr>
              <w:pStyle w:val="yTable"/>
              <w:spacing w:after="40"/>
              <w:rPr>
                <w:spacing w:val="-2"/>
                <w:sz w:val="20"/>
              </w:rPr>
            </w:pPr>
            <w:r>
              <w:rPr>
                <w:spacing w:val="-2"/>
                <w:sz w:val="20"/>
              </w:rPr>
              <w:t>$18.32/m x length of vessel, per month</w:t>
            </w:r>
          </w:p>
          <w:p>
            <w:pPr>
              <w:pStyle w:val="yTable"/>
              <w:spacing w:after="40"/>
              <w:rPr>
                <w:spacing w:val="-2"/>
                <w:sz w:val="20"/>
              </w:rPr>
            </w:pPr>
            <w:r>
              <w:rPr>
                <w:spacing w:val="-2"/>
                <w:sz w:val="20"/>
              </w:rPr>
              <w:t>$21.74/m x length of vessel, per month</w:t>
            </w:r>
          </w:p>
        </w:tc>
      </w:tr>
      <w:tr>
        <w:trPr>
          <w:cantSplit/>
        </w:trPr>
        <w:tc>
          <w:tcPr>
            <w:tcW w:w="3219" w:type="dxa"/>
          </w:tcPr>
          <w:p>
            <w:pPr>
              <w:pStyle w:val="yTable"/>
              <w:spacing w:after="40"/>
              <w:rPr>
                <w:spacing w:val="-2"/>
                <w:sz w:val="20"/>
              </w:rPr>
            </w:pPr>
            <w:r>
              <w:rPr>
                <w:b/>
                <w:spacing w:val="-2"/>
                <w:sz w:val="20"/>
              </w:rPr>
              <w:t>Monthly fee</w:t>
            </w:r>
            <w:r>
              <w:rPr>
                <w:spacing w:val="-2"/>
                <w:sz w:val="20"/>
              </w:rPr>
              <w:t>:</w:t>
            </w:r>
          </w:p>
          <w:p>
            <w:pPr>
              <w:pStyle w:val="yTable"/>
              <w:tabs>
                <w:tab w:val="left" w:pos="1192"/>
              </w:tabs>
              <w:spacing w:after="40"/>
              <w:ind w:left="170"/>
              <w:rPr>
                <w:spacing w:val="-2"/>
                <w:sz w:val="20"/>
              </w:rPr>
            </w:pPr>
            <w:r>
              <w:rPr>
                <w:spacing w:val="-2"/>
                <w:sz w:val="20"/>
              </w:rPr>
              <w:t>Recreational vessel:</w:t>
            </w:r>
          </w:p>
          <w:p>
            <w:pPr>
              <w:pStyle w:val="yTable"/>
              <w:tabs>
                <w:tab w:val="left" w:pos="1192"/>
              </w:tabs>
              <w:spacing w:after="40"/>
              <w:ind w:left="170"/>
              <w:rPr>
                <w:spacing w:val="-2"/>
                <w:sz w:val="20"/>
              </w:rPr>
            </w:pPr>
            <w:r>
              <w:rPr>
                <w:spacing w:val="-2"/>
                <w:sz w:val="20"/>
              </w:rPr>
              <w:t>Commercial vessel up to 20 m:</w:t>
            </w:r>
          </w:p>
          <w:p>
            <w:pPr>
              <w:pStyle w:val="yTable"/>
              <w:tabs>
                <w:tab w:val="left" w:pos="1192"/>
              </w:tabs>
              <w:spacing w:after="40"/>
              <w:ind w:left="170"/>
              <w:rPr>
                <w:spacing w:val="-2"/>
                <w:sz w:val="20"/>
              </w:rPr>
            </w:pPr>
            <w:r>
              <w:rPr>
                <w:spacing w:val="-2"/>
                <w:sz w:val="20"/>
              </w:rPr>
              <w:t>Commercial vessel 20 m and over</w:t>
            </w:r>
          </w:p>
        </w:tc>
        <w:tc>
          <w:tcPr>
            <w:tcW w:w="3766" w:type="dxa"/>
          </w:tcPr>
          <w:p>
            <w:pPr>
              <w:pStyle w:val="yTable"/>
              <w:spacing w:after="40"/>
              <w:rPr>
                <w:spacing w:val="-2"/>
                <w:sz w:val="20"/>
              </w:rPr>
            </w:pPr>
          </w:p>
          <w:p>
            <w:pPr>
              <w:pStyle w:val="yTable"/>
              <w:spacing w:after="40"/>
              <w:rPr>
                <w:spacing w:val="-2"/>
                <w:sz w:val="20"/>
              </w:rPr>
            </w:pPr>
            <w:r>
              <w:rPr>
                <w:spacing w:val="-2"/>
                <w:sz w:val="20"/>
              </w:rPr>
              <w:t>$33.22/m x length of vessel, per month</w:t>
            </w:r>
          </w:p>
          <w:p>
            <w:pPr>
              <w:pStyle w:val="yTable"/>
              <w:spacing w:after="40"/>
              <w:rPr>
                <w:spacing w:val="-2"/>
                <w:sz w:val="20"/>
              </w:rPr>
            </w:pPr>
            <w:r>
              <w:rPr>
                <w:spacing w:val="-2"/>
                <w:sz w:val="20"/>
              </w:rPr>
              <w:t>$36.64/m x length of vessel, per month</w:t>
            </w:r>
          </w:p>
          <w:p>
            <w:pPr>
              <w:pStyle w:val="yTable"/>
              <w:spacing w:after="40"/>
              <w:rPr>
                <w:spacing w:val="-2"/>
                <w:sz w:val="20"/>
              </w:rPr>
            </w:pPr>
            <w:r>
              <w:rPr>
                <w:spacing w:val="-2"/>
                <w:sz w:val="20"/>
              </w:rPr>
              <w:t>$43.48/m x length of vessel, per month</w:t>
            </w:r>
          </w:p>
        </w:tc>
      </w:tr>
      <w:tr>
        <w:trPr>
          <w:cantSplit/>
        </w:trPr>
        <w:tc>
          <w:tcPr>
            <w:tcW w:w="3219" w:type="dxa"/>
          </w:tcPr>
          <w:p>
            <w:pPr>
              <w:pStyle w:val="yTable"/>
              <w:spacing w:after="40"/>
              <w:rPr>
                <w:spacing w:val="-2"/>
                <w:sz w:val="20"/>
              </w:rPr>
            </w:pPr>
            <w:r>
              <w:rPr>
                <w:b/>
                <w:spacing w:val="-2"/>
                <w:sz w:val="20"/>
              </w:rPr>
              <w:t xml:space="preserve">Weekly Fee </w:t>
            </w:r>
            <w:r>
              <w:rPr>
                <w:spacing w:val="-2"/>
                <w:sz w:val="20"/>
              </w:rPr>
              <w:t>(all vessels)</w:t>
            </w:r>
          </w:p>
        </w:tc>
        <w:tc>
          <w:tcPr>
            <w:tcW w:w="3766" w:type="dxa"/>
          </w:tcPr>
          <w:p>
            <w:pPr>
              <w:pStyle w:val="yTable"/>
              <w:spacing w:after="40"/>
              <w:rPr>
                <w:spacing w:val="-2"/>
                <w:sz w:val="20"/>
              </w:rPr>
            </w:pPr>
            <w:r>
              <w:rPr>
                <w:spacing w:val="-2"/>
                <w:sz w:val="20"/>
              </w:rPr>
              <w:t>$30.50/m x length of vessel, per week</w:t>
            </w:r>
          </w:p>
        </w:tc>
      </w:tr>
      <w:tr>
        <w:trPr>
          <w:cantSplit/>
        </w:trPr>
        <w:tc>
          <w:tcPr>
            <w:tcW w:w="3219" w:type="dxa"/>
          </w:tcPr>
          <w:p>
            <w:pPr>
              <w:pStyle w:val="yTable"/>
              <w:spacing w:after="40"/>
              <w:rPr>
                <w:spacing w:val="-2"/>
                <w:sz w:val="20"/>
              </w:rPr>
            </w:pPr>
            <w:r>
              <w:rPr>
                <w:b/>
                <w:spacing w:val="-2"/>
                <w:sz w:val="20"/>
              </w:rPr>
              <w:t xml:space="preserve">Daily Casual Fee </w:t>
            </w:r>
            <w:r>
              <w:rPr>
                <w:spacing w:val="-2"/>
                <w:sz w:val="20"/>
              </w:rPr>
              <w:t>(all vessels)</w:t>
            </w:r>
          </w:p>
        </w:tc>
        <w:tc>
          <w:tcPr>
            <w:tcW w:w="3766" w:type="dxa"/>
          </w:tcPr>
          <w:p>
            <w:pPr>
              <w:pStyle w:val="yTable"/>
              <w:spacing w:after="40"/>
              <w:rPr>
                <w:spacing w:val="-2"/>
                <w:sz w:val="20"/>
              </w:rPr>
            </w:pPr>
            <w:r>
              <w:rPr>
                <w:spacing w:val="-2"/>
                <w:sz w:val="20"/>
              </w:rPr>
              <w:t>$6.10/m x length of vessel, per day</w:t>
            </w:r>
          </w:p>
        </w:tc>
      </w:tr>
      <w:tr>
        <w:tblPrEx>
          <w:tblBorders>
            <w:bottom w:val="double" w:sz="4" w:space="0" w:color="auto"/>
          </w:tblBorders>
        </w:tblPrEx>
        <w:trPr>
          <w:cantSplit/>
        </w:trPr>
        <w:tc>
          <w:tcPr>
            <w:tcW w:w="3219" w:type="dxa"/>
          </w:tcPr>
          <w:p>
            <w:pPr>
              <w:pStyle w:val="yTable"/>
              <w:spacing w:after="40"/>
              <w:rPr>
                <w:sz w:val="20"/>
              </w:rPr>
            </w:pPr>
            <w:r>
              <w:rPr>
                <w:b/>
                <w:sz w:val="20"/>
              </w:rPr>
              <w:t>Short Term Use Fee</w:t>
            </w:r>
            <w:r>
              <w:rPr>
                <w:sz w:val="20"/>
              </w:rPr>
              <w:t xml:space="preserve"> (for use of service jetty by vessels for which mooring, berthage or pen fees not paid)/day – short term use —</w:t>
            </w:r>
          </w:p>
        </w:tc>
        <w:tc>
          <w:tcPr>
            <w:tcW w:w="3766" w:type="dxa"/>
          </w:tcPr>
          <w:p>
            <w:pPr>
              <w:pStyle w:val="yTable"/>
              <w:spacing w:after="40"/>
              <w:rPr>
                <w:spacing w:val="-2"/>
                <w:sz w:val="20"/>
              </w:rPr>
            </w:pPr>
          </w:p>
        </w:tc>
      </w:tr>
      <w:tr>
        <w:tblPrEx>
          <w:tblBorders>
            <w:bottom w:val="double" w:sz="4" w:space="0" w:color="auto"/>
          </w:tblBorders>
        </w:tblPrEx>
        <w:trPr>
          <w:cantSplit/>
        </w:trPr>
        <w:tc>
          <w:tcPr>
            <w:tcW w:w="3219" w:type="dxa"/>
            <w:tcBorders>
              <w:bottom w:val="nil"/>
            </w:tcBorders>
          </w:tcPr>
          <w:p>
            <w:pPr>
              <w:pStyle w:val="yTable"/>
              <w:spacing w:after="40"/>
              <w:ind w:left="16"/>
              <w:rPr>
                <w:b/>
                <w:spacing w:val="-2"/>
                <w:sz w:val="20"/>
              </w:rPr>
            </w:pPr>
            <w:r>
              <w:br w:type="page"/>
            </w:r>
            <w:r>
              <w:rPr>
                <w:b/>
                <w:spacing w:val="-2"/>
                <w:sz w:val="20"/>
              </w:rPr>
              <w:t>Annual Fee</w:t>
            </w:r>
          </w:p>
        </w:tc>
        <w:tc>
          <w:tcPr>
            <w:tcW w:w="3766" w:type="dxa"/>
            <w:tcBorders>
              <w:bottom w:val="nil"/>
            </w:tcBorders>
          </w:tcPr>
          <w:p>
            <w:pPr>
              <w:pStyle w:val="yTable"/>
              <w:spacing w:after="40"/>
              <w:rPr>
                <w:spacing w:val="-2"/>
                <w:sz w:val="20"/>
              </w:rPr>
            </w:pPr>
            <w:r>
              <w:rPr>
                <w:spacing w:val="-2"/>
                <w:sz w:val="20"/>
              </w:rPr>
              <w:t>$112.35/m x length of vessel</w:t>
            </w:r>
          </w:p>
        </w:tc>
      </w:tr>
      <w:tr>
        <w:tblPrEx>
          <w:tblBorders>
            <w:bottom w:val="double" w:sz="4" w:space="0" w:color="auto"/>
          </w:tblBorders>
        </w:tblPrEx>
        <w:trPr>
          <w:cantSplit/>
        </w:trPr>
        <w:tc>
          <w:tcPr>
            <w:tcW w:w="3219" w:type="dxa"/>
            <w:tcBorders>
              <w:bottom w:val="nil"/>
            </w:tcBorders>
          </w:tcPr>
          <w:p>
            <w:pPr>
              <w:pStyle w:val="yTable"/>
              <w:spacing w:after="40"/>
              <w:ind w:left="16"/>
              <w:rPr>
                <w:spacing w:val="-2"/>
                <w:sz w:val="20"/>
              </w:rPr>
            </w:pPr>
            <w:r>
              <w:rPr>
                <w:b/>
                <w:spacing w:val="-2"/>
                <w:sz w:val="20"/>
              </w:rPr>
              <w:t>Daily Casual Fee</w:t>
            </w:r>
          </w:p>
        </w:tc>
        <w:tc>
          <w:tcPr>
            <w:tcW w:w="3766" w:type="dxa"/>
            <w:tcBorders>
              <w:bottom w:val="nil"/>
            </w:tcBorders>
          </w:tcPr>
          <w:p>
            <w:pPr>
              <w:pStyle w:val="yTable"/>
              <w:spacing w:after="40"/>
              <w:rPr>
                <w:spacing w:val="-2"/>
                <w:sz w:val="20"/>
              </w:rPr>
            </w:pPr>
            <w:r>
              <w:rPr>
                <w:spacing w:val="-2"/>
                <w:sz w:val="20"/>
              </w:rPr>
              <w:t>$3.66/m x length of vessel</w:t>
            </w:r>
          </w:p>
        </w:tc>
      </w:tr>
      <w:tr>
        <w:tblPrEx>
          <w:tblBorders>
            <w:bottom w:val="double" w:sz="4" w:space="0" w:color="auto"/>
          </w:tblBorders>
        </w:tblPrEx>
        <w:trPr>
          <w:cantSplit/>
        </w:trPr>
        <w:tc>
          <w:tcPr>
            <w:tcW w:w="3219" w:type="dxa"/>
            <w:tcBorders>
              <w:top w:val="single" w:sz="4" w:space="0" w:color="auto"/>
              <w:bottom w:val="single" w:sz="4" w:space="0" w:color="auto"/>
            </w:tcBorders>
          </w:tcPr>
          <w:p>
            <w:pPr>
              <w:pStyle w:val="yTable"/>
              <w:spacing w:after="40"/>
              <w:rPr>
                <w:b/>
                <w:spacing w:val="-2"/>
                <w:sz w:val="20"/>
              </w:rPr>
            </w:pPr>
            <w:r>
              <w:rPr>
                <w:b/>
                <w:sz w:val="20"/>
              </w:rPr>
              <w:t>Electric power — 3</w:t>
            </w:r>
            <w:r>
              <w:rPr>
                <w:b/>
                <w:sz w:val="20"/>
              </w:rPr>
              <w:noBreakHyphen/>
              <w:t>phase</w:t>
            </w:r>
          </w:p>
        </w:tc>
        <w:tc>
          <w:tcPr>
            <w:tcW w:w="3766" w:type="dxa"/>
            <w:tcBorders>
              <w:top w:val="single" w:sz="4" w:space="0" w:color="auto"/>
              <w:bottom w:val="single" w:sz="4" w:space="0" w:color="auto"/>
            </w:tcBorders>
          </w:tcPr>
          <w:p>
            <w:pPr>
              <w:pStyle w:val="yTable"/>
              <w:spacing w:after="40"/>
              <w:rPr>
                <w:spacing w:val="-2"/>
                <w:sz w:val="20"/>
              </w:rPr>
            </w:pPr>
            <w:r>
              <w:rPr>
                <w:spacing w:val="-2"/>
                <w:sz w:val="20"/>
              </w:rPr>
              <w:t>$28.09 per day or part of a day</w:t>
            </w:r>
          </w:p>
        </w:tc>
      </w:tr>
    </w:tbl>
    <w:p>
      <w:pPr>
        <w:pStyle w:val="yHeading4"/>
      </w:pPr>
      <w:bookmarkStart w:id="701" w:name="_Toc170210284"/>
      <w:r>
        <w:t>Subdivision 10</w:t>
      </w:r>
      <w:r>
        <w:rPr>
          <w:b w:val="0"/>
        </w:rPr>
        <w:t> — </w:t>
      </w:r>
      <w:r>
        <w:t>Exmouth</w:t>
      </w:r>
      <w:bookmarkEnd w:id="701"/>
    </w:p>
    <w:p>
      <w:pPr>
        <w:pStyle w:val="yFootnoteheading"/>
      </w:pPr>
      <w:r>
        <w:tab/>
        <w:t>[Heading inserted in Gazette 24 Jun 2005 p. 2836.]</w:t>
      </w:r>
    </w:p>
    <w:tbl>
      <w:tblPr>
        <w:tblW w:w="0" w:type="auto"/>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205"/>
        <w:gridCol w:w="3752"/>
      </w:tblGrid>
      <w:tr>
        <w:tc>
          <w:tcPr>
            <w:tcW w:w="3205" w:type="dxa"/>
          </w:tcPr>
          <w:p>
            <w:pPr>
              <w:pStyle w:val="yTable"/>
              <w:rPr>
                <w:b/>
                <w:spacing w:val="-2"/>
                <w:sz w:val="20"/>
              </w:rPr>
            </w:pPr>
            <w:r>
              <w:rPr>
                <w:b/>
                <w:spacing w:val="-2"/>
                <w:sz w:val="20"/>
              </w:rPr>
              <w:t>Commercial/Charter Boat Pens</w:t>
            </w:r>
          </w:p>
        </w:tc>
        <w:tc>
          <w:tcPr>
            <w:tcW w:w="3752" w:type="dxa"/>
          </w:tcPr>
          <w:p>
            <w:pPr>
              <w:pStyle w:val="yTable"/>
              <w:rPr>
                <w:spacing w:val="-2"/>
                <w:sz w:val="20"/>
              </w:rPr>
            </w:pPr>
          </w:p>
        </w:tc>
      </w:tr>
      <w:tr>
        <w:tc>
          <w:tcPr>
            <w:tcW w:w="3205" w:type="dxa"/>
          </w:tcPr>
          <w:p>
            <w:pPr>
              <w:pStyle w:val="yTable"/>
              <w:rPr>
                <w:spacing w:val="-2"/>
                <w:sz w:val="20"/>
              </w:rPr>
            </w:pPr>
            <w:r>
              <w:rPr>
                <w:b/>
                <w:spacing w:val="-2"/>
                <w:sz w:val="20"/>
              </w:rPr>
              <w:t>Annual Fee</w:t>
            </w:r>
          </w:p>
        </w:tc>
        <w:tc>
          <w:tcPr>
            <w:tcW w:w="3752" w:type="dxa"/>
          </w:tcPr>
          <w:p>
            <w:pPr>
              <w:pStyle w:val="yTable"/>
              <w:rPr>
                <w:spacing w:val="-2"/>
                <w:sz w:val="20"/>
              </w:rPr>
            </w:pPr>
            <w:r>
              <w:rPr>
                <w:spacing w:val="-2"/>
                <w:sz w:val="20"/>
              </w:rPr>
              <w:t xml:space="preserve">$359.06/m x length of vessel </w:t>
            </w:r>
          </w:p>
        </w:tc>
      </w:tr>
      <w:tr>
        <w:tc>
          <w:tcPr>
            <w:tcW w:w="3205" w:type="dxa"/>
          </w:tcPr>
          <w:p>
            <w:pPr>
              <w:pStyle w:val="yTable"/>
              <w:rPr>
                <w:spacing w:val="-2"/>
                <w:sz w:val="20"/>
              </w:rPr>
            </w:pPr>
            <w:r>
              <w:rPr>
                <w:b/>
                <w:spacing w:val="-2"/>
                <w:sz w:val="20"/>
              </w:rPr>
              <w:t>Part Year Fee – 3 months or more, paid in advance</w:t>
            </w:r>
          </w:p>
        </w:tc>
        <w:tc>
          <w:tcPr>
            <w:tcW w:w="3752" w:type="dxa"/>
          </w:tcPr>
          <w:p>
            <w:pPr>
              <w:pStyle w:val="yTable"/>
              <w:rPr>
                <w:spacing w:val="-2"/>
                <w:sz w:val="20"/>
              </w:rPr>
            </w:pPr>
            <w:r>
              <w:rPr>
                <w:spacing w:val="-2"/>
                <w:sz w:val="20"/>
              </w:rPr>
              <w:br/>
              <w:t>$35.91/m x length of vessel, per month</w:t>
            </w:r>
          </w:p>
        </w:tc>
      </w:tr>
      <w:tr>
        <w:tc>
          <w:tcPr>
            <w:tcW w:w="3205" w:type="dxa"/>
          </w:tcPr>
          <w:p>
            <w:pPr>
              <w:pStyle w:val="yTable"/>
              <w:rPr>
                <w:spacing w:val="-2"/>
                <w:sz w:val="20"/>
              </w:rPr>
            </w:pPr>
            <w:r>
              <w:rPr>
                <w:b/>
                <w:spacing w:val="-2"/>
                <w:sz w:val="20"/>
              </w:rPr>
              <w:t>Monthly Fee</w:t>
            </w:r>
          </w:p>
        </w:tc>
        <w:tc>
          <w:tcPr>
            <w:tcW w:w="3752" w:type="dxa"/>
          </w:tcPr>
          <w:p>
            <w:pPr>
              <w:pStyle w:val="yTable"/>
              <w:rPr>
                <w:spacing w:val="-2"/>
                <w:sz w:val="20"/>
              </w:rPr>
            </w:pPr>
            <w:r>
              <w:rPr>
                <w:spacing w:val="-2"/>
                <w:sz w:val="20"/>
              </w:rPr>
              <w:t>$71.81/m x length of vessel, per month</w:t>
            </w:r>
          </w:p>
        </w:tc>
      </w:tr>
      <w:tr>
        <w:tc>
          <w:tcPr>
            <w:tcW w:w="3205" w:type="dxa"/>
          </w:tcPr>
          <w:p>
            <w:pPr>
              <w:pStyle w:val="yTable"/>
              <w:rPr>
                <w:spacing w:val="-2"/>
                <w:sz w:val="20"/>
              </w:rPr>
            </w:pPr>
            <w:r>
              <w:rPr>
                <w:b/>
                <w:spacing w:val="-2"/>
                <w:sz w:val="20"/>
              </w:rPr>
              <w:t>Weekly Fee</w:t>
            </w:r>
          </w:p>
        </w:tc>
        <w:tc>
          <w:tcPr>
            <w:tcW w:w="3752" w:type="dxa"/>
          </w:tcPr>
          <w:p>
            <w:pPr>
              <w:pStyle w:val="yTable"/>
              <w:rPr>
                <w:spacing w:val="-2"/>
                <w:sz w:val="20"/>
              </w:rPr>
            </w:pPr>
            <w:r>
              <w:rPr>
                <w:spacing w:val="-2"/>
                <w:sz w:val="20"/>
              </w:rPr>
              <w:t>$35.60/m x length of vessel, per week</w:t>
            </w:r>
          </w:p>
        </w:tc>
      </w:tr>
      <w:tr>
        <w:tc>
          <w:tcPr>
            <w:tcW w:w="3205" w:type="dxa"/>
            <w:tcBorders>
              <w:bottom w:val="nil"/>
            </w:tcBorders>
          </w:tcPr>
          <w:p>
            <w:pPr>
              <w:pStyle w:val="yTable"/>
              <w:rPr>
                <w:spacing w:val="-2"/>
                <w:sz w:val="20"/>
              </w:rPr>
            </w:pPr>
            <w:r>
              <w:rPr>
                <w:b/>
                <w:spacing w:val="-2"/>
                <w:sz w:val="20"/>
              </w:rPr>
              <w:t>Daily Casual Fee</w:t>
            </w:r>
          </w:p>
        </w:tc>
        <w:tc>
          <w:tcPr>
            <w:tcW w:w="3752" w:type="dxa"/>
            <w:tcBorders>
              <w:bottom w:val="nil"/>
            </w:tcBorders>
          </w:tcPr>
          <w:p>
            <w:pPr>
              <w:pStyle w:val="yTable"/>
              <w:rPr>
                <w:spacing w:val="-2"/>
                <w:sz w:val="20"/>
              </w:rPr>
            </w:pPr>
            <w:r>
              <w:rPr>
                <w:spacing w:val="-2"/>
                <w:sz w:val="20"/>
              </w:rPr>
              <w:t>$7.12/m x length of vessel, per day or part of a day</w:t>
            </w:r>
          </w:p>
        </w:tc>
      </w:tr>
      <w:tr>
        <w:tc>
          <w:tcPr>
            <w:tcW w:w="3205" w:type="dxa"/>
          </w:tcPr>
          <w:p>
            <w:pPr>
              <w:pStyle w:val="yTable"/>
              <w:spacing w:after="40"/>
              <w:rPr>
                <w:spacing w:val="-2"/>
                <w:sz w:val="20"/>
              </w:rPr>
            </w:pPr>
            <w:r>
              <w:rPr>
                <w:b/>
                <w:spacing w:val="-2"/>
                <w:sz w:val="20"/>
              </w:rPr>
              <w:t>Transient Recreational Vessel Daily Casual Fee</w:t>
            </w:r>
            <w:r>
              <w:rPr>
                <w:spacing w:val="-2"/>
                <w:sz w:val="20"/>
              </w:rPr>
              <w:t xml:space="preserve"> (If General Purpose Pen is unavailable)</w:t>
            </w:r>
          </w:p>
        </w:tc>
        <w:tc>
          <w:tcPr>
            <w:tcW w:w="3752" w:type="dxa"/>
          </w:tcPr>
          <w:p>
            <w:pPr>
              <w:pStyle w:val="yTable"/>
              <w:spacing w:after="40"/>
              <w:rPr>
                <w:spacing w:val="-2"/>
                <w:sz w:val="20"/>
              </w:rPr>
            </w:pPr>
            <w:r>
              <w:rPr>
                <w:spacing w:val="-2"/>
                <w:sz w:val="20"/>
              </w:rPr>
              <w:br/>
            </w:r>
            <w:r>
              <w:rPr>
                <w:spacing w:val="-2"/>
                <w:sz w:val="20"/>
              </w:rPr>
              <w:br/>
              <w:t>$3.55/m x length of vessel, per day</w:t>
            </w:r>
          </w:p>
        </w:tc>
      </w:tr>
      <w:tr>
        <w:tc>
          <w:tcPr>
            <w:tcW w:w="3205" w:type="dxa"/>
          </w:tcPr>
          <w:p>
            <w:pPr>
              <w:pStyle w:val="yTable"/>
              <w:tabs>
                <w:tab w:val="left" w:pos="342"/>
              </w:tabs>
              <w:spacing w:after="40"/>
              <w:rPr>
                <w:b/>
                <w:spacing w:val="-2"/>
                <w:sz w:val="20"/>
              </w:rPr>
            </w:pPr>
            <w:r>
              <w:rPr>
                <w:b/>
                <w:spacing w:val="-2"/>
                <w:sz w:val="20"/>
              </w:rPr>
              <w:t>Commercial/Charter Boat Passenger Transfer Pen (Daily casual fee)</w:t>
            </w:r>
          </w:p>
        </w:tc>
        <w:tc>
          <w:tcPr>
            <w:tcW w:w="3752" w:type="dxa"/>
          </w:tcPr>
          <w:p>
            <w:pPr>
              <w:pStyle w:val="yTable"/>
              <w:spacing w:after="40"/>
              <w:rPr>
                <w:spacing w:val="-2"/>
                <w:sz w:val="20"/>
              </w:rPr>
            </w:pPr>
          </w:p>
        </w:tc>
      </w:tr>
      <w:tr>
        <w:tc>
          <w:tcPr>
            <w:tcW w:w="3205" w:type="dxa"/>
          </w:tcPr>
          <w:p>
            <w:pPr>
              <w:pStyle w:val="yTable"/>
              <w:spacing w:after="40"/>
              <w:ind w:left="286"/>
              <w:rPr>
                <w:spacing w:val="-2"/>
                <w:sz w:val="20"/>
              </w:rPr>
            </w:pPr>
            <w:r>
              <w:rPr>
                <w:spacing w:val="-2"/>
                <w:sz w:val="20"/>
              </w:rPr>
              <w:t>Vessel with Harbour Pen</w:t>
            </w:r>
          </w:p>
        </w:tc>
        <w:tc>
          <w:tcPr>
            <w:tcW w:w="3752" w:type="dxa"/>
          </w:tcPr>
          <w:p>
            <w:pPr>
              <w:pStyle w:val="yTable"/>
              <w:spacing w:after="40"/>
              <w:rPr>
                <w:spacing w:val="-2"/>
                <w:sz w:val="20"/>
              </w:rPr>
            </w:pPr>
            <w:r>
              <w:rPr>
                <w:spacing w:val="-2"/>
                <w:sz w:val="20"/>
              </w:rPr>
              <w:t>No Charge</w:t>
            </w:r>
          </w:p>
        </w:tc>
      </w:tr>
      <w:tr>
        <w:tc>
          <w:tcPr>
            <w:tcW w:w="3205" w:type="dxa"/>
          </w:tcPr>
          <w:p>
            <w:pPr>
              <w:pStyle w:val="yTable"/>
              <w:spacing w:after="40"/>
              <w:ind w:left="286"/>
              <w:rPr>
                <w:spacing w:val="-2"/>
                <w:sz w:val="20"/>
              </w:rPr>
            </w:pPr>
            <w:r>
              <w:rPr>
                <w:spacing w:val="-2"/>
                <w:sz w:val="20"/>
              </w:rPr>
              <w:t>Vessel with Harbour Mooring</w:t>
            </w:r>
          </w:p>
        </w:tc>
        <w:tc>
          <w:tcPr>
            <w:tcW w:w="3752" w:type="dxa"/>
          </w:tcPr>
          <w:p>
            <w:pPr>
              <w:pStyle w:val="yTable"/>
              <w:spacing w:after="40"/>
              <w:rPr>
                <w:spacing w:val="-2"/>
                <w:sz w:val="20"/>
              </w:rPr>
            </w:pPr>
            <w:r>
              <w:rPr>
                <w:spacing w:val="-2"/>
                <w:sz w:val="20"/>
              </w:rPr>
              <w:t>$4.74/m x length of vessel, per day</w:t>
            </w:r>
          </w:p>
        </w:tc>
      </w:tr>
      <w:tr>
        <w:tc>
          <w:tcPr>
            <w:tcW w:w="3205" w:type="dxa"/>
          </w:tcPr>
          <w:p>
            <w:pPr>
              <w:pStyle w:val="yTable"/>
              <w:spacing w:after="40"/>
              <w:ind w:left="286"/>
              <w:rPr>
                <w:spacing w:val="-2"/>
                <w:sz w:val="20"/>
              </w:rPr>
            </w:pPr>
            <w:r>
              <w:rPr>
                <w:spacing w:val="-2"/>
                <w:sz w:val="20"/>
              </w:rPr>
              <w:t>Vessel without Mooring or Pen, and not paying a Shared Use fee</w:t>
            </w:r>
          </w:p>
        </w:tc>
        <w:tc>
          <w:tcPr>
            <w:tcW w:w="3752" w:type="dxa"/>
          </w:tcPr>
          <w:p>
            <w:pPr>
              <w:pStyle w:val="yTable"/>
              <w:spacing w:after="40"/>
              <w:rPr>
                <w:spacing w:val="-2"/>
                <w:sz w:val="20"/>
              </w:rPr>
            </w:pPr>
            <w:r>
              <w:rPr>
                <w:spacing w:val="-2"/>
                <w:sz w:val="20"/>
              </w:rPr>
              <w:br/>
              <w:t>$7.12/m x length of vessel, per day</w:t>
            </w:r>
          </w:p>
        </w:tc>
      </w:tr>
      <w:tr>
        <w:tc>
          <w:tcPr>
            <w:tcW w:w="3205" w:type="dxa"/>
          </w:tcPr>
          <w:p>
            <w:pPr>
              <w:pStyle w:val="yTable"/>
              <w:spacing w:after="40"/>
              <w:rPr>
                <w:b/>
                <w:spacing w:val="-2"/>
                <w:sz w:val="20"/>
              </w:rPr>
            </w:pPr>
            <w:r>
              <w:rPr>
                <w:b/>
                <w:spacing w:val="-2"/>
                <w:sz w:val="20"/>
              </w:rPr>
              <w:t>General Purpose Pens</w:t>
            </w:r>
          </w:p>
        </w:tc>
        <w:tc>
          <w:tcPr>
            <w:tcW w:w="3752" w:type="dxa"/>
          </w:tcPr>
          <w:p>
            <w:pPr>
              <w:pStyle w:val="yTable"/>
              <w:keepNext/>
              <w:keepLines/>
              <w:spacing w:after="40"/>
              <w:ind w:left="483"/>
              <w:rPr>
                <w:b/>
                <w:spacing w:val="-2"/>
                <w:sz w:val="20"/>
              </w:rPr>
            </w:pPr>
          </w:p>
        </w:tc>
      </w:tr>
      <w:tr>
        <w:tc>
          <w:tcPr>
            <w:tcW w:w="3205" w:type="dxa"/>
          </w:tcPr>
          <w:p>
            <w:pPr>
              <w:pStyle w:val="yTable"/>
              <w:spacing w:after="40"/>
              <w:rPr>
                <w:spacing w:val="-2"/>
                <w:sz w:val="20"/>
              </w:rPr>
            </w:pPr>
            <w:r>
              <w:rPr>
                <w:b/>
                <w:spacing w:val="-2"/>
                <w:sz w:val="20"/>
              </w:rPr>
              <w:t>Annual Fee</w:t>
            </w:r>
          </w:p>
        </w:tc>
        <w:tc>
          <w:tcPr>
            <w:tcW w:w="3752" w:type="dxa"/>
          </w:tcPr>
          <w:p>
            <w:pPr>
              <w:pStyle w:val="yTable"/>
              <w:spacing w:after="40"/>
              <w:rPr>
                <w:spacing w:val="-2"/>
                <w:sz w:val="20"/>
              </w:rPr>
            </w:pPr>
            <w:r>
              <w:rPr>
                <w:spacing w:val="-2"/>
                <w:sz w:val="20"/>
              </w:rPr>
              <w:t xml:space="preserve">$311.43/m x length of vessel </w:t>
            </w:r>
          </w:p>
        </w:tc>
      </w:tr>
      <w:tr>
        <w:tc>
          <w:tcPr>
            <w:tcW w:w="3205" w:type="dxa"/>
          </w:tcPr>
          <w:p>
            <w:pPr>
              <w:pStyle w:val="yTable"/>
              <w:spacing w:after="40"/>
              <w:rPr>
                <w:spacing w:val="-2"/>
                <w:sz w:val="20"/>
              </w:rPr>
            </w:pPr>
            <w:r>
              <w:rPr>
                <w:b/>
                <w:spacing w:val="-2"/>
                <w:sz w:val="20"/>
              </w:rPr>
              <w:t>Part Year Fee – 3 months or more, paid in advance</w:t>
            </w:r>
          </w:p>
        </w:tc>
        <w:tc>
          <w:tcPr>
            <w:tcW w:w="3752" w:type="dxa"/>
          </w:tcPr>
          <w:p>
            <w:pPr>
              <w:pStyle w:val="yTable"/>
              <w:spacing w:after="40"/>
              <w:rPr>
                <w:spacing w:val="-2"/>
                <w:sz w:val="20"/>
              </w:rPr>
            </w:pPr>
            <w:r>
              <w:rPr>
                <w:spacing w:val="-2"/>
                <w:sz w:val="20"/>
              </w:rPr>
              <w:br/>
              <w:t>$31.14/m x length of vessel, per month</w:t>
            </w:r>
          </w:p>
        </w:tc>
      </w:tr>
      <w:tr>
        <w:tc>
          <w:tcPr>
            <w:tcW w:w="3205" w:type="dxa"/>
          </w:tcPr>
          <w:p>
            <w:pPr>
              <w:pStyle w:val="yTable"/>
              <w:spacing w:after="40"/>
              <w:rPr>
                <w:spacing w:val="-2"/>
                <w:sz w:val="20"/>
              </w:rPr>
            </w:pPr>
            <w:r>
              <w:rPr>
                <w:b/>
                <w:spacing w:val="-2"/>
                <w:sz w:val="20"/>
              </w:rPr>
              <w:t>Monthly Fee</w:t>
            </w:r>
          </w:p>
        </w:tc>
        <w:tc>
          <w:tcPr>
            <w:tcW w:w="3752" w:type="dxa"/>
          </w:tcPr>
          <w:p>
            <w:pPr>
              <w:pStyle w:val="yTable"/>
              <w:spacing w:after="40"/>
              <w:rPr>
                <w:spacing w:val="-2"/>
                <w:sz w:val="20"/>
              </w:rPr>
            </w:pPr>
            <w:r>
              <w:rPr>
                <w:spacing w:val="-2"/>
                <w:sz w:val="20"/>
              </w:rPr>
              <w:t>$62.29/m x length of vessel, per month</w:t>
            </w:r>
          </w:p>
        </w:tc>
      </w:tr>
      <w:tr>
        <w:tc>
          <w:tcPr>
            <w:tcW w:w="3205" w:type="dxa"/>
            <w:tcBorders>
              <w:bottom w:val="nil"/>
            </w:tcBorders>
          </w:tcPr>
          <w:p>
            <w:pPr>
              <w:pStyle w:val="yTable"/>
              <w:spacing w:after="40"/>
              <w:rPr>
                <w:spacing w:val="-2"/>
                <w:sz w:val="20"/>
              </w:rPr>
            </w:pPr>
            <w:r>
              <w:rPr>
                <w:b/>
                <w:spacing w:val="-2"/>
                <w:sz w:val="20"/>
              </w:rPr>
              <w:t>Weekly Casual Fee</w:t>
            </w:r>
          </w:p>
        </w:tc>
        <w:tc>
          <w:tcPr>
            <w:tcW w:w="3752" w:type="dxa"/>
            <w:tcBorders>
              <w:bottom w:val="nil"/>
            </w:tcBorders>
          </w:tcPr>
          <w:p>
            <w:pPr>
              <w:pStyle w:val="yTable"/>
              <w:spacing w:after="40"/>
              <w:rPr>
                <w:spacing w:val="-2"/>
                <w:sz w:val="20"/>
              </w:rPr>
            </w:pPr>
            <w:r>
              <w:rPr>
                <w:spacing w:val="-2"/>
                <w:sz w:val="20"/>
              </w:rPr>
              <w:t>$17.75/m x length of vessel, per week</w:t>
            </w:r>
          </w:p>
        </w:tc>
      </w:tr>
      <w:tr>
        <w:tc>
          <w:tcPr>
            <w:tcW w:w="3205" w:type="dxa"/>
            <w:tcBorders>
              <w:bottom w:val="single" w:sz="4" w:space="0" w:color="auto"/>
            </w:tcBorders>
          </w:tcPr>
          <w:p>
            <w:pPr>
              <w:pStyle w:val="yTable"/>
              <w:spacing w:after="40"/>
              <w:rPr>
                <w:spacing w:val="-2"/>
                <w:sz w:val="20"/>
              </w:rPr>
            </w:pPr>
            <w:r>
              <w:rPr>
                <w:b/>
                <w:spacing w:val="-2"/>
                <w:sz w:val="20"/>
              </w:rPr>
              <w:t>Daily Casual Fee</w:t>
            </w:r>
          </w:p>
        </w:tc>
        <w:tc>
          <w:tcPr>
            <w:tcW w:w="3752" w:type="dxa"/>
            <w:tcBorders>
              <w:bottom w:val="single" w:sz="4" w:space="0" w:color="auto"/>
            </w:tcBorders>
          </w:tcPr>
          <w:p>
            <w:pPr>
              <w:pStyle w:val="yTable"/>
              <w:spacing w:after="40"/>
              <w:rPr>
                <w:spacing w:val="-2"/>
                <w:sz w:val="20"/>
              </w:rPr>
            </w:pPr>
            <w:r>
              <w:rPr>
                <w:spacing w:val="-2"/>
                <w:sz w:val="20"/>
              </w:rPr>
              <w:t>$3.55/m x length of vessel, per day</w:t>
            </w:r>
          </w:p>
        </w:tc>
      </w:tr>
    </w:tbl>
    <w:p>
      <w:pPr>
        <w:pStyle w:val="yNumberedItem"/>
      </w:pPr>
      <w:r>
        <w:t xml:space="preserve">Note: </w:t>
      </w:r>
      <w:r>
        <w:tab/>
        <w:t>Commercial/charter vessels berthing in General Purpose Pens are to pay the same fees as if berthed in a Charter Boat Pen.</w:t>
      </w:r>
    </w:p>
    <w:tbl>
      <w:tblPr>
        <w:tblW w:w="0" w:type="auto"/>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
        <w:gridCol w:w="14"/>
        <w:gridCol w:w="3163"/>
        <w:gridCol w:w="24"/>
        <w:gridCol w:w="3714"/>
        <w:gridCol w:w="89"/>
      </w:tblGrid>
      <w:tr>
        <w:trPr>
          <w:gridAfter w:val="1"/>
          <w:wAfter w:w="89" w:type="dxa"/>
          <w:cantSplit/>
        </w:trPr>
        <w:tc>
          <w:tcPr>
            <w:tcW w:w="3191" w:type="dxa"/>
            <w:gridSpan w:val="3"/>
          </w:tcPr>
          <w:p>
            <w:pPr>
              <w:spacing w:before="60"/>
            </w:pPr>
            <w:r>
              <w:rPr>
                <w:i/>
                <w:snapToGrid w:val="0"/>
                <w:sz w:val="18"/>
              </w:rPr>
              <w:br w:type="page"/>
            </w:r>
            <w:r>
              <w:rPr>
                <w:i/>
                <w:snapToGrid w:val="0"/>
                <w:sz w:val="18"/>
              </w:rPr>
              <w:br w:type="page"/>
            </w:r>
            <w:r>
              <w:rPr>
                <w:b/>
                <w:spacing w:val="-2"/>
                <w:sz w:val="20"/>
              </w:rPr>
              <w:t>Trawler Pens</w:t>
            </w:r>
          </w:p>
        </w:tc>
        <w:tc>
          <w:tcPr>
            <w:tcW w:w="3738" w:type="dxa"/>
            <w:gridSpan w:val="2"/>
          </w:tcPr>
          <w:p>
            <w:pPr>
              <w:spacing w:before="60"/>
            </w:pPr>
          </w:p>
        </w:tc>
      </w:tr>
      <w:tr>
        <w:trPr>
          <w:gridAfter w:val="1"/>
          <w:wAfter w:w="89" w:type="dxa"/>
          <w:cantSplit/>
        </w:trPr>
        <w:tc>
          <w:tcPr>
            <w:tcW w:w="3191" w:type="dxa"/>
            <w:gridSpan w:val="3"/>
          </w:tcPr>
          <w:p>
            <w:pPr>
              <w:pStyle w:val="yTable"/>
              <w:ind w:left="248" w:hanging="248"/>
            </w:pPr>
            <w:r>
              <w:rPr>
                <w:b/>
                <w:spacing w:val="-2"/>
                <w:sz w:val="20"/>
              </w:rPr>
              <w:t>Annual Fee</w:t>
            </w:r>
          </w:p>
        </w:tc>
        <w:tc>
          <w:tcPr>
            <w:tcW w:w="3738" w:type="dxa"/>
            <w:gridSpan w:val="2"/>
          </w:tcPr>
          <w:p>
            <w:pPr>
              <w:spacing w:before="60"/>
            </w:pPr>
            <w:r>
              <w:rPr>
                <w:spacing w:val="-2"/>
                <w:sz w:val="20"/>
              </w:rPr>
              <w:t>$250.36/m x length of vessel</w:t>
            </w:r>
          </w:p>
        </w:tc>
      </w:tr>
      <w:tr>
        <w:trPr>
          <w:gridAfter w:val="1"/>
          <w:wAfter w:w="89" w:type="dxa"/>
          <w:cantSplit/>
        </w:trPr>
        <w:tc>
          <w:tcPr>
            <w:tcW w:w="3191" w:type="dxa"/>
            <w:gridSpan w:val="3"/>
          </w:tcPr>
          <w:p>
            <w:pPr>
              <w:pStyle w:val="yTable"/>
            </w:pPr>
            <w:r>
              <w:rPr>
                <w:b/>
                <w:spacing w:val="-2"/>
                <w:sz w:val="20"/>
              </w:rPr>
              <w:t>Part Year Fee – 3 months or more, paid in advance</w:t>
            </w:r>
          </w:p>
        </w:tc>
        <w:tc>
          <w:tcPr>
            <w:tcW w:w="3738" w:type="dxa"/>
            <w:gridSpan w:val="2"/>
          </w:tcPr>
          <w:p>
            <w:pPr>
              <w:spacing w:before="60"/>
            </w:pPr>
            <w:r>
              <w:rPr>
                <w:spacing w:val="-2"/>
                <w:sz w:val="20"/>
              </w:rPr>
              <w:br/>
              <w:t>$25.04/m x length of vessel, per month</w:t>
            </w:r>
          </w:p>
        </w:tc>
      </w:tr>
      <w:tr>
        <w:trPr>
          <w:gridAfter w:val="1"/>
          <w:wAfter w:w="89" w:type="dxa"/>
          <w:cantSplit/>
        </w:trPr>
        <w:tc>
          <w:tcPr>
            <w:tcW w:w="3191" w:type="dxa"/>
            <w:gridSpan w:val="3"/>
          </w:tcPr>
          <w:p>
            <w:pPr>
              <w:pStyle w:val="yTable"/>
              <w:spacing w:after="40"/>
              <w:ind w:left="248" w:hanging="248"/>
            </w:pPr>
            <w:r>
              <w:rPr>
                <w:b/>
                <w:spacing w:val="-2"/>
                <w:sz w:val="20"/>
              </w:rPr>
              <w:t>Monthly Fee</w:t>
            </w:r>
          </w:p>
        </w:tc>
        <w:tc>
          <w:tcPr>
            <w:tcW w:w="3738" w:type="dxa"/>
            <w:gridSpan w:val="2"/>
          </w:tcPr>
          <w:p>
            <w:pPr>
              <w:spacing w:before="60" w:after="40"/>
            </w:pPr>
            <w:r>
              <w:rPr>
                <w:spacing w:val="-2"/>
                <w:sz w:val="20"/>
              </w:rPr>
              <w:t>$50.07/m x length of vessel, per month</w:t>
            </w:r>
          </w:p>
        </w:tc>
      </w:tr>
      <w:tr>
        <w:trPr>
          <w:gridAfter w:val="1"/>
          <w:wAfter w:w="89" w:type="dxa"/>
          <w:cantSplit/>
        </w:trPr>
        <w:tc>
          <w:tcPr>
            <w:tcW w:w="3191" w:type="dxa"/>
            <w:gridSpan w:val="3"/>
            <w:tcBorders>
              <w:bottom w:val="nil"/>
            </w:tcBorders>
          </w:tcPr>
          <w:p>
            <w:pPr>
              <w:pStyle w:val="yTable"/>
              <w:spacing w:after="40"/>
              <w:ind w:left="248" w:hanging="248"/>
            </w:pPr>
            <w:r>
              <w:rPr>
                <w:b/>
                <w:spacing w:val="-2"/>
                <w:sz w:val="20"/>
              </w:rPr>
              <w:t>Weekly Fee</w:t>
            </w:r>
          </w:p>
        </w:tc>
        <w:tc>
          <w:tcPr>
            <w:tcW w:w="3738" w:type="dxa"/>
            <w:gridSpan w:val="2"/>
            <w:tcBorders>
              <w:bottom w:val="nil"/>
            </w:tcBorders>
          </w:tcPr>
          <w:p>
            <w:pPr>
              <w:spacing w:before="60" w:after="40"/>
            </w:pPr>
            <w:r>
              <w:rPr>
                <w:spacing w:val="-2"/>
                <w:sz w:val="20"/>
              </w:rPr>
              <w:t>$29.60/m x length of vessel, per week</w:t>
            </w:r>
          </w:p>
        </w:tc>
      </w:tr>
      <w:tr>
        <w:trPr>
          <w:gridAfter w:val="1"/>
          <w:wAfter w:w="89" w:type="dxa"/>
          <w:cantSplit/>
        </w:trPr>
        <w:tc>
          <w:tcPr>
            <w:tcW w:w="3191" w:type="dxa"/>
            <w:gridSpan w:val="3"/>
            <w:tcBorders>
              <w:bottom w:val="single" w:sz="4" w:space="0" w:color="auto"/>
            </w:tcBorders>
          </w:tcPr>
          <w:p>
            <w:pPr>
              <w:pStyle w:val="yTable"/>
              <w:spacing w:after="40"/>
              <w:ind w:left="248" w:hanging="248"/>
            </w:pPr>
            <w:r>
              <w:rPr>
                <w:b/>
                <w:spacing w:val="-2"/>
                <w:sz w:val="20"/>
              </w:rPr>
              <w:t>Daily Casual Fee</w:t>
            </w:r>
          </w:p>
        </w:tc>
        <w:tc>
          <w:tcPr>
            <w:tcW w:w="3738" w:type="dxa"/>
            <w:gridSpan w:val="2"/>
            <w:tcBorders>
              <w:bottom w:val="single" w:sz="4" w:space="0" w:color="auto"/>
            </w:tcBorders>
          </w:tcPr>
          <w:p>
            <w:pPr>
              <w:spacing w:before="60" w:after="40"/>
            </w:pPr>
            <w:r>
              <w:rPr>
                <w:spacing w:val="-2"/>
                <w:sz w:val="20"/>
              </w:rPr>
              <w:t>$5.92/m x length of vessel per day</w:t>
            </w:r>
          </w:p>
        </w:tc>
      </w:tr>
      <w:tr>
        <w:trPr>
          <w:gridAfter w:val="1"/>
          <w:wAfter w:w="89" w:type="dxa"/>
          <w:cantSplit/>
        </w:trPr>
        <w:tc>
          <w:tcPr>
            <w:tcW w:w="3191" w:type="dxa"/>
            <w:gridSpan w:val="3"/>
          </w:tcPr>
          <w:p>
            <w:pPr>
              <w:spacing w:before="60" w:after="40"/>
            </w:pPr>
            <w:r>
              <w:rPr>
                <w:b/>
                <w:spacing w:val="-2"/>
                <w:sz w:val="20"/>
              </w:rPr>
              <w:t xml:space="preserve">Shared Use of Berthing &amp; Mooring Pens </w:t>
            </w:r>
            <w:r>
              <w:rPr>
                <w:spacing w:val="-2"/>
                <w:sz w:val="20"/>
              </w:rPr>
              <w:t>(for those vessels not allocated a permanent mooring pen, and subject to availability)</w:t>
            </w:r>
          </w:p>
        </w:tc>
        <w:tc>
          <w:tcPr>
            <w:tcW w:w="3738" w:type="dxa"/>
            <w:gridSpan w:val="2"/>
          </w:tcPr>
          <w:p>
            <w:pPr>
              <w:spacing w:before="60" w:after="40"/>
            </w:pPr>
          </w:p>
        </w:tc>
      </w:tr>
      <w:tr>
        <w:trPr>
          <w:gridAfter w:val="1"/>
          <w:wAfter w:w="89" w:type="dxa"/>
          <w:cantSplit/>
        </w:trPr>
        <w:tc>
          <w:tcPr>
            <w:tcW w:w="3191" w:type="dxa"/>
            <w:gridSpan w:val="3"/>
          </w:tcPr>
          <w:p>
            <w:pPr>
              <w:pStyle w:val="yTable"/>
              <w:spacing w:after="40"/>
              <w:rPr>
                <w:b/>
                <w:spacing w:val="-2"/>
                <w:sz w:val="20"/>
              </w:rPr>
            </w:pPr>
            <w:r>
              <w:rPr>
                <w:b/>
                <w:spacing w:val="-2"/>
                <w:sz w:val="20"/>
              </w:rPr>
              <w:t>Annual Fee</w:t>
            </w:r>
          </w:p>
          <w:p>
            <w:pPr>
              <w:spacing w:before="60" w:after="40"/>
              <w:ind w:left="248" w:hanging="248"/>
            </w:pPr>
            <w:r>
              <w:rPr>
                <w:b/>
                <w:spacing w:val="-2"/>
                <w:sz w:val="20"/>
              </w:rPr>
              <w:tab/>
              <w:t>Commercial/Charter Boat Pens</w:t>
            </w:r>
          </w:p>
        </w:tc>
        <w:tc>
          <w:tcPr>
            <w:tcW w:w="3738" w:type="dxa"/>
            <w:gridSpan w:val="2"/>
          </w:tcPr>
          <w:p>
            <w:pPr>
              <w:pStyle w:val="yTable"/>
              <w:spacing w:after="40"/>
              <w:rPr>
                <w:spacing w:val="-2"/>
                <w:sz w:val="20"/>
              </w:rPr>
            </w:pPr>
          </w:p>
          <w:p>
            <w:pPr>
              <w:spacing w:before="60" w:after="40"/>
            </w:pPr>
            <w:r>
              <w:rPr>
                <w:spacing w:val="-2"/>
                <w:sz w:val="20"/>
              </w:rPr>
              <w:t>$359.06/m x length of vessel</w:t>
            </w:r>
          </w:p>
        </w:tc>
      </w:tr>
      <w:tr>
        <w:trPr>
          <w:gridAfter w:val="1"/>
          <w:wAfter w:w="89" w:type="dxa"/>
          <w:cantSplit/>
        </w:trPr>
        <w:tc>
          <w:tcPr>
            <w:tcW w:w="3191" w:type="dxa"/>
            <w:gridSpan w:val="3"/>
          </w:tcPr>
          <w:p>
            <w:pPr>
              <w:pStyle w:val="yTable"/>
              <w:spacing w:after="20"/>
              <w:ind w:left="248" w:hanging="248"/>
              <w:rPr>
                <w:b/>
                <w:spacing w:val="-2"/>
                <w:sz w:val="20"/>
              </w:rPr>
            </w:pPr>
            <w:r>
              <w:rPr>
                <w:b/>
                <w:spacing w:val="-2"/>
                <w:sz w:val="20"/>
              </w:rPr>
              <w:t>Annual Fee</w:t>
            </w:r>
          </w:p>
          <w:p>
            <w:pPr>
              <w:spacing w:before="60" w:after="20"/>
              <w:ind w:left="248" w:hanging="248"/>
            </w:pPr>
            <w:r>
              <w:rPr>
                <w:b/>
                <w:spacing w:val="-2"/>
                <w:sz w:val="20"/>
              </w:rPr>
              <w:tab/>
              <w:t>General Purpose Pens</w:t>
            </w:r>
          </w:p>
        </w:tc>
        <w:tc>
          <w:tcPr>
            <w:tcW w:w="3738" w:type="dxa"/>
            <w:gridSpan w:val="2"/>
          </w:tcPr>
          <w:p>
            <w:pPr>
              <w:pStyle w:val="yTable"/>
              <w:spacing w:after="20"/>
              <w:rPr>
                <w:spacing w:val="-2"/>
                <w:sz w:val="20"/>
              </w:rPr>
            </w:pPr>
          </w:p>
          <w:p>
            <w:pPr>
              <w:spacing w:before="60" w:after="20"/>
            </w:pPr>
            <w:r>
              <w:rPr>
                <w:spacing w:val="-2"/>
                <w:sz w:val="20"/>
              </w:rPr>
              <w:t>$311.43/m x length of vessel</w:t>
            </w:r>
          </w:p>
        </w:tc>
      </w:tr>
      <w:tr>
        <w:trPr>
          <w:gridAfter w:val="1"/>
          <w:wAfter w:w="89" w:type="dxa"/>
          <w:cantSplit/>
        </w:trPr>
        <w:tc>
          <w:tcPr>
            <w:tcW w:w="3191" w:type="dxa"/>
            <w:gridSpan w:val="3"/>
          </w:tcPr>
          <w:p>
            <w:pPr>
              <w:pStyle w:val="yTable"/>
              <w:spacing w:after="20"/>
              <w:ind w:left="248" w:hanging="248"/>
              <w:rPr>
                <w:b/>
                <w:spacing w:val="-2"/>
                <w:sz w:val="20"/>
              </w:rPr>
            </w:pPr>
            <w:r>
              <w:rPr>
                <w:b/>
                <w:spacing w:val="-2"/>
                <w:sz w:val="20"/>
              </w:rPr>
              <w:t>Annual Fee</w:t>
            </w:r>
          </w:p>
          <w:p>
            <w:pPr>
              <w:spacing w:before="60" w:after="20"/>
              <w:ind w:left="248" w:hanging="248"/>
            </w:pPr>
            <w:r>
              <w:rPr>
                <w:b/>
                <w:spacing w:val="-2"/>
                <w:sz w:val="20"/>
              </w:rPr>
              <w:tab/>
              <w:t>Trawler Pens</w:t>
            </w:r>
          </w:p>
        </w:tc>
        <w:tc>
          <w:tcPr>
            <w:tcW w:w="3738" w:type="dxa"/>
            <w:gridSpan w:val="2"/>
          </w:tcPr>
          <w:p>
            <w:pPr>
              <w:pStyle w:val="yTable"/>
              <w:spacing w:after="20"/>
              <w:rPr>
                <w:spacing w:val="-2"/>
                <w:sz w:val="20"/>
              </w:rPr>
            </w:pPr>
          </w:p>
          <w:p>
            <w:pPr>
              <w:spacing w:before="60" w:after="20"/>
            </w:pPr>
            <w:r>
              <w:rPr>
                <w:spacing w:val="-2"/>
                <w:sz w:val="20"/>
              </w:rPr>
              <w:t>$250.36/m x length of vessel</w:t>
            </w:r>
          </w:p>
        </w:tc>
      </w:tr>
      <w:tr>
        <w:tblPrEx>
          <w:tblCellMar>
            <w:left w:w="84" w:type="dxa"/>
            <w:right w:w="84" w:type="dxa"/>
          </w:tblCellMar>
        </w:tblPrEx>
        <w:trPr>
          <w:gridAfter w:val="1"/>
          <w:wAfter w:w="89" w:type="dxa"/>
          <w:cantSplit/>
        </w:trPr>
        <w:tc>
          <w:tcPr>
            <w:tcW w:w="6929" w:type="dxa"/>
            <w:gridSpan w:val="5"/>
            <w:tcBorders>
              <w:left w:val="nil"/>
              <w:bottom w:val="nil"/>
              <w:right w:val="nil"/>
            </w:tcBorders>
          </w:tcPr>
          <w:p>
            <w:pPr>
              <w:pStyle w:val="yNumberedItem"/>
              <w:rPr>
                <w:snapToGrid w:val="0"/>
              </w:rPr>
            </w:pPr>
            <w:r>
              <w:t>Note:</w:t>
            </w:r>
            <w:r>
              <w:tab/>
              <w:t>Pen fees apply per vessel (even if the pen is used by more than one vessel), other than where the long</w:t>
            </w:r>
            <w:r>
              <w:noBreakHyphen/>
              <w:t>term lease has been granted.</w:t>
            </w:r>
          </w:p>
        </w:tc>
      </w:tr>
      <w:tr>
        <w:tblPrEx>
          <w:tblCellMar>
            <w:left w:w="84" w:type="dxa"/>
            <w:right w:w="84" w:type="dxa"/>
          </w:tblCellMar>
        </w:tblPrEx>
        <w:trPr>
          <w:gridBefore w:val="1"/>
          <w:gridAfter w:val="1"/>
          <w:wBefore w:w="14" w:type="dxa"/>
          <w:wAfter w:w="89" w:type="dxa"/>
          <w:cantSplit/>
        </w:trPr>
        <w:tc>
          <w:tcPr>
            <w:tcW w:w="3201" w:type="dxa"/>
            <w:gridSpan w:val="3"/>
            <w:tcBorders>
              <w:bottom w:val="single" w:sz="4" w:space="0" w:color="auto"/>
            </w:tcBorders>
          </w:tcPr>
          <w:p>
            <w:pPr>
              <w:pStyle w:val="yTable"/>
              <w:spacing w:after="40"/>
              <w:rPr>
                <w:spacing w:val="-2"/>
                <w:sz w:val="20"/>
              </w:rPr>
            </w:pPr>
            <w:r>
              <w:rPr>
                <w:b/>
                <w:spacing w:val="-2"/>
                <w:sz w:val="20"/>
              </w:rPr>
              <w:t>‘Live on Board’ Fee</w:t>
            </w:r>
          </w:p>
        </w:tc>
        <w:tc>
          <w:tcPr>
            <w:tcW w:w="3714" w:type="dxa"/>
            <w:tcBorders>
              <w:bottom w:val="single" w:sz="4" w:space="0" w:color="auto"/>
            </w:tcBorders>
          </w:tcPr>
          <w:p>
            <w:pPr>
              <w:pStyle w:val="yTable"/>
              <w:spacing w:after="40"/>
              <w:rPr>
                <w:spacing w:val="-2"/>
                <w:sz w:val="20"/>
              </w:rPr>
            </w:pPr>
            <w:r>
              <w:rPr>
                <w:spacing w:val="-2"/>
                <w:sz w:val="20"/>
              </w:rPr>
              <w:t>$32.35 per month per vessel</w:t>
            </w:r>
          </w:p>
        </w:tc>
      </w:tr>
      <w:tr>
        <w:tblPrEx>
          <w:tblCellMar>
            <w:left w:w="84" w:type="dxa"/>
            <w:right w:w="84" w:type="dxa"/>
          </w:tblCellMar>
        </w:tblPrEx>
        <w:trPr>
          <w:gridBefore w:val="1"/>
          <w:gridAfter w:val="1"/>
          <w:wBefore w:w="14" w:type="dxa"/>
          <w:wAfter w:w="89" w:type="dxa"/>
          <w:cantSplit/>
        </w:trPr>
        <w:tc>
          <w:tcPr>
            <w:tcW w:w="3201" w:type="dxa"/>
            <w:gridSpan w:val="3"/>
            <w:tcBorders>
              <w:top w:val="nil"/>
            </w:tcBorders>
          </w:tcPr>
          <w:p>
            <w:pPr>
              <w:pStyle w:val="yTable"/>
              <w:spacing w:after="40"/>
              <w:rPr>
                <w:b/>
                <w:spacing w:val="-2"/>
                <w:sz w:val="20"/>
              </w:rPr>
            </w:pPr>
            <w:r>
              <w:rPr>
                <w:b/>
                <w:spacing w:val="-2"/>
                <w:sz w:val="20"/>
              </w:rPr>
              <w:t>Use of Service Jetty</w:t>
            </w:r>
          </w:p>
        </w:tc>
        <w:tc>
          <w:tcPr>
            <w:tcW w:w="3714" w:type="dxa"/>
            <w:tcBorders>
              <w:top w:val="nil"/>
            </w:tcBorders>
          </w:tcPr>
          <w:p>
            <w:pPr>
              <w:pStyle w:val="yTable"/>
              <w:spacing w:after="40"/>
              <w:rPr>
                <w:spacing w:val="-2"/>
                <w:sz w:val="20"/>
              </w:rPr>
            </w:pPr>
          </w:p>
        </w:tc>
      </w:tr>
      <w:tr>
        <w:tblPrEx>
          <w:tblCellMar>
            <w:left w:w="84" w:type="dxa"/>
            <w:right w:w="84" w:type="dxa"/>
          </w:tblCellMar>
        </w:tblPrEx>
        <w:trPr>
          <w:gridBefore w:val="1"/>
          <w:gridAfter w:val="1"/>
          <w:wBefore w:w="14" w:type="dxa"/>
          <w:wAfter w:w="89" w:type="dxa"/>
          <w:cantSplit/>
        </w:trPr>
        <w:tc>
          <w:tcPr>
            <w:tcW w:w="3201" w:type="dxa"/>
            <w:gridSpan w:val="3"/>
          </w:tcPr>
          <w:p>
            <w:pPr>
              <w:pStyle w:val="yTable"/>
              <w:spacing w:after="40"/>
              <w:ind w:left="342" w:hanging="342"/>
              <w:rPr>
                <w:spacing w:val="-2"/>
                <w:sz w:val="20"/>
              </w:rPr>
            </w:pPr>
            <w:r>
              <w:rPr>
                <w:b/>
                <w:spacing w:val="-2"/>
                <w:sz w:val="20"/>
              </w:rPr>
              <w:t>Daily Casual Fee</w:t>
            </w:r>
          </w:p>
        </w:tc>
        <w:tc>
          <w:tcPr>
            <w:tcW w:w="3714" w:type="dxa"/>
          </w:tcPr>
          <w:p>
            <w:pPr>
              <w:pStyle w:val="yTable"/>
              <w:spacing w:after="40"/>
              <w:rPr>
                <w:spacing w:val="-2"/>
                <w:sz w:val="20"/>
              </w:rPr>
            </w:pPr>
          </w:p>
        </w:tc>
      </w:tr>
      <w:tr>
        <w:tblPrEx>
          <w:tblCellMar>
            <w:left w:w="84" w:type="dxa"/>
            <w:right w:w="84" w:type="dxa"/>
          </w:tblCellMar>
        </w:tblPrEx>
        <w:trPr>
          <w:gridBefore w:val="1"/>
          <w:gridAfter w:val="1"/>
          <w:wBefore w:w="14" w:type="dxa"/>
          <w:wAfter w:w="89" w:type="dxa"/>
          <w:cantSplit/>
        </w:trPr>
        <w:tc>
          <w:tcPr>
            <w:tcW w:w="3201" w:type="dxa"/>
            <w:gridSpan w:val="3"/>
          </w:tcPr>
          <w:p>
            <w:pPr>
              <w:pStyle w:val="yTable"/>
              <w:spacing w:after="40"/>
              <w:ind w:left="258"/>
              <w:rPr>
                <w:b/>
                <w:spacing w:val="-2"/>
                <w:sz w:val="20"/>
              </w:rPr>
            </w:pPr>
            <w:r>
              <w:rPr>
                <w:spacing w:val="-2"/>
                <w:sz w:val="20"/>
              </w:rPr>
              <w:t>Vessels with Harbour Pen/Mooring/Shared Use facility</w:t>
            </w:r>
          </w:p>
        </w:tc>
        <w:tc>
          <w:tcPr>
            <w:tcW w:w="3714" w:type="dxa"/>
          </w:tcPr>
          <w:p>
            <w:pPr>
              <w:pStyle w:val="yTable"/>
              <w:spacing w:after="40"/>
              <w:rPr>
                <w:spacing w:val="-2"/>
              </w:rPr>
            </w:pPr>
            <w:r>
              <w:rPr>
                <w:spacing w:val="-2"/>
                <w:sz w:val="20"/>
              </w:rPr>
              <w:br/>
              <w:t>$3.55/m x length of vessel, per day</w:t>
            </w:r>
          </w:p>
        </w:tc>
      </w:tr>
      <w:tr>
        <w:tblPrEx>
          <w:tblCellMar>
            <w:left w:w="84" w:type="dxa"/>
            <w:right w:w="84" w:type="dxa"/>
          </w:tblCellMar>
        </w:tblPrEx>
        <w:trPr>
          <w:gridBefore w:val="1"/>
          <w:gridAfter w:val="1"/>
          <w:wBefore w:w="14" w:type="dxa"/>
          <w:wAfter w:w="89" w:type="dxa"/>
          <w:cantSplit/>
        </w:trPr>
        <w:tc>
          <w:tcPr>
            <w:tcW w:w="3201" w:type="dxa"/>
            <w:gridSpan w:val="3"/>
          </w:tcPr>
          <w:p>
            <w:pPr>
              <w:pStyle w:val="yTable"/>
              <w:spacing w:after="40"/>
              <w:ind w:left="258"/>
              <w:rPr>
                <w:b/>
                <w:spacing w:val="-2"/>
                <w:sz w:val="20"/>
              </w:rPr>
            </w:pPr>
            <w:r>
              <w:rPr>
                <w:spacing w:val="-2"/>
                <w:sz w:val="20"/>
              </w:rPr>
              <w:t>Other Vessels</w:t>
            </w:r>
          </w:p>
        </w:tc>
        <w:tc>
          <w:tcPr>
            <w:tcW w:w="3714" w:type="dxa"/>
          </w:tcPr>
          <w:p>
            <w:pPr>
              <w:spacing w:before="60" w:after="40"/>
            </w:pPr>
            <w:r>
              <w:rPr>
                <w:spacing w:val="-2"/>
                <w:sz w:val="20"/>
              </w:rPr>
              <w:t>$7.12/m x length of vessel, per day</w:t>
            </w:r>
          </w:p>
        </w:tc>
      </w:tr>
      <w:tr>
        <w:tblPrEx>
          <w:tblCellMar>
            <w:left w:w="84" w:type="dxa"/>
            <w:right w:w="84" w:type="dxa"/>
          </w:tblCellMar>
        </w:tblPrEx>
        <w:trPr>
          <w:gridBefore w:val="1"/>
          <w:gridAfter w:val="1"/>
          <w:wBefore w:w="14" w:type="dxa"/>
          <w:wAfter w:w="89" w:type="dxa"/>
          <w:cantSplit/>
        </w:trPr>
        <w:tc>
          <w:tcPr>
            <w:tcW w:w="3201" w:type="dxa"/>
            <w:gridSpan w:val="3"/>
          </w:tcPr>
          <w:p>
            <w:pPr>
              <w:pStyle w:val="yTable"/>
              <w:spacing w:after="40"/>
              <w:ind w:left="-26"/>
              <w:rPr>
                <w:spacing w:val="-2"/>
                <w:sz w:val="20"/>
              </w:rPr>
            </w:pPr>
            <w:r>
              <w:rPr>
                <w:b/>
                <w:spacing w:val="-2"/>
                <w:sz w:val="20"/>
              </w:rPr>
              <w:t>Annual Fee</w:t>
            </w:r>
          </w:p>
        </w:tc>
        <w:tc>
          <w:tcPr>
            <w:tcW w:w="3714" w:type="dxa"/>
          </w:tcPr>
          <w:p>
            <w:pPr>
              <w:pStyle w:val="yTable"/>
              <w:spacing w:after="40"/>
              <w:rPr>
                <w:spacing w:val="-2"/>
                <w:sz w:val="20"/>
              </w:rPr>
            </w:pPr>
          </w:p>
        </w:tc>
      </w:tr>
      <w:tr>
        <w:tblPrEx>
          <w:tblCellMar>
            <w:left w:w="84" w:type="dxa"/>
            <w:right w:w="84" w:type="dxa"/>
          </w:tblCellMar>
        </w:tblPrEx>
        <w:trPr>
          <w:gridBefore w:val="1"/>
          <w:gridAfter w:val="1"/>
          <w:wBefore w:w="14" w:type="dxa"/>
          <w:wAfter w:w="89" w:type="dxa"/>
          <w:cantSplit/>
        </w:trPr>
        <w:tc>
          <w:tcPr>
            <w:tcW w:w="3201" w:type="dxa"/>
            <w:gridSpan w:val="3"/>
          </w:tcPr>
          <w:p>
            <w:pPr>
              <w:pStyle w:val="yTable"/>
              <w:spacing w:after="40"/>
              <w:ind w:left="258"/>
              <w:rPr>
                <w:b/>
                <w:spacing w:val="-2"/>
                <w:sz w:val="20"/>
              </w:rPr>
            </w:pPr>
            <w:r>
              <w:rPr>
                <w:spacing w:val="-2"/>
                <w:sz w:val="20"/>
              </w:rPr>
              <w:t>Vessels with Harbour Pen/Mooring/Shared Use facility</w:t>
            </w:r>
          </w:p>
        </w:tc>
        <w:tc>
          <w:tcPr>
            <w:tcW w:w="3714" w:type="dxa"/>
          </w:tcPr>
          <w:p>
            <w:pPr>
              <w:pStyle w:val="yTable"/>
              <w:spacing w:after="40"/>
              <w:rPr>
                <w:spacing w:val="-2"/>
              </w:rPr>
            </w:pPr>
            <w:r>
              <w:rPr>
                <w:spacing w:val="-2"/>
                <w:sz w:val="20"/>
              </w:rPr>
              <w:br/>
              <w:t>$177.86/m x length of vessel</w:t>
            </w:r>
          </w:p>
        </w:tc>
      </w:tr>
      <w:tr>
        <w:tblPrEx>
          <w:tblCellMar>
            <w:left w:w="84" w:type="dxa"/>
            <w:right w:w="84" w:type="dxa"/>
          </w:tblCellMar>
        </w:tblPrEx>
        <w:trPr>
          <w:gridBefore w:val="1"/>
          <w:gridAfter w:val="1"/>
          <w:wBefore w:w="14" w:type="dxa"/>
          <w:wAfter w:w="89" w:type="dxa"/>
          <w:cantSplit/>
        </w:trPr>
        <w:tc>
          <w:tcPr>
            <w:tcW w:w="3201" w:type="dxa"/>
            <w:gridSpan w:val="3"/>
            <w:tcBorders>
              <w:bottom w:val="nil"/>
            </w:tcBorders>
          </w:tcPr>
          <w:p>
            <w:pPr>
              <w:pStyle w:val="yTable"/>
              <w:spacing w:after="40"/>
              <w:ind w:left="258"/>
              <w:rPr>
                <w:b/>
                <w:spacing w:val="-2"/>
                <w:sz w:val="20"/>
              </w:rPr>
            </w:pPr>
            <w:r>
              <w:rPr>
                <w:spacing w:val="-2"/>
                <w:sz w:val="20"/>
              </w:rPr>
              <w:t>Other Vessels</w:t>
            </w:r>
          </w:p>
        </w:tc>
        <w:tc>
          <w:tcPr>
            <w:tcW w:w="3714" w:type="dxa"/>
            <w:tcBorders>
              <w:bottom w:val="nil"/>
            </w:tcBorders>
          </w:tcPr>
          <w:p>
            <w:pPr>
              <w:spacing w:before="60" w:after="40"/>
            </w:pPr>
            <w:r>
              <w:rPr>
                <w:spacing w:val="-2"/>
                <w:sz w:val="20"/>
              </w:rPr>
              <w:t>$355.72/m x length of vessel</w:t>
            </w:r>
          </w:p>
        </w:tc>
      </w:tr>
      <w:tr>
        <w:tblPrEx>
          <w:tblCellMar>
            <w:left w:w="84" w:type="dxa"/>
            <w:right w:w="84" w:type="dxa"/>
          </w:tblCellMar>
        </w:tblPrEx>
        <w:trPr>
          <w:gridBefore w:val="1"/>
          <w:gridAfter w:val="1"/>
          <w:wBefore w:w="14" w:type="dxa"/>
          <w:wAfter w:w="89" w:type="dxa"/>
          <w:cantSplit/>
        </w:trPr>
        <w:tc>
          <w:tcPr>
            <w:tcW w:w="6915" w:type="dxa"/>
            <w:gridSpan w:val="4"/>
            <w:tcBorders>
              <w:left w:val="nil"/>
              <w:bottom w:val="nil"/>
              <w:right w:val="nil"/>
            </w:tcBorders>
          </w:tcPr>
          <w:p>
            <w:pPr>
              <w:pStyle w:val="yNumberedItem"/>
              <w:rPr>
                <w:snapToGrid w:val="0"/>
              </w:rPr>
            </w:pPr>
            <w:r>
              <w:t>Note:</w:t>
            </w:r>
            <w:r>
              <w:tab/>
              <w:t>No Berthage Fee applies for fuelling purposes or short duration for transfer (if vessel has harbour pen or mooring).</w:t>
            </w:r>
          </w:p>
        </w:tc>
      </w:tr>
      <w:tr>
        <w:tblPrEx>
          <w:tblCellMar>
            <w:left w:w="84" w:type="dxa"/>
            <w:right w:w="84" w:type="dxa"/>
          </w:tblCellMar>
        </w:tblPrEx>
        <w:trPr>
          <w:gridBefore w:val="2"/>
          <w:wBefore w:w="28" w:type="dxa"/>
          <w:cantSplit/>
        </w:trPr>
        <w:tc>
          <w:tcPr>
            <w:tcW w:w="3163" w:type="dxa"/>
          </w:tcPr>
          <w:p>
            <w:pPr>
              <w:pStyle w:val="yTable"/>
              <w:keepNext/>
              <w:keepLines/>
              <w:spacing w:before="40" w:after="40"/>
              <w:rPr>
                <w:spacing w:val="-2"/>
                <w:sz w:val="20"/>
              </w:rPr>
            </w:pPr>
            <w:r>
              <w:rPr>
                <w:b/>
                <w:spacing w:val="-2"/>
                <w:sz w:val="20"/>
              </w:rPr>
              <w:t xml:space="preserve">Cyclone Moorings </w:t>
            </w:r>
            <w:r>
              <w:rPr>
                <w:spacing w:val="-2"/>
                <w:sz w:val="20"/>
              </w:rPr>
              <w:t>(Using Seabed Piles and Wharf or Pen piles)</w:t>
            </w:r>
          </w:p>
        </w:tc>
        <w:tc>
          <w:tcPr>
            <w:tcW w:w="3827" w:type="dxa"/>
            <w:gridSpan w:val="3"/>
          </w:tcPr>
          <w:p>
            <w:pPr>
              <w:pStyle w:val="yTable"/>
              <w:keepNext/>
              <w:keepLines/>
              <w:spacing w:before="40" w:after="40"/>
              <w:rPr>
                <w:spacing w:val="-2"/>
                <w:sz w:val="20"/>
              </w:rPr>
            </w:pPr>
          </w:p>
        </w:tc>
      </w:tr>
      <w:tr>
        <w:tblPrEx>
          <w:tblCellMar>
            <w:left w:w="84" w:type="dxa"/>
            <w:right w:w="84" w:type="dxa"/>
          </w:tblCellMar>
        </w:tblPrEx>
        <w:trPr>
          <w:gridBefore w:val="2"/>
          <w:wBefore w:w="28" w:type="dxa"/>
          <w:cantSplit/>
        </w:trPr>
        <w:tc>
          <w:tcPr>
            <w:tcW w:w="3163" w:type="dxa"/>
          </w:tcPr>
          <w:p>
            <w:pPr>
              <w:pStyle w:val="yTable"/>
              <w:keepNext/>
              <w:keepLines/>
              <w:spacing w:before="40" w:after="40"/>
              <w:ind w:left="244"/>
              <w:rPr>
                <w:spacing w:val="-2"/>
                <w:sz w:val="20"/>
              </w:rPr>
            </w:pPr>
            <w:r>
              <w:rPr>
                <w:spacing w:val="-2"/>
                <w:sz w:val="20"/>
              </w:rPr>
              <w:t>Vessels that have paid Annual/Monthly Berthage or Harbour Pen Fees</w:t>
            </w:r>
          </w:p>
        </w:tc>
        <w:tc>
          <w:tcPr>
            <w:tcW w:w="3827" w:type="dxa"/>
            <w:gridSpan w:val="3"/>
          </w:tcPr>
          <w:p>
            <w:pPr>
              <w:pStyle w:val="yTable"/>
              <w:keepNext/>
              <w:keepLines/>
              <w:spacing w:before="40" w:after="40"/>
              <w:rPr>
                <w:spacing w:val="-2"/>
                <w:sz w:val="20"/>
              </w:rPr>
            </w:pPr>
            <w:r>
              <w:rPr>
                <w:spacing w:val="-2"/>
                <w:sz w:val="20"/>
              </w:rPr>
              <w:br/>
            </w:r>
            <w:r>
              <w:rPr>
                <w:spacing w:val="-2"/>
                <w:sz w:val="20"/>
              </w:rPr>
              <w:br/>
              <w:t>No charge</w:t>
            </w:r>
          </w:p>
        </w:tc>
      </w:tr>
      <w:tr>
        <w:tblPrEx>
          <w:tblCellMar>
            <w:left w:w="84" w:type="dxa"/>
            <w:right w:w="84" w:type="dxa"/>
          </w:tblCellMar>
        </w:tblPrEx>
        <w:trPr>
          <w:gridBefore w:val="2"/>
          <w:wBefore w:w="28" w:type="dxa"/>
          <w:cantSplit/>
        </w:trPr>
        <w:tc>
          <w:tcPr>
            <w:tcW w:w="3163" w:type="dxa"/>
            <w:tcBorders>
              <w:bottom w:val="nil"/>
            </w:tcBorders>
          </w:tcPr>
          <w:p>
            <w:pPr>
              <w:pStyle w:val="yTable"/>
              <w:spacing w:before="40" w:after="40"/>
              <w:ind w:left="244"/>
              <w:rPr>
                <w:spacing w:val="-2"/>
                <w:sz w:val="20"/>
              </w:rPr>
            </w:pPr>
            <w:r>
              <w:rPr>
                <w:spacing w:val="-2"/>
                <w:sz w:val="20"/>
              </w:rPr>
              <w:t>Other Vessels (in addition to prescribed Harbour Fees and Charges)</w:t>
            </w:r>
          </w:p>
        </w:tc>
        <w:tc>
          <w:tcPr>
            <w:tcW w:w="3827" w:type="dxa"/>
            <w:gridSpan w:val="3"/>
            <w:tcBorders>
              <w:bottom w:val="nil"/>
            </w:tcBorders>
          </w:tcPr>
          <w:p>
            <w:pPr>
              <w:pStyle w:val="yTable"/>
              <w:keepNext/>
              <w:keepLines/>
              <w:spacing w:before="40" w:after="40"/>
              <w:rPr>
                <w:spacing w:val="-2"/>
                <w:sz w:val="20"/>
              </w:rPr>
            </w:pPr>
            <w:r>
              <w:rPr>
                <w:spacing w:val="-2"/>
                <w:sz w:val="20"/>
              </w:rPr>
              <w:br/>
            </w:r>
            <w:r>
              <w:rPr>
                <w:spacing w:val="-2"/>
                <w:sz w:val="20"/>
              </w:rPr>
              <w:br/>
              <w:t>$12.21/m x length of vessel</w:t>
            </w:r>
          </w:p>
        </w:tc>
      </w:tr>
      <w:tr>
        <w:tblPrEx>
          <w:tblCellMar>
            <w:left w:w="84" w:type="dxa"/>
            <w:right w:w="84" w:type="dxa"/>
          </w:tblCellMar>
        </w:tblPrEx>
        <w:trPr>
          <w:gridBefore w:val="2"/>
          <w:wBefore w:w="28" w:type="dxa"/>
          <w:cantSplit/>
        </w:trPr>
        <w:tc>
          <w:tcPr>
            <w:tcW w:w="3163" w:type="dxa"/>
            <w:tcBorders>
              <w:top w:val="single" w:sz="4" w:space="0" w:color="auto"/>
            </w:tcBorders>
          </w:tcPr>
          <w:p>
            <w:pPr>
              <w:pStyle w:val="yTable"/>
              <w:spacing w:before="40" w:after="40"/>
              <w:ind w:left="342" w:hanging="342"/>
              <w:rPr>
                <w:b/>
                <w:spacing w:val="-2"/>
                <w:sz w:val="20"/>
              </w:rPr>
            </w:pPr>
            <w:r>
              <w:rPr>
                <w:b/>
                <w:spacing w:val="-2"/>
                <w:sz w:val="20"/>
              </w:rPr>
              <w:t>Service Wharf Hardstand Area</w:t>
            </w:r>
          </w:p>
        </w:tc>
        <w:tc>
          <w:tcPr>
            <w:tcW w:w="3827" w:type="dxa"/>
            <w:gridSpan w:val="3"/>
            <w:tcBorders>
              <w:top w:val="single" w:sz="4" w:space="0" w:color="auto"/>
            </w:tcBorders>
          </w:tcPr>
          <w:p>
            <w:pPr>
              <w:pStyle w:val="yTable"/>
              <w:spacing w:before="40" w:after="40"/>
              <w:rPr>
                <w:spacing w:val="-2"/>
                <w:sz w:val="20"/>
              </w:rPr>
            </w:pPr>
          </w:p>
        </w:tc>
      </w:tr>
      <w:tr>
        <w:tblPrEx>
          <w:tblCellMar>
            <w:left w:w="84" w:type="dxa"/>
            <w:right w:w="84" w:type="dxa"/>
          </w:tblCellMar>
        </w:tblPrEx>
        <w:trPr>
          <w:gridBefore w:val="2"/>
          <w:wBefore w:w="28" w:type="dxa"/>
          <w:cantSplit/>
        </w:trPr>
        <w:tc>
          <w:tcPr>
            <w:tcW w:w="3163" w:type="dxa"/>
          </w:tcPr>
          <w:p>
            <w:pPr>
              <w:pStyle w:val="yTable"/>
              <w:spacing w:before="40" w:after="40"/>
              <w:ind w:left="244"/>
              <w:rPr>
                <w:spacing w:val="-2"/>
                <w:sz w:val="20"/>
              </w:rPr>
            </w:pPr>
            <w:r>
              <w:rPr>
                <w:spacing w:val="-2"/>
                <w:sz w:val="20"/>
              </w:rPr>
              <w:t>Storage, etc.</w:t>
            </w:r>
          </w:p>
        </w:tc>
        <w:tc>
          <w:tcPr>
            <w:tcW w:w="3827" w:type="dxa"/>
            <w:gridSpan w:val="3"/>
          </w:tcPr>
          <w:p>
            <w:pPr>
              <w:pStyle w:val="yTable"/>
              <w:spacing w:before="40" w:after="40"/>
              <w:rPr>
                <w:spacing w:val="-2"/>
                <w:sz w:val="20"/>
              </w:rPr>
            </w:pPr>
            <w:r>
              <w:rPr>
                <w:spacing w:val="-2"/>
                <w:sz w:val="20"/>
              </w:rPr>
              <w:t>$1.23 per m</w:t>
            </w:r>
            <w:r>
              <w:rPr>
                <w:spacing w:val="-2"/>
                <w:sz w:val="20"/>
                <w:vertAlign w:val="superscript"/>
              </w:rPr>
              <w:t>2</w:t>
            </w:r>
            <w:r>
              <w:rPr>
                <w:spacing w:val="-2"/>
                <w:sz w:val="20"/>
              </w:rPr>
              <w:t>, per day, with a minimum fee of $22.50 per day</w:t>
            </w:r>
          </w:p>
        </w:tc>
      </w:tr>
      <w:tr>
        <w:tblPrEx>
          <w:tblCellMar>
            <w:left w:w="84" w:type="dxa"/>
            <w:right w:w="84" w:type="dxa"/>
          </w:tblCellMar>
        </w:tblPrEx>
        <w:trPr>
          <w:gridBefore w:val="2"/>
          <w:wBefore w:w="28" w:type="dxa"/>
          <w:cantSplit/>
        </w:trPr>
        <w:tc>
          <w:tcPr>
            <w:tcW w:w="3163" w:type="dxa"/>
          </w:tcPr>
          <w:p>
            <w:pPr>
              <w:pStyle w:val="yTable"/>
              <w:spacing w:before="40" w:after="40"/>
              <w:rPr>
                <w:spacing w:val="-2"/>
                <w:sz w:val="20"/>
              </w:rPr>
            </w:pPr>
            <w:r>
              <w:rPr>
                <w:b/>
                <w:spacing w:val="-2"/>
                <w:sz w:val="20"/>
              </w:rPr>
              <w:t>Use of Harbour Beach Area for Vessel Inspections</w:t>
            </w:r>
            <w:r>
              <w:rPr>
                <w:spacing w:val="-2"/>
                <w:sz w:val="20"/>
              </w:rPr>
              <w:t xml:space="preserve"> by vessels not penned in the harbour</w:t>
            </w:r>
          </w:p>
        </w:tc>
        <w:tc>
          <w:tcPr>
            <w:tcW w:w="3827" w:type="dxa"/>
            <w:gridSpan w:val="3"/>
          </w:tcPr>
          <w:p>
            <w:pPr>
              <w:pStyle w:val="yTable"/>
              <w:spacing w:before="40" w:after="40"/>
              <w:rPr>
                <w:spacing w:val="-2"/>
                <w:sz w:val="20"/>
              </w:rPr>
            </w:pPr>
            <w:r>
              <w:rPr>
                <w:spacing w:val="-2"/>
                <w:sz w:val="20"/>
              </w:rPr>
              <w:br/>
            </w:r>
            <w:r>
              <w:rPr>
                <w:spacing w:val="-2"/>
                <w:sz w:val="20"/>
              </w:rPr>
              <w:br/>
              <w:t>$30.53 per day or part of a day</w:t>
            </w:r>
          </w:p>
        </w:tc>
      </w:tr>
      <w:tr>
        <w:tblPrEx>
          <w:tblCellMar>
            <w:left w:w="84" w:type="dxa"/>
            <w:right w:w="84" w:type="dxa"/>
          </w:tblCellMar>
        </w:tblPrEx>
        <w:trPr>
          <w:gridBefore w:val="2"/>
          <w:wBefore w:w="28" w:type="dxa"/>
          <w:cantSplit/>
        </w:trPr>
        <w:tc>
          <w:tcPr>
            <w:tcW w:w="3163" w:type="dxa"/>
          </w:tcPr>
          <w:p>
            <w:pPr>
              <w:pStyle w:val="yTable"/>
              <w:keepNext/>
              <w:spacing w:before="40" w:after="40"/>
              <w:rPr>
                <w:b/>
                <w:spacing w:val="-2"/>
                <w:sz w:val="20"/>
              </w:rPr>
            </w:pPr>
            <w:r>
              <w:rPr>
                <w:b/>
                <w:spacing w:val="-2"/>
                <w:sz w:val="20"/>
              </w:rPr>
              <w:t>Rubbish Disposal</w:t>
            </w:r>
          </w:p>
        </w:tc>
        <w:tc>
          <w:tcPr>
            <w:tcW w:w="3827" w:type="dxa"/>
            <w:gridSpan w:val="3"/>
          </w:tcPr>
          <w:p>
            <w:pPr>
              <w:pStyle w:val="yTable"/>
              <w:spacing w:before="40" w:after="40"/>
              <w:rPr>
                <w:spacing w:val="-2"/>
                <w:sz w:val="20"/>
              </w:rPr>
            </w:pPr>
          </w:p>
        </w:tc>
      </w:tr>
      <w:tr>
        <w:tblPrEx>
          <w:tblCellMar>
            <w:left w:w="84" w:type="dxa"/>
            <w:right w:w="84" w:type="dxa"/>
          </w:tblCellMar>
        </w:tblPrEx>
        <w:trPr>
          <w:gridBefore w:val="2"/>
          <w:wBefore w:w="28" w:type="dxa"/>
          <w:cantSplit/>
        </w:trPr>
        <w:tc>
          <w:tcPr>
            <w:tcW w:w="3163" w:type="dxa"/>
          </w:tcPr>
          <w:p>
            <w:pPr>
              <w:pStyle w:val="yTable"/>
              <w:spacing w:before="40" w:after="40"/>
              <w:ind w:left="200"/>
              <w:rPr>
                <w:spacing w:val="-2"/>
                <w:sz w:val="20"/>
              </w:rPr>
            </w:pPr>
            <w:r>
              <w:rPr>
                <w:spacing w:val="-2"/>
                <w:sz w:val="20"/>
              </w:rPr>
              <w:t>Charge for Removal of any Waste Oil Drums (not removed by the owner)</w:t>
            </w:r>
          </w:p>
        </w:tc>
        <w:tc>
          <w:tcPr>
            <w:tcW w:w="3827" w:type="dxa"/>
            <w:gridSpan w:val="3"/>
          </w:tcPr>
          <w:p>
            <w:pPr>
              <w:pStyle w:val="yTable"/>
              <w:spacing w:before="40" w:after="40"/>
              <w:rPr>
                <w:spacing w:val="-2"/>
                <w:sz w:val="20"/>
              </w:rPr>
            </w:pPr>
            <w:r>
              <w:rPr>
                <w:spacing w:val="-2"/>
                <w:sz w:val="20"/>
              </w:rPr>
              <w:br/>
            </w:r>
            <w:r>
              <w:rPr>
                <w:spacing w:val="-2"/>
                <w:sz w:val="20"/>
              </w:rPr>
              <w:br/>
              <w:t>$6.10 per 20 L drum</w:t>
            </w:r>
          </w:p>
        </w:tc>
      </w:tr>
      <w:tr>
        <w:tblPrEx>
          <w:tblCellMar>
            <w:left w:w="84" w:type="dxa"/>
            <w:right w:w="84" w:type="dxa"/>
          </w:tblCellMar>
        </w:tblPrEx>
        <w:trPr>
          <w:gridBefore w:val="2"/>
          <w:wBefore w:w="28" w:type="dxa"/>
          <w:cantSplit/>
        </w:trPr>
        <w:tc>
          <w:tcPr>
            <w:tcW w:w="3163" w:type="dxa"/>
          </w:tcPr>
          <w:p>
            <w:pPr>
              <w:pStyle w:val="yTable"/>
              <w:spacing w:before="40" w:after="40"/>
              <w:ind w:left="200"/>
              <w:rPr>
                <w:b/>
                <w:spacing w:val="-2"/>
                <w:sz w:val="20"/>
              </w:rPr>
            </w:pPr>
            <w:r>
              <w:rPr>
                <w:spacing w:val="-2"/>
                <w:sz w:val="20"/>
              </w:rPr>
              <w:t>for excess quantities, or if from other than vessels using harbour</w:t>
            </w:r>
          </w:p>
        </w:tc>
        <w:tc>
          <w:tcPr>
            <w:tcW w:w="3827" w:type="dxa"/>
            <w:gridSpan w:val="3"/>
          </w:tcPr>
          <w:p>
            <w:pPr>
              <w:pStyle w:val="yTable"/>
              <w:spacing w:before="40" w:after="40"/>
              <w:rPr>
                <w:spacing w:val="-2"/>
                <w:sz w:val="20"/>
              </w:rPr>
            </w:pPr>
            <w:r>
              <w:rPr>
                <w:spacing w:val="-2"/>
                <w:sz w:val="20"/>
              </w:rPr>
              <w:br/>
              <w:t>$61.06 per service</w:t>
            </w:r>
          </w:p>
        </w:tc>
      </w:tr>
      <w:tr>
        <w:tblPrEx>
          <w:tblCellMar>
            <w:left w:w="84" w:type="dxa"/>
            <w:right w:w="84" w:type="dxa"/>
          </w:tblCellMar>
        </w:tblPrEx>
        <w:trPr>
          <w:gridBefore w:val="2"/>
          <w:wBefore w:w="28" w:type="dxa"/>
          <w:cantSplit/>
        </w:trPr>
        <w:tc>
          <w:tcPr>
            <w:tcW w:w="3163" w:type="dxa"/>
          </w:tcPr>
          <w:p>
            <w:pPr>
              <w:pStyle w:val="yTable"/>
              <w:spacing w:before="40" w:after="40"/>
              <w:ind w:left="200"/>
              <w:rPr>
                <w:spacing w:val="-4"/>
                <w:sz w:val="20"/>
              </w:rPr>
            </w:pPr>
            <w:r>
              <w:rPr>
                <w:spacing w:val="-4"/>
                <w:sz w:val="20"/>
              </w:rPr>
              <w:t>to clean up rubbish not placed in bins</w:t>
            </w:r>
          </w:p>
        </w:tc>
        <w:tc>
          <w:tcPr>
            <w:tcW w:w="3827" w:type="dxa"/>
            <w:gridSpan w:val="3"/>
          </w:tcPr>
          <w:p>
            <w:pPr>
              <w:pStyle w:val="yTable"/>
              <w:spacing w:before="40" w:after="40"/>
              <w:rPr>
                <w:spacing w:val="-2"/>
                <w:sz w:val="20"/>
              </w:rPr>
            </w:pPr>
            <w:r>
              <w:rPr>
                <w:spacing w:val="-2"/>
                <w:sz w:val="20"/>
              </w:rPr>
              <w:br/>
              <w:t>at cost</w:t>
            </w:r>
          </w:p>
        </w:tc>
      </w:tr>
      <w:tr>
        <w:tblPrEx>
          <w:tblCellMar>
            <w:left w:w="84" w:type="dxa"/>
            <w:right w:w="84" w:type="dxa"/>
          </w:tblCellMar>
        </w:tblPrEx>
        <w:trPr>
          <w:gridBefore w:val="2"/>
          <w:wBefore w:w="28" w:type="dxa"/>
          <w:cantSplit/>
        </w:trPr>
        <w:tc>
          <w:tcPr>
            <w:tcW w:w="3163" w:type="dxa"/>
          </w:tcPr>
          <w:p>
            <w:pPr>
              <w:pStyle w:val="yTable"/>
              <w:spacing w:before="40" w:after="40"/>
              <w:rPr>
                <w:b/>
                <w:spacing w:val="-2"/>
                <w:sz w:val="20"/>
              </w:rPr>
            </w:pPr>
            <w:r>
              <w:rPr>
                <w:b/>
                <w:spacing w:val="-2"/>
                <w:sz w:val="20"/>
              </w:rPr>
              <w:t>Water charge</w:t>
            </w:r>
          </w:p>
        </w:tc>
        <w:tc>
          <w:tcPr>
            <w:tcW w:w="3827" w:type="dxa"/>
            <w:gridSpan w:val="3"/>
          </w:tcPr>
          <w:p>
            <w:pPr>
              <w:pStyle w:val="yTable"/>
              <w:spacing w:before="40" w:after="40"/>
              <w:rPr>
                <w:spacing w:val="-2"/>
                <w:sz w:val="20"/>
              </w:rPr>
            </w:pPr>
          </w:p>
        </w:tc>
      </w:tr>
      <w:tr>
        <w:tblPrEx>
          <w:tblCellMar>
            <w:left w:w="84" w:type="dxa"/>
            <w:right w:w="84" w:type="dxa"/>
          </w:tblCellMar>
        </w:tblPrEx>
        <w:trPr>
          <w:gridBefore w:val="2"/>
          <w:wBefore w:w="28" w:type="dxa"/>
          <w:cantSplit/>
        </w:trPr>
        <w:tc>
          <w:tcPr>
            <w:tcW w:w="3163" w:type="dxa"/>
          </w:tcPr>
          <w:p>
            <w:pPr>
              <w:pStyle w:val="yTable"/>
              <w:spacing w:before="40" w:after="40"/>
              <w:ind w:left="200"/>
              <w:rPr>
                <w:spacing w:val="-2"/>
                <w:sz w:val="20"/>
              </w:rPr>
            </w:pPr>
            <w:r>
              <w:rPr>
                <w:spacing w:val="-2"/>
                <w:sz w:val="20"/>
              </w:rPr>
              <w:t>General purpose, Service Wharf &amp; Hardstand (large quantities)</w:t>
            </w:r>
          </w:p>
        </w:tc>
        <w:tc>
          <w:tcPr>
            <w:tcW w:w="3827" w:type="dxa"/>
            <w:gridSpan w:val="3"/>
          </w:tcPr>
          <w:p>
            <w:pPr>
              <w:pStyle w:val="yTable"/>
              <w:spacing w:before="40" w:after="40"/>
              <w:rPr>
                <w:spacing w:val="-2"/>
                <w:sz w:val="20"/>
              </w:rPr>
            </w:pPr>
            <w:r>
              <w:rPr>
                <w:spacing w:val="-2"/>
                <w:sz w:val="20"/>
              </w:rPr>
              <w:br/>
              <w:t>At cost, with a minimum fee of $3.80 per day</w:t>
            </w:r>
          </w:p>
        </w:tc>
      </w:tr>
      <w:tr>
        <w:tblPrEx>
          <w:tblCellMar>
            <w:left w:w="84" w:type="dxa"/>
            <w:right w:w="84" w:type="dxa"/>
          </w:tblCellMar>
        </w:tblPrEx>
        <w:trPr>
          <w:gridBefore w:val="2"/>
          <w:wBefore w:w="28" w:type="dxa"/>
          <w:cantSplit/>
        </w:trPr>
        <w:tc>
          <w:tcPr>
            <w:tcW w:w="3163" w:type="dxa"/>
          </w:tcPr>
          <w:p>
            <w:pPr>
              <w:pStyle w:val="yTable"/>
              <w:spacing w:before="40" w:after="40"/>
              <w:ind w:left="200"/>
              <w:rPr>
                <w:spacing w:val="-2"/>
                <w:sz w:val="20"/>
              </w:rPr>
            </w:pPr>
            <w:r>
              <w:rPr>
                <w:spacing w:val="-2"/>
                <w:sz w:val="20"/>
              </w:rPr>
              <w:t>Charter Pens (metered)</w:t>
            </w:r>
          </w:p>
        </w:tc>
        <w:tc>
          <w:tcPr>
            <w:tcW w:w="3827" w:type="dxa"/>
            <w:gridSpan w:val="3"/>
          </w:tcPr>
          <w:p>
            <w:pPr>
              <w:pStyle w:val="yTable"/>
              <w:spacing w:before="40" w:after="40"/>
              <w:rPr>
                <w:spacing w:val="-2"/>
                <w:sz w:val="20"/>
              </w:rPr>
            </w:pPr>
            <w:r>
              <w:rPr>
                <w:spacing w:val="-2"/>
                <w:sz w:val="20"/>
              </w:rPr>
              <w:t>At cost</w:t>
            </w:r>
          </w:p>
        </w:tc>
      </w:tr>
      <w:tr>
        <w:tblPrEx>
          <w:tblCellMar>
            <w:left w:w="84" w:type="dxa"/>
            <w:right w:w="84" w:type="dxa"/>
          </w:tblCellMar>
        </w:tblPrEx>
        <w:trPr>
          <w:gridBefore w:val="2"/>
          <w:wBefore w:w="28" w:type="dxa"/>
          <w:cantSplit/>
        </w:trPr>
        <w:tc>
          <w:tcPr>
            <w:tcW w:w="3163" w:type="dxa"/>
          </w:tcPr>
          <w:p>
            <w:pPr>
              <w:pStyle w:val="yTable"/>
              <w:spacing w:before="40" w:after="40"/>
              <w:rPr>
                <w:spacing w:val="-2"/>
                <w:sz w:val="20"/>
              </w:rPr>
            </w:pPr>
            <w:r>
              <w:rPr>
                <w:b/>
                <w:spacing w:val="-2"/>
                <w:sz w:val="20"/>
              </w:rPr>
              <w:t>Electrical power charges</w:t>
            </w:r>
            <w:r>
              <w:rPr>
                <w:spacing w:val="-2"/>
                <w:sz w:val="20"/>
              </w:rPr>
              <w:t xml:space="preserve"> </w:t>
            </w:r>
          </w:p>
        </w:tc>
        <w:tc>
          <w:tcPr>
            <w:tcW w:w="3827" w:type="dxa"/>
            <w:gridSpan w:val="3"/>
          </w:tcPr>
          <w:p>
            <w:pPr>
              <w:pStyle w:val="yTable"/>
              <w:spacing w:before="40" w:after="40"/>
              <w:rPr>
                <w:spacing w:val="-2"/>
                <w:sz w:val="20"/>
              </w:rPr>
            </w:pPr>
          </w:p>
        </w:tc>
      </w:tr>
      <w:tr>
        <w:tblPrEx>
          <w:tblCellMar>
            <w:left w:w="84" w:type="dxa"/>
            <w:right w:w="84" w:type="dxa"/>
          </w:tblCellMar>
        </w:tblPrEx>
        <w:trPr>
          <w:gridBefore w:val="2"/>
          <w:wBefore w:w="28" w:type="dxa"/>
          <w:cantSplit/>
        </w:trPr>
        <w:tc>
          <w:tcPr>
            <w:tcW w:w="3163" w:type="dxa"/>
          </w:tcPr>
          <w:p>
            <w:pPr>
              <w:pStyle w:val="yTable"/>
              <w:spacing w:before="40" w:after="40"/>
              <w:ind w:left="200"/>
              <w:rPr>
                <w:spacing w:val="-2"/>
                <w:sz w:val="20"/>
              </w:rPr>
            </w:pPr>
            <w:r>
              <w:rPr>
                <w:spacing w:val="-2"/>
                <w:sz w:val="20"/>
              </w:rPr>
              <w:t>Charter Pens – single/3</w:t>
            </w:r>
            <w:r>
              <w:rPr>
                <w:spacing w:val="-2"/>
                <w:sz w:val="20"/>
              </w:rPr>
              <w:noBreakHyphen/>
              <w:t>phase (metered)</w:t>
            </w:r>
          </w:p>
        </w:tc>
        <w:tc>
          <w:tcPr>
            <w:tcW w:w="3827" w:type="dxa"/>
            <w:gridSpan w:val="3"/>
          </w:tcPr>
          <w:p>
            <w:pPr>
              <w:pStyle w:val="yTable"/>
              <w:spacing w:before="40" w:after="40"/>
              <w:rPr>
                <w:spacing w:val="-2"/>
                <w:sz w:val="20"/>
              </w:rPr>
            </w:pPr>
            <w:r>
              <w:rPr>
                <w:spacing w:val="-2"/>
                <w:sz w:val="20"/>
              </w:rPr>
              <w:br/>
              <w:t>at cost</w:t>
            </w:r>
          </w:p>
        </w:tc>
      </w:tr>
      <w:tr>
        <w:tblPrEx>
          <w:tblCellMar>
            <w:left w:w="84" w:type="dxa"/>
            <w:right w:w="84" w:type="dxa"/>
          </w:tblCellMar>
        </w:tblPrEx>
        <w:trPr>
          <w:gridBefore w:val="2"/>
          <w:wBefore w:w="28" w:type="dxa"/>
          <w:cantSplit/>
        </w:trPr>
        <w:tc>
          <w:tcPr>
            <w:tcW w:w="3163" w:type="dxa"/>
            <w:tcBorders>
              <w:bottom w:val="nil"/>
            </w:tcBorders>
          </w:tcPr>
          <w:p>
            <w:pPr>
              <w:pStyle w:val="yTable"/>
              <w:spacing w:before="40" w:after="40"/>
              <w:ind w:left="200"/>
              <w:rPr>
                <w:spacing w:val="-2"/>
                <w:sz w:val="20"/>
                <w:lang w:val="en-US"/>
              </w:rPr>
            </w:pPr>
            <w:r>
              <w:rPr>
                <w:spacing w:val="-2"/>
                <w:sz w:val="20"/>
              </w:rPr>
              <w:t>General Purpose Pens – single phase (not metered)</w:t>
            </w:r>
          </w:p>
        </w:tc>
        <w:tc>
          <w:tcPr>
            <w:tcW w:w="3827" w:type="dxa"/>
            <w:gridSpan w:val="3"/>
            <w:tcBorders>
              <w:bottom w:val="nil"/>
            </w:tcBorders>
          </w:tcPr>
          <w:p>
            <w:pPr>
              <w:pStyle w:val="yTable"/>
              <w:spacing w:before="40" w:after="40"/>
              <w:rPr>
                <w:spacing w:val="-2"/>
                <w:sz w:val="20"/>
              </w:rPr>
            </w:pPr>
            <w:r>
              <w:rPr>
                <w:spacing w:val="-2"/>
                <w:sz w:val="20"/>
              </w:rPr>
              <w:br/>
              <w:t>No charge</w:t>
            </w:r>
          </w:p>
        </w:tc>
      </w:tr>
      <w:tr>
        <w:tblPrEx>
          <w:tblCellMar>
            <w:left w:w="84" w:type="dxa"/>
            <w:right w:w="84" w:type="dxa"/>
          </w:tblCellMar>
        </w:tblPrEx>
        <w:trPr>
          <w:gridBefore w:val="2"/>
          <w:wBefore w:w="28" w:type="dxa"/>
          <w:cantSplit/>
        </w:trPr>
        <w:tc>
          <w:tcPr>
            <w:tcW w:w="3163" w:type="dxa"/>
            <w:tcBorders>
              <w:bottom w:val="single" w:sz="4" w:space="0" w:color="auto"/>
            </w:tcBorders>
          </w:tcPr>
          <w:p>
            <w:pPr>
              <w:pStyle w:val="yTable"/>
              <w:spacing w:before="40" w:after="40"/>
              <w:ind w:left="200"/>
              <w:rPr>
                <w:spacing w:val="-2"/>
                <w:sz w:val="20"/>
              </w:rPr>
            </w:pPr>
            <w:r>
              <w:rPr>
                <w:spacing w:val="-2"/>
                <w:sz w:val="20"/>
              </w:rPr>
              <w:t xml:space="preserve">Service Wharf and Hardstand – </w:t>
            </w:r>
          </w:p>
          <w:p>
            <w:pPr>
              <w:pStyle w:val="yTable"/>
              <w:spacing w:before="40" w:after="40"/>
              <w:ind w:left="244"/>
              <w:rPr>
                <w:spacing w:val="-2"/>
                <w:sz w:val="20"/>
              </w:rPr>
            </w:pPr>
            <w:r>
              <w:rPr>
                <w:spacing w:val="-2"/>
                <w:sz w:val="20"/>
              </w:rPr>
              <w:t>single phase for vessels not paying Pen or Berthage fees (or other users, including trucks using power at the jetty)</w:t>
            </w:r>
          </w:p>
        </w:tc>
        <w:tc>
          <w:tcPr>
            <w:tcW w:w="3827" w:type="dxa"/>
            <w:gridSpan w:val="3"/>
            <w:tcBorders>
              <w:bottom w:val="single" w:sz="4" w:space="0" w:color="auto"/>
            </w:tcBorders>
          </w:tcPr>
          <w:p>
            <w:pPr>
              <w:pStyle w:val="yTable"/>
              <w:spacing w:before="40" w:after="40"/>
              <w:rPr>
                <w:spacing w:val="-2"/>
                <w:sz w:val="20"/>
              </w:rPr>
            </w:pPr>
          </w:p>
          <w:p>
            <w:pPr>
              <w:pStyle w:val="yTable"/>
              <w:spacing w:before="40" w:after="40"/>
              <w:rPr>
                <w:spacing w:val="-2"/>
                <w:sz w:val="20"/>
              </w:rPr>
            </w:pPr>
            <w:r>
              <w:rPr>
                <w:spacing w:val="-2"/>
                <w:sz w:val="20"/>
              </w:rPr>
              <w:br/>
            </w:r>
            <w:r>
              <w:rPr>
                <w:spacing w:val="-2"/>
                <w:sz w:val="20"/>
              </w:rPr>
              <w:br/>
            </w:r>
            <w:r>
              <w:rPr>
                <w:spacing w:val="-2"/>
                <w:sz w:val="20"/>
              </w:rPr>
              <w:br/>
              <w:t>$6.10 per day or part of a day</w:t>
            </w:r>
          </w:p>
        </w:tc>
      </w:tr>
      <w:tr>
        <w:tblPrEx>
          <w:tblCellMar>
            <w:left w:w="84" w:type="dxa"/>
            <w:right w:w="84" w:type="dxa"/>
          </w:tblCellMar>
        </w:tblPrEx>
        <w:trPr>
          <w:gridBefore w:val="2"/>
          <w:wBefore w:w="28" w:type="dxa"/>
          <w:cantSplit/>
        </w:trPr>
        <w:tc>
          <w:tcPr>
            <w:tcW w:w="3163" w:type="dxa"/>
            <w:tcBorders>
              <w:bottom w:val="nil"/>
            </w:tcBorders>
          </w:tcPr>
          <w:p>
            <w:pPr>
              <w:pStyle w:val="yTable"/>
              <w:spacing w:before="40" w:after="40"/>
              <w:ind w:left="244"/>
              <w:rPr>
                <w:spacing w:val="-2"/>
                <w:sz w:val="20"/>
              </w:rPr>
            </w:pPr>
            <w:r>
              <w:rPr>
                <w:spacing w:val="-2"/>
                <w:sz w:val="20"/>
              </w:rPr>
              <w:t>3</w:t>
            </w:r>
            <w:r>
              <w:rPr>
                <w:spacing w:val="-2"/>
                <w:sz w:val="20"/>
              </w:rPr>
              <w:noBreakHyphen/>
              <w:t>phase (vessels, trucks, etc.) (unmetered)</w:t>
            </w:r>
          </w:p>
        </w:tc>
        <w:tc>
          <w:tcPr>
            <w:tcW w:w="3827" w:type="dxa"/>
            <w:gridSpan w:val="3"/>
            <w:tcBorders>
              <w:bottom w:val="nil"/>
            </w:tcBorders>
          </w:tcPr>
          <w:p>
            <w:pPr>
              <w:pStyle w:val="yTable"/>
              <w:spacing w:before="40" w:after="40"/>
              <w:rPr>
                <w:spacing w:val="-2"/>
                <w:sz w:val="20"/>
              </w:rPr>
            </w:pPr>
            <w:r>
              <w:rPr>
                <w:spacing w:val="-2"/>
                <w:sz w:val="20"/>
              </w:rPr>
              <w:br/>
              <w:t>$23.71 per 12 hour period</w:t>
            </w:r>
          </w:p>
        </w:tc>
      </w:tr>
      <w:tr>
        <w:tblPrEx>
          <w:tblCellMar>
            <w:left w:w="84" w:type="dxa"/>
            <w:right w:w="84" w:type="dxa"/>
          </w:tblCellMar>
        </w:tblPrEx>
        <w:trPr>
          <w:gridBefore w:val="2"/>
          <w:wBefore w:w="28" w:type="dxa"/>
          <w:cantSplit/>
        </w:trPr>
        <w:tc>
          <w:tcPr>
            <w:tcW w:w="3163" w:type="dxa"/>
            <w:tcBorders>
              <w:top w:val="single" w:sz="4" w:space="0" w:color="auto"/>
              <w:bottom w:val="nil"/>
            </w:tcBorders>
          </w:tcPr>
          <w:p>
            <w:pPr>
              <w:pStyle w:val="yTable"/>
              <w:spacing w:before="40" w:after="40"/>
              <w:ind w:left="244"/>
              <w:rPr>
                <w:spacing w:val="-2"/>
                <w:sz w:val="20"/>
              </w:rPr>
            </w:pPr>
            <w:r>
              <w:rPr>
                <w:spacing w:val="-2"/>
                <w:sz w:val="20"/>
              </w:rPr>
              <w:t>3</w:t>
            </w:r>
            <w:r>
              <w:rPr>
                <w:spacing w:val="-2"/>
                <w:sz w:val="20"/>
              </w:rPr>
              <w:noBreakHyphen/>
              <w:t>phase (vessels, trucks, etc.) (metered)</w:t>
            </w:r>
          </w:p>
        </w:tc>
        <w:tc>
          <w:tcPr>
            <w:tcW w:w="3827" w:type="dxa"/>
            <w:gridSpan w:val="3"/>
            <w:tcBorders>
              <w:top w:val="single" w:sz="4" w:space="0" w:color="auto"/>
              <w:bottom w:val="nil"/>
            </w:tcBorders>
          </w:tcPr>
          <w:p>
            <w:pPr>
              <w:pStyle w:val="yTable"/>
              <w:spacing w:before="40" w:after="40"/>
              <w:rPr>
                <w:spacing w:val="-2"/>
                <w:sz w:val="20"/>
              </w:rPr>
            </w:pPr>
            <w:r>
              <w:rPr>
                <w:spacing w:val="-2"/>
                <w:sz w:val="20"/>
              </w:rPr>
              <w:br/>
              <w:t>At cost</w:t>
            </w:r>
          </w:p>
        </w:tc>
      </w:tr>
      <w:tr>
        <w:tblPrEx>
          <w:tblCellMar>
            <w:left w:w="84" w:type="dxa"/>
            <w:right w:w="84" w:type="dxa"/>
          </w:tblCellMar>
        </w:tblPrEx>
        <w:trPr>
          <w:gridBefore w:val="2"/>
          <w:wBefore w:w="28" w:type="dxa"/>
          <w:cantSplit/>
        </w:trPr>
        <w:tc>
          <w:tcPr>
            <w:tcW w:w="3163" w:type="dxa"/>
            <w:tcBorders>
              <w:top w:val="single" w:sz="4" w:space="0" w:color="auto"/>
            </w:tcBorders>
          </w:tcPr>
          <w:p>
            <w:pPr>
              <w:pStyle w:val="yTable"/>
              <w:spacing w:before="40" w:after="40"/>
              <w:rPr>
                <w:b/>
                <w:spacing w:val="-2"/>
                <w:sz w:val="20"/>
              </w:rPr>
            </w:pPr>
            <w:r>
              <w:rPr>
                <w:b/>
                <w:spacing w:val="-2"/>
                <w:sz w:val="20"/>
              </w:rPr>
              <w:t>Boat Ramp Charges</w:t>
            </w:r>
          </w:p>
        </w:tc>
        <w:tc>
          <w:tcPr>
            <w:tcW w:w="3827" w:type="dxa"/>
            <w:gridSpan w:val="3"/>
            <w:tcBorders>
              <w:top w:val="single" w:sz="4" w:space="0" w:color="auto"/>
            </w:tcBorders>
          </w:tcPr>
          <w:p>
            <w:pPr>
              <w:pStyle w:val="yTable"/>
              <w:spacing w:before="40" w:after="40"/>
              <w:rPr>
                <w:spacing w:val="-2"/>
                <w:sz w:val="20"/>
              </w:rPr>
            </w:pPr>
          </w:p>
        </w:tc>
      </w:tr>
      <w:tr>
        <w:tblPrEx>
          <w:tblCellMar>
            <w:left w:w="84" w:type="dxa"/>
            <w:right w:w="84" w:type="dxa"/>
          </w:tblCellMar>
        </w:tblPrEx>
        <w:trPr>
          <w:gridBefore w:val="2"/>
          <w:wBefore w:w="28" w:type="dxa"/>
          <w:cantSplit/>
        </w:trPr>
        <w:tc>
          <w:tcPr>
            <w:tcW w:w="3163" w:type="dxa"/>
            <w:tcBorders>
              <w:bottom w:val="single" w:sz="4" w:space="0" w:color="auto"/>
            </w:tcBorders>
          </w:tcPr>
          <w:p>
            <w:pPr>
              <w:pStyle w:val="yTable"/>
              <w:spacing w:before="40" w:after="40"/>
              <w:ind w:left="200"/>
              <w:rPr>
                <w:spacing w:val="-2"/>
                <w:sz w:val="20"/>
              </w:rPr>
            </w:pPr>
            <w:r>
              <w:rPr>
                <w:spacing w:val="-2"/>
                <w:sz w:val="20"/>
              </w:rPr>
              <w:t>Recreational vessels</w:t>
            </w:r>
          </w:p>
        </w:tc>
        <w:tc>
          <w:tcPr>
            <w:tcW w:w="3827" w:type="dxa"/>
            <w:gridSpan w:val="3"/>
            <w:tcBorders>
              <w:bottom w:val="single" w:sz="4" w:space="0" w:color="auto"/>
            </w:tcBorders>
          </w:tcPr>
          <w:p>
            <w:pPr>
              <w:pStyle w:val="yTable"/>
              <w:spacing w:before="40" w:after="40"/>
              <w:rPr>
                <w:spacing w:val="-2"/>
                <w:sz w:val="20"/>
              </w:rPr>
            </w:pPr>
            <w:r>
              <w:rPr>
                <w:spacing w:val="-2"/>
                <w:sz w:val="20"/>
              </w:rPr>
              <w:t>No charge</w:t>
            </w:r>
          </w:p>
        </w:tc>
      </w:tr>
      <w:tr>
        <w:tblPrEx>
          <w:tblCellMar>
            <w:left w:w="84" w:type="dxa"/>
            <w:right w:w="84" w:type="dxa"/>
          </w:tblCellMar>
        </w:tblPrEx>
        <w:trPr>
          <w:gridBefore w:val="2"/>
          <w:wBefore w:w="28" w:type="dxa"/>
          <w:cantSplit/>
        </w:trPr>
        <w:tc>
          <w:tcPr>
            <w:tcW w:w="3163" w:type="dxa"/>
            <w:tcBorders>
              <w:top w:val="nil"/>
              <w:bottom w:val="nil"/>
            </w:tcBorders>
          </w:tcPr>
          <w:p>
            <w:pPr>
              <w:pStyle w:val="yTable"/>
              <w:spacing w:before="40" w:after="40"/>
              <w:ind w:left="200"/>
              <w:rPr>
                <w:spacing w:val="-2"/>
                <w:sz w:val="20"/>
              </w:rPr>
            </w:pPr>
            <w:r>
              <w:rPr>
                <w:spacing w:val="-2"/>
                <w:sz w:val="20"/>
              </w:rPr>
              <w:t>Commercial vessels — annual</w:t>
            </w:r>
          </w:p>
        </w:tc>
        <w:tc>
          <w:tcPr>
            <w:tcW w:w="3827" w:type="dxa"/>
            <w:gridSpan w:val="3"/>
            <w:tcBorders>
              <w:top w:val="nil"/>
              <w:bottom w:val="nil"/>
            </w:tcBorders>
          </w:tcPr>
          <w:p>
            <w:pPr>
              <w:pStyle w:val="yTable"/>
              <w:spacing w:before="40" w:after="40"/>
              <w:rPr>
                <w:spacing w:val="-2"/>
                <w:sz w:val="20"/>
              </w:rPr>
            </w:pPr>
            <w:r>
              <w:rPr>
                <w:spacing w:val="-2"/>
                <w:sz w:val="20"/>
              </w:rPr>
              <w:t>$610.64</w:t>
            </w:r>
          </w:p>
        </w:tc>
      </w:tr>
      <w:tr>
        <w:tblPrEx>
          <w:tblCellMar>
            <w:left w:w="84" w:type="dxa"/>
            <w:right w:w="84" w:type="dxa"/>
          </w:tblCellMar>
        </w:tblPrEx>
        <w:trPr>
          <w:gridBefore w:val="2"/>
          <w:wBefore w:w="28" w:type="dxa"/>
          <w:cantSplit/>
        </w:trPr>
        <w:tc>
          <w:tcPr>
            <w:tcW w:w="3163" w:type="dxa"/>
            <w:tcBorders>
              <w:bottom w:val="single" w:sz="4" w:space="0" w:color="auto"/>
            </w:tcBorders>
          </w:tcPr>
          <w:p>
            <w:pPr>
              <w:pStyle w:val="yTable"/>
              <w:tabs>
                <w:tab w:val="left" w:pos="1759"/>
              </w:tabs>
              <w:spacing w:before="40" w:after="40"/>
              <w:rPr>
                <w:spacing w:val="-2"/>
                <w:sz w:val="20"/>
              </w:rPr>
            </w:pPr>
            <w:r>
              <w:rPr>
                <w:spacing w:val="-2"/>
                <w:sz w:val="20"/>
              </w:rPr>
              <w:tab/>
              <w:t> — monthly</w:t>
            </w:r>
          </w:p>
        </w:tc>
        <w:tc>
          <w:tcPr>
            <w:tcW w:w="3827" w:type="dxa"/>
            <w:gridSpan w:val="3"/>
            <w:tcBorders>
              <w:bottom w:val="single" w:sz="4" w:space="0" w:color="auto"/>
            </w:tcBorders>
          </w:tcPr>
          <w:p>
            <w:pPr>
              <w:pStyle w:val="yTable"/>
              <w:spacing w:before="40" w:after="40"/>
              <w:rPr>
                <w:spacing w:val="-2"/>
                <w:sz w:val="20"/>
              </w:rPr>
            </w:pPr>
            <w:r>
              <w:rPr>
                <w:spacing w:val="-2"/>
                <w:sz w:val="20"/>
              </w:rPr>
              <w:t>$122.13</w:t>
            </w:r>
          </w:p>
        </w:tc>
      </w:tr>
    </w:tbl>
    <w:p>
      <w:pPr>
        <w:pStyle w:val="yHeading4"/>
      </w:pPr>
      <w:bookmarkStart w:id="702" w:name="_Toc170210285"/>
      <w:r>
        <w:t>Subdivision 11</w:t>
      </w:r>
      <w:r>
        <w:rPr>
          <w:b w:val="0"/>
        </w:rPr>
        <w:t> — </w:t>
      </w:r>
      <w:r>
        <w:t>Fremantle Fishing Boat Harbour</w:t>
      </w:r>
      <w:bookmarkEnd w:id="702"/>
    </w:p>
    <w:p>
      <w:pPr>
        <w:pStyle w:val="yFootnoteheading"/>
      </w:pPr>
      <w:r>
        <w:tab/>
        <w:t>[Heading inserted in Gazette 24 Jun 2005 p. 2840.]</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446"/>
        <w:gridCol w:w="3544"/>
      </w:tblGrid>
      <w:tr>
        <w:tc>
          <w:tcPr>
            <w:tcW w:w="3446" w:type="dxa"/>
          </w:tcPr>
          <w:p>
            <w:pPr>
              <w:pStyle w:val="yTable"/>
              <w:tabs>
                <w:tab w:val="left" w:pos="392"/>
              </w:tabs>
              <w:spacing w:before="40" w:after="40"/>
              <w:rPr>
                <w:spacing w:val="-2"/>
                <w:sz w:val="20"/>
              </w:rPr>
            </w:pPr>
            <w:r>
              <w:rPr>
                <w:b/>
                <w:spacing w:val="-2"/>
                <w:sz w:val="20"/>
              </w:rPr>
              <w:t>Annual Fee</w:t>
            </w:r>
            <w:r>
              <w:rPr>
                <w:spacing w:val="-2"/>
                <w:sz w:val="20"/>
              </w:rPr>
              <w:t> </w:t>
            </w:r>
            <w:r>
              <w:rPr>
                <w:i/>
                <w:snapToGrid w:val="0"/>
                <w:sz w:val="20"/>
              </w:rPr>
              <w:t>—</w:t>
            </w:r>
            <w:r>
              <w:rPr>
                <w:spacing w:val="-2"/>
                <w:sz w:val="20"/>
              </w:rPr>
              <w:t> </w:t>
            </w:r>
          </w:p>
          <w:p>
            <w:pPr>
              <w:pStyle w:val="yTable"/>
              <w:tabs>
                <w:tab w:val="left" w:pos="244"/>
              </w:tabs>
              <w:spacing w:before="40" w:after="40"/>
              <w:rPr>
                <w:spacing w:val="-2"/>
                <w:sz w:val="20"/>
              </w:rPr>
            </w:pPr>
            <w:r>
              <w:rPr>
                <w:spacing w:val="-2"/>
                <w:sz w:val="20"/>
              </w:rPr>
              <w:tab/>
              <w:t>Commercial vessels up to 19.99 m</w:t>
            </w:r>
          </w:p>
        </w:tc>
        <w:tc>
          <w:tcPr>
            <w:tcW w:w="3544" w:type="dxa"/>
          </w:tcPr>
          <w:p>
            <w:pPr>
              <w:pStyle w:val="yTable"/>
              <w:spacing w:before="40" w:after="40"/>
              <w:rPr>
                <w:spacing w:val="-2"/>
                <w:sz w:val="20"/>
              </w:rPr>
            </w:pPr>
          </w:p>
          <w:p>
            <w:pPr>
              <w:pStyle w:val="yTable"/>
              <w:spacing w:before="40" w:after="40"/>
              <w:rPr>
                <w:spacing w:val="-2"/>
                <w:sz w:val="20"/>
              </w:rPr>
            </w:pPr>
            <w:r>
              <w:rPr>
                <w:spacing w:val="-2"/>
                <w:sz w:val="20"/>
              </w:rPr>
              <w:t>$202.36/m x length of vessel</w:t>
            </w:r>
          </w:p>
        </w:tc>
      </w:tr>
      <w:tr>
        <w:tc>
          <w:tcPr>
            <w:tcW w:w="3446" w:type="dxa"/>
          </w:tcPr>
          <w:p>
            <w:pPr>
              <w:pStyle w:val="yTable"/>
              <w:tabs>
                <w:tab w:val="left" w:pos="244"/>
              </w:tabs>
              <w:spacing w:before="40" w:after="40"/>
              <w:rPr>
                <w:spacing w:val="-2"/>
                <w:sz w:val="20"/>
              </w:rPr>
            </w:pPr>
            <w:r>
              <w:rPr>
                <w:spacing w:val="-2"/>
                <w:sz w:val="20"/>
              </w:rPr>
              <w:tab/>
              <w:t>Commercial vessels 20 m and over</w:t>
            </w:r>
          </w:p>
        </w:tc>
        <w:tc>
          <w:tcPr>
            <w:tcW w:w="3544" w:type="dxa"/>
          </w:tcPr>
          <w:p>
            <w:pPr>
              <w:pStyle w:val="yTable"/>
              <w:spacing w:before="40" w:after="40"/>
              <w:rPr>
                <w:spacing w:val="-2"/>
                <w:sz w:val="20"/>
              </w:rPr>
            </w:pPr>
            <w:r>
              <w:rPr>
                <w:spacing w:val="-2"/>
                <w:sz w:val="20"/>
              </w:rPr>
              <w:t xml:space="preserve">$275.43/m x length of vessel </w:t>
            </w:r>
          </w:p>
        </w:tc>
      </w:tr>
      <w:tr>
        <w:tc>
          <w:tcPr>
            <w:tcW w:w="3446" w:type="dxa"/>
          </w:tcPr>
          <w:p>
            <w:pPr>
              <w:pStyle w:val="yTable"/>
              <w:tabs>
                <w:tab w:val="left" w:pos="244"/>
              </w:tabs>
              <w:spacing w:before="40" w:after="40"/>
              <w:rPr>
                <w:spacing w:val="-2"/>
                <w:sz w:val="20"/>
              </w:rPr>
            </w:pPr>
            <w:r>
              <w:rPr>
                <w:spacing w:val="-2"/>
                <w:sz w:val="20"/>
              </w:rPr>
              <w:tab/>
              <w:t>Private pleasure vessels</w:t>
            </w:r>
          </w:p>
        </w:tc>
        <w:tc>
          <w:tcPr>
            <w:tcW w:w="3544" w:type="dxa"/>
          </w:tcPr>
          <w:p>
            <w:pPr>
              <w:pStyle w:val="yTable"/>
              <w:spacing w:before="40" w:after="40"/>
              <w:rPr>
                <w:spacing w:val="-2"/>
                <w:sz w:val="20"/>
              </w:rPr>
            </w:pPr>
            <w:r>
              <w:rPr>
                <w:spacing w:val="-2"/>
                <w:sz w:val="20"/>
              </w:rPr>
              <w:t xml:space="preserve">$275.43/m x length of vessel </w:t>
            </w:r>
          </w:p>
        </w:tc>
      </w:tr>
      <w:tr>
        <w:tc>
          <w:tcPr>
            <w:tcW w:w="3446" w:type="dxa"/>
          </w:tcPr>
          <w:p>
            <w:pPr>
              <w:pStyle w:val="yTable"/>
              <w:tabs>
                <w:tab w:val="left" w:pos="392"/>
              </w:tabs>
              <w:spacing w:before="120" w:after="40"/>
              <w:rPr>
                <w:b/>
                <w:spacing w:val="-2"/>
                <w:sz w:val="20"/>
              </w:rPr>
            </w:pPr>
            <w:r>
              <w:rPr>
                <w:b/>
                <w:spacing w:val="-2"/>
                <w:sz w:val="20"/>
              </w:rPr>
              <w:t>Part Year Fee – 3 months or more, paid in advance</w:t>
            </w:r>
          </w:p>
          <w:p>
            <w:pPr>
              <w:pStyle w:val="yTable"/>
              <w:tabs>
                <w:tab w:val="left" w:pos="244"/>
              </w:tabs>
              <w:spacing w:before="120" w:after="40"/>
              <w:rPr>
                <w:spacing w:val="-2"/>
                <w:sz w:val="20"/>
              </w:rPr>
            </w:pPr>
            <w:r>
              <w:rPr>
                <w:spacing w:val="-2"/>
                <w:sz w:val="20"/>
              </w:rPr>
              <w:tab/>
              <w:t>Commercial vessels up to 19.99 m</w:t>
            </w:r>
          </w:p>
        </w:tc>
        <w:tc>
          <w:tcPr>
            <w:tcW w:w="3544" w:type="dxa"/>
          </w:tcPr>
          <w:p>
            <w:pPr>
              <w:pStyle w:val="yTable"/>
              <w:spacing w:before="120" w:after="40"/>
              <w:rPr>
                <w:spacing w:val="-2"/>
                <w:sz w:val="20"/>
              </w:rPr>
            </w:pPr>
            <w:r>
              <w:rPr>
                <w:spacing w:val="-2"/>
                <w:sz w:val="20"/>
              </w:rPr>
              <w:t>$20.24/m x length of vessel, per month</w:t>
            </w:r>
          </w:p>
        </w:tc>
      </w:tr>
      <w:tr>
        <w:tc>
          <w:tcPr>
            <w:tcW w:w="3446" w:type="dxa"/>
          </w:tcPr>
          <w:p>
            <w:pPr>
              <w:pStyle w:val="yTable"/>
              <w:tabs>
                <w:tab w:val="left" w:pos="244"/>
              </w:tabs>
              <w:spacing w:before="120" w:after="40"/>
              <w:rPr>
                <w:spacing w:val="-2"/>
                <w:sz w:val="20"/>
              </w:rPr>
            </w:pPr>
            <w:r>
              <w:rPr>
                <w:spacing w:val="-2"/>
                <w:sz w:val="20"/>
              </w:rPr>
              <w:tab/>
              <w:t>Commercial vessels 20 m and over</w:t>
            </w:r>
          </w:p>
        </w:tc>
        <w:tc>
          <w:tcPr>
            <w:tcW w:w="3544" w:type="dxa"/>
          </w:tcPr>
          <w:p>
            <w:pPr>
              <w:pStyle w:val="yTable"/>
              <w:spacing w:before="120" w:after="40"/>
              <w:rPr>
                <w:spacing w:val="-2"/>
                <w:sz w:val="20"/>
              </w:rPr>
            </w:pPr>
            <w:r>
              <w:rPr>
                <w:spacing w:val="-2"/>
                <w:sz w:val="20"/>
              </w:rPr>
              <w:t>$27.54/m x length of vessel, per month</w:t>
            </w:r>
          </w:p>
        </w:tc>
      </w:tr>
      <w:tr>
        <w:tc>
          <w:tcPr>
            <w:tcW w:w="3446" w:type="dxa"/>
          </w:tcPr>
          <w:p>
            <w:pPr>
              <w:pStyle w:val="yTable"/>
              <w:tabs>
                <w:tab w:val="left" w:pos="244"/>
              </w:tabs>
              <w:spacing w:before="120" w:after="40"/>
              <w:rPr>
                <w:spacing w:val="-2"/>
                <w:sz w:val="20"/>
              </w:rPr>
            </w:pPr>
            <w:r>
              <w:rPr>
                <w:spacing w:val="-2"/>
                <w:sz w:val="20"/>
              </w:rPr>
              <w:tab/>
              <w:t>Private pleasure vessels</w:t>
            </w:r>
          </w:p>
        </w:tc>
        <w:tc>
          <w:tcPr>
            <w:tcW w:w="3544" w:type="dxa"/>
          </w:tcPr>
          <w:p>
            <w:pPr>
              <w:pStyle w:val="yTable"/>
              <w:spacing w:before="120" w:after="40"/>
              <w:rPr>
                <w:spacing w:val="-2"/>
                <w:sz w:val="20"/>
              </w:rPr>
            </w:pPr>
            <w:r>
              <w:rPr>
                <w:spacing w:val="-2"/>
                <w:sz w:val="20"/>
              </w:rPr>
              <w:t xml:space="preserve">$27.54/m x length of vessel, per month </w:t>
            </w:r>
          </w:p>
        </w:tc>
      </w:tr>
      <w:tr>
        <w:tc>
          <w:tcPr>
            <w:tcW w:w="3446" w:type="dxa"/>
          </w:tcPr>
          <w:p>
            <w:pPr>
              <w:pStyle w:val="yTable"/>
              <w:tabs>
                <w:tab w:val="left" w:pos="392"/>
              </w:tabs>
              <w:spacing w:before="120" w:after="40"/>
              <w:rPr>
                <w:b/>
                <w:spacing w:val="-2"/>
                <w:sz w:val="20"/>
              </w:rPr>
            </w:pPr>
            <w:r>
              <w:rPr>
                <w:b/>
                <w:spacing w:val="-2"/>
                <w:sz w:val="20"/>
              </w:rPr>
              <w:t>Monthly Fee</w:t>
            </w:r>
          </w:p>
          <w:p>
            <w:pPr>
              <w:pStyle w:val="yTable"/>
              <w:tabs>
                <w:tab w:val="left" w:pos="244"/>
              </w:tabs>
              <w:spacing w:before="120" w:after="40"/>
              <w:rPr>
                <w:spacing w:val="-2"/>
                <w:sz w:val="20"/>
              </w:rPr>
            </w:pPr>
            <w:r>
              <w:rPr>
                <w:spacing w:val="-2"/>
                <w:sz w:val="20"/>
              </w:rPr>
              <w:tab/>
              <w:t>Commercial vessels up to 19.99 m</w:t>
            </w:r>
          </w:p>
        </w:tc>
        <w:tc>
          <w:tcPr>
            <w:tcW w:w="3544" w:type="dxa"/>
          </w:tcPr>
          <w:p>
            <w:pPr>
              <w:pStyle w:val="yTable"/>
              <w:spacing w:before="40" w:after="120"/>
              <w:rPr>
                <w:spacing w:val="-2"/>
                <w:sz w:val="20"/>
              </w:rPr>
            </w:pPr>
          </w:p>
          <w:p>
            <w:pPr>
              <w:pStyle w:val="yTable"/>
              <w:spacing w:before="120" w:after="40"/>
              <w:rPr>
                <w:spacing w:val="-2"/>
                <w:sz w:val="20"/>
              </w:rPr>
            </w:pPr>
            <w:r>
              <w:rPr>
                <w:spacing w:val="-2"/>
                <w:sz w:val="20"/>
              </w:rPr>
              <w:t>$26.31/m x length of vessel, per month</w:t>
            </w:r>
          </w:p>
        </w:tc>
      </w:tr>
      <w:tr>
        <w:tc>
          <w:tcPr>
            <w:tcW w:w="3446" w:type="dxa"/>
          </w:tcPr>
          <w:p>
            <w:pPr>
              <w:pStyle w:val="yTable"/>
              <w:tabs>
                <w:tab w:val="left" w:pos="244"/>
              </w:tabs>
              <w:spacing w:before="120" w:after="40"/>
              <w:rPr>
                <w:spacing w:val="-2"/>
                <w:sz w:val="20"/>
              </w:rPr>
            </w:pPr>
            <w:r>
              <w:rPr>
                <w:spacing w:val="-2"/>
                <w:sz w:val="20"/>
              </w:rPr>
              <w:tab/>
              <w:t>Commercial vessels 20 m and over</w:t>
            </w:r>
          </w:p>
        </w:tc>
        <w:tc>
          <w:tcPr>
            <w:tcW w:w="3544" w:type="dxa"/>
          </w:tcPr>
          <w:p>
            <w:pPr>
              <w:pStyle w:val="yTable"/>
              <w:spacing w:before="120" w:after="40"/>
              <w:rPr>
                <w:spacing w:val="-2"/>
                <w:sz w:val="20"/>
              </w:rPr>
            </w:pPr>
            <w:r>
              <w:rPr>
                <w:spacing w:val="-2"/>
                <w:sz w:val="20"/>
              </w:rPr>
              <w:t>$35.81/m x length of vessel, per month</w:t>
            </w:r>
          </w:p>
        </w:tc>
      </w:tr>
      <w:tr>
        <w:tc>
          <w:tcPr>
            <w:tcW w:w="3446" w:type="dxa"/>
          </w:tcPr>
          <w:p>
            <w:pPr>
              <w:pStyle w:val="yTable"/>
              <w:tabs>
                <w:tab w:val="left" w:pos="244"/>
              </w:tabs>
              <w:spacing w:before="120" w:after="40"/>
              <w:rPr>
                <w:spacing w:val="-2"/>
                <w:sz w:val="20"/>
              </w:rPr>
            </w:pPr>
            <w:r>
              <w:rPr>
                <w:spacing w:val="-2"/>
                <w:sz w:val="20"/>
              </w:rPr>
              <w:tab/>
              <w:t>Private pleasure vessels</w:t>
            </w:r>
          </w:p>
        </w:tc>
        <w:tc>
          <w:tcPr>
            <w:tcW w:w="3544" w:type="dxa"/>
          </w:tcPr>
          <w:p>
            <w:pPr>
              <w:pStyle w:val="yTable"/>
              <w:spacing w:before="120" w:after="40"/>
              <w:rPr>
                <w:spacing w:val="-2"/>
                <w:sz w:val="20"/>
              </w:rPr>
            </w:pPr>
            <w:r>
              <w:rPr>
                <w:spacing w:val="-2"/>
                <w:sz w:val="20"/>
              </w:rPr>
              <w:t>$55.09/m x length of vessel, per month</w:t>
            </w:r>
          </w:p>
        </w:tc>
      </w:tr>
      <w:tr>
        <w:tc>
          <w:tcPr>
            <w:tcW w:w="3446" w:type="dxa"/>
            <w:tcBorders>
              <w:bottom w:val="nil"/>
            </w:tcBorders>
          </w:tcPr>
          <w:p>
            <w:pPr>
              <w:pStyle w:val="yTable"/>
              <w:spacing w:before="120" w:after="40"/>
              <w:rPr>
                <w:spacing w:val="-2"/>
                <w:sz w:val="20"/>
              </w:rPr>
            </w:pPr>
            <w:r>
              <w:rPr>
                <w:b/>
                <w:spacing w:val="-2"/>
                <w:sz w:val="20"/>
              </w:rPr>
              <w:t>Weekly Fee</w:t>
            </w:r>
          </w:p>
        </w:tc>
        <w:tc>
          <w:tcPr>
            <w:tcW w:w="3544" w:type="dxa"/>
            <w:tcBorders>
              <w:bottom w:val="nil"/>
            </w:tcBorders>
          </w:tcPr>
          <w:p>
            <w:pPr>
              <w:pStyle w:val="yTable"/>
              <w:spacing w:before="120" w:after="40"/>
              <w:rPr>
                <w:spacing w:val="-2"/>
                <w:sz w:val="20"/>
              </w:rPr>
            </w:pPr>
            <w:r>
              <w:rPr>
                <w:spacing w:val="-2"/>
                <w:sz w:val="20"/>
              </w:rPr>
              <w:t>$28.10/m x length of vessel, per week</w:t>
            </w:r>
          </w:p>
        </w:tc>
      </w:tr>
      <w:tr>
        <w:tc>
          <w:tcPr>
            <w:tcW w:w="3446" w:type="dxa"/>
            <w:tcBorders>
              <w:bottom w:val="single" w:sz="4" w:space="0" w:color="auto"/>
            </w:tcBorders>
          </w:tcPr>
          <w:p>
            <w:pPr>
              <w:pStyle w:val="yTable"/>
              <w:spacing w:before="120" w:after="40"/>
              <w:rPr>
                <w:spacing w:val="-2"/>
                <w:sz w:val="20"/>
              </w:rPr>
            </w:pPr>
            <w:r>
              <w:rPr>
                <w:b/>
                <w:spacing w:val="-2"/>
                <w:sz w:val="20"/>
              </w:rPr>
              <w:t>Daily Casual Fee</w:t>
            </w:r>
          </w:p>
          <w:p>
            <w:pPr>
              <w:pStyle w:val="yTable"/>
              <w:spacing w:before="120" w:after="40"/>
              <w:rPr>
                <w:spacing w:val="-2"/>
                <w:sz w:val="20"/>
              </w:rPr>
            </w:pPr>
            <w:r>
              <w:rPr>
                <w:spacing w:val="-2"/>
                <w:sz w:val="20"/>
              </w:rPr>
              <w:t>(per day or part of a day)</w:t>
            </w:r>
          </w:p>
        </w:tc>
        <w:tc>
          <w:tcPr>
            <w:tcW w:w="3544" w:type="dxa"/>
            <w:tcBorders>
              <w:bottom w:val="single" w:sz="4" w:space="0" w:color="auto"/>
            </w:tcBorders>
          </w:tcPr>
          <w:p>
            <w:pPr>
              <w:pStyle w:val="yTable"/>
              <w:spacing w:before="120" w:after="40"/>
              <w:rPr>
                <w:spacing w:val="-2"/>
                <w:sz w:val="20"/>
              </w:rPr>
            </w:pPr>
          </w:p>
          <w:p>
            <w:pPr>
              <w:pStyle w:val="yTable"/>
              <w:spacing w:before="120" w:after="40"/>
              <w:rPr>
                <w:spacing w:val="-2"/>
                <w:sz w:val="20"/>
              </w:rPr>
            </w:pPr>
            <w:r>
              <w:rPr>
                <w:spacing w:val="-2"/>
                <w:sz w:val="20"/>
              </w:rPr>
              <w:t>$5.62/m x length of vessel</w:t>
            </w:r>
          </w:p>
        </w:tc>
      </w:tr>
    </w:tbl>
    <w:p>
      <w:pPr>
        <w:pStyle w:val="yHeading4"/>
      </w:pPr>
      <w:bookmarkStart w:id="703" w:name="_Toc170210286"/>
      <w:r>
        <w:t>Subdivision 12</w:t>
      </w:r>
      <w:r>
        <w:rPr>
          <w:b w:val="0"/>
        </w:rPr>
        <w:t> — </w:t>
      </w:r>
      <w:r>
        <w:t>Green Head</w:t>
      </w:r>
      <w:bookmarkEnd w:id="703"/>
    </w:p>
    <w:p>
      <w:pPr>
        <w:pStyle w:val="yFootnoteheading"/>
      </w:pPr>
      <w:r>
        <w:tab/>
        <w:t>[Heading inserted in Gazette 24 Jun 2005 p. 2840.]</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63"/>
        <w:gridCol w:w="3827"/>
      </w:tblGrid>
      <w:tr>
        <w:trPr>
          <w:cantSplit/>
        </w:trPr>
        <w:tc>
          <w:tcPr>
            <w:tcW w:w="3163" w:type="dxa"/>
            <w:tcBorders>
              <w:bottom w:val="single" w:sz="4" w:space="0" w:color="auto"/>
            </w:tcBorders>
          </w:tcPr>
          <w:p>
            <w:pPr>
              <w:pStyle w:val="yTable"/>
              <w:spacing w:before="40" w:after="120"/>
              <w:rPr>
                <w:spacing w:val="-2"/>
                <w:sz w:val="20"/>
              </w:rPr>
            </w:pPr>
            <w:r>
              <w:rPr>
                <w:b/>
                <w:spacing w:val="-2"/>
                <w:sz w:val="20"/>
              </w:rPr>
              <w:t>Berthage/Use of Service Jetty (for extended overnight stay)</w:t>
            </w:r>
          </w:p>
          <w:p>
            <w:pPr>
              <w:pStyle w:val="yTable"/>
              <w:tabs>
                <w:tab w:val="left" w:pos="244"/>
              </w:tabs>
              <w:spacing w:before="0" w:after="40"/>
              <w:jc w:val="both"/>
              <w:rPr>
                <w:spacing w:val="-2"/>
                <w:sz w:val="20"/>
              </w:rPr>
            </w:pPr>
            <w:r>
              <w:rPr>
                <w:spacing w:val="-2"/>
                <w:sz w:val="20"/>
              </w:rPr>
              <w:tab/>
              <w:t>Daily Casual Fee</w:t>
            </w:r>
          </w:p>
        </w:tc>
        <w:tc>
          <w:tcPr>
            <w:tcW w:w="3827" w:type="dxa"/>
            <w:tcBorders>
              <w:bottom w:val="single" w:sz="4" w:space="0" w:color="auto"/>
            </w:tcBorders>
          </w:tcPr>
          <w:p>
            <w:pPr>
              <w:pStyle w:val="yTable"/>
              <w:spacing w:before="0" w:after="120"/>
              <w:rPr>
                <w:spacing w:val="-2"/>
                <w:sz w:val="20"/>
              </w:rPr>
            </w:pPr>
            <w:r>
              <w:rPr>
                <w:b/>
                <w:spacing w:val="-2"/>
                <w:sz w:val="20"/>
              </w:rPr>
              <w:br/>
            </w:r>
          </w:p>
          <w:p>
            <w:pPr>
              <w:pStyle w:val="yTable"/>
              <w:spacing w:before="0" w:after="40"/>
              <w:rPr>
                <w:spacing w:val="-2"/>
                <w:sz w:val="20"/>
              </w:rPr>
            </w:pPr>
            <w:r>
              <w:rPr>
                <w:spacing w:val="-2"/>
                <w:sz w:val="20"/>
              </w:rPr>
              <w:t xml:space="preserve">$3.85/m x length of vessel, per day or part of </w:t>
            </w:r>
            <w:r>
              <w:rPr>
                <w:spacing w:val="-2"/>
                <w:sz w:val="20"/>
              </w:rPr>
              <w:br/>
              <w:t>a day</w:t>
            </w:r>
          </w:p>
        </w:tc>
      </w:tr>
      <w:tr>
        <w:trPr>
          <w:cantSplit/>
        </w:trPr>
        <w:tc>
          <w:tcPr>
            <w:tcW w:w="6990" w:type="dxa"/>
            <w:gridSpan w:val="2"/>
            <w:tcBorders>
              <w:left w:val="nil"/>
              <w:bottom w:val="nil"/>
              <w:right w:val="nil"/>
            </w:tcBorders>
          </w:tcPr>
          <w:p>
            <w:pPr>
              <w:pStyle w:val="yNumberedItem"/>
            </w:pPr>
            <w:r>
              <w:t xml:space="preserve">Note: </w:t>
            </w:r>
            <w:r>
              <w:tab/>
              <w:t>Vessels undertaking emergency repairs, for which specific prior Department approval has been obtained to berth at the jetty for the period in question, are exempt from this fee.</w:t>
            </w:r>
          </w:p>
        </w:tc>
      </w:tr>
    </w:tbl>
    <w:p>
      <w:pPr>
        <w:pStyle w:val="yHeading4"/>
      </w:pPr>
      <w:bookmarkStart w:id="704" w:name="_Toc170210287"/>
      <w:r>
        <w:t>Subdivision 13</w:t>
      </w:r>
      <w:r>
        <w:rPr>
          <w:b w:val="0"/>
        </w:rPr>
        <w:t> — </w:t>
      </w:r>
      <w:r>
        <w:t>Hopetoun</w:t>
      </w:r>
      <w:bookmarkEnd w:id="704"/>
    </w:p>
    <w:p>
      <w:pPr>
        <w:pStyle w:val="yFootnoteheading"/>
      </w:pPr>
      <w:r>
        <w:tab/>
        <w:t>[Heading inserted in Gazette 24 Jun 2005 p. 2841.]</w:t>
      </w:r>
    </w:p>
    <w:tbl>
      <w:tblPr>
        <w:tblW w:w="0" w:type="auto"/>
        <w:tblInd w:w="210"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35"/>
        <w:gridCol w:w="3794"/>
      </w:tblGrid>
      <w:tr>
        <w:tc>
          <w:tcPr>
            <w:tcW w:w="3135" w:type="dxa"/>
            <w:tcBorders>
              <w:bottom w:val="nil"/>
            </w:tcBorders>
          </w:tcPr>
          <w:p>
            <w:pPr>
              <w:pStyle w:val="yTable"/>
              <w:spacing w:before="120" w:after="40"/>
              <w:rPr>
                <w:spacing w:val="-2"/>
                <w:sz w:val="20"/>
              </w:rPr>
            </w:pPr>
            <w:r>
              <w:rPr>
                <w:b/>
                <w:spacing w:val="-2"/>
                <w:sz w:val="20"/>
              </w:rPr>
              <w:t>Daily Casual Fee</w:t>
            </w:r>
          </w:p>
        </w:tc>
        <w:tc>
          <w:tcPr>
            <w:tcW w:w="3794" w:type="dxa"/>
            <w:tcBorders>
              <w:bottom w:val="nil"/>
            </w:tcBorders>
          </w:tcPr>
          <w:p>
            <w:pPr>
              <w:pStyle w:val="yTable"/>
              <w:spacing w:before="120" w:after="40"/>
              <w:rPr>
                <w:spacing w:val="-2"/>
                <w:sz w:val="20"/>
              </w:rPr>
            </w:pPr>
            <w:r>
              <w:rPr>
                <w:spacing w:val="-2"/>
                <w:sz w:val="20"/>
              </w:rPr>
              <w:t>$3.55/m x length of vessel, per day or part of a day</w:t>
            </w:r>
          </w:p>
        </w:tc>
      </w:tr>
      <w:tr>
        <w:tc>
          <w:tcPr>
            <w:tcW w:w="3135" w:type="dxa"/>
            <w:tcBorders>
              <w:bottom w:val="single" w:sz="4" w:space="0" w:color="auto"/>
            </w:tcBorders>
          </w:tcPr>
          <w:p>
            <w:pPr>
              <w:pStyle w:val="yTable"/>
              <w:spacing w:before="120" w:after="40"/>
              <w:rPr>
                <w:b/>
                <w:spacing w:val="-6"/>
                <w:sz w:val="20"/>
              </w:rPr>
            </w:pPr>
            <w:r>
              <w:rPr>
                <w:b/>
                <w:spacing w:val="-6"/>
                <w:sz w:val="20"/>
              </w:rPr>
              <w:t>Annual Short Term Use Fee</w:t>
            </w:r>
            <w:r>
              <w:rPr>
                <w:b/>
                <w:spacing w:val="-6"/>
                <w:sz w:val="20"/>
              </w:rPr>
              <w:br/>
            </w:r>
            <w:r>
              <w:rPr>
                <w:spacing w:val="-6"/>
                <w:sz w:val="20"/>
              </w:rPr>
              <w:t>for short term use of jetty for loading/unloading and passenger transfer</w:t>
            </w:r>
          </w:p>
        </w:tc>
        <w:tc>
          <w:tcPr>
            <w:tcW w:w="3794" w:type="dxa"/>
            <w:tcBorders>
              <w:bottom w:val="single" w:sz="4" w:space="0" w:color="auto"/>
            </w:tcBorders>
          </w:tcPr>
          <w:p>
            <w:pPr>
              <w:pStyle w:val="yTable"/>
              <w:spacing w:before="120" w:after="40"/>
              <w:rPr>
                <w:spacing w:val="-2"/>
                <w:sz w:val="20"/>
              </w:rPr>
            </w:pPr>
            <w:r>
              <w:rPr>
                <w:b/>
                <w:spacing w:val="-2"/>
                <w:sz w:val="20"/>
              </w:rPr>
              <w:br/>
            </w:r>
            <w:r>
              <w:rPr>
                <w:spacing w:val="-2"/>
                <w:sz w:val="20"/>
              </w:rPr>
              <w:br/>
            </w:r>
            <w:r>
              <w:rPr>
                <w:spacing w:val="-2"/>
                <w:sz w:val="20"/>
              </w:rPr>
              <w:br/>
              <w:t>$71.14/m x length of vessel</w:t>
            </w:r>
          </w:p>
        </w:tc>
      </w:tr>
    </w:tbl>
    <w:p>
      <w:pPr>
        <w:pStyle w:val="yNumberedItem"/>
      </w:pPr>
      <w:r>
        <w:t>Note:</w:t>
      </w:r>
      <w:r>
        <w:tab/>
        <w:t>The Daily Casual Fee will also apply to extended use on any day.</w:t>
      </w:r>
    </w:p>
    <w:p>
      <w:pPr>
        <w:pStyle w:val="yHeading4"/>
      </w:pPr>
      <w:bookmarkStart w:id="705" w:name="_Toc170210288"/>
      <w:r>
        <w:t>Subdivision 14</w:t>
      </w:r>
      <w:r>
        <w:rPr>
          <w:b w:val="0"/>
        </w:rPr>
        <w:t> — </w:t>
      </w:r>
      <w:r>
        <w:t>Johns Creek Boat Harbour (Point Samson)</w:t>
      </w:r>
      <w:bookmarkEnd w:id="705"/>
    </w:p>
    <w:p>
      <w:pPr>
        <w:pStyle w:val="yFootnoteheading"/>
      </w:pPr>
      <w:r>
        <w:tab/>
        <w:t>[Heading inserted in Gazette 24 Jun 2005 p. 2841.]</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63"/>
        <w:gridCol w:w="3794"/>
      </w:tblGrid>
      <w:tr>
        <w:tc>
          <w:tcPr>
            <w:tcW w:w="3163" w:type="dxa"/>
          </w:tcPr>
          <w:p>
            <w:pPr>
              <w:pStyle w:val="yTable"/>
              <w:keepNext/>
              <w:spacing w:before="0" w:after="100"/>
              <w:rPr>
                <w:b/>
                <w:spacing w:val="-2"/>
                <w:sz w:val="20"/>
              </w:rPr>
            </w:pPr>
            <w:r>
              <w:rPr>
                <w:b/>
                <w:spacing w:val="-2"/>
                <w:sz w:val="20"/>
              </w:rPr>
              <w:t>General</w:t>
            </w:r>
          </w:p>
        </w:tc>
        <w:tc>
          <w:tcPr>
            <w:tcW w:w="3794" w:type="dxa"/>
          </w:tcPr>
          <w:p>
            <w:pPr>
              <w:pStyle w:val="yTable"/>
              <w:keepNext/>
              <w:spacing w:before="0" w:after="100"/>
              <w:rPr>
                <w:spacing w:val="-2"/>
                <w:sz w:val="20"/>
              </w:rPr>
            </w:pPr>
          </w:p>
        </w:tc>
      </w:tr>
      <w:tr>
        <w:tc>
          <w:tcPr>
            <w:tcW w:w="3163" w:type="dxa"/>
          </w:tcPr>
          <w:p>
            <w:pPr>
              <w:pStyle w:val="yTable"/>
              <w:keepNext/>
              <w:tabs>
                <w:tab w:val="left" w:pos="342"/>
              </w:tabs>
              <w:spacing w:before="0" w:after="100"/>
              <w:ind w:left="244"/>
              <w:rPr>
                <w:spacing w:val="-2"/>
                <w:sz w:val="20"/>
              </w:rPr>
            </w:pPr>
            <w:r>
              <w:rPr>
                <w:b/>
                <w:spacing w:val="-2"/>
                <w:sz w:val="20"/>
              </w:rPr>
              <w:t>Annual Fee</w:t>
            </w:r>
          </w:p>
        </w:tc>
        <w:tc>
          <w:tcPr>
            <w:tcW w:w="3794" w:type="dxa"/>
          </w:tcPr>
          <w:p>
            <w:pPr>
              <w:pStyle w:val="yTable"/>
              <w:keepNext/>
              <w:spacing w:before="0" w:after="100"/>
              <w:rPr>
                <w:spacing w:val="-2"/>
                <w:sz w:val="20"/>
              </w:rPr>
            </w:pPr>
            <w:r>
              <w:rPr>
                <w:spacing w:val="-2"/>
                <w:sz w:val="20"/>
              </w:rPr>
              <w:t xml:space="preserve">$355.72/m x length of vessel </w:t>
            </w:r>
          </w:p>
        </w:tc>
      </w:tr>
      <w:tr>
        <w:tc>
          <w:tcPr>
            <w:tcW w:w="3163" w:type="dxa"/>
          </w:tcPr>
          <w:p>
            <w:pPr>
              <w:pStyle w:val="yTable"/>
              <w:tabs>
                <w:tab w:val="left" w:pos="392"/>
              </w:tabs>
              <w:spacing w:before="0" w:after="100"/>
              <w:ind w:left="244"/>
              <w:rPr>
                <w:spacing w:val="-2"/>
                <w:sz w:val="20"/>
              </w:rPr>
            </w:pPr>
            <w:r>
              <w:rPr>
                <w:b/>
                <w:spacing w:val="-2"/>
                <w:sz w:val="20"/>
              </w:rPr>
              <w:t>Part Year Fee – 3 months or more, paid in advance</w:t>
            </w:r>
          </w:p>
        </w:tc>
        <w:tc>
          <w:tcPr>
            <w:tcW w:w="3794" w:type="dxa"/>
          </w:tcPr>
          <w:p>
            <w:pPr>
              <w:pStyle w:val="yTable"/>
              <w:spacing w:before="0" w:after="100"/>
              <w:rPr>
                <w:spacing w:val="-2"/>
                <w:sz w:val="20"/>
              </w:rPr>
            </w:pPr>
            <w:r>
              <w:rPr>
                <w:spacing w:val="-2"/>
                <w:sz w:val="20"/>
              </w:rPr>
              <w:br/>
              <w:t>$35.57/m x length of vessel, per month</w:t>
            </w:r>
          </w:p>
        </w:tc>
      </w:tr>
      <w:tr>
        <w:tc>
          <w:tcPr>
            <w:tcW w:w="3163" w:type="dxa"/>
          </w:tcPr>
          <w:p>
            <w:pPr>
              <w:pStyle w:val="yTable"/>
              <w:spacing w:before="0" w:after="100"/>
              <w:ind w:left="244"/>
              <w:rPr>
                <w:spacing w:val="-2"/>
                <w:sz w:val="20"/>
              </w:rPr>
            </w:pPr>
            <w:r>
              <w:rPr>
                <w:b/>
                <w:spacing w:val="-2"/>
                <w:sz w:val="20"/>
              </w:rPr>
              <w:t>Monthly Fee</w:t>
            </w:r>
          </w:p>
        </w:tc>
        <w:tc>
          <w:tcPr>
            <w:tcW w:w="3794" w:type="dxa"/>
          </w:tcPr>
          <w:p>
            <w:pPr>
              <w:pStyle w:val="yTable"/>
              <w:spacing w:before="0" w:after="100"/>
              <w:rPr>
                <w:spacing w:val="-2"/>
                <w:sz w:val="20"/>
              </w:rPr>
            </w:pPr>
            <w:r>
              <w:rPr>
                <w:spacing w:val="-2"/>
                <w:sz w:val="20"/>
              </w:rPr>
              <w:t>$71.14/m x length of vessel, per month</w:t>
            </w:r>
          </w:p>
        </w:tc>
      </w:tr>
      <w:tr>
        <w:tc>
          <w:tcPr>
            <w:tcW w:w="3163" w:type="dxa"/>
          </w:tcPr>
          <w:p>
            <w:pPr>
              <w:pStyle w:val="yTable"/>
              <w:spacing w:before="0" w:after="100"/>
              <w:ind w:left="244"/>
              <w:rPr>
                <w:spacing w:val="-2"/>
                <w:sz w:val="20"/>
              </w:rPr>
            </w:pPr>
            <w:r>
              <w:rPr>
                <w:b/>
                <w:spacing w:val="-2"/>
                <w:sz w:val="20"/>
              </w:rPr>
              <w:t>Weekly Fee</w:t>
            </w:r>
          </w:p>
        </w:tc>
        <w:tc>
          <w:tcPr>
            <w:tcW w:w="3794" w:type="dxa"/>
          </w:tcPr>
          <w:p>
            <w:pPr>
              <w:pStyle w:val="yTable"/>
              <w:spacing w:before="0" w:after="100"/>
              <w:rPr>
                <w:spacing w:val="-2"/>
                <w:sz w:val="20"/>
              </w:rPr>
            </w:pPr>
            <w:r>
              <w:rPr>
                <w:spacing w:val="-2"/>
                <w:sz w:val="20"/>
              </w:rPr>
              <w:t>$35.60/m x length of vessel, per week</w:t>
            </w:r>
          </w:p>
        </w:tc>
      </w:tr>
      <w:tr>
        <w:tc>
          <w:tcPr>
            <w:tcW w:w="3163" w:type="dxa"/>
          </w:tcPr>
          <w:p>
            <w:pPr>
              <w:pStyle w:val="yTable"/>
              <w:spacing w:before="0" w:after="100"/>
              <w:ind w:left="244"/>
              <w:rPr>
                <w:spacing w:val="-2"/>
                <w:sz w:val="20"/>
              </w:rPr>
            </w:pPr>
            <w:r>
              <w:rPr>
                <w:b/>
                <w:spacing w:val="-2"/>
                <w:sz w:val="20"/>
              </w:rPr>
              <w:t>Daily Casual Fee</w:t>
            </w:r>
          </w:p>
        </w:tc>
        <w:tc>
          <w:tcPr>
            <w:tcW w:w="3794" w:type="dxa"/>
          </w:tcPr>
          <w:p>
            <w:pPr>
              <w:pStyle w:val="yTable"/>
              <w:spacing w:before="0" w:after="100"/>
              <w:rPr>
                <w:spacing w:val="-2"/>
                <w:sz w:val="20"/>
              </w:rPr>
            </w:pPr>
            <w:r>
              <w:rPr>
                <w:spacing w:val="-2"/>
                <w:sz w:val="20"/>
              </w:rPr>
              <w:t>$7.12/m x length of vessel, per day</w:t>
            </w:r>
          </w:p>
        </w:tc>
      </w:tr>
      <w:tr>
        <w:tc>
          <w:tcPr>
            <w:tcW w:w="3163" w:type="dxa"/>
          </w:tcPr>
          <w:p>
            <w:pPr>
              <w:pStyle w:val="yTable"/>
              <w:spacing w:before="0" w:after="100"/>
              <w:rPr>
                <w:b/>
                <w:spacing w:val="-2"/>
                <w:sz w:val="20"/>
              </w:rPr>
            </w:pPr>
            <w:r>
              <w:rPr>
                <w:b/>
                <w:spacing w:val="-2"/>
                <w:sz w:val="20"/>
              </w:rPr>
              <w:t xml:space="preserve">Extended Berthage </w:t>
            </w:r>
            <w:r>
              <w:rPr>
                <w:spacing w:val="-2"/>
                <w:sz w:val="20"/>
              </w:rPr>
              <w:t>(shared use of service jetty)</w:t>
            </w:r>
          </w:p>
        </w:tc>
        <w:tc>
          <w:tcPr>
            <w:tcW w:w="3794" w:type="dxa"/>
          </w:tcPr>
          <w:p>
            <w:pPr>
              <w:pStyle w:val="yTable"/>
              <w:spacing w:before="0" w:after="100"/>
              <w:rPr>
                <w:spacing w:val="-2"/>
                <w:sz w:val="20"/>
              </w:rPr>
            </w:pPr>
          </w:p>
        </w:tc>
      </w:tr>
      <w:tr>
        <w:tc>
          <w:tcPr>
            <w:tcW w:w="3163" w:type="dxa"/>
          </w:tcPr>
          <w:p>
            <w:pPr>
              <w:pStyle w:val="yTable"/>
              <w:tabs>
                <w:tab w:val="left" w:pos="342"/>
              </w:tabs>
              <w:spacing w:before="0" w:after="100"/>
              <w:ind w:left="244"/>
              <w:rPr>
                <w:spacing w:val="-2"/>
                <w:sz w:val="20"/>
              </w:rPr>
            </w:pPr>
            <w:r>
              <w:rPr>
                <w:b/>
                <w:spacing w:val="-2"/>
                <w:sz w:val="20"/>
              </w:rPr>
              <w:t>Annual Fee</w:t>
            </w:r>
          </w:p>
        </w:tc>
        <w:tc>
          <w:tcPr>
            <w:tcW w:w="3794" w:type="dxa"/>
          </w:tcPr>
          <w:p>
            <w:pPr>
              <w:pStyle w:val="yTable"/>
              <w:spacing w:before="0" w:after="100"/>
              <w:rPr>
                <w:spacing w:val="-2"/>
                <w:sz w:val="20"/>
              </w:rPr>
            </w:pPr>
            <w:r>
              <w:rPr>
                <w:spacing w:val="-2"/>
                <w:sz w:val="20"/>
              </w:rPr>
              <w:t xml:space="preserve">$355.72/m x length of vessel </w:t>
            </w:r>
          </w:p>
        </w:tc>
      </w:tr>
      <w:tr>
        <w:tc>
          <w:tcPr>
            <w:tcW w:w="3163" w:type="dxa"/>
          </w:tcPr>
          <w:p>
            <w:pPr>
              <w:pStyle w:val="yTable"/>
              <w:tabs>
                <w:tab w:val="left" w:pos="392"/>
              </w:tabs>
              <w:spacing w:before="0" w:after="100"/>
              <w:ind w:left="244"/>
              <w:rPr>
                <w:spacing w:val="-2"/>
                <w:sz w:val="20"/>
              </w:rPr>
            </w:pPr>
            <w:r>
              <w:rPr>
                <w:b/>
                <w:spacing w:val="-2"/>
                <w:sz w:val="20"/>
              </w:rPr>
              <w:t>Part Year Fee – 3 months or more, paid in advance</w:t>
            </w:r>
          </w:p>
        </w:tc>
        <w:tc>
          <w:tcPr>
            <w:tcW w:w="3794" w:type="dxa"/>
          </w:tcPr>
          <w:p>
            <w:pPr>
              <w:pStyle w:val="yTable"/>
              <w:spacing w:before="0" w:after="100"/>
              <w:rPr>
                <w:spacing w:val="-2"/>
                <w:sz w:val="20"/>
              </w:rPr>
            </w:pPr>
            <w:r>
              <w:rPr>
                <w:spacing w:val="-2"/>
                <w:sz w:val="20"/>
              </w:rPr>
              <w:br/>
              <w:t>$35.57/m x length of vessel, per month</w:t>
            </w:r>
          </w:p>
        </w:tc>
      </w:tr>
      <w:tr>
        <w:tc>
          <w:tcPr>
            <w:tcW w:w="3163" w:type="dxa"/>
          </w:tcPr>
          <w:p>
            <w:pPr>
              <w:pStyle w:val="yTable"/>
              <w:spacing w:before="0" w:after="100"/>
              <w:ind w:left="244"/>
              <w:rPr>
                <w:spacing w:val="-2"/>
                <w:sz w:val="20"/>
              </w:rPr>
            </w:pPr>
            <w:r>
              <w:rPr>
                <w:b/>
                <w:spacing w:val="-2"/>
                <w:sz w:val="20"/>
              </w:rPr>
              <w:t>Monthly Fee</w:t>
            </w:r>
          </w:p>
        </w:tc>
        <w:tc>
          <w:tcPr>
            <w:tcW w:w="3794" w:type="dxa"/>
          </w:tcPr>
          <w:p>
            <w:pPr>
              <w:pStyle w:val="yTable"/>
              <w:spacing w:before="0" w:after="100"/>
              <w:rPr>
                <w:spacing w:val="-2"/>
                <w:sz w:val="20"/>
              </w:rPr>
            </w:pPr>
            <w:r>
              <w:rPr>
                <w:spacing w:val="-2"/>
                <w:sz w:val="20"/>
              </w:rPr>
              <w:t>$71.14/m x length of vessel, per month</w:t>
            </w:r>
          </w:p>
        </w:tc>
      </w:tr>
      <w:tr>
        <w:tc>
          <w:tcPr>
            <w:tcW w:w="3163" w:type="dxa"/>
          </w:tcPr>
          <w:p>
            <w:pPr>
              <w:pStyle w:val="yTable"/>
              <w:spacing w:before="0" w:after="100"/>
              <w:rPr>
                <w:b/>
                <w:spacing w:val="-2"/>
                <w:sz w:val="20"/>
              </w:rPr>
            </w:pPr>
            <w:r>
              <w:rPr>
                <w:b/>
                <w:spacing w:val="-2"/>
                <w:sz w:val="20"/>
              </w:rPr>
              <w:t>Use restricted to old pens/shared use of old Service Jetty for Extended Berthage</w:t>
            </w:r>
          </w:p>
        </w:tc>
        <w:tc>
          <w:tcPr>
            <w:tcW w:w="3794" w:type="dxa"/>
          </w:tcPr>
          <w:p>
            <w:pPr>
              <w:pStyle w:val="yTable"/>
              <w:spacing w:before="0" w:after="100"/>
              <w:rPr>
                <w:spacing w:val="-2"/>
                <w:sz w:val="20"/>
              </w:rPr>
            </w:pPr>
          </w:p>
        </w:tc>
      </w:tr>
      <w:tr>
        <w:tc>
          <w:tcPr>
            <w:tcW w:w="3163" w:type="dxa"/>
          </w:tcPr>
          <w:p>
            <w:pPr>
              <w:pStyle w:val="yTable"/>
              <w:tabs>
                <w:tab w:val="left" w:pos="244"/>
              </w:tabs>
              <w:spacing w:before="0" w:after="100"/>
              <w:ind w:left="244"/>
              <w:rPr>
                <w:spacing w:val="-2"/>
                <w:sz w:val="20"/>
              </w:rPr>
            </w:pPr>
            <w:r>
              <w:rPr>
                <w:b/>
                <w:spacing w:val="-2"/>
                <w:sz w:val="20"/>
              </w:rPr>
              <w:t>Annual Fee</w:t>
            </w:r>
          </w:p>
        </w:tc>
        <w:tc>
          <w:tcPr>
            <w:tcW w:w="3794" w:type="dxa"/>
          </w:tcPr>
          <w:p>
            <w:pPr>
              <w:pStyle w:val="yTable"/>
              <w:spacing w:before="0" w:after="100"/>
              <w:rPr>
                <w:spacing w:val="-2"/>
                <w:sz w:val="20"/>
              </w:rPr>
            </w:pPr>
            <w:r>
              <w:rPr>
                <w:spacing w:val="-2"/>
                <w:sz w:val="20"/>
              </w:rPr>
              <w:t xml:space="preserve">$284.57/m x length of vessel </w:t>
            </w:r>
          </w:p>
        </w:tc>
      </w:tr>
      <w:tr>
        <w:tc>
          <w:tcPr>
            <w:tcW w:w="3163" w:type="dxa"/>
          </w:tcPr>
          <w:p>
            <w:pPr>
              <w:pStyle w:val="yTable"/>
              <w:tabs>
                <w:tab w:val="left" w:pos="244"/>
                <w:tab w:val="left" w:pos="392"/>
              </w:tabs>
              <w:spacing w:before="0" w:after="100"/>
              <w:ind w:left="244"/>
              <w:rPr>
                <w:spacing w:val="-2"/>
                <w:sz w:val="20"/>
              </w:rPr>
            </w:pPr>
            <w:r>
              <w:rPr>
                <w:b/>
                <w:spacing w:val="-2"/>
                <w:sz w:val="20"/>
              </w:rPr>
              <w:t>Part Year Fee – 3 months or more, paid in advance</w:t>
            </w:r>
          </w:p>
        </w:tc>
        <w:tc>
          <w:tcPr>
            <w:tcW w:w="3794" w:type="dxa"/>
          </w:tcPr>
          <w:p>
            <w:pPr>
              <w:pStyle w:val="yTable"/>
              <w:spacing w:before="0" w:after="100"/>
              <w:rPr>
                <w:spacing w:val="-2"/>
                <w:sz w:val="20"/>
              </w:rPr>
            </w:pPr>
            <w:r>
              <w:rPr>
                <w:spacing w:val="-2"/>
                <w:sz w:val="20"/>
              </w:rPr>
              <w:br/>
              <w:t>$28.46/m x length of vessel, per month</w:t>
            </w:r>
          </w:p>
        </w:tc>
      </w:tr>
      <w:tr>
        <w:tc>
          <w:tcPr>
            <w:tcW w:w="3163" w:type="dxa"/>
          </w:tcPr>
          <w:p>
            <w:pPr>
              <w:pStyle w:val="yTable"/>
              <w:tabs>
                <w:tab w:val="left" w:pos="244"/>
              </w:tabs>
              <w:spacing w:before="0" w:after="100"/>
              <w:ind w:left="244"/>
              <w:rPr>
                <w:spacing w:val="-2"/>
                <w:sz w:val="20"/>
              </w:rPr>
            </w:pPr>
            <w:r>
              <w:rPr>
                <w:b/>
                <w:spacing w:val="-2"/>
                <w:sz w:val="20"/>
              </w:rPr>
              <w:t>Monthly Fee</w:t>
            </w:r>
          </w:p>
        </w:tc>
        <w:tc>
          <w:tcPr>
            <w:tcW w:w="3794" w:type="dxa"/>
          </w:tcPr>
          <w:p>
            <w:pPr>
              <w:pStyle w:val="yTable"/>
              <w:spacing w:before="0" w:after="100"/>
              <w:rPr>
                <w:spacing w:val="-2"/>
                <w:sz w:val="20"/>
              </w:rPr>
            </w:pPr>
            <w:r>
              <w:rPr>
                <w:spacing w:val="-2"/>
                <w:sz w:val="20"/>
              </w:rPr>
              <w:t>$56.91/m x length of vessel, per month</w:t>
            </w:r>
          </w:p>
        </w:tc>
      </w:tr>
      <w:tr>
        <w:tc>
          <w:tcPr>
            <w:tcW w:w="3163" w:type="dxa"/>
            <w:tcBorders>
              <w:bottom w:val="single" w:sz="4" w:space="0" w:color="auto"/>
            </w:tcBorders>
          </w:tcPr>
          <w:p>
            <w:pPr>
              <w:pStyle w:val="yTable"/>
              <w:tabs>
                <w:tab w:val="left" w:pos="244"/>
              </w:tabs>
              <w:spacing w:before="0" w:after="100"/>
              <w:ind w:left="244"/>
              <w:rPr>
                <w:spacing w:val="-2"/>
                <w:sz w:val="20"/>
              </w:rPr>
            </w:pPr>
            <w:r>
              <w:rPr>
                <w:b/>
                <w:spacing w:val="-2"/>
                <w:sz w:val="20"/>
              </w:rPr>
              <w:t>Weekly Fee</w:t>
            </w:r>
          </w:p>
        </w:tc>
        <w:tc>
          <w:tcPr>
            <w:tcW w:w="3794" w:type="dxa"/>
            <w:tcBorders>
              <w:bottom w:val="single" w:sz="4" w:space="0" w:color="auto"/>
            </w:tcBorders>
          </w:tcPr>
          <w:p>
            <w:pPr>
              <w:pStyle w:val="yTable"/>
              <w:spacing w:before="0" w:after="100"/>
              <w:rPr>
                <w:spacing w:val="-2"/>
                <w:sz w:val="20"/>
              </w:rPr>
            </w:pPr>
            <w:r>
              <w:rPr>
                <w:spacing w:val="-2"/>
                <w:sz w:val="20"/>
              </w:rPr>
              <w:t>$29.60/m x length of vessel, per week</w:t>
            </w:r>
          </w:p>
        </w:tc>
      </w:tr>
      <w:tr>
        <w:tc>
          <w:tcPr>
            <w:tcW w:w="3163" w:type="dxa"/>
            <w:tcBorders>
              <w:bottom w:val="single" w:sz="4" w:space="0" w:color="auto"/>
            </w:tcBorders>
          </w:tcPr>
          <w:p>
            <w:pPr>
              <w:pStyle w:val="yTable"/>
              <w:tabs>
                <w:tab w:val="left" w:pos="244"/>
              </w:tabs>
              <w:spacing w:before="0" w:after="100"/>
              <w:ind w:left="244"/>
              <w:rPr>
                <w:spacing w:val="-2"/>
                <w:sz w:val="20"/>
              </w:rPr>
            </w:pPr>
            <w:r>
              <w:rPr>
                <w:b/>
                <w:spacing w:val="-2"/>
                <w:sz w:val="20"/>
              </w:rPr>
              <w:t>Daily Casual Fee</w:t>
            </w:r>
          </w:p>
        </w:tc>
        <w:tc>
          <w:tcPr>
            <w:tcW w:w="3794" w:type="dxa"/>
            <w:tcBorders>
              <w:bottom w:val="single" w:sz="4" w:space="0" w:color="auto"/>
            </w:tcBorders>
          </w:tcPr>
          <w:p>
            <w:pPr>
              <w:pStyle w:val="yTable"/>
              <w:spacing w:before="0" w:after="100"/>
              <w:rPr>
                <w:spacing w:val="-2"/>
                <w:sz w:val="20"/>
              </w:rPr>
            </w:pPr>
            <w:r>
              <w:rPr>
                <w:spacing w:val="-2"/>
                <w:sz w:val="20"/>
              </w:rPr>
              <w:t>$5.92/m x length of vessel, per day</w:t>
            </w:r>
          </w:p>
        </w:tc>
      </w:tr>
    </w:tbl>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63"/>
        <w:gridCol w:w="3794"/>
      </w:tblGrid>
      <w:tr>
        <w:trPr>
          <w:cantSplit/>
        </w:trPr>
        <w:tc>
          <w:tcPr>
            <w:tcW w:w="6957" w:type="dxa"/>
            <w:gridSpan w:val="2"/>
            <w:tcBorders>
              <w:top w:val="nil"/>
              <w:left w:val="nil"/>
              <w:bottom w:val="nil"/>
              <w:right w:val="nil"/>
            </w:tcBorders>
          </w:tcPr>
          <w:p>
            <w:pPr>
              <w:pStyle w:val="yNumberedItem"/>
              <w:rPr>
                <w:snapToGrid w:val="0"/>
              </w:rPr>
            </w:pPr>
            <w:r>
              <w:t>Note:</w:t>
            </w:r>
            <w:r>
              <w:tab/>
              <w:t>If persons paying this annual fee wish to use the other (new) harbour berthing facilities, they have the option of upgrading their annual payment to the higher amount, or paying an additional daily casual fee.</w:t>
            </w:r>
          </w:p>
        </w:tc>
      </w:tr>
      <w:tr>
        <w:tc>
          <w:tcPr>
            <w:tcW w:w="3163" w:type="dxa"/>
            <w:tcBorders>
              <w:bottom w:val="single" w:sz="4" w:space="0" w:color="auto"/>
            </w:tcBorders>
          </w:tcPr>
          <w:p>
            <w:pPr>
              <w:pStyle w:val="yTable"/>
              <w:spacing w:before="0" w:after="100"/>
              <w:rPr>
                <w:spacing w:val="-2"/>
                <w:sz w:val="20"/>
              </w:rPr>
            </w:pPr>
            <w:r>
              <w:rPr>
                <w:b/>
                <w:spacing w:val="-2"/>
                <w:sz w:val="20"/>
              </w:rPr>
              <w:t>Electrical Power Charge:</w:t>
            </w:r>
            <w:r>
              <w:rPr>
                <w:spacing w:val="-2"/>
                <w:sz w:val="20"/>
              </w:rPr>
              <w:t xml:space="preserve"> (3</w:t>
            </w:r>
            <w:r>
              <w:rPr>
                <w:b/>
                <w:spacing w:val="-2"/>
                <w:sz w:val="20"/>
              </w:rPr>
              <w:noBreakHyphen/>
            </w:r>
            <w:r>
              <w:rPr>
                <w:spacing w:val="-2"/>
                <w:sz w:val="20"/>
              </w:rPr>
              <w:t>phase)</w:t>
            </w:r>
          </w:p>
          <w:p>
            <w:pPr>
              <w:pStyle w:val="yTable"/>
              <w:keepNext/>
              <w:keepLines/>
              <w:tabs>
                <w:tab w:val="left" w:pos="244"/>
              </w:tabs>
              <w:spacing w:before="0" w:after="80"/>
              <w:rPr>
                <w:spacing w:val="-2"/>
                <w:sz w:val="20"/>
              </w:rPr>
            </w:pPr>
            <w:r>
              <w:rPr>
                <w:spacing w:val="-2"/>
                <w:sz w:val="20"/>
              </w:rPr>
              <w:tab/>
              <w:t>If metered</w:t>
            </w:r>
          </w:p>
          <w:p>
            <w:pPr>
              <w:pStyle w:val="yTable"/>
              <w:keepNext/>
              <w:keepLines/>
              <w:tabs>
                <w:tab w:val="left" w:pos="527"/>
              </w:tabs>
              <w:spacing w:before="0" w:after="80"/>
              <w:rPr>
                <w:spacing w:val="-2"/>
                <w:sz w:val="20"/>
              </w:rPr>
            </w:pPr>
            <w:r>
              <w:rPr>
                <w:spacing w:val="-2"/>
                <w:sz w:val="20"/>
              </w:rPr>
              <w:tab/>
              <w:t xml:space="preserve">plus a meter reading fee of </w:t>
            </w:r>
          </w:p>
          <w:p>
            <w:pPr>
              <w:pStyle w:val="yTable"/>
              <w:tabs>
                <w:tab w:val="left" w:pos="244"/>
              </w:tabs>
              <w:spacing w:before="40" w:after="40"/>
              <w:rPr>
                <w:b/>
                <w:spacing w:val="-2"/>
                <w:sz w:val="20"/>
              </w:rPr>
            </w:pPr>
            <w:r>
              <w:rPr>
                <w:spacing w:val="-2"/>
                <w:sz w:val="20"/>
              </w:rPr>
              <w:tab/>
              <w:t>If unmetered</w:t>
            </w:r>
          </w:p>
        </w:tc>
        <w:tc>
          <w:tcPr>
            <w:tcW w:w="3794" w:type="dxa"/>
            <w:tcBorders>
              <w:bottom w:val="single" w:sz="4" w:space="0" w:color="auto"/>
            </w:tcBorders>
          </w:tcPr>
          <w:p>
            <w:pPr>
              <w:pStyle w:val="yTable"/>
              <w:spacing w:before="0" w:after="100"/>
              <w:rPr>
                <w:spacing w:val="-2"/>
                <w:sz w:val="20"/>
              </w:rPr>
            </w:pPr>
          </w:p>
          <w:p>
            <w:pPr>
              <w:pStyle w:val="yTable"/>
              <w:spacing w:before="0" w:after="80"/>
              <w:rPr>
                <w:spacing w:val="-2"/>
                <w:sz w:val="20"/>
              </w:rPr>
            </w:pPr>
            <w:r>
              <w:rPr>
                <w:spacing w:val="-2"/>
                <w:sz w:val="20"/>
              </w:rPr>
              <w:t>At cost</w:t>
            </w:r>
          </w:p>
          <w:p>
            <w:pPr>
              <w:pStyle w:val="yTable"/>
              <w:spacing w:before="0" w:after="80"/>
              <w:rPr>
                <w:spacing w:val="-2"/>
                <w:sz w:val="20"/>
              </w:rPr>
            </w:pPr>
            <w:r>
              <w:rPr>
                <w:spacing w:val="-2"/>
                <w:sz w:val="20"/>
              </w:rPr>
              <w:t>$11.86</w:t>
            </w:r>
          </w:p>
          <w:p>
            <w:pPr>
              <w:pStyle w:val="yTable"/>
              <w:spacing w:before="40" w:after="40"/>
              <w:rPr>
                <w:spacing w:val="-2"/>
                <w:sz w:val="20"/>
              </w:rPr>
            </w:pPr>
            <w:r>
              <w:rPr>
                <w:spacing w:val="-2"/>
                <w:sz w:val="20"/>
              </w:rPr>
              <w:t>$23.71/12 hour period or part of a 12 hour period</w:t>
            </w:r>
          </w:p>
        </w:tc>
      </w:tr>
    </w:tbl>
    <w:p>
      <w:pPr>
        <w:pStyle w:val="yHeading4"/>
      </w:pPr>
      <w:bookmarkStart w:id="706" w:name="_Toc170210289"/>
      <w:r>
        <w:t>Subdivision 15</w:t>
      </w:r>
      <w:r>
        <w:rPr>
          <w:b w:val="0"/>
        </w:rPr>
        <w:t> — </w:t>
      </w:r>
      <w:r>
        <w:t>Jurien Boat Harbour</w:t>
      </w:r>
      <w:bookmarkEnd w:id="706"/>
    </w:p>
    <w:p>
      <w:pPr>
        <w:pStyle w:val="yFootnoteheading"/>
      </w:pPr>
      <w:r>
        <w:tab/>
        <w:t>[Heading inserted in Gazette 24 Jun 2005 p. 2842.]</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2043"/>
        <w:gridCol w:w="1134"/>
        <w:gridCol w:w="1134"/>
        <w:gridCol w:w="2632"/>
      </w:tblGrid>
      <w:tr>
        <w:trPr>
          <w:cantSplit/>
        </w:trPr>
        <w:tc>
          <w:tcPr>
            <w:tcW w:w="6943" w:type="dxa"/>
            <w:gridSpan w:val="4"/>
          </w:tcPr>
          <w:p>
            <w:pPr>
              <w:pStyle w:val="yTable"/>
              <w:spacing w:before="40"/>
              <w:ind w:left="1332" w:hanging="1332"/>
              <w:rPr>
                <w:spacing w:val="-2"/>
                <w:sz w:val="20"/>
              </w:rPr>
            </w:pPr>
            <w:r>
              <w:rPr>
                <w:b/>
                <w:sz w:val="20"/>
              </w:rPr>
              <w:t>Standard Fees</w:t>
            </w:r>
            <w:r>
              <w:rPr>
                <w:sz w:val="20"/>
              </w:rPr>
              <w:t> </w:t>
            </w:r>
            <w:r>
              <w:rPr>
                <w:spacing w:val="-2"/>
                <w:sz w:val="20"/>
              </w:rPr>
              <w:t>(</w:t>
            </w:r>
            <w:r>
              <w:rPr>
                <w:i/>
                <w:spacing w:val="-2"/>
                <w:sz w:val="20"/>
              </w:rPr>
              <w:t>subject to a minimum chargeable length relative to the size of the pen, as set out below</w:t>
            </w:r>
            <w:r>
              <w:rPr>
                <w:spacing w:val="-2"/>
                <w:sz w:val="20"/>
              </w:rPr>
              <w:t>)</w:t>
            </w:r>
          </w:p>
        </w:tc>
      </w:tr>
      <w:tr>
        <w:tblPrEx>
          <w:tblBorders>
            <w:bottom w:val="double" w:sz="4" w:space="0" w:color="auto"/>
          </w:tblBorders>
        </w:tblPrEx>
        <w:trPr>
          <w:cantSplit/>
          <w:trHeight w:val="300"/>
        </w:trPr>
        <w:tc>
          <w:tcPr>
            <w:tcW w:w="2043" w:type="dxa"/>
            <w:vMerge w:val="restart"/>
          </w:tcPr>
          <w:p>
            <w:pPr>
              <w:pStyle w:val="yTable"/>
              <w:spacing w:before="40"/>
              <w:rPr>
                <w:b/>
                <w:spacing w:val="-2"/>
                <w:sz w:val="20"/>
              </w:rPr>
            </w:pPr>
            <w:r>
              <w:rPr>
                <w:sz w:val="24"/>
              </w:rPr>
              <w:br w:type="page"/>
            </w:r>
            <w:r>
              <w:rPr>
                <w:i/>
                <w:spacing w:val="-2"/>
                <w:sz w:val="20"/>
              </w:rPr>
              <w:t>Minimum chargeable length when calculating fee for pens of a particular size</w:t>
            </w:r>
          </w:p>
        </w:tc>
        <w:tc>
          <w:tcPr>
            <w:tcW w:w="2268" w:type="dxa"/>
            <w:gridSpan w:val="2"/>
          </w:tcPr>
          <w:p>
            <w:pPr>
              <w:pStyle w:val="yTable"/>
              <w:keepNext/>
              <w:keepLines/>
              <w:spacing w:before="40"/>
              <w:rPr>
                <w:spacing w:val="-2"/>
                <w:sz w:val="20"/>
              </w:rPr>
            </w:pPr>
            <w:r>
              <w:rPr>
                <w:spacing w:val="-2"/>
                <w:sz w:val="20"/>
              </w:rPr>
              <w:t>10 m pen</w:t>
            </w:r>
          </w:p>
        </w:tc>
        <w:tc>
          <w:tcPr>
            <w:tcW w:w="2632" w:type="dxa"/>
          </w:tcPr>
          <w:p>
            <w:pPr>
              <w:pStyle w:val="yTable"/>
              <w:keepNext/>
              <w:keepLines/>
              <w:spacing w:before="40"/>
              <w:rPr>
                <w:spacing w:val="-2"/>
                <w:sz w:val="20"/>
              </w:rPr>
            </w:pPr>
            <w:r>
              <w:rPr>
                <w:spacing w:val="-2"/>
                <w:sz w:val="20"/>
              </w:rPr>
              <w:t>at least 8 m</w:t>
            </w:r>
          </w:p>
        </w:tc>
      </w:tr>
      <w:tr>
        <w:tblPrEx>
          <w:tblBorders>
            <w:bottom w:val="double" w:sz="4" w:space="0" w:color="auto"/>
          </w:tblBorders>
        </w:tblPrEx>
        <w:trPr>
          <w:cantSplit/>
          <w:trHeight w:val="300"/>
        </w:trPr>
        <w:tc>
          <w:tcPr>
            <w:tcW w:w="2043" w:type="dxa"/>
            <w:vMerge/>
          </w:tcPr>
          <w:p>
            <w:pPr>
              <w:pStyle w:val="yTable"/>
              <w:keepNext/>
              <w:keepLines/>
              <w:spacing w:before="40" w:after="40"/>
              <w:rPr>
                <w:b/>
                <w:spacing w:val="-2"/>
                <w:sz w:val="20"/>
              </w:rPr>
            </w:pPr>
          </w:p>
        </w:tc>
        <w:tc>
          <w:tcPr>
            <w:tcW w:w="2268" w:type="dxa"/>
            <w:gridSpan w:val="2"/>
          </w:tcPr>
          <w:p>
            <w:pPr>
              <w:pStyle w:val="yTable"/>
              <w:spacing w:before="40"/>
              <w:rPr>
                <w:spacing w:val="-2"/>
                <w:sz w:val="20"/>
              </w:rPr>
            </w:pPr>
            <w:r>
              <w:rPr>
                <w:spacing w:val="-2"/>
                <w:sz w:val="20"/>
              </w:rPr>
              <w:t>15 m pen</w:t>
            </w:r>
          </w:p>
        </w:tc>
        <w:tc>
          <w:tcPr>
            <w:tcW w:w="2632" w:type="dxa"/>
          </w:tcPr>
          <w:p>
            <w:pPr>
              <w:pStyle w:val="yTable"/>
              <w:spacing w:before="40"/>
              <w:rPr>
                <w:spacing w:val="-2"/>
                <w:sz w:val="20"/>
              </w:rPr>
            </w:pPr>
            <w:r>
              <w:rPr>
                <w:spacing w:val="-2"/>
                <w:sz w:val="20"/>
              </w:rPr>
              <w:t>at least 12 m</w:t>
            </w:r>
          </w:p>
        </w:tc>
      </w:tr>
      <w:tr>
        <w:tblPrEx>
          <w:tblBorders>
            <w:bottom w:val="double" w:sz="4" w:space="0" w:color="auto"/>
          </w:tblBorders>
        </w:tblPrEx>
        <w:trPr>
          <w:cantSplit/>
          <w:trHeight w:val="285"/>
        </w:trPr>
        <w:tc>
          <w:tcPr>
            <w:tcW w:w="2043" w:type="dxa"/>
            <w:vMerge/>
          </w:tcPr>
          <w:p>
            <w:pPr>
              <w:pStyle w:val="yTable"/>
              <w:keepNext/>
              <w:keepLines/>
              <w:spacing w:before="40" w:after="40"/>
              <w:rPr>
                <w:b/>
                <w:spacing w:val="-2"/>
                <w:sz w:val="20"/>
              </w:rPr>
            </w:pPr>
          </w:p>
        </w:tc>
        <w:tc>
          <w:tcPr>
            <w:tcW w:w="2268" w:type="dxa"/>
            <w:gridSpan w:val="2"/>
          </w:tcPr>
          <w:p>
            <w:pPr>
              <w:pStyle w:val="yTable"/>
              <w:spacing w:before="40"/>
              <w:rPr>
                <w:spacing w:val="-2"/>
                <w:sz w:val="20"/>
              </w:rPr>
            </w:pPr>
            <w:r>
              <w:rPr>
                <w:spacing w:val="-2"/>
                <w:sz w:val="20"/>
              </w:rPr>
              <w:t>18 m pen</w:t>
            </w:r>
          </w:p>
        </w:tc>
        <w:tc>
          <w:tcPr>
            <w:tcW w:w="2632" w:type="dxa"/>
          </w:tcPr>
          <w:p>
            <w:pPr>
              <w:pStyle w:val="yTable"/>
              <w:spacing w:before="40"/>
              <w:rPr>
                <w:spacing w:val="-2"/>
                <w:sz w:val="20"/>
              </w:rPr>
            </w:pPr>
            <w:r>
              <w:rPr>
                <w:spacing w:val="-2"/>
                <w:sz w:val="20"/>
              </w:rPr>
              <w:t>at least 14.4 m</w:t>
            </w:r>
          </w:p>
        </w:tc>
      </w:tr>
      <w:tr>
        <w:trPr>
          <w:cantSplit/>
        </w:trPr>
        <w:tc>
          <w:tcPr>
            <w:tcW w:w="2043" w:type="dxa"/>
            <w:vMerge/>
          </w:tcPr>
          <w:p>
            <w:pPr>
              <w:pStyle w:val="yTable"/>
              <w:spacing w:before="40" w:after="40"/>
              <w:rPr>
                <w:spacing w:val="-2"/>
                <w:sz w:val="20"/>
              </w:rPr>
            </w:pPr>
          </w:p>
        </w:tc>
        <w:tc>
          <w:tcPr>
            <w:tcW w:w="2268" w:type="dxa"/>
            <w:gridSpan w:val="2"/>
          </w:tcPr>
          <w:p>
            <w:pPr>
              <w:pStyle w:val="yTable"/>
              <w:spacing w:before="40"/>
              <w:rPr>
                <w:spacing w:val="-2"/>
                <w:sz w:val="20"/>
              </w:rPr>
            </w:pPr>
            <w:r>
              <w:rPr>
                <w:spacing w:val="-2"/>
                <w:sz w:val="20"/>
              </w:rPr>
              <w:t>20 m pen</w:t>
            </w:r>
          </w:p>
        </w:tc>
        <w:tc>
          <w:tcPr>
            <w:tcW w:w="2632" w:type="dxa"/>
          </w:tcPr>
          <w:p>
            <w:pPr>
              <w:pStyle w:val="yTable"/>
              <w:spacing w:before="40"/>
              <w:rPr>
                <w:spacing w:val="-2"/>
                <w:sz w:val="20"/>
              </w:rPr>
            </w:pPr>
            <w:r>
              <w:rPr>
                <w:spacing w:val="-2"/>
                <w:sz w:val="20"/>
              </w:rPr>
              <w:t>at least 16 m</w:t>
            </w:r>
          </w:p>
        </w:tc>
      </w:tr>
      <w:tr>
        <w:tc>
          <w:tcPr>
            <w:tcW w:w="3177" w:type="dxa"/>
            <w:gridSpan w:val="2"/>
          </w:tcPr>
          <w:p>
            <w:pPr>
              <w:pStyle w:val="yTable"/>
              <w:spacing w:before="40"/>
              <w:ind w:left="-26" w:firstLine="26"/>
              <w:rPr>
                <w:spacing w:val="-2"/>
                <w:sz w:val="20"/>
              </w:rPr>
            </w:pPr>
            <w:r>
              <w:rPr>
                <w:b/>
                <w:spacing w:val="-2"/>
                <w:sz w:val="20"/>
              </w:rPr>
              <w:t>Annual Fee</w:t>
            </w:r>
          </w:p>
        </w:tc>
        <w:tc>
          <w:tcPr>
            <w:tcW w:w="3766" w:type="dxa"/>
            <w:gridSpan w:val="2"/>
          </w:tcPr>
          <w:p>
            <w:pPr>
              <w:pStyle w:val="yTable"/>
              <w:spacing w:before="40"/>
              <w:rPr>
                <w:spacing w:val="-2"/>
                <w:sz w:val="20"/>
              </w:rPr>
            </w:pPr>
          </w:p>
        </w:tc>
      </w:tr>
      <w:tr>
        <w:tc>
          <w:tcPr>
            <w:tcW w:w="3177" w:type="dxa"/>
            <w:gridSpan w:val="2"/>
          </w:tcPr>
          <w:p>
            <w:pPr>
              <w:pStyle w:val="yTable"/>
              <w:tabs>
                <w:tab w:val="left" w:pos="767"/>
              </w:tabs>
              <w:spacing w:before="40"/>
              <w:ind w:left="258"/>
              <w:rPr>
                <w:bCs/>
                <w:spacing w:val="-2"/>
                <w:sz w:val="20"/>
              </w:rPr>
            </w:pPr>
            <w:r>
              <w:rPr>
                <w:bCs/>
                <w:spacing w:val="-2"/>
                <w:sz w:val="20"/>
              </w:rPr>
              <w:t>Commercial vessels</w:t>
            </w:r>
          </w:p>
        </w:tc>
        <w:tc>
          <w:tcPr>
            <w:tcW w:w="3766" w:type="dxa"/>
            <w:gridSpan w:val="2"/>
          </w:tcPr>
          <w:p>
            <w:pPr>
              <w:pStyle w:val="yTable"/>
              <w:spacing w:before="40"/>
              <w:rPr>
                <w:spacing w:val="-2"/>
                <w:sz w:val="20"/>
              </w:rPr>
            </w:pPr>
            <w:r>
              <w:rPr>
                <w:spacing w:val="-2"/>
                <w:sz w:val="20"/>
              </w:rPr>
              <w:t>$161.17/m x length of vessel</w:t>
            </w:r>
          </w:p>
        </w:tc>
      </w:tr>
      <w:tr>
        <w:tc>
          <w:tcPr>
            <w:tcW w:w="3177" w:type="dxa"/>
            <w:gridSpan w:val="2"/>
          </w:tcPr>
          <w:p>
            <w:pPr>
              <w:pStyle w:val="yTable"/>
              <w:tabs>
                <w:tab w:val="left" w:pos="767"/>
              </w:tabs>
              <w:spacing w:before="40"/>
              <w:ind w:left="258"/>
              <w:rPr>
                <w:bCs/>
                <w:spacing w:val="-2"/>
                <w:sz w:val="20"/>
              </w:rPr>
            </w:pPr>
            <w:r>
              <w:rPr>
                <w:bCs/>
                <w:spacing w:val="-2"/>
                <w:sz w:val="20"/>
              </w:rPr>
              <w:t>Recreational vessels</w:t>
            </w:r>
          </w:p>
        </w:tc>
        <w:tc>
          <w:tcPr>
            <w:tcW w:w="3766" w:type="dxa"/>
            <w:gridSpan w:val="2"/>
          </w:tcPr>
          <w:p>
            <w:pPr>
              <w:pStyle w:val="yTable"/>
              <w:spacing w:before="40"/>
              <w:rPr>
                <w:spacing w:val="-2"/>
                <w:sz w:val="20"/>
              </w:rPr>
            </w:pPr>
            <w:r>
              <w:rPr>
                <w:spacing w:val="-2"/>
                <w:sz w:val="20"/>
              </w:rPr>
              <w:t>$161.17/m x length of vessel</w:t>
            </w:r>
          </w:p>
        </w:tc>
      </w:tr>
      <w:tr>
        <w:tc>
          <w:tcPr>
            <w:tcW w:w="3177" w:type="dxa"/>
            <w:gridSpan w:val="2"/>
          </w:tcPr>
          <w:p>
            <w:pPr>
              <w:pStyle w:val="yTable"/>
              <w:spacing w:before="40"/>
              <w:rPr>
                <w:spacing w:val="-2"/>
                <w:sz w:val="20"/>
              </w:rPr>
            </w:pPr>
            <w:r>
              <w:rPr>
                <w:b/>
                <w:spacing w:val="-2"/>
                <w:sz w:val="20"/>
              </w:rPr>
              <w:t>Part Year Fee – 3 months or more, paid in advance</w:t>
            </w:r>
          </w:p>
        </w:tc>
        <w:tc>
          <w:tcPr>
            <w:tcW w:w="3766" w:type="dxa"/>
            <w:gridSpan w:val="2"/>
          </w:tcPr>
          <w:p>
            <w:pPr>
              <w:pStyle w:val="yTable"/>
              <w:spacing w:before="40"/>
              <w:rPr>
                <w:spacing w:val="-2"/>
                <w:sz w:val="20"/>
              </w:rPr>
            </w:pPr>
          </w:p>
        </w:tc>
      </w:tr>
      <w:tr>
        <w:tc>
          <w:tcPr>
            <w:tcW w:w="3177" w:type="dxa"/>
            <w:gridSpan w:val="2"/>
          </w:tcPr>
          <w:p>
            <w:pPr>
              <w:pStyle w:val="yTable"/>
              <w:tabs>
                <w:tab w:val="left" w:pos="767"/>
              </w:tabs>
              <w:spacing w:before="40"/>
              <w:ind w:left="258"/>
              <w:rPr>
                <w:bCs/>
                <w:spacing w:val="-2"/>
                <w:sz w:val="20"/>
              </w:rPr>
            </w:pPr>
            <w:r>
              <w:rPr>
                <w:bCs/>
                <w:spacing w:val="-2"/>
                <w:sz w:val="20"/>
              </w:rPr>
              <w:t>Commercial vessels</w:t>
            </w:r>
          </w:p>
        </w:tc>
        <w:tc>
          <w:tcPr>
            <w:tcW w:w="3766" w:type="dxa"/>
            <w:gridSpan w:val="2"/>
          </w:tcPr>
          <w:p>
            <w:pPr>
              <w:pStyle w:val="yTable"/>
              <w:spacing w:before="40"/>
              <w:rPr>
                <w:spacing w:val="-2"/>
                <w:sz w:val="20"/>
              </w:rPr>
            </w:pPr>
            <w:r>
              <w:rPr>
                <w:spacing w:val="-2"/>
                <w:sz w:val="20"/>
              </w:rPr>
              <w:t>$16.12/m x length of vessel, per month</w:t>
            </w:r>
          </w:p>
        </w:tc>
      </w:tr>
      <w:tr>
        <w:tc>
          <w:tcPr>
            <w:tcW w:w="3177" w:type="dxa"/>
            <w:gridSpan w:val="2"/>
          </w:tcPr>
          <w:p>
            <w:pPr>
              <w:pStyle w:val="yTable"/>
              <w:tabs>
                <w:tab w:val="left" w:pos="767"/>
              </w:tabs>
              <w:spacing w:before="40"/>
              <w:ind w:left="258"/>
              <w:rPr>
                <w:bCs/>
                <w:spacing w:val="-2"/>
                <w:sz w:val="20"/>
              </w:rPr>
            </w:pPr>
            <w:r>
              <w:rPr>
                <w:bCs/>
                <w:spacing w:val="-2"/>
                <w:sz w:val="20"/>
              </w:rPr>
              <w:t>Recreational vessels</w:t>
            </w:r>
          </w:p>
        </w:tc>
        <w:tc>
          <w:tcPr>
            <w:tcW w:w="3766" w:type="dxa"/>
            <w:gridSpan w:val="2"/>
          </w:tcPr>
          <w:p>
            <w:pPr>
              <w:pStyle w:val="yTable"/>
              <w:spacing w:before="40"/>
              <w:rPr>
                <w:spacing w:val="-2"/>
                <w:sz w:val="20"/>
              </w:rPr>
            </w:pPr>
            <w:r>
              <w:rPr>
                <w:spacing w:val="-2"/>
                <w:sz w:val="20"/>
              </w:rPr>
              <w:t>$16.12/m x length of vessel, per month</w:t>
            </w:r>
          </w:p>
        </w:tc>
      </w:tr>
      <w:tr>
        <w:tc>
          <w:tcPr>
            <w:tcW w:w="3177" w:type="dxa"/>
            <w:gridSpan w:val="2"/>
          </w:tcPr>
          <w:p>
            <w:pPr>
              <w:pStyle w:val="yTable"/>
              <w:spacing w:before="40"/>
              <w:rPr>
                <w:spacing w:val="-2"/>
                <w:sz w:val="20"/>
              </w:rPr>
            </w:pPr>
            <w:r>
              <w:rPr>
                <w:b/>
                <w:spacing w:val="-2"/>
                <w:sz w:val="20"/>
              </w:rPr>
              <w:t>Monthly Fee</w:t>
            </w:r>
          </w:p>
        </w:tc>
        <w:tc>
          <w:tcPr>
            <w:tcW w:w="3766" w:type="dxa"/>
            <w:gridSpan w:val="2"/>
          </w:tcPr>
          <w:p>
            <w:pPr>
              <w:pStyle w:val="yTable"/>
              <w:spacing w:before="40"/>
              <w:rPr>
                <w:spacing w:val="-2"/>
                <w:sz w:val="20"/>
              </w:rPr>
            </w:pPr>
          </w:p>
        </w:tc>
      </w:tr>
      <w:tr>
        <w:tc>
          <w:tcPr>
            <w:tcW w:w="3177" w:type="dxa"/>
            <w:gridSpan w:val="2"/>
          </w:tcPr>
          <w:p>
            <w:pPr>
              <w:pStyle w:val="yTable"/>
              <w:spacing w:before="40"/>
              <w:ind w:left="258"/>
              <w:rPr>
                <w:bCs/>
                <w:spacing w:val="-2"/>
                <w:sz w:val="20"/>
              </w:rPr>
            </w:pPr>
            <w:r>
              <w:rPr>
                <w:bCs/>
                <w:spacing w:val="-2"/>
                <w:sz w:val="20"/>
              </w:rPr>
              <w:t>Commercial vessels</w:t>
            </w:r>
          </w:p>
        </w:tc>
        <w:tc>
          <w:tcPr>
            <w:tcW w:w="3766" w:type="dxa"/>
            <w:gridSpan w:val="2"/>
          </w:tcPr>
          <w:p>
            <w:pPr>
              <w:pStyle w:val="yTable"/>
              <w:spacing w:before="40"/>
              <w:rPr>
                <w:spacing w:val="-2"/>
                <w:sz w:val="20"/>
              </w:rPr>
            </w:pPr>
            <w:r>
              <w:rPr>
                <w:spacing w:val="-2"/>
                <w:sz w:val="20"/>
              </w:rPr>
              <w:t>$32.23/m x length of vessel, per month</w:t>
            </w:r>
          </w:p>
        </w:tc>
      </w:tr>
      <w:tr>
        <w:tc>
          <w:tcPr>
            <w:tcW w:w="3177" w:type="dxa"/>
            <w:gridSpan w:val="2"/>
          </w:tcPr>
          <w:p>
            <w:pPr>
              <w:pStyle w:val="yTable"/>
              <w:spacing w:before="40"/>
              <w:ind w:left="258"/>
              <w:rPr>
                <w:bCs/>
                <w:spacing w:val="-2"/>
                <w:sz w:val="20"/>
              </w:rPr>
            </w:pPr>
            <w:r>
              <w:rPr>
                <w:bCs/>
                <w:spacing w:val="-2"/>
                <w:sz w:val="20"/>
              </w:rPr>
              <w:t>Recreational vessels</w:t>
            </w:r>
          </w:p>
        </w:tc>
        <w:tc>
          <w:tcPr>
            <w:tcW w:w="3766" w:type="dxa"/>
            <w:gridSpan w:val="2"/>
          </w:tcPr>
          <w:p>
            <w:pPr>
              <w:pStyle w:val="yTable"/>
              <w:spacing w:before="40"/>
              <w:rPr>
                <w:spacing w:val="-2"/>
                <w:sz w:val="20"/>
              </w:rPr>
            </w:pPr>
            <w:r>
              <w:rPr>
                <w:spacing w:val="-2"/>
                <w:sz w:val="20"/>
              </w:rPr>
              <w:t>$32.23/m x length of vessel, per month</w:t>
            </w:r>
          </w:p>
        </w:tc>
      </w:tr>
      <w:tr>
        <w:tc>
          <w:tcPr>
            <w:tcW w:w="3177" w:type="dxa"/>
            <w:gridSpan w:val="2"/>
            <w:tcBorders>
              <w:bottom w:val="single" w:sz="4" w:space="0" w:color="auto"/>
            </w:tcBorders>
          </w:tcPr>
          <w:p>
            <w:pPr>
              <w:pStyle w:val="yTable"/>
              <w:spacing w:before="40" w:after="40"/>
              <w:rPr>
                <w:spacing w:val="-2"/>
                <w:sz w:val="20"/>
              </w:rPr>
            </w:pPr>
            <w:r>
              <w:rPr>
                <w:b/>
                <w:spacing w:val="-2"/>
                <w:sz w:val="20"/>
              </w:rPr>
              <w:t>Weekly Fee</w:t>
            </w:r>
          </w:p>
        </w:tc>
        <w:tc>
          <w:tcPr>
            <w:tcW w:w="3766" w:type="dxa"/>
            <w:gridSpan w:val="2"/>
            <w:tcBorders>
              <w:bottom w:val="single" w:sz="4" w:space="0" w:color="auto"/>
            </w:tcBorders>
          </w:tcPr>
          <w:p>
            <w:pPr>
              <w:pStyle w:val="yTable"/>
              <w:spacing w:before="40" w:after="40"/>
              <w:rPr>
                <w:spacing w:val="-2"/>
                <w:sz w:val="20"/>
              </w:rPr>
            </w:pPr>
          </w:p>
        </w:tc>
      </w:tr>
      <w:tr>
        <w:tc>
          <w:tcPr>
            <w:tcW w:w="3177" w:type="dxa"/>
            <w:gridSpan w:val="2"/>
          </w:tcPr>
          <w:p>
            <w:pPr>
              <w:pStyle w:val="yTable"/>
              <w:spacing w:before="40"/>
              <w:ind w:left="258"/>
              <w:rPr>
                <w:bCs/>
                <w:spacing w:val="-2"/>
                <w:sz w:val="20"/>
              </w:rPr>
            </w:pPr>
            <w:r>
              <w:rPr>
                <w:bCs/>
                <w:spacing w:val="-2"/>
                <w:sz w:val="20"/>
              </w:rPr>
              <w:t>Commercial vessels</w:t>
            </w:r>
          </w:p>
        </w:tc>
        <w:tc>
          <w:tcPr>
            <w:tcW w:w="3766" w:type="dxa"/>
            <w:gridSpan w:val="2"/>
          </w:tcPr>
          <w:p>
            <w:pPr>
              <w:pStyle w:val="yTable"/>
              <w:spacing w:before="40"/>
              <w:rPr>
                <w:spacing w:val="-2"/>
                <w:sz w:val="20"/>
              </w:rPr>
            </w:pPr>
            <w:r>
              <w:rPr>
                <w:spacing w:val="-2"/>
                <w:sz w:val="20"/>
              </w:rPr>
              <w:t>$28.80/m x length of vessel, per week</w:t>
            </w:r>
          </w:p>
        </w:tc>
      </w:tr>
      <w:tr>
        <w:tc>
          <w:tcPr>
            <w:tcW w:w="3177" w:type="dxa"/>
            <w:gridSpan w:val="2"/>
          </w:tcPr>
          <w:p>
            <w:pPr>
              <w:pStyle w:val="yTable"/>
              <w:spacing w:before="40"/>
              <w:ind w:left="258"/>
              <w:rPr>
                <w:bCs/>
                <w:spacing w:val="-2"/>
                <w:sz w:val="20"/>
              </w:rPr>
            </w:pPr>
            <w:r>
              <w:rPr>
                <w:bCs/>
                <w:spacing w:val="-2"/>
                <w:sz w:val="20"/>
              </w:rPr>
              <w:t>Recreational vessels</w:t>
            </w:r>
          </w:p>
        </w:tc>
        <w:tc>
          <w:tcPr>
            <w:tcW w:w="3766" w:type="dxa"/>
            <w:gridSpan w:val="2"/>
          </w:tcPr>
          <w:p>
            <w:pPr>
              <w:pStyle w:val="yTable"/>
              <w:spacing w:before="40"/>
              <w:rPr>
                <w:spacing w:val="-2"/>
                <w:sz w:val="20"/>
              </w:rPr>
            </w:pPr>
            <w:r>
              <w:rPr>
                <w:spacing w:val="-2"/>
                <w:sz w:val="20"/>
              </w:rPr>
              <w:t>$19.25/m x length of vessel, per week</w:t>
            </w:r>
          </w:p>
        </w:tc>
      </w:tr>
      <w:tr>
        <w:tc>
          <w:tcPr>
            <w:tcW w:w="3177" w:type="dxa"/>
            <w:gridSpan w:val="2"/>
            <w:tcBorders>
              <w:bottom w:val="single" w:sz="4" w:space="0" w:color="auto"/>
            </w:tcBorders>
          </w:tcPr>
          <w:p>
            <w:pPr>
              <w:pStyle w:val="yTable"/>
              <w:spacing w:before="40"/>
              <w:ind w:left="483" w:hanging="483"/>
              <w:rPr>
                <w:b/>
                <w:spacing w:val="-2"/>
                <w:sz w:val="20"/>
              </w:rPr>
            </w:pPr>
            <w:r>
              <w:rPr>
                <w:b/>
                <w:spacing w:val="-2"/>
                <w:sz w:val="20"/>
              </w:rPr>
              <w:t xml:space="preserve">3 Day Fee </w:t>
            </w:r>
            <w:r>
              <w:rPr>
                <w:bCs/>
                <w:spacing w:val="-2"/>
                <w:sz w:val="20"/>
              </w:rPr>
              <w:t>(recreational vessel)</w:t>
            </w:r>
          </w:p>
        </w:tc>
        <w:tc>
          <w:tcPr>
            <w:tcW w:w="3766" w:type="dxa"/>
            <w:gridSpan w:val="2"/>
            <w:tcBorders>
              <w:bottom w:val="single" w:sz="4" w:space="0" w:color="auto"/>
            </w:tcBorders>
          </w:tcPr>
          <w:p>
            <w:pPr>
              <w:pStyle w:val="yTable"/>
              <w:spacing w:before="40"/>
              <w:rPr>
                <w:spacing w:val="-2"/>
                <w:sz w:val="20"/>
              </w:rPr>
            </w:pPr>
            <w:r>
              <w:rPr>
                <w:spacing w:val="-2"/>
                <w:sz w:val="20"/>
              </w:rPr>
              <w:t>$7.70/m x length of vessel, per 3 day period</w:t>
            </w:r>
          </w:p>
        </w:tc>
      </w:tr>
      <w:tr>
        <w:tc>
          <w:tcPr>
            <w:tcW w:w="3177" w:type="dxa"/>
            <w:gridSpan w:val="2"/>
            <w:tcBorders>
              <w:bottom w:val="single" w:sz="4" w:space="0" w:color="auto"/>
            </w:tcBorders>
          </w:tcPr>
          <w:p>
            <w:pPr>
              <w:pStyle w:val="yTable"/>
              <w:spacing w:before="40"/>
              <w:ind w:left="483" w:hanging="483"/>
              <w:rPr>
                <w:spacing w:val="-2"/>
                <w:sz w:val="20"/>
              </w:rPr>
            </w:pPr>
            <w:r>
              <w:rPr>
                <w:b/>
                <w:spacing w:val="-2"/>
                <w:sz w:val="20"/>
              </w:rPr>
              <w:t>Daily Casual Fee</w:t>
            </w:r>
          </w:p>
        </w:tc>
        <w:tc>
          <w:tcPr>
            <w:tcW w:w="3766" w:type="dxa"/>
            <w:gridSpan w:val="2"/>
            <w:tcBorders>
              <w:bottom w:val="single" w:sz="4" w:space="0" w:color="auto"/>
            </w:tcBorders>
          </w:tcPr>
          <w:p>
            <w:pPr>
              <w:pStyle w:val="yTable"/>
              <w:spacing w:before="40"/>
              <w:rPr>
                <w:spacing w:val="-2"/>
                <w:sz w:val="20"/>
              </w:rPr>
            </w:pPr>
          </w:p>
        </w:tc>
      </w:tr>
      <w:tr>
        <w:tc>
          <w:tcPr>
            <w:tcW w:w="3177" w:type="dxa"/>
            <w:gridSpan w:val="2"/>
          </w:tcPr>
          <w:p>
            <w:pPr>
              <w:pStyle w:val="yTable"/>
              <w:spacing w:before="40"/>
              <w:ind w:left="258"/>
              <w:rPr>
                <w:bCs/>
                <w:spacing w:val="-2"/>
                <w:sz w:val="20"/>
              </w:rPr>
            </w:pPr>
            <w:r>
              <w:rPr>
                <w:bCs/>
                <w:spacing w:val="-2"/>
                <w:sz w:val="20"/>
              </w:rPr>
              <w:t>Commercial vessels</w:t>
            </w:r>
          </w:p>
        </w:tc>
        <w:tc>
          <w:tcPr>
            <w:tcW w:w="3766" w:type="dxa"/>
            <w:gridSpan w:val="2"/>
          </w:tcPr>
          <w:p>
            <w:pPr>
              <w:pStyle w:val="yTable"/>
              <w:spacing w:before="40"/>
              <w:rPr>
                <w:spacing w:val="-2"/>
                <w:sz w:val="20"/>
              </w:rPr>
            </w:pPr>
            <w:r>
              <w:rPr>
                <w:spacing w:val="-2"/>
                <w:sz w:val="20"/>
              </w:rPr>
              <w:t>$5.76/m x length of vessel, per day</w:t>
            </w:r>
          </w:p>
        </w:tc>
      </w:tr>
      <w:tr>
        <w:tc>
          <w:tcPr>
            <w:tcW w:w="3177" w:type="dxa"/>
            <w:gridSpan w:val="2"/>
          </w:tcPr>
          <w:p>
            <w:pPr>
              <w:pStyle w:val="yTable"/>
              <w:spacing w:before="40"/>
              <w:ind w:left="258"/>
              <w:rPr>
                <w:bCs/>
                <w:spacing w:val="-2"/>
                <w:sz w:val="20"/>
              </w:rPr>
            </w:pPr>
            <w:r>
              <w:rPr>
                <w:bCs/>
                <w:spacing w:val="-2"/>
                <w:sz w:val="20"/>
              </w:rPr>
              <w:t>Recreational vessels</w:t>
            </w:r>
          </w:p>
        </w:tc>
        <w:tc>
          <w:tcPr>
            <w:tcW w:w="3766" w:type="dxa"/>
            <w:gridSpan w:val="2"/>
          </w:tcPr>
          <w:p>
            <w:pPr>
              <w:pStyle w:val="yTable"/>
              <w:spacing w:before="40"/>
              <w:rPr>
                <w:spacing w:val="-2"/>
                <w:sz w:val="20"/>
              </w:rPr>
            </w:pPr>
            <w:r>
              <w:rPr>
                <w:spacing w:val="-2"/>
                <w:sz w:val="20"/>
              </w:rPr>
              <w:t>$3.85/m x length of vessel, per day</w:t>
            </w:r>
          </w:p>
        </w:tc>
      </w:tr>
      <w:tr>
        <w:tc>
          <w:tcPr>
            <w:tcW w:w="3177" w:type="dxa"/>
            <w:gridSpan w:val="2"/>
            <w:tcBorders>
              <w:top w:val="single" w:sz="4" w:space="0" w:color="auto"/>
              <w:bottom w:val="single" w:sz="4" w:space="0" w:color="auto"/>
            </w:tcBorders>
          </w:tcPr>
          <w:p>
            <w:pPr>
              <w:pStyle w:val="yTable"/>
              <w:pageBreakBefore/>
              <w:spacing w:before="40"/>
              <w:rPr>
                <w:spacing w:val="-2"/>
                <w:sz w:val="20"/>
              </w:rPr>
            </w:pPr>
            <w:r>
              <w:rPr>
                <w:b/>
                <w:spacing w:val="-2"/>
                <w:sz w:val="20"/>
              </w:rPr>
              <w:t>Transient Vessels Fee</w:t>
            </w:r>
            <w:r>
              <w:rPr>
                <w:spacing w:val="-2"/>
                <w:sz w:val="20"/>
              </w:rPr>
              <w:t xml:space="preserve"> (for use of service jetty by vessels for which mooring, Berthage or Pen fees not paid)</w:t>
            </w:r>
          </w:p>
        </w:tc>
        <w:tc>
          <w:tcPr>
            <w:tcW w:w="3766" w:type="dxa"/>
            <w:gridSpan w:val="2"/>
            <w:tcBorders>
              <w:top w:val="single" w:sz="4" w:space="0" w:color="auto"/>
              <w:bottom w:val="single" w:sz="4" w:space="0" w:color="auto"/>
            </w:tcBorders>
          </w:tcPr>
          <w:p>
            <w:pPr>
              <w:pStyle w:val="yTable"/>
              <w:spacing w:before="40"/>
              <w:rPr>
                <w:spacing w:val="-2"/>
                <w:sz w:val="20"/>
              </w:rPr>
            </w:pPr>
            <w:r>
              <w:rPr>
                <w:spacing w:val="-2"/>
                <w:sz w:val="20"/>
              </w:rPr>
              <w:br/>
            </w:r>
            <w:r>
              <w:rPr>
                <w:spacing w:val="-2"/>
                <w:sz w:val="20"/>
              </w:rPr>
              <w:br/>
            </w:r>
            <w:r>
              <w:rPr>
                <w:spacing w:val="-2"/>
                <w:sz w:val="20"/>
              </w:rPr>
              <w:br/>
              <w:t xml:space="preserve">$2.88/m x length of vessel, per day </w:t>
            </w:r>
          </w:p>
        </w:tc>
      </w:tr>
    </w:tbl>
    <w:p>
      <w:pPr>
        <w:pStyle w:val="yHeading4"/>
      </w:pPr>
      <w:bookmarkStart w:id="707" w:name="_Toc170210290"/>
      <w:r>
        <w:t>Subdivision 16</w:t>
      </w:r>
      <w:r>
        <w:rPr>
          <w:b w:val="0"/>
        </w:rPr>
        <w:t> — </w:t>
      </w:r>
      <w:r>
        <w:t>Kalbarri Boat Harbour</w:t>
      </w:r>
      <w:bookmarkEnd w:id="707"/>
    </w:p>
    <w:p>
      <w:pPr>
        <w:pStyle w:val="yFootnoteheading"/>
      </w:pPr>
      <w:r>
        <w:tab/>
        <w:t>[Heading inserted in Gazette 24 Jun 2005 p. 2843.]</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2043"/>
        <w:gridCol w:w="1134"/>
        <w:gridCol w:w="1134"/>
        <w:gridCol w:w="2632"/>
      </w:tblGrid>
      <w:tr>
        <w:trPr>
          <w:cantSplit/>
        </w:trPr>
        <w:tc>
          <w:tcPr>
            <w:tcW w:w="6943" w:type="dxa"/>
            <w:gridSpan w:val="4"/>
          </w:tcPr>
          <w:p>
            <w:pPr>
              <w:pStyle w:val="yTable"/>
              <w:spacing w:before="40"/>
              <w:ind w:left="1332" w:hanging="1332"/>
              <w:rPr>
                <w:spacing w:val="-2"/>
                <w:sz w:val="20"/>
              </w:rPr>
            </w:pPr>
            <w:r>
              <w:rPr>
                <w:b/>
                <w:sz w:val="20"/>
              </w:rPr>
              <w:t>Standard Fees</w:t>
            </w:r>
            <w:r>
              <w:rPr>
                <w:sz w:val="20"/>
              </w:rPr>
              <w:t> </w:t>
            </w:r>
            <w:r>
              <w:rPr>
                <w:spacing w:val="-2"/>
                <w:sz w:val="20"/>
              </w:rPr>
              <w:t>(</w:t>
            </w:r>
            <w:r>
              <w:rPr>
                <w:i/>
                <w:spacing w:val="-2"/>
                <w:sz w:val="20"/>
              </w:rPr>
              <w:t>subject to a minimum chargeable length relative to the size of the pen, as set out below</w:t>
            </w:r>
            <w:r>
              <w:rPr>
                <w:spacing w:val="-2"/>
                <w:sz w:val="20"/>
              </w:rPr>
              <w:t>)</w:t>
            </w:r>
          </w:p>
        </w:tc>
      </w:tr>
      <w:tr>
        <w:tblPrEx>
          <w:tblBorders>
            <w:bottom w:val="double" w:sz="4" w:space="0" w:color="auto"/>
          </w:tblBorders>
        </w:tblPrEx>
        <w:trPr>
          <w:cantSplit/>
          <w:trHeight w:val="300"/>
        </w:trPr>
        <w:tc>
          <w:tcPr>
            <w:tcW w:w="2043" w:type="dxa"/>
            <w:vMerge w:val="restart"/>
          </w:tcPr>
          <w:p>
            <w:pPr>
              <w:pStyle w:val="yTable"/>
              <w:spacing w:before="40"/>
              <w:rPr>
                <w:b/>
                <w:spacing w:val="-2"/>
                <w:sz w:val="20"/>
              </w:rPr>
            </w:pPr>
            <w:r>
              <w:rPr>
                <w:i/>
                <w:spacing w:val="-2"/>
                <w:sz w:val="20"/>
              </w:rPr>
              <w:t>Minimum chargeable length when calculating fee for pens of a particular size</w:t>
            </w:r>
          </w:p>
        </w:tc>
        <w:tc>
          <w:tcPr>
            <w:tcW w:w="2268" w:type="dxa"/>
            <w:gridSpan w:val="2"/>
          </w:tcPr>
          <w:p>
            <w:pPr>
              <w:pStyle w:val="yTable"/>
              <w:spacing w:before="40"/>
              <w:rPr>
                <w:spacing w:val="-2"/>
                <w:sz w:val="20"/>
              </w:rPr>
            </w:pPr>
            <w:r>
              <w:rPr>
                <w:spacing w:val="-2"/>
                <w:sz w:val="20"/>
              </w:rPr>
              <w:t>12 m pen</w:t>
            </w:r>
          </w:p>
        </w:tc>
        <w:tc>
          <w:tcPr>
            <w:tcW w:w="2632" w:type="dxa"/>
          </w:tcPr>
          <w:p>
            <w:pPr>
              <w:pStyle w:val="yTable"/>
              <w:spacing w:before="40"/>
              <w:rPr>
                <w:spacing w:val="-2"/>
                <w:sz w:val="20"/>
              </w:rPr>
            </w:pPr>
            <w:r>
              <w:rPr>
                <w:spacing w:val="-2"/>
                <w:sz w:val="20"/>
              </w:rPr>
              <w:t>at least 9.6 m</w:t>
            </w:r>
          </w:p>
        </w:tc>
      </w:tr>
      <w:tr>
        <w:tblPrEx>
          <w:tblBorders>
            <w:bottom w:val="double" w:sz="4" w:space="0" w:color="auto"/>
          </w:tblBorders>
        </w:tblPrEx>
        <w:trPr>
          <w:cantSplit/>
          <w:trHeight w:val="285"/>
        </w:trPr>
        <w:tc>
          <w:tcPr>
            <w:tcW w:w="2043" w:type="dxa"/>
            <w:vMerge/>
          </w:tcPr>
          <w:p>
            <w:pPr>
              <w:pStyle w:val="yTable"/>
              <w:keepNext/>
              <w:keepLines/>
              <w:spacing w:before="40"/>
              <w:rPr>
                <w:b/>
                <w:spacing w:val="-2"/>
                <w:sz w:val="20"/>
              </w:rPr>
            </w:pPr>
          </w:p>
        </w:tc>
        <w:tc>
          <w:tcPr>
            <w:tcW w:w="2268" w:type="dxa"/>
            <w:gridSpan w:val="2"/>
          </w:tcPr>
          <w:p>
            <w:pPr>
              <w:pStyle w:val="yTable"/>
              <w:spacing w:before="40"/>
              <w:rPr>
                <w:spacing w:val="-2"/>
                <w:sz w:val="20"/>
              </w:rPr>
            </w:pPr>
            <w:r>
              <w:rPr>
                <w:spacing w:val="-2"/>
                <w:sz w:val="20"/>
              </w:rPr>
              <w:t>15 m pen</w:t>
            </w:r>
          </w:p>
        </w:tc>
        <w:tc>
          <w:tcPr>
            <w:tcW w:w="2632" w:type="dxa"/>
          </w:tcPr>
          <w:p>
            <w:pPr>
              <w:pStyle w:val="yTable"/>
              <w:spacing w:before="40"/>
              <w:rPr>
                <w:spacing w:val="-2"/>
                <w:sz w:val="20"/>
              </w:rPr>
            </w:pPr>
            <w:r>
              <w:rPr>
                <w:spacing w:val="-2"/>
                <w:sz w:val="20"/>
              </w:rPr>
              <w:t>at least 12 m</w:t>
            </w:r>
          </w:p>
        </w:tc>
      </w:tr>
      <w:tr>
        <w:tblPrEx>
          <w:tblBorders>
            <w:bottom w:val="double" w:sz="4" w:space="0" w:color="auto"/>
          </w:tblBorders>
        </w:tblPrEx>
        <w:trPr>
          <w:cantSplit/>
          <w:trHeight w:val="285"/>
        </w:trPr>
        <w:tc>
          <w:tcPr>
            <w:tcW w:w="2043" w:type="dxa"/>
            <w:vMerge/>
          </w:tcPr>
          <w:p>
            <w:pPr>
              <w:pStyle w:val="yTable"/>
              <w:keepNext/>
              <w:keepLines/>
              <w:spacing w:before="40"/>
              <w:rPr>
                <w:b/>
                <w:spacing w:val="-2"/>
                <w:sz w:val="20"/>
              </w:rPr>
            </w:pPr>
          </w:p>
        </w:tc>
        <w:tc>
          <w:tcPr>
            <w:tcW w:w="2268" w:type="dxa"/>
            <w:gridSpan w:val="2"/>
          </w:tcPr>
          <w:p>
            <w:pPr>
              <w:pStyle w:val="yTable"/>
              <w:spacing w:before="40"/>
              <w:rPr>
                <w:spacing w:val="-2"/>
                <w:sz w:val="20"/>
              </w:rPr>
            </w:pPr>
            <w:r>
              <w:rPr>
                <w:spacing w:val="-2"/>
                <w:sz w:val="20"/>
              </w:rPr>
              <w:t>18 m pen</w:t>
            </w:r>
          </w:p>
        </w:tc>
        <w:tc>
          <w:tcPr>
            <w:tcW w:w="2632" w:type="dxa"/>
          </w:tcPr>
          <w:p>
            <w:pPr>
              <w:pStyle w:val="yTable"/>
              <w:spacing w:before="40"/>
              <w:rPr>
                <w:spacing w:val="-2"/>
                <w:sz w:val="20"/>
              </w:rPr>
            </w:pPr>
            <w:r>
              <w:rPr>
                <w:spacing w:val="-2"/>
                <w:sz w:val="20"/>
              </w:rPr>
              <w:t>at least 14.4 m</w:t>
            </w:r>
          </w:p>
        </w:tc>
      </w:tr>
      <w:tr>
        <w:trPr>
          <w:cantSplit/>
        </w:trPr>
        <w:tc>
          <w:tcPr>
            <w:tcW w:w="2043" w:type="dxa"/>
            <w:vMerge/>
          </w:tcPr>
          <w:p>
            <w:pPr>
              <w:pStyle w:val="yTable"/>
              <w:spacing w:before="40"/>
              <w:rPr>
                <w:spacing w:val="-2"/>
                <w:sz w:val="20"/>
              </w:rPr>
            </w:pPr>
          </w:p>
        </w:tc>
        <w:tc>
          <w:tcPr>
            <w:tcW w:w="2268" w:type="dxa"/>
            <w:gridSpan w:val="2"/>
          </w:tcPr>
          <w:p>
            <w:pPr>
              <w:pStyle w:val="yTable"/>
              <w:spacing w:before="40"/>
              <w:rPr>
                <w:spacing w:val="-2"/>
                <w:sz w:val="20"/>
              </w:rPr>
            </w:pPr>
            <w:r>
              <w:rPr>
                <w:spacing w:val="-2"/>
                <w:sz w:val="20"/>
              </w:rPr>
              <w:t>20 m pen</w:t>
            </w:r>
          </w:p>
        </w:tc>
        <w:tc>
          <w:tcPr>
            <w:tcW w:w="2632" w:type="dxa"/>
          </w:tcPr>
          <w:p>
            <w:pPr>
              <w:pStyle w:val="yTable"/>
              <w:spacing w:before="40"/>
              <w:rPr>
                <w:spacing w:val="-2"/>
                <w:sz w:val="20"/>
              </w:rPr>
            </w:pPr>
            <w:r>
              <w:rPr>
                <w:spacing w:val="-2"/>
                <w:sz w:val="20"/>
              </w:rPr>
              <w:t>at least 16 m</w:t>
            </w:r>
          </w:p>
        </w:tc>
      </w:tr>
      <w:tr>
        <w:tc>
          <w:tcPr>
            <w:tcW w:w="3177" w:type="dxa"/>
            <w:gridSpan w:val="2"/>
            <w:tcBorders>
              <w:bottom w:val="nil"/>
            </w:tcBorders>
          </w:tcPr>
          <w:p>
            <w:pPr>
              <w:pStyle w:val="yTable"/>
              <w:spacing w:before="40" w:after="40"/>
              <w:ind w:left="84" w:hanging="14"/>
              <w:rPr>
                <w:spacing w:val="-2"/>
                <w:sz w:val="20"/>
              </w:rPr>
            </w:pPr>
            <w:r>
              <w:rPr>
                <w:sz w:val="24"/>
              </w:rPr>
              <w:br w:type="page"/>
            </w:r>
            <w:r>
              <w:rPr>
                <w:b/>
                <w:spacing w:val="-2"/>
                <w:sz w:val="20"/>
              </w:rPr>
              <w:t>Annual Fee</w:t>
            </w:r>
          </w:p>
        </w:tc>
        <w:tc>
          <w:tcPr>
            <w:tcW w:w="3766" w:type="dxa"/>
            <w:gridSpan w:val="2"/>
            <w:tcBorders>
              <w:bottom w:val="nil"/>
            </w:tcBorders>
          </w:tcPr>
          <w:p>
            <w:pPr>
              <w:pStyle w:val="yTable"/>
              <w:spacing w:before="40" w:after="40"/>
              <w:rPr>
                <w:spacing w:val="-2"/>
                <w:sz w:val="20"/>
              </w:rPr>
            </w:pPr>
            <w:r>
              <w:rPr>
                <w:spacing w:val="-2"/>
                <w:sz w:val="20"/>
              </w:rPr>
              <w:t>$194.70/m x length of vessel</w:t>
            </w:r>
          </w:p>
        </w:tc>
      </w:tr>
      <w:tr>
        <w:tc>
          <w:tcPr>
            <w:tcW w:w="3177" w:type="dxa"/>
            <w:gridSpan w:val="2"/>
            <w:tcBorders>
              <w:top w:val="single" w:sz="4" w:space="0" w:color="auto"/>
            </w:tcBorders>
          </w:tcPr>
          <w:p>
            <w:pPr>
              <w:pStyle w:val="yTable"/>
              <w:tabs>
                <w:tab w:val="left" w:pos="392"/>
              </w:tabs>
              <w:spacing w:before="40" w:after="40"/>
              <w:ind w:left="84" w:hanging="14"/>
              <w:rPr>
                <w:spacing w:val="-2"/>
                <w:sz w:val="20"/>
              </w:rPr>
            </w:pPr>
            <w:r>
              <w:rPr>
                <w:b/>
                <w:spacing w:val="-2"/>
                <w:sz w:val="20"/>
              </w:rPr>
              <w:t>Part Year Fee – 3 months or more, paid in advance</w:t>
            </w:r>
          </w:p>
        </w:tc>
        <w:tc>
          <w:tcPr>
            <w:tcW w:w="3766" w:type="dxa"/>
            <w:gridSpan w:val="2"/>
            <w:tcBorders>
              <w:top w:val="single" w:sz="4" w:space="0" w:color="auto"/>
            </w:tcBorders>
          </w:tcPr>
          <w:p>
            <w:pPr>
              <w:pStyle w:val="yTable"/>
              <w:spacing w:before="40" w:after="40"/>
              <w:rPr>
                <w:spacing w:val="-2"/>
                <w:sz w:val="20"/>
              </w:rPr>
            </w:pPr>
            <w:r>
              <w:rPr>
                <w:spacing w:val="-2"/>
                <w:sz w:val="20"/>
              </w:rPr>
              <w:br/>
              <w:t>$19.47/m x length of vessel, per month</w:t>
            </w:r>
          </w:p>
        </w:tc>
      </w:tr>
      <w:tr>
        <w:tc>
          <w:tcPr>
            <w:tcW w:w="3177" w:type="dxa"/>
            <w:gridSpan w:val="2"/>
          </w:tcPr>
          <w:p>
            <w:pPr>
              <w:pStyle w:val="yTable"/>
              <w:spacing w:before="40" w:after="40"/>
              <w:ind w:left="84" w:hanging="14"/>
              <w:rPr>
                <w:spacing w:val="-2"/>
                <w:sz w:val="20"/>
              </w:rPr>
            </w:pPr>
            <w:r>
              <w:rPr>
                <w:b/>
                <w:spacing w:val="-2"/>
                <w:sz w:val="20"/>
              </w:rPr>
              <w:t>Monthly Fee</w:t>
            </w:r>
          </w:p>
        </w:tc>
        <w:tc>
          <w:tcPr>
            <w:tcW w:w="3766" w:type="dxa"/>
            <w:gridSpan w:val="2"/>
          </w:tcPr>
          <w:p>
            <w:pPr>
              <w:pStyle w:val="yTable"/>
              <w:spacing w:before="40" w:after="40"/>
              <w:rPr>
                <w:spacing w:val="-2"/>
                <w:sz w:val="20"/>
              </w:rPr>
            </w:pPr>
            <w:r>
              <w:rPr>
                <w:spacing w:val="-2"/>
                <w:sz w:val="20"/>
              </w:rPr>
              <w:t>$38.94/m x length of vessel, per month</w:t>
            </w:r>
          </w:p>
        </w:tc>
      </w:tr>
      <w:tr>
        <w:tc>
          <w:tcPr>
            <w:tcW w:w="3177" w:type="dxa"/>
            <w:gridSpan w:val="2"/>
            <w:tcBorders>
              <w:bottom w:val="nil"/>
            </w:tcBorders>
          </w:tcPr>
          <w:p>
            <w:pPr>
              <w:pStyle w:val="yTable"/>
              <w:spacing w:before="40" w:after="40"/>
              <w:ind w:left="84" w:hanging="14"/>
              <w:rPr>
                <w:spacing w:val="-2"/>
                <w:sz w:val="20"/>
              </w:rPr>
            </w:pPr>
            <w:r>
              <w:rPr>
                <w:b/>
                <w:spacing w:val="-2"/>
                <w:sz w:val="20"/>
              </w:rPr>
              <w:t>Weekly Fee</w:t>
            </w:r>
          </w:p>
        </w:tc>
        <w:tc>
          <w:tcPr>
            <w:tcW w:w="3766" w:type="dxa"/>
            <w:gridSpan w:val="2"/>
            <w:tcBorders>
              <w:bottom w:val="nil"/>
            </w:tcBorders>
          </w:tcPr>
          <w:p>
            <w:pPr>
              <w:pStyle w:val="yTable"/>
              <w:spacing w:before="40" w:after="40"/>
              <w:rPr>
                <w:spacing w:val="-2"/>
                <w:sz w:val="20"/>
              </w:rPr>
            </w:pPr>
            <w:r>
              <w:rPr>
                <w:spacing w:val="-2"/>
                <w:sz w:val="20"/>
              </w:rPr>
              <w:t>$22.00/m x length of vessel, per week</w:t>
            </w:r>
          </w:p>
        </w:tc>
      </w:tr>
      <w:tr>
        <w:tc>
          <w:tcPr>
            <w:tcW w:w="3177" w:type="dxa"/>
            <w:gridSpan w:val="2"/>
            <w:tcBorders>
              <w:bottom w:val="single" w:sz="4" w:space="0" w:color="auto"/>
            </w:tcBorders>
          </w:tcPr>
          <w:p>
            <w:pPr>
              <w:pStyle w:val="yTable"/>
              <w:spacing w:before="40" w:after="40"/>
              <w:ind w:left="84" w:hanging="14"/>
              <w:rPr>
                <w:spacing w:val="-2"/>
                <w:sz w:val="20"/>
              </w:rPr>
            </w:pPr>
            <w:r>
              <w:rPr>
                <w:b/>
                <w:spacing w:val="-2"/>
                <w:sz w:val="20"/>
              </w:rPr>
              <w:t>Daily Casual Fee</w:t>
            </w:r>
          </w:p>
        </w:tc>
        <w:tc>
          <w:tcPr>
            <w:tcW w:w="3766" w:type="dxa"/>
            <w:gridSpan w:val="2"/>
            <w:tcBorders>
              <w:bottom w:val="single" w:sz="4" w:space="0" w:color="auto"/>
            </w:tcBorders>
          </w:tcPr>
          <w:p>
            <w:pPr>
              <w:pStyle w:val="yTable"/>
              <w:spacing w:before="40" w:after="40"/>
              <w:rPr>
                <w:spacing w:val="-2"/>
                <w:sz w:val="20"/>
              </w:rPr>
            </w:pPr>
            <w:r>
              <w:rPr>
                <w:spacing w:val="-2"/>
                <w:sz w:val="20"/>
              </w:rPr>
              <w:t>$4.40/m x length of vessel, per day (with a minimum overnight charge of $44.00 per vessel)</w:t>
            </w:r>
          </w:p>
        </w:tc>
      </w:tr>
      <w:tr>
        <w:tc>
          <w:tcPr>
            <w:tcW w:w="3177" w:type="dxa"/>
            <w:gridSpan w:val="2"/>
            <w:tcBorders>
              <w:bottom w:val="single" w:sz="4" w:space="0" w:color="auto"/>
            </w:tcBorders>
          </w:tcPr>
          <w:p>
            <w:pPr>
              <w:pStyle w:val="yTable"/>
              <w:spacing w:before="40" w:after="40"/>
              <w:ind w:left="84" w:hanging="14"/>
              <w:rPr>
                <w:b/>
                <w:spacing w:val="-2"/>
                <w:sz w:val="20"/>
              </w:rPr>
            </w:pPr>
            <w:r>
              <w:rPr>
                <w:b/>
                <w:spacing w:val="-2"/>
                <w:sz w:val="20"/>
              </w:rPr>
              <w:t>Minimum for overnight stay</w:t>
            </w:r>
          </w:p>
        </w:tc>
        <w:tc>
          <w:tcPr>
            <w:tcW w:w="3766" w:type="dxa"/>
            <w:gridSpan w:val="2"/>
            <w:tcBorders>
              <w:bottom w:val="single" w:sz="4" w:space="0" w:color="auto"/>
            </w:tcBorders>
          </w:tcPr>
          <w:p>
            <w:pPr>
              <w:pStyle w:val="yTable"/>
              <w:spacing w:before="40" w:after="40"/>
              <w:rPr>
                <w:spacing w:val="-2"/>
                <w:sz w:val="20"/>
              </w:rPr>
            </w:pPr>
            <w:r>
              <w:rPr>
                <w:spacing w:val="-2"/>
                <w:sz w:val="20"/>
              </w:rPr>
              <w:t xml:space="preserve">$44.00 per vessel </w:t>
            </w:r>
          </w:p>
        </w:tc>
      </w:tr>
      <w:tr>
        <w:tc>
          <w:tcPr>
            <w:tcW w:w="3177" w:type="dxa"/>
            <w:gridSpan w:val="2"/>
            <w:tcBorders>
              <w:top w:val="single" w:sz="4" w:space="0" w:color="auto"/>
              <w:bottom w:val="single" w:sz="4" w:space="0" w:color="auto"/>
            </w:tcBorders>
          </w:tcPr>
          <w:p>
            <w:pPr>
              <w:pStyle w:val="yTable"/>
              <w:spacing w:before="40" w:after="40"/>
              <w:rPr>
                <w:spacing w:val="-2"/>
                <w:sz w:val="20"/>
              </w:rPr>
            </w:pPr>
            <w:r>
              <w:rPr>
                <w:b/>
                <w:spacing w:val="-2"/>
                <w:sz w:val="20"/>
              </w:rPr>
              <w:t>Short Term Use of Service Jetty f</w:t>
            </w:r>
            <w:r>
              <w:rPr>
                <w:spacing w:val="-2"/>
                <w:sz w:val="20"/>
              </w:rPr>
              <w:t>or loading or unloading (for vessels not paying pen, mooring or berthing fee)</w:t>
            </w:r>
          </w:p>
        </w:tc>
        <w:tc>
          <w:tcPr>
            <w:tcW w:w="3766" w:type="dxa"/>
            <w:gridSpan w:val="2"/>
            <w:tcBorders>
              <w:top w:val="single" w:sz="4" w:space="0" w:color="auto"/>
              <w:bottom w:val="single" w:sz="4" w:space="0" w:color="auto"/>
            </w:tcBorders>
          </w:tcPr>
          <w:p>
            <w:pPr>
              <w:pStyle w:val="yTable"/>
              <w:spacing w:before="40" w:after="40"/>
              <w:rPr>
                <w:spacing w:val="-2"/>
                <w:sz w:val="20"/>
              </w:rPr>
            </w:pPr>
            <w:r>
              <w:rPr>
                <w:spacing w:val="-2"/>
                <w:sz w:val="20"/>
              </w:rPr>
              <w:br/>
            </w:r>
            <w:r>
              <w:rPr>
                <w:spacing w:val="-2"/>
                <w:sz w:val="20"/>
              </w:rPr>
              <w:br/>
              <w:t>$550.00 per vessel per year</w:t>
            </w:r>
          </w:p>
        </w:tc>
      </w:tr>
      <w:tr>
        <w:tc>
          <w:tcPr>
            <w:tcW w:w="3177" w:type="dxa"/>
            <w:gridSpan w:val="2"/>
            <w:tcBorders>
              <w:top w:val="single" w:sz="4" w:space="0" w:color="auto"/>
              <w:bottom w:val="single" w:sz="4" w:space="0" w:color="auto"/>
            </w:tcBorders>
          </w:tcPr>
          <w:p>
            <w:pPr>
              <w:pStyle w:val="yTable"/>
              <w:spacing w:before="40"/>
              <w:rPr>
                <w:b/>
                <w:spacing w:val="-2"/>
                <w:sz w:val="20"/>
              </w:rPr>
            </w:pPr>
            <w:r>
              <w:rPr>
                <w:b/>
                <w:spacing w:val="-2"/>
                <w:sz w:val="20"/>
              </w:rPr>
              <w:t>Electric Power Charge</w:t>
            </w:r>
          </w:p>
          <w:p>
            <w:pPr>
              <w:pStyle w:val="yTable"/>
              <w:spacing w:before="0"/>
              <w:ind w:left="258"/>
              <w:rPr>
                <w:spacing w:val="-2"/>
                <w:sz w:val="20"/>
              </w:rPr>
            </w:pPr>
            <w:r>
              <w:rPr>
                <w:spacing w:val="-2"/>
                <w:sz w:val="20"/>
              </w:rPr>
              <w:t>3</w:t>
            </w:r>
            <w:r>
              <w:rPr>
                <w:spacing w:val="-2"/>
                <w:sz w:val="20"/>
              </w:rPr>
              <w:noBreakHyphen/>
              <w:t>phase (all users)</w:t>
            </w:r>
          </w:p>
          <w:p>
            <w:pPr>
              <w:pStyle w:val="yTable"/>
              <w:spacing w:before="0"/>
              <w:ind w:left="258"/>
              <w:rPr>
                <w:b/>
                <w:spacing w:val="-2"/>
                <w:sz w:val="20"/>
              </w:rPr>
            </w:pPr>
            <w:r>
              <w:rPr>
                <w:spacing w:val="-2"/>
                <w:sz w:val="20"/>
              </w:rPr>
              <w:t>Single phase: (for vessels not paying annual or monthly fee)</w:t>
            </w:r>
          </w:p>
        </w:tc>
        <w:tc>
          <w:tcPr>
            <w:tcW w:w="3766" w:type="dxa"/>
            <w:gridSpan w:val="2"/>
            <w:tcBorders>
              <w:top w:val="single" w:sz="4" w:space="0" w:color="auto"/>
              <w:bottom w:val="single" w:sz="4" w:space="0" w:color="auto"/>
            </w:tcBorders>
          </w:tcPr>
          <w:p>
            <w:pPr>
              <w:pStyle w:val="yTable"/>
              <w:spacing w:before="0"/>
              <w:rPr>
                <w:spacing w:val="-2"/>
                <w:sz w:val="20"/>
              </w:rPr>
            </w:pPr>
          </w:p>
          <w:p>
            <w:pPr>
              <w:pStyle w:val="yTable"/>
              <w:spacing w:before="0"/>
              <w:rPr>
                <w:spacing w:val="-2"/>
                <w:sz w:val="20"/>
              </w:rPr>
            </w:pPr>
            <w:r>
              <w:rPr>
                <w:spacing w:val="-2"/>
                <w:sz w:val="20"/>
              </w:rPr>
              <w:t>$22.00 per day or part of a day</w:t>
            </w:r>
          </w:p>
          <w:p>
            <w:pPr>
              <w:pStyle w:val="yTable"/>
              <w:spacing w:before="0"/>
              <w:rPr>
                <w:spacing w:val="-2"/>
                <w:sz w:val="20"/>
              </w:rPr>
            </w:pPr>
            <w:r>
              <w:rPr>
                <w:spacing w:val="-2"/>
                <w:sz w:val="20"/>
              </w:rPr>
              <w:br/>
              <w:t>$5.50 per day, or if meter indicates power consumption in excess of $5.50 per day, at cost</w:t>
            </w:r>
          </w:p>
        </w:tc>
      </w:tr>
    </w:tbl>
    <w:p>
      <w:pPr>
        <w:pStyle w:val="yHeading4"/>
      </w:pPr>
      <w:bookmarkStart w:id="708" w:name="_Toc170210291"/>
      <w:r>
        <w:t>Subdivision 17</w:t>
      </w:r>
      <w:r>
        <w:rPr>
          <w:b w:val="0"/>
        </w:rPr>
        <w:t> — </w:t>
      </w:r>
      <w:r>
        <w:t>Lancelin Boat Harbour</w:t>
      </w:r>
      <w:bookmarkEnd w:id="708"/>
    </w:p>
    <w:p>
      <w:pPr>
        <w:pStyle w:val="yFootnoteheading"/>
      </w:pPr>
      <w:r>
        <w:tab/>
        <w:t>[Heading inserted in Gazette 24 Jun 2005 p. 2844.]</w:t>
      </w:r>
    </w:p>
    <w:tbl>
      <w:tblPr>
        <w:tblW w:w="0" w:type="auto"/>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205"/>
        <w:gridCol w:w="3766"/>
      </w:tblGrid>
      <w:tr>
        <w:tc>
          <w:tcPr>
            <w:tcW w:w="3205" w:type="dxa"/>
          </w:tcPr>
          <w:p>
            <w:pPr>
              <w:pStyle w:val="yTable"/>
              <w:spacing w:before="40"/>
              <w:rPr>
                <w:spacing w:val="-2"/>
                <w:sz w:val="20"/>
              </w:rPr>
            </w:pPr>
            <w:r>
              <w:rPr>
                <w:b/>
                <w:spacing w:val="-2"/>
                <w:sz w:val="20"/>
              </w:rPr>
              <w:t>Daily Casual Fee</w:t>
            </w:r>
            <w:r>
              <w:rPr>
                <w:spacing w:val="-2"/>
                <w:sz w:val="20"/>
              </w:rPr>
              <w:t> </w:t>
            </w:r>
            <w:r>
              <w:rPr>
                <w:i/>
                <w:snapToGrid w:val="0"/>
                <w:sz w:val="20"/>
              </w:rPr>
              <w:t>—</w:t>
            </w:r>
            <w:r>
              <w:rPr>
                <w:spacing w:val="-2"/>
                <w:sz w:val="20"/>
              </w:rPr>
              <w:t> </w:t>
            </w:r>
            <w:r>
              <w:rPr>
                <w:spacing w:val="-2"/>
                <w:sz w:val="20"/>
              </w:rPr>
              <w:br/>
              <w:t>(Berthage/Use of Service Jetty, for extended/overnight stay)</w:t>
            </w:r>
          </w:p>
        </w:tc>
        <w:tc>
          <w:tcPr>
            <w:tcW w:w="3766" w:type="dxa"/>
          </w:tcPr>
          <w:p>
            <w:pPr>
              <w:pStyle w:val="yTable"/>
              <w:keepNext/>
              <w:spacing w:before="40"/>
              <w:rPr>
                <w:spacing w:val="-2"/>
                <w:sz w:val="20"/>
              </w:rPr>
            </w:pPr>
            <w:r>
              <w:rPr>
                <w:spacing w:val="-2"/>
                <w:sz w:val="20"/>
              </w:rPr>
              <w:br/>
            </w:r>
            <w:r>
              <w:rPr>
                <w:spacing w:val="-2"/>
                <w:sz w:val="20"/>
              </w:rPr>
              <w:br/>
              <w:t>$5.50/m x length of vessel</w:t>
            </w:r>
          </w:p>
        </w:tc>
      </w:tr>
    </w:tbl>
    <w:p>
      <w:pPr>
        <w:pStyle w:val="yNumberedItem"/>
      </w:pPr>
      <w:r>
        <w:t>Note:</w:t>
      </w:r>
      <w:r>
        <w:tab/>
        <w:t>Vessels undertaking emergency repairs for which special prior Departmental approval has been sought, and obtained, to berth at the jetty for the period in question, are to be exempt from this fee.</w:t>
      </w:r>
    </w:p>
    <w:p>
      <w:pPr>
        <w:pStyle w:val="yHeading4"/>
      </w:pPr>
      <w:bookmarkStart w:id="709" w:name="_Toc170210292"/>
      <w:r>
        <w:t>Subdivision 18</w:t>
      </w:r>
      <w:r>
        <w:rPr>
          <w:b w:val="0"/>
        </w:rPr>
        <w:t> — </w:t>
      </w:r>
      <w:r>
        <w:t>Leeman</w:t>
      </w:r>
      <w:bookmarkEnd w:id="709"/>
    </w:p>
    <w:p>
      <w:pPr>
        <w:pStyle w:val="yFootnoteheading"/>
      </w:pPr>
      <w:r>
        <w:tab/>
        <w:t>[Heading inserted in Gazette 24 Jun 2005 p. 2844.]</w:t>
      </w:r>
    </w:p>
    <w:tbl>
      <w:tblPr>
        <w:tblW w:w="0" w:type="auto"/>
        <w:tblInd w:w="140"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205"/>
        <w:gridCol w:w="3794"/>
      </w:tblGrid>
      <w:tr>
        <w:tc>
          <w:tcPr>
            <w:tcW w:w="3205" w:type="dxa"/>
            <w:tcBorders>
              <w:bottom w:val="nil"/>
            </w:tcBorders>
          </w:tcPr>
          <w:p>
            <w:pPr>
              <w:pStyle w:val="yTable"/>
              <w:spacing w:after="40"/>
              <w:rPr>
                <w:spacing w:val="-2"/>
                <w:sz w:val="20"/>
              </w:rPr>
            </w:pPr>
            <w:r>
              <w:rPr>
                <w:b/>
                <w:spacing w:val="-2"/>
                <w:sz w:val="20"/>
              </w:rPr>
              <w:t>Daily Casual Fee</w:t>
            </w:r>
          </w:p>
        </w:tc>
        <w:tc>
          <w:tcPr>
            <w:tcW w:w="3794" w:type="dxa"/>
            <w:tcBorders>
              <w:bottom w:val="nil"/>
            </w:tcBorders>
          </w:tcPr>
          <w:p>
            <w:pPr>
              <w:pStyle w:val="yTable"/>
              <w:spacing w:after="40"/>
              <w:rPr>
                <w:spacing w:val="-2"/>
                <w:sz w:val="20"/>
              </w:rPr>
            </w:pPr>
            <w:r>
              <w:rPr>
                <w:spacing w:val="-2"/>
                <w:sz w:val="20"/>
              </w:rPr>
              <w:t>$3.30/m x length of vessel</w:t>
            </w:r>
          </w:p>
        </w:tc>
      </w:tr>
      <w:tr>
        <w:tc>
          <w:tcPr>
            <w:tcW w:w="3205" w:type="dxa"/>
            <w:tcBorders>
              <w:bottom w:val="single" w:sz="4" w:space="0" w:color="auto"/>
            </w:tcBorders>
          </w:tcPr>
          <w:p>
            <w:pPr>
              <w:pStyle w:val="yTable"/>
              <w:spacing w:after="40"/>
              <w:rPr>
                <w:b/>
                <w:spacing w:val="-2"/>
                <w:sz w:val="20"/>
              </w:rPr>
            </w:pPr>
            <w:r>
              <w:rPr>
                <w:spacing w:val="-2"/>
                <w:sz w:val="20"/>
              </w:rPr>
              <w:t>Minimum for overnight stay</w:t>
            </w:r>
          </w:p>
        </w:tc>
        <w:tc>
          <w:tcPr>
            <w:tcW w:w="3794" w:type="dxa"/>
            <w:tcBorders>
              <w:bottom w:val="single" w:sz="4" w:space="0" w:color="auto"/>
            </w:tcBorders>
          </w:tcPr>
          <w:p>
            <w:pPr>
              <w:pStyle w:val="yTable"/>
              <w:spacing w:after="40"/>
              <w:rPr>
                <w:spacing w:val="-2"/>
                <w:sz w:val="20"/>
              </w:rPr>
            </w:pPr>
            <w:r>
              <w:rPr>
                <w:spacing w:val="-2"/>
                <w:sz w:val="20"/>
              </w:rPr>
              <w:t xml:space="preserve">$49.50 per vessel </w:t>
            </w:r>
          </w:p>
        </w:tc>
      </w:tr>
    </w:tbl>
    <w:p>
      <w:pPr>
        <w:pStyle w:val="yHeading4"/>
      </w:pPr>
      <w:bookmarkStart w:id="710" w:name="_Toc170210293"/>
      <w:r>
        <w:t>Subdivision 19</w:t>
      </w:r>
      <w:r>
        <w:rPr>
          <w:b w:val="0"/>
        </w:rPr>
        <w:t> — </w:t>
      </w:r>
      <w:r>
        <w:t>Port Denison</w:t>
      </w:r>
      <w:bookmarkEnd w:id="710"/>
    </w:p>
    <w:p>
      <w:pPr>
        <w:pStyle w:val="yFootnoteheading"/>
      </w:pPr>
      <w:r>
        <w:tab/>
        <w:t>[Heading inserted in Gazette 24 Jun 2005 p. 2844.]</w:t>
      </w:r>
    </w:p>
    <w:tbl>
      <w:tblPr>
        <w:tblW w:w="0" w:type="auto"/>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630"/>
        <w:gridCol w:w="3369"/>
      </w:tblGrid>
      <w:tr>
        <w:trPr>
          <w:cantSplit/>
        </w:trPr>
        <w:tc>
          <w:tcPr>
            <w:tcW w:w="6999" w:type="dxa"/>
            <w:gridSpan w:val="2"/>
          </w:tcPr>
          <w:p>
            <w:pPr>
              <w:pStyle w:val="yTable"/>
              <w:spacing w:after="60"/>
              <w:rPr>
                <w:spacing w:val="-2"/>
                <w:sz w:val="20"/>
              </w:rPr>
            </w:pPr>
            <w:r>
              <w:rPr>
                <w:b/>
                <w:sz w:val="20"/>
              </w:rPr>
              <w:t>Standard Fees</w:t>
            </w:r>
            <w:r>
              <w:rPr>
                <w:sz w:val="20"/>
              </w:rPr>
              <w:t> </w:t>
            </w:r>
            <w:r>
              <w:rPr>
                <w:spacing w:val="-2"/>
                <w:sz w:val="20"/>
              </w:rPr>
              <w:t>(</w:t>
            </w:r>
            <w:r>
              <w:rPr>
                <w:i/>
                <w:spacing w:val="-2"/>
                <w:sz w:val="20"/>
              </w:rPr>
              <w:t>subject to a minimum chargeable length for a 20 m pen of 16 m.)</w:t>
            </w:r>
          </w:p>
        </w:tc>
      </w:tr>
      <w:tr>
        <w:tc>
          <w:tcPr>
            <w:tcW w:w="3630" w:type="dxa"/>
          </w:tcPr>
          <w:p>
            <w:pPr>
              <w:pStyle w:val="yTable"/>
              <w:spacing w:after="60"/>
              <w:ind w:firstLine="2"/>
              <w:rPr>
                <w:spacing w:val="-2"/>
                <w:sz w:val="20"/>
              </w:rPr>
            </w:pPr>
            <w:r>
              <w:rPr>
                <w:b/>
                <w:spacing w:val="-2"/>
                <w:sz w:val="20"/>
              </w:rPr>
              <w:t>Annual Fee</w:t>
            </w:r>
            <w:r>
              <w:rPr>
                <w:spacing w:val="-2"/>
                <w:sz w:val="20"/>
              </w:rPr>
              <w:t> </w:t>
            </w:r>
            <w:r>
              <w:rPr>
                <w:i/>
                <w:snapToGrid w:val="0"/>
                <w:sz w:val="20"/>
              </w:rPr>
              <w:t>—</w:t>
            </w:r>
            <w:r>
              <w:rPr>
                <w:spacing w:val="-2"/>
                <w:sz w:val="20"/>
              </w:rPr>
              <w:t> </w:t>
            </w:r>
          </w:p>
          <w:p>
            <w:pPr>
              <w:pStyle w:val="yTable"/>
              <w:spacing w:after="60"/>
              <w:ind w:firstLine="144"/>
              <w:rPr>
                <w:spacing w:val="-2"/>
                <w:sz w:val="20"/>
              </w:rPr>
            </w:pPr>
            <w:r>
              <w:rPr>
                <w:spacing w:val="-2"/>
                <w:sz w:val="20"/>
              </w:rPr>
              <w:t>Commercial vessels</w:t>
            </w:r>
          </w:p>
        </w:tc>
        <w:tc>
          <w:tcPr>
            <w:tcW w:w="3369" w:type="dxa"/>
          </w:tcPr>
          <w:p>
            <w:pPr>
              <w:pStyle w:val="yTable"/>
              <w:spacing w:after="60"/>
              <w:rPr>
                <w:spacing w:val="-2"/>
                <w:sz w:val="20"/>
              </w:rPr>
            </w:pPr>
          </w:p>
          <w:p>
            <w:pPr>
              <w:pStyle w:val="yTable"/>
              <w:spacing w:after="60"/>
              <w:rPr>
                <w:spacing w:val="-2"/>
                <w:sz w:val="20"/>
              </w:rPr>
            </w:pPr>
            <w:r>
              <w:rPr>
                <w:spacing w:val="-2"/>
                <w:sz w:val="20"/>
              </w:rPr>
              <w:t>$951.50 per vessel</w:t>
            </w:r>
          </w:p>
        </w:tc>
      </w:tr>
      <w:tr>
        <w:tc>
          <w:tcPr>
            <w:tcW w:w="3630" w:type="dxa"/>
          </w:tcPr>
          <w:p>
            <w:pPr>
              <w:pStyle w:val="yTable"/>
              <w:spacing w:after="60"/>
              <w:ind w:left="144"/>
              <w:rPr>
                <w:spacing w:val="-2"/>
                <w:sz w:val="20"/>
              </w:rPr>
            </w:pPr>
            <w:r>
              <w:rPr>
                <w:spacing w:val="-2"/>
                <w:sz w:val="20"/>
              </w:rPr>
              <w:t>Recreational vessels</w:t>
            </w:r>
          </w:p>
        </w:tc>
        <w:tc>
          <w:tcPr>
            <w:tcW w:w="3369" w:type="dxa"/>
          </w:tcPr>
          <w:p>
            <w:pPr>
              <w:pStyle w:val="yTable"/>
              <w:spacing w:after="60"/>
              <w:rPr>
                <w:spacing w:val="-2"/>
                <w:sz w:val="20"/>
              </w:rPr>
            </w:pPr>
            <w:r>
              <w:rPr>
                <w:spacing w:val="-2"/>
                <w:sz w:val="20"/>
              </w:rPr>
              <w:t xml:space="preserve">$55.00 per vessel </w:t>
            </w:r>
          </w:p>
        </w:tc>
      </w:tr>
      <w:tr>
        <w:tc>
          <w:tcPr>
            <w:tcW w:w="3630" w:type="dxa"/>
            <w:tcBorders>
              <w:bottom w:val="nil"/>
            </w:tcBorders>
          </w:tcPr>
          <w:p>
            <w:pPr>
              <w:pStyle w:val="yTable"/>
              <w:spacing w:after="60"/>
              <w:ind w:left="144"/>
              <w:rPr>
                <w:spacing w:val="-2"/>
                <w:sz w:val="20"/>
              </w:rPr>
            </w:pPr>
            <w:r>
              <w:rPr>
                <w:spacing w:val="-2"/>
                <w:sz w:val="20"/>
              </w:rPr>
              <w:t>plus for all vessels</w:t>
            </w:r>
          </w:p>
        </w:tc>
        <w:tc>
          <w:tcPr>
            <w:tcW w:w="3369" w:type="dxa"/>
            <w:tcBorders>
              <w:bottom w:val="nil"/>
            </w:tcBorders>
          </w:tcPr>
          <w:p>
            <w:pPr>
              <w:pStyle w:val="yTable"/>
              <w:spacing w:after="60"/>
              <w:rPr>
                <w:spacing w:val="-2"/>
                <w:sz w:val="20"/>
              </w:rPr>
            </w:pPr>
            <w:r>
              <w:rPr>
                <w:spacing w:val="-2"/>
                <w:sz w:val="20"/>
              </w:rPr>
              <w:t xml:space="preserve">    </w:t>
            </w:r>
            <w:r>
              <w:rPr>
                <w:b/>
                <w:spacing w:val="-2"/>
                <w:sz w:val="20"/>
              </w:rPr>
              <w:t>+</w:t>
            </w:r>
            <w:r>
              <w:rPr>
                <w:spacing w:val="-2"/>
                <w:sz w:val="20"/>
              </w:rPr>
              <w:t xml:space="preserve">      $77.00/m x length of vessel </w:t>
            </w:r>
          </w:p>
        </w:tc>
      </w:tr>
      <w:tr>
        <w:tc>
          <w:tcPr>
            <w:tcW w:w="3630" w:type="dxa"/>
            <w:tcBorders>
              <w:bottom w:val="single" w:sz="4" w:space="0" w:color="auto"/>
            </w:tcBorders>
          </w:tcPr>
          <w:p>
            <w:pPr>
              <w:pStyle w:val="yTable"/>
              <w:tabs>
                <w:tab w:val="left" w:pos="392"/>
              </w:tabs>
              <w:spacing w:after="60"/>
              <w:rPr>
                <w:spacing w:val="-2"/>
                <w:sz w:val="20"/>
              </w:rPr>
            </w:pPr>
            <w:r>
              <w:rPr>
                <w:b/>
                <w:spacing w:val="-2"/>
                <w:sz w:val="20"/>
              </w:rPr>
              <w:t xml:space="preserve">Daily Casual Fee </w:t>
            </w:r>
            <w:r>
              <w:rPr>
                <w:spacing w:val="-2"/>
                <w:sz w:val="20"/>
              </w:rPr>
              <w:t>(all vessels)</w:t>
            </w:r>
          </w:p>
        </w:tc>
        <w:tc>
          <w:tcPr>
            <w:tcW w:w="3369" w:type="dxa"/>
            <w:tcBorders>
              <w:bottom w:val="single" w:sz="4" w:space="0" w:color="auto"/>
            </w:tcBorders>
          </w:tcPr>
          <w:p>
            <w:pPr>
              <w:pStyle w:val="yTable"/>
              <w:spacing w:after="60"/>
              <w:rPr>
                <w:spacing w:val="-2"/>
                <w:sz w:val="20"/>
              </w:rPr>
            </w:pPr>
            <w:r>
              <w:rPr>
                <w:spacing w:val="-2"/>
                <w:sz w:val="20"/>
              </w:rPr>
              <w:t>$5.50/m x length of vessel, per day</w:t>
            </w:r>
          </w:p>
        </w:tc>
      </w:tr>
      <w:tr>
        <w:trPr>
          <w:cantSplit/>
        </w:trPr>
        <w:tc>
          <w:tcPr>
            <w:tcW w:w="3630" w:type="dxa"/>
            <w:tcBorders>
              <w:bottom w:val="single" w:sz="4" w:space="0" w:color="auto"/>
            </w:tcBorders>
          </w:tcPr>
          <w:p>
            <w:pPr>
              <w:pStyle w:val="yTable"/>
              <w:spacing w:after="60"/>
              <w:rPr>
                <w:i/>
                <w:spacing w:val="-2"/>
                <w:sz w:val="20"/>
              </w:rPr>
            </w:pPr>
            <w:r>
              <w:rPr>
                <w:b/>
                <w:spacing w:val="-2"/>
                <w:sz w:val="20"/>
              </w:rPr>
              <w:t>Extended Stay Fee</w:t>
            </w:r>
            <w:r>
              <w:rPr>
                <w:spacing w:val="-2"/>
                <w:sz w:val="20"/>
              </w:rPr>
              <w:t xml:space="preserve"> (for extended or overnight stays at the service jetty for vessels that have paid annual berthing/mooring fees)</w:t>
            </w:r>
          </w:p>
        </w:tc>
        <w:tc>
          <w:tcPr>
            <w:tcW w:w="3369" w:type="dxa"/>
            <w:tcBorders>
              <w:bottom w:val="single" w:sz="4" w:space="0" w:color="auto"/>
            </w:tcBorders>
          </w:tcPr>
          <w:p>
            <w:pPr>
              <w:pStyle w:val="yTable"/>
              <w:keepNext/>
              <w:keepLines/>
              <w:spacing w:after="60"/>
              <w:rPr>
                <w:spacing w:val="-2"/>
                <w:sz w:val="20"/>
              </w:rPr>
            </w:pPr>
            <w:r>
              <w:rPr>
                <w:spacing w:val="-2"/>
                <w:sz w:val="20"/>
              </w:rPr>
              <w:br/>
            </w:r>
            <w:r>
              <w:rPr>
                <w:spacing w:val="-2"/>
                <w:sz w:val="20"/>
              </w:rPr>
              <w:br/>
            </w:r>
            <w:r>
              <w:rPr>
                <w:spacing w:val="-2"/>
                <w:sz w:val="20"/>
              </w:rPr>
              <w:br/>
              <w:t>$44.00 per day</w:t>
            </w:r>
          </w:p>
        </w:tc>
      </w:tr>
      <w:tr>
        <w:trPr>
          <w:cantSplit/>
        </w:trPr>
        <w:tc>
          <w:tcPr>
            <w:tcW w:w="6999" w:type="dxa"/>
            <w:gridSpan w:val="2"/>
            <w:tcBorders>
              <w:top w:val="nil"/>
              <w:left w:val="nil"/>
              <w:bottom w:val="nil"/>
              <w:right w:val="nil"/>
            </w:tcBorders>
          </w:tcPr>
          <w:p>
            <w:pPr>
              <w:pStyle w:val="yNumberedItem"/>
            </w:pPr>
            <w:r>
              <w:t xml:space="preserve">Note: </w:t>
            </w:r>
            <w:r>
              <w:tab/>
              <w:t>A vessel for which a prescribed daily casual fee has been paid for the period in question, and a person who has sought and received specific, prior, Departmental approval to berth at the jetty for the period in question (e.g. for emergency repairs) is exempt from the payment of the extended stay fee.</w:t>
            </w:r>
          </w:p>
        </w:tc>
      </w:tr>
    </w:tbl>
    <w:p>
      <w:pPr>
        <w:pStyle w:val="yHeading4"/>
      </w:pPr>
      <w:bookmarkStart w:id="711" w:name="_Toc170210294"/>
      <w:r>
        <w:t>Subdivision 20</w:t>
      </w:r>
      <w:r>
        <w:rPr>
          <w:b w:val="0"/>
        </w:rPr>
        <w:t> — </w:t>
      </w:r>
      <w:r>
        <w:t>Port Gregory</w:t>
      </w:r>
      <w:bookmarkEnd w:id="711"/>
    </w:p>
    <w:p>
      <w:pPr>
        <w:pStyle w:val="yFootnoteheading"/>
      </w:pPr>
      <w:r>
        <w:tab/>
        <w:t>[Heading inserted in Gazette 24 Jun 2005 p. 2845.]</w:t>
      </w:r>
    </w:p>
    <w:tbl>
      <w:tblPr>
        <w:tblW w:w="0" w:type="auto"/>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91"/>
        <w:gridCol w:w="3766"/>
      </w:tblGrid>
      <w:tr>
        <w:tc>
          <w:tcPr>
            <w:tcW w:w="3191" w:type="dxa"/>
            <w:tcBorders>
              <w:bottom w:val="nil"/>
            </w:tcBorders>
          </w:tcPr>
          <w:p>
            <w:pPr>
              <w:pStyle w:val="yTable"/>
              <w:keepNext/>
              <w:spacing w:before="40" w:after="60"/>
              <w:rPr>
                <w:spacing w:val="-2"/>
                <w:sz w:val="20"/>
              </w:rPr>
            </w:pPr>
            <w:r>
              <w:rPr>
                <w:b/>
                <w:spacing w:val="-2"/>
                <w:sz w:val="20"/>
              </w:rPr>
              <w:t>Daily Casual Fee</w:t>
            </w:r>
          </w:p>
        </w:tc>
        <w:tc>
          <w:tcPr>
            <w:tcW w:w="3766" w:type="dxa"/>
            <w:tcBorders>
              <w:bottom w:val="nil"/>
            </w:tcBorders>
          </w:tcPr>
          <w:p>
            <w:pPr>
              <w:pStyle w:val="yTable"/>
              <w:keepNext/>
              <w:spacing w:before="40" w:after="60"/>
              <w:rPr>
                <w:spacing w:val="-2"/>
                <w:sz w:val="20"/>
              </w:rPr>
            </w:pPr>
            <w:r>
              <w:rPr>
                <w:spacing w:val="-2"/>
                <w:sz w:val="20"/>
              </w:rPr>
              <w:t>$4.05/m x length of vessel, per day</w:t>
            </w:r>
          </w:p>
        </w:tc>
      </w:tr>
      <w:tr>
        <w:tc>
          <w:tcPr>
            <w:tcW w:w="3191" w:type="dxa"/>
            <w:tcBorders>
              <w:bottom w:val="nil"/>
            </w:tcBorders>
          </w:tcPr>
          <w:p>
            <w:pPr>
              <w:pStyle w:val="yTable"/>
              <w:spacing w:before="40" w:after="60"/>
              <w:ind w:left="342"/>
              <w:rPr>
                <w:spacing w:val="-2"/>
                <w:sz w:val="20"/>
              </w:rPr>
            </w:pPr>
            <w:r>
              <w:rPr>
                <w:spacing w:val="-2"/>
                <w:sz w:val="20"/>
              </w:rPr>
              <w:t>Minimum for overnight stay</w:t>
            </w:r>
          </w:p>
        </w:tc>
        <w:tc>
          <w:tcPr>
            <w:tcW w:w="3766" w:type="dxa"/>
            <w:tcBorders>
              <w:bottom w:val="nil"/>
            </w:tcBorders>
          </w:tcPr>
          <w:p>
            <w:pPr>
              <w:pStyle w:val="yTable"/>
              <w:spacing w:before="40" w:after="60"/>
              <w:rPr>
                <w:spacing w:val="-2"/>
                <w:sz w:val="20"/>
              </w:rPr>
            </w:pPr>
            <w:r>
              <w:rPr>
                <w:spacing w:val="-2"/>
                <w:sz w:val="20"/>
              </w:rPr>
              <w:t>$45.00</w:t>
            </w:r>
          </w:p>
        </w:tc>
      </w:tr>
      <w:tr>
        <w:tc>
          <w:tcPr>
            <w:tcW w:w="3191" w:type="dxa"/>
            <w:tcBorders>
              <w:top w:val="single" w:sz="4" w:space="0" w:color="auto"/>
              <w:bottom w:val="single" w:sz="4" w:space="0" w:color="auto"/>
            </w:tcBorders>
          </w:tcPr>
          <w:p>
            <w:pPr>
              <w:pStyle w:val="yTable"/>
              <w:spacing w:before="40" w:after="60"/>
              <w:rPr>
                <w:spacing w:val="-2"/>
                <w:sz w:val="20"/>
              </w:rPr>
            </w:pPr>
            <w:r>
              <w:rPr>
                <w:b/>
                <w:spacing w:val="-2"/>
                <w:sz w:val="20"/>
              </w:rPr>
              <w:t>Annual Use of Service Jetty</w:t>
            </w:r>
          </w:p>
        </w:tc>
        <w:tc>
          <w:tcPr>
            <w:tcW w:w="3766" w:type="dxa"/>
            <w:tcBorders>
              <w:top w:val="single" w:sz="4" w:space="0" w:color="auto"/>
              <w:bottom w:val="single" w:sz="4" w:space="0" w:color="auto"/>
            </w:tcBorders>
          </w:tcPr>
          <w:p>
            <w:pPr>
              <w:pStyle w:val="yTable"/>
              <w:spacing w:before="40" w:after="60"/>
              <w:rPr>
                <w:spacing w:val="-2"/>
                <w:sz w:val="20"/>
              </w:rPr>
            </w:pPr>
            <w:r>
              <w:rPr>
                <w:spacing w:val="-2"/>
                <w:sz w:val="20"/>
              </w:rPr>
              <w:t>$231.58 per vessel</w:t>
            </w:r>
          </w:p>
        </w:tc>
      </w:tr>
    </w:tbl>
    <w:p>
      <w:pPr>
        <w:pStyle w:val="yNumberedItem"/>
      </w:pPr>
      <w:r>
        <w:t>Note:</w:t>
      </w:r>
      <w:r>
        <w:tab/>
        <w:t>A person not paying the Annual Use of Service Jetty fee for a vessel is to pay the Daily Casual Fee.</w:t>
      </w:r>
    </w:p>
    <w:p>
      <w:pPr>
        <w:pStyle w:val="yFootnotesection"/>
      </w:pPr>
      <w:r>
        <w:tab/>
        <w:t>[Division 1 inserted in Gazette 24 Jun 2005 p. 2829-45.]</w:t>
      </w:r>
    </w:p>
    <w:p>
      <w:pPr>
        <w:pStyle w:val="yHeading3"/>
      </w:pPr>
      <w:bookmarkStart w:id="712" w:name="_Toc170210295"/>
      <w:r>
        <w:rPr>
          <w:rStyle w:val="CharSDivNo"/>
        </w:rPr>
        <w:t>Division 2</w:t>
      </w:r>
      <w:r>
        <w:rPr>
          <w:b w:val="0"/>
        </w:rPr>
        <w:t> — </w:t>
      </w:r>
      <w:r>
        <w:rPr>
          <w:rStyle w:val="CharSDivText"/>
        </w:rPr>
        <w:t>Pile mooring fees</w:t>
      </w:r>
      <w:bookmarkEnd w:id="712"/>
    </w:p>
    <w:p>
      <w:pPr>
        <w:pStyle w:val="yShoulderClause"/>
      </w:pPr>
      <w:r>
        <w:t>[r. 94B]</w:t>
      </w:r>
    </w:p>
    <w:p>
      <w:pPr>
        <w:pStyle w:val="yFootnoteheading"/>
      </w:pPr>
      <w:r>
        <w:tab/>
        <w:t>[Heading inserted in Gazette 24 Jun 2005 p. 2845.]</w:t>
      </w:r>
    </w:p>
    <w:p>
      <w:pPr>
        <w:pStyle w:val="yNumberedItem"/>
      </w:pPr>
      <w:r>
        <w:t>Note:</w:t>
      </w:r>
      <w:r>
        <w:tab/>
        <w:t>Unless otherwise indicated, payment of pile mooring fees entitles the hirer to free use of the service jetty located within the harbour in which the mooring is located, subject to the availability of berth space, and to the direction of authorised officers. This free use may be limited to loading, unloading and fuelling operations.</w:t>
      </w:r>
    </w:p>
    <w:p>
      <w:pPr>
        <w:pStyle w:val="yNumberedItem"/>
      </w:pPr>
      <w:r>
        <w:t xml:space="preserve">Note: </w:t>
      </w:r>
      <w:r>
        <w:tab/>
        <w:t xml:space="preserve">The Beadon Creek Boat Harbour (Onslow) pile mooring fees can be found in Division 1, under the inclusive heading of “Shared use of facilities”, in that harbour’s pen and berthing fees. </w:t>
      </w:r>
    </w:p>
    <w:p>
      <w:pPr>
        <w:pStyle w:val="yHeading4"/>
      </w:pPr>
      <w:bookmarkStart w:id="713" w:name="_Toc170210296"/>
      <w:r>
        <w:t>Subdivision 1</w:t>
      </w:r>
      <w:r>
        <w:rPr>
          <w:b w:val="0"/>
        </w:rPr>
        <w:t> — </w:t>
      </w:r>
      <w:r>
        <w:t>Carnarvon Boat Harbour</w:t>
      </w:r>
      <w:bookmarkEnd w:id="713"/>
    </w:p>
    <w:p>
      <w:pPr>
        <w:pStyle w:val="yFootnoteheading"/>
      </w:pPr>
      <w:r>
        <w:tab/>
        <w:t>[Heading inserted in Gazette 24 Jun 2005 p. 2845.]</w:t>
      </w:r>
    </w:p>
    <w:tbl>
      <w:tblPr>
        <w:tblW w:w="0" w:type="auto"/>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205"/>
        <w:gridCol w:w="3766"/>
      </w:tblGrid>
      <w:tr>
        <w:tc>
          <w:tcPr>
            <w:tcW w:w="3205" w:type="dxa"/>
          </w:tcPr>
          <w:p>
            <w:pPr>
              <w:pStyle w:val="yTable"/>
              <w:spacing w:before="40" w:after="120"/>
              <w:ind w:left="84" w:hanging="28"/>
              <w:rPr>
                <w:spacing w:val="-2"/>
                <w:sz w:val="20"/>
              </w:rPr>
            </w:pPr>
            <w:r>
              <w:rPr>
                <w:b/>
                <w:spacing w:val="-2"/>
                <w:sz w:val="20"/>
              </w:rPr>
              <w:t>Annual Fee</w:t>
            </w:r>
          </w:p>
        </w:tc>
        <w:tc>
          <w:tcPr>
            <w:tcW w:w="3766" w:type="dxa"/>
          </w:tcPr>
          <w:p>
            <w:pPr>
              <w:pStyle w:val="yTable"/>
              <w:spacing w:before="40" w:after="120"/>
              <w:rPr>
                <w:spacing w:val="-2"/>
                <w:sz w:val="20"/>
              </w:rPr>
            </w:pPr>
            <w:r>
              <w:rPr>
                <w:spacing w:val="-2"/>
                <w:sz w:val="20"/>
              </w:rPr>
              <w:t>$106.53/m x length of vessel</w:t>
            </w:r>
          </w:p>
        </w:tc>
      </w:tr>
      <w:tr>
        <w:tc>
          <w:tcPr>
            <w:tcW w:w="3205" w:type="dxa"/>
          </w:tcPr>
          <w:p>
            <w:pPr>
              <w:pStyle w:val="yTable"/>
              <w:spacing w:before="40" w:after="120"/>
              <w:ind w:left="56" w:hanging="14"/>
              <w:rPr>
                <w:spacing w:val="-2"/>
                <w:sz w:val="20"/>
              </w:rPr>
            </w:pPr>
            <w:r>
              <w:rPr>
                <w:b/>
                <w:spacing w:val="-2"/>
                <w:sz w:val="20"/>
              </w:rPr>
              <w:t>Part Year Fee – 3 months or more, paid in advance</w:t>
            </w:r>
          </w:p>
        </w:tc>
        <w:tc>
          <w:tcPr>
            <w:tcW w:w="3766" w:type="dxa"/>
          </w:tcPr>
          <w:p>
            <w:pPr>
              <w:pStyle w:val="yTable"/>
              <w:spacing w:before="40" w:after="120"/>
              <w:rPr>
                <w:spacing w:val="-2"/>
                <w:sz w:val="20"/>
              </w:rPr>
            </w:pPr>
            <w:r>
              <w:rPr>
                <w:spacing w:val="-2"/>
                <w:sz w:val="20"/>
              </w:rPr>
              <w:br/>
              <w:t>$10.65/m x length of vessel, per month</w:t>
            </w:r>
          </w:p>
        </w:tc>
      </w:tr>
      <w:tr>
        <w:tc>
          <w:tcPr>
            <w:tcW w:w="3205" w:type="dxa"/>
          </w:tcPr>
          <w:p>
            <w:pPr>
              <w:pStyle w:val="yTable"/>
              <w:spacing w:before="40" w:after="120"/>
              <w:ind w:left="56" w:hanging="14"/>
              <w:rPr>
                <w:spacing w:val="-2"/>
                <w:sz w:val="20"/>
              </w:rPr>
            </w:pPr>
            <w:r>
              <w:rPr>
                <w:b/>
                <w:spacing w:val="-2"/>
                <w:sz w:val="20"/>
              </w:rPr>
              <w:t>Monthly Fee</w:t>
            </w:r>
          </w:p>
        </w:tc>
        <w:tc>
          <w:tcPr>
            <w:tcW w:w="3766" w:type="dxa"/>
          </w:tcPr>
          <w:p>
            <w:pPr>
              <w:pStyle w:val="yTable"/>
              <w:spacing w:before="40" w:after="120"/>
              <w:rPr>
                <w:spacing w:val="-2"/>
                <w:sz w:val="20"/>
              </w:rPr>
            </w:pPr>
            <w:r>
              <w:rPr>
                <w:spacing w:val="-2"/>
                <w:sz w:val="20"/>
              </w:rPr>
              <w:t>$21.31/m x length of vessel, per month</w:t>
            </w:r>
          </w:p>
        </w:tc>
      </w:tr>
      <w:tr>
        <w:tc>
          <w:tcPr>
            <w:tcW w:w="3205" w:type="dxa"/>
            <w:tcBorders>
              <w:bottom w:val="nil"/>
            </w:tcBorders>
          </w:tcPr>
          <w:p>
            <w:pPr>
              <w:pStyle w:val="yTable"/>
              <w:spacing w:before="40" w:after="120"/>
              <w:ind w:left="56" w:hanging="14"/>
              <w:rPr>
                <w:spacing w:val="-2"/>
                <w:sz w:val="20"/>
              </w:rPr>
            </w:pPr>
            <w:r>
              <w:rPr>
                <w:b/>
                <w:spacing w:val="-2"/>
                <w:sz w:val="20"/>
              </w:rPr>
              <w:t>Weekly Fee</w:t>
            </w:r>
          </w:p>
        </w:tc>
        <w:tc>
          <w:tcPr>
            <w:tcW w:w="3766" w:type="dxa"/>
            <w:tcBorders>
              <w:bottom w:val="nil"/>
            </w:tcBorders>
          </w:tcPr>
          <w:p>
            <w:pPr>
              <w:pStyle w:val="yTable"/>
              <w:spacing w:before="40" w:after="120"/>
              <w:rPr>
                <w:spacing w:val="-2"/>
                <w:sz w:val="20"/>
              </w:rPr>
            </w:pPr>
            <w:r>
              <w:rPr>
                <w:spacing w:val="-2"/>
                <w:sz w:val="20"/>
              </w:rPr>
              <w:t>$9.00/m x length of vessel, per week</w:t>
            </w:r>
          </w:p>
        </w:tc>
      </w:tr>
      <w:tr>
        <w:tc>
          <w:tcPr>
            <w:tcW w:w="3205" w:type="dxa"/>
            <w:tcBorders>
              <w:bottom w:val="single" w:sz="4" w:space="0" w:color="auto"/>
            </w:tcBorders>
          </w:tcPr>
          <w:p>
            <w:pPr>
              <w:pStyle w:val="yTable"/>
              <w:spacing w:before="40" w:after="120"/>
              <w:ind w:left="56" w:hanging="14"/>
              <w:rPr>
                <w:spacing w:val="-2"/>
                <w:sz w:val="20"/>
              </w:rPr>
            </w:pPr>
            <w:r>
              <w:rPr>
                <w:b/>
                <w:spacing w:val="-2"/>
                <w:sz w:val="20"/>
              </w:rPr>
              <w:t>Daily Casual Fee</w:t>
            </w:r>
          </w:p>
        </w:tc>
        <w:tc>
          <w:tcPr>
            <w:tcW w:w="3766" w:type="dxa"/>
            <w:tcBorders>
              <w:bottom w:val="single" w:sz="4" w:space="0" w:color="auto"/>
            </w:tcBorders>
          </w:tcPr>
          <w:p>
            <w:pPr>
              <w:pStyle w:val="yTable"/>
              <w:spacing w:before="40" w:after="120"/>
              <w:rPr>
                <w:spacing w:val="-2"/>
                <w:sz w:val="20"/>
              </w:rPr>
            </w:pPr>
            <w:r>
              <w:rPr>
                <w:spacing w:val="-2"/>
                <w:sz w:val="20"/>
              </w:rPr>
              <w:t>$1.80/m x length of vessel, per day</w:t>
            </w:r>
          </w:p>
        </w:tc>
      </w:tr>
    </w:tbl>
    <w:p>
      <w:pPr>
        <w:pStyle w:val="yNumberedItem"/>
      </w:pPr>
      <w:r>
        <w:t xml:space="preserve">Note: </w:t>
      </w:r>
      <w:r>
        <w:tab/>
        <w:t>Does not include entitlement to use pens, Land Backed Wharf or T Jetty for other than fuelling purposes for which fuel wharfage is payable.</w:t>
      </w:r>
    </w:p>
    <w:p>
      <w:pPr>
        <w:pStyle w:val="yNumberedItem"/>
      </w:pPr>
      <w:r>
        <w:t xml:space="preserve">Note: </w:t>
      </w:r>
      <w:r>
        <w:tab/>
        <w:t>Vessels requiring use of the Land Backed Wharf, T Jetty or T Jetty pens have the option of paying casual or term fees specified for use of Land Backed Wharf, T Jetty or T Jetty pens.</w:t>
      </w:r>
    </w:p>
    <w:p>
      <w:pPr>
        <w:pStyle w:val="yHeading4"/>
      </w:pPr>
      <w:bookmarkStart w:id="714" w:name="_Toc170210297"/>
      <w:r>
        <w:t>Subdivision 2</w:t>
      </w:r>
      <w:r>
        <w:rPr>
          <w:b w:val="0"/>
        </w:rPr>
        <w:t> — </w:t>
      </w:r>
      <w:r>
        <w:t>Other harbours and ports generally</w:t>
      </w:r>
      <w:bookmarkEnd w:id="714"/>
    </w:p>
    <w:p>
      <w:pPr>
        <w:pStyle w:val="yFootnoteheading"/>
      </w:pPr>
      <w:r>
        <w:tab/>
        <w:t>[Heading inserted in Gazette 24 Jun 2005 p. 2846.]</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77"/>
        <w:gridCol w:w="3827"/>
      </w:tblGrid>
      <w:tr>
        <w:tc>
          <w:tcPr>
            <w:tcW w:w="3177" w:type="dxa"/>
            <w:tcBorders>
              <w:bottom w:val="nil"/>
            </w:tcBorders>
          </w:tcPr>
          <w:p>
            <w:pPr>
              <w:pStyle w:val="yTable"/>
              <w:keepNext/>
              <w:keepLines/>
              <w:tabs>
                <w:tab w:val="left" w:pos="342"/>
              </w:tabs>
              <w:spacing w:after="40"/>
              <w:rPr>
                <w:spacing w:val="-2"/>
                <w:sz w:val="20"/>
              </w:rPr>
            </w:pPr>
            <w:r>
              <w:rPr>
                <w:b/>
                <w:spacing w:val="-2"/>
                <w:sz w:val="20"/>
              </w:rPr>
              <w:t>Annual Fee</w:t>
            </w:r>
          </w:p>
        </w:tc>
        <w:tc>
          <w:tcPr>
            <w:tcW w:w="3827" w:type="dxa"/>
            <w:tcBorders>
              <w:bottom w:val="nil"/>
            </w:tcBorders>
          </w:tcPr>
          <w:p>
            <w:pPr>
              <w:pStyle w:val="yTable"/>
              <w:keepNext/>
              <w:keepLines/>
              <w:spacing w:after="40"/>
              <w:rPr>
                <w:spacing w:val="-2"/>
                <w:sz w:val="20"/>
              </w:rPr>
            </w:pPr>
            <w:r>
              <w:rPr>
                <w:spacing w:val="-2"/>
                <w:sz w:val="20"/>
              </w:rPr>
              <w:t xml:space="preserve">$118.57/m x length of vessel </w:t>
            </w:r>
          </w:p>
        </w:tc>
      </w:tr>
      <w:tr>
        <w:tc>
          <w:tcPr>
            <w:tcW w:w="3177" w:type="dxa"/>
            <w:tcBorders>
              <w:bottom w:val="single" w:sz="4" w:space="0" w:color="auto"/>
            </w:tcBorders>
          </w:tcPr>
          <w:p>
            <w:pPr>
              <w:pStyle w:val="yTable"/>
              <w:keepNext/>
              <w:keepLines/>
              <w:spacing w:after="40"/>
              <w:rPr>
                <w:spacing w:val="-2"/>
                <w:sz w:val="20"/>
              </w:rPr>
            </w:pPr>
            <w:r>
              <w:rPr>
                <w:b/>
                <w:spacing w:val="-2"/>
                <w:sz w:val="20"/>
              </w:rPr>
              <w:t>Monthly Fee</w:t>
            </w:r>
          </w:p>
        </w:tc>
        <w:tc>
          <w:tcPr>
            <w:tcW w:w="3827" w:type="dxa"/>
            <w:tcBorders>
              <w:bottom w:val="single" w:sz="4" w:space="0" w:color="auto"/>
            </w:tcBorders>
          </w:tcPr>
          <w:p>
            <w:pPr>
              <w:pStyle w:val="yTable"/>
              <w:keepNext/>
              <w:keepLines/>
              <w:spacing w:after="40"/>
              <w:rPr>
                <w:spacing w:val="-2"/>
                <w:sz w:val="20"/>
              </w:rPr>
            </w:pPr>
            <w:r>
              <w:rPr>
                <w:spacing w:val="-2"/>
                <w:sz w:val="20"/>
              </w:rPr>
              <w:t>$23.71/m x length of vessel, per month</w:t>
            </w:r>
          </w:p>
        </w:tc>
      </w:tr>
      <w:tr>
        <w:tc>
          <w:tcPr>
            <w:tcW w:w="3177" w:type="dxa"/>
            <w:tcBorders>
              <w:bottom w:val="single" w:sz="4" w:space="0" w:color="auto"/>
            </w:tcBorders>
          </w:tcPr>
          <w:p>
            <w:pPr>
              <w:pStyle w:val="yTable"/>
              <w:spacing w:after="40"/>
              <w:rPr>
                <w:spacing w:val="-2"/>
                <w:sz w:val="20"/>
              </w:rPr>
            </w:pPr>
            <w:r>
              <w:rPr>
                <w:b/>
                <w:spacing w:val="-2"/>
                <w:sz w:val="20"/>
              </w:rPr>
              <w:t>Daily Fee</w:t>
            </w:r>
          </w:p>
        </w:tc>
        <w:tc>
          <w:tcPr>
            <w:tcW w:w="3827" w:type="dxa"/>
            <w:tcBorders>
              <w:bottom w:val="single" w:sz="4" w:space="0" w:color="auto"/>
            </w:tcBorders>
          </w:tcPr>
          <w:p>
            <w:pPr>
              <w:pStyle w:val="yTable"/>
              <w:spacing w:after="40"/>
              <w:rPr>
                <w:spacing w:val="-2"/>
                <w:sz w:val="20"/>
              </w:rPr>
            </w:pPr>
            <w:r>
              <w:rPr>
                <w:spacing w:val="-2"/>
                <w:sz w:val="20"/>
              </w:rPr>
              <w:t>$2.37/m x length of vessel</w:t>
            </w:r>
          </w:p>
        </w:tc>
      </w:tr>
    </w:tbl>
    <w:p>
      <w:pPr>
        <w:pStyle w:val="yFootnotesection"/>
      </w:pPr>
      <w:r>
        <w:tab/>
        <w:t>[Division 2 inserted in Gazette 24 Jun 2005 p. 2845-6.]</w:t>
      </w:r>
    </w:p>
    <w:p>
      <w:pPr>
        <w:pStyle w:val="yHeading3"/>
      </w:pPr>
      <w:bookmarkStart w:id="715" w:name="_Toc170210298"/>
      <w:r>
        <w:rPr>
          <w:rStyle w:val="CharSDivNo"/>
        </w:rPr>
        <w:t>Division 3</w:t>
      </w:r>
      <w:r>
        <w:rPr>
          <w:b w:val="0"/>
        </w:rPr>
        <w:t> — </w:t>
      </w:r>
      <w:r>
        <w:rPr>
          <w:rStyle w:val="CharSDivText"/>
        </w:rPr>
        <w:t>Miscellaneous fees</w:t>
      </w:r>
      <w:bookmarkEnd w:id="715"/>
    </w:p>
    <w:p>
      <w:pPr>
        <w:pStyle w:val="yShoulderClause"/>
      </w:pPr>
      <w:r>
        <w:t>[r. 94C]</w:t>
      </w:r>
    </w:p>
    <w:p>
      <w:pPr>
        <w:pStyle w:val="yFootnoteheading"/>
      </w:pPr>
      <w:r>
        <w:tab/>
        <w:t>[Heading inserted in Gazette 24 Jun 2005 p. 2846.]</w:t>
      </w:r>
    </w:p>
    <w:p>
      <w:pPr>
        <w:pStyle w:val="yMiscellaneousBody"/>
        <w:spacing w:after="40"/>
        <w:rPr>
          <w:sz w:val="20"/>
        </w:rPr>
      </w:pPr>
      <w:r>
        <w:rPr>
          <w:sz w:val="20"/>
        </w:rPr>
        <w:t xml:space="preserve">Fees payable for any Departmental jetty, wharf or harbour for which no other fee has been prescribed — </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77"/>
        <w:gridCol w:w="3827"/>
      </w:tblGrid>
      <w:tr>
        <w:tc>
          <w:tcPr>
            <w:tcW w:w="3177" w:type="dxa"/>
          </w:tcPr>
          <w:p>
            <w:pPr>
              <w:pStyle w:val="yTable"/>
              <w:tabs>
                <w:tab w:val="left" w:pos="284"/>
              </w:tabs>
              <w:spacing w:after="40"/>
              <w:ind w:left="284" w:hanging="284"/>
              <w:rPr>
                <w:spacing w:val="-2"/>
                <w:sz w:val="20"/>
              </w:rPr>
            </w:pPr>
            <w:r>
              <w:rPr>
                <w:b/>
                <w:spacing w:val="-2"/>
                <w:sz w:val="20"/>
              </w:rPr>
              <w:t>Daily Casual Fee</w:t>
            </w:r>
          </w:p>
        </w:tc>
        <w:tc>
          <w:tcPr>
            <w:tcW w:w="3827" w:type="dxa"/>
          </w:tcPr>
          <w:p>
            <w:pPr>
              <w:pStyle w:val="yTable"/>
              <w:spacing w:after="40"/>
              <w:rPr>
                <w:spacing w:val="-2"/>
                <w:sz w:val="20"/>
              </w:rPr>
            </w:pPr>
            <w:r>
              <w:rPr>
                <w:spacing w:val="-2"/>
                <w:sz w:val="20"/>
              </w:rPr>
              <w:t>$3.55/m x length of vessel, per day</w:t>
            </w:r>
          </w:p>
        </w:tc>
      </w:tr>
      <w:tr>
        <w:tc>
          <w:tcPr>
            <w:tcW w:w="3177" w:type="dxa"/>
          </w:tcPr>
          <w:p>
            <w:pPr>
              <w:pStyle w:val="yTable"/>
              <w:tabs>
                <w:tab w:val="left" w:pos="284"/>
              </w:tabs>
              <w:spacing w:after="40"/>
              <w:ind w:left="284" w:hanging="284"/>
              <w:rPr>
                <w:b/>
                <w:spacing w:val="-2"/>
                <w:sz w:val="20"/>
              </w:rPr>
            </w:pPr>
            <w:r>
              <w:rPr>
                <w:b/>
                <w:spacing w:val="-2"/>
                <w:sz w:val="20"/>
              </w:rPr>
              <w:t>Electric Power Charge</w:t>
            </w:r>
          </w:p>
        </w:tc>
        <w:tc>
          <w:tcPr>
            <w:tcW w:w="3827" w:type="dxa"/>
          </w:tcPr>
          <w:p>
            <w:pPr>
              <w:pStyle w:val="yTable"/>
              <w:spacing w:after="40"/>
              <w:rPr>
                <w:spacing w:val="-2"/>
                <w:sz w:val="20"/>
              </w:rPr>
            </w:pPr>
            <w:r>
              <w:rPr>
                <w:spacing w:val="-2"/>
                <w:sz w:val="20"/>
              </w:rPr>
              <w:t>$23.71/12 hour period</w:t>
            </w:r>
          </w:p>
        </w:tc>
      </w:tr>
      <w:tr>
        <w:tc>
          <w:tcPr>
            <w:tcW w:w="3177" w:type="dxa"/>
          </w:tcPr>
          <w:p>
            <w:pPr>
              <w:pStyle w:val="yTable"/>
              <w:keepNext/>
              <w:keepLines/>
              <w:tabs>
                <w:tab w:val="left" w:pos="284"/>
              </w:tabs>
              <w:spacing w:after="40"/>
              <w:ind w:left="284" w:hanging="284"/>
              <w:rPr>
                <w:b/>
                <w:spacing w:val="-2"/>
                <w:sz w:val="20"/>
              </w:rPr>
            </w:pPr>
            <w:r>
              <w:rPr>
                <w:b/>
                <w:spacing w:val="-2"/>
                <w:sz w:val="20"/>
              </w:rPr>
              <w:t>General Cargo Wharfage</w:t>
            </w:r>
          </w:p>
        </w:tc>
        <w:tc>
          <w:tcPr>
            <w:tcW w:w="3827" w:type="dxa"/>
          </w:tcPr>
          <w:p>
            <w:pPr>
              <w:pStyle w:val="yTable"/>
              <w:keepNext/>
              <w:keepLines/>
              <w:spacing w:after="40"/>
              <w:rPr>
                <w:spacing w:val="-2"/>
                <w:sz w:val="20"/>
              </w:rPr>
            </w:pPr>
          </w:p>
        </w:tc>
      </w:tr>
      <w:tr>
        <w:tc>
          <w:tcPr>
            <w:tcW w:w="3177" w:type="dxa"/>
          </w:tcPr>
          <w:p>
            <w:pPr>
              <w:pStyle w:val="yTable"/>
              <w:keepNext/>
              <w:keepLines/>
              <w:spacing w:after="40"/>
              <w:ind w:left="258"/>
              <w:rPr>
                <w:spacing w:val="-2"/>
                <w:sz w:val="20"/>
              </w:rPr>
            </w:pPr>
            <w:r>
              <w:rPr>
                <w:spacing w:val="-2"/>
                <w:sz w:val="20"/>
              </w:rPr>
              <w:t>for cargo</w:t>
            </w:r>
          </w:p>
        </w:tc>
        <w:tc>
          <w:tcPr>
            <w:tcW w:w="3827" w:type="dxa"/>
          </w:tcPr>
          <w:p>
            <w:pPr>
              <w:pStyle w:val="yTable"/>
              <w:keepNext/>
              <w:keepLines/>
              <w:spacing w:after="40"/>
              <w:rPr>
                <w:spacing w:val="-2"/>
                <w:sz w:val="20"/>
              </w:rPr>
            </w:pPr>
            <w:r>
              <w:rPr>
                <w:spacing w:val="-2"/>
                <w:sz w:val="20"/>
              </w:rPr>
              <w:t>$4.74/t or m</w:t>
            </w:r>
            <w:r>
              <w:rPr>
                <w:spacing w:val="-2"/>
                <w:sz w:val="20"/>
                <w:vertAlign w:val="superscript"/>
              </w:rPr>
              <w:t>3</w:t>
            </w:r>
          </w:p>
        </w:tc>
      </w:tr>
      <w:tr>
        <w:tc>
          <w:tcPr>
            <w:tcW w:w="3177" w:type="dxa"/>
          </w:tcPr>
          <w:p>
            <w:pPr>
              <w:pStyle w:val="yTable"/>
              <w:spacing w:after="40"/>
              <w:ind w:left="258"/>
              <w:rPr>
                <w:spacing w:val="-2"/>
                <w:sz w:val="20"/>
              </w:rPr>
            </w:pPr>
            <w:r>
              <w:rPr>
                <w:spacing w:val="-2"/>
                <w:sz w:val="20"/>
              </w:rPr>
              <w:t>if vessel lifted over service jetty</w:t>
            </w:r>
          </w:p>
        </w:tc>
        <w:tc>
          <w:tcPr>
            <w:tcW w:w="3827" w:type="dxa"/>
          </w:tcPr>
          <w:p>
            <w:pPr>
              <w:pStyle w:val="yTable"/>
              <w:spacing w:after="40"/>
              <w:rPr>
                <w:spacing w:val="-2"/>
                <w:sz w:val="20"/>
              </w:rPr>
            </w:pPr>
            <w:r>
              <w:rPr>
                <w:spacing w:val="-2"/>
                <w:sz w:val="20"/>
              </w:rPr>
              <w:t xml:space="preserve">$10.67/m of vessel lifted </w:t>
            </w:r>
          </w:p>
        </w:tc>
      </w:tr>
      <w:tr>
        <w:tc>
          <w:tcPr>
            <w:tcW w:w="3177" w:type="dxa"/>
          </w:tcPr>
          <w:p>
            <w:pPr>
              <w:pStyle w:val="yTable"/>
              <w:tabs>
                <w:tab w:val="left" w:pos="284"/>
              </w:tabs>
              <w:spacing w:after="40"/>
              <w:ind w:left="284" w:hanging="284"/>
              <w:rPr>
                <w:b/>
                <w:spacing w:val="-2"/>
                <w:sz w:val="20"/>
              </w:rPr>
            </w:pPr>
            <w:r>
              <w:rPr>
                <w:b/>
                <w:spacing w:val="-2"/>
                <w:sz w:val="20"/>
              </w:rPr>
              <w:t>Rubbish Disposal</w:t>
            </w:r>
          </w:p>
        </w:tc>
        <w:tc>
          <w:tcPr>
            <w:tcW w:w="3827" w:type="dxa"/>
          </w:tcPr>
          <w:p>
            <w:pPr>
              <w:pStyle w:val="yTable"/>
              <w:spacing w:after="40"/>
              <w:rPr>
                <w:spacing w:val="-2"/>
                <w:sz w:val="20"/>
              </w:rPr>
            </w:pPr>
          </w:p>
        </w:tc>
      </w:tr>
      <w:tr>
        <w:tc>
          <w:tcPr>
            <w:tcW w:w="3177" w:type="dxa"/>
            <w:tcBorders>
              <w:bottom w:val="nil"/>
            </w:tcBorders>
          </w:tcPr>
          <w:p>
            <w:pPr>
              <w:pStyle w:val="yTable"/>
              <w:spacing w:after="40"/>
              <w:ind w:left="258"/>
              <w:rPr>
                <w:b/>
                <w:spacing w:val="-2"/>
                <w:sz w:val="20"/>
              </w:rPr>
            </w:pPr>
            <w:r>
              <w:rPr>
                <w:spacing w:val="-2"/>
                <w:sz w:val="20"/>
              </w:rPr>
              <w:t>for excess quantities, or if from other than vessels not using harbour</w:t>
            </w:r>
          </w:p>
        </w:tc>
        <w:tc>
          <w:tcPr>
            <w:tcW w:w="3827" w:type="dxa"/>
            <w:tcBorders>
              <w:bottom w:val="nil"/>
            </w:tcBorders>
          </w:tcPr>
          <w:p>
            <w:pPr>
              <w:pStyle w:val="yTable"/>
              <w:spacing w:after="40"/>
              <w:rPr>
                <w:spacing w:val="-2"/>
                <w:sz w:val="20"/>
              </w:rPr>
            </w:pPr>
            <w:r>
              <w:rPr>
                <w:spacing w:val="-2"/>
                <w:sz w:val="20"/>
              </w:rPr>
              <w:br/>
            </w:r>
            <w:r>
              <w:rPr>
                <w:spacing w:val="-2"/>
                <w:sz w:val="20"/>
              </w:rPr>
              <w:br/>
              <w:t>$59.29 per service</w:t>
            </w:r>
          </w:p>
        </w:tc>
      </w:tr>
      <w:tr>
        <w:tc>
          <w:tcPr>
            <w:tcW w:w="3177" w:type="dxa"/>
            <w:tcBorders>
              <w:bottom w:val="single" w:sz="4" w:space="0" w:color="auto"/>
            </w:tcBorders>
          </w:tcPr>
          <w:p>
            <w:pPr>
              <w:pStyle w:val="yTable"/>
              <w:spacing w:after="40"/>
              <w:ind w:left="258"/>
              <w:rPr>
                <w:spacing w:val="-2"/>
                <w:sz w:val="20"/>
              </w:rPr>
            </w:pPr>
            <w:r>
              <w:rPr>
                <w:spacing w:val="-2"/>
                <w:sz w:val="20"/>
              </w:rPr>
              <w:t>to clean up rubbish not placed in bins</w:t>
            </w:r>
          </w:p>
        </w:tc>
        <w:tc>
          <w:tcPr>
            <w:tcW w:w="3827" w:type="dxa"/>
            <w:tcBorders>
              <w:bottom w:val="single" w:sz="4" w:space="0" w:color="auto"/>
            </w:tcBorders>
          </w:tcPr>
          <w:p>
            <w:pPr>
              <w:pStyle w:val="yTable"/>
              <w:spacing w:after="40"/>
              <w:rPr>
                <w:spacing w:val="-2"/>
                <w:sz w:val="20"/>
              </w:rPr>
            </w:pPr>
            <w:r>
              <w:rPr>
                <w:spacing w:val="-2"/>
                <w:sz w:val="20"/>
              </w:rPr>
              <w:br/>
              <w:t>At cost</w:t>
            </w:r>
          </w:p>
        </w:tc>
      </w:tr>
    </w:tbl>
    <w:p>
      <w:pPr>
        <w:pStyle w:val="yFootnotesection"/>
      </w:pPr>
      <w:r>
        <w:tab/>
        <w:t>[Division 3 inserted in Gazette 24 Jun 2005 p. 2846.]</w:t>
      </w:r>
    </w:p>
    <w:p>
      <w:pPr>
        <w:pStyle w:val="yHeading3"/>
      </w:pPr>
      <w:bookmarkStart w:id="716" w:name="_Toc170210299"/>
      <w:r>
        <w:rPr>
          <w:rStyle w:val="CharSDivNo"/>
        </w:rPr>
        <w:t>Division 4</w:t>
      </w:r>
      <w:r>
        <w:rPr>
          <w:b w:val="0"/>
        </w:rPr>
        <w:t> — </w:t>
      </w:r>
      <w:r>
        <w:rPr>
          <w:rStyle w:val="CharSDivText"/>
        </w:rPr>
        <w:t>Service jetties: fuel wharfage fees</w:t>
      </w:r>
      <w:bookmarkEnd w:id="716"/>
    </w:p>
    <w:p>
      <w:pPr>
        <w:pStyle w:val="yFootnoteheading"/>
      </w:pPr>
      <w:r>
        <w:tab/>
        <w:t>[Heading inserted in Gazette 24 Jun 2005 p. 2846.]</w:t>
      </w:r>
    </w:p>
    <w:p>
      <w:pPr>
        <w:pStyle w:val="yTable"/>
        <w:spacing w:before="120" w:after="80"/>
        <w:rPr>
          <w:bCs/>
        </w:rPr>
      </w:pPr>
      <w:r>
        <w:rPr>
          <w:bCs/>
        </w:rPr>
        <w:t>Rate per litre of fuel oil used</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021"/>
        <w:gridCol w:w="2371"/>
      </w:tblGrid>
      <w:tr>
        <w:tc>
          <w:tcPr>
            <w:tcW w:w="3021" w:type="dxa"/>
          </w:tcPr>
          <w:p>
            <w:pPr>
              <w:pStyle w:val="yTable"/>
              <w:spacing w:after="40"/>
              <w:rPr>
                <w:spacing w:val="-2"/>
                <w:sz w:val="20"/>
              </w:rPr>
            </w:pPr>
            <w:r>
              <w:rPr>
                <w:spacing w:val="-2"/>
                <w:sz w:val="20"/>
              </w:rPr>
              <w:t>Augusta</w:t>
            </w:r>
          </w:p>
        </w:tc>
        <w:tc>
          <w:tcPr>
            <w:tcW w:w="2371" w:type="dxa"/>
          </w:tcPr>
          <w:p>
            <w:pPr>
              <w:pStyle w:val="yTable"/>
              <w:spacing w:after="40"/>
              <w:rPr>
                <w:spacing w:val="-2"/>
                <w:sz w:val="20"/>
              </w:rPr>
            </w:pPr>
            <w:r>
              <w:rPr>
                <w:spacing w:val="-2"/>
                <w:sz w:val="20"/>
              </w:rPr>
              <w:t>$0.024</w:t>
            </w:r>
          </w:p>
        </w:tc>
      </w:tr>
      <w:tr>
        <w:tc>
          <w:tcPr>
            <w:tcW w:w="3021" w:type="dxa"/>
          </w:tcPr>
          <w:p>
            <w:pPr>
              <w:pStyle w:val="yTable"/>
              <w:spacing w:after="40"/>
              <w:rPr>
                <w:spacing w:val="-2"/>
                <w:sz w:val="20"/>
              </w:rPr>
            </w:pPr>
            <w:r>
              <w:rPr>
                <w:spacing w:val="-2"/>
                <w:sz w:val="20"/>
              </w:rPr>
              <w:t>Beadon Creek (Onslow)</w:t>
            </w:r>
          </w:p>
        </w:tc>
        <w:tc>
          <w:tcPr>
            <w:tcW w:w="2371" w:type="dxa"/>
          </w:tcPr>
          <w:p>
            <w:pPr>
              <w:pStyle w:val="yTable"/>
              <w:spacing w:after="40"/>
              <w:rPr>
                <w:spacing w:val="-2"/>
                <w:sz w:val="20"/>
              </w:rPr>
            </w:pPr>
            <w:r>
              <w:rPr>
                <w:spacing w:val="-2"/>
                <w:sz w:val="20"/>
              </w:rPr>
              <w:t>$0.0563</w:t>
            </w:r>
          </w:p>
        </w:tc>
      </w:tr>
      <w:tr>
        <w:tc>
          <w:tcPr>
            <w:tcW w:w="3021" w:type="dxa"/>
          </w:tcPr>
          <w:p>
            <w:pPr>
              <w:pStyle w:val="yTable"/>
              <w:spacing w:after="40"/>
              <w:rPr>
                <w:spacing w:val="-2"/>
                <w:sz w:val="20"/>
              </w:rPr>
            </w:pPr>
            <w:r>
              <w:rPr>
                <w:spacing w:val="-2"/>
                <w:sz w:val="20"/>
              </w:rPr>
              <w:t>Bremer Bay</w:t>
            </w:r>
          </w:p>
        </w:tc>
        <w:tc>
          <w:tcPr>
            <w:tcW w:w="2371" w:type="dxa"/>
          </w:tcPr>
          <w:p>
            <w:pPr>
              <w:pStyle w:val="yTable"/>
              <w:spacing w:after="40"/>
              <w:rPr>
                <w:spacing w:val="-2"/>
                <w:sz w:val="20"/>
              </w:rPr>
            </w:pPr>
            <w:r>
              <w:rPr>
                <w:spacing w:val="-2"/>
                <w:sz w:val="20"/>
              </w:rPr>
              <w:t>$0.036</w:t>
            </w:r>
          </w:p>
        </w:tc>
      </w:tr>
      <w:tr>
        <w:tc>
          <w:tcPr>
            <w:tcW w:w="3021" w:type="dxa"/>
          </w:tcPr>
          <w:p>
            <w:pPr>
              <w:pStyle w:val="yTable"/>
              <w:spacing w:after="40"/>
              <w:rPr>
                <w:spacing w:val="-2"/>
                <w:sz w:val="20"/>
              </w:rPr>
            </w:pPr>
            <w:r>
              <w:rPr>
                <w:spacing w:val="-2"/>
                <w:sz w:val="20"/>
              </w:rPr>
              <w:t>Carnarvon</w:t>
            </w:r>
          </w:p>
        </w:tc>
        <w:tc>
          <w:tcPr>
            <w:tcW w:w="2371" w:type="dxa"/>
          </w:tcPr>
          <w:p>
            <w:pPr>
              <w:pStyle w:val="yTable"/>
              <w:spacing w:after="40"/>
              <w:rPr>
                <w:spacing w:val="-2"/>
                <w:sz w:val="20"/>
              </w:rPr>
            </w:pPr>
            <w:r>
              <w:rPr>
                <w:spacing w:val="-2"/>
                <w:sz w:val="20"/>
              </w:rPr>
              <w:t>$0.055</w:t>
            </w:r>
          </w:p>
        </w:tc>
      </w:tr>
      <w:tr>
        <w:tc>
          <w:tcPr>
            <w:tcW w:w="3021" w:type="dxa"/>
          </w:tcPr>
          <w:p>
            <w:pPr>
              <w:pStyle w:val="yTable"/>
              <w:spacing w:after="40"/>
              <w:rPr>
                <w:spacing w:val="-2"/>
                <w:sz w:val="20"/>
              </w:rPr>
            </w:pPr>
            <w:r>
              <w:rPr>
                <w:spacing w:val="-2"/>
                <w:sz w:val="20"/>
              </w:rPr>
              <w:t>Casuarina (Bunbury) Boat Harbour</w:t>
            </w:r>
          </w:p>
        </w:tc>
        <w:tc>
          <w:tcPr>
            <w:tcW w:w="2371" w:type="dxa"/>
          </w:tcPr>
          <w:p>
            <w:pPr>
              <w:pStyle w:val="yTable"/>
              <w:spacing w:after="40"/>
              <w:rPr>
                <w:spacing w:val="-2"/>
                <w:sz w:val="20"/>
              </w:rPr>
            </w:pPr>
            <w:r>
              <w:rPr>
                <w:spacing w:val="-2"/>
                <w:sz w:val="20"/>
              </w:rPr>
              <w:t>$0.035</w:t>
            </w:r>
          </w:p>
        </w:tc>
      </w:tr>
      <w:tr>
        <w:tc>
          <w:tcPr>
            <w:tcW w:w="3021" w:type="dxa"/>
          </w:tcPr>
          <w:p>
            <w:pPr>
              <w:pStyle w:val="yTable"/>
              <w:spacing w:after="40"/>
              <w:rPr>
                <w:spacing w:val="-2"/>
                <w:sz w:val="20"/>
              </w:rPr>
            </w:pPr>
            <w:r>
              <w:rPr>
                <w:spacing w:val="-2"/>
                <w:sz w:val="20"/>
              </w:rPr>
              <w:t>Cervantes</w:t>
            </w:r>
          </w:p>
        </w:tc>
        <w:tc>
          <w:tcPr>
            <w:tcW w:w="2371" w:type="dxa"/>
          </w:tcPr>
          <w:p>
            <w:pPr>
              <w:pStyle w:val="yTable"/>
              <w:spacing w:after="40"/>
              <w:rPr>
                <w:spacing w:val="-2"/>
                <w:sz w:val="20"/>
              </w:rPr>
            </w:pPr>
            <w:r>
              <w:rPr>
                <w:spacing w:val="-2"/>
                <w:sz w:val="20"/>
              </w:rPr>
              <w:t>$0.0825</w:t>
            </w:r>
          </w:p>
        </w:tc>
      </w:tr>
      <w:tr>
        <w:tc>
          <w:tcPr>
            <w:tcW w:w="3021" w:type="dxa"/>
          </w:tcPr>
          <w:p>
            <w:pPr>
              <w:pStyle w:val="yTable"/>
              <w:spacing w:after="40"/>
              <w:rPr>
                <w:spacing w:val="-2"/>
                <w:sz w:val="20"/>
              </w:rPr>
            </w:pPr>
            <w:r>
              <w:rPr>
                <w:spacing w:val="-2"/>
                <w:sz w:val="20"/>
              </w:rPr>
              <w:t>Emu Point (Albany)</w:t>
            </w:r>
          </w:p>
        </w:tc>
        <w:tc>
          <w:tcPr>
            <w:tcW w:w="2371" w:type="dxa"/>
          </w:tcPr>
          <w:p>
            <w:pPr>
              <w:pStyle w:val="yTable"/>
              <w:spacing w:after="40"/>
              <w:rPr>
                <w:spacing w:val="-2"/>
                <w:sz w:val="20"/>
              </w:rPr>
            </w:pPr>
            <w:r>
              <w:rPr>
                <w:spacing w:val="-2"/>
                <w:sz w:val="20"/>
              </w:rPr>
              <w:t>$0.047</w:t>
            </w:r>
          </w:p>
        </w:tc>
      </w:tr>
      <w:tr>
        <w:tc>
          <w:tcPr>
            <w:tcW w:w="3021" w:type="dxa"/>
          </w:tcPr>
          <w:p>
            <w:pPr>
              <w:pStyle w:val="yTable"/>
              <w:spacing w:after="40"/>
              <w:rPr>
                <w:spacing w:val="-2"/>
                <w:sz w:val="20"/>
              </w:rPr>
            </w:pPr>
            <w:r>
              <w:rPr>
                <w:spacing w:val="-2"/>
                <w:sz w:val="20"/>
              </w:rPr>
              <w:t>Exmouth</w:t>
            </w:r>
          </w:p>
        </w:tc>
        <w:tc>
          <w:tcPr>
            <w:tcW w:w="2371" w:type="dxa"/>
          </w:tcPr>
          <w:p>
            <w:pPr>
              <w:pStyle w:val="yTable"/>
              <w:spacing w:after="40"/>
              <w:rPr>
                <w:spacing w:val="-2"/>
                <w:sz w:val="20"/>
                <w:lang w:val="en-US"/>
              </w:rPr>
            </w:pPr>
            <w:r>
              <w:rPr>
                <w:spacing w:val="-2"/>
                <w:sz w:val="20"/>
              </w:rPr>
              <w:t xml:space="preserve">$0.0464 </w:t>
            </w:r>
          </w:p>
        </w:tc>
      </w:tr>
      <w:tr>
        <w:tc>
          <w:tcPr>
            <w:tcW w:w="3021" w:type="dxa"/>
          </w:tcPr>
          <w:p>
            <w:pPr>
              <w:pStyle w:val="yTable"/>
              <w:spacing w:after="40"/>
              <w:rPr>
                <w:spacing w:val="-2"/>
                <w:sz w:val="20"/>
              </w:rPr>
            </w:pPr>
            <w:r>
              <w:rPr>
                <w:spacing w:val="-2"/>
                <w:sz w:val="20"/>
              </w:rPr>
              <w:t>Fremantle Fishing Boat Harbour</w:t>
            </w:r>
          </w:p>
        </w:tc>
        <w:tc>
          <w:tcPr>
            <w:tcW w:w="2371" w:type="dxa"/>
          </w:tcPr>
          <w:p>
            <w:pPr>
              <w:pStyle w:val="yTable"/>
              <w:spacing w:after="40"/>
              <w:rPr>
                <w:spacing w:val="-2"/>
                <w:sz w:val="20"/>
              </w:rPr>
            </w:pPr>
            <w:r>
              <w:rPr>
                <w:spacing w:val="-2"/>
                <w:sz w:val="20"/>
              </w:rPr>
              <w:t>$0.0168</w:t>
            </w:r>
          </w:p>
        </w:tc>
      </w:tr>
      <w:tr>
        <w:tc>
          <w:tcPr>
            <w:tcW w:w="3021" w:type="dxa"/>
          </w:tcPr>
          <w:p>
            <w:pPr>
              <w:pStyle w:val="yTable"/>
              <w:spacing w:after="40"/>
              <w:rPr>
                <w:spacing w:val="-2"/>
                <w:sz w:val="20"/>
              </w:rPr>
            </w:pPr>
            <w:r>
              <w:rPr>
                <w:spacing w:val="-2"/>
                <w:sz w:val="20"/>
              </w:rPr>
              <w:t>Green Head</w:t>
            </w:r>
          </w:p>
        </w:tc>
        <w:tc>
          <w:tcPr>
            <w:tcW w:w="2371" w:type="dxa"/>
          </w:tcPr>
          <w:p>
            <w:pPr>
              <w:pStyle w:val="yTable"/>
              <w:spacing w:after="40"/>
              <w:rPr>
                <w:spacing w:val="-2"/>
                <w:sz w:val="20"/>
              </w:rPr>
            </w:pPr>
            <w:r>
              <w:rPr>
                <w:spacing w:val="-2"/>
                <w:sz w:val="20"/>
              </w:rPr>
              <w:t>$0.072</w:t>
            </w:r>
          </w:p>
        </w:tc>
      </w:tr>
      <w:tr>
        <w:tc>
          <w:tcPr>
            <w:tcW w:w="3021" w:type="dxa"/>
          </w:tcPr>
          <w:p>
            <w:pPr>
              <w:pStyle w:val="yTable"/>
              <w:spacing w:after="40"/>
              <w:rPr>
                <w:spacing w:val="-2"/>
                <w:sz w:val="20"/>
              </w:rPr>
            </w:pPr>
            <w:r>
              <w:rPr>
                <w:spacing w:val="-2"/>
                <w:sz w:val="20"/>
              </w:rPr>
              <w:t>Hopetoun</w:t>
            </w:r>
          </w:p>
        </w:tc>
        <w:tc>
          <w:tcPr>
            <w:tcW w:w="2371" w:type="dxa"/>
          </w:tcPr>
          <w:p>
            <w:pPr>
              <w:pStyle w:val="yTable"/>
              <w:spacing w:after="40"/>
              <w:rPr>
                <w:spacing w:val="-2"/>
                <w:sz w:val="20"/>
              </w:rPr>
            </w:pPr>
            <w:r>
              <w:rPr>
                <w:spacing w:val="-2"/>
                <w:sz w:val="20"/>
              </w:rPr>
              <w:t>$0.0419</w:t>
            </w:r>
          </w:p>
        </w:tc>
      </w:tr>
      <w:tr>
        <w:tc>
          <w:tcPr>
            <w:tcW w:w="3021" w:type="dxa"/>
          </w:tcPr>
          <w:p>
            <w:pPr>
              <w:pStyle w:val="yTable"/>
              <w:spacing w:after="40"/>
              <w:rPr>
                <w:spacing w:val="-2"/>
                <w:sz w:val="20"/>
              </w:rPr>
            </w:pPr>
            <w:r>
              <w:rPr>
                <w:spacing w:val="-2"/>
                <w:sz w:val="20"/>
              </w:rPr>
              <w:t>Johns Creek (Point Samson)</w:t>
            </w:r>
          </w:p>
        </w:tc>
        <w:tc>
          <w:tcPr>
            <w:tcW w:w="2371" w:type="dxa"/>
          </w:tcPr>
          <w:p>
            <w:pPr>
              <w:pStyle w:val="yTable"/>
              <w:spacing w:after="40"/>
              <w:rPr>
                <w:spacing w:val="-2"/>
                <w:sz w:val="20"/>
              </w:rPr>
            </w:pPr>
            <w:r>
              <w:rPr>
                <w:spacing w:val="-2"/>
                <w:sz w:val="20"/>
              </w:rPr>
              <w:t>$0.04532</w:t>
            </w:r>
          </w:p>
        </w:tc>
      </w:tr>
      <w:tr>
        <w:tc>
          <w:tcPr>
            <w:tcW w:w="3021" w:type="dxa"/>
          </w:tcPr>
          <w:p>
            <w:pPr>
              <w:pStyle w:val="yTable"/>
              <w:spacing w:after="40"/>
              <w:rPr>
                <w:spacing w:val="-2"/>
                <w:sz w:val="20"/>
              </w:rPr>
            </w:pPr>
            <w:r>
              <w:rPr>
                <w:spacing w:val="-2"/>
                <w:sz w:val="20"/>
              </w:rPr>
              <w:t>Jurien</w:t>
            </w:r>
          </w:p>
        </w:tc>
        <w:tc>
          <w:tcPr>
            <w:tcW w:w="2371" w:type="dxa"/>
          </w:tcPr>
          <w:p>
            <w:pPr>
              <w:pStyle w:val="yTable"/>
              <w:spacing w:after="40"/>
              <w:rPr>
                <w:spacing w:val="-2"/>
                <w:sz w:val="20"/>
              </w:rPr>
            </w:pPr>
            <w:r>
              <w:rPr>
                <w:spacing w:val="-2"/>
                <w:sz w:val="20"/>
              </w:rPr>
              <w:t>$0.055</w:t>
            </w:r>
          </w:p>
        </w:tc>
      </w:tr>
      <w:tr>
        <w:tc>
          <w:tcPr>
            <w:tcW w:w="3021" w:type="dxa"/>
          </w:tcPr>
          <w:p>
            <w:pPr>
              <w:pStyle w:val="yTable"/>
              <w:spacing w:after="40"/>
              <w:rPr>
                <w:spacing w:val="-2"/>
                <w:sz w:val="20"/>
              </w:rPr>
            </w:pPr>
            <w:r>
              <w:rPr>
                <w:spacing w:val="-2"/>
                <w:sz w:val="20"/>
              </w:rPr>
              <w:t>Kalbarri</w:t>
            </w:r>
          </w:p>
        </w:tc>
        <w:tc>
          <w:tcPr>
            <w:tcW w:w="2371" w:type="dxa"/>
          </w:tcPr>
          <w:p>
            <w:pPr>
              <w:pStyle w:val="yTable"/>
              <w:spacing w:after="40"/>
              <w:rPr>
                <w:spacing w:val="-2"/>
                <w:sz w:val="20"/>
              </w:rPr>
            </w:pPr>
            <w:r>
              <w:rPr>
                <w:spacing w:val="-2"/>
                <w:sz w:val="20"/>
              </w:rPr>
              <w:t>$0.044</w:t>
            </w:r>
          </w:p>
        </w:tc>
      </w:tr>
      <w:tr>
        <w:tc>
          <w:tcPr>
            <w:tcW w:w="3021" w:type="dxa"/>
          </w:tcPr>
          <w:p>
            <w:pPr>
              <w:pStyle w:val="yTable"/>
              <w:spacing w:after="40"/>
              <w:rPr>
                <w:spacing w:val="-2"/>
                <w:sz w:val="20"/>
              </w:rPr>
            </w:pPr>
            <w:r>
              <w:rPr>
                <w:spacing w:val="-2"/>
                <w:sz w:val="20"/>
              </w:rPr>
              <w:t>Lancelin</w:t>
            </w:r>
          </w:p>
        </w:tc>
        <w:tc>
          <w:tcPr>
            <w:tcW w:w="2371" w:type="dxa"/>
          </w:tcPr>
          <w:p>
            <w:pPr>
              <w:pStyle w:val="yTable"/>
              <w:spacing w:after="40"/>
              <w:rPr>
                <w:spacing w:val="-2"/>
                <w:sz w:val="20"/>
              </w:rPr>
            </w:pPr>
            <w:r>
              <w:rPr>
                <w:spacing w:val="-2"/>
                <w:sz w:val="20"/>
              </w:rPr>
              <w:t>$0.0275</w:t>
            </w:r>
          </w:p>
        </w:tc>
      </w:tr>
      <w:tr>
        <w:tc>
          <w:tcPr>
            <w:tcW w:w="3021" w:type="dxa"/>
            <w:tcBorders>
              <w:bottom w:val="nil"/>
            </w:tcBorders>
          </w:tcPr>
          <w:p>
            <w:pPr>
              <w:pStyle w:val="yTable"/>
              <w:spacing w:after="40"/>
              <w:rPr>
                <w:spacing w:val="-2"/>
                <w:sz w:val="20"/>
              </w:rPr>
            </w:pPr>
            <w:r>
              <w:rPr>
                <w:spacing w:val="-2"/>
                <w:sz w:val="20"/>
              </w:rPr>
              <w:t>Leeman</w:t>
            </w:r>
          </w:p>
        </w:tc>
        <w:tc>
          <w:tcPr>
            <w:tcW w:w="2371" w:type="dxa"/>
            <w:tcBorders>
              <w:bottom w:val="nil"/>
            </w:tcBorders>
          </w:tcPr>
          <w:p>
            <w:pPr>
              <w:pStyle w:val="yTable"/>
              <w:spacing w:after="40"/>
              <w:rPr>
                <w:spacing w:val="-2"/>
                <w:sz w:val="20"/>
              </w:rPr>
            </w:pPr>
            <w:r>
              <w:rPr>
                <w:spacing w:val="-2"/>
                <w:sz w:val="20"/>
              </w:rPr>
              <w:t>$0.044</w:t>
            </w:r>
          </w:p>
        </w:tc>
      </w:tr>
      <w:tr>
        <w:tc>
          <w:tcPr>
            <w:tcW w:w="3021" w:type="dxa"/>
          </w:tcPr>
          <w:p>
            <w:pPr>
              <w:pStyle w:val="yTable"/>
              <w:spacing w:after="40"/>
              <w:rPr>
                <w:spacing w:val="-2"/>
                <w:sz w:val="20"/>
              </w:rPr>
            </w:pPr>
            <w:r>
              <w:rPr>
                <w:spacing w:val="-2"/>
                <w:sz w:val="20"/>
              </w:rPr>
              <w:t>Port Gregory</w:t>
            </w:r>
          </w:p>
        </w:tc>
        <w:tc>
          <w:tcPr>
            <w:tcW w:w="2371" w:type="dxa"/>
          </w:tcPr>
          <w:p>
            <w:pPr>
              <w:pStyle w:val="yTable"/>
              <w:spacing w:after="40"/>
              <w:rPr>
                <w:spacing w:val="-2"/>
                <w:sz w:val="20"/>
              </w:rPr>
            </w:pPr>
            <w:r>
              <w:rPr>
                <w:spacing w:val="-2"/>
                <w:sz w:val="20"/>
              </w:rPr>
              <w:t>$0.0618</w:t>
            </w:r>
          </w:p>
        </w:tc>
      </w:tr>
    </w:tbl>
    <w:p>
      <w:pPr>
        <w:pStyle w:val="yFootnotesection"/>
      </w:pPr>
      <w:bookmarkStart w:id="717" w:name="_Toc81295580"/>
      <w:bookmarkStart w:id="718" w:name="_Toc92097536"/>
      <w:bookmarkStart w:id="719" w:name="_Toc92858989"/>
      <w:bookmarkStart w:id="720" w:name="_Toc94070600"/>
      <w:bookmarkStart w:id="721" w:name="_Toc95554240"/>
      <w:bookmarkStart w:id="722" w:name="_Toc95559452"/>
      <w:bookmarkStart w:id="723" w:name="_Toc97361837"/>
      <w:bookmarkStart w:id="724" w:name="_Toc97362189"/>
      <w:bookmarkStart w:id="725" w:name="_Toc97530842"/>
      <w:r>
        <w:tab/>
        <w:t>[Division 4 inserted in Gazette 24 Jun 2005 p. 2846-7.]</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726" w:name="_Toc97539314"/>
      <w:bookmarkStart w:id="727" w:name="_Toc98563109"/>
      <w:bookmarkStart w:id="728" w:name="_Toc99266498"/>
      <w:bookmarkStart w:id="729" w:name="_Toc102391019"/>
      <w:bookmarkStart w:id="730" w:name="_Toc170210300"/>
      <w:r>
        <w:t>Notes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nSubsection"/>
        <w:rPr>
          <w:snapToGrid w:val="0"/>
        </w:rPr>
      </w:pPr>
      <w:r>
        <w:rPr>
          <w:snapToGrid w:val="0"/>
          <w:vertAlign w:val="superscript"/>
        </w:rPr>
        <w:t>1</w:t>
      </w:r>
      <w:r>
        <w:rPr>
          <w:snapToGrid w:val="0"/>
        </w:rPr>
        <w:tab/>
        <w:t xml:space="preserve">This is a compilation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731" w:name="_Toc170210301"/>
      <w:r>
        <w:t>Compilation table</w:t>
      </w:r>
      <w:bookmarkEnd w:id="731"/>
    </w:p>
    <w:tbl>
      <w:tblPr>
        <w:tblW w:w="0" w:type="auto"/>
        <w:tblInd w:w="28" w:type="dxa"/>
        <w:tblLayout w:type="fixed"/>
        <w:tblCellMar>
          <w:left w:w="56" w:type="dxa"/>
          <w:right w:w="56" w:type="dxa"/>
        </w:tblCellMar>
        <w:tblLook w:val="0000" w:firstRow="0" w:lastRow="0" w:firstColumn="0" w:lastColumn="0" w:noHBand="0" w:noVBand="0"/>
      </w:tblPr>
      <w:tblGrid>
        <w:gridCol w:w="3118"/>
        <w:gridCol w:w="30"/>
        <w:gridCol w:w="1200"/>
        <w:gridCol w:w="4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4, 5</w:t>
            </w:r>
            <w:r>
              <w:rPr>
                <w:sz w:val="19"/>
              </w:rPr>
              <w:t xml:space="preserve"> </w:t>
            </w:r>
          </w:p>
        </w:tc>
        <w:tc>
          <w:tcPr>
            <w:tcW w:w="1276" w:type="dxa"/>
            <w:gridSpan w:val="3"/>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gridSpan w:val="3"/>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gridSpan w:val="3"/>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gridSpan w:val="3"/>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gridSpan w:val="3"/>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gridSpan w:val="3"/>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gridSpan w:val="3"/>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gridSpan w:val="3"/>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gridSpan w:val="3"/>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gridSpan w:val="3"/>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gridSpan w:val="3"/>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gridSpan w:val="3"/>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gridSpan w:val="3"/>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gridSpan w:val="3"/>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gridSpan w:val="3"/>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gridSpan w:val="3"/>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gridSpan w:val="3"/>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gridSpan w:val="3"/>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gridSpan w:val="3"/>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gridSpan w:val="3"/>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gridSpan w:val="3"/>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gridSpan w:val="3"/>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gridSpan w:val="3"/>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gridSpan w:val="3"/>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gridSpan w:val="3"/>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gridSpan w:val="3"/>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gridSpan w:val="3"/>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gridSpan w:val="3"/>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gridSpan w:val="3"/>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gridSpan w:val="3"/>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24"/>
              </w:rPr>
              <w:br w:type="page"/>
            </w:r>
            <w:r>
              <w:rPr>
                <w:i/>
                <w:sz w:val="19"/>
              </w:rPr>
              <w:t xml:space="preserve">Miscellaneous Amendments Regulations 1997 </w:t>
            </w:r>
            <w:r>
              <w:rPr>
                <w:sz w:val="19"/>
              </w:rPr>
              <w:t>r. 2</w:t>
            </w:r>
          </w:p>
        </w:tc>
        <w:tc>
          <w:tcPr>
            <w:tcW w:w="1276" w:type="dxa"/>
            <w:gridSpan w:val="3"/>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24"/>
              </w:rPr>
              <w:br w:type="page"/>
            </w:r>
            <w:r>
              <w:rPr>
                <w:i/>
                <w:sz w:val="19"/>
              </w:rPr>
              <w:t>Jetties Amendment Regulations 1998</w:t>
            </w:r>
          </w:p>
        </w:tc>
        <w:tc>
          <w:tcPr>
            <w:tcW w:w="1276" w:type="dxa"/>
            <w:gridSpan w:val="3"/>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gridSpan w:val="3"/>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gridSpan w:val="3"/>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gridSpan w:val="3"/>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gridSpan w:val="3"/>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gridSpan w:val="3"/>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gridSpan w:val="3"/>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gridSpan w:val="3"/>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gridSpan w:val="3"/>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gridSpan w:val="3"/>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gridSpan w:val="3"/>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5"/>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48" w:type="dxa"/>
            <w:gridSpan w:val="2"/>
            <w:tcBorders>
              <w:bottom w:val="single" w:sz="8" w:space="0" w:color="auto"/>
            </w:tcBorders>
          </w:tcPr>
          <w:p>
            <w:pPr>
              <w:pStyle w:val="nTable"/>
              <w:spacing w:after="40"/>
              <w:rPr>
                <w:bCs/>
                <w:i/>
                <w:iCs/>
                <w:sz w:val="19"/>
              </w:rPr>
            </w:pPr>
            <w:r>
              <w:rPr>
                <w:bCs/>
                <w:i/>
                <w:iCs/>
                <w:sz w:val="19"/>
              </w:rPr>
              <w:t>Jetties Amendment Regulations (No. 2) 2005</w:t>
            </w:r>
          </w:p>
        </w:tc>
        <w:tc>
          <w:tcPr>
            <w:tcW w:w="1200" w:type="dxa"/>
            <w:tcBorders>
              <w:bottom w:val="single" w:sz="8" w:space="0" w:color="auto"/>
            </w:tcBorders>
          </w:tcPr>
          <w:p>
            <w:pPr>
              <w:pStyle w:val="nTable"/>
              <w:spacing w:after="40"/>
              <w:rPr>
                <w:bCs/>
                <w:sz w:val="19"/>
              </w:rPr>
            </w:pPr>
            <w:r>
              <w:rPr>
                <w:bCs/>
                <w:sz w:val="19"/>
              </w:rPr>
              <w:t>24 Jun 2005 p. 2813-47</w:t>
            </w:r>
          </w:p>
        </w:tc>
        <w:tc>
          <w:tcPr>
            <w:tcW w:w="2739" w:type="dxa"/>
            <w:gridSpan w:val="2"/>
            <w:tcBorders>
              <w:bottom w:val="single" w:sz="8" w:space="0" w:color="auto"/>
            </w:tcBorders>
          </w:tcPr>
          <w:p>
            <w:pPr>
              <w:pStyle w:val="nTable"/>
              <w:spacing w:after="40"/>
              <w:rPr>
                <w:bCs/>
                <w:sz w:val="19"/>
              </w:rPr>
            </w:pPr>
            <w:r>
              <w:rPr>
                <w:bCs/>
                <w:sz w:val="19"/>
              </w:rPr>
              <w:t>1 Jul 2005 (see r. 2)</w:t>
            </w:r>
          </w:p>
        </w:tc>
      </w:tr>
    </w:tbl>
    <w:p>
      <w:pPr>
        <w:pStyle w:val="nSubsection"/>
        <w:rPr>
          <w:snapToGrid w:val="0"/>
        </w:rPr>
      </w:pPr>
      <w:r>
        <w:rPr>
          <w:snapToGrid w:val="0"/>
          <w:vertAlign w:val="superscript"/>
        </w:rPr>
        <w:t>2</w:t>
      </w:r>
      <w:r>
        <w:rPr>
          <w:snapToGrid w:val="0"/>
        </w:rPr>
        <w:tab/>
        <w:t xml:space="preserve">Repealed by the </w:t>
      </w:r>
      <w:r>
        <w:rPr>
          <w:i/>
          <w:snapToGrid w:val="0"/>
        </w:rPr>
        <w:t>Explosives and Dangerous Goods Act 1961</w:t>
      </w:r>
      <w:r>
        <w:rPr>
          <w:snapToGrid w:val="0"/>
        </w:rPr>
        <w:t>.</w:t>
      </w:r>
    </w:p>
    <w:p>
      <w:pPr>
        <w:pStyle w:val="nSubsection"/>
        <w:rPr>
          <w:snapToGrid w:val="0"/>
        </w:rPr>
      </w:pPr>
      <w:r>
        <w:rPr>
          <w:snapToGrid w:val="0"/>
          <w:vertAlign w:val="superscript"/>
        </w:rPr>
        <w:t>3</w:t>
      </w:r>
      <w:r>
        <w:rPr>
          <w:snapToGrid w:val="0"/>
        </w:rPr>
        <w:tab/>
        <w:t xml:space="preserve">Formerly referred to the </w:t>
      </w:r>
      <w:r>
        <w:rPr>
          <w:i/>
          <w:snapToGrid w:val="0"/>
        </w:rPr>
        <w:t>Jetties Act Regulations 1940</w:t>
      </w:r>
      <w:r>
        <w:rPr>
          <w:snapToGrid w:val="0"/>
        </w:rPr>
        <w:t xml:space="preserve"> the citation of which was changed by the </w:t>
      </w:r>
      <w:r>
        <w:rPr>
          <w:i/>
          <w:snapToGrid w:val="0"/>
        </w:rPr>
        <w:t>Jetties Amendment Regulations (No. 3) 2003</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4</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5</w:t>
      </w:r>
      <w:r>
        <w:tab/>
      </w:r>
      <w:r>
        <w:rPr>
          <w:snapToGrid w:val="0"/>
        </w:rPr>
        <w:t>Regulation</w:t>
      </w:r>
      <w:r>
        <w:t> 10 disallowed on 19 Oct 1940.</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type w:val="continuous"/>
      <w:pgSz w:w="11906" w:h="16838" w:code="9"/>
      <w:pgMar w:top="2381" w:right="2410" w:bottom="2977" w:left="2410" w:header="720" w:footer="3380" w:gutter="0"/>
      <w:paperSrc w:first="4" w:other="4"/>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BE42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69AEC5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1CA6C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8AE5C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7EF7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26206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36AE8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DA2C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649C2A"/>
    <w:lvl w:ilvl="0">
      <w:start w:val="1"/>
      <w:numFmt w:val="decimal"/>
      <w:pStyle w:val="ListNumber"/>
      <w:lvlText w:val="%1."/>
      <w:lvlJc w:val="left"/>
      <w:pPr>
        <w:tabs>
          <w:tab w:val="num" w:pos="360"/>
        </w:tabs>
        <w:ind w:left="360" w:hanging="360"/>
      </w:pPr>
    </w:lvl>
  </w:abstractNum>
  <w:abstractNum w:abstractNumId="9">
    <w:nsid w:val="FFFFFF89"/>
    <w:multiLevelType w:val="singleLevel"/>
    <w:tmpl w:val="E58A7A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C1E34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70A4ADF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022"/>
    <w:docVar w:name="WAFER_20151203163022" w:val="RemoveTrackChanges"/>
    <w:docVar w:name="WAFER_20151203163022_GUID" w:val="d8c876cd-472a-4a2d-a35b-0291c7a9b1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23550</Words>
  <Characters>112571</Characters>
  <Application>Microsoft Office Word</Application>
  <DocSecurity>0</DocSecurity>
  <Lines>3881</Lines>
  <Paragraphs>2568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133553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1940 - 05-b0-04</dc:title>
  <dc:subject/>
  <dc:creator/>
  <cp:keywords/>
  <dc:description/>
  <cp:lastModifiedBy>svcMRProcess</cp:lastModifiedBy>
  <cp:revision>4</cp:revision>
  <cp:lastPrinted>2005-04-18T06:08:00Z</cp:lastPrinted>
  <dcterms:created xsi:type="dcterms:W3CDTF">2019-05-31T07:52:00Z</dcterms:created>
  <dcterms:modified xsi:type="dcterms:W3CDTF">2019-05-31T07:52:00Z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8924</vt:i4>
  </property>
  <property fmtid="{D5CDD505-2E9C-101B-9397-08002B2CF9AE}" pid="6" name="AsAtDate">
    <vt:lpwstr>01 Jul 2005</vt:lpwstr>
  </property>
  <property fmtid="{D5CDD505-2E9C-101B-9397-08002B2CF9AE}" pid="7" name="Suffix">
    <vt:lpwstr>05-b0-04</vt:lpwstr>
  </property>
</Properties>
</file>