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Jetties Regulations 1940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_Toc139443227 \h </w:instrText>
      </w:r>
      <w:r>
        <w:fldChar w:fldCharType="separate"/>
      </w:r>
      <w:r>
        <w:t>1</w:t>
      </w:r>
      <w:r>
        <w:fldChar w:fldCharType="end"/>
      </w:r>
    </w:p>
    <w:p>
      <w:pPr>
        <w:pStyle w:val="TOC8"/>
        <w:rPr>
          <w:sz w:val="24"/>
          <w:szCs w:val="24"/>
        </w:rPr>
      </w:pPr>
      <w:r>
        <w:rPr>
          <w:szCs w:val="24"/>
        </w:rPr>
        <w:t>2.</w:t>
      </w:r>
      <w:r>
        <w:rPr>
          <w:szCs w:val="24"/>
        </w:rPr>
        <w:tab/>
        <w:t>Liability for dues, charges and fees</w:t>
      </w:r>
      <w:r>
        <w:tab/>
      </w:r>
      <w:r>
        <w:fldChar w:fldCharType="begin"/>
      </w:r>
      <w:r>
        <w:instrText xml:space="preserve"> PAGEREF _Toc139443228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_Toc139443229 \h </w:instrText>
      </w:r>
      <w:r>
        <w:fldChar w:fldCharType="separate"/>
      </w:r>
      <w:r>
        <w:t>1</w:t>
      </w:r>
      <w:r>
        <w:fldChar w:fldCharType="end"/>
      </w:r>
    </w:p>
    <w:p>
      <w:pPr>
        <w:pStyle w:val="TOC2"/>
        <w:tabs>
          <w:tab w:val="right" w:leader="dot" w:pos="7086"/>
        </w:tabs>
        <w:rPr>
          <w:b w:val="0"/>
          <w:sz w:val="24"/>
          <w:szCs w:val="24"/>
        </w:rPr>
      </w:pPr>
      <w:r>
        <w:rPr>
          <w:szCs w:val="30"/>
        </w:rPr>
        <w:t>Part 1 — Regulations applying to jetties controlled by the Department</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3A</w:t>
      </w:r>
      <w:r>
        <w:rPr>
          <w:snapToGrid w:val="0"/>
          <w:szCs w:val="24"/>
        </w:rPr>
        <w:t>.</w:t>
      </w:r>
      <w:r>
        <w:rPr>
          <w:snapToGrid w:val="0"/>
          <w:szCs w:val="24"/>
        </w:rPr>
        <w:tab/>
        <w:t>Application</w:t>
      </w:r>
      <w:r>
        <w:tab/>
      </w:r>
      <w:r>
        <w:fldChar w:fldCharType="begin"/>
      </w:r>
      <w:r>
        <w:instrText xml:space="preserve"> PAGEREF _Toc139443232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Arrival and movement of vessels</w:t>
      </w:r>
    </w:p>
    <w:p>
      <w:pPr>
        <w:pStyle w:val="TOC8"/>
        <w:rPr>
          <w:sz w:val="24"/>
          <w:szCs w:val="24"/>
        </w:rPr>
      </w:pPr>
      <w:r>
        <w:rPr>
          <w:szCs w:val="24"/>
        </w:rPr>
        <w:t>4</w:t>
      </w:r>
      <w:r>
        <w:rPr>
          <w:snapToGrid w:val="0"/>
          <w:szCs w:val="24"/>
        </w:rPr>
        <w:t>.</w:t>
      </w:r>
      <w:r>
        <w:rPr>
          <w:snapToGrid w:val="0"/>
          <w:szCs w:val="24"/>
        </w:rPr>
        <w:tab/>
        <w:t>Master or agent to report arrival</w:t>
      </w:r>
      <w:r>
        <w:tab/>
      </w:r>
      <w:r>
        <w:fldChar w:fldCharType="begin"/>
      </w:r>
      <w:r>
        <w:instrText xml:space="preserve"> PAGEREF _Toc139443234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Vessels to change berths</w:t>
      </w:r>
      <w:r>
        <w:tab/>
      </w:r>
      <w:r>
        <w:fldChar w:fldCharType="begin"/>
      </w:r>
      <w:r>
        <w:instrText xml:space="preserve"> PAGEREF _Toc139443235 \h </w:instrText>
      </w:r>
      <w:r>
        <w:fldChar w:fldCharType="separate"/>
      </w:r>
      <w:r>
        <w:t>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Berthing dues</w:t>
      </w:r>
    </w:p>
    <w:p>
      <w:pPr>
        <w:pStyle w:val="TOC8"/>
        <w:rPr>
          <w:sz w:val="24"/>
          <w:szCs w:val="24"/>
        </w:rPr>
      </w:pPr>
      <w:r>
        <w:rPr>
          <w:szCs w:val="24"/>
        </w:rPr>
        <w:t>6</w:t>
      </w:r>
      <w:r>
        <w:rPr>
          <w:snapToGrid w:val="0"/>
          <w:szCs w:val="24"/>
        </w:rPr>
        <w:t>.</w:t>
      </w:r>
      <w:r>
        <w:rPr>
          <w:snapToGrid w:val="0"/>
          <w:szCs w:val="24"/>
        </w:rPr>
        <w:tab/>
        <w:t>Berthing dues shall be paid</w:t>
      </w:r>
      <w:r>
        <w:tab/>
      </w:r>
      <w:r>
        <w:fldChar w:fldCharType="begin"/>
      </w:r>
      <w:r>
        <w:instrText xml:space="preserve"> PAGEREF _Toc139443237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Computation of berthing dues</w:t>
      </w:r>
      <w:r>
        <w:tab/>
      </w:r>
      <w:r>
        <w:fldChar w:fldCharType="begin"/>
      </w:r>
      <w:r>
        <w:instrText xml:space="preserve"> PAGEREF _Toc139443238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Inwards manifests</w:t>
      </w:r>
      <w:r>
        <w:tab/>
      </w:r>
      <w:r>
        <w:fldChar w:fldCharType="begin"/>
      </w:r>
      <w:r>
        <w:instrText xml:space="preserve"> PAGEREF _Toc139443239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Outwards manifests</w:t>
      </w:r>
      <w:r>
        <w:tab/>
      </w:r>
      <w:r>
        <w:fldChar w:fldCharType="begin"/>
      </w:r>
      <w:r>
        <w:instrText xml:space="preserve"> PAGEREF _Toc139443240 \h </w:instrText>
      </w:r>
      <w:r>
        <w:fldChar w:fldCharType="separate"/>
      </w:r>
      <w:r>
        <w:t>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Wharfage dues, handling and haulage charges</w:t>
      </w:r>
    </w:p>
    <w:p>
      <w:pPr>
        <w:pStyle w:val="TOC8"/>
        <w:rPr>
          <w:sz w:val="24"/>
          <w:szCs w:val="24"/>
        </w:rPr>
      </w:pPr>
      <w:r>
        <w:rPr>
          <w:szCs w:val="24"/>
        </w:rPr>
        <w:t>10A</w:t>
      </w:r>
      <w:r>
        <w:rPr>
          <w:snapToGrid w:val="0"/>
          <w:szCs w:val="24"/>
        </w:rPr>
        <w:t>.</w:t>
      </w:r>
      <w:r>
        <w:rPr>
          <w:snapToGrid w:val="0"/>
          <w:szCs w:val="24"/>
        </w:rPr>
        <w:tab/>
        <w:t>Payment of dues and charges</w:t>
      </w:r>
      <w:r>
        <w:tab/>
      </w:r>
      <w:r>
        <w:fldChar w:fldCharType="begin"/>
      </w:r>
      <w:r>
        <w:instrText xml:space="preserve"> PAGEREF _Toc139443242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Charges for transhipment cargo</w:t>
      </w:r>
      <w:r>
        <w:tab/>
      </w:r>
      <w:r>
        <w:fldChar w:fldCharType="begin"/>
      </w:r>
      <w:r>
        <w:instrText xml:space="preserve"> PAGEREF _Toc139443243 \h </w:instrText>
      </w:r>
      <w:r>
        <w:fldChar w:fldCharType="separate"/>
      </w:r>
      <w:r>
        <w:t>7</w:t>
      </w:r>
      <w:r>
        <w:fldChar w:fldCharType="end"/>
      </w:r>
    </w:p>
    <w:p>
      <w:pPr>
        <w:pStyle w:val="TOC8"/>
        <w:rPr>
          <w:sz w:val="24"/>
          <w:szCs w:val="24"/>
        </w:rPr>
      </w:pPr>
      <w:r>
        <w:rPr>
          <w:szCs w:val="24"/>
        </w:rPr>
        <w:t>11B</w:t>
      </w:r>
      <w:r>
        <w:rPr>
          <w:snapToGrid w:val="0"/>
          <w:szCs w:val="24"/>
        </w:rPr>
        <w:t>.</w:t>
      </w:r>
      <w:r>
        <w:rPr>
          <w:snapToGrid w:val="0"/>
          <w:szCs w:val="24"/>
        </w:rPr>
        <w:tab/>
        <w:t>Charges on vessels’ stores, including fuel oil</w:t>
      </w:r>
      <w:r>
        <w:tab/>
      </w:r>
      <w:r>
        <w:fldChar w:fldCharType="begin"/>
      </w:r>
      <w:r>
        <w:instrText xml:space="preserve"> PAGEREF _Toc139443244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Charges to be paid before delivery of cargo</w:t>
      </w:r>
      <w:r>
        <w:tab/>
      </w:r>
      <w:r>
        <w:fldChar w:fldCharType="begin"/>
      </w:r>
      <w:r>
        <w:instrText xml:space="preserve"> PAGEREF _Toc139443245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Extra charges</w:t>
      </w:r>
      <w:r>
        <w:tab/>
      </w:r>
      <w:r>
        <w:fldChar w:fldCharType="begin"/>
      </w:r>
      <w:r>
        <w:instrText xml:space="preserve"> PAGEREF _Toc139443246 \h </w:instrText>
      </w:r>
      <w:r>
        <w:fldChar w:fldCharType="separate"/>
      </w:r>
      <w:r>
        <w:t>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Handling of cargo</w:t>
      </w:r>
    </w:p>
    <w:p>
      <w:pPr>
        <w:pStyle w:val="TOC8"/>
        <w:rPr>
          <w:sz w:val="24"/>
          <w:szCs w:val="24"/>
        </w:rPr>
      </w:pPr>
      <w:r>
        <w:rPr>
          <w:szCs w:val="24"/>
        </w:rPr>
        <w:t>14</w:t>
      </w:r>
      <w:r>
        <w:rPr>
          <w:snapToGrid w:val="0"/>
          <w:szCs w:val="24"/>
        </w:rPr>
        <w:t>.</w:t>
      </w:r>
      <w:r>
        <w:rPr>
          <w:snapToGrid w:val="0"/>
          <w:szCs w:val="24"/>
        </w:rPr>
        <w:tab/>
        <w:t>Cargo not to be placed on jetties or premises without authority</w:t>
      </w:r>
      <w:r>
        <w:tab/>
      </w:r>
      <w:r>
        <w:fldChar w:fldCharType="begin"/>
      </w:r>
      <w:r>
        <w:instrText xml:space="preserve"> PAGEREF _Toc139443248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Discharging of cargo may be stopped</w:t>
      </w:r>
      <w:r>
        <w:tab/>
      </w:r>
      <w:r>
        <w:fldChar w:fldCharType="begin"/>
      </w:r>
      <w:r>
        <w:instrText xml:space="preserve"> PAGEREF _Toc139443249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Goods not to be shifted without authority</w:t>
      </w:r>
      <w:r>
        <w:tab/>
      </w:r>
      <w:r>
        <w:fldChar w:fldCharType="begin"/>
      </w:r>
      <w:r>
        <w:instrText xml:space="preserve"> PAGEREF _Toc139443250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Bulk cargo not to be deposited without authority</w:t>
      </w:r>
      <w:r>
        <w:tab/>
      </w:r>
      <w:r>
        <w:fldChar w:fldCharType="begin"/>
      </w:r>
      <w:r>
        <w:instrText xml:space="preserve"> PAGEREF _Toc139443251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Outward cargo advice notes</w:t>
      </w:r>
      <w:r>
        <w:tab/>
      </w:r>
      <w:r>
        <w:fldChar w:fldCharType="begin"/>
      </w:r>
      <w:r>
        <w:instrText xml:space="preserve"> PAGEREF _Toc139443252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Outward cargo</w:t>
      </w:r>
      <w:r>
        <w:tab/>
      </w:r>
      <w:r>
        <w:fldChar w:fldCharType="begin"/>
      </w:r>
      <w:r>
        <w:instrText xml:space="preserve"> PAGEREF _Toc139443253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Dangerous cargo not to be shipped without permission</w:t>
      </w:r>
      <w:r>
        <w:tab/>
      </w:r>
      <w:r>
        <w:fldChar w:fldCharType="begin"/>
      </w:r>
      <w:r>
        <w:instrText xml:space="preserve"> PAGEREF _Toc139443254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Dangerous cargo may be refused or examined</w:t>
      </w:r>
      <w:r>
        <w:tab/>
      </w:r>
      <w:r>
        <w:fldChar w:fldCharType="begin"/>
      </w:r>
      <w:r>
        <w:instrText xml:space="preserve"> PAGEREF _Toc139443255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Marking of heavy packages</w:t>
      </w:r>
      <w:r>
        <w:tab/>
      </w:r>
      <w:r>
        <w:fldChar w:fldCharType="begin"/>
      </w:r>
      <w:r>
        <w:instrText xml:space="preserve"> PAGEREF _Toc139443256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False statements</w:t>
      </w:r>
      <w:r>
        <w:tab/>
      </w:r>
      <w:r>
        <w:fldChar w:fldCharType="begin"/>
      </w:r>
      <w:r>
        <w:instrText xml:space="preserve"> PAGEREF _Toc139443257 \h </w:instrText>
      </w:r>
      <w:r>
        <w:fldChar w:fldCharType="separate"/>
      </w:r>
      <w:r>
        <w:t>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delivery and storage of cargo</w:t>
      </w:r>
    </w:p>
    <w:p>
      <w:pPr>
        <w:pStyle w:val="TOC8"/>
        <w:rPr>
          <w:sz w:val="24"/>
          <w:szCs w:val="24"/>
        </w:rPr>
      </w:pPr>
      <w:r>
        <w:rPr>
          <w:szCs w:val="24"/>
        </w:rPr>
        <w:t>24</w:t>
      </w:r>
      <w:r>
        <w:rPr>
          <w:snapToGrid w:val="0"/>
          <w:szCs w:val="24"/>
        </w:rPr>
        <w:t>.</w:t>
      </w:r>
      <w:r>
        <w:rPr>
          <w:snapToGrid w:val="0"/>
          <w:szCs w:val="24"/>
        </w:rPr>
        <w:tab/>
        <w:t>Removal of cargo</w:t>
      </w:r>
      <w:r>
        <w:tab/>
      </w:r>
      <w:r>
        <w:fldChar w:fldCharType="begin"/>
      </w:r>
      <w:r>
        <w:instrText xml:space="preserve"> PAGEREF _Toc139443259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Storage charges</w:t>
      </w:r>
      <w:r>
        <w:tab/>
      </w:r>
      <w:r>
        <w:fldChar w:fldCharType="begin"/>
      </w:r>
      <w:r>
        <w:instrText xml:space="preserve"> PAGEREF _Toc139443260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Department not bound to find storage accommodation</w:t>
      </w:r>
      <w:r>
        <w:tab/>
      </w:r>
      <w:r>
        <w:fldChar w:fldCharType="begin"/>
      </w:r>
      <w:r>
        <w:instrText xml:space="preserve"> PAGEREF _Toc139443261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Goods may be disposed of</w:t>
      </w:r>
      <w:r>
        <w:tab/>
      </w:r>
      <w:r>
        <w:fldChar w:fldCharType="begin"/>
      </w:r>
      <w:r>
        <w:instrText xml:space="preserve"> PAGEREF _Toc139443262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Goods to be checked before delivery</w:t>
      </w:r>
      <w:r>
        <w:tab/>
      </w:r>
      <w:r>
        <w:fldChar w:fldCharType="begin"/>
      </w:r>
      <w:r>
        <w:instrText xml:space="preserve"> PAGEREF _Toc139443263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Delay in delivery</w:t>
      </w:r>
      <w:r>
        <w:tab/>
      </w:r>
      <w:r>
        <w:fldChar w:fldCharType="begin"/>
      </w:r>
      <w:r>
        <w:instrText xml:space="preserve"> PAGEREF _Toc139443264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Wrong delivery</w:t>
      </w:r>
      <w:r>
        <w:tab/>
      </w:r>
      <w:r>
        <w:fldChar w:fldCharType="begin"/>
      </w:r>
      <w:r>
        <w:instrText xml:space="preserve"> PAGEREF _Toc139443265 \h </w:instrText>
      </w:r>
      <w:r>
        <w:fldChar w:fldCharType="separate"/>
      </w:r>
      <w:r>
        <w:t>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Responsibility of Department</w:t>
      </w:r>
    </w:p>
    <w:p>
      <w:pPr>
        <w:pStyle w:val="TOC8"/>
        <w:rPr>
          <w:sz w:val="24"/>
          <w:szCs w:val="24"/>
        </w:rPr>
      </w:pPr>
      <w:r>
        <w:rPr>
          <w:szCs w:val="24"/>
        </w:rPr>
        <w:t>31</w:t>
      </w:r>
      <w:r>
        <w:rPr>
          <w:snapToGrid w:val="0"/>
          <w:szCs w:val="24"/>
        </w:rPr>
        <w:t>.</w:t>
      </w:r>
      <w:r>
        <w:rPr>
          <w:snapToGrid w:val="0"/>
          <w:szCs w:val="24"/>
        </w:rPr>
        <w:tab/>
        <w:t>Custody of cargo</w:t>
      </w:r>
      <w:r>
        <w:tab/>
      </w:r>
      <w:r>
        <w:fldChar w:fldCharType="begin"/>
      </w:r>
      <w:r>
        <w:instrText xml:space="preserve"> PAGEREF _Toc139443267 \h </w:instrText>
      </w:r>
      <w:r>
        <w:fldChar w:fldCharType="separate"/>
      </w:r>
      <w:r>
        <w:t>15</w:t>
      </w:r>
      <w:r>
        <w:fldChar w:fldCharType="end"/>
      </w:r>
    </w:p>
    <w:p>
      <w:pPr>
        <w:pStyle w:val="TOC8"/>
        <w:rPr>
          <w:sz w:val="24"/>
          <w:szCs w:val="24"/>
        </w:rPr>
      </w:pPr>
      <w:r>
        <w:rPr>
          <w:szCs w:val="24"/>
        </w:rPr>
        <w:t>32</w:t>
      </w:r>
      <w:r>
        <w:rPr>
          <w:snapToGrid w:val="0"/>
          <w:szCs w:val="24"/>
        </w:rPr>
        <w:t>.</w:t>
      </w:r>
      <w:r>
        <w:rPr>
          <w:snapToGrid w:val="0"/>
          <w:szCs w:val="24"/>
        </w:rPr>
        <w:tab/>
        <w:t>Goods without receipts</w:t>
      </w:r>
      <w:r>
        <w:tab/>
      </w:r>
      <w:r>
        <w:fldChar w:fldCharType="begin"/>
      </w:r>
      <w:r>
        <w:instrText xml:space="preserve"> PAGEREF _Toc139443268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Goods stacked on jetties</w:t>
      </w:r>
      <w:r>
        <w:tab/>
      </w:r>
      <w:r>
        <w:fldChar w:fldCharType="begin"/>
      </w:r>
      <w:r>
        <w:instrText xml:space="preserve"> PAGEREF _Toc139443269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Cargo damaged by fire, etc.</w:t>
      </w:r>
      <w:r>
        <w:tab/>
      </w:r>
      <w:r>
        <w:fldChar w:fldCharType="begin"/>
      </w:r>
      <w:r>
        <w:instrText xml:space="preserve"> PAGEREF _Toc139443270 \h </w:instrText>
      </w:r>
      <w:r>
        <w:fldChar w:fldCharType="separate"/>
      </w:r>
      <w:r>
        <w:t>16</w:t>
      </w:r>
      <w:r>
        <w:fldChar w:fldCharType="end"/>
      </w:r>
    </w:p>
    <w:p>
      <w:pPr>
        <w:pStyle w:val="TOC8"/>
        <w:rPr>
          <w:sz w:val="24"/>
          <w:szCs w:val="24"/>
        </w:rPr>
      </w:pPr>
      <w:r>
        <w:rPr>
          <w:szCs w:val="24"/>
        </w:rPr>
        <w:t>35</w:t>
      </w:r>
      <w:r>
        <w:rPr>
          <w:snapToGrid w:val="0"/>
          <w:szCs w:val="24"/>
        </w:rPr>
        <w:t>.</w:t>
      </w:r>
      <w:r>
        <w:rPr>
          <w:snapToGrid w:val="0"/>
          <w:szCs w:val="24"/>
        </w:rPr>
        <w:tab/>
        <w:t>Goods insufficiently packed</w:t>
      </w:r>
      <w:r>
        <w:tab/>
      </w:r>
      <w:r>
        <w:fldChar w:fldCharType="begin"/>
      </w:r>
      <w:r>
        <w:instrText xml:space="preserve"> PAGEREF _Toc139443271 \h </w:instrText>
      </w:r>
      <w:r>
        <w:fldChar w:fldCharType="separate"/>
      </w:r>
      <w:r>
        <w:t>16</w:t>
      </w:r>
      <w:r>
        <w:fldChar w:fldCharType="end"/>
      </w:r>
    </w:p>
    <w:p>
      <w:pPr>
        <w:pStyle w:val="TOC8"/>
        <w:rPr>
          <w:sz w:val="24"/>
          <w:szCs w:val="24"/>
        </w:rPr>
      </w:pPr>
      <w:r>
        <w:rPr>
          <w:szCs w:val="24"/>
        </w:rPr>
        <w:t>36</w:t>
      </w:r>
      <w:r>
        <w:rPr>
          <w:snapToGrid w:val="0"/>
          <w:szCs w:val="24"/>
        </w:rPr>
        <w:t>.</w:t>
      </w:r>
      <w:r>
        <w:rPr>
          <w:snapToGrid w:val="0"/>
          <w:szCs w:val="24"/>
        </w:rPr>
        <w:tab/>
        <w:t>Claims in respect of cargo</w:t>
      </w:r>
      <w:r>
        <w:tab/>
      </w:r>
      <w:r>
        <w:fldChar w:fldCharType="begin"/>
      </w:r>
      <w:r>
        <w:instrText xml:space="preserve"> PAGEREF _Toc139443272 \h </w:instrText>
      </w:r>
      <w:r>
        <w:fldChar w:fldCharType="separate"/>
      </w:r>
      <w:r>
        <w:t>17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Working hours</w:t>
      </w:r>
    </w:p>
    <w:p>
      <w:pPr>
        <w:pStyle w:val="TOC8"/>
        <w:rPr>
          <w:sz w:val="24"/>
          <w:szCs w:val="24"/>
        </w:rPr>
      </w:pPr>
      <w:r>
        <w:rPr>
          <w:szCs w:val="24"/>
        </w:rPr>
        <w:t>37</w:t>
      </w:r>
      <w:r>
        <w:rPr>
          <w:snapToGrid w:val="0"/>
          <w:szCs w:val="24"/>
        </w:rPr>
        <w:t>.</w:t>
      </w:r>
      <w:r>
        <w:rPr>
          <w:snapToGrid w:val="0"/>
          <w:szCs w:val="24"/>
        </w:rPr>
        <w:tab/>
        <w:t>Ordinary time</w:t>
      </w:r>
      <w:r>
        <w:tab/>
      </w:r>
      <w:r>
        <w:fldChar w:fldCharType="begin"/>
      </w:r>
      <w:r>
        <w:instrText xml:space="preserve"> PAGEREF _Toc139443274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Overtime</w:t>
      </w:r>
      <w:r>
        <w:tab/>
      </w:r>
      <w:r>
        <w:fldChar w:fldCharType="begin"/>
      </w:r>
      <w:r>
        <w:instrText xml:space="preserve"> PAGEREF _Toc139443275 \h </w:instrText>
      </w:r>
      <w:r>
        <w:fldChar w:fldCharType="separate"/>
      </w:r>
      <w:r>
        <w:t>17</w:t>
      </w:r>
      <w:r>
        <w:fldChar w:fldCharType="end"/>
      </w:r>
    </w:p>
    <w:p>
      <w:pPr>
        <w:pStyle w:val="TOC8"/>
        <w:rPr>
          <w:sz w:val="24"/>
          <w:szCs w:val="24"/>
        </w:rPr>
      </w:pPr>
      <w:r>
        <w:rPr>
          <w:szCs w:val="24"/>
        </w:rPr>
        <w:t>38A</w:t>
      </w:r>
      <w:r>
        <w:rPr>
          <w:snapToGrid w:val="0"/>
          <w:szCs w:val="24"/>
        </w:rPr>
        <w:t>.</w:t>
      </w:r>
      <w:r>
        <w:rPr>
          <w:snapToGrid w:val="0"/>
          <w:szCs w:val="24"/>
        </w:rPr>
        <w:tab/>
        <w:t>Wages incurred through ships’ delays to be paid for</w:t>
      </w:r>
      <w:r>
        <w:tab/>
      </w:r>
      <w:r>
        <w:fldChar w:fldCharType="begin"/>
      </w:r>
      <w:r>
        <w:instrText xml:space="preserve"> PAGEREF _Toc139443276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Master to give notice of desire to work</w:t>
      </w:r>
      <w:r>
        <w:tab/>
      </w:r>
      <w:r>
        <w:fldChar w:fldCharType="begin"/>
      </w:r>
      <w:r>
        <w:instrText xml:space="preserve"> PAGEREF _Toc139443277 \h </w:instrText>
      </w:r>
      <w:r>
        <w:fldChar w:fldCharType="separate"/>
      </w:r>
      <w:r>
        <w:t>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Livestock or vehicles on jetties or premises</w:t>
      </w:r>
    </w:p>
    <w:p>
      <w:pPr>
        <w:pStyle w:val="TOC8"/>
        <w:rPr>
          <w:sz w:val="24"/>
          <w:szCs w:val="24"/>
        </w:rPr>
      </w:pPr>
      <w:r>
        <w:rPr>
          <w:szCs w:val="24"/>
        </w:rPr>
        <w:t>40</w:t>
      </w:r>
      <w:r>
        <w:rPr>
          <w:snapToGrid w:val="0"/>
          <w:szCs w:val="24"/>
        </w:rPr>
        <w:t>.</w:t>
      </w:r>
      <w:r>
        <w:rPr>
          <w:snapToGrid w:val="0"/>
          <w:szCs w:val="24"/>
        </w:rPr>
        <w:tab/>
        <w:t>Livestock on jetties or premises</w:t>
      </w:r>
      <w:r>
        <w:tab/>
      </w:r>
      <w:r>
        <w:fldChar w:fldCharType="begin"/>
      </w:r>
      <w:r>
        <w:instrText xml:space="preserve"> PAGEREF _Toc139443279 \h </w:instrText>
      </w:r>
      <w:r>
        <w:fldChar w:fldCharType="separate"/>
      </w:r>
      <w:r>
        <w:t>18</w:t>
      </w:r>
      <w:r>
        <w:fldChar w:fldCharType="end"/>
      </w:r>
    </w:p>
    <w:p>
      <w:pPr>
        <w:pStyle w:val="TOC8"/>
        <w:rPr>
          <w:sz w:val="24"/>
          <w:szCs w:val="24"/>
        </w:rPr>
      </w:pPr>
      <w:r>
        <w:rPr>
          <w:szCs w:val="24"/>
        </w:rPr>
        <w:t>41</w:t>
      </w:r>
      <w:r>
        <w:rPr>
          <w:snapToGrid w:val="0"/>
          <w:szCs w:val="24"/>
        </w:rPr>
        <w:t>.</w:t>
      </w:r>
      <w:r>
        <w:rPr>
          <w:snapToGrid w:val="0"/>
          <w:szCs w:val="24"/>
        </w:rPr>
        <w:tab/>
        <w:t>Riding vehicles, etc., on jetties or premises</w:t>
      </w:r>
      <w:r>
        <w:tab/>
      </w:r>
      <w:r>
        <w:fldChar w:fldCharType="begin"/>
      </w:r>
      <w:r>
        <w:instrText xml:space="preserve"> PAGEREF _Toc139443280 \h </w:instrText>
      </w:r>
      <w:r>
        <w:fldChar w:fldCharType="separate"/>
      </w:r>
      <w:r>
        <w:t>19</w:t>
      </w:r>
      <w:r>
        <w:fldChar w:fldCharType="end"/>
      </w:r>
    </w:p>
    <w:p>
      <w:pPr>
        <w:pStyle w:val="TOC8"/>
        <w:rPr>
          <w:sz w:val="24"/>
          <w:szCs w:val="24"/>
        </w:rPr>
      </w:pPr>
      <w:r>
        <w:rPr>
          <w:szCs w:val="24"/>
        </w:rPr>
        <w:t>41A</w:t>
      </w:r>
      <w:r>
        <w:rPr>
          <w:snapToGrid w:val="0"/>
          <w:szCs w:val="24"/>
        </w:rPr>
        <w:t>.</w:t>
      </w:r>
      <w:r>
        <w:rPr>
          <w:snapToGrid w:val="0"/>
          <w:szCs w:val="24"/>
        </w:rPr>
        <w:tab/>
        <w:t>Vehicles not to be parked on jetties</w:t>
      </w:r>
      <w:r>
        <w:tab/>
      </w:r>
      <w:r>
        <w:fldChar w:fldCharType="begin"/>
      </w:r>
      <w:r>
        <w:instrText xml:space="preserve"> PAGEREF _Toc139443281 \h </w:instrText>
      </w:r>
      <w:r>
        <w:fldChar w:fldCharType="separate"/>
      </w:r>
      <w:r>
        <w:t>19</w:t>
      </w:r>
      <w:r>
        <w:fldChar w:fldCharType="end"/>
      </w:r>
    </w:p>
    <w:p>
      <w:pPr>
        <w:pStyle w:val="TOC8"/>
        <w:rPr>
          <w:sz w:val="24"/>
          <w:szCs w:val="24"/>
        </w:rPr>
      </w:pPr>
      <w:r>
        <w:rPr>
          <w:szCs w:val="24"/>
        </w:rPr>
        <w:t>41B</w:t>
      </w:r>
      <w:r>
        <w:rPr>
          <w:snapToGrid w:val="0"/>
          <w:szCs w:val="24"/>
        </w:rPr>
        <w:t>.</w:t>
      </w:r>
      <w:r>
        <w:rPr>
          <w:snapToGrid w:val="0"/>
          <w:szCs w:val="24"/>
        </w:rPr>
        <w:tab/>
        <w:t>Department not responsible for vehicles on jetties</w:t>
      </w:r>
      <w:r>
        <w:tab/>
      </w:r>
      <w:r>
        <w:fldChar w:fldCharType="begin"/>
      </w:r>
      <w:r>
        <w:instrText xml:space="preserve"> PAGEREF _Toc139443282 \h </w:instrText>
      </w:r>
      <w:r>
        <w:fldChar w:fldCharType="separate"/>
      </w:r>
      <w:r>
        <w:t>19</w:t>
      </w:r>
      <w:r>
        <w:fldChar w:fldCharType="end"/>
      </w:r>
    </w:p>
    <w:p>
      <w:pPr>
        <w:pStyle w:val="TOC8"/>
        <w:rPr>
          <w:sz w:val="24"/>
          <w:szCs w:val="24"/>
        </w:rPr>
      </w:pPr>
      <w:r>
        <w:rPr>
          <w:szCs w:val="24"/>
        </w:rPr>
        <w:t>42</w:t>
      </w:r>
      <w:r>
        <w:rPr>
          <w:snapToGrid w:val="0"/>
          <w:szCs w:val="24"/>
        </w:rPr>
        <w:t>.</w:t>
      </w:r>
      <w:r>
        <w:rPr>
          <w:snapToGrid w:val="0"/>
          <w:szCs w:val="24"/>
        </w:rPr>
        <w:tab/>
        <w:t>Drivers of vehicles to obey instructions</w:t>
      </w:r>
      <w:r>
        <w:tab/>
      </w:r>
      <w:r>
        <w:fldChar w:fldCharType="begin"/>
      </w:r>
      <w:r>
        <w:instrText xml:space="preserve"> PAGEREF _Toc139443283 \h </w:instrText>
      </w:r>
      <w:r>
        <w:fldChar w:fldCharType="separate"/>
      </w:r>
      <w:r>
        <w:t>19</w:t>
      </w:r>
      <w:r>
        <w:fldChar w:fldCharType="end"/>
      </w:r>
    </w:p>
    <w:p>
      <w:pPr>
        <w:pStyle w:val="TOC8"/>
        <w:rPr>
          <w:sz w:val="24"/>
          <w:szCs w:val="24"/>
        </w:rPr>
      </w:pPr>
      <w:r>
        <w:rPr>
          <w:szCs w:val="24"/>
        </w:rPr>
        <w:t>43</w:t>
      </w:r>
      <w:r>
        <w:rPr>
          <w:snapToGrid w:val="0"/>
          <w:szCs w:val="24"/>
        </w:rPr>
        <w:t>.</w:t>
      </w:r>
      <w:r>
        <w:rPr>
          <w:snapToGrid w:val="0"/>
          <w:szCs w:val="24"/>
        </w:rPr>
        <w:tab/>
        <w:t>Persons not to be on jetties when livestock is being handled</w:t>
      </w:r>
      <w:r>
        <w:tab/>
      </w:r>
      <w:r>
        <w:fldChar w:fldCharType="begin"/>
      </w:r>
      <w:r>
        <w:instrText xml:space="preserve"> PAGEREF _Toc139443284 \h </w:instrText>
      </w:r>
      <w:r>
        <w:fldChar w:fldCharType="separate"/>
      </w:r>
      <w:r>
        <w:t>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Miscellaneous</w:t>
      </w:r>
    </w:p>
    <w:p>
      <w:pPr>
        <w:pStyle w:val="TOC8"/>
        <w:rPr>
          <w:sz w:val="24"/>
          <w:szCs w:val="24"/>
        </w:rPr>
      </w:pPr>
      <w:r>
        <w:rPr>
          <w:szCs w:val="24"/>
        </w:rPr>
        <w:t>44</w:t>
      </w:r>
      <w:r>
        <w:rPr>
          <w:snapToGrid w:val="0"/>
          <w:szCs w:val="24"/>
        </w:rPr>
        <w:t>.</w:t>
      </w:r>
      <w:r>
        <w:rPr>
          <w:snapToGrid w:val="0"/>
          <w:szCs w:val="24"/>
        </w:rPr>
        <w:tab/>
        <w:t>Bill posting, defacement and obscenity</w:t>
      </w:r>
      <w:r>
        <w:tab/>
      </w:r>
      <w:r>
        <w:fldChar w:fldCharType="begin"/>
      </w:r>
      <w:r>
        <w:instrText xml:space="preserve"> PAGEREF _Toc139443286 \h </w:instrText>
      </w:r>
      <w:r>
        <w:fldChar w:fldCharType="separate"/>
      </w:r>
      <w:r>
        <w:t>20</w:t>
      </w:r>
      <w:r>
        <w:fldChar w:fldCharType="end"/>
      </w:r>
    </w:p>
    <w:p>
      <w:pPr>
        <w:pStyle w:val="TOC8"/>
        <w:rPr>
          <w:sz w:val="24"/>
          <w:szCs w:val="24"/>
        </w:rPr>
      </w:pPr>
      <w:r>
        <w:rPr>
          <w:szCs w:val="24"/>
        </w:rPr>
        <w:t>45</w:t>
      </w:r>
      <w:r>
        <w:rPr>
          <w:snapToGrid w:val="0"/>
          <w:szCs w:val="24"/>
        </w:rPr>
        <w:t>.</w:t>
      </w:r>
      <w:r>
        <w:rPr>
          <w:snapToGrid w:val="0"/>
          <w:szCs w:val="24"/>
        </w:rPr>
        <w:tab/>
        <w:t>Disorderly persons</w:t>
      </w:r>
      <w:r>
        <w:tab/>
      </w:r>
      <w:r>
        <w:fldChar w:fldCharType="begin"/>
      </w:r>
      <w:r>
        <w:instrText xml:space="preserve"> PAGEREF _Toc139443287 \h </w:instrText>
      </w:r>
      <w:r>
        <w:fldChar w:fldCharType="separate"/>
      </w:r>
      <w:r>
        <w:t>20</w:t>
      </w:r>
      <w:r>
        <w:fldChar w:fldCharType="end"/>
      </w:r>
    </w:p>
    <w:p>
      <w:pPr>
        <w:pStyle w:val="TOC8"/>
        <w:rPr>
          <w:sz w:val="24"/>
          <w:szCs w:val="24"/>
        </w:rPr>
      </w:pPr>
      <w:r>
        <w:rPr>
          <w:szCs w:val="24"/>
        </w:rPr>
        <w:t>46</w:t>
      </w:r>
      <w:r>
        <w:rPr>
          <w:snapToGrid w:val="0"/>
          <w:szCs w:val="24"/>
        </w:rPr>
        <w:t>.</w:t>
      </w:r>
      <w:r>
        <w:rPr>
          <w:snapToGrid w:val="0"/>
          <w:szCs w:val="24"/>
        </w:rPr>
        <w:tab/>
        <w:t>Fires not to be lit</w:t>
      </w:r>
      <w:r>
        <w:tab/>
      </w:r>
      <w:r>
        <w:fldChar w:fldCharType="begin"/>
      </w:r>
      <w:r>
        <w:instrText xml:space="preserve"> PAGEREF _Toc139443288 \h </w:instrText>
      </w:r>
      <w:r>
        <w:fldChar w:fldCharType="separate"/>
      </w:r>
      <w:r>
        <w:t>21</w:t>
      </w:r>
      <w:r>
        <w:fldChar w:fldCharType="end"/>
      </w:r>
    </w:p>
    <w:p>
      <w:pPr>
        <w:pStyle w:val="TOC8"/>
        <w:rPr>
          <w:sz w:val="24"/>
          <w:szCs w:val="24"/>
        </w:rPr>
      </w:pPr>
      <w:r>
        <w:rPr>
          <w:szCs w:val="24"/>
        </w:rPr>
        <w:t>47</w:t>
      </w:r>
      <w:r>
        <w:rPr>
          <w:snapToGrid w:val="0"/>
          <w:szCs w:val="24"/>
        </w:rPr>
        <w:t>.</w:t>
      </w:r>
      <w:r>
        <w:rPr>
          <w:snapToGrid w:val="0"/>
          <w:szCs w:val="24"/>
        </w:rPr>
        <w:tab/>
        <w:t>Gates to be shut</w:t>
      </w:r>
      <w:r>
        <w:tab/>
      </w:r>
      <w:r>
        <w:fldChar w:fldCharType="begin"/>
      </w:r>
      <w:r>
        <w:instrText xml:space="preserve"> PAGEREF _Toc139443289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Interference with lights</w:t>
      </w:r>
      <w:r>
        <w:tab/>
      </w:r>
      <w:r>
        <w:fldChar w:fldCharType="begin"/>
      </w:r>
      <w:r>
        <w:instrText xml:space="preserve"> PAGEREF _Toc139443290 \h </w:instrText>
      </w:r>
      <w:r>
        <w:fldChar w:fldCharType="separate"/>
      </w:r>
      <w:r>
        <w:t>21</w:t>
      </w:r>
      <w:r>
        <w:fldChar w:fldCharType="end"/>
      </w:r>
    </w:p>
    <w:p>
      <w:pPr>
        <w:pStyle w:val="TOC8"/>
        <w:rPr>
          <w:sz w:val="24"/>
          <w:szCs w:val="24"/>
        </w:rPr>
      </w:pPr>
      <w:r>
        <w:rPr>
          <w:szCs w:val="24"/>
        </w:rPr>
        <w:t>49</w:t>
      </w:r>
      <w:r>
        <w:rPr>
          <w:snapToGrid w:val="0"/>
          <w:szCs w:val="24"/>
        </w:rPr>
        <w:t>.</w:t>
      </w:r>
      <w:r>
        <w:rPr>
          <w:snapToGrid w:val="0"/>
          <w:szCs w:val="24"/>
        </w:rPr>
        <w:tab/>
        <w:t>Interference with or damaging property</w:t>
      </w:r>
      <w:r>
        <w:tab/>
      </w:r>
      <w:r>
        <w:fldChar w:fldCharType="begin"/>
      </w:r>
      <w:r>
        <w:instrText xml:space="preserve"> PAGEREF _Toc139443291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Lost property</w:t>
      </w:r>
      <w:r>
        <w:tab/>
      </w:r>
      <w:r>
        <w:fldChar w:fldCharType="begin"/>
      </w:r>
      <w:r>
        <w:instrText xml:space="preserve"> PAGEREF _Toc139443292 \h </w:instrText>
      </w:r>
      <w:r>
        <w:fldChar w:fldCharType="separate"/>
      </w:r>
      <w:r>
        <w:t>22</w:t>
      </w:r>
      <w:r>
        <w:fldChar w:fldCharType="end"/>
      </w:r>
    </w:p>
    <w:p>
      <w:pPr>
        <w:pStyle w:val="TOC8"/>
        <w:rPr>
          <w:sz w:val="24"/>
          <w:szCs w:val="24"/>
        </w:rPr>
      </w:pPr>
      <w:r>
        <w:rPr>
          <w:szCs w:val="24"/>
        </w:rPr>
        <w:t>51</w:t>
      </w:r>
      <w:r>
        <w:rPr>
          <w:snapToGrid w:val="0"/>
          <w:szCs w:val="24"/>
        </w:rPr>
        <w:t>.</w:t>
      </w:r>
      <w:r>
        <w:rPr>
          <w:snapToGrid w:val="0"/>
          <w:szCs w:val="24"/>
        </w:rPr>
        <w:tab/>
        <w:t>Obstruction of officers, or premises</w:t>
      </w:r>
      <w:r>
        <w:tab/>
      </w:r>
      <w:r>
        <w:fldChar w:fldCharType="begin"/>
      </w:r>
      <w:r>
        <w:instrText xml:space="preserve"> PAGEREF _Toc139443293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Obstruction of or damage to jetties or premises</w:t>
      </w:r>
      <w:r>
        <w:tab/>
      </w:r>
      <w:r>
        <w:fldChar w:fldCharType="begin"/>
      </w:r>
      <w:r>
        <w:instrText xml:space="preserve"> PAGEREF _Toc139443294 \h </w:instrText>
      </w:r>
      <w:r>
        <w:fldChar w:fldCharType="separate"/>
      </w:r>
      <w:r>
        <w:t>23</w:t>
      </w:r>
      <w:r>
        <w:fldChar w:fldCharType="end"/>
      </w:r>
    </w:p>
    <w:p>
      <w:pPr>
        <w:pStyle w:val="TOC8"/>
        <w:rPr>
          <w:sz w:val="24"/>
          <w:szCs w:val="24"/>
        </w:rPr>
      </w:pPr>
      <w:r>
        <w:rPr>
          <w:szCs w:val="24"/>
        </w:rPr>
        <w:t>53</w:t>
      </w:r>
      <w:r>
        <w:rPr>
          <w:snapToGrid w:val="0"/>
          <w:szCs w:val="24"/>
        </w:rPr>
        <w:t>.</w:t>
      </w:r>
      <w:r>
        <w:rPr>
          <w:snapToGrid w:val="0"/>
          <w:szCs w:val="24"/>
        </w:rPr>
        <w:tab/>
        <w:t>Rubbish, etc., not to be thrown</w:t>
      </w:r>
      <w:r>
        <w:tab/>
      </w:r>
      <w:r>
        <w:fldChar w:fldCharType="begin"/>
      </w:r>
      <w:r>
        <w:instrText xml:space="preserve"> PAGEREF _Toc139443295 \h </w:instrText>
      </w:r>
      <w:r>
        <w:fldChar w:fldCharType="separate"/>
      </w:r>
      <w:r>
        <w:t>24</w:t>
      </w:r>
      <w:r>
        <w:fldChar w:fldCharType="end"/>
      </w:r>
    </w:p>
    <w:p>
      <w:pPr>
        <w:pStyle w:val="TOC8"/>
        <w:rPr>
          <w:sz w:val="24"/>
          <w:szCs w:val="24"/>
        </w:rPr>
      </w:pPr>
      <w:r>
        <w:rPr>
          <w:szCs w:val="24"/>
        </w:rPr>
        <w:t>54</w:t>
      </w:r>
      <w:r>
        <w:rPr>
          <w:snapToGrid w:val="0"/>
          <w:szCs w:val="24"/>
        </w:rPr>
        <w:t>.</w:t>
      </w:r>
      <w:r>
        <w:rPr>
          <w:snapToGrid w:val="0"/>
          <w:szCs w:val="24"/>
        </w:rPr>
        <w:tab/>
        <w:t>Sale of articles prohibited</w:t>
      </w:r>
      <w:r>
        <w:tab/>
      </w:r>
      <w:r>
        <w:fldChar w:fldCharType="begin"/>
      </w:r>
      <w:r>
        <w:instrText xml:space="preserve"> PAGEREF _Toc139443296 \h </w:instrText>
      </w:r>
      <w:r>
        <w:fldChar w:fldCharType="separate"/>
      </w:r>
      <w:r>
        <w:t>24</w:t>
      </w:r>
      <w:r>
        <w:fldChar w:fldCharType="end"/>
      </w:r>
    </w:p>
    <w:p>
      <w:pPr>
        <w:pStyle w:val="TOC8"/>
        <w:rPr>
          <w:sz w:val="24"/>
          <w:szCs w:val="24"/>
        </w:rPr>
      </w:pPr>
      <w:r>
        <w:rPr>
          <w:szCs w:val="24"/>
        </w:rPr>
        <w:t>55</w:t>
      </w:r>
      <w:r>
        <w:rPr>
          <w:snapToGrid w:val="0"/>
          <w:szCs w:val="24"/>
        </w:rPr>
        <w:t>.</w:t>
      </w:r>
      <w:r>
        <w:rPr>
          <w:snapToGrid w:val="0"/>
          <w:szCs w:val="24"/>
        </w:rPr>
        <w:tab/>
        <w:t>Smoking and loitering</w:t>
      </w:r>
      <w:r>
        <w:tab/>
      </w:r>
      <w:r>
        <w:fldChar w:fldCharType="begin"/>
      </w:r>
      <w:r>
        <w:instrText xml:space="preserve"> PAGEREF _Toc139443297 \h </w:instrText>
      </w:r>
      <w:r>
        <w:fldChar w:fldCharType="separate"/>
      </w:r>
      <w:r>
        <w:t>24</w:t>
      </w:r>
      <w:r>
        <w:fldChar w:fldCharType="end"/>
      </w:r>
    </w:p>
    <w:p>
      <w:pPr>
        <w:pStyle w:val="TOC8"/>
        <w:rPr>
          <w:sz w:val="24"/>
          <w:szCs w:val="24"/>
        </w:rPr>
      </w:pPr>
      <w:r>
        <w:rPr>
          <w:szCs w:val="24"/>
        </w:rPr>
        <w:t>56</w:t>
      </w:r>
      <w:r>
        <w:rPr>
          <w:snapToGrid w:val="0"/>
          <w:szCs w:val="24"/>
        </w:rPr>
        <w:t>.</w:t>
      </w:r>
      <w:r>
        <w:rPr>
          <w:snapToGrid w:val="0"/>
          <w:szCs w:val="24"/>
        </w:rPr>
        <w:tab/>
        <w:t>Trespassing</w:t>
      </w:r>
      <w:r>
        <w:tab/>
      </w:r>
      <w:r>
        <w:fldChar w:fldCharType="begin"/>
      </w:r>
      <w:r>
        <w:instrText xml:space="preserve"> PAGEREF _Toc139443298 \h </w:instrText>
      </w:r>
      <w:r>
        <w:fldChar w:fldCharType="separate"/>
      </w:r>
      <w:r>
        <w:t>24</w:t>
      </w:r>
      <w:r>
        <w:fldChar w:fldCharType="end"/>
      </w:r>
    </w:p>
    <w:p>
      <w:pPr>
        <w:pStyle w:val="TOC8"/>
        <w:rPr>
          <w:sz w:val="24"/>
          <w:szCs w:val="24"/>
        </w:rPr>
      </w:pPr>
      <w:r>
        <w:rPr>
          <w:szCs w:val="24"/>
        </w:rPr>
        <w:t>67A</w:t>
      </w:r>
      <w:r>
        <w:rPr>
          <w:snapToGrid w:val="0"/>
          <w:szCs w:val="24"/>
        </w:rPr>
        <w:t>.</w:t>
      </w:r>
      <w:r>
        <w:rPr>
          <w:snapToGrid w:val="0"/>
          <w:szCs w:val="24"/>
        </w:rPr>
        <w:tab/>
        <w:t>Conditions for construction and installation of pipelines</w:t>
      </w:r>
      <w:r>
        <w:tab/>
      </w:r>
      <w:r>
        <w:fldChar w:fldCharType="begin"/>
      </w:r>
      <w:r>
        <w:instrText xml:space="preserve"> PAGEREF _Toc139443299 \h </w:instrText>
      </w:r>
      <w:r>
        <w:fldChar w:fldCharType="separate"/>
      </w:r>
      <w:r>
        <w:t>25</w:t>
      </w:r>
      <w:r>
        <w:fldChar w:fldCharType="end"/>
      </w:r>
    </w:p>
    <w:p>
      <w:pPr>
        <w:pStyle w:val="TOC8"/>
        <w:rPr>
          <w:sz w:val="24"/>
          <w:szCs w:val="24"/>
        </w:rPr>
      </w:pPr>
      <w:r>
        <w:rPr>
          <w:szCs w:val="24"/>
        </w:rPr>
        <w:t>67B</w:t>
      </w:r>
      <w:r>
        <w:rPr>
          <w:snapToGrid w:val="0"/>
          <w:szCs w:val="24"/>
        </w:rPr>
        <w:t>.</w:t>
      </w:r>
      <w:r>
        <w:rPr>
          <w:snapToGrid w:val="0"/>
          <w:szCs w:val="24"/>
        </w:rPr>
        <w:tab/>
        <w:t>Maintenance and operation of pipelines</w:t>
      </w:r>
      <w:r>
        <w:tab/>
      </w:r>
      <w:r>
        <w:fldChar w:fldCharType="begin"/>
      </w:r>
      <w:r>
        <w:instrText xml:space="preserve"> PAGEREF _Toc139443300 \h </w:instrText>
      </w:r>
      <w:r>
        <w:fldChar w:fldCharType="separate"/>
      </w:r>
      <w:r>
        <w:t>28</w:t>
      </w:r>
      <w:r>
        <w:fldChar w:fldCharType="end"/>
      </w:r>
    </w:p>
    <w:p>
      <w:pPr>
        <w:pStyle w:val="TOC8"/>
        <w:rPr>
          <w:sz w:val="24"/>
          <w:szCs w:val="24"/>
        </w:rPr>
      </w:pPr>
      <w:r>
        <w:rPr>
          <w:szCs w:val="24"/>
        </w:rPr>
        <w:t>67D</w:t>
      </w:r>
      <w:r>
        <w:rPr>
          <w:snapToGrid w:val="0"/>
          <w:szCs w:val="24"/>
        </w:rPr>
        <w:t>.</w:t>
      </w:r>
      <w:r>
        <w:rPr>
          <w:snapToGrid w:val="0"/>
          <w:szCs w:val="24"/>
        </w:rPr>
        <w:tab/>
        <w:t>Penalty for failure to remove or amend pipeline</w:t>
      </w:r>
      <w:r>
        <w:tab/>
      </w:r>
      <w:r>
        <w:fldChar w:fldCharType="begin"/>
      </w:r>
      <w:r>
        <w:instrText xml:space="preserve"> PAGEREF _Toc139443301 \h </w:instrText>
      </w:r>
      <w:r>
        <w:fldChar w:fldCharType="separate"/>
      </w:r>
      <w:r>
        <w:t>34</w:t>
      </w:r>
      <w:r>
        <w:fldChar w:fldCharType="end"/>
      </w:r>
    </w:p>
    <w:p>
      <w:pPr>
        <w:pStyle w:val="TOC2"/>
        <w:tabs>
          <w:tab w:val="right" w:leader="dot" w:pos="7086"/>
        </w:tabs>
        <w:rPr>
          <w:b w:val="0"/>
          <w:sz w:val="24"/>
          <w:szCs w:val="24"/>
        </w:rPr>
      </w:pPr>
      <w:r>
        <w:rPr>
          <w:szCs w:val="30"/>
        </w:rPr>
        <w:t>Part 2 — Regulations applying to jetties within the Port of Perth</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67E</w:t>
      </w:r>
      <w:r>
        <w:rPr>
          <w:snapToGrid w:val="0"/>
          <w:szCs w:val="24"/>
        </w:rPr>
        <w:t>.</w:t>
      </w:r>
      <w:r>
        <w:rPr>
          <w:snapToGrid w:val="0"/>
          <w:szCs w:val="24"/>
        </w:rPr>
        <w:tab/>
        <w:t>Application</w:t>
      </w:r>
      <w:r>
        <w:tab/>
      </w:r>
      <w:r>
        <w:fldChar w:fldCharType="begin"/>
      </w:r>
      <w:r>
        <w:instrText xml:space="preserve"> PAGEREF _Toc139443304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and use of jetties</w:t>
      </w:r>
    </w:p>
    <w:p>
      <w:pPr>
        <w:pStyle w:val="TOC8"/>
        <w:rPr>
          <w:sz w:val="24"/>
          <w:szCs w:val="24"/>
        </w:rPr>
      </w:pPr>
      <w:r>
        <w:rPr>
          <w:szCs w:val="24"/>
        </w:rPr>
        <w:t>68</w:t>
      </w:r>
      <w:r>
        <w:rPr>
          <w:snapToGrid w:val="0"/>
          <w:szCs w:val="24"/>
        </w:rPr>
        <w:t>.</w:t>
      </w:r>
      <w:r>
        <w:rPr>
          <w:snapToGrid w:val="0"/>
          <w:szCs w:val="24"/>
        </w:rPr>
        <w:tab/>
        <w:t>Control of jetties</w:t>
      </w:r>
      <w:r>
        <w:tab/>
      </w:r>
      <w:r>
        <w:fldChar w:fldCharType="begin"/>
      </w:r>
      <w:r>
        <w:instrText xml:space="preserve"> PAGEREF _Toc139443306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Use of jetties</w:t>
      </w:r>
      <w:r>
        <w:tab/>
      </w:r>
      <w:r>
        <w:fldChar w:fldCharType="begin"/>
      </w:r>
      <w:r>
        <w:instrText xml:space="preserve"> PAGEREF _Toc139443307 \h </w:instrText>
      </w:r>
      <w:r>
        <w:fldChar w:fldCharType="separate"/>
      </w:r>
      <w:r>
        <w:t>35</w:t>
      </w:r>
      <w:r>
        <w:fldChar w:fldCharType="end"/>
      </w:r>
    </w:p>
    <w:p>
      <w:pPr>
        <w:pStyle w:val="TOC8"/>
        <w:rPr>
          <w:sz w:val="24"/>
          <w:szCs w:val="24"/>
        </w:rPr>
      </w:pPr>
      <w:r>
        <w:rPr>
          <w:szCs w:val="24"/>
        </w:rPr>
        <w:t>70</w:t>
      </w:r>
      <w:r>
        <w:rPr>
          <w:snapToGrid w:val="0"/>
          <w:szCs w:val="24"/>
        </w:rPr>
        <w:t>.</w:t>
      </w:r>
      <w:r>
        <w:rPr>
          <w:snapToGrid w:val="0"/>
          <w:szCs w:val="24"/>
        </w:rPr>
        <w:tab/>
        <w:t>Jetties may be closed</w:t>
      </w:r>
      <w:r>
        <w:tab/>
      </w:r>
      <w:r>
        <w:fldChar w:fldCharType="begin"/>
      </w:r>
      <w:r>
        <w:instrText xml:space="preserve"> PAGEREF _Toc139443308 \h </w:instrText>
      </w:r>
      <w:r>
        <w:fldChar w:fldCharType="separate"/>
      </w:r>
      <w:r>
        <w:t>36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and berthing of vessels</w:t>
      </w:r>
    </w:p>
    <w:p>
      <w:pPr>
        <w:pStyle w:val="TOC8"/>
        <w:rPr>
          <w:sz w:val="24"/>
          <w:szCs w:val="24"/>
        </w:rPr>
      </w:pPr>
      <w:r>
        <w:rPr>
          <w:szCs w:val="24"/>
        </w:rPr>
        <w:t>71</w:t>
      </w:r>
      <w:r>
        <w:rPr>
          <w:snapToGrid w:val="0"/>
          <w:szCs w:val="24"/>
        </w:rPr>
        <w:t>.</w:t>
      </w:r>
      <w:r>
        <w:rPr>
          <w:snapToGrid w:val="0"/>
          <w:szCs w:val="24"/>
        </w:rPr>
        <w:tab/>
        <w:t>Permit required to moor, etc., alongside jetty or buoy</w:t>
      </w:r>
      <w:r>
        <w:tab/>
      </w:r>
      <w:r>
        <w:fldChar w:fldCharType="begin"/>
      </w:r>
      <w:r>
        <w:instrText xml:space="preserve"> PAGEREF _Toc139443310 \h </w:instrText>
      </w:r>
      <w:r>
        <w:fldChar w:fldCharType="separate"/>
      </w:r>
      <w:r>
        <w:t>36</w:t>
      </w:r>
      <w:r>
        <w:fldChar w:fldCharType="end"/>
      </w:r>
    </w:p>
    <w:p>
      <w:pPr>
        <w:pStyle w:val="TOC8"/>
        <w:rPr>
          <w:sz w:val="24"/>
          <w:szCs w:val="24"/>
        </w:rPr>
      </w:pPr>
      <w:r>
        <w:rPr>
          <w:szCs w:val="24"/>
        </w:rPr>
        <w:t>72</w:t>
      </w:r>
      <w:r>
        <w:rPr>
          <w:snapToGrid w:val="0"/>
          <w:szCs w:val="24"/>
        </w:rPr>
        <w:t>.</w:t>
      </w:r>
      <w:r>
        <w:rPr>
          <w:snapToGrid w:val="0"/>
          <w:szCs w:val="24"/>
        </w:rPr>
        <w:tab/>
        <w:t>Duration of, and charges for, permits</w:t>
      </w:r>
      <w:r>
        <w:tab/>
      </w:r>
      <w:r>
        <w:fldChar w:fldCharType="begin"/>
      </w:r>
      <w:r>
        <w:instrText xml:space="preserve"> PAGEREF _Toc139443311 \h </w:instrText>
      </w:r>
      <w:r>
        <w:fldChar w:fldCharType="separate"/>
      </w:r>
      <w:r>
        <w:t>36</w:t>
      </w:r>
      <w:r>
        <w:fldChar w:fldCharType="end"/>
      </w:r>
    </w:p>
    <w:p>
      <w:pPr>
        <w:pStyle w:val="TOC8"/>
        <w:rPr>
          <w:sz w:val="24"/>
          <w:szCs w:val="24"/>
        </w:rPr>
      </w:pPr>
      <w:r>
        <w:rPr>
          <w:szCs w:val="24"/>
        </w:rPr>
        <w:t>73</w:t>
      </w:r>
      <w:r>
        <w:rPr>
          <w:snapToGrid w:val="0"/>
          <w:szCs w:val="24"/>
        </w:rPr>
        <w:t>.</w:t>
      </w:r>
      <w:r>
        <w:rPr>
          <w:snapToGrid w:val="0"/>
          <w:szCs w:val="24"/>
        </w:rPr>
        <w:tab/>
        <w:t>Permit for exclusive use of a berth</w:t>
      </w:r>
      <w:r>
        <w:tab/>
      </w:r>
      <w:r>
        <w:fldChar w:fldCharType="begin"/>
      </w:r>
      <w:r>
        <w:instrText xml:space="preserve"> PAGEREF _Toc139443312 \h </w:instrText>
      </w:r>
      <w:r>
        <w:fldChar w:fldCharType="separate"/>
      </w:r>
      <w:r>
        <w:t>37</w:t>
      </w:r>
      <w:r>
        <w:fldChar w:fldCharType="end"/>
      </w:r>
    </w:p>
    <w:p>
      <w:pPr>
        <w:pStyle w:val="TOC8"/>
        <w:rPr>
          <w:sz w:val="24"/>
          <w:szCs w:val="24"/>
        </w:rPr>
      </w:pPr>
      <w:r>
        <w:rPr>
          <w:szCs w:val="24"/>
        </w:rPr>
        <w:t>74</w:t>
      </w:r>
      <w:r>
        <w:rPr>
          <w:snapToGrid w:val="0"/>
          <w:szCs w:val="24"/>
        </w:rPr>
        <w:t>.</w:t>
      </w:r>
      <w:r>
        <w:rPr>
          <w:snapToGrid w:val="0"/>
          <w:szCs w:val="24"/>
        </w:rPr>
        <w:tab/>
        <w:t>Manner of mooring vessels</w:t>
      </w:r>
      <w:r>
        <w:tab/>
      </w:r>
      <w:r>
        <w:fldChar w:fldCharType="begin"/>
      </w:r>
      <w:r>
        <w:instrText xml:space="preserve"> PAGEREF _Toc139443313 \h </w:instrText>
      </w:r>
      <w:r>
        <w:fldChar w:fldCharType="separate"/>
      </w:r>
      <w:r>
        <w:t>38</w:t>
      </w:r>
      <w:r>
        <w:fldChar w:fldCharType="end"/>
      </w:r>
    </w:p>
    <w:p>
      <w:pPr>
        <w:pStyle w:val="TOC8"/>
        <w:rPr>
          <w:sz w:val="24"/>
          <w:szCs w:val="24"/>
        </w:rPr>
      </w:pPr>
      <w:r>
        <w:rPr>
          <w:szCs w:val="24"/>
        </w:rPr>
        <w:t>75</w:t>
      </w:r>
      <w:r>
        <w:rPr>
          <w:snapToGrid w:val="0"/>
          <w:szCs w:val="24"/>
        </w:rPr>
        <w:t>.</w:t>
      </w:r>
      <w:r>
        <w:rPr>
          <w:snapToGrid w:val="0"/>
          <w:szCs w:val="24"/>
        </w:rPr>
        <w:tab/>
        <w:t>Vessels not to remain at jetties longer than necessary</w:t>
      </w:r>
      <w:r>
        <w:tab/>
      </w:r>
      <w:r>
        <w:fldChar w:fldCharType="begin"/>
      </w:r>
      <w:r>
        <w:instrText xml:space="preserve"> PAGEREF _Toc139443314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Mooring of rafts and boathouses</w:t>
      </w:r>
      <w:r>
        <w:tab/>
      </w:r>
      <w:r>
        <w:fldChar w:fldCharType="begin"/>
      </w:r>
      <w:r>
        <w:instrText xml:space="preserve"> PAGEREF _Toc139443315 \h </w:instrText>
      </w:r>
      <w:r>
        <w:fldChar w:fldCharType="separate"/>
      </w:r>
      <w:r>
        <w:t>39</w:t>
      </w:r>
      <w:r>
        <w:fldChar w:fldCharType="end"/>
      </w:r>
    </w:p>
    <w:p>
      <w:pPr>
        <w:pStyle w:val="TOC8"/>
        <w:rPr>
          <w:sz w:val="24"/>
          <w:szCs w:val="24"/>
        </w:rPr>
      </w:pPr>
      <w:r>
        <w:rPr>
          <w:szCs w:val="24"/>
        </w:rPr>
        <w:t>77</w:t>
      </w:r>
      <w:r>
        <w:rPr>
          <w:snapToGrid w:val="0"/>
          <w:szCs w:val="24"/>
        </w:rPr>
        <w:t>.</w:t>
      </w:r>
      <w:r>
        <w:rPr>
          <w:snapToGrid w:val="0"/>
          <w:szCs w:val="24"/>
        </w:rPr>
        <w:tab/>
        <w:t>Vessels to be in charge of a competent person</w:t>
      </w:r>
      <w:r>
        <w:tab/>
      </w:r>
      <w:r>
        <w:fldChar w:fldCharType="begin"/>
      </w:r>
      <w:r>
        <w:instrText xml:space="preserve"> PAGEREF _Toc139443316 \h </w:instrText>
      </w:r>
      <w:r>
        <w:fldChar w:fldCharType="separate"/>
      </w:r>
      <w:r>
        <w:t>39</w:t>
      </w:r>
      <w:r>
        <w:fldChar w:fldCharType="end"/>
      </w:r>
    </w:p>
    <w:p>
      <w:pPr>
        <w:pStyle w:val="TOC8"/>
        <w:rPr>
          <w:sz w:val="24"/>
          <w:szCs w:val="24"/>
        </w:rPr>
      </w:pPr>
      <w:r>
        <w:rPr>
          <w:szCs w:val="24"/>
        </w:rPr>
        <w:t>78</w:t>
      </w:r>
      <w:r>
        <w:rPr>
          <w:snapToGrid w:val="0"/>
          <w:szCs w:val="24"/>
        </w:rPr>
        <w:t>.</w:t>
      </w:r>
      <w:r>
        <w:rPr>
          <w:snapToGrid w:val="0"/>
          <w:szCs w:val="24"/>
        </w:rPr>
        <w:tab/>
        <w:t>Approaching jetties after sunset</w:t>
      </w:r>
      <w:r>
        <w:tab/>
      </w:r>
      <w:r>
        <w:fldChar w:fldCharType="begin"/>
      </w:r>
      <w:r>
        <w:instrText xml:space="preserve"> PAGEREF _Toc139443317 \h </w:instrText>
      </w:r>
      <w:r>
        <w:fldChar w:fldCharType="separate"/>
      </w:r>
      <w:r>
        <w:t>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Loading or discharging cargo</w:t>
      </w:r>
    </w:p>
    <w:p>
      <w:pPr>
        <w:pStyle w:val="TOC8"/>
        <w:rPr>
          <w:sz w:val="24"/>
          <w:szCs w:val="24"/>
        </w:rPr>
      </w:pPr>
      <w:r>
        <w:rPr>
          <w:szCs w:val="24"/>
        </w:rPr>
        <w:t>80</w:t>
      </w:r>
      <w:r>
        <w:rPr>
          <w:snapToGrid w:val="0"/>
          <w:szCs w:val="24"/>
        </w:rPr>
        <w:t>.</w:t>
      </w:r>
      <w:r>
        <w:rPr>
          <w:snapToGrid w:val="0"/>
          <w:szCs w:val="24"/>
        </w:rPr>
        <w:tab/>
        <w:t>Vessels loading or discharging</w:t>
      </w:r>
      <w:r>
        <w:tab/>
      </w:r>
      <w:r>
        <w:fldChar w:fldCharType="begin"/>
      </w:r>
      <w:r>
        <w:instrText xml:space="preserve"> PAGEREF _Toc139443319 \h </w:instrText>
      </w:r>
      <w:r>
        <w:fldChar w:fldCharType="separate"/>
      </w:r>
      <w:r>
        <w:t>40</w:t>
      </w:r>
      <w:r>
        <w:fldChar w:fldCharType="end"/>
      </w:r>
    </w:p>
    <w:p>
      <w:pPr>
        <w:pStyle w:val="TOC8"/>
        <w:rPr>
          <w:sz w:val="24"/>
          <w:szCs w:val="24"/>
        </w:rPr>
      </w:pPr>
      <w:r>
        <w:rPr>
          <w:szCs w:val="24"/>
        </w:rPr>
        <w:t>81</w:t>
      </w:r>
      <w:r>
        <w:rPr>
          <w:snapToGrid w:val="0"/>
          <w:szCs w:val="24"/>
        </w:rPr>
        <w:t>.</w:t>
      </w:r>
      <w:r>
        <w:rPr>
          <w:snapToGrid w:val="0"/>
          <w:szCs w:val="24"/>
        </w:rPr>
        <w:tab/>
        <w:t>Cargo to be removed</w:t>
      </w:r>
      <w:r>
        <w:tab/>
      </w:r>
      <w:r>
        <w:fldChar w:fldCharType="begin"/>
      </w:r>
      <w:r>
        <w:instrText xml:space="preserve"> PAGEREF _Toc139443320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Cargo not to remain on jetties overnight</w:t>
      </w:r>
      <w:r>
        <w:tab/>
      </w:r>
      <w:r>
        <w:fldChar w:fldCharType="begin"/>
      </w:r>
      <w:r>
        <w:instrText xml:space="preserve"> PAGEREF _Toc139443321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Explosives not to be handled without permission</w:t>
      </w:r>
      <w:r>
        <w:tab/>
      </w:r>
      <w:r>
        <w:fldChar w:fldCharType="begin"/>
      </w:r>
      <w:r>
        <w:instrText xml:space="preserve"> PAGEREF _Toc139443322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Manner of handling cargo</w:t>
      </w:r>
      <w:r>
        <w:tab/>
      </w:r>
      <w:r>
        <w:fldChar w:fldCharType="begin"/>
      </w:r>
      <w:r>
        <w:instrText xml:space="preserve"> PAGEREF _Toc139443323 \h </w:instrText>
      </w:r>
      <w:r>
        <w:fldChar w:fldCharType="separate"/>
      </w:r>
      <w:r>
        <w:t>41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Navigation of vessels</w:t>
      </w:r>
    </w:p>
    <w:p>
      <w:pPr>
        <w:pStyle w:val="TOC8"/>
        <w:rPr>
          <w:sz w:val="24"/>
          <w:szCs w:val="24"/>
        </w:rPr>
      </w:pPr>
      <w:r>
        <w:rPr>
          <w:szCs w:val="24"/>
        </w:rPr>
        <w:t>85</w:t>
      </w:r>
      <w:r>
        <w:rPr>
          <w:snapToGrid w:val="0"/>
          <w:szCs w:val="24"/>
        </w:rPr>
        <w:t>.</w:t>
      </w:r>
      <w:r>
        <w:rPr>
          <w:snapToGrid w:val="0"/>
          <w:szCs w:val="24"/>
        </w:rPr>
        <w:tab/>
        <w:t>Power vessels approaching jetties</w:t>
      </w:r>
      <w:r>
        <w:tab/>
      </w:r>
      <w:r>
        <w:fldChar w:fldCharType="begin"/>
      </w:r>
      <w:r>
        <w:instrText xml:space="preserve"> PAGEREF _Toc139443325 \h </w:instrText>
      </w:r>
      <w:r>
        <w:fldChar w:fldCharType="separate"/>
      </w:r>
      <w:r>
        <w:t>41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Bathing from jetties</w:t>
      </w:r>
      <w:r>
        <w:tab/>
      </w:r>
      <w:r>
        <w:fldChar w:fldCharType="begin"/>
      </w:r>
      <w:r>
        <w:instrText xml:space="preserve"> PAGEREF _Toc139443327 \h </w:instrText>
      </w:r>
      <w:r>
        <w:fldChar w:fldCharType="separate"/>
      </w:r>
      <w:r>
        <w:t>42</w:t>
      </w:r>
      <w:r>
        <w:fldChar w:fldCharType="end"/>
      </w:r>
    </w:p>
    <w:p>
      <w:pPr>
        <w:pStyle w:val="TOC8"/>
        <w:rPr>
          <w:sz w:val="24"/>
          <w:szCs w:val="24"/>
        </w:rPr>
      </w:pPr>
      <w:r>
        <w:rPr>
          <w:szCs w:val="24"/>
        </w:rPr>
        <w:t>87</w:t>
      </w:r>
      <w:r>
        <w:rPr>
          <w:snapToGrid w:val="0"/>
          <w:szCs w:val="24"/>
        </w:rPr>
        <w:t>.</w:t>
      </w:r>
      <w:r>
        <w:rPr>
          <w:snapToGrid w:val="0"/>
          <w:szCs w:val="24"/>
        </w:rPr>
        <w:tab/>
        <w:t>Damage to jetties</w:t>
      </w:r>
      <w:r>
        <w:tab/>
      </w:r>
      <w:r>
        <w:fldChar w:fldCharType="begin"/>
      </w:r>
      <w:r>
        <w:instrText xml:space="preserve"> PAGEREF _Toc139443328 \h </w:instrText>
      </w:r>
      <w:r>
        <w:fldChar w:fldCharType="separate"/>
      </w:r>
      <w:r>
        <w:t>42</w:t>
      </w:r>
      <w:r>
        <w:fldChar w:fldCharType="end"/>
      </w:r>
    </w:p>
    <w:p>
      <w:pPr>
        <w:pStyle w:val="TOC8"/>
        <w:rPr>
          <w:sz w:val="24"/>
          <w:szCs w:val="24"/>
        </w:rPr>
      </w:pPr>
      <w:r>
        <w:rPr>
          <w:szCs w:val="24"/>
        </w:rPr>
        <w:t>88</w:t>
      </w:r>
      <w:r>
        <w:rPr>
          <w:snapToGrid w:val="0"/>
          <w:szCs w:val="24"/>
        </w:rPr>
        <w:t>.</w:t>
      </w:r>
      <w:r>
        <w:rPr>
          <w:snapToGrid w:val="0"/>
          <w:szCs w:val="24"/>
        </w:rPr>
        <w:tab/>
        <w:t>Fishing from certain places prohibited</w:t>
      </w:r>
      <w:r>
        <w:tab/>
      </w:r>
      <w:r>
        <w:fldChar w:fldCharType="begin"/>
      </w:r>
      <w:r>
        <w:instrText xml:space="preserve"> PAGEREF _Toc139443329 \h </w:instrText>
      </w:r>
      <w:r>
        <w:fldChar w:fldCharType="separate"/>
      </w:r>
      <w:r>
        <w:t>42</w:t>
      </w:r>
      <w:r>
        <w:fldChar w:fldCharType="end"/>
      </w:r>
    </w:p>
    <w:p>
      <w:pPr>
        <w:pStyle w:val="TOC8"/>
        <w:rPr>
          <w:sz w:val="24"/>
          <w:szCs w:val="24"/>
        </w:rPr>
      </w:pPr>
      <w:r>
        <w:rPr>
          <w:szCs w:val="24"/>
        </w:rPr>
        <w:t>89</w:t>
      </w:r>
      <w:r>
        <w:rPr>
          <w:snapToGrid w:val="0"/>
          <w:szCs w:val="24"/>
        </w:rPr>
        <w:t>.</w:t>
      </w:r>
      <w:r>
        <w:rPr>
          <w:snapToGrid w:val="0"/>
          <w:szCs w:val="24"/>
        </w:rPr>
        <w:tab/>
        <w:t>Fishing nets on jetties</w:t>
      </w:r>
      <w:r>
        <w:tab/>
      </w:r>
      <w:r>
        <w:fldChar w:fldCharType="begin"/>
      </w:r>
      <w:r>
        <w:instrText xml:space="preserve"> PAGEREF _Toc139443330 \h </w:instrText>
      </w:r>
      <w:r>
        <w:fldChar w:fldCharType="separate"/>
      </w:r>
      <w:r>
        <w:t>42</w:t>
      </w:r>
      <w:r>
        <w:fldChar w:fldCharType="end"/>
      </w:r>
    </w:p>
    <w:p>
      <w:pPr>
        <w:pStyle w:val="TOC8"/>
        <w:rPr>
          <w:sz w:val="24"/>
          <w:szCs w:val="24"/>
        </w:rPr>
      </w:pPr>
      <w:r>
        <w:rPr>
          <w:szCs w:val="24"/>
        </w:rPr>
        <w:t>90</w:t>
      </w:r>
      <w:r>
        <w:rPr>
          <w:snapToGrid w:val="0"/>
          <w:szCs w:val="24"/>
        </w:rPr>
        <w:t>.</w:t>
      </w:r>
      <w:r>
        <w:rPr>
          <w:snapToGrid w:val="0"/>
          <w:szCs w:val="24"/>
        </w:rPr>
        <w:tab/>
        <w:t>Gangways to be provided</w:t>
      </w:r>
      <w:r>
        <w:tab/>
      </w:r>
      <w:r>
        <w:fldChar w:fldCharType="begin"/>
      </w:r>
      <w:r>
        <w:instrText xml:space="preserve"> PAGEREF _Toc139443331 \h </w:instrText>
      </w:r>
      <w:r>
        <w:fldChar w:fldCharType="separate"/>
      </w:r>
      <w:r>
        <w:t>43</w:t>
      </w:r>
      <w:r>
        <w:fldChar w:fldCharType="end"/>
      </w:r>
    </w:p>
    <w:p>
      <w:pPr>
        <w:pStyle w:val="TOC8"/>
        <w:rPr>
          <w:sz w:val="24"/>
          <w:szCs w:val="24"/>
        </w:rPr>
      </w:pPr>
      <w:r>
        <w:rPr>
          <w:szCs w:val="24"/>
        </w:rPr>
        <w:t>91</w:t>
      </w:r>
      <w:r>
        <w:rPr>
          <w:snapToGrid w:val="0"/>
          <w:szCs w:val="24"/>
        </w:rPr>
        <w:t>.</w:t>
      </w:r>
      <w:r>
        <w:rPr>
          <w:snapToGrid w:val="0"/>
          <w:szCs w:val="24"/>
        </w:rPr>
        <w:tab/>
        <w:t>Interference with jetties or approaches</w:t>
      </w:r>
      <w:r>
        <w:tab/>
      </w:r>
      <w:r>
        <w:fldChar w:fldCharType="begin"/>
      </w:r>
      <w:r>
        <w:instrText xml:space="preserve"> PAGEREF _Toc139443332 \h </w:instrText>
      </w:r>
      <w:r>
        <w:fldChar w:fldCharType="separate"/>
      </w:r>
      <w:r>
        <w:t>43</w:t>
      </w:r>
      <w:r>
        <w:fldChar w:fldCharType="end"/>
      </w:r>
    </w:p>
    <w:p>
      <w:pPr>
        <w:pStyle w:val="TOC8"/>
        <w:rPr>
          <w:sz w:val="24"/>
          <w:szCs w:val="24"/>
        </w:rPr>
      </w:pPr>
      <w:r>
        <w:rPr>
          <w:szCs w:val="24"/>
        </w:rPr>
        <w:t>92</w:t>
      </w:r>
      <w:r>
        <w:rPr>
          <w:snapToGrid w:val="0"/>
          <w:szCs w:val="24"/>
        </w:rPr>
        <w:t>.</w:t>
      </w:r>
      <w:r>
        <w:rPr>
          <w:snapToGrid w:val="0"/>
          <w:szCs w:val="24"/>
        </w:rPr>
        <w:tab/>
        <w:t>Lifebuoys on jetties</w:t>
      </w:r>
      <w:r>
        <w:tab/>
      </w:r>
      <w:r>
        <w:fldChar w:fldCharType="begin"/>
      </w:r>
      <w:r>
        <w:instrText xml:space="preserve"> PAGEREF _Toc139443333 \h </w:instrText>
      </w:r>
      <w:r>
        <w:fldChar w:fldCharType="separate"/>
      </w:r>
      <w:r>
        <w:t>43</w:t>
      </w:r>
      <w:r>
        <w:fldChar w:fldCharType="end"/>
      </w:r>
    </w:p>
    <w:p>
      <w:pPr>
        <w:pStyle w:val="TOC8"/>
        <w:rPr>
          <w:sz w:val="24"/>
          <w:szCs w:val="24"/>
        </w:rPr>
      </w:pPr>
      <w:r>
        <w:rPr>
          <w:szCs w:val="24"/>
        </w:rPr>
        <w:t>93</w:t>
      </w:r>
      <w:r>
        <w:rPr>
          <w:snapToGrid w:val="0"/>
          <w:szCs w:val="24"/>
        </w:rPr>
        <w:t>.</w:t>
      </w:r>
      <w:r>
        <w:rPr>
          <w:snapToGrid w:val="0"/>
          <w:szCs w:val="24"/>
        </w:rPr>
        <w:tab/>
        <w:t>Obstruction of jetties or officers</w:t>
      </w:r>
      <w:r>
        <w:tab/>
      </w:r>
      <w:r>
        <w:fldChar w:fldCharType="begin"/>
      </w:r>
      <w:r>
        <w:instrText xml:space="preserve"> PAGEREF _Toc139443334 \h </w:instrText>
      </w:r>
      <w:r>
        <w:fldChar w:fldCharType="separate"/>
      </w:r>
      <w:r>
        <w:t>43</w:t>
      </w:r>
      <w:r>
        <w:fldChar w:fldCharType="end"/>
      </w:r>
    </w:p>
    <w:p>
      <w:pPr>
        <w:pStyle w:val="TOC8"/>
        <w:rPr>
          <w:sz w:val="24"/>
          <w:szCs w:val="24"/>
        </w:rPr>
      </w:pPr>
      <w:r>
        <w:rPr>
          <w:szCs w:val="24"/>
        </w:rPr>
        <w:t>94</w:t>
      </w:r>
      <w:r>
        <w:rPr>
          <w:snapToGrid w:val="0"/>
          <w:szCs w:val="24"/>
        </w:rPr>
        <w:t>.</w:t>
      </w:r>
      <w:r>
        <w:rPr>
          <w:snapToGrid w:val="0"/>
          <w:szCs w:val="24"/>
        </w:rPr>
        <w:tab/>
        <w:t>Rubbish not to be thrown in river, etc.</w:t>
      </w:r>
      <w:r>
        <w:tab/>
      </w:r>
      <w:r>
        <w:fldChar w:fldCharType="begin"/>
      </w:r>
      <w:r>
        <w:instrText xml:space="preserve"> PAGEREF _Toc139443335 \h </w:instrText>
      </w:r>
      <w:r>
        <w:fldChar w:fldCharType="separate"/>
      </w:r>
      <w:r>
        <w:t>44</w:t>
      </w:r>
      <w:r>
        <w:fldChar w:fldCharType="end"/>
      </w:r>
    </w:p>
    <w:p>
      <w:pPr>
        <w:pStyle w:val="TOC2"/>
        <w:tabs>
          <w:tab w:val="right" w:leader="dot" w:pos="7086"/>
        </w:tabs>
        <w:rPr>
          <w:b w:val="0"/>
          <w:sz w:val="24"/>
          <w:szCs w:val="24"/>
        </w:rPr>
      </w:pPr>
      <w:r>
        <w:rPr>
          <w:szCs w:val="30"/>
        </w:rPr>
        <w:t>Part 2A — Mooring and berthing other than in the Port of Perth</w:t>
      </w:r>
    </w:p>
    <w:p>
      <w:pPr>
        <w:pStyle w:val="TOC8"/>
        <w:rPr>
          <w:sz w:val="24"/>
          <w:szCs w:val="24"/>
        </w:rPr>
      </w:pPr>
      <w:r>
        <w:rPr>
          <w:szCs w:val="24"/>
        </w:rPr>
        <w:t>94A.</w:t>
      </w:r>
      <w:r>
        <w:rPr>
          <w:szCs w:val="24"/>
        </w:rPr>
        <w:tab/>
        <w:t>Fees, etc. for pen rentals and services</w:t>
      </w:r>
      <w:r>
        <w:tab/>
      </w:r>
      <w:r>
        <w:fldChar w:fldCharType="begin"/>
      </w:r>
      <w:r>
        <w:instrText xml:space="preserve"> PAGEREF _Toc139443337 \h </w:instrText>
      </w:r>
      <w:r>
        <w:fldChar w:fldCharType="separate"/>
      </w:r>
      <w:r>
        <w:t>45</w:t>
      </w:r>
      <w:r>
        <w:fldChar w:fldCharType="end"/>
      </w:r>
    </w:p>
    <w:p>
      <w:pPr>
        <w:pStyle w:val="TOC8"/>
        <w:rPr>
          <w:sz w:val="24"/>
          <w:szCs w:val="24"/>
        </w:rPr>
      </w:pPr>
      <w:r>
        <w:rPr>
          <w:szCs w:val="24"/>
        </w:rPr>
        <w:t>94B</w:t>
      </w:r>
      <w:r>
        <w:rPr>
          <w:snapToGrid w:val="0"/>
          <w:szCs w:val="24"/>
        </w:rPr>
        <w:t>.</w:t>
      </w:r>
      <w:r>
        <w:rPr>
          <w:snapToGrid w:val="0"/>
          <w:szCs w:val="24"/>
        </w:rPr>
        <w:tab/>
        <w:t>Fees for pile mooring</w:t>
      </w:r>
      <w:r>
        <w:tab/>
      </w:r>
      <w:r>
        <w:fldChar w:fldCharType="begin"/>
      </w:r>
      <w:r>
        <w:instrText xml:space="preserve"> PAGEREF _Toc139443338 \h </w:instrText>
      </w:r>
      <w:r>
        <w:fldChar w:fldCharType="separate"/>
      </w:r>
      <w:r>
        <w:t>45</w:t>
      </w:r>
      <w:r>
        <w:fldChar w:fldCharType="end"/>
      </w:r>
    </w:p>
    <w:p>
      <w:pPr>
        <w:pStyle w:val="TOC8"/>
        <w:rPr>
          <w:sz w:val="24"/>
          <w:szCs w:val="24"/>
        </w:rPr>
      </w:pPr>
      <w:r>
        <w:rPr>
          <w:szCs w:val="24"/>
        </w:rPr>
        <w:t>94C</w:t>
      </w:r>
      <w:r>
        <w:rPr>
          <w:snapToGrid w:val="0"/>
          <w:szCs w:val="24"/>
        </w:rPr>
        <w:t>.</w:t>
      </w:r>
      <w:r>
        <w:rPr>
          <w:snapToGrid w:val="0"/>
          <w:szCs w:val="24"/>
        </w:rPr>
        <w:tab/>
        <w:t>Fees for berthing or mooring on a casual basis</w:t>
      </w:r>
      <w:r>
        <w:tab/>
      </w:r>
      <w:r>
        <w:fldChar w:fldCharType="begin"/>
      </w:r>
      <w:r>
        <w:instrText xml:space="preserve"> PAGEREF _Toc139443339 \h </w:instrText>
      </w:r>
      <w:r>
        <w:fldChar w:fldCharType="separate"/>
      </w:r>
      <w:r>
        <w:t>45</w:t>
      </w:r>
      <w:r>
        <w:fldChar w:fldCharType="end"/>
      </w:r>
    </w:p>
    <w:p>
      <w:pPr>
        <w:pStyle w:val="TOC2"/>
        <w:tabs>
          <w:tab w:val="right" w:leader="dot" w:pos="7086"/>
        </w:tabs>
        <w:rPr>
          <w:b w:val="0"/>
          <w:sz w:val="24"/>
          <w:szCs w:val="24"/>
        </w:rPr>
      </w:pPr>
      <w:r>
        <w:rPr>
          <w:szCs w:val="30"/>
        </w:rPr>
        <w:t>Part 3 — Special provisions applying at particular ports</w:t>
      </w:r>
    </w:p>
    <w:p>
      <w:pPr>
        <w:pStyle w:val="TOC4"/>
        <w:tabs>
          <w:tab w:val="right" w:leader="dot" w:pos="7086"/>
        </w:tabs>
        <w:rPr>
          <w:b w:val="0"/>
          <w:sz w:val="24"/>
          <w:szCs w:val="24"/>
        </w:rPr>
      </w:pPr>
      <w:r>
        <w:rPr>
          <w:szCs w:val="26"/>
        </w:rPr>
        <w:t>Division 1</w:t>
      </w:r>
      <w:r>
        <w:rPr>
          <w:snapToGrid w:val="0"/>
          <w:szCs w:val="26"/>
        </w:rPr>
        <w:t> — </w:t>
      </w:r>
      <w:r>
        <w:rPr>
          <w:szCs w:val="26"/>
        </w:rPr>
        <w:t>Use of slipways</w:t>
      </w:r>
    </w:p>
    <w:p>
      <w:pPr>
        <w:pStyle w:val="TOC8"/>
        <w:rPr>
          <w:sz w:val="24"/>
          <w:szCs w:val="24"/>
        </w:rPr>
      </w:pPr>
      <w:r>
        <w:rPr>
          <w:szCs w:val="24"/>
        </w:rPr>
        <w:t>95.</w:t>
      </w:r>
      <w:r>
        <w:rPr>
          <w:szCs w:val="24"/>
        </w:rPr>
        <w:tab/>
        <w:t>Management and control of departmental slipways</w:t>
      </w:r>
      <w:r>
        <w:tab/>
      </w:r>
      <w:r>
        <w:fldChar w:fldCharType="begin"/>
      </w:r>
      <w:r>
        <w:instrText xml:space="preserve"> PAGEREF _Toc139443342 \h </w:instrText>
      </w:r>
      <w:r>
        <w:fldChar w:fldCharType="separate"/>
      </w:r>
      <w:r>
        <w:t>46</w:t>
      </w:r>
      <w:r>
        <w:fldChar w:fldCharType="end"/>
      </w:r>
    </w:p>
    <w:p>
      <w:pPr>
        <w:pStyle w:val="TOC8"/>
        <w:rPr>
          <w:sz w:val="24"/>
          <w:szCs w:val="24"/>
        </w:rPr>
      </w:pPr>
      <w:r>
        <w:rPr>
          <w:szCs w:val="24"/>
        </w:rPr>
        <w:t>95A</w:t>
      </w:r>
      <w:r>
        <w:rPr>
          <w:snapToGrid w:val="0"/>
          <w:szCs w:val="24"/>
        </w:rPr>
        <w:t>.</w:t>
      </w:r>
      <w:r>
        <w:rPr>
          <w:snapToGrid w:val="0"/>
          <w:szCs w:val="24"/>
        </w:rPr>
        <w:tab/>
        <w:t>Application for use of slipway</w:t>
      </w:r>
      <w:r>
        <w:tab/>
      </w:r>
      <w:r>
        <w:fldChar w:fldCharType="begin"/>
      </w:r>
      <w:r>
        <w:instrText xml:space="preserve"> PAGEREF _Toc139443343 \h </w:instrText>
      </w:r>
      <w:r>
        <w:fldChar w:fldCharType="separate"/>
      </w:r>
      <w:r>
        <w:t>46</w:t>
      </w:r>
      <w:r>
        <w:fldChar w:fldCharType="end"/>
      </w:r>
    </w:p>
    <w:p>
      <w:pPr>
        <w:pStyle w:val="TOC8"/>
        <w:rPr>
          <w:sz w:val="24"/>
          <w:szCs w:val="24"/>
        </w:rPr>
      </w:pPr>
      <w:r>
        <w:rPr>
          <w:szCs w:val="24"/>
        </w:rPr>
        <w:t>96</w:t>
      </w:r>
      <w:r>
        <w:rPr>
          <w:snapToGrid w:val="0"/>
          <w:szCs w:val="24"/>
        </w:rPr>
        <w:t>.</w:t>
      </w:r>
      <w:r>
        <w:rPr>
          <w:snapToGrid w:val="0"/>
          <w:szCs w:val="24"/>
        </w:rPr>
        <w:tab/>
        <w:t>Charges for use of slipway</w:t>
      </w:r>
      <w:r>
        <w:tab/>
      </w:r>
      <w:r>
        <w:fldChar w:fldCharType="begin"/>
      </w:r>
      <w:r>
        <w:instrText xml:space="preserve"> PAGEREF _Toc139443344 \h </w:instrText>
      </w:r>
      <w:r>
        <w:fldChar w:fldCharType="separate"/>
      </w:r>
      <w:r>
        <w:t>47</w:t>
      </w:r>
      <w:r>
        <w:fldChar w:fldCharType="end"/>
      </w:r>
    </w:p>
    <w:p>
      <w:pPr>
        <w:pStyle w:val="TOC8"/>
        <w:rPr>
          <w:sz w:val="24"/>
          <w:szCs w:val="24"/>
        </w:rPr>
      </w:pPr>
      <w:r>
        <w:rPr>
          <w:szCs w:val="24"/>
        </w:rPr>
        <w:t>97</w:t>
      </w:r>
      <w:r>
        <w:rPr>
          <w:snapToGrid w:val="0"/>
          <w:szCs w:val="24"/>
        </w:rPr>
        <w:t>.</w:t>
      </w:r>
      <w:r>
        <w:rPr>
          <w:snapToGrid w:val="0"/>
          <w:szCs w:val="24"/>
        </w:rPr>
        <w:tab/>
        <w:t>Government vessels may take precedence</w:t>
      </w:r>
      <w:r>
        <w:tab/>
      </w:r>
      <w:r>
        <w:fldChar w:fldCharType="begin"/>
      </w:r>
      <w:r>
        <w:instrText xml:space="preserve"> PAGEREF _Toc139443345 \h </w:instrText>
      </w:r>
      <w:r>
        <w:fldChar w:fldCharType="separate"/>
      </w:r>
      <w:r>
        <w:t>47</w:t>
      </w:r>
      <w:r>
        <w:fldChar w:fldCharType="end"/>
      </w:r>
    </w:p>
    <w:p>
      <w:pPr>
        <w:pStyle w:val="TOC8"/>
        <w:rPr>
          <w:sz w:val="24"/>
          <w:szCs w:val="24"/>
        </w:rPr>
      </w:pPr>
      <w:r>
        <w:rPr>
          <w:szCs w:val="24"/>
        </w:rPr>
        <w:t>98</w:t>
      </w:r>
      <w:r>
        <w:rPr>
          <w:snapToGrid w:val="0"/>
          <w:szCs w:val="24"/>
        </w:rPr>
        <w:t>.</w:t>
      </w:r>
      <w:r>
        <w:rPr>
          <w:snapToGrid w:val="0"/>
          <w:szCs w:val="24"/>
        </w:rPr>
        <w:tab/>
        <w:t>Vessels may forfeit their turn</w:t>
      </w:r>
      <w:r>
        <w:tab/>
      </w:r>
      <w:r>
        <w:fldChar w:fldCharType="begin"/>
      </w:r>
      <w:r>
        <w:instrText xml:space="preserve"> PAGEREF _Toc139443346 \h </w:instrText>
      </w:r>
      <w:r>
        <w:fldChar w:fldCharType="separate"/>
      </w:r>
      <w:r>
        <w:t>47</w:t>
      </w:r>
      <w:r>
        <w:fldChar w:fldCharType="end"/>
      </w:r>
    </w:p>
    <w:p>
      <w:pPr>
        <w:pStyle w:val="TOC8"/>
        <w:rPr>
          <w:sz w:val="24"/>
          <w:szCs w:val="24"/>
        </w:rPr>
      </w:pPr>
      <w:r>
        <w:rPr>
          <w:szCs w:val="24"/>
        </w:rPr>
        <w:t>99</w:t>
      </w:r>
      <w:r>
        <w:rPr>
          <w:snapToGrid w:val="0"/>
          <w:szCs w:val="24"/>
        </w:rPr>
        <w:t>.</w:t>
      </w:r>
      <w:r>
        <w:rPr>
          <w:snapToGrid w:val="0"/>
          <w:szCs w:val="24"/>
        </w:rPr>
        <w:tab/>
        <w:t>Department will not undertake repairs, etc.</w:t>
      </w:r>
      <w:r>
        <w:tab/>
      </w:r>
      <w:r>
        <w:fldChar w:fldCharType="begin"/>
      </w:r>
      <w:r>
        <w:instrText xml:space="preserve"> PAGEREF _Toc139443347 \h </w:instrText>
      </w:r>
      <w:r>
        <w:fldChar w:fldCharType="separate"/>
      </w:r>
      <w:r>
        <w:t>48</w:t>
      </w:r>
      <w:r>
        <w:fldChar w:fldCharType="end"/>
      </w:r>
    </w:p>
    <w:p>
      <w:pPr>
        <w:pStyle w:val="TOC8"/>
        <w:rPr>
          <w:sz w:val="24"/>
          <w:szCs w:val="24"/>
        </w:rPr>
      </w:pPr>
      <w:r>
        <w:rPr>
          <w:szCs w:val="24"/>
        </w:rPr>
        <w:t>100</w:t>
      </w:r>
      <w:r>
        <w:rPr>
          <w:snapToGrid w:val="0"/>
          <w:szCs w:val="24"/>
        </w:rPr>
        <w:t>.</w:t>
      </w:r>
      <w:r>
        <w:rPr>
          <w:snapToGrid w:val="0"/>
          <w:szCs w:val="24"/>
        </w:rPr>
        <w:tab/>
        <w:t>Department not responsible for damage to vessel when in use of slip</w:t>
      </w:r>
      <w:r>
        <w:tab/>
      </w:r>
      <w:r>
        <w:fldChar w:fldCharType="begin"/>
      </w:r>
      <w:r>
        <w:instrText xml:space="preserve"> PAGEREF _Toc139443348 \h </w:instrText>
      </w:r>
      <w:r>
        <w:fldChar w:fldCharType="separate"/>
      </w:r>
      <w:r>
        <w:t>48</w:t>
      </w:r>
      <w:r>
        <w:fldChar w:fldCharType="end"/>
      </w:r>
    </w:p>
    <w:p>
      <w:pPr>
        <w:pStyle w:val="TOC8"/>
        <w:rPr>
          <w:sz w:val="24"/>
          <w:szCs w:val="24"/>
        </w:rPr>
      </w:pPr>
      <w:r>
        <w:rPr>
          <w:szCs w:val="24"/>
        </w:rPr>
        <w:t>101</w:t>
      </w:r>
      <w:r>
        <w:rPr>
          <w:snapToGrid w:val="0"/>
          <w:szCs w:val="24"/>
        </w:rPr>
        <w:t>.</w:t>
      </w:r>
      <w:r>
        <w:rPr>
          <w:snapToGrid w:val="0"/>
          <w:szCs w:val="24"/>
        </w:rPr>
        <w:tab/>
        <w:t>Duties of owner or master using slipway</w:t>
      </w:r>
      <w:r>
        <w:tab/>
      </w:r>
      <w:r>
        <w:fldChar w:fldCharType="begin"/>
      </w:r>
      <w:r>
        <w:instrText xml:space="preserve"> PAGEREF _Toc139443349 \h </w:instrText>
      </w:r>
      <w:r>
        <w:fldChar w:fldCharType="separate"/>
      </w:r>
      <w:r>
        <w:t>48</w:t>
      </w:r>
      <w:r>
        <w:fldChar w:fldCharType="end"/>
      </w:r>
    </w:p>
    <w:p>
      <w:pPr>
        <w:pStyle w:val="TOC8"/>
        <w:rPr>
          <w:sz w:val="24"/>
          <w:szCs w:val="24"/>
        </w:rPr>
      </w:pPr>
      <w:r>
        <w:rPr>
          <w:szCs w:val="24"/>
        </w:rPr>
        <w:t>101A</w:t>
      </w:r>
      <w:r>
        <w:rPr>
          <w:snapToGrid w:val="0"/>
          <w:szCs w:val="24"/>
        </w:rPr>
        <w:t>.</w:t>
      </w:r>
      <w:r>
        <w:rPr>
          <w:snapToGrid w:val="0"/>
          <w:szCs w:val="24"/>
        </w:rPr>
        <w:tab/>
        <w:t>Slipping of more than one vessel at a time</w:t>
      </w:r>
      <w:r>
        <w:tab/>
      </w:r>
      <w:r>
        <w:fldChar w:fldCharType="begin"/>
      </w:r>
      <w:r>
        <w:instrText xml:space="preserve"> PAGEREF _Toc139443350 \h </w:instrText>
      </w:r>
      <w:r>
        <w:fldChar w:fldCharType="separate"/>
      </w:r>
      <w:r>
        <w:t>49</w:t>
      </w:r>
      <w:r>
        <w:fldChar w:fldCharType="end"/>
      </w:r>
    </w:p>
    <w:p>
      <w:pPr>
        <w:pStyle w:val="TOC8"/>
        <w:rPr>
          <w:sz w:val="24"/>
          <w:szCs w:val="24"/>
        </w:rPr>
      </w:pPr>
      <w:r>
        <w:rPr>
          <w:szCs w:val="24"/>
        </w:rPr>
        <w:t>101B</w:t>
      </w:r>
      <w:r>
        <w:rPr>
          <w:snapToGrid w:val="0"/>
          <w:szCs w:val="24"/>
        </w:rPr>
        <w:t>.</w:t>
      </w:r>
      <w:r>
        <w:rPr>
          <w:snapToGrid w:val="0"/>
          <w:szCs w:val="24"/>
        </w:rPr>
        <w:tab/>
        <w:t>Dispute procedure</w:t>
      </w:r>
      <w:r>
        <w:tab/>
      </w:r>
      <w:r>
        <w:fldChar w:fldCharType="begin"/>
      </w:r>
      <w:r>
        <w:instrText xml:space="preserve"> PAGEREF _Toc139443351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mooring springs</w:t>
      </w:r>
    </w:p>
    <w:p>
      <w:pPr>
        <w:pStyle w:val="TOC8"/>
        <w:rPr>
          <w:sz w:val="24"/>
          <w:szCs w:val="24"/>
        </w:rPr>
      </w:pPr>
      <w:r>
        <w:rPr>
          <w:szCs w:val="24"/>
        </w:rPr>
        <w:t>105F</w:t>
      </w:r>
      <w:r>
        <w:rPr>
          <w:snapToGrid w:val="0"/>
          <w:szCs w:val="24"/>
        </w:rPr>
        <w:t>.</w:t>
      </w:r>
      <w:r>
        <w:rPr>
          <w:snapToGrid w:val="0"/>
          <w:szCs w:val="24"/>
        </w:rPr>
        <w:tab/>
        <w:t>Approaching bollard or jetty to which mooring spring or rope fastened</w:t>
      </w:r>
      <w:r>
        <w:tab/>
      </w:r>
      <w:r>
        <w:fldChar w:fldCharType="begin"/>
      </w:r>
      <w:r>
        <w:instrText xml:space="preserve"> PAGEREF _Toc139443353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weighbridges at Wyndham</w:t>
      </w:r>
    </w:p>
    <w:p>
      <w:pPr>
        <w:pStyle w:val="TOC8"/>
        <w:rPr>
          <w:sz w:val="24"/>
          <w:szCs w:val="24"/>
        </w:rPr>
      </w:pPr>
      <w:r>
        <w:rPr>
          <w:szCs w:val="24"/>
        </w:rPr>
        <w:t>105I</w:t>
      </w:r>
      <w:r>
        <w:rPr>
          <w:snapToGrid w:val="0"/>
          <w:szCs w:val="24"/>
        </w:rPr>
        <w:t>.</w:t>
      </w:r>
      <w:r>
        <w:rPr>
          <w:snapToGrid w:val="0"/>
          <w:szCs w:val="24"/>
        </w:rPr>
        <w:tab/>
        <w:t>Weighbridge fees</w:t>
      </w:r>
      <w:r>
        <w:tab/>
      </w:r>
      <w:r>
        <w:fldChar w:fldCharType="begin"/>
      </w:r>
      <w:r>
        <w:instrText xml:space="preserve"> PAGEREF _Toc139443355 \h </w:instrText>
      </w:r>
      <w:r>
        <w:fldChar w:fldCharType="separate"/>
      </w:r>
      <w:r>
        <w:t>50</w:t>
      </w:r>
      <w:r>
        <w:fldChar w:fldCharType="end"/>
      </w:r>
    </w:p>
    <w:p>
      <w:pPr>
        <w:pStyle w:val="TOC2"/>
        <w:tabs>
          <w:tab w:val="right" w:leader="dot" w:pos="7086"/>
        </w:tabs>
        <w:rPr>
          <w:b w:val="0"/>
          <w:sz w:val="24"/>
          <w:szCs w:val="24"/>
        </w:rPr>
      </w:pPr>
      <w:r>
        <w:rPr>
          <w:szCs w:val="30"/>
        </w:rPr>
        <w:t>Part 4 — Breach of regulations and penalties</w:t>
      </w:r>
    </w:p>
    <w:p>
      <w:pPr>
        <w:pStyle w:val="TOC8"/>
        <w:rPr>
          <w:sz w:val="24"/>
          <w:szCs w:val="24"/>
        </w:rPr>
      </w:pPr>
      <w:r>
        <w:rPr>
          <w:szCs w:val="24"/>
        </w:rPr>
        <w:t>106</w:t>
      </w:r>
      <w:r>
        <w:rPr>
          <w:snapToGrid w:val="0"/>
          <w:szCs w:val="24"/>
        </w:rPr>
        <w:t>.</w:t>
      </w:r>
      <w:r>
        <w:rPr>
          <w:snapToGrid w:val="0"/>
          <w:szCs w:val="24"/>
        </w:rPr>
        <w:tab/>
        <w:t>Powers of officer of Department</w:t>
      </w:r>
      <w:r>
        <w:tab/>
      </w:r>
      <w:r>
        <w:fldChar w:fldCharType="begin"/>
      </w:r>
      <w:r>
        <w:instrText xml:space="preserve"> PAGEREF _Toc139443357 \h </w:instrText>
      </w:r>
      <w:r>
        <w:fldChar w:fldCharType="separate"/>
      </w:r>
      <w:r>
        <w:t>51</w:t>
      </w:r>
      <w:r>
        <w:fldChar w:fldCharType="end"/>
      </w:r>
    </w:p>
    <w:p>
      <w:pPr>
        <w:pStyle w:val="TOC8"/>
        <w:rPr>
          <w:sz w:val="24"/>
          <w:szCs w:val="24"/>
        </w:rPr>
      </w:pPr>
      <w:r>
        <w:rPr>
          <w:szCs w:val="24"/>
        </w:rPr>
        <w:t>107</w:t>
      </w:r>
      <w:r>
        <w:rPr>
          <w:snapToGrid w:val="0"/>
          <w:szCs w:val="24"/>
        </w:rPr>
        <w:t>.</w:t>
      </w:r>
      <w:r>
        <w:rPr>
          <w:snapToGrid w:val="0"/>
          <w:szCs w:val="24"/>
        </w:rPr>
        <w:tab/>
        <w:t>Recovery of expenses incurred by breaches of regulations</w:t>
      </w:r>
      <w:r>
        <w:tab/>
      </w:r>
      <w:r>
        <w:fldChar w:fldCharType="begin"/>
      </w:r>
      <w:r>
        <w:instrText xml:space="preserve"> PAGEREF _Toc139443358 \h </w:instrText>
      </w:r>
      <w:r>
        <w:fldChar w:fldCharType="separate"/>
      </w:r>
      <w:r>
        <w:t>51</w:t>
      </w:r>
      <w:r>
        <w:fldChar w:fldCharType="end"/>
      </w:r>
    </w:p>
    <w:p>
      <w:pPr>
        <w:pStyle w:val="TOC8"/>
        <w:rPr>
          <w:sz w:val="24"/>
          <w:szCs w:val="24"/>
        </w:rPr>
      </w:pPr>
      <w:r>
        <w:rPr>
          <w:szCs w:val="24"/>
        </w:rPr>
        <w:t>107A</w:t>
      </w:r>
      <w:r>
        <w:rPr>
          <w:snapToGrid w:val="0"/>
          <w:szCs w:val="24"/>
        </w:rPr>
        <w:t>.</w:t>
      </w:r>
      <w:r>
        <w:rPr>
          <w:snapToGrid w:val="0"/>
          <w:szCs w:val="24"/>
        </w:rPr>
        <w:tab/>
        <w:t>Police have authority to enforce regulations</w:t>
      </w:r>
      <w:r>
        <w:tab/>
      </w:r>
      <w:r>
        <w:fldChar w:fldCharType="begin"/>
      </w:r>
      <w:r>
        <w:instrText xml:space="preserve"> PAGEREF _Toc139443359 \h </w:instrText>
      </w:r>
      <w:r>
        <w:fldChar w:fldCharType="separate"/>
      </w:r>
      <w:r>
        <w:t>51</w:t>
      </w:r>
      <w:r>
        <w:fldChar w:fldCharType="end"/>
      </w:r>
    </w:p>
    <w:p>
      <w:pPr>
        <w:pStyle w:val="TOC8"/>
        <w:rPr>
          <w:sz w:val="24"/>
          <w:szCs w:val="24"/>
        </w:rPr>
      </w:pPr>
      <w:r>
        <w:rPr>
          <w:szCs w:val="24"/>
        </w:rPr>
        <w:t>108</w:t>
      </w:r>
      <w:r>
        <w:rPr>
          <w:snapToGrid w:val="0"/>
          <w:szCs w:val="24"/>
        </w:rPr>
        <w:t>.</w:t>
      </w:r>
      <w:r>
        <w:rPr>
          <w:snapToGrid w:val="0"/>
          <w:szCs w:val="24"/>
        </w:rPr>
        <w:tab/>
        <w:t>Penalty for offences</w:t>
      </w:r>
      <w:r>
        <w:tab/>
      </w:r>
      <w:r>
        <w:fldChar w:fldCharType="begin"/>
      </w:r>
      <w:r>
        <w:instrText xml:space="preserve"> PAGEREF _Toc139443360 \h </w:instrText>
      </w:r>
      <w:r>
        <w:fldChar w:fldCharType="separate"/>
      </w:r>
      <w:r>
        <w:t>52</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Division 1</w:t>
      </w:r>
      <w:r>
        <w:rPr>
          <w:b w:val="0"/>
          <w:szCs w:val="24"/>
        </w:rPr>
        <w:t> — </w:t>
      </w:r>
      <w:r>
        <w:rPr>
          <w:szCs w:val="24"/>
        </w:rPr>
        <w:t>Berthing dues at Wyndham</w:t>
      </w:r>
    </w:p>
    <w:p>
      <w:pPr>
        <w:pStyle w:val="TOC4"/>
        <w:tabs>
          <w:tab w:val="right" w:leader="dot" w:pos="7086"/>
        </w:tabs>
        <w:rPr>
          <w:b w:val="0"/>
          <w:sz w:val="24"/>
          <w:szCs w:val="24"/>
        </w:rPr>
      </w:pPr>
      <w:r>
        <w:rPr>
          <w:szCs w:val="24"/>
        </w:rPr>
        <w:t>Division 2</w:t>
      </w:r>
      <w:r>
        <w:rPr>
          <w:b w:val="0"/>
          <w:szCs w:val="24"/>
        </w:rPr>
        <w:t> — </w:t>
      </w:r>
      <w:r>
        <w:rPr>
          <w:szCs w:val="24"/>
        </w:rPr>
        <w:t>Wharfage dues and handling and haulage charges</w:t>
      </w:r>
    </w:p>
    <w:p>
      <w:pPr>
        <w:pStyle w:val="TOC6"/>
        <w:tabs>
          <w:tab w:val="right" w:leader="dot" w:pos="7086"/>
        </w:tabs>
        <w:rPr>
          <w:b w:val="0"/>
          <w:sz w:val="24"/>
          <w:szCs w:val="24"/>
        </w:rPr>
      </w:pPr>
      <w:r>
        <w:rPr>
          <w:szCs w:val="22"/>
        </w:rPr>
        <w:t>Subdivision 1</w:t>
      </w:r>
      <w:r>
        <w:rPr>
          <w:b w:val="0"/>
          <w:szCs w:val="22"/>
        </w:rPr>
        <w:t> — </w:t>
      </w:r>
      <w:r>
        <w:rPr>
          <w:szCs w:val="22"/>
        </w:rPr>
        <w:t>Wyndham</w:t>
      </w:r>
    </w:p>
    <w:p>
      <w:pPr>
        <w:pStyle w:val="TOC6"/>
        <w:tabs>
          <w:tab w:val="right" w:leader="dot" w:pos="7086"/>
        </w:tabs>
        <w:rPr>
          <w:b w:val="0"/>
          <w:sz w:val="24"/>
          <w:szCs w:val="24"/>
        </w:rPr>
      </w:pPr>
      <w:r>
        <w:rPr>
          <w:szCs w:val="22"/>
        </w:rPr>
        <w:t>Subdivision 2</w:t>
      </w:r>
      <w:r>
        <w:rPr>
          <w:b w:val="0"/>
          <w:szCs w:val="22"/>
        </w:rPr>
        <w:t> — </w:t>
      </w:r>
      <w:r>
        <w:rPr>
          <w:szCs w:val="22"/>
        </w:rPr>
        <w:t>Bremer Bay</w:t>
      </w:r>
    </w:p>
    <w:p>
      <w:pPr>
        <w:pStyle w:val="TOC6"/>
        <w:tabs>
          <w:tab w:val="right" w:leader="dot" w:pos="7086"/>
        </w:tabs>
        <w:rPr>
          <w:b w:val="0"/>
          <w:sz w:val="24"/>
          <w:szCs w:val="24"/>
        </w:rPr>
      </w:pPr>
      <w:r>
        <w:rPr>
          <w:szCs w:val="22"/>
        </w:rPr>
        <w:t>Subdivision 3</w:t>
      </w:r>
      <w:r>
        <w:rPr>
          <w:b w:val="0"/>
          <w:szCs w:val="22"/>
        </w:rPr>
        <w:t> — </w:t>
      </w:r>
      <w:r>
        <w:rPr>
          <w:szCs w:val="22"/>
        </w:rPr>
        <w:t>Exmouth</w:t>
      </w:r>
    </w:p>
    <w:p>
      <w:pPr>
        <w:pStyle w:val="TOC4"/>
        <w:tabs>
          <w:tab w:val="right" w:leader="dot" w:pos="7086"/>
        </w:tabs>
        <w:rPr>
          <w:b w:val="0"/>
          <w:sz w:val="24"/>
          <w:szCs w:val="24"/>
        </w:rPr>
      </w:pPr>
      <w:r>
        <w:rPr>
          <w:szCs w:val="24"/>
        </w:rPr>
        <w:t>Division 3</w:t>
      </w:r>
      <w:r>
        <w:rPr>
          <w:b w:val="0"/>
          <w:szCs w:val="24"/>
        </w:rPr>
        <w:t> — </w:t>
      </w:r>
      <w:r>
        <w:rPr>
          <w:szCs w:val="24"/>
        </w:rPr>
        <w:t>Transhipment charges at Wyndham</w:t>
      </w:r>
    </w:p>
    <w:p>
      <w:pPr>
        <w:pStyle w:val="TOC4"/>
        <w:tabs>
          <w:tab w:val="right" w:leader="dot" w:pos="7086"/>
        </w:tabs>
        <w:rPr>
          <w:b w:val="0"/>
          <w:sz w:val="24"/>
          <w:szCs w:val="24"/>
        </w:rPr>
      </w:pPr>
      <w:r>
        <w:rPr>
          <w:szCs w:val="24"/>
        </w:rPr>
        <w:t>Division 4</w:t>
      </w:r>
      <w:r>
        <w:rPr>
          <w:b w:val="0"/>
          <w:szCs w:val="24"/>
        </w:rPr>
        <w:t> — </w:t>
      </w:r>
      <w:r>
        <w:rPr>
          <w:szCs w:val="24"/>
        </w:rPr>
        <w:t>Fuel oil charges at Wyndham</w:t>
      </w:r>
    </w:p>
    <w:p>
      <w:pPr>
        <w:pStyle w:val="TOC4"/>
        <w:tabs>
          <w:tab w:val="right" w:leader="dot" w:pos="7086"/>
        </w:tabs>
        <w:rPr>
          <w:b w:val="0"/>
          <w:sz w:val="24"/>
          <w:szCs w:val="24"/>
        </w:rPr>
      </w:pPr>
      <w:r>
        <w:rPr>
          <w:szCs w:val="24"/>
        </w:rPr>
        <w:t>Division 5</w:t>
      </w:r>
      <w:r>
        <w:rPr>
          <w:b w:val="0"/>
          <w:szCs w:val="24"/>
        </w:rPr>
        <w:t> — </w:t>
      </w:r>
      <w:r>
        <w:rPr>
          <w:szCs w:val="24"/>
        </w:rPr>
        <w:t>Storage charges at Wyndham</w:t>
      </w:r>
    </w:p>
    <w:p>
      <w:pPr>
        <w:pStyle w:val="TOC4"/>
        <w:tabs>
          <w:tab w:val="right" w:leader="dot" w:pos="7086"/>
        </w:tabs>
        <w:rPr>
          <w:b w:val="0"/>
          <w:sz w:val="24"/>
          <w:szCs w:val="24"/>
        </w:rPr>
      </w:pPr>
      <w:r>
        <w:rPr>
          <w:szCs w:val="24"/>
        </w:rPr>
        <w:t>Division 6</w:t>
      </w:r>
      <w:r>
        <w:rPr>
          <w:b w:val="0"/>
          <w:szCs w:val="24"/>
        </w:rPr>
        <w:t> — </w:t>
      </w:r>
      <w:r>
        <w:rPr>
          <w:szCs w:val="24"/>
        </w:rPr>
        <w:t>Weighbridge fees at Wyndham</w:t>
      </w:r>
    </w:p>
    <w:p>
      <w:pPr>
        <w:pStyle w:val="TOC4"/>
        <w:tabs>
          <w:tab w:val="right" w:leader="dot" w:pos="7086"/>
        </w:tabs>
        <w:rPr>
          <w:b w:val="0"/>
          <w:sz w:val="24"/>
          <w:szCs w:val="24"/>
        </w:rPr>
      </w:pPr>
      <w:r>
        <w:rPr>
          <w:szCs w:val="24"/>
        </w:rPr>
        <w:t>Division 7</w:t>
      </w:r>
      <w:r>
        <w:rPr>
          <w:b w:val="0"/>
          <w:szCs w:val="24"/>
        </w:rPr>
        <w:t> — </w:t>
      </w:r>
      <w:r>
        <w:rPr>
          <w:szCs w:val="24"/>
        </w:rPr>
        <w:t>Miscellaneous charges at Wyndham</w:t>
      </w:r>
    </w:p>
    <w:p>
      <w:pPr>
        <w:pStyle w:val="TOC4"/>
        <w:tabs>
          <w:tab w:val="right" w:leader="dot" w:pos="7086"/>
        </w:tabs>
        <w:rPr>
          <w:b w:val="0"/>
          <w:sz w:val="24"/>
          <w:szCs w:val="24"/>
        </w:rPr>
      </w:pPr>
      <w:r>
        <w:rPr>
          <w:szCs w:val="24"/>
        </w:rPr>
        <w:t>Division 8</w:t>
      </w:r>
      <w:r>
        <w:rPr>
          <w:b w:val="0"/>
          <w:szCs w:val="24"/>
        </w:rPr>
        <w:t> — </w:t>
      </w:r>
      <w:r>
        <w:rPr>
          <w:szCs w:val="24"/>
        </w:rPr>
        <w:t>Slipway charges</w:t>
      </w:r>
    </w:p>
    <w:p>
      <w:pPr>
        <w:pStyle w:val="TOC6"/>
        <w:tabs>
          <w:tab w:val="right" w:leader="dot" w:pos="7086"/>
        </w:tabs>
        <w:rPr>
          <w:b w:val="0"/>
          <w:sz w:val="24"/>
          <w:szCs w:val="24"/>
        </w:rPr>
      </w:pPr>
      <w:r>
        <w:rPr>
          <w:szCs w:val="22"/>
        </w:rPr>
        <w:t>Subdivision 1</w:t>
      </w:r>
      <w:r>
        <w:rPr>
          <w:b w:val="0"/>
          <w:szCs w:val="22"/>
        </w:rPr>
        <w:t> — </w:t>
      </w:r>
      <w:r>
        <w:rPr>
          <w:szCs w:val="22"/>
        </w:rPr>
        <w:t>Water and electric power charges</w:t>
      </w:r>
    </w:p>
    <w:p>
      <w:pPr>
        <w:pStyle w:val="TOC6"/>
        <w:tabs>
          <w:tab w:val="right" w:leader="dot" w:pos="7086"/>
        </w:tabs>
        <w:rPr>
          <w:b w:val="0"/>
          <w:sz w:val="24"/>
          <w:szCs w:val="24"/>
        </w:rPr>
      </w:pPr>
      <w:r>
        <w:rPr>
          <w:szCs w:val="22"/>
        </w:rPr>
        <w:t>Subdivision 2</w:t>
      </w:r>
      <w:r>
        <w:rPr>
          <w:b w:val="0"/>
          <w:szCs w:val="22"/>
        </w:rPr>
        <w:t> — </w:t>
      </w:r>
      <w:r>
        <w:rPr>
          <w:szCs w:val="22"/>
        </w:rPr>
        <w:t>General charges</w:t>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b w:val="0"/>
          <w:szCs w:val="24"/>
        </w:rPr>
        <w:t> — </w:t>
      </w:r>
      <w:r>
        <w:rPr>
          <w:szCs w:val="24"/>
        </w:rPr>
        <w:t>Berthing fees: Port of Perth</w:t>
      </w:r>
    </w:p>
    <w:p>
      <w:pPr>
        <w:pStyle w:val="TOC6"/>
        <w:tabs>
          <w:tab w:val="right" w:leader="dot" w:pos="7086"/>
        </w:tabs>
        <w:rPr>
          <w:b w:val="0"/>
          <w:sz w:val="24"/>
          <w:szCs w:val="24"/>
        </w:rPr>
      </w:pPr>
      <w:r>
        <w:rPr>
          <w:szCs w:val="22"/>
        </w:rPr>
        <w:t>Subdivision 1</w:t>
      </w:r>
      <w:r>
        <w:rPr>
          <w:b w:val="0"/>
          <w:szCs w:val="22"/>
        </w:rPr>
        <w:t> — </w:t>
      </w:r>
      <w:r>
        <w:rPr>
          <w:szCs w:val="22"/>
        </w:rPr>
        <w:t>Barrack Street and Mends Street Jetties</w:t>
      </w:r>
    </w:p>
    <w:p>
      <w:pPr>
        <w:pStyle w:val="TOC6"/>
        <w:tabs>
          <w:tab w:val="right" w:leader="dot" w:pos="7086"/>
        </w:tabs>
        <w:rPr>
          <w:b w:val="0"/>
          <w:sz w:val="24"/>
          <w:szCs w:val="24"/>
        </w:rPr>
      </w:pPr>
      <w:r>
        <w:rPr>
          <w:szCs w:val="22"/>
        </w:rPr>
        <w:t>Subdivision 2</w:t>
      </w:r>
      <w:r>
        <w:rPr>
          <w:b w:val="0"/>
          <w:szCs w:val="22"/>
        </w:rPr>
        <w:t> — </w:t>
      </w:r>
      <w:r>
        <w:rPr>
          <w:szCs w:val="22"/>
        </w:rPr>
        <w:t>Swan and Canning Rivers</w:t>
      </w:r>
    </w:p>
    <w:p>
      <w:pPr>
        <w:pStyle w:val="TOC4"/>
        <w:tabs>
          <w:tab w:val="right" w:leader="dot" w:pos="7086"/>
        </w:tabs>
        <w:rPr>
          <w:b w:val="0"/>
          <w:sz w:val="24"/>
          <w:szCs w:val="24"/>
        </w:rPr>
      </w:pPr>
      <w:r>
        <w:rPr>
          <w:szCs w:val="24"/>
        </w:rPr>
        <w:t>Division 2</w:t>
      </w:r>
      <w:r>
        <w:rPr>
          <w:b w:val="0"/>
          <w:szCs w:val="24"/>
        </w:rPr>
        <w:t> — </w:t>
      </w:r>
      <w:r>
        <w:rPr>
          <w:szCs w:val="24"/>
        </w:rPr>
        <w:t>Pen fees: Port of Perth</w:t>
      </w:r>
    </w:p>
    <w:p>
      <w:pPr>
        <w:pStyle w:val="TOC6"/>
        <w:tabs>
          <w:tab w:val="right" w:leader="dot" w:pos="7086"/>
        </w:tabs>
        <w:rPr>
          <w:b w:val="0"/>
          <w:sz w:val="24"/>
          <w:szCs w:val="24"/>
        </w:rPr>
      </w:pPr>
      <w:r>
        <w:rPr>
          <w:szCs w:val="22"/>
        </w:rPr>
        <w:t>Subdivision 1</w:t>
      </w:r>
      <w:r>
        <w:rPr>
          <w:b w:val="0"/>
          <w:szCs w:val="22"/>
        </w:rPr>
        <w:t> — </w:t>
      </w:r>
      <w:r>
        <w:rPr>
          <w:szCs w:val="22"/>
        </w:rPr>
        <w:t>Hillarys Boat Harbour</w:t>
      </w:r>
    </w:p>
    <w:p>
      <w:pPr>
        <w:pStyle w:val="TOC6"/>
        <w:tabs>
          <w:tab w:val="right" w:leader="dot" w:pos="7086"/>
        </w:tabs>
        <w:rPr>
          <w:b w:val="0"/>
          <w:sz w:val="24"/>
          <w:szCs w:val="24"/>
        </w:rPr>
      </w:pPr>
      <w:r>
        <w:rPr>
          <w:szCs w:val="22"/>
        </w:rPr>
        <w:t>Subdivision 2</w:t>
      </w:r>
      <w:r>
        <w:rPr>
          <w:b w:val="0"/>
          <w:szCs w:val="22"/>
        </w:rPr>
        <w:t> — </w:t>
      </w:r>
      <w:r>
        <w:rPr>
          <w:szCs w:val="22"/>
        </w:rPr>
        <w:t>Challenger Boat Harbour (Fremantle)</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w:t>
      </w:r>
    </w:p>
    <w:p>
      <w:pPr>
        <w:pStyle w:val="TOC4"/>
        <w:tabs>
          <w:tab w:val="right" w:leader="dot" w:pos="7086"/>
        </w:tabs>
        <w:rPr>
          <w:b w:val="0"/>
          <w:sz w:val="24"/>
          <w:szCs w:val="24"/>
        </w:rPr>
      </w:pPr>
      <w:r>
        <w:rPr>
          <w:szCs w:val="24"/>
        </w:rPr>
        <w:t>Division 1</w:t>
      </w:r>
      <w:r>
        <w:rPr>
          <w:b w:val="0"/>
          <w:szCs w:val="24"/>
        </w:rPr>
        <w:t> — </w:t>
      </w:r>
      <w:r>
        <w:rPr>
          <w:szCs w:val="24"/>
        </w:rPr>
        <w:t>Pen and berthage fees (other than Port of Perth)</w:t>
      </w:r>
    </w:p>
    <w:p>
      <w:pPr>
        <w:pStyle w:val="TOC6"/>
        <w:tabs>
          <w:tab w:val="right" w:leader="dot" w:pos="7086"/>
        </w:tabs>
        <w:rPr>
          <w:b w:val="0"/>
          <w:sz w:val="24"/>
          <w:szCs w:val="24"/>
        </w:rPr>
      </w:pPr>
      <w:r>
        <w:rPr>
          <w:szCs w:val="22"/>
        </w:rPr>
        <w:t>Subdivision 1</w:t>
      </w:r>
      <w:r>
        <w:rPr>
          <w:b w:val="0"/>
          <w:szCs w:val="22"/>
        </w:rPr>
        <w:t> — </w:t>
      </w:r>
      <w:r>
        <w:rPr>
          <w:szCs w:val="22"/>
        </w:rPr>
        <w:t>Augusta</w:t>
      </w:r>
    </w:p>
    <w:p>
      <w:pPr>
        <w:pStyle w:val="TOC6"/>
        <w:tabs>
          <w:tab w:val="right" w:leader="dot" w:pos="7086"/>
        </w:tabs>
        <w:rPr>
          <w:b w:val="0"/>
          <w:sz w:val="24"/>
          <w:szCs w:val="24"/>
        </w:rPr>
      </w:pPr>
      <w:r>
        <w:rPr>
          <w:szCs w:val="22"/>
        </w:rPr>
        <w:t>Subdivision 2</w:t>
      </w:r>
      <w:r>
        <w:rPr>
          <w:b w:val="0"/>
          <w:szCs w:val="22"/>
        </w:rPr>
        <w:t> — </w:t>
      </w:r>
      <w:r>
        <w:rPr>
          <w:szCs w:val="22"/>
        </w:rPr>
        <w:t>Bandy Creek Boat Harbour (Esperance)</w:t>
      </w:r>
    </w:p>
    <w:p>
      <w:pPr>
        <w:pStyle w:val="TOC6"/>
        <w:tabs>
          <w:tab w:val="right" w:leader="dot" w:pos="7086"/>
        </w:tabs>
        <w:rPr>
          <w:b w:val="0"/>
          <w:sz w:val="24"/>
          <w:szCs w:val="24"/>
        </w:rPr>
      </w:pPr>
      <w:r>
        <w:rPr>
          <w:szCs w:val="22"/>
        </w:rPr>
        <w:t>Subdivision 3</w:t>
      </w:r>
      <w:r>
        <w:rPr>
          <w:b w:val="0"/>
          <w:szCs w:val="22"/>
        </w:rPr>
        <w:t> — </w:t>
      </w:r>
      <w:r>
        <w:rPr>
          <w:szCs w:val="22"/>
        </w:rPr>
        <w:t>Batavia Coast Boat Harbour</w:t>
      </w:r>
    </w:p>
    <w:p>
      <w:pPr>
        <w:pStyle w:val="TOC6"/>
        <w:tabs>
          <w:tab w:val="right" w:leader="dot" w:pos="7086"/>
        </w:tabs>
        <w:rPr>
          <w:b w:val="0"/>
          <w:sz w:val="24"/>
          <w:szCs w:val="24"/>
        </w:rPr>
      </w:pPr>
      <w:r>
        <w:rPr>
          <w:szCs w:val="22"/>
        </w:rPr>
        <w:t>Subdivision 4</w:t>
      </w:r>
      <w:r>
        <w:rPr>
          <w:b w:val="0"/>
          <w:szCs w:val="22"/>
        </w:rPr>
        <w:t> — </w:t>
      </w:r>
      <w:r>
        <w:rPr>
          <w:szCs w:val="22"/>
        </w:rPr>
        <w:t>Beadon Creek Boat Harbour (Onslow)</w:t>
      </w:r>
    </w:p>
    <w:p>
      <w:pPr>
        <w:pStyle w:val="TOC6"/>
        <w:tabs>
          <w:tab w:val="right" w:leader="dot" w:pos="7086"/>
        </w:tabs>
        <w:rPr>
          <w:b w:val="0"/>
          <w:sz w:val="24"/>
          <w:szCs w:val="24"/>
        </w:rPr>
      </w:pPr>
      <w:r>
        <w:rPr>
          <w:szCs w:val="22"/>
        </w:rPr>
        <w:t>Subdivision 5</w:t>
      </w:r>
      <w:r>
        <w:rPr>
          <w:b w:val="0"/>
          <w:szCs w:val="22"/>
        </w:rPr>
        <w:t> — </w:t>
      </w:r>
      <w:r>
        <w:rPr>
          <w:szCs w:val="22"/>
        </w:rPr>
        <w:t>Bremer Bay</w:t>
      </w:r>
    </w:p>
    <w:p>
      <w:pPr>
        <w:pStyle w:val="TOC6"/>
        <w:tabs>
          <w:tab w:val="right" w:leader="dot" w:pos="7086"/>
        </w:tabs>
        <w:rPr>
          <w:b w:val="0"/>
          <w:sz w:val="24"/>
          <w:szCs w:val="24"/>
        </w:rPr>
      </w:pPr>
      <w:r>
        <w:rPr>
          <w:szCs w:val="22"/>
        </w:rPr>
        <w:t>Subdivision 6</w:t>
      </w:r>
      <w:r>
        <w:rPr>
          <w:b w:val="0"/>
          <w:szCs w:val="22"/>
        </w:rPr>
        <w:t> — </w:t>
      </w:r>
      <w:r>
        <w:rPr>
          <w:szCs w:val="22"/>
        </w:rPr>
        <w:t>Carnarvon Boat Harbour</w:t>
      </w:r>
    </w:p>
    <w:p>
      <w:pPr>
        <w:pStyle w:val="TOC6"/>
        <w:tabs>
          <w:tab w:val="right" w:leader="dot" w:pos="7086"/>
        </w:tabs>
        <w:rPr>
          <w:b w:val="0"/>
          <w:sz w:val="24"/>
          <w:szCs w:val="24"/>
        </w:rPr>
      </w:pPr>
      <w:r>
        <w:rPr>
          <w:szCs w:val="22"/>
        </w:rPr>
        <w:t>Subdivision 7</w:t>
      </w:r>
      <w:r>
        <w:rPr>
          <w:b w:val="0"/>
          <w:szCs w:val="22"/>
        </w:rPr>
        <w:t> — </w:t>
      </w:r>
      <w:r>
        <w:rPr>
          <w:szCs w:val="22"/>
        </w:rPr>
        <w:t>Casuarina Boat Harbour</w:t>
      </w:r>
    </w:p>
    <w:p>
      <w:pPr>
        <w:pStyle w:val="TOC6"/>
        <w:tabs>
          <w:tab w:val="right" w:leader="dot" w:pos="7086"/>
        </w:tabs>
        <w:rPr>
          <w:b w:val="0"/>
          <w:sz w:val="24"/>
          <w:szCs w:val="24"/>
        </w:rPr>
      </w:pPr>
      <w:r>
        <w:rPr>
          <w:szCs w:val="22"/>
        </w:rPr>
        <w:t>Subdivision 8</w:t>
      </w:r>
      <w:r>
        <w:rPr>
          <w:b w:val="0"/>
          <w:szCs w:val="22"/>
        </w:rPr>
        <w:t> — </w:t>
      </w:r>
      <w:r>
        <w:rPr>
          <w:szCs w:val="22"/>
        </w:rPr>
        <w:t>Cervantes</w:t>
      </w:r>
    </w:p>
    <w:p>
      <w:pPr>
        <w:pStyle w:val="TOC6"/>
        <w:tabs>
          <w:tab w:val="right" w:leader="dot" w:pos="7086"/>
        </w:tabs>
        <w:rPr>
          <w:b w:val="0"/>
          <w:sz w:val="24"/>
          <w:szCs w:val="24"/>
        </w:rPr>
      </w:pPr>
      <w:r>
        <w:rPr>
          <w:szCs w:val="22"/>
        </w:rPr>
        <w:t>Subdivision 9</w:t>
      </w:r>
      <w:r>
        <w:rPr>
          <w:b w:val="0"/>
          <w:szCs w:val="22"/>
        </w:rPr>
        <w:t> — </w:t>
      </w:r>
      <w:r>
        <w:rPr>
          <w:szCs w:val="22"/>
        </w:rPr>
        <w:t>Emu Point Boat Harbour (Albany)</w:t>
      </w:r>
    </w:p>
    <w:p>
      <w:pPr>
        <w:pStyle w:val="TOC6"/>
        <w:tabs>
          <w:tab w:val="right" w:leader="dot" w:pos="7086"/>
        </w:tabs>
        <w:rPr>
          <w:b w:val="0"/>
          <w:sz w:val="24"/>
          <w:szCs w:val="24"/>
        </w:rPr>
      </w:pPr>
      <w:r>
        <w:rPr>
          <w:szCs w:val="22"/>
        </w:rPr>
        <w:t>Subdivision 10</w:t>
      </w:r>
      <w:r>
        <w:rPr>
          <w:b w:val="0"/>
          <w:szCs w:val="22"/>
        </w:rPr>
        <w:t> — </w:t>
      </w:r>
      <w:r>
        <w:rPr>
          <w:szCs w:val="22"/>
        </w:rPr>
        <w:t>Exmouth</w:t>
      </w:r>
    </w:p>
    <w:p>
      <w:pPr>
        <w:pStyle w:val="TOC6"/>
        <w:tabs>
          <w:tab w:val="right" w:leader="dot" w:pos="7086"/>
        </w:tabs>
        <w:rPr>
          <w:b w:val="0"/>
          <w:sz w:val="24"/>
          <w:szCs w:val="24"/>
        </w:rPr>
      </w:pPr>
      <w:r>
        <w:rPr>
          <w:szCs w:val="22"/>
        </w:rPr>
        <w:t>Subdivision 11</w:t>
      </w:r>
      <w:r>
        <w:rPr>
          <w:b w:val="0"/>
          <w:szCs w:val="22"/>
        </w:rPr>
        <w:t> — </w:t>
      </w:r>
      <w:r>
        <w:rPr>
          <w:szCs w:val="22"/>
        </w:rPr>
        <w:t>Fremantle Fishing Boat Harbour</w:t>
      </w:r>
    </w:p>
    <w:p>
      <w:pPr>
        <w:pStyle w:val="TOC6"/>
        <w:tabs>
          <w:tab w:val="right" w:leader="dot" w:pos="7086"/>
        </w:tabs>
        <w:rPr>
          <w:b w:val="0"/>
          <w:sz w:val="24"/>
          <w:szCs w:val="24"/>
        </w:rPr>
      </w:pPr>
      <w:r>
        <w:rPr>
          <w:szCs w:val="22"/>
        </w:rPr>
        <w:t>Subdivision 12</w:t>
      </w:r>
      <w:r>
        <w:rPr>
          <w:b w:val="0"/>
          <w:szCs w:val="22"/>
        </w:rPr>
        <w:t> — </w:t>
      </w:r>
      <w:r>
        <w:rPr>
          <w:szCs w:val="22"/>
        </w:rPr>
        <w:t>Green Head</w:t>
      </w:r>
    </w:p>
    <w:p>
      <w:pPr>
        <w:pStyle w:val="TOC6"/>
        <w:tabs>
          <w:tab w:val="right" w:leader="dot" w:pos="7086"/>
        </w:tabs>
        <w:rPr>
          <w:b w:val="0"/>
          <w:sz w:val="24"/>
          <w:szCs w:val="24"/>
        </w:rPr>
      </w:pPr>
      <w:r>
        <w:rPr>
          <w:szCs w:val="22"/>
        </w:rPr>
        <w:t>Subdivision 13</w:t>
      </w:r>
      <w:r>
        <w:rPr>
          <w:b w:val="0"/>
          <w:szCs w:val="22"/>
        </w:rPr>
        <w:t> — </w:t>
      </w:r>
      <w:r>
        <w:rPr>
          <w:szCs w:val="22"/>
        </w:rPr>
        <w:t>Hopetoun</w:t>
      </w:r>
    </w:p>
    <w:p>
      <w:pPr>
        <w:pStyle w:val="TOC6"/>
        <w:tabs>
          <w:tab w:val="right" w:leader="dot" w:pos="7086"/>
        </w:tabs>
        <w:rPr>
          <w:b w:val="0"/>
          <w:sz w:val="24"/>
          <w:szCs w:val="24"/>
        </w:rPr>
      </w:pPr>
      <w:r>
        <w:rPr>
          <w:szCs w:val="22"/>
        </w:rPr>
        <w:t>Subdivision 14</w:t>
      </w:r>
      <w:r>
        <w:rPr>
          <w:b w:val="0"/>
          <w:szCs w:val="22"/>
        </w:rPr>
        <w:t> — </w:t>
      </w:r>
      <w:r>
        <w:rPr>
          <w:szCs w:val="22"/>
        </w:rPr>
        <w:t>Johns Creek Boat Harbour (Point Samson)</w:t>
      </w:r>
    </w:p>
    <w:p>
      <w:pPr>
        <w:pStyle w:val="TOC6"/>
        <w:tabs>
          <w:tab w:val="right" w:leader="dot" w:pos="7086"/>
        </w:tabs>
        <w:rPr>
          <w:b w:val="0"/>
          <w:sz w:val="24"/>
          <w:szCs w:val="24"/>
        </w:rPr>
      </w:pPr>
      <w:r>
        <w:rPr>
          <w:szCs w:val="22"/>
        </w:rPr>
        <w:t>Subdivision 15</w:t>
      </w:r>
      <w:r>
        <w:rPr>
          <w:b w:val="0"/>
          <w:szCs w:val="22"/>
        </w:rPr>
        <w:t> — </w:t>
      </w:r>
      <w:r>
        <w:rPr>
          <w:szCs w:val="22"/>
        </w:rPr>
        <w:t>Jurien Boat Harbour</w:t>
      </w:r>
    </w:p>
    <w:p>
      <w:pPr>
        <w:pStyle w:val="TOC6"/>
        <w:tabs>
          <w:tab w:val="right" w:leader="dot" w:pos="7086"/>
        </w:tabs>
        <w:rPr>
          <w:b w:val="0"/>
          <w:sz w:val="24"/>
          <w:szCs w:val="24"/>
        </w:rPr>
      </w:pPr>
      <w:r>
        <w:rPr>
          <w:szCs w:val="22"/>
        </w:rPr>
        <w:t>Subdivision 16</w:t>
      </w:r>
      <w:r>
        <w:rPr>
          <w:b w:val="0"/>
          <w:szCs w:val="22"/>
        </w:rPr>
        <w:t> — </w:t>
      </w:r>
      <w:r>
        <w:rPr>
          <w:szCs w:val="22"/>
        </w:rPr>
        <w:t>Kalbarri Boat Harbour</w:t>
      </w:r>
    </w:p>
    <w:p>
      <w:pPr>
        <w:pStyle w:val="TOC6"/>
        <w:tabs>
          <w:tab w:val="right" w:leader="dot" w:pos="7086"/>
        </w:tabs>
        <w:rPr>
          <w:b w:val="0"/>
          <w:sz w:val="24"/>
          <w:szCs w:val="24"/>
        </w:rPr>
      </w:pPr>
      <w:r>
        <w:rPr>
          <w:szCs w:val="22"/>
        </w:rPr>
        <w:t>Subdivision 17</w:t>
      </w:r>
      <w:r>
        <w:rPr>
          <w:b w:val="0"/>
          <w:szCs w:val="22"/>
        </w:rPr>
        <w:t> — </w:t>
      </w:r>
      <w:r>
        <w:rPr>
          <w:szCs w:val="22"/>
        </w:rPr>
        <w:t>Lancelin Boat Harbour</w:t>
      </w:r>
    </w:p>
    <w:p>
      <w:pPr>
        <w:pStyle w:val="TOC6"/>
        <w:tabs>
          <w:tab w:val="right" w:leader="dot" w:pos="7086"/>
        </w:tabs>
        <w:rPr>
          <w:b w:val="0"/>
          <w:sz w:val="24"/>
          <w:szCs w:val="24"/>
        </w:rPr>
      </w:pPr>
      <w:r>
        <w:rPr>
          <w:szCs w:val="22"/>
        </w:rPr>
        <w:t>Subdivision 18</w:t>
      </w:r>
      <w:r>
        <w:rPr>
          <w:b w:val="0"/>
          <w:szCs w:val="22"/>
        </w:rPr>
        <w:t> — </w:t>
      </w:r>
      <w:r>
        <w:rPr>
          <w:szCs w:val="22"/>
        </w:rPr>
        <w:t>Leeman</w:t>
      </w:r>
    </w:p>
    <w:p>
      <w:pPr>
        <w:pStyle w:val="TOC6"/>
        <w:tabs>
          <w:tab w:val="right" w:leader="dot" w:pos="7086"/>
        </w:tabs>
        <w:rPr>
          <w:b w:val="0"/>
          <w:sz w:val="24"/>
          <w:szCs w:val="24"/>
        </w:rPr>
      </w:pPr>
      <w:r>
        <w:rPr>
          <w:szCs w:val="22"/>
        </w:rPr>
        <w:t>Subdivision 19</w:t>
      </w:r>
      <w:r>
        <w:rPr>
          <w:b w:val="0"/>
          <w:szCs w:val="22"/>
        </w:rPr>
        <w:t> — </w:t>
      </w:r>
      <w:r>
        <w:rPr>
          <w:szCs w:val="22"/>
        </w:rPr>
        <w:t>Port Denison</w:t>
      </w:r>
    </w:p>
    <w:p>
      <w:pPr>
        <w:pStyle w:val="TOC6"/>
        <w:tabs>
          <w:tab w:val="right" w:leader="dot" w:pos="7086"/>
        </w:tabs>
        <w:rPr>
          <w:b w:val="0"/>
          <w:sz w:val="24"/>
          <w:szCs w:val="24"/>
        </w:rPr>
      </w:pPr>
      <w:r>
        <w:rPr>
          <w:szCs w:val="22"/>
        </w:rPr>
        <w:t>Subdivision 20</w:t>
      </w:r>
      <w:r>
        <w:rPr>
          <w:b w:val="0"/>
          <w:szCs w:val="22"/>
        </w:rPr>
        <w:t> — </w:t>
      </w:r>
      <w:r>
        <w:rPr>
          <w:szCs w:val="22"/>
        </w:rPr>
        <w:t>Port Gregory</w:t>
      </w:r>
    </w:p>
    <w:p>
      <w:pPr>
        <w:pStyle w:val="TOC4"/>
        <w:tabs>
          <w:tab w:val="right" w:leader="dot" w:pos="7086"/>
        </w:tabs>
        <w:rPr>
          <w:b w:val="0"/>
          <w:sz w:val="24"/>
          <w:szCs w:val="24"/>
        </w:rPr>
      </w:pPr>
      <w:r>
        <w:rPr>
          <w:szCs w:val="24"/>
        </w:rPr>
        <w:t>Division 2</w:t>
      </w:r>
      <w:r>
        <w:rPr>
          <w:b w:val="0"/>
          <w:szCs w:val="24"/>
        </w:rPr>
        <w:t> — </w:t>
      </w:r>
      <w:r>
        <w:rPr>
          <w:szCs w:val="24"/>
        </w:rPr>
        <w:t>Pile mooring fees</w:t>
      </w:r>
    </w:p>
    <w:p>
      <w:pPr>
        <w:pStyle w:val="TOC6"/>
        <w:tabs>
          <w:tab w:val="right" w:leader="dot" w:pos="7086"/>
        </w:tabs>
        <w:rPr>
          <w:b w:val="0"/>
          <w:sz w:val="24"/>
          <w:szCs w:val="24"/>
        </w:rPr>
      </w:pPr>
      <w:r>
        <w:rPr>
          <w:szCs w:val="22"/>
        </w:rPr>
        <w:t>Subdivision 1</w:t>
      </w:r>
      <w:r>
        <w:rPr>
          <w:b w:val="0"/>
          <w:szCs w:val="22"/>
        </w:rPr>
        <w:t> — </w:t>
      </w:r>
      <w:r>
        <w:rPr>
          <w:szCs w:val="22"/>
        </w:rPr>
        <w:t>Carnarvon Boat Harbour</w:t>
      </w:r>
    </w:p>
    <w:p>
      <w:pPr>
        <w:pStyle w:val="TOC6"/>
        <w:tabs>
          <w:tab w:val="right" w:leader="dot" w:pos="7086"/>
        </w:tabs>
        <w:rPr>
          <w:b w:val="0"/>
          <w:sz w:val="24"/>
          <w:szCs w:val="24"/>
        </w:rPr>
      </w:pPr>
      <w:r>
        <w:rPr>
          <w:szCs w:val="22"/>
        </w:rPr>
        <w:t>Subdivision 2</w:t>
      </w:r>
      <w:r>
        <w:rPr>
          <w:b w:val="0"/>
          <w:szCs w:val="22"/>
        </w:rPr>
        <w:t> — </w:t>
      </w:r>
      <w:r>
        <w:rPr>
          <w:szCs w:val="22"/>
        </w:rPr>
        <w:t>Other harbours and ports generally</w:t>
      </w:r>
    </w:p>
    <w:p>
      <w:pPr>
        <w:pStyle w:val="TOC4"/>
        <w:tabs>
          <w:tab w:val="right" w:leader="dot" w:pos="7086"/>
        </w:tabs>
        <w:rPr>
          <w:b w:val="0"/>
          <w:sz w:val="24"/>
          <w:szCs w:val="24"/>
        </w:rPr>
      </w:pPr>
      <w:r>
        <w:rPr>
          <w:szCs w:val="24"/>
        </w:rPr>
        <w:t>Division 3</w:t>
      </w:r>
      <w:r>
        <w:rPr>
          <w:b w:val="0"/>
          <w:szCs w:val="24"/>
        </w:rPr>
        <w:t> — </w:t>
      </w:r>
      <w:r>
        <w:rPr>
          <w:szCs w:val="24"/>
        </w:rPr>
        <w:t>Miscellaneous fees</w:t>
      </w:r>
    </w:p>
    <w:p>
      <w:pPr>
        <w:pStyle w:val="TOC4"/>
        <w:tabs>
          <w:tab w:val="right" w:leader="dot" w:pos="7086"/>
        </w:tabs>
        <w:rPr>
          <w:b w:val="0"/>
          <w:sz w:val="24"/>
          <w:szCs w:val="24"/>
        </w:rPr>
      </w:pPr>
      <w:r>
        <w:rPr>
          <w:szCs w:val="24"/>
        </w:rPr>
        <w:t>Division 4</w:t>
      </w:r>
      <w:r>
        <w:rPr>
          <w:b w:val="0"/>
          <w:szCs w:val="24"/>
        </w:rPr>
        <w:t> — </w:t>
      </w:r>
      <w:r>
        <w:rPr>
          <w:szCs w:val="24"/>
        </w:rPr>
        <w:t>Service jetties: fuel wharfage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_Toc139443411 \h </w:instrText>
      </w:r>
      <w:r>
        <w:fldChar w:fldCharType="separate"/>
      </w:r>
      <w:r>
        <w:t>89</w:t>
      </w:r>
      <w:r>
        <w:fldChar w:fldCharType="end"/>
      </w:r>
    </w:p>
    <w:p>
      <w:pPr>
        <w:pStyle w:val="TOC4"/>
        <w:rPr>
          <w:sz w:val="12"/>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454867064"/>
      <w:bookmarkStart w:id="2" w:name="_Toc13116970"/>
      <w:bookmarkStart w:id="3" w:name="_Toc102390843"/>
      <w:bookmarkStart w:id="4" w:name="_Toc139443227"/>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5" w:name="_Toc13116971"/>
      <w:bookmarkStart w:id="6" w:name="_Toc102390844"/>
      <w:bookmarkStart w:id="7" w:name="_Toc139443228"/>
      <w:bookmarkStart w:id="8" w:name="_Toc454867065"/>
      <w:r>
        <w:rPr>
          <w:rStyle w:val="CharSectno"/>
        </w:rPr>
        <w:t>2</w:t>
      </w:r>
      <w:r>
        <w:t>.</w:t>
      </w:r>
      <w:r>
        <w:tab/>
        <w:t>Liability for dues, charges and fees</w:t>
      </w:r>
      <w:bookmarkEnd w:id="5"/>
      <w:bookmarkEnd w:id="6"/>
      <w:bookmarkEnd w:id="7"/>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9" w:name="_Toc13116972"/>
      <w:bookmarkStart w:id="10" w:name="_Toc102390845"/>
      <w:bookmarkStart w:id="11" w:name="_Toc139443229"/>
      <w:r>
        <w:rPr>
          <w:rStyle w:val="CharSectno"/>
        </w:rPr>
        <w:t>3</w:t>
      </w:r>
      <w:r>
        <w:rPr>
          <w:snapToGrid w:val="0"/>
        </w:rPr>
        <w:t>.</w:t>
      </w:r>
      <w:r>
        <w:rPr>
          <w:snapToGrid w:val="0"/>
        </w:rPr>
        <w:tab/>
      </w:r>
      <w:bookmarkEnd w:id="8"/>
      <w:bookmarkEnd w:id="9"/>
      <w:r>
        <w:rPr>
          <w:snapToGrid w:val="0"/>
        </w:rPr>
        <w:t>Terms used in these regulations</w:t>
      </w:r>
      <w:bookmarkEnd w:id="10"/>
      <w:bookmarkEnd w:id="11"/>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 — </w:t>
      </w:r>
    </w:p>
    <w:p>
      <w:pPr>
        <w:pStyle w:val="Defstart"/>
      </w:pPr>
      <w:r>
        <w:rPr>
          <w:b/>
        </w:rPr>
        <w:tab/>
        <w:t>“</w:t>
      </w:r>
      <w:r>
        <w:rPr>
          <w:rStyle w:val="CharDefText"/>
        </w:rPr>
        <w:t>Commercial Vessel</w:t>
      </w:r>
      <w:r>
        <w:rPr>
          <w:b/>
        </w:rPr>
        <w:t>”</w:t>
      </w:r>
      <w:r>
        <w:t xml:space="preserve"> has the meaning assigned to it in the </w:t>
      </w:r>
      <w:r>
        <w:rPr>
          <w:i/>
          <w:iCs/>
        </w:rPr>
        <w:t>Western Australian Marine Act 1982</w:t>
      </w:r>
      <w:r>
        <w:t>.</w:t>
      </w:r>
    </w:p>
    <w:p>
      <w:pPr>
        <w:pStyle w:val="Defstart"/>
      </w:pPr>
      <w:r>
        <w:rPr>
          <w:b/>
        </w:rPr>
        <w:tab/>
        <w:t>“</w:t>
      </w:r>
      <w:r>
        <w:rPr>
          <w:rStyle w:val="CharDefText"/>
        </w:rPr>
        <w:t>Department</w:t>
      </w:r>
      <w:r>
        <w:rPr>
          <w:b/>
        </w:rPr>
        <w:t>”</w:t>
      </w:r>
      <w:r>
        <w:t xml:space="preserve"> means the Department concerned, subject to the control of the Minister, with the administration of this Act.</w:t>
      </w:r>
    </w:p>
    <w:p>
      <w:pPr>
        <w:pStyle w:val="Defstart"/>
      </w:pPr>
      <w:r>
        <w:rPr>
          <w:b/>
        </w:rPr>
        <w:tab/>
        <w:t>“</w:t>
      </w:r>
      <w:r>
        <w:rPr>
          <w:rStyle w:val="CharDefText"/>
        </w:rPr>
        <w:t>Jetty</w:t>
      </w:r>
      <w:r>
        <w:rPr>
          <w:b/>
        </w:rPr>
        <w:t>”</w:t>
      </w:r>
      <w:r>
        <w:t xml:space="preserve"> means any jetty, pier, wharf, grid, slip or landing place.</w:t>
      </w:r>
    </w:p>
    <w:p>
      <w:pPr>
        <w:pStyle w:val="Defstart"/>
      </w:pPr>
      <w:r>
        <w:tab/>
      </w:r>
      <w:r>
        <w:rPr>
          <w:b/>
        </w:rPr>
        <w:t>“</w:t>
      </w:r>
      <w:r>
        <w:rPr>
          <w:rStyle w:val="CharDefText"/>
        </w:rPr>
        <w:t>Master</w:t>
      </w:r>
      <w:r>
        <w:rPr>
          <w:b/>
        </w:rPr>
        <w:t>”</w:t>
      </w:r>
      <w:r>
        <w:t xml:space="preserve"> means a person, other than a pilot, having command or charge of a vessel.</w:t>
      </w:r>
    </w:p>
    <w:p>
      <w:pPr>
        <w:pStyle w:val="Defstart"/>
      </w:pPr>
      <w:r>
        <w:rPr>
          <w:b/>
        </w:rPr>
        <w:tab/>
        <w:t>“</w:t>
      </w:r>
      <w:r>
        <w:rPr>
          <w:rStyle w:val="CharDefText"/>
        </w:rPr>
        <w:t>Officer</w:t>
      </w:r>
      <w:r>
        <w:rPr>
          <w:b/>
        </w:rPr>
        <w:t>”</w:t>
      </w:r>
      <w:r>
        <w:t xml:space="preserve"> means any wharfinger or servant of the Department.</w:t>
      </w:r>
    </w:p>
    <w:p>
      <w:pPr>
        <w:pStyle w:val="Defstart"/>
      </w:pPr>
      <w:r>
        <w:tab/>
      </w:r>
      <w:r>
        <w:rPr>
          <w:b/>
        </w:rPr>
        <w:t>“</w:t>
      </w:r>
      <w:r>
        <w:rPr>
          <w:rStyle w:val="CharDefText"/>
        </w:rPr>
        <w:t>Owner</w:t>
      </w:r>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b/>
          <w:bCs/>
        </w:rPr>
        <w:t>“</w:t>
      </w:r>
      <w:r>
        <w:rPr>
          <w:rStyle w:val="CharDefText"/>
        </w:rPr>
        <w:t>Pleasure Vessel</w:t>
      </w:r>
      <w:r>
        <w:rPr>
          <w:b/>
          <w:bCs/>
        </w:rPr>
        <w:t>”</w:t>
      </w:r>
      <w:r>
        <w:t xml:space="preserve"> or </w:t>
      </w:r>
      <w:r>
        <w:rPr>
          <w:b/>
        </w:rPr>
        <w:t>“</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t>“</w:t>
      </w:r>
      <w:r>
        <w:rPr>
          <w:rStyle w:val="CharDefText"/>
        </w:rPr>
        <w:t>Premises</w:t>
      </w:r>
      <w:r>
        <w:rPr>
          <w:b/>
        </w:rPr>
        <w:t>”</w:t>
      </w:r>
      <w:r>
        <w:t xml:space="preserve"> means any premises appurtenant to jetties controlled by the Department.</w:t>
      </w:r>
    </w:p>
    <w:p>
      <w:pPr>
        <w:pStyle w:val="Defstart"/>
      </w:pPr>
      <w:r>
        <w:rPr>
          <w:b/>
        </w:rPr>
        <w:tab/>
        <w:t>“</w:t>
      </w:r>
      <w:r>
        <w:rPr>
          <w:rStyle w:val="CharDefText"/>
        </w:rPr>
        <w:t>Public jetty</w:t>
      </w:r>
      <w:r>
        <w:rPr>
          <w:b/>
        </w:rPr>
        <w:t>”</w:t>
      </w:r>
      <w:r>
        <w:t xml:space="preserve"> means a jetty the property of Her Majesty and includes a jetty the property of Her Majesty vested in any person on behalf of Her Majesty.</w:t>
      </w:r>
    </w:p>
    <w:p>
      <w:pPr>
        <w:pStyle w:val="Defstart"/>
      </w:pPr>
      <w:r>
        <w:rPr>
          <w:b/>
        </w:rPr>
        <w:tab/>
        <w:t>“</w:t>
      </w:r>
      <w:r>
        <w:rPr>
          <w:rStyle w:val="CharDefText"/>
        </w:rPr>
        <w:t>Vessel</w:t>
      </w:r>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Footnotesection"/>
      </w:pPr>
      <w:r>
        <w:tab/>
        <w:t>[Regulation 3 amended in Gazette 17 Mar 1960 p. 777; 7 May 1993 p. 2361; 27 Jul 2001 p. 3814; 14 Jun 2002 p. 2799</w:t>
      </w:r>
      <w:r>
        <w:noBreakHyphen/>
        <w:t xml:space="preserve">800; 24 Jun 2005 p. 2815-16.] </w:t>
      </w:r>
    </w:p>
    <w:p>
      <w:pPr>
        <w:pStyle w:val="Heading2"/>
      </w:pPr>
      <w:bookmarkStart w:id="12" w:name="_Toc81295407"/>
      <w:bookmarkStart w:id="13" w:name="_Toc92097363"/>
      <w:bookmarkStart w:id="14" w:name="_Toc92858816"/>
      <w:bookmarkStart w:id="15" w:name="_Toc94070426"/>
      <w:bookmarkStart w:id="16" w:name="_Toc95554066"/>
      <w:bookmarkStart w:id="17" w:name="_Toc95559279"/>
      <w:bookmarkStart w:id="18" w:name="_Toc97361664"/>
      <w:bookmarkStart w:id="19" w:name="_Toc97362016"/>
      <w:bookmarkStart w:id="20" w:name="_Toc97530669"/>
      <w:bookmarkStart w:id="21" w:name="_Toc97539141"/>
      <w:bookmarkStart w:id="22" w:name="_Toc98562936"/>
      <w:bookmarkStart w:id="23" w:name="_Toc99266325"/>
      <w:bookmarkStart w:id="24" w:name="_Toc102390846"/>
      <w:bookmarkStart w:id="25" w:name="_Toc139101697"/>
      <w:bookmarkStart w:id="26" w:name="_Toc139101882"/>
      <w:bookmarkStart w:id="27" w:name="_Toc139443230"/>
      <w:r>
        <w:rPr>
          <w:rStyle w:val="CharPartNo"/>
        </w:rPr>
        <w:t>Part 1</w:t>
      </w:r>
      <w:r>
        <w:t> — </w:t>
      </w:r>
      <w:r>
        <w:rPr>
          <w:rStyle w:val="CharPartText"/>
        </w:rPr>
        <w:t>Regulations applying to jetties controlled by the Department</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Footnotesection"/>
      </w:pPr>
      <w:r>
        <w:tab/>
        <w:t xml:space="preserve">[Heading inserted in Gazette 19 May 1989 p. 1494.] </w:t>
      </w:r>
    </w:p>
    <w:p>
      <w:pPr>
        <w:pStyle w:val="Heading3"/>
        <w:rPr>
          <w:snapToGrid w:val="0"/>
        </w:rPr>
      </w:pPr>
      <w:bookmarkStart w:id="28" w:name="_Toc81295408"/>
      <w:bookmarkStart w:id="29" w:name="_Toc92097364"/>
      <w:bookmarkStart w:id="30" w:name="_Toc92858817"/>
      <w:bookmarkStart w:id="31" w:name="_Toc94070427"/>
      <w:bookmarkStart w:id="32" w:name="_Toc95554067"/>
      <w:bookmarkStart w:id="33" w:name="_Toc95559280"/>
      <w:bookmarkStart w:id="34" w:name="_Toc97361665"/>
      <w:bookmarkStart w:id="35" w:name="_Toc97362017"/>
      <w:bookmarkStart w:id="36" w:name="_Toc97530670"/>
      <w:bookmarkStart w:id="37" w:name="_Toc97539142"/>
      <w:bookmarkStart w:id="38" w:name="_Toc98562937"/>
      <w:bookmarkStart w:id="39" w:name="_Toc99266326"/>
      <w:bookmarkStart w:id="40" w:name="_Toc102390847"/>
      <w:bookmarkStart w:id="41" w:name="_Toc139101698"/>
      <w:bookmarkStart w:id="42" w:name="_Toc139101883"/>
      <w:bookmarkStart w:id="43" w:name="_Toc139443231"/>
      <w:r>
        <w:rPr>
          <w:rStyle w:val="CharDivNo"/>
        </w:rPr>
        <w:t>Division 1</w:t>
      </w:r>
      <w:r>
        <w:rPr>
          <w:snapToGrid w:val="0"/>
        </w:rPr>
        <w:t> — </w:t>
      </w:r>
      <w:r>
        <w:rPr>
          <w:rStyle w:val="CharDivText"/>
        </w:rPr>
        <w:t>Application of this Part</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DivText"/>
        </w:rPr>
        <w:t xml:space="preserve"> </w:t>
      </w:r>
    </w:p>
    <w:p>
      <w:pPr>
        <w:pStyle w:val="Footnotesection"/>
      </w:pPr>
      <w:r>
        <w:tab/>
        <w:t xml:space="preserve">[Heading inserted in Gazette 19 May 1989 p. 1494.] </w:t>
      </w:r>
    </w:p>
    <w:p>
      <w:pPr>
        <w:pStyle w:val="Heading5"/>
        <w:rPr>
          <w:snapToGrid w:val="0"/>
        </w:rPr>
      </w:pPr>
      <w:bookmarkStart w:id="44" w:name="_Toc454867066"/>
      <w:bookmarkStart w:id="45" w:name="_Toc13116973"/>
      <w:bookmarkStart w:id="46" w:name="_Toc102390848"/>
      <w:bookmarkStart w:id="47" w:name="_Toc139443232"/>
      <w:r>
        <w:rPr>
          <w:rStyle w:val="CharSectno"/>
        </w:rPr>
        <w:t>3A</w:t>
      </w:r>
      <w:r>
        <w:rPr>
          <w:snapToGrid w:val="0"/>
        </w:rPr>
        <w:t>.</w:t>
      </w:r>
      <w:r>
        <w:rPr>
          <w:snapToGrid w:val="0"/>
        </w:rPr>
        <w:tab/>
        <w:t>Application</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48" w:name="_Toc81295410"/>
      <w:bookmarkStart w:id="49" w:name="_Toc92097366"/>
      <w:bookmarkStart w:id="50" w:name="_Toc92858819"/>
      <w:bookmarkStart w:id="51" w:name="_Toc94070429"/>
      <w:bookmarkStart w:id="52" w:name="_Toc95554069"/>
      <w:bookmarkStart w:id="53" w:name="_Toc95559282"/>
      <w:bookmarkStart w:id="54" w:name="_Toc97361667"/>
      <w:bookmarkStart w:id="55" w:name="_Toc97362019"/>
      <w:bookmarkStart w:id="56" w:name="_Toc97530672"/>
      <w:bookmarkStart w:id="57" w:name="_Toc97539144"/>
      <w:bookmarkStart w:id="58" w:name="_Toc98562939"/>
      <w:bookmarkStart w:id="59" w:name="_Toc99266328"/>
      <w:bookmarkStart w:id="60" w:name="_Toc102390849"/>
      <w:bookmarkStart w:id="61" w:name="_Toc139101700"/>
      <w:bookmarkStart w:id="62" w:name="_Toc139101885"/>
      <w:bookmarkStart w:id="63" w:name="_Toc139443233"/>
      <w:r>
        <w:rPr>
          <w:rStyle w:val="CharDivNo"/>
        </w:rPr>
        <w:t>Division 2</w:t>
      </w:r>
      <w:r>
        <w:rPr>
          <w:snapToGrid w:val="0"/>
        </w:rPr>
        <w:t> — </w:t>
      </w:r>
      <w:r>
        <w:rPr>
          <w:rStyle w:val="CharDivText"/>
        </w:rPr>
        <w:t>Arrival and movement of vessels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DivText"/>
        </w:rPr>
        <w:t xml:space="preserve"> </w:t>
      </w:r>
    </w:p>
    <w:p>
      <w:pPr>
        <w:pStyle w:val="Footnotesection"/>
      </w:pPr>
      <w:r>
        <w:tab/>
        <w:t xml:space="preserve">[Heading inserted in Gazette 19 May 1989 p. 1494.] </w:t>
      </w:r>
    </w:p>
    <w:p>
      <w:pPr>
        <w:pStyle w:val="Heading5"/>
        <w:rPr>
          <w:snapToGrid w:val="0"/>
        </w:rPr>
      </w:pPr>
      <w:bookmarkStart w:id="64" w:name="_Toc454867067"/>
      <w:bookmarkStart w:id="65" w:name="_Toc13116974"/>
      <w:bookmarkStart w:id="66" w:name="_Toc102390850"/>
      <w:bookmarkStart w:id="67" w:name="_Toc139443234"/>
      <w:r>
        <w:rPr>
          <w:rStyle w:val="CharSectno"/>
        </w:rPr>
        <w:t>4</w:t>
      </w:r>
      <w:r>
        <w:rPr>
          <w:snapToGrid w:val="0"/>
        </w:rPr>
        <w:t>.</w:t>
      </w:r>
      <w:r>
        <w:rPr>
          <w:snapToGrid w:val="0"/>
        </w:rPr>
        <w:tab/>
        <w:t>Master or agent to report arrival</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68" w:name="_Toc454867068"/>
      <w:bookmarkStart w:id="69" w:name="_Toc13116975"/>
      <w:bookmarkStart w:id="70" w:name="_Toc102390851"/>
      <w:bookmarkStart w:id="71" w:name="_Toc139443235"/>
      <w:r>
        <w:rPr>
          <w:rStyle w:val="CharSectno"/>
        </w:rPr>
        <w:t>5</w:t>
      </w:r>
      <w:r>
        <w:rPr>
          <w:snapToGrid w:val="0"/>
        </w:rPr>
        <w:t>.</w:t>
      </w:r>
      <w:r>
        <w:rPr>
          <w:snapToGrid w:val="0"/>
        </w:rPr>
        <w:tab/>
        <w:t>Vessels to change berths</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72" w:name="_Toc81295413"/>
      <w:bookmarkStart w:id="73" w:name="_Toc92097369"/>
      <w:bookmarkStart w:id="74" w:name="_Toc92858822"/>
      <w:bookmarkStart w:id="75" w:name="_Toc94070432"/>
      <w:bookmarkStart w:id="76" w:name="_Toc95554072"/>
      <w:bookmarkStart w:id="77" w:name="_Toc95559285"/>
      <w:bookmarkStart w:id="78" w:name="_Toc97361670"/>
      <w:bookmarkStart w:id="79" w:name="_Toc97362022"/>
      <w:bookmarkStart w:id="80" w:name="_Toc97530675"/>
      <w:bookmarkStart w:id="81" w:name="_Toc97539147"/>
      <w:bookmarkStart w:id="82" w:name="_Toc98562942"/>
      <w:bookmarkStart w:id="83" w:name="_Toc99266331"/>
      <w:bookmarkStart w:id="84" w:name="_Toc102390852"/>
      <w:bookmarkStart w:id="85" w:name="_Toc139101703"/>
      <w:bookmarkStart w:id="86" w:name="_Toc139101888"/>
      <w:bookmarkStart w:id="87" w:name="_Toc139443236"/>
      <w:r>
        <w:rPr>
          <w:rStyle w:val="CharDivNo"/>
        </w:rPr>
        <w:t>Division 3</w:t>
      </w:r>
      <w:r>
        <w:rPr>
          <w:snapToGrid w:val="0"/>
        </w:rPr>
        <w:t> — </w:t>
      </w:r>
      <w:r>
        <w:rPr>
          <w:rStyle w:val="CharDivText"/>
        </w:rPr>
        <w:t>Berthing dues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Footnotesection"/>
        <w:keepNext/>
      </w:pPr>
      <w:r>
        <w:tab/>
        <w:t xml:space="preserve">[Heading inserted in Gazette 19 May 1989 p. 1494.] </w:t>
      </w:r>
    </w:p>
    <w:p>
      <w:pPr>
        <w:pStyle w:val="Heading5"/>
        <w:rPr>
          <w:snapToGrid w:val="0"/>
        </w:rPr>
      </w:pPr>
      <w:bookmarkStart w:id="88" w:name="_Toc454867069"/>
      <w:bookmarkStart w:id="89" w:name="_Toc13116976"/>
      <w:bookmarkStart w:id="90" w:name="_Toc102390853"/>
      <w:bookmarkStart w:id="91" w:name="_Toc139443237"/>
      <w:r>
        <w:rPr>
          <w:rStyle w:val="CharSectno"/>
        </w:rPr>
        <w:t>6</w:t>
      </w:r>
      <w:r>
        <w:rPr>
          <w:snapToGrid w:val="0"/>
        </w:rPr>
        <w:t>.</w:t>
      </w:r>
      <w:r>
        <w:rPr>
          <w:snapToGrid w:val="0"/>
        </w:rPr>
        <w:tab/>
        <w:t>Berthing dues shall be paid</w:t>
      </w:r>
      <w:bookmarkEnd w:id="88"/>
      <w:bookmarkEnd w:id="89"/>
      <w:bookmarkEnd w:id="90"/>
      <w:bookmarkEnd w:id="91"/>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rPr>
          <w:snapToGrid w:val="0"/>
        </w:rPr>
      </w:pPr>
      <w:bookmarkStart w:id="92" w:name="_Toc454867070"/>
      <w:bookmarkStart w:id="93" w:name="_Toc13116977"/>
      <w:bookmarkStart w:id="94" w:name="_Toc102390854"/>
      <w:bookmarkStart w:id="95" w:name="_Toc139443238"/>
      <w:r>
        <w:rPr>
          <w:rStyle w:val="CharSectno"/>
        </w:rPr>
        <w:t>7</w:t>
      </w:r>
      <w:r>
        <w:rPr>
          <w:snapToGrid w:val="0"/>
        </w:rPr>
        <w:t>.</w:t>
      </w:r>
      <w:r>
        <w:rPr>
          <w:snapToGrid w:val="0"/>
        </w:rPr>
        <w:tab/>
        <w:t>Computation of berthing dues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 — </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96" w:name="_Toc454867071"/>
      <w:bookmarkStart w:id="97" w:name="_Toc13116978"/>
      <w:bookmarkStart w:id="98" w:name="_Toc102390855"/>
      <w:bookmarkStart w:id="99" w:name="_Toc139443239"/>
      <w:r>
        <w:rPr>
          <w:rStyle w:val="CharSectno"/>
        </w:rPr>
        <w:t>8</w:t>
      </w:r>
      <w:r>
        <w:rPr>
          <w:snapToGrid w:val="0"/>
        </w:rPr>
        <w:t>.</w:t>
      </w:r>
      <w:r>
        <w:rPr>
          <w:snapToGrid w:val="0"/>
        </w:rPr>
        <w:tab/>
        <w:t>Inwards manifests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100" w:name="_Toc454867072"/>
      <w:bookmarkStart w:id="101" w:name="_Toc13116979"/>
      <w:bookmarkStart w:id="102" w:name="_Toc102390856"/>
      <w:bookmarkStart w:id="103" w:name="_Toc139443240"/>
      <w:r>
        <w:rPr>
          <w:rStyle w:val="CharSectno"/>
        </w:rPr>
        <w:t>9</w:t>
      </w:r>
      <w:r>
        <w:rPr>
          <w:snapToGrid w:val="0"/>
        </w:rPr>
        <w:t>.</w:t>
      </w:r>
      <w:r>
        <w:rPr>
          <w:snapToGrid w:val="0"/>
        </w:rPr>
        <w:tab/>
        <w:t>Outwards manifests</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104" w:name="_Toc81295418"/>
      <w:bookmarkStart w:id="105" w:name="_Toc92097374"/>
      <w:bookmarkStart w:id="106" w:name="_Toc92858827"/>
      <w:bookmarkStart w:id="107" w:name="_Toc94070437"/>
      <w:bookmarkStart w:id="108" w:name="_Toc95554077"/>
      <w:bookmarkStart w:id="109" w:name="_Toc95559290"/>
      <w:bookmarkStart w:id="110" w:name="_Toc97361675"/>
      <w:bookmarkStart w:id="111" w:name="_Toc97362027"/>
      <w:bookmarkStart w:id="112" w:name="_Toc97530680"/>
      <w:bookmarkStart w:id="113" w:name="_Toc97539152"/>
      <w:bookmarkStart w:id="114" w:name="_Toc98562947"/>
      <w:bookmarkStart w:id="115" w:name="_Toc99266336"/>
      <w:bookmarkStart w:id="116" w:name="_Toc102390857"/>
      <w:bookmarkStart w:id="117" w:name="_Toc139101708"/>
      <w:bookmarkStart w:id="118" w:name="_Toc139101893"/>
      <w:bookmarkStart w:id="119" w:name="_Toc139443241"/>
      <w:r>
        <w:rPr>
          <w:rStyle w:val="CharDivNo"/>
        </w:rPr>
        <w:t>Division 4</w:t>
      </w:r>
      <w:r>
        <w:rPr>
          <w:snapToGrid w:val="0"/>
        </w:rPr>
        <w:t> — </w:t>
      </w:r>
      <w:r>
        <w:rPr>
          <w:rStyle w:val="CharDivText"/>
        </w:rPr>
        <w:t>Wharfage dues, handling and haulage charges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120" w:name="_Toc454867074"/>
      <w:bookmarkStart w:id="121" w:name="_Toc13116981"/>
      <w:bookmarkStart w:id="122" w:name="_Toc102390858"/>
      <w:bookmarkStart w:id="123" w:name="_Toc139443242"/>
      <w:r>
        <w:rPr>
          <w:rStyle w:val="CharSectno"/>
        </w:rPr>
        <w:t>10A</w:t>
      </w:r>
      <w:r>
        <w:rPr>
          <w:snapToGrid w:val="0"/>
        </w:rPr>
        <w:t>.</w:t>
      </w:r>
      <w:r>
        <w:rPr>
          <w:snapToGrid w:val="0"/>
        </w:rPr>
        <w:tab/>
        <w:t>Payment of dues and charges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124" w:name="_Toc454867075"/>
      <w:bookmarkStart w:id="125" w:name="_Toc13116982"/>
      <w:bookmarkStart w:id="126" w:name="_Toc102390859"/>
      <w:bookmarkStart w:id="127" w:name="_Toc139443243"/>
      <w:r>
        <w:rPr>
          <w:rStyle w:val="CharSectno"/>
        </w:rPr>
        <w:t>11</w:t>
      </w:r>
      <w:r>
        <w:rPr>
          <w:snapToGrid w:val="0"/>
        </w:rPr>
        <w:t>.</w:t>
      </w:r>
      <w:r>
        <w:rPr>
          <w:snapToGrid w:val="0"/>
        </w:rPr>
        <w:tab/>
        <w:t>Charges for transhipment cargo</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20"/>
        <w:ind w:left="890" w:hanging="890"/>
      </w:pPr>
      <w:r>
        <w:t>[</w:t>
      </w:r>
      <w:r>
        <w:rPr>
          <w:b/>
        </w:rPr>
        <w:t>11A.</w:t>
      </w:r>
      <w:r>
        <w:rPr>
          <w:b/>
        </w:rPr>
        <w:tab/>
      </w:r>
      <w:r>
        <w:t xml:space="preserve">Repealed in Gazette 24 Nov 1972 p. 4487.] </w:t>
      </w:r>
    </w:p>
    <w:p>
      <w:pPr>
        <w:pStyle w:val="Heading5"/>
        <w:spacing w:before="120"/>
        <w:rPr>
          <w:snapToGrid w:val="0"/>
        </w:rPr>
      </w:pPr>
      <w:bookmarkStart w:id="128" w:name="_Toc454867076"/>
      <w:bookmarkStart w:id="129" w:name="_Toc13116983"/>
      <w:bookmarkStart w:id="130" w:name="_Toc102390860"/>
      <w:bookmarkStart w:id="131" w:name="_Toc139443244"/>
      <w:r>
        <w:rPr>
          <w:rStyle w:val="CharSectno"/>
        </w:rPr>
        <w:t>11B</w:t>
      </w:r>
      <w:r>
        <w:rPr>
          <w:snapToGrid w:val="0"/>
        </w:rPr>
        <w:t>.</w:t>
      </w:r>
      <w:r>
        <w:rPr>
          <w:snapToGrid w:val="0"/>
        </w:rPr>
        <w:tab/>
        <w:t>Charges on vessels’ stores, including fuel oil</w:t>
      </w:r>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spacing w:before="120"/>
        <w:rPr>
          <w:snapToGrid w:val="0"/>
        </w:rPr>
      </w:pPr>
      <w:r>
        <w:rPr>
          <w:snapToGrid w:val="0"/>
        </w:rPr>
        <w:tab/>
        <w:t>(2)</w:t>
      </w:r>
      <w:r>
        <w:rPr>
          <w:snapToGrid w:val="0"/>
        </w:rPr>
        <w:tab/>
        <w:t>The outwards wharfage rate on fuel oil loaded into a vessel as bunkers supplied for that vessel’s own use, and upon which an inwards wharfage rate has not been paid, shall be — </w:t>
      </w:r>
    </w:p>
    <w:p>
      <w:pPr>
        <w:pStyle w:val="Indenta"/>
        <w:rPr>
          <w:snapToGrid w:val="0"/>
        </w:rPr>
      </w:pPr>
      <w:r>
        <w:rPr>
          <w:snapToGrid w:val="0"/>
        </w:rPr>
        <w:tab/>
        <w:t>(a)</w:t>
      </w:r>
      <w:r>
        <w:rPr>
          <w:snapToGrid w:val="0"/>
        </w:rPr>
        <w:tab/>
        <w:t xml:space="preserve">for those locations set out in </w:t>
      </w:r>
      <w:r>
        <w:t xml:space="preserve">Schedule 4 Division 4, </w:t>
      </w:r>
      <w:r>
        <w:rPr>
          <w:snapToGrid w:val="0"/>
        </w:rPr>
        <w:t xml:space="preserve">the corresponding rates set out under those locations in that </w:t>
      </w:r>
      <w:r>
        <w:t xml:space="preserve">Schedule; </w:t>
      </w:r>
      <w:r>
        <w:rPr>
          <w:snapToGrid w:val="0"/>
        </w:rPr>
        <w:t>or</w:t>
      </w:r>
    </w:p>
    <w:p>
      <w:pPr>
        <w:pStyle w:val="Indenta"/>
        <w:rPr>
          <w:snapToGrid w:val="0"/>
        </w:rPr>
      </w:pPr>
      <w:r>
        <w:rPr>
          <w:snapToGrid w:val="0"/>
        </w:rPr>
        <w:tab/>
        <w:t>(b)</w:t>
      </w:r>
      <w:r>
        <w:rPr>
          <w:snapToGrid w:val="0"/>
        </w:rPr>
        <w:tab/>
        <w:t xml:space="preserve">for the Ports of Wyndham, the rate set out in </w:t>
      </w:r>
      <w:r>
        <w:t>Schedule 1,</w:t>
      </w:r>
    </w:p>
    <w:p>
      <w:pPr>
        <w:pStyle w:val="Subsection"/>
        <w:spacing w:before="120"/>
        <w:rPr>
          <w:snapToGrid w:val="0"/>
        </w:rPr>
      </w:pPr>
      <w:r>
        <w:rPr>
          <w:snapToGrid w:val="0"/>
        </w:rPr>
        <w:tab/>
      </w:r>
      <w:r>
        <w:rPr>
          <w:snapToGrid w:val="0"/>
        </w:rPr>
        <w:tab/>
        <w:t>payable by the suppliers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w:t>
      </w:r>
    </w:p>
    <w:p>
      <w:pPr>
        <w:pStyle w:val="Heading5"/>
        <w:spacing w:before="120"/>
        <w:rPr>
          <w:snapToGrid w:val="0"/>
        </w:rPr>
      </w:pPr>
      <w:bookmarkStart w:id="132" w:name="_Toc454867077"/>
      <w:bookmarkStart w:id="133" w:name="_Toc13116984"/>
      <w:bookmarkStart w:id="134" w:name="_Toc102390861"/>
      <w:bookmarkStart w:id="135" w:name="_Toc139443245"/>
      <w:r>
        <w:rPr>
          <w:rStyle w:val="CharSectno"/>
        </w:rPr>
        <w:t>12</w:t>
      </w:r>
      <w:r>
        <w:rPr>
          <w:snapToGrid w:val="0"/>
        </w:rPr>
        <w:t>.</w:t>
      </w:r>
      <w:r>
        <w:rPr>
          <w:snapToGrid w:val="0"/>
        </w:rPr>
        <w:tab/>
        <w:t>Charges to be paid before delivery of cargo</w:t>
      </w:r>
      <w:bookmarkEnd w:id="132"/>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spacing w:before="120"/>
        <w:rPr>
          <w:snapToGrid w:val="0"/>
        </w:rPr>
      </w:pPr>
      <w:bookmarkStart w:id="136" w:name="_Toc454867078"/>
      <w:bookmarkStart w:id="137" w:name="_Toc13116985"/>
      <w:bookmarkStart w:id="138" w:name="_Toc102390862"/>
      <w:bookmarkStart w:id="139" w:name="_Toc139443246"/>
      <w:r>
        <w:rPr>
          <w:rStyle w:val="CharSectno"/>
        </w:rPr>
        <w:t>13</w:t>
      </w:r>
      <w:r>
        <w:rPr>
          <w:snapToGrid w:val="0"/>
        </w:rPr>
        <w:t>.</w:t>
      </w:r>
      <w:r>
        <w:rPr>
          <w:snapToGrid w:val="0"/>
        </w:rPr>
        <w:tab/>
        <w:t>Extra charges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140" w:name="_Toc81295424"/>
      <w:bookmarkStart w:id="141" w:name="_Toc92097380"/>
      <w:bookmarkStart w:id="142" w:name="_Toc92858833"/>
      <w:bookmarkStart w:id="143" w:name="_Toc94070443"/>
      <w:bookmarkStart w:id="144" w:name="_Toc95554083"/>
      <w:bookmarkStart w:id="145" w:name="_Toc95559296"/>
      <w:bookmarkStart w:id="146" w:name="_Toc97361681"/>
      <w:bookmarkStart w:id="147" w:name="_Toc97362033"/>
      <w:bookmarkStart w:id="148" w:name="_Toc97530686"/>
      <w:bookmarkStart w:id="149" w:name="_Toc97539158"/>
      <w:bookmarkStart w:id="150" w:name="_Toc98562953"/>
      <w:bookmarkStart w:id="151" w:name="_Toc99266342"/>
      <w:bookmarkStart w:id="152" w:name="_Toc102390863"/>
      <w:bookmarkStart w:id="153" w:name="_Toc139101714"/>
      <w:bookmarkStart w:id="154" w:name="_Toc139101899"/>
      <w:bookmarkStart w:id="155" w:name="_Toc139443247"/>
      <w:r>
        <w:rPr>
          <w:rStyle w:val="CharDivNo"/>
        </w:rPr>
        <w:t>Division 5</w:t>
      </w:r>
      <w:r>
        <w:rPr>
          <w:snapToGrid w:val="0"/>
        </w:rPr>
        <w:t> — </w:t>
      </w:r>
      <w:r>
        <w:rPr>
          <w:rStyle w:val="CharDivText"/>
        </w:rPr>
        <w:t>Handling of cargo</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Footnotesection"/>
      </w:pPr>
      <w:r>
        <w:tab/>
        <w:t xml:space="preserve">[Heading inserted in Gazette 19 May 1989 p. 1494.] </w:t>
      </w:r>
    </w:p>
    <w:p>
      <w:pPr>
        <w:pStyle w:val="Heading5"/>
        <w:keepNext w:val="0"/>
        <w:keepLines w:val="0"/>
        <w:rPr>
          <w:snapToGrid w:val="0"/>
        </w:rPr>
      </w:pPr>
      <w:bookmarkStart w:id="156" w:name="_Toc454867079"/>
      <w:bookmarkStart w:id="157" w:name="_Toc13116986"/>
      <w:bookmarkStart w:id="158" w:name="_Toc102390864"/>
      <w:bookmarkStart w:id="159" w:name="_Toc139443248"/>
      <w:r>
        <w:rPr>
          <w:rStyle w:val="CharSectno"/>
        </w:rPr>
        <w:t>14</w:t>
      </w:r>
      <w:r>
        <w:rPr>
          <w:snapToGrid w:val="0"/>
        </w:rPr>
        <w:t>.</w:t>
      </w:r>
      <w:r>
        <w:rPr>
          <w:snapToGrid w:val="0"/>
        </w:rPr>
        <w:tab/>
        <w:t>Cargo not to be placed on jetties or premises without authority</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[Section 14 amended in Gazette 3 Nov 1950 p. 2461; 19 May 1989 p. 1495.] </w:t>
      </w:r>
    </w:p>
    <w:p>
      <w:pPr>
        <w:pStyle w:val="Heading5"/>
        <w:rPr>
          <w:snapToGrid w:val="0"/>
        </w:rPr>
      </w:pPr>
      <w:bookmarkStart w:id="160" w:name="_Toc454867080"/>
      <w:bookmarkStart w:id="161" w:name="_Toc13116987"/>
      <w:bookmarkStart w:id="162" w:name="_Toc102390865"/>
      <w:bookmarkStart w:id="163" w:name="_Toc139443249"/>
      <w:r>
        <w:rPr>
          <w:rStyle w:val="CharSectno"/>
        </w:rPr>
        <w:t>15</w:t>
      </w:r>
      <w:r>
        <w:rPr>
          <w:snapToGrid w:val="0"/>
        </w:rPr>
        <w:t>.</w:t>
      </w:r>
      <w:r>
        <w:rPr>
          <w:snapToGrid w:val="0"/>
        </w:rPr>
        <w:tab/>
        <w:t>Discharging of cargo may be stopped</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64" w:name="_Toc454867081"/>
      <w:bookmarkStart w:id="165" w:name="_Toc13116988"/>
      <w:bookmarkStart w:id="166" w:name="_Toc102390866"/>
      <w:bookmarkStart w:id="167" w:name="_Toc139443250"/>
      <w:r>
        <w:rPr>
          <w:rStyle w:val="CharSectno"/>
        </w:rPr>
        <w:t>16</w:t>
      </w:r>
      <w:r>
        <w:rPr>
          <w:snapToGrid w:val="0"/>
        </w:rPr>
        <w:t>.</w:t>
      </w:r>
      <w:r>
        <w:rPr>
          <w:snapToGrid w:val="0"/>
        </w:rPr>
        <w:tab/>
        <w:t>Goods not to be shifted without authority</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68" w:name="_Toc454867082"/>
      <w:bookmarkStart w:id="169" w:name="_Toc13116989"/>
      <w:bookmarkStart w:id="170" w:name="_Toc102390867"/>
      <w:bookmarkStart w:id="171" w:name="_Toc139443251"/>
      <w:r>
        <w:rPr>
          <w:rStyle w:val="CharSectno"/>
        </w:rPr>
        <w:t>17</w:t>
      </w:r>
      <w:r>
        <w:rPr>
          <w:snapToGrid w:val="0"/>
        </w:rPr>
        <w:t>.</w:t>
      </w:r>
      <w:r>
        <w:rPr>
          <w:snapToGrid w:val="0"/>
        </w:rPr>
        <w:tab/>
        <w:t>Bulk cargo not to be deposited without authority</w:t>
      </w:r>
      <w:bookmarkEnd w:id="168"/>
      <w:bookmarkEnd w:id="169"/>
      <w:bookmarkEnd w:id="170"/>
      <w:bookmarkEnd w:id="171"/>
      <w:r>
        <w:rPr>
          <w:snapToGrid w:val="0"/>
        </w:rPr>
        <w:t xml:space="preserve"> </w:t>
      </w:r>
    </w:p>
    <w:p>
      <w:pPr>
        <w:pStyle w:val="Subsection"/>
        <w:spacing w:before="120"/>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72" w:name="_Toc454867083"/>
      <w:bookmarkStart w:id="173" w:name="_Toc13116990"/>
      <w:bookmarkStart w:id="174" w:name="_Toc102390868"/>
      <w:bookmarkStart w:id="175" w:name="_Toc139443252"/>
      <w:r>
        <w:rPr>
          <w:rStyle w:val="CharSectno"/>
        </w:rPr>
        <w:t>18</w:t>
      </w:r>
      <w:r>
        <w:rPr>
          <w:snapToGrid w:val="0"/>
        </w:rPr>
        <w:t>.</w:t>
      </w:r>
      <w:r>
        <w:rPr>
          <w:snapToGrid w:val="0"/>
        </w:rPr>
        <w:tab/>
        <w:t>Outward cargo advice notes</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76" w:name="_Toc454867084"/>
      <w:bookmarkStart w:id="177" w:name="_Toc13116991"/>
      <w:bookmarkStart w:id="178" w:name="_Toc102390869"/>
      <w:bookmarkStart w:id="179" w:name="_Toc139443253"/>
      <w:r>
        <w:rPr>
          <w:rStyle w:val="CharSectno"/>
        </w:rPr>
        <w:t>19</w:t>
      </w:r>
      <w:r>
        <w:rPr>
          <w:snapToGrid w:val="0"/>
        </w:rPr>
        <w:t>.</w:t>
      </w:r>
      <w:r>
        <w:rPr>
          <w:snapToGrid w:val="0"/>
        </w:rPr>
        <w:tab/>
        <w:t>Outward cargo</w:t>
      </w:r>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80" w:name="_Toc454867085"/>
      <w:bookmarkStart w:id="181" w:name="_Toc13116992"/>
      <w:bookmarkStart w:id="182" w:name="_Toc102390870"/>
      <w:bookmarkStart w:id="183" w:name="_Toc139443254"/>
      <w:r>
        <w:rPr>
          <w:rStyle w:val="CharSectno"/>
        </w:rPr>
        <w:t>20</w:t>
      </w:r>
      <w:r>
        <w:rPr>
          <w:snapToGrid w:val="0"/>
        </w:rPr>
        <w:t>.</w:t>
      </w:r>
      <w:r>
        <w:rPr>
          <w:snapToGrid w:val="0"/>
        </w:rPr>
        <w:tab/>
        <w:t>Dangerous cargo not to be shipped without permission</w:t>
      </w:r>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84" w:name="_Toc454867086"/>
      <w:bookmarkStart w:id="185" w:name="_Toc13116993"/>
      <w:bookmarkStart w:id="186" w:name="_Toc102390871"/>
      <w:bookmarkStart w:id="187" w:name="_Toc139443255"/>
      <w:r>
        <w:rPr>
          <w:rStyle w:val="CharSectno"/>
        </w:rPr>
        <w:t>21</w:t>
      </w:r>
      <w:r>
        <w:rPr>
          <w:snapToGrid w:val="0"/>
        </w:rPr>
        <w:t>.</w:t>
      </w:r>
      <w:r>
        <w:rPr>
          <w:snapToGrid w:val="0"/>
        </w:rPr>
        <w:tab/>
        <w:t>Dangerous cargo may be refused or examined</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88" w:name="_Toc454867087"/>
      <w:bookmarkStart w:id="189" w:name="_Toc13116994"/>
      <w:bookmarkStart w:id="190" w:name="_Toc102390872"/>
      <w:bookmarkStart w:id="191" w:name="_Toc139443256"/>
      <w:r>
        <w:rPr>
          <w:rStyle w:val="CharSectno"/>
        </w:rPr>
        <w:t>22</w:t>
      </w:r>
      <w:r>
        <w:rPr>
          <w:snapToGrid w:val="0"/>
        </w:rPr>
        <w:t>.</w:t>
      </w:r>
      <w:r>
        <w:rPr>
          <w:snapToGrid w:val="0"/>
        </w:rPr>
        <w:tab/>
        <w:t>Marking of heavy packages</w:t>
      </w:r>
      <w:bookmarkEnd w:id="188"/>
      <w:bookmarkEnd w:id="189"/>
      <w:bookmarkEnd w:id="190"/>
      <w:bookmarkEnd w:id="191"/>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92" w:name="_Toc454867088"/>
      <w:bookmarkStart w:id="193" w:name="_Toc13116995"/>
      <w:bookmarkStart w:id="194" w:name="_Toc102390873"/>
      <w:bookmarkStart w:id="195" w:name="_Toc139443257"/>
      <w:r>
        <w:rPr>
          <w:rStyle w:val="CharSectno"/>
        </w:rPr>
        <w:t>23</w:t>
      </w:r>
      <w:r>
        <w:rPr>
          <w:snapToGrid w:val="0"/>
        </w:rPr>
        <w:t>.</w:t>
      </w:r>
      <w:r>
        <w:rPr>
          <w:snapToGrid w:val="0"/>
        </w:rPr>
        <w:tab/>
        <w:t>False statements</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96" w:name="_Toc81295435"/>
      <w:bookmarkStart w:id="197" w:name="_Toc92097391"/>
      <w:bookmarkStart w:id="198" w:name="_Toc92858844"/>
      <w:bookmarkStart w:id="199" w:name="_Toc94070454"/>
      <w:bookmarkStart w:id="200" w:name="_Toc95554094"/>
      <w:bookmarkStart w:id="201" w:name="_Toc95559307"/>
      <w:bookmarkStart w:id="202" w:name="_Toc97361692"/>
      <w:bookmarkStart w:id="203" w:name="_Toc97362044"/>
      <w:bookmarkStart w:id="204" w:name="_Toc97530697"/>
      <w:bookmarkStart w:id="205" w:name="_Toc97539169"/>
      <w:bookmarkStart w:id="206" w:name="_Toc98562964"/>
      <w:bookmarkStart w:id="207" w:name="_Toc99266353"/>
      <w:bookmarkStart w:id="208" w:name="_Toc102390874"/>
      <w:bookmarkStart w:id="209" w:name="_Toc139101725"/>
      <w:bookmarkStart w:id="210" w:name="_Toc139101910"/>
      <w:bookmarkStart w:id="211" w:name="_Toc139443258"/>
      <w:r>
        <w:rPr>
          <w:rStyle w:val="CharDivNo"/>
        </w:rPr>
        <w:t>Division 6</w:t>
      </w:r>
      <w:r>
        <w:rPr>
          <w:snapToGrid w:val="0"/>
        </w:rPr>
        <w:t> — </w:t>
      </w:r>
      <w:r>
        <w:rPr>
          <w:rStyle w:val="CharDivText"/>
        </w:rPr>
        <w:t>Receipt, delivery and storage of cargo</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Footnotesection"/>
      </w:pPr>
      <w:r>
        <w:tab/>
        <w:t xml:space="preserve">[Heading inserted in Gazette 19 May 1989 p. 1494.] </w:t>
      </w:r>
    </w:p>
    <w:p>
      <w:pPr>
        <w:pStyle w:val="Heading5"/>
        <w:rPr>
          <w:snapToGrid w:val="0"/>
        </w:rPr>
      </w:pPr>
      <w:bookmarkStart w:id="212" w:name="_Toc454867089"/>
      <w:bookmarkStart w:id="213" w:name="_Toc13116996"/>
      <w:bookmarkStart w:id="214" w:name="_Toc102390875"/>
      <w:bookmarkStart w:id="215" w:name="_Toc139443259"/>
      <w:r>
        <w:rPr>
          <w:rStyle w:val="CharSectno"/>
        </w:rPr>
        <w:t>24</w:t>
      </w:r>
      <w:r>
        <w:rPr>
          <w:snapToGrid w:val="0"/>
        </w:rPr>
        <w:t>.</w:t>
      </w:r>
      <w:r>
        <w:rPr>
          <w:snapToGrid w:val="0"/>
        </w:rPr>
        <w:tab/>
        <w:t>Removal of cargo</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216" w:name="_Toc454867090"/>
      <w:bookmarkStart w:id="217" w:name="_Toc13116997"/>
      <w:bookmarkStart w:id="218" w:name="_Toc102390876"/>
      <w:bookmarkStart w:id="219" w:name="_Toc139443260"/>
      <w:r>
        <w:rPr>
          <w:rStyle w:val="CharSectno"/>
        </w:rPr>
        <w:t>25</w:t>
      </w:r>
      <w:r>
        <w:rPr>
          <w:snapToGrid w:val="0"/>
        </w:rPr>
        <w:t>.</w:t>
      </w:r>
      <w:r>
        <w:rPr>
          <w:snapToGrid w:val="0"/>
        </w:rPr>
        <w:tab/>
        <w:t>Storage charges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220" w:name="_Toc454867091"/>
      <w:bookmarkStart w:id="221" w:name="_Toc13116998"/>
      <w:bookmarkStart w:id="222" w:name="_Toc102390877"/>
      <w:bookmarkStart w:id="223" w:name="_Toc139443261"/>
      <w:r>
        <w:rPr>
          <w:rStyle w:val="CharSectno"/>
        </w:rPr>
        <w:t>26</w:t>
      </w:r>
      <w:r>
        <w:rPr>
          <w:snapToGrid w:val="0"/>
        </w:rPr>
        <w:t>.</w:t>
      </w:r>
      <w:r>
        <w:rPr>
          <w:snapToGrid w:val="0"/>
        </w:rPr>
        <w:tab/>
        <w:t>Department not bound to find storage accommodation</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224" w:name="_Toc454867092"/>
      <w:bookmarkStart w:id="225" w:name="_Toc13116999"/>
      <w:bookmarkStart w:id="226" w:name="_Toc102390878"/>
      <w:bookmarkStart w:id="227" w:name="_Toc139443262"/>
      <w:r>
        <w:rPr>
          <w:rStyle w:val="CharSectno"/>
        </w:rPr>
        <w:t>27</w:t>
      </w:r>
      <w:r>
        <w:rPr>
          <w:snapToGrid w:val="0"/>
        </w:rPr>
        <w:t>.</w:t>
      </w:r>
      <w:r>
        <w:rPr>
          <w:snapToGrid w:val="0"/>
        </w:rPr>
        <w:tab/>
        <w:t>Goods may be disposed of</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228" w:name="_Toc454867093"/>
      <w:bookmarkStart w:id="229" w:name="_Toc13117000"/>
      <w:bookmarkStart w:id="230" w:name="_Toc102390879"/>
      <w:bookmarkStart w:id="231" w:name="_Toc139443263"/>
      <w:r>
        <w:rPr>
          <w:rStyle w:val="CharSectno"/>
        </w:rPr>
        <w:t>28</w:t>
      </w:r>
      <w:r>
        <w:rPr>
          <w:snapToGrid w:val="0"/>
        </w:rPr>
        <w:t>.</w:t>
      </w:r>
      <w:r>
        <w:rPr>
          <w:snapToGrid w:val="0"/>
        </w:rPr>
        <w:tab/>
        <w:t>Goods to be checked before delivery</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232" w:name="_Toc454867094"/>
      <w:bookmarkStart w:id="233" w:name="_Toc13117001"/>
      <w:bookmarkStart w:id="234" w:name="_Toc102390880"/>
      <w:bookmarkStart w:id="235" w:name="_Toc139443264"/>
      <w:r>
        <w:rPr>
          <w:rStyle w:val="CharSectno"/>
        </w:rPr>
        <w:t>29</w:t>
      </w:r>
      <w:r>
        <w:rPr>
          <w:snapToGrid w:val="0"/>
        </w:rPr>
        <w:t>.</w:t>
      </w:r>
      <w:r>
        <w:rPr>
          <w:snapToGrid w:val="0"/>
        </w:rPr>
        <w:tab/>
        <w:t>Delay in delivery</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236" w:name="_Toc454867095"/>
      <w:bookmarkStart w:id="237" w:name="_Toc13117002"/>
      <w:bookmarkStart w:id="238" w:name="_Toc102390881"/>
      <w:bookmarkStart w:id="239" w:name="_Toc139443265"/>
      <w:r>
        <w:rPr>
          <w:rStyle w:val="CharSectno"/>
        </w:rPr>
        <w:t>30</w:t>
      </w:r>
      <w:r>
        <w:rPr>
          <w:snapToGrid w:val="0"/>
        </w:rPr>
        <w:t>.</w:t>
      </w:r>
      <w:r>
        <w:rPr>
          <w:snapToGrid w:val="0"/>
        </w:rPr>
        <w:tab/>
        <w:t>Wrong delivery</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240" w:name="_Toc81295443"/>
      <w:bookmarkStart w:id="241" w:name="_Toc92097399"/>
      <w:bookmarkStart w:id="242" w:name="_Toc92858852"/>
      <w:bookmarkStart w:id="243" w:name="_Toc94070462"/>
      <w:bookmarkStart w:id="244" w:name="_Toc95554102"/>
      <w:bookmarkStart w:id="245" w:name="_Toc95559315"/>
      <w:bookmarkStart w:id="246" w:name="_Toc97361700"/>
      <w:bookmarkStart w:id="247" w:name="_Toc97362052"/>
      <w:bookmarkStart w:id="248" w:name="_Toc97530705"/>
      <w:bookmarkStart w:id="249" w:name="_Toc97539177"/>
      <w:bookmarkStart w:id="250" w:name="_Toc98562972"/>
      <w:bookmarkStart w:id="251" w:name="_Toc99266361"/>
      <w:bookmarkStart w:id="252" w:name="_Toc102390882"/>
      <w:bookmarkStart w:id="253" w:name="_Toc139101733"/>
      <w:bookmarkStart w:id="254" w:name="_Toc139101918"/>
      <w:bookmarkStart w:id="255" w:name="_Toc139443266"/>
      <w:r>
        <w:rPr>
          <w:rStyle w:val="CharDivNo"/>
        </w:rPr>
        <w:t>Division 7</w:t>
      </w:r>
      <w:r>
        <w:rPr>
          <w:snapToGrid w:val="0"/>
        </w:rPr>
        <w:t> — </w:t>
      </w:r>
      <w:r>
        <w:rPr>
          <w:rStyle w:val="CharDivText"/>
        </w:rPr>
        <w:t>Responsibility of Department</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Footnotesection"/>
      </w:pPr>
      <w:r>
        <w:tab/>
        <w:t xml:space="preserve">[Heading inserted in Gazette of 19 May 1989 p. 1494.] </w:t>
      </w:r>
    </w:p>
    <w:p>
      <w:pPr>
        <w:pStyle w:val="Heading5"/>
        <w:rPr>
          <w:snapToGrid w:val="0"/>
        </w:rPr>
      </w:pPr>
      <w:bookmarkStart w:id="256" w:name="_Toc454867096"/>
      <w:bookmarkStart w:id="257" w:name="_Toc13117003"/>
      <w:bookmarkStart w:id="258" w:name="_Toc102390883"/>
      <w:bookmarkStart w:id="259" w:name="_Toc139443267"/>
      <w:r>
        <w:rPr>
          <w:rStyle w:val="CharSectno"/>
        </w:rPr>
        <w:t>31</w:t>
      </w:r>
      <w:r>
        <w:rPr>
          <w:snapToGrid w:val="0"/>
        </w:rPr>
        <w:t>.</w:t>
      </w:r>
      <w:r>
        <w:rPr>
          <w:snapToGrid w:val="0"/>
        </w:rPr>
        <w:tab/>
        <w:t>Custody of cargo</w:t>
      </w:r>
      <w:bookmarkEnd w:id="256"/>
      <w:bookmarkEnd w:id="257"/>
      <w:bookmarkEnd w:id="258"/>
      <w:bookmarkEnd w:id="25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260" w:name="_Toc454867097"/>
      <w:bookmarkStart w:id="261" w:name="_Toc13117004"/>
      <w:bookmarkStart w:id="262" w:name="_Toc102390884"/>
      <w:bookmarkStart w:id="263" w:name="_Toc139443268"/>
      <w:r>
        <w:rPr>
          <w:rStyle w:val="CharSectno"/>
        </w:rPr>
        <w:t>32</w:t>
      </w:r>
      <w:r>
        <w:rPr>
          <w:snapToGrid w:val="0"/>
        </w:rPr>
        <w:t>.</w:t>
      </w:r>
      <w:r>
        <w:rPr>
          <w:snapToGrid w:val="0"/>
        </w:rPr>
        <w:tab/>
        <w:t>Goods without receipts</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264" w:name="_Toc454867098"/>
      <w:bookmarkStart w:id="265" w:name="_Toc13117005"/>
      <w:bookmarkStart w:id="266" w:name="_Toc102390885"/>
      <w:bookmarkStart w:id="267" w:name="_Toc139443269"/>
      <w:r>
        <w:rPr>
          <w:rStyle w:val="CharSectno"/>
        </w:rPr>
        <w:t>33</w:t>
      </w:r>
      <w:r>
        <w:rPr>
          <w:snapToGrid w:val="0"/>
        </w:rPr>
        <w:t>.</w:t>
      </w:r>
      <w:r>
        <w:rPr>
          <w:snapToGrid w:val="0"/>
        </w:rPr>
        <w:tab/>
        <w:t>Goods stacked on jetties</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268" w:name="_Toc454867099"/>
      <w:bookmarkStart w:id="269" w:name="_Toc13117006"/>
      <w:bookmarkStart w:id="270" w:name="_Toc102390886"/>
      <w:bookmarkStart w:id="271" w:name="_Toc139443270"/>
      <w:r>
        <w:rPr>
          <w:rStyle w:val="CharSectno"/>
        </w:rPr>
        <w:t>34</w:t>
      </w:r>
      <w:r>
        <w:rPr>
          <w:snapToGrid w:val="0"/>
        </w:rPr>
        <w:t>.</w:t>
      </w:r>
      <w:r>
        <w:rPr>
          <w:snapToGrid w:val="0"/>
        </w:rPr>
        <w:tab/>
        <w:t>Cargo damaged by fire, etc.</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272" w:name="_Toc454867100"/>
      <w:bookmarkStart w:id="273" w:name="_Toc13117007"/>
      <w:bookmarkStart w:id="274" w:name="_Toc102390887"/>
      <w:bookmarkStart w:id="275" w:name="_Toc139443271"/>
      <w:r>
        <w:rPr>
          <w:rStyle w:val="CharSectno"/>
        </w:rPr>
        <w:t>35</w:t>
      </w:r>
      <w:r>
        <w:rPr>
          <w:snapToGrid w:val="0"/>
        </w:rPr>
        <w:t>.</w:t>
      </w:r>
      <w:r>
        <w:rPr>
          <w:snapToGrid w:val="0"/>
        </w:rPr>
        <w:tab/>
        <w:t>Goods insufficiently packed</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276" w:name="_Toc454867101"/>
      <w:bookmarkStart w:id="277" w:name="_Toc13117008"/>
      <w:bookmarkStart w:id="278" w:name="_Toc102390888"/>
      <w:bookmarkStart w:id="279" w:name="_Toc139443272"/>
      <w:r>
        <w:rPr>
          <w:rStyle w:val="CharSectno"/>
        </w:rPr>
        <w:t>36</w:t>
      </w:r>
      <w:r>
        <w:rPr>
          <w:snapToGrid w:val="0"/>
        </w:rPr>
        <w:t>.</w:t>
      </w:r>
      <w:r>
        <w:rPr>
          <w:snapToGrid w:val="0"/>
        </w:rPr>
        <w:tab/>
        <w:t>Claims in respect of cargo</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recognized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280" w:name="_Toc81295450"/>
      <w:bookmarkStart w:id="281" w:name="_Toc92097406"/>
      <w:bookmarkStart w:id="282" w:name="_Toc92858859"/>
      <w:bookmarkStart w:id="283" w:name="_Toc94070469"/>
      <w:bookmarkStart w:id="284" w:name="_Toc95554109"/>
      <w:bookmarkStart w:id="285" w:name="_Toc95559322"/>
      <w:bookmarkStart w:id="286" w:name="_Toc97361707"/>
      <w:bookmarkStart w:id="287" w:name="_Toc97362059"/>
      <w:bookmarkStart w:id="288" w:name="_Toc97530712"/>
      <w:bookmarkStart w:id="289" w:name="_Toc97539184"/>
      <w:bookmarkStart w:id="290" w:name="_Toc98562979"/>
      <w:bookmarkStart w:id="291" w:name="_Toc99266368"/>
      <w:bookmarkStart w:id="292" w:name="_Toc102390889"/>
      <w:bookmarkStart w:id="293" w:name="_Toc139101740"/>
      <w:bookmarkStart w:id="294" w:name="_Toc139101925"/>
      <w:bookmarkStart w:id="295" w:name="_Toc139443273"/>
      <w:r>
        <w:rPr>
          <w:rStyle w:val="CharDivNo"/>
        </w:rPr>
        <w:t>Division 8</w:t>
      </w:r>
      <w:r>
        <w:rPr>
          <w:snapToGrid w:val="0"/>
        </w:rPr>
        <w:t> — </w:t>
      </w:r>
      <w:r>
        <w:rPr>
          <w:rStyle w:val="CharDivText"/>
        </w:rPr>
        <w:t>Working hours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Footnotesection"/>
      </w:pPr>
      <w:r>
        <w:tab/>
        <w:t xml:space="preserve">[Heading inserted in Gazette 19 May 1989 p. 1494.] </w:t>
      </w:r>
    </w:p>
    <w:p>
      <w:pPr>
        <w:pStyle w:val="Heading5"/>
        <w:rPr>
          <w:snapToGrid w:val="0"/>
        </w:rPr>
      </w:pPr>
      <w:bookmarkStart w:id="296" w:name="_Toc454867102"/>
      <w:bookmarkStart w:id="297" w:name="_Toc13117009"/>
      <w:bookmarkStart w:id="298" w:name="_Toc102390890"/>
      <w:bookmarkStart w:id="299" w:name="_Toc139443274"/>
      <w:r>
        <w:rPr>
          <w:rStyle w:val="CharSectno"/>
        </w:rPr>
        <w:t>37</w:t>
      </w:r>
      <w:r>
        <w:rPr>
          <w:snapToGrid w:val="0"/>
        </w:rPr>
        <w:t>.</w:t>
      </w:r>
      <w:r>
        <w:rPr>
          <w:snapToGrid w:val="0"/>
        </w:rPr>
        <w:tab/>
        <w:t>Ordinary time</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300" w:name="_Toc454867103"/>
      <w:bookmarkStart w:id="301" w:name="_Toc13117010"/>
      <w:bookmarkStart w:id="302" w:name="_Toc102390891"/>
      <w:bookmarkStart w:id="303" w:name="_Toc139443275"/>
      <w:r>
        <w:rPr>
          <w:rStyle w:val="CharSectno"/>
        </w:rPr>
        <w:t>38</w:t>
      </w:r>
      <w:r>
        <w:rPr>
          <w:snapToGrid w:val="0"/>
        </w:rPr>
        <w:t>.</w:t>
      </w:r>
      <w:r>
        <w:rPr>
          <w:snapToGrid w:val="0"/>
        </w:rPr>
        <w:tab/>
        <w:t>Overtime</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304" w:name="_Toc454867104"/>
      <w:bookmarkStart w:id="305" w:name="_Toc13117011"/>
      <w:bookmarkStart w:id="306" w:name="_Toc102390892"/>
      <w:bookmarkStart w:id="307" w:name="_Toc139443276"/>
      <w:r>
        <w:rPr>
          <w:rStyle w:val="CharSectno"/>
        </w:rPr>
        <w:t>38A</w:t>
      </w:r>
      <w:r>
        <w:rPr>
          <w:snapToGrid w:val="0"/>
        </w:rPr>
        <w:t>.</w:t>
      </w:r>
      <w:r>
        <w:rPr>
          <w:snapToGrid w:val="0"/>
        </w:rPr>
        <w:tab/>
        <w:t>Wages incurred through ships’ delays to be paid for</w:t>
      </w:r>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308" w:name="_Toc454867105"/>
      <w:bookmarkStart w:id="309" w:name="_Toc13117012"/>
      <w:bookmarkStart w:id="310" w:name="_Toc102390893"/>
      <w:bookmarkStart w:id="311" w:name="_Toc139443277"/>
      <w:r>
        <w:rPr>
          <w:rStyle w:val="CharSectno"/>
        </w:rPr>
        <w:t>39</w:t>
      </w:r>
      <w:r>
        <w:rPr>
          <w:snapToGrid w:val="0"/>
        </w:rPr>
        <w:t>.</w:t>
      </w:r>
      <w:r>
        <w:rPr>
          <w:snapToGrid w:val="0"/>
        </w:rPr>
        <w:tab/>
        <w:t>Master to give notice of desire to work</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312" w:name="_Toc81295455"/>
      <w:bookmarkStart w:id="313" w:name="_Toc92097411"/>
      <w:bookmarkStart w:id="314" w:name="_Toc92858864"/>
      <w:bookmarkStart w:id="315" w:name="_Toc94070474"/>
      <w:bookmarkStart w:id="316" w:name="_Toc95554114"/>
      <w:bookmarkStart w:id="317" w:name="_Toc95559327"/>
      <w:bookmarkStart w:id="318" w:name="_Toc97361712"/>
      <w:bookmarkStart w:id="319" w:name="_Toc97362064"/>
      <w:bookmarkStart w:id="320" w:name="_Toc97530717"/>
      <w:bookmarkStart w:id="321" w:name="_Toc97539189"/>
      <w:bookmarkStart w:id="322" w:name="_Toc98562984"/>
      <w:bookmarkStart w:id="323" w:name="_Toc99266373"/>
      <w:bookmarkStart w:id="324" w:name="_Toc102390894"/>
      <w:bookmarkStart w:id="325" w:name="_Toc139101745"/>
      <w:bookmarkStart w:id="326" w:name="_Toc139101930"/>
      <w:bookmarkStart w:id="327" w:name="_Toc139443278"/>
      <w:r>
        <w:rPr>
          <w:rStyle w:val="CharDivNo"/>
        </w:rPr>
        <w:t>Division 9</w:t>
      </w:r>
      <w:r>
        <w:rPr>
          <w:snapToGrid w:val="0"/>
        </w:rPr>
        <w:t> — </w:t>
      </w:r>
      <w:r>
        <w:rPr>
          <w:rStyle w:val="CharDivText"/>
        </w:rPr>
        <w:t>Livestock or vehicles on jetties or premises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DivText"/>
        </w:rPr>
        <w:t xml:space="preserve"> </w:t>
      </w:r>
    </w:p>
    <w:p>
      <w:pPr>
        <w:pStyle w:val="Footnotesection"/>
      </w:pPr>
      <w:r>
        <w:tab/>
        <w:t xml:space="preserve">[Heading inserted in Gazette 19 May 1989 p. 1494.] </w:t>
      </w:r>
    </w:p>
    <w:p>
      <w:pPr>
        <w:pStyle w:val="Heading5"/>
        <w:rPr>
          <w:snapToGrid w:val="0"/>
        </w:rPr>
      </w:pPr>
      <w:bookmarkStart w:id="328" w:name="_Toc454867106"/>
      <w:bookmarkStart w:id="329" w:name="_Toc13117013"/>
      <w:bookmarkStart w:id="330" w:name="_Toc102390895"/>
      <w:bookmarkStart w:id="331" w:name="_Toc139443279"/>
      <w:r>
        <w:rPr>
          <w:rStyle w:val="CharSectno"/>
        </w:rPr>
        <w:t>40</w:t>
      </w:r>
      <w:r>
        <w:rPr>
          <w:snapToGrid w:val="0"/>
        </w:rPr>
        <w:t>.</w:t>
      </w:r>
      <w:r>
        <w:rPr>
          <w:snapToGrid w:val="0"/>
        </w:rPr>
        <w:tab/>
        <w:t>Livestock on jetties or premises</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332" w:name="_Toc454867107"/>
      <w:bookmarkStart w:id="333" w:name="_Toc13117014"/>
      <w:bookmarkStart w:id="334" w:name="_Toc102390896"/>
      <w:bookmarkStart w:id="335" w:name="_Toc139443280"/>
      <w:r>
        <w:rPr>
          <w:rStyle w:val="CharSectno"/>
        </w:rPr>
        <w:t>41</w:t>
      </w:r>
      <w:r>
        <w:rPr>
          <w:snapToGrid w:val="0"/>
        </w:rPr>
        <w:t>.</w:t>
      </w:r>
      <w:r>
        <w:rPr>
          <w:snapToGrid w:val="0"/>
        </w:rPr>
        <w:tab/>
        <w:t>Riding vehicles, etc., on jetties or premises</w:t>
      </w:r>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spacing w:before="120"/>
        <w:rPr>
          <w:snapToGrid w:val="0"/>
        </w:rPr>
      </w:pPr>
      <w:bookmarkStart w:id="336" w:name="_Toc454867108"/>
      <w:bookmarkStart w:id="337" w:name="_Toc13117015"/>
      <w:bookmarkStart w:id="338" w:name="_Toc102390897"/>
      <w:bookmarkStart w:id="339" w:name="_Toc139443281"/>
      <w:r>
        <w:rPr>
          <w:rStyle w:val="CharSectno"/>
        </w:rPr>
        <w:t>41A</w:t>
      </w:r>
      <w:r>
        <w:rPr>
          <w:snapToGrid w:val="0"/>
        </w:rPr>
        <w:t>.</w:t>
      </w:r>
      <w:r>
        <w:rPr>
          <w:snapToGrid w:val="0"/>
        </w:rPr>
        <w:tab/>
        <w:t>Vehicles not to be parked on jetties</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spacing w:before="120"/>
        <w:rPr>
          <w:snapToGrid w:val="0"/>
        </w:rPr>
      </w:pPr>
      <w:bookmarkStart w:id="340" w:name="_Toc454867109"/>
      <w:bookmarkStart w:id="341" w:name="_Toc13117016"/>
      <w:bookmarkStart w:id="342" w:name="_Toc102390898"/>
      <w:bookmarkStart w:id="343" w:name="_Toc139443282"/>
      <w:r>
        <w:rPr>
          <w:rStyle w:val="CharSectno"/>
        </w:rPr>
        <w:t>41B</w:t>
      </w:r>
      <w:r>
        <w:rPr>
          <w:snapToGrid w:val="0"/>
        </w:rPr>
        <w:t>.</w:t>
      </w:r>
      <w:r>
        <w:rPr>
          <w:snapToGrid w:val="0"/>
        </w:rPr>
        <w:tab/>
        <w:t>Department not responsible for vehicles on jetties</w:t>
      </w:r>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344" w:name="_Toc454867110"/>
      <w:bookmarkStart w:id="345" w:name="_Toc13117017"/>
      <w:bookmarkStart w:id="346" w:name="_Toc102390899"/>
      <w:bookmarkStart w:id="347" w:name="_Toc139443283"/>
      <w:r>
        <w:rPr>
          <w:rStyle w:val="CharSectno"/>
        </w:rPr>
        <w:t>42</w:t>
      </w:r>
      <w:r>
        <w:rPr>
          <w:snapToGrid w:val="0"/>
        </w:rPr>
        <w:t>.</w:t>
      </w:r>
      <w:r>
        <w:rPr>
          <w:snapToGrid w:val="0"/>
        </w:rPr>
        <w:tab/>
        <w:t>Drivers of vehicles to obey instructions</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rPr>
          <w:snapToGrid w:val="0"/>
        </w:rPr>
      </w:pPr>
      <w:bookmarkStart w:id="348" w:name="_Toc454867111"/>
      <w:bookmarkStart w:id="349" w:name="_Toc13117018"/>
      <w:bookmarkStart w:id="350" w:name="_Toc102390900"/>
      <w:bookmarkStart w:id="351" w:name="_Toc139443284"/>
      <w:r>
        <w:rPr>
          <w:rStyle w:val="CharSectno"/>
        </w:rPr>
        <w:t>43</w:t>
      </w:r>
      <w:r>
        <w:rPr>
          <w:snapToGrid w:val="0"/>
        </w:rPr>
        <w:t>.</w:t>
      </w:r>
      <w:r>
        <w:rPr>
          <w:snapToGrid w:val="0"/>
        </w:rPr>
        <w:tab/>
        <w:t>Persons not to be on jetties when livestock is being handled</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352" w:name="_Toc81295462"/>
      <w:bookmarkStart w:id="353" w:name="_Toc92097418"/>
      <w:bookmarkStart w:id="354" w:name="_Toc92858871"/>
      <w:bookmarkStart w:id="355" w:name="_Toc94070481"/>
      <w:bookmarkStart w:id="356" w:name="_Toc95554121"/>
      <w:bookmarkStart w:id="357" w:name="_Toc95559334"/>
      <w:bookmarkStart w:id="358" w:name="_Toc97361719"/>
      <w:bookmarkStart w:id="359" w:name="_Toc97362071"/>
      <w:bookmarkStart w:id="360" w:name="_Toc97530724"/>
      <w:bookmarkStart w:id="361" w:name="_Toc97539196"/>
      <w:bookmarkStart w:id="362" w:name="_Toc98562991"/>
      <w:bookmarkStart w:id="363" w:name="_Toc99266380"/>
      <w:bookmarkStart w:id="364" w:name="_Toc102390901"/>
      <w:bookmarkStart w:id="365" w:name="_Toc139101752"/>
      <w:bookmarkStart w:id="366" w:name="_Toc139101937"/>
      <w:bookmarkStart w:id="367" w:name="_Toc139443285"/>
      <w:r>
        <w:rPr>
          <w:rStyle w:val="CharDivNo"/>
        </w:rPr>
        <w:t>Division 10</w:t>
      </w:r>
      <w:r>
        <w:rPr>
          <w:snapToGrid w:val="0"/>
        </w:rPr>
        <w:t> — </w:t>
      </w:r>
      <w:r>
        <w:rPr>
          <w:rStyle w:val="CharDivText"/>
        </w:rPr>
        <w:t>Miscellaneous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Footnotesection"/>
      </w:pPr>
      <w:r>
        <w:tab/>
        <w:t xml:space="preserve">[Heading inserted in Gazette 19 May 1989 p. 1494.] </w:t>
      </w:r>
    </w:p>
    <w:p>
      <w:pPr>
        <w:pStyle w:val="Heading5"/>
        <w:rPr>
          <w:snapToGrid w:val="0"/>
        </w:rPr>
      </w:pPr>
      <w:bookmarkStart w:id="368" w:name="_Toc454867112"/>
      <w:bookmarkStart w:id="369" w:name="_Toc13117019"/>
      <w:bookmarkStart w:id="370" w:name="_Toc102390902"/>
      <w:bookmarkStart w:id="371" w:name="_Toc139443286"/>
      <w:r>
        <w:rPr>
          <w:rStyle w:val="CharSectno"/>
        </w:rPr>
        <w:t>44</w:t>
      </w:r>
      <w:r>
        <w:rPr>
          <w:snapToGrid w:val="0"/>
        </w:rPr>
        <w:t>.</w:t>
      </w:r>
      <w:r>
        <w:rPr>
          <w:snapToGrid w:val="0"/>
        </w:rPr>
        <w:tab/>
        <w:t>Bill posting, defacement and obscenity</w:t>
      </w:r>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372" w:name="_Toc454867113"/>
      <w:bookmarkStart w:id="373" w:name="_Toc13117020"/>
      <w:bookmarkStart w:id="374" w:name="_Toc102390903"/>
      <w:bookmarkStart w:id="375" w:name="_Toc139443287"/>
      <w:r>
        <w:rPr>
          <w:rStyle w:val="CharSectno"/>
        </w:rPr>
        <w:t>45</w:t>
      </w:r>
      <w:r>
        <w:rPr>
          <w:snapToGrid w:val="0"/>
        </w:rPr>
        <w:t>.</w:t>
      </w:r>
      <w:r>
        <w:rPr>
          <w:snapToGrid w:val="0"/>
        </w:rPr>
        <w:tab/>
        <w:t>Disorderly persons</w:t>
      </w:r>
      <w:bookmarkEnd w:id="372"/>
      <w:bookmarkEnd w:id="373"/>
      <w:bookmarkEnd w:id="374"/>
      <w:bookmarkEnd w:id="375"/>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376" w:name="_Toc454867114"/>
      <w:bookmarkStart w:id="377" w:name="_Toc13117021"/>
      <w:bookmarkStart w:id="378" w:name="_Toc102390904"/>
      <w:bookmarkStart w:id="379" w:name="_Toc139443288"/>
      <w:r>
        <w:rPr>
          <w:rStyle w:val="CharSectno"/>
        </w:rPr>
        <w:t>46</w:t>
      </w:r>
      <w:r>
        <w:rPr>
          <w:snapToGrid w:val="0"/>
        </w:rPr>
        <w:t>.</w:t>
      </w:r>
      <w:r>
        <w:rPr>
          <w:snapToGrid w:val="0"/>
        </w:rPr>
        <w:tab/>
        <w:t>Fires not to be lit</w:t>
      </w:r>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380" w:name="_Toc454867115"/>
      <w:bookmarkStart w:id="381" w:name="_Toc13117022"/>
      <w:bookmarkStart w:id="382" w:name="_Toc102390905"/>
      <w:bookmarkStart w:id="383" w:name="_Toc139443289"/>
      <w:r>
        <w:rPr>
          <w:rStyle w:val="CharSectno"/>
        </w:rPr>
        <w:t>47</w:t>
      </w:r>
      <w:r>
        <w:rPr>
          <w:snapToGrid w:val="0"/>
        </w:rPr>
        <w:t>.</w:t>
      </w:r>
      <w:r>
        <w:rPr>
          <w:snapToGrid w:val="0"/>
        </w:rPr>
        <w:tab/>
        <w:t>Gates to be shut</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384" w:name="_Toc454867116"/>
      <w:bookmarkStart w:id="385" w:name="_Toc13117023"/>
      <w:bookmarkStart w:id="386" w:name="_Toc102390906"/>
      <w:bookmarkStart w:id="387" w:name="_Toc139443290"/>
      <w:r>
        <w:rPr>
          <w:rStyle w:val="CharSectno"/>
        </w:rPr>
        <w:t>48</w:t>
      </w:r>
      <w:r>
        <w:rPr>
          <w:snapToGrid w:val="0"/>
        </w:rPr>
        <w:t>.</w:t>
      </w:r>
      <w:r>
        <w:rPr>
          <w:snapToGrid w:val="0"/>
        </w:rPr>
        <w:tab/>
        <w:t>Interference with lights</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388" w:name="_Toc454867117"/>
      <w:bookmarkStart w:id="389" w:name="_Toc13117024"/>
      <w:bookmarkStart w:id="390" w:name="_Toc102390907"/>
      <w:bookmarkStart w:id="391" w:name="_Toc139443291"/>
      <w:r>
        <w:rPr>
          <w:rStyle w:val="CharSectno"/>
        </w:rPr>
        <w:t>49</w:t>
      </w:r>
      <w:r>
        <w:rPr>
          <w:snapToGrid w:val="0"/>
        </w:rPr>
        <w:t>.</w:t>
      </w:r>
      <w:r>
        <w:rPr>
          <w:snapToGrid w:val="0"/>
        </w:rPr>
        <w:tab/>
        <w:t>Interference with or damaging property</w:t>
      </w:r>
      <w:bookmarkEnd w:id="388"/>
      <w:bookmarkEnd w:id="389"/>
      <w:bookmarkEnd w:id="390"/>
      <w:bookmarkEnd w:id="39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 — </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392" w:name="_Toc454867118"/>
      <w:bookmarkStart w:id="393" w:name="_Toc13117025"/>
      <w:bookmarkStart w:id="394" w:name="_Toc102390908"/>
      <w:bookmarkStart w:id="395" w:name="_Toc139443292"/>
      <w:r>
        <w:rPr>
          <w:rStyle w:val="CharSectno"/>
        </w:rPr>
        <w:t>50</w:t>
      </w:r>
      <w:r>
        <w:rPr>
          <w:snapToGrid w:val="0"/>
        </w:rPr>
        <w:t>.</w:t>
      </w:r>
      <w:r>
        <w:rPr>
          <w:snapToGrid w:val="0"/>
        </w:rPr>
        <w:tab/>
        <w:t>Lost property</w:t>
      </w:r>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396" w:name="_Toc454867119"/>
      <w:bookmarkStart w:id="397" w:name="_Toc13117026"/>
      <w:bookmarkStart w:id="398" w:name="_Toc102390909"/>
      <w:bookmarkStart w:id="399" w:name="_Toc139443293"/>
      <w:r>
        <w:rPr>
          <w:rStyle w:val="CharSectno"/>
        </w:rPr>
        <w:t>51</w:t>
      </w:r>
      <w:r>
        <w:rPr>
          <w:snapToGrid w:val="0"/>
        </w:rPr>
        <w:t>.</w:t>
      </w:r>
      <w:r>
        <w:rPr>
          <w:snapToGrid w:val="0"/>
        </w:rPr>
        <w:tab/>
        <w:t>Obstruction of officers, or premises</w:t>
      </w:r>
      <w:bookmarkEnd w:id="396"/>
      <w:bookmarkEnd w:id="397"/>
      <w:bookmarkEnd w:id="398"/>
      <w:bookmarkEnd w:id="399"/>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 — </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400" w:name="_Toc454867120"/>
      <w:bookmarkStart w:id="401" w:name="_Toc13117027"/>
      <w:bookmarkStart w:id="402" w:name="_Toc102390910"/>
      <w:bookmarkStart w:id="403" w:name="_Toc139443294"/>
      <w:r>
        <w:rPr>
          <w:rStyle w:val="CharSectno"/>
        </w:rPr>
        <w:t>52</w:t>
      </w:r>
      <w:r>
        <w:rPr>
          <w:snapToGrid w:val="0"/>
        </w:rPr>
        <w:t>.</w:t>
      </w:r>
      <w:r>
        <w:rPr>
          <w:snapToGrid w:val="0"/>
        </w:rPr>
        <w:tab/>
        <w:t>Obstruction of or damage to jetties or premises</w:t>
      </w:r>
      <w:bookmarkEnd w:id="400"/>
      <w:bookmarkEnd w:id="401"/>
      <w:bookmarkEnd w:id="402"/>
      <w:bookmarkEnd w:id="403"/>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 — </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404" w:name="_Toc454867121"/>
      <w:bookmarkStart w:id="405" w:name="_Toc13117028"/>
      <w:bookmarkStart w:id="406" w:name="_Toc102390911"/>
      <w:bookmarkStart w:id="407" w:name="_Toc139443295"/>
      <w:r>
        <w:rPr>
          <w:rStyle w:val="CharSectno"/>
        </w:rPr>
        <w:t>53</w:t>
      </w:r>
      <w:r>
        <w:rPr>
          <w:snapToGrid w:val="0"/>
        </w:rPr>
        <w:t>.</w:t>
      </w:r>
      <w:r>
        <w:rPr>
          <w:snapToGrid w:val="0"/>
        </w:rPr>
        <w:tab/>
        <w:t>Rubbish, etc., not to be thrown</w:t>
      </w:r>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rPr>
          <w:snapToGrid w:val="0"/>
        </w:rPr>
      </w:pPr>
      <w:bookmarkStart w:id="408" w:name="_Toc454867122"/>
      <w:bookmarkStart w:id="409" w:name="_Toc13117029"/>
      <w:bookmarkStart w:id="410" w:name="_Toc102390912"/>
      <w:bookmarkStart w:id="411" w:name="_Toc139443296"/>
      <w:r>
        <w:rPr>
          <w:rStyle w:val="CharSectno"/>
        </w:rPr>
        <w:t>54</w:t>
      </w:r>
      <w:r>
        <w:rPr>
          <w:snapToGrid w:val="0"/>
        </w:rPr>
        <w:t>.</w:t>
      </w:r>
      <w:r>
        <w:rPr>
          <w:snapToGrid w:val="0"/>
        </w:rPr>
        <w:tab/>
        <w:t>Sale of articles prohibited</w:t>
      </w:r>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412" w:name="_Toc454867123"/>
      <w:bookmarkStart w:id="413" w:name="_Toc13117030"/>
      <w:bookmarkStart w:id="414" w:name="_Toc102390913"/>
      <w:bookmarkStart w:id="415" w:name="_Toc139443297"/>
      <w:r>
        <w:rPr>
          <w:rStyle w:val="CharSectno"/>
        </w:rPr>
        <w:t>55</w:t>
      </w:r>
      <w:r>
        <w:rPr>
          <w:snapToGrid w:val="0"/>
        </w:rPr>
        <w:t>.</w:t>
      </w:r>
      <w:r>
        <w:rPr>
          <w:snapToGrid w:val="0"/>
        </w:rPr>
        <w:tab/>
        <w:t>Smoking and loitering</w:t>
      </w:r>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416" w:name="_Toc454867124"/>
      <w:bookmarkStart w:id="417" w:name="_Toc13117031"/>
      <w:bookmarkStart w:id="418" w:name="_Toc102390914"/>
      <w:bookmarkStart w:id="419" w:name="_Toc139443298"/>
      <w:r>
        <w:rPr>
          <w:rStyle w:val="CharSectno"/>
        </w:rPr>
        <w:t>56</w:t>
      </w:r>
      <w:r>
        <w:rPr>
          <w:snapToGrid w:val="0"/>
        </w:rPr>
        <w:t>.</w:t>
      </w:r>
      <w:r>
        <w:rPr>
          <w:snapToGrid w:val="0"/>
        </w:rPr>
        <w:tab/>
        <w:t>Trespassing</w:t>
      </w:r>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420" w:name="_Toc454867125"/>
      <w:bookmarkStart w:id="421" w:name="_Toc13117032"/>
      <w:bookmarkStart w:id="422" w:name="_Toc102390915"/>
      <w:bookmarkStart w:id="423" w:name="_Toc139443299"/>
      <w:r>
        <w:rPr>
          <w:rStyle w:val="CharSectno"/>
        </w:rPr>
        <w:t>67A</w:t>
      </w:r>
      <w:r>
        <w:rPr>
          <w:snapToGrid w:val="0"/>
        </w:rPr>
        <w:t>.</w:t>
      </w:r>
      <w:r>
        <w:rPr>
          <w:snapToGrid w:val="0"/>
        </w:rPr>
        <w:tab/>
        <w:t>Conditions for construction and installation of pipelines</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 — </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424" w:name="_Toc454867126"/>
      <w:bookmarkStart w:id="425" w:name="_Toc13117033"/>
      <w:bookmarkStart w:id="426" w:name="_Toc102390916"/>
      <w:bookmarkStart w:id="427" w:name="_Toc139443300"/>
      <w:r>
        <w:rPr>
          <w:rStyle w:val="CharSectno"/>
        </w:rPr>
        <w:t>67B</w:t>
      </w:r>
      <w:r>
        <w:rPr>
          <w:snapToGrid w:val="0"/>
        </w:rPr>
        <w:t>.</w:t>
      </w:r>
      <w:r>
        <w:rPr>
          <w:snapToGrid w:val="0"/>
        </w:rPr>
        <w:tab/>
        <w:t>Maintenance and operation of pipelines</w:t>
      </w:r>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 — </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428" w:name="_Toc454867127"/>
      <w:bookmarkStart w:id="429" w:name="_Toc13117034"/>
      <w:bookmarkStart w:id="430" w:name="_Toc102390917"/>
      <w:bookmarkStart w:id="431" w:name="_Toc139443301"/>
      <w:r>
        <w:rPr>
          <w:rStyle w:val="CharSectno"/>
        </w:rPr>
        <w:t>67D</w:t>
      </w:r>
      <w:r>
        <w:rPr>
          <w:snapToGrid w:val="0"/>
        </w:rPr>
        <w:t>.</w:t>
      </w:r>
      <w:r>
        <w:rPr>
          <w:snapToGrid w:val="0"/>
        </w:rPr>
        <w:tab/>
        <w:t>Penalty for failure to remove or amend pipeline</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2"/>
      </w:pPr>
      <w:bookmarkStart w:id="432" w:name="_Toc81295479"/>
      <w:bookmarkStart w:id="433" w:name="_Toc92097435"/>
      <w:bookmarkStart w:id="434" w:name="_Toc92858888"/>
      <w:bookmarkStart w:id="435" w:name="_Toc94070498"/>
      <w:bookmarkStart w:id="436" w:name="_Toc95554138"/>
      <w:bookmarkStart w:id="437" w:name="_Toc95559351"/>
      <w:bookmarkStart w:id="438" w:name="_Toc97361736"/>
      <w:bookmarkStart w:id="439" w:name="_Toc97362088"/>
      <w:bookmarkStart w:id="440" w:name="_Toc97530741"/>
      <w:bookmarkStart w:id="441" w:name="_Toc97539213"/>
      <w:bookmarkStart w:id="442" w:name="_Toc98563008"/>
      <w:bookmarkStart w:id="443" w:name="_Toc99266397"/>
      <w:bookmarkStart w:id="444" w:name="_Toc102390918"/>
      <w:bookmarkStart w:id="445" w:name="_Toc139101769"/>
      <w:bookmarkStart w:id="446" w:name="_Toc139101954"/>
      <w:bookmarkStart w:id="447" w:name="_Toc139443302"/>
      <w:r>
        <w:rPr>
          <w:rStyle w:val="CharPartNo"/>
        </w:rPr>
        <w:t>Part 2</w:t>
      </w:r>
      <w:r>
        <w:t> — </w:t>
      </w:r>
      <w:r>
        <w:rPr>
          <w:rStyle w:val="CharPartText"/>
        </w:rPr>
        <w:t>Regulations applying to jetties within the Port of Perth</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Footnotesection"/>
      </w:pPr>
      <w:r>
        <w:tab/>
        <w:t xml:space="preserve">[Heading inserted in Gazette 19 May 1989 p. 1494.] </w:t>
      </w:r>
    </w:p>
    <w:p>
      <w:pPr>
        <w:pStyle w:val="Heading3"/>
        <w:rPr>
          <w:snapToGrid w:val="0"/>
        </w:rPr>
      </w:pPr>
      <w:bookmarkStart w:id="448" w:name="_Toc81295480"/>
      <w:bookmarkStart w:id="449" w:name="_Toc92097436"/>
      <w:bookmarkStart w:id="450" w:name="_Toc92858889"/>
      <w:bookmarkStart w:id="451" w:name="_Toc94070499"/>
      <w:bookmarkStart w:id="452" w:name="_Toc95554139"/>
      <w:bookmarkStart w:id="453" w:name="_Toc95559352"/>
      <w:bookmarkStart w:id="454" w:name="_Toc97361737"/>
      <w:bookmarkStart w:id="455" w:name="_Toc97362089"/>
      <w:bookmarkStart w:id="456" w:name="_Toc97530742"/>
      <w:bookmarkStart w:id="457" w:name="_Toc97539214"/>
      <w:bookmarkStart w:id="458" w:name="_Toc98563009"/>
      <w:bookmarkStart w:id="459" w:name="_Toc99266398"/>
      <w:bookmarkStart w:id="460" w:name="_Toc102390919"/>
      <w:bookmarkStart w:id="461" w:name="_Toc139101770"/>
      <w:bookmarkStart w:id="462" w:name="_Toc139101955"/>
      <w:bookmarkStart w:id="463" w:name="_Toc139443303"/>
      <w:r>
        <w:rPr>
          <w:rStyle w:val="CharDivNo"/>
        </w:rPr>
        <w:t>Division 1</w:t>
      </w:r>
      <w:r>
        <w:rPr>
          <w:snapToGrid w:val="0"/>
        </w:rPr>
        <w:t> — </w:t>
      </w:r>
      <w:r>
        <w:rPr>
          <w:rStyle w:val="CharDivText"/>
        </w:rPr>
        <w:t>Application of this Part</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DivText"/>
        </w:rPr>
        <w:t xml:space="preserve"> </w:t>
      </w:r>
    </w:p>
    <w:p>
      <w:pPr>
        <w:pStyle w:val="Footnotesection"/>
      </w:pPr>
      <w:r>
        <w:tab/>
        <w:t xml:space="preserve">[Heading inserted in Gazette 19 May 1989 p. 1494.] </w:t>
      </w:r>
    </w:p>
    <w:p>
      <w:pPr>
        <w:pStyle w:val="Heading5"/>
        <w:rPr>
          <w:snapToGrid w:val="0"/>
        </w:rPr>
      </w:pPr>
      <w:bookmarkStart w:id="464" w:name="_Toc454867128"/>
      <w:bookmarkStart w:id="465" w:name="_Toc13117035"/>
      <w:bookmarkStart w:id="466" w:name="_Toc102390920"/>
      <w:bookmarkStart w:id="467" w:name="_Toc139443304"/>
      <w:r>
        <w:rPr>
          <w:rStyle w:val="CharSectno"/>
        </w:rPr>
        <w:t>67E</w:t>
      </w:r>
      <w:r>
        <w:rPr>
          <w:snapToGrid w:val="0"/>
        </w:rPr>
        <w:t>.</w:t>
      </w:r>
      <w:r>
        <w:rPr>
          <w:snapToGrid w:val="0"/>
        </w:rPr>
        <w:tab/>
        <w:t>Application</w:t>
      </w:r>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section"/>
      </w:pPr>
      <w:r>
        <w:tab/>
        <w:t xml:space="preserve">[Regulation 67E inserted in Gazette 19 May 1989 p. 1494.] </w:t>
      </w:r>
    </w:p>
    <w:p>
      <w:pPr>
        <w:pStyle w:val="Heading3"/>
        <w:rPr>
          <w:snapToGrid w:val="0"/>
        </w:rPr>
      </w:pPr>
      <w:bookmarkStart w:id="468" w:name="_Toc81295482"/>
      <w:bookmarkStart w:id="469" w:name="_Toc92097438"/>
      <w:bookmarkStart w:id="470" w:name="_Toc92858891"/>
      <w:bookmarkStart w:id="471" w:name="_Toc94070501"/>
      <w:bookmarkStart w:id="472" w:name="_Toc95554141"/>
      <w:bookmarkStart w:id="473" w:name="_Toc95559354"/>
      <w:bookmarkStart w:id="474" w:name="_Toc97361739"/>
      <w:bookmarkStart w:id="475" w:name="_Toc97362091"/>
      <w:bookmarkStart w:id="476" w:name="_Toc97530744"/>
      <w:bookmarkStart w:id="477" w:name="_Toc97539216"/>
      <w:bookmarkStart w:id="478" w:name="_Toc98563011"/>
      <w:bookmarkStart w:id="479" w:name="_Toc99266400"/>
      <w:bookmarkStart w:id="480" w:name="_Toc102390921"/>
      <w:bookmarkStart w:id="481" w:name="_Toc139101772"/>
      <w:bookmarkStart w:id="482" w:name="_Toc139101957"/>
      <w:bookmarkStart w:id="483" w:name="_Toc139443305"/>
      <w:r>
        <w:rPr>
          <w:rStyle w:val="CharDivNo"/>
        </w:rPr>
        <w:t>Division 2</w:t>
      </w:r>
      <w:r>
        <w:rPr>
          <w:snapToGrid w:val="0"/>
        </w:rPr>
        <w:t> — </w:t>
      </w:r>
      <w:r>
        <w:rPr>
          <w:rStyle w:val="CharDivText"/>
        </w:rPr>
        <w:t>Management and use of jetties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484" w:name="_Toc454867129"/>
      <w:bookmarkStart w:id="485" w:name="_Toc13117036"/>
      <w:bookmarkStart w:id="486" w:name="_Toc102390922"/>
      <w:bookmarkStart w:id="487" w:name="_Toc139443306"/>
      <w:r>
        <w:rPr>
          <w:rStyle w:val="CharSectno"/>
        </w:rPr>
        <w:t>68</w:t>
      </w:r>
      <w:r>
        <w:rPr>
          <w:snapToGrid w:val="0"/>
        </w:rPr>
        <w:t>.</w:t>
      </w:r>
      <w:r>
        <w:rPr>
          <w:snapToGrid w:val="0"/>
        </w:rPr>
        <w:tab/>
        <w:t>Control of jetties</w:t>
      </w:r>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488" w:name="_Toc454867130"/>
      <w:bookmarkStart w:id="489" w:name="_Toc13117037"/>
      <w:bookmarkStart w:id="490" w:name="_Toc102390923"/>
      <w:bookmarkStart w:id="491" w:name="_Toc139443307"/>
      <w:r>
        <w:rPr>
          <w:rStyle w:val="CharSectno"/>
        </w:rPr>
        <w:t>69</w:t>
      </w:r>
      <w:r>
        <w:rPr>
          <w:snapToGrid w:val="0"/>
        </w:rPr>
        <w:t>.</w:t>
      </w:r>
      <w:r>
        <w:rPr>
          <w:snapToGrid w:val="0"/>
        </w:rPr>
        <w:tab/>
        <w:t>Use of jetties</w:t>
      </w:r>
      <w:bookmarkEnd w:id="488"/>
      <w:bookmarkEnd w:id="489"/>
      <w:bookmarkEnd w:id="490"/>
      <w:bookmarkEnd w:id="491"/>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492" w:name="_Toc454867131"/>
      <w:bookmarkStart w:id="493" w:name="_Toc13117038"/>
      <w:bookmarkStart w:id="494" w:name="_Toc102390924"/>
      <w:bookmarkStart w:id="495" w:name="_Toc139443308"/>
      <w:r>
        <w:rPr>
          <w:rStyle w:val="CharSectno"/>
        </w:rPr>
        <w:t>70</w:t>
      </w:r>
      <w:r>
        <w:rPr>
          <w:snapToGrid w:val="0"/>
        </w:rPr>
        <w:t>.</w:t>
      </w:r>
      <w:r>
        <w:rPr>
          <w:snapToGrid w:val="0"/>
        </w:rPr>
        <w:tab/>
        <w:t>Jetties may be closed</w:t>
      </w:r>
      <w:bookmarkEnd w:id="492"/>
      <w:bookmarkEnd w:id="493"/>
      <w:bookmarkEnd w:id="494"/>
      <w:bookmarkEnd w:id="495"/>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bookmarkStart w:id="496" w:name="_Toc454867133"/>
      <w:r>
        <w:t>[</w:t>
      </w:r>
      <w:r>
        <w:rPr>
          <w:b/>
        </w:rPr>
        <w:t>70A.</w:t>
      </w:r>
      <w:r>
        <w:tab/>
      </w:r>
      <w:r>
        <w:tab/>
        <w:t xml:space="preserve">Repealed in Gazette </w:t>
      </w:r>
      <w:r>
        <w:rPr>
          <w:color w:val="000000"/>
        </w:rPr>
        <w:t>27 Jun 2003 p. </w:t>
      </w:r>
      <w:r>
        <w:t>2502.]</w:t>
      </w:r>
    </w:p>
    <w:bookmarkEnd w:id="496"/>
    <w:p>
      <w:pPr>
        <w:pStyle w:val="Ednotesection"/>
      </w:pPr>
      <w:r>
        <w:t>[</w:t>
      </w:r>
      <w:r>
        <w:rPr>
          <w:b/>
        </w:rPr>
        <w:t>70B.</w:t>
      </w:r>
      <w:r>
        <w:rPr>
          <w:b/>
        </w:rPr>
        <w:tab/>
      </w:r>
      <w:r>
        <w:rPr>
          <w:b/>
        </w:rPr>
        <w:tab/>
      </w:r>
      <w:r>
        <w:t>Repealed in Gazette 25 Jun 2004 p. 2270.]</w:t>
      </w:r>
    </w:p>
    <w:p>
      <w:pPr>
        <w:pStyle w:val="Heading3"/>
        <w:rPr>
          <w:snapToGrid w:val="0"/>
        </w:rPr>
      </w:pPr>
      <w:bookmarkStart w:id="497" w:name="_Toc81295486"/>
      <w:bookmarkStart w:id="498" w:name="_Toc92097442"/>
      <w:bookmarkStart w:id="499" w:name="_Toc92858895"/>
      <w:bookmarkStart w:id="500" w:name="_Toc94070505"/>
      <w:bookmarkStart w:id="501" w:name="_Toc95554145"/>
      <w:bookmarkStart w:id="502" w:name="_Toc95559358"/>
      <w:bookmarkStart w:id="503" w:name="_Toc97361743"/>
      <w:bookmarkStart w:id="504" w:name="_Toc97362095"/>
      <w:bookmarkStart w:id="505" w:name="_Toc97530748"/>
      <w:bookmarkStart w:id="506" w:name="_Toc97539220"/>
      <w:bookmarkStart w:id="507" w:name="_Toc98563015"/>
      <w:bookmarkStart w:id="508" w:name="_Toc99266404"/>
      <w:bookmarkStart w:id="509" w:name="_Toc102390925"/>
      <w:bookmarkStart w:id="510" w:name="_Toc139101776"/>
      <w:bookmarkStart w:id="511" w:name="_Toc139101961"/>
      <w:bookmarkStart w:id="512" w:name="_Toc139443309"/>
      <w:r>
        <w:rPr>
          <w:rStyle w:val="CharDivNo"/>
        </w:rPr>
        <w:t>Division 3</w:t>
      </w:r>
      <w:r>
        <w:rPr>
          <w:snapToGrid w:val="0"/>
        </w:rPr>
        <w:t> — </w:t>
      </w:r>
      <w:r>
        <w:rPr>
          <w:rStyle w:val="CharDivText"/>
        </w:rPr>
        <w:t>Mooring and berthing of vessels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DivText"/>
        </w:rPr>
        <w:t xml:space="preserve"> </w:t>
      </w:r>
    </w:p>
    <w:p>
      <w:pPr>
        <w:pStyle w:val="Footnotesection"/>
      </w:pPr>
      <w:r>
        <w:tab/>
        <w:t xml:space="preserve">[Heading inserted in Gazette 19 May 1989 p. 1494.] </w:t>
      </w:r>
    </w:p>
    <w:p>
      <w:pPr>
        <w:pStyle w:val="Heading5"/>
        <w:keepNext w:val="0"/>
        <w:keepLines w:val="0"/>
        <w:rPr>
          <w:snapToGrid w:val="0"/>
        </w:rPr>
      </w:pPr>
      <w:bookmarkStart w:id="513" w:name="_Toc454867134"/>
      <w:bookmarkStart w:id="514" w:name="_Toc13117041"/>
      <w:bookmarkStart w:id="515" w:name="_Toc102390926"/>
      <w:bookmarkStart w:id="516" w:name="_Toc139443310"/>
      <w:r>
        <w:rPr>
          <w:rStyle w:val="CharSectno"/>
        </w:rPr>
        <w:t>71</w:t>
      </w:r>
      <w:r>
        <w:rPr>
          <w:snapToGrid w:val="0"/>
        </w:rPr>
        <w:t>.</w:t>
      </w:r>
      <w:r>
        <w:rPr>
          <w:snapToGrid w:val="0"/>
        </w:rPr>
        <w:tab/>
        <w:t>Permit required to moor, etc., alongside jetty or buoy</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517" w:name="_Toc454867135"/>
      <w:bookmarkStart w:id="518" w:name="_Toc13117042"/>
      <w:bookmarkStart w:id="519" w:name="_Toc102390927"/>
      <w:bookmarkStart w:id="520" w:name="_Toc139443311"/>
      <w:r>
        <w:rPr>
          <w:rStyle w:val="CharSectno"/>
        </w:rPr>
        <w:t>72</w:t>
      </w:r>
      <w:r>
        <w:rPr>
          <w:snapToGrid w:val="0"/>
        </w:rPr>
        <w:t>.</w:t>
      </w:r>
      <w:r>
        <w:rPr>
          <w:snapToGrid w:val="0"/>
        </w:rPr>
        <w:tab/>
        <w:t>Duration of, and charges for, permits</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521" w:name="_Toc454867136"/>
      <w:bookmarkStart w:id="522" w:name="_Toc13117043"/>
      <w:bookmarkStart w:id="523" w:name="_Toc102390928"/>
      <w:bookmarkStart w:id="524" w:name="_Toc139443312"/>
      <w:r>
        <w:rPr>
          <w:rStyle w:val="CharSectno"/>
        </w:rPr>
        <w:t>73</w:t>
      </w:r>
      <w:r>
        <w:rPr>
          <w:snapToGrid w:val="0"/>
        </w:rPr>
        <w:t>.</w:t>
      </w:r>
      <w:r>
        <w:rPr>
          <w:snapToGrid w:val="0"/>
        </w:rPr>
        <w:tab/>
        <w:t>Permit for exclusive use of a berth</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525" w:name="_Toc454867137"/>
      <w:bookmarkStart w:id="526" w:name="_Toc13117044"/>
      <w:bookmarkStart w:id="527" w:name="_Toc102390929"/>
      <w:bookmarkStart w:id="528" w:name="_Toc139443313"/>
      <w:r>
        <w:rPr>
          <w:rStyle w:val="CharSectno"/>
        </w:rPr>
        <w:t>74</w:t>
      </w:r>
      <w:r>
        <w:rPr>
          <w:snapToGrid w:val="0"/>
        </w:rPr>
        <w:t>.</w:t>
      </w:r>
      <w:r>
        <w:rPr>
          <w:snapToGrid w:val="0"/>
        </w:rPr>
        <w:tab/>
        <w:t>Manner of mooring vessels</w:t>
      </w:r>
      <w:bookmarkEnd w:id="525"/>
      <w:bookmarkEnd w:id="526"/>
      <w:bookmarkEnd w:id="527"/>
      <w:bookmarkEnd w:id="52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529" w:name="_Toc454867138"/>
      <w:bookmarkStart w:id="530" w:name="_Toc13117045"/>
      <w:bookmarkStart w:id="531" w:name="_Toc102390930"/>
      <w:bookmarkStart w:id="532" w:name="_Toc139443314"/>
      <w:r>
        <w:rPr>
          <w:rStyle w:val="CharSectno"/>
        </w:rPr>
        <w:t>75</w:t>
      </w:r>
      <w:r>
        <w:rPr>
          <w:snapToGrid w:val="0"/>
        </w:rPr>
        <w:t>.</w:t>
      </w:r>
      <w:r>
        <w:rPr>
          <w:snapToGrid w:val="0"/>
        </w:rPr>
        <w:tab/>
        <w:t>Vessels not to remain at jetties longer than necessary</w:t>
      </w:r>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533" w:name="_Toc454867139"/>
      <w:bookmarkStart w:id="534" w:name="_Toc13117046"/>
      <w:bookmarkStart w:id="535" w:name="_Toc102390931"/>
      <w:bookmarkStart w:id="536" w:name="_Toc139443315"/>
      <w:r>
        <w:rPr>
          <w:rStyle w:val="CharSectno"/>
        </w:rPr>
        <w:t>76</w:t>
      </w:r>
      <w:r>
        <w:rPr>
          <w:snapToGrid w:val="0"/>
        </w:rPr>
        <w:t>.</w:t>
      </w:r>
      <w:r>
        <w:rPr>
          <w:snapToGrid w:val="0"/>
        </w:rPr>
        <w:tab/>
        <w:t>Mooring of rafts and boathouses</w:t>
      </w:r>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537" w:name="_Toc454867140"/>
      <w:bookmarkStart w:id="538" w:name="_Toc13117047"/>
      <w:bookmarkStart w:id="539" w:name="_Toc102390932"/>
      <w:bookmarkStart w:id="540" w:name="_Toc139443316"/>
      <w:r>
        <w:rPr>
          <w:rStyle w:val="CharSectno"/>
        </w:rPr>
        <w:t>77</w:t>
      </w:r>
      <w:r>
        <w:rPr>
          <w:snapToGrid w:val="0"/>
        </w:rPr>
        <w:t>.</w:t>
      </w:r>
      <w:r>
        <w:rPr>
          <w:snapToGrid w:val="0"/>
        </w:rPr>
        <w:tab/>
        <w:t>Vessels to be in charge of a competent person</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541" w:name="_Toc454867141"/>
      <w:bookmarkStart w:id="542" w:name="_Toc13117048"/>
      <w:bookmarkStart w:id="543" w:name="_Toc102390933"/>
      <w:bookmarkStart w:id="544" w:name="_Toc139443317"/>
      <w:r>
        <w:rPr>
          <w:rStyle w:val="CharSectno"/>
        </w:rPr>
        <w:t>78</w:t>
      </w:r>
      <w:r>
        <w:rPr>
          <w:snapToGrid w:val="0"/>
        </w:rPr>
        <w:t>.</w:t>
      </w:r>
      <w:r>
        <w:rPr>
          <w:snapToGrid w:val="0"/>
        </w:rPr>
        <w:tab/>
        <w:t>Approaching jetties after sunset</w:t>
      </w:r>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545" w:name="_Toc81295495"/>
      <w:bookmarkStart w:id="546" w:name="_Toc92097451"/>
      <w:bookmarkStart w:id="547" w:name="_Toc92858904"/>
      <w:bookmarkStart w:id="548" w:name="_Toc94070514"/>
      <w:bookmarkStart w:id="549" w:name="_Toc95554154"/>
      <w:bookmarkStart w:id="550" w:name="_Toc95559367"/>
      <w:bookmarkStart w:id="551" w:name="_Toc97361752"/>
      <w:bookmarkStart w:id="552" w:name="_Toc97362104"/>
      <w:bookmarkStart w:id="553" w:name="_Toc97530757"/>
      <w:bookmarkStart w:id="554" w:name="_Toc97539229"/>
      <w:bookmarkStart w:id="555" w:name="_Toc98563024"/>
      <w:bookmarkStart w:id="556" w:name="_Toc99266413"/>
      <w:bookmarkStart w:id="557" w:name="_Toc102390934"/>
      <w:bookmarkStart w:id="558" w:name="_Toc139101785"/>
      <w:bookmarkStart w:id="559" w:name="_Toc139101970"/>
      <w:bookmarkStart w:id="560" w:name="_Toc139443318"/>
      <w:r>
        <w:rPr>
          <w:rStyle w:val="CharDivNo"/>
        </w:rPr>
        <w:t>Division 4</w:t>
      </w:r>
      <w:r>
        <w:rPr>
          <w:snapToGrid w:val="0"/>
        </w:rPr>
        <w:t> — </w:t>
      </w:r>
      <w:r>
        <w:rPr>
          <w:rStyle w:val="CharDivText"/>
        </w:rPr>
        <w:t>Loading or discharging cargo</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Footnotesection"/>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561" w:name="_Toc454867142"/>
      <w:bookmarkStart w:id="562" w:name="_Toc13117049"/>
      <w:bookmarkStart w:id="563" w:name="_Toc102390935"/>
      <w:bookmarkStart w:id="564" w:name="_Toc139443319"/>
      <w:r>
        <w:rPr>
          <w:rStyle w:val="CharSectno"/>
        </w:rPr>
        <w:t>80</w:t>
      </w:r>
      <w:r>
        <w:rPr>
          <w:snapToGrid w:val="0"/>
        </w:rPr>
        <w:t>.</w:t>
      </w:r>
      <w:r>
        <w:rPr>
          <w:snapToGrid w:val="0"/>
        </w:rPr>
        <w:tab/>
        <w:t>Vessels loading or discharging</w:t>
      </w:r>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565" w:name="_Toc454867143"/>
      <w:bookmarkStart w:id="566" w:name="_Toc13117050"/>
      <w:bookmarkStart w:id="567" w:name="_Toc102390936"/>
      <w:bookmarkStart w:id="568" w:name="_Toc139443320"/>
      <w:r>
        <w:rPr>
          <w:rStyle w:val="CharSectno"/>
        </w:rPr>
        <w:t>81</w:t>
      </w:r>
      <w:r>
        <w:rPr>
          <w:snapToGrid w:val="0"/>
        </w:rPr>
        <w:t>.</w:t>
      </w:r>
      <w:r>
        <w:rPr>
          <w:snapToGrid w:val="0"/>
        </w:rPr>
        <w:tab/>
        <w:t>Cargo to be removed</w:t>
      </w:r>
      <w:bookmarkEnd w:id="565"/>
      <w:bookmarkEnd w:id="566"/>
      <w:bookmarkEnd w:id="567"/>
      <w:bookmarkEnd w:id="56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569" w:name="_Toc454867144"/>
      <w:bookmarkStart w:id="570" w:name="_Toc13117051"/>
      <w:bookmarkStart w:id="571" w:name="_Toc102390937"/>
      <w:bookmarkStart w:id="572" w:name="_Toc139443321"/>
      <w:r>
        <w:rPr>
          <w:rStyle w:val="CharSectno"/>
        </w:rPr>
        <w:t>82</w:t>
      </w:r>
      <w:r>
        <w:rPr>
          <w:snapToGrid w:val="0"/>
        </w:rPr>
        <w:t>.</w:t>
      </w:r>
      <w:r>
        <w:rPr>
          <w:snapToGrid w:val="0"/>
        </w:rPr>
        <w:tab/>
        <w:t>Cargo not to remain on jetties overnight</w:t>
      </w:r>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573" w:name="_Toc454867145"/>
      <w:bookmarkStart w:id="574" w:name="_Toc13117052"/>
      <w:bookmarkStart w:id="575" w:name="_Toc102390938"/>
      <w:bookmarkStart w:id="576" w:name="_Toc139443322"/>
      <w:r>
        <w:rPr>
          <w:rStyle w:val="CharSectno"/>
        </w:rPr>
        <w:t>83</w:t>
      </w:r>
      <w:r>
        <w:rPr>
          <w:snapToGrid w:val="0"/>
        </w:rPr>
        <w:t>.</w:t>
      </w:r>
      <w:r>
        <w:rPr>
          <w:snapToGrid w:val="0"/>
        </w:rPr>
        <w:tab/>
        <w:t>Explosives not to be handled without permission</w:t>
      </w:r>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2</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577" w:name="_Toc454867146"/>
      <w:bookmarkStart w:id="578" w:name="_Toc13117053"/>
      <w:bookmarkStart w:id="579" w:name="_Toc102390939"/>
      <w:bookmarkStart w:id="580" w:name="_Toc139443323"/>
      <w:r>
        <w:rPr>
          <w:rStyle w:val="CharSectno"/>
        </w:rPr>
        <w:t>84</w:t>
      </w:r>
      <w:r>
        <w:rPr>
          <w:snapToGrid w:val="0"/>
        </w:rPr>
        <w:t>.</w:t>
      </w:r>
      <w:r>
        <w:rPr>
          <w:snapToGrid w:val="0"/>
        </w:rPr>
        <w:tab/>
        <w:t>Manner of handling cargo</w:t>
      </w:r>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581" w:name="_Toc81295501"/>
      <w:bookmarkStart w:id="582" w:name="_Toc92097457"/>
      <w:bookmarkStart w:id="583" w:name="_Toc92858910"/>
      <w:bookmarkStart w:id="584" w:name="_Toc94070520"/>
      <w:bookmarkStart w:id="585" w:name="_Toc95554160"/>
      <w:bookmarkStart w:id="586" w:name="_Toc95559373"/>
      <w:bookmarkStart w:id="587" w:name="_Toc97361758"/>
      <w:bookmarkStart w:id="588" w:name="_Toc97362110"/>
      <w:bookmarkStart w:id="589" w:name="_Toc97530763"/>
      <w:bookmarkStart w:id="590" w:name="_Toc97539235"/>
      <w:bookmarkStart w:id="591" w:name="_Toc98563030"/>
      <w:bookmarkStart w:id="592" w:name="_Toc99266419"/>
      <w:bookmarkStart w:id="593" w:name="_Toc102390940"/>
      <w:bookmarkStart w:id="594" w:name="_Toc139101791"/>
      <w:bookmarkStart w:id="595" w:name="_Toc139101976"/>
      <w:bookmarkStart w:id="596" w:name="_Toc139443324"/>
      <w:r>
        <w:rPr>
          <w:rStyle w:val="CharDivNo"/>
        </w:rPr>
        <w:t>Division 5</w:t>
      </w:r>
      <w:r>
        <w:rPr>
          <w:snapToGrid w:val="0"/>
        </w:rPr>
        <w:t> — </w:t>
      </w:r>
      <w:r>
        <w:rPr>
          <w:rStyle w:val="CharDivText"/>
        </w:rPr>
        <w:t>Navigation of vessels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rPr>
        <w:t xml:space="preserve"> </w:t>
      </w:r>
    </w:p>
    <w:p>
      <w:pPr>
        <w:pStyle w:val="Footnotesection"/>
      </w:pPr>
      <w:r>
        <w:tab/>
        <w:t xml:space="preserve">[Heading inserted in Gazette 19 May 1989 p. 1494.] </w:t>
      </w:r>
    </w:p>
    <w:p>
      <w:pPr>
        <w:pStyle w:val="Heading5"/>
        <w:rPr>
          <w:snapToGrid w:val="0"/>
        </w:rPr>
      </w:pPr>
      <w:bookmarkStart w:id="597" w:name="_Toc454867147"/>
      <w:bookmarkStart w:id="598" w:name="_Toc13117054"/>
      <w:bookmarkStart w:id="599" w:name="_Toc102390941"/>
      <w:bookmarkStart w:id="600" w:name="_Toc139443325"/>
      <w:r>
        <w:rPr>
          <w:rStyle w:val="CharSectno"/>
        </w:rPr>
        <w:t>85</w:t>
      </w:r>
      <w:r>
        <w:rPr>
          <w:snapToGrid w:val="0"/>
        </w:rPr>
        <w:t>.</w:t>
      </w:r>
      <w:r>
        <w:rPr>
          <w:snapToGrid w:val="0"/>
        </w:rPr>
        <w:tab/>
        <w:t>Power vessels approaching jetties</w:t>
      </w:r>
      <w:bookmarkEnd w:id="597"/>
      <w:bookmarkEnd w:id="598"/>
      <w:bookmarkEnd w:id="599"/>
      <w:bookmarkEnd w:id="600"/>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601" w:name="_Toc81295503"/>
      <w:bookmarkStart w:id="602" w:name="_Toc92097459"/>
      <w:bookmarkStart w:id="603" w:name="_Toc92858912"/>
      <w:bookmarkStart w:id="604" w:name="_Toc94070522"/>
      <w:bookmarkStart w:id="605" w:name="_Toc95554162"/>
      <w:bookmarkStart w:id="606" w:name="_Toc95559375"/>
      <w:bookmarkStart w:id="607" w:name="_Toc97361760"/>
      <w:bookmarkStart w:id="608" w:name="_Toc97362112"/>
      <w:bookmarkStart w:id="609" w:name="_Toc97530765"/>
      <w:bookmarkStart w:id="610" w:name="_Toc97539237"/>
      <w:bookmarkStart w:id="611" w:name="_Toc98563032"/>
      <w:bookmarkStart w:id="612" w:name="_Toc99266421"/>
      <w:bookmarkStart w:id="613" w:name="_Toc102390942"/>
      <w:bookmarkStart w:id="614" w:name="_Toc139101793"/>
      <w:bookmarkStart w:id="615" w:name="_Toc139101978"/>
      <w:bookmarkStart w:id="616" w:name="_Toc139443326"/>
      <w:r>
        <w:rPr>
          <w:rStyle w:val="CharDivNo"/>
        </w:rPr>
        <w:t>Division 6</w:t>
      </w:r>
      <w:r>
        <w:rPr>
          <w:snapToGrid w:val="0"/>
        </w:rPr>
        <w:t> — </w:t>
      </w:r>
      <w:r>
        <w:rPr>
          <w:rStyle w:val="CharDivText"/>
        </w:rPr>
        <w:t>Miscellaneous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Footnotesection"/>
      </w:pPr>
      <w:r>
        <w:tab/>
        <w:t xml:space="preserve">[Heading inserted in Gazette 19 May 1989 p. 1494.] </w:t>
      </w:r>
    </w:p>
    <w:p>
      <w:pPr>
        <w:pStyle w:val="Heading5"/>
        <w:rPr>
          <w:snapToGrid w:val="0"/>
        </w:rPr>
      </w:pPr>
      <w:bookmarkStart w:id="617" w:name="_Toc454867148"/>
      <w:bookmarkStart w:id="618" w:name="_Toc13117055"/>
      <w:bookmarkStart w:id="619" w:name="_Toc102390943"/>
      <w:bookmarkStart w:id="620" w:name="_Toc139443327"/>
      <w:r>
        <w:rPr>
          <w:rStyle w:val="CharSectno"/>
        </w:rPr>
        <w:t>86</w:t>
      </w:r>
      <w:r>
        <w:rPr>
          <w:snapToGrid w:val="0"/>
        </w:rPr>
        <w:t>.</w:t>
      </w:r>
      <w:r>
        <w:rPr>
          <w:snapToGrid w:val="0"/>
        </w:rPr>
        <w:tab/>
        <w:t>Bathing from jetties</w:t>
      </w:r>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621" w:name="_Toc454867149"/>
      <w:bookmarkStart w:id="622" w:name="_Toc13117056"/>
      <w:bookmarkStart w:id="623" w:name="_Toc102390944"/>
      <w:bookmarkStart w:id="624" w:name="_Toc139443328"/>
      <w:r>
        <w:rPr>
          <w:rStyle w:val="CharSectno"/>
        </w:rPr>
        <w:t>87</w:t>
      </w:r>
      <w:r>
        <w:rPr>
          <w:snapToGrid w:val="0"/>
        </w:rPr>
        <w:t>.</w:t>
      </w:r>
      <w:r>
        <w:rPr>
          <w:snapToGrid w:val="0"/>
        </w:rPr>
        <w:tab/>
        <w:t>Damage to jetties</w:t>
      </w:r>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625" w:name="_Toc454867150"/>
      <w:bookmarkStart w:id="626" w:name="_Toc13117057"/>
      <w:bookmarkStart w:id="627" w:name="_Toc102390945"/>
      <w:bookmarkStart w:id="628" w:name="_Toc139443329"/>
      <w:r>
        <w:rPr>
          <w:rStyle w:val="CharSectno"/>
        </w:rPr>
        <w:t>88</w:t>
      </w:r>
      <w:r>
        <w:rPr>
          <w:snapToGrid w:val="0"/>
        </w:rPr>
        <w:t>.</w:t>
      </w:r>
      <w:r>
        <w:rPr>
          <w:snapToGrid w:val="0"/>
        </w:rPr>
        <w:tab/>
        <w:t>Fishing from certain places prohibited</w:t>
      </w:r>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629" w:name="_Toc454867151"/>
      <w:bookmarkStart w:id="630" w:name="_Toc13117058"/>
      <w:bookmarkStart w:id="631" w:name="_Toc102390946"/>
      <w:bookmarkStart w:id="632" w:name="_Toc139443330"/>
      <w:r>
        <w:rPr>
          <w:rStyle w:val="CharSectno"/>
        </w:rPr>
        <w:t>89</w:t>
      </w:r>
      <w:r>
        <w:rPr>
          <w:snapToGrid w:val="0"/>
        </w:rPr>
        <w:t>.</w:t>
      </w:r>
      <w:r>
        <w:rPr>
          <w:snapToGrid w:val="0"/>
        </w:rPr>
        <w:tab/>
        <w:t>Fishing nets on jetties</w:t>
      </w:r>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633" w:name="_Toc454867152"/>
      <w:bookmarkStart w:id="634" w:name="_Toc13117059"/>
      <w:bookmarkStart w:id="635" w:name="_Toc102390947"/>
      <w:bookmarkStart w:id="636" w:name="_Toc139443331"/>
      <w:r>
        <w:rPr>
          <w:rStyle w:val="CharSectno"/>
        </w:rPr>
        <w:t>90</w:t>
      </w:r>
      <w:r>
        <w:rPr>
          <w:snapToGrid w:val="0"/>
        </w:rPr>
        <w:t>.</w:t>
      </w:r>
      <w:r>
        <w:rPr>
          <w:snapToGrid w:val="0"/>
        </w:rPr>
        <w:tab/>
        <w:t>Gangways to be provided</w:t>
      </w:r>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637" w:name="_Toc454867153"/>
      <w:bookmarkStart w:id="638" w:name="_Toc13117060"/>
      <w:bookmarkStart w:id="639" w:name="_Toc102390948"/>
      <w:bookmarkStart w:id="640" w:name="_Toc139443332"/>
      <w:r>
        <w:rPr>
          <w:rStyle w:val="CharSectno"/>
        </w:rPr>
        <w:t>91</w:t>
      </w:r>
      <w:r>
        <w:rPr>
          <w:snapToGrid w:val="0"/>
        </w:rPr>
        <w:t>.</w:t>
      </w:r>
      <w:r>
        <w:rPr>
          <w:snapToGrid w:val="0"/>
        </w:rPr>
        <w:tab/>
        <w:t>Interference with jetties or approaches</w:t>
      </w:r>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641" w:name="_Toc454867154"/>
      <w:bookmarkStart w:id="642" w:name="_Toc13117061"/>
      <w:bookmarkStart w:id="643" w:name="_Toc102390949"/>
      <w:bookmarkStart w:id="644" w:name="_Toc139443333"/>
      <w:r>
        <w:rPr>
          <w:rStyle w:val="CharSectno"/>
        </w:rPr>
        <w:t>92</w:t>
      </w:r>
      <w:r>
        <w:rPr>
          <w:snapToGrid w:val="0"/>
        </w:rPr>
        <w:t>.</w:t>
      </w:r>
      <w:r>
        <w:rPr>
          <w:snapToGrid w:val="0"/>
        </w:rPr>
        <w:tab/>
        <w:t>Lifebuoys on jetties</w:t>
      </w:r>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645" w:name="_Toc454867155"/>
      <w:bookmarkStart w:id="646" w:name="_Toc13117062"/>
      <w:bookmarkStart w:id="647" w:name="_Toc102390950"/>
      <w:bookmarkStart w:id="648" w:name="_Toc139443334"/>
      <w:r>
        <w:rPr>
          <w:rStyle w:val="CharSectno"/>
        </w:rPr>
        <w:t>93</w:t>
      </w:r>
      <w:r>
        <w:rPr>
          <w:snapToGrid w:val="0"/>
        </w:rPr>
        <w:t>.</w:t>
      </w:r>
      <w:r>
        <w:rPr>
          <w:snapToGrid w:val="0"/>
        </w:rPr>
        <w:tab/>
        <w:t>Obstruction of jetties or officers</w:t>
      </w:r>
      <w:bookmarkEnd w:id="645"/>
      <w:bookmarkEnd w:id="646"/>
      <w:bookmarkEnd w:id="647"/>
      <w:bookmarkEnd w:id="64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649" w:name="_Toc454867156"/>
      <w:bookmarkStart w:id="650" w:name="_Toc13117063"/>
      <w:bookmarkStart w:id="651" w:name="_Toc102390951"/>
      <w:bookmarkStart w:id="652" w:name="_Toc139443335"/>
      <w:r>
        <w:rPr>
          <w:rStyle w:val="CharSectno"/>
        </w:rPr>
        <w:t>94</w:t>
      </w:r>
      <w:r>
        <w:rPr>
          <w:snapToGrid w:val="0"/>
        </w:rPr>
        <w:t>.</w:t>
      </w:r>
      <w:r>
        <w:rPr>
          <w:snapToGrid w:val="0"/>
        </w:rPr>
        <w:tab/>
        <w:t>Rubbish not to be thrown in river, etc.</w:t>
      </w:r>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653" w:name="_Toc81295513"/>
      <w:bookmarkStart w:id="654" w:name="_Toc92097469"/>
      <w:bookmarkStart w:id="655" w:name="_Toc92858922"/>
      <w:bookmarkStart w:id="656" w:name="_Toc94070532"/>
      <w:bookmarkStart w:id="657" w:name="_Toc95554172"/>
      <w:bookmarkStart w:id="658" w:name="_Toc95559385"/>
      <w:bookmarkStart w:id="659" w:name="_Toc97361770"/>
      <w:bookmarkStart w:id="660" w:name="_Toc97362122"/>
      <w:bookmarkStart w:id="661" w:name="_Toc97530775"/>
      <w:bookmarkStart w:id="662" w:name="_Toc97539247"/>
      <w:bookmarkStart w:id="663" w:name="_Toc98563042"/>
      <w:bookmarkStart w:id="664" w:name="_Toc99266431"/>
      <w:bookmarkStart w:id="665" w:name="_Toc102390952"/>
      <w:bookmarkStart w:id="666" w:name="_Toc139101803"/>
      <w:bookmarkStart w:id="667" w:name="_Toc139101988"/>
      <w:bookmarkStart w:id="668" w:name="_Toc139443336"/>
      <w:r>
        <w:rPr>
          <w:rStyle w:val="CharPartNo"/>
        </w:rPr>
        <w:t>Part 2A</w:t>
      </w:r>
      <w:r>
        <w:rPr>
          <w:rStyle w:val="CharDivNo"/>
        </w:rPr>
        <w:t> </w:t>
      </w:r>
      <w:r>
        <w:t>—</w:t>
      </w:r>
      <w:r>
        <w:rPr>
          <w:rStyle w:val="CharDivText"/>
        </w:rPr>
        <w:t> </w:t>
      </w:r>
      <w:r>
        <w:rPr>
          <w:rStyle w:val="CharPartText"/>
        </w:rPr>
        <w:t>Mooring and berthing other than in the Port of Perth</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PartText"/>
        </w:rPr>
        <w:t xml:space="preserve"> </w:t>
      </w:r>
    </w:p>
    <w:p>
      <w:pPr>
        <w:pStyle w:val="Footnotesection"/>
      </w:pPr>
      <w:r>
        <w:tab/>
        <w:t>[Heading inserted in Gazette 1 Aug 1990 p. 3633</w:t>
      </w:r>
      <w:r>
        <w:noBreakHyphen/>
        <w:t xml:space="preserve">4.] </w:t>
      </w:r>
    </w:p>
    <w:p>
      <w:pPr>
        <w:pStyle w:val="Heading5"/>
      </w:pPr>
      <w:bookmarkStart w:id="669" w:name="_Toc13117064"/>
      <w:bookmarkStart w:id="670" w:name="_Toc102390953"/>
      <w:bookmarkStart w:id="671" w:name="_Toc139443337"/>
      <w:bookmarkStart w:id="672" w:name="_Toc454867158"/>
      <w:r>
        <w:rPr>
          <w:rStyle w:val="CharSectno"/>
        </w:rPr>
        <w:t>94A</w:t>
      </w:r>
      <w:r>
        <w:t>.</w:t>
      </w:r>
      <w:r>
        <w:tab/>
        <w:t>Fees, etc. for pen rentals and services</w:t>
      </w:r>
      <w:bookmarkEnd w:id="669"/>
      <w:bookmarkEnd w:id="670"/>
      <w:bookmarkEnd w:id="671"/>
    </w:p>
    <w:p>
      <w:pPr>
        <w:pStyle w:val="Subsection"/>
      </w:pPr>
      <w:r>
        <w:tab/>
      </w:r>
      <w:r>
        <w:tab/>
        <w:t>The fees and charges payable for pen rentals and services in particular ports and harbours (other than the Port of Perth) are as set out in Schedule 4 Division 1.</w:t>
      </w:r>
    </w:p>
    <w:p>
      <w:pPr>
        <w:pStyle w:val="Footnotesection"/>
      </w:pPr>
      <w:r>
        <w:tab/>
        <w:t>[Regulation 94A inserted in Gazette 14 Jun 2002 p. 2800; amended in Gazette 24 Jun 2005 p. 2817.]</w:t>
      </w:r>
    </w:p>
    <w:p>
      <w:pPr>
        <w:pStyle w:val="Heading5"/>
        <w:rPr>
          <w:snapToGrid w:val="0"/>
        </w:rPr>
      </w:pPr>
      <w:bookmarkStart w:id="673" w:name="_Toc13117065"/>
      <w:bookmarkStart w:id="674" w:name="_Toc102390954"/>
      <w:bookmarkStart w:id="675" w:name="_Toc139443338"/>
      <w:r>
        <w:rPr>
          <w:rStyle w:val="CharSectno"/>
        </w:rPr>
        <w:t>94B</w:t>
      </w:r>
      <w:r>
        <w:rPr>
          <w:snapToGrid w:val="0"/>
        </w:rPr>
        <w:t>.</w:t>
      </w:r>
      <w:r>
        <w:rPr>
          <w:snapToGrid w:val="0"/>
        </w:rPr>
        <w:tab/>
        <w:t>Fees for pile mooring</w:t>
      </w:r>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4 Division 2 </w:t>
      </w:r>
      <w:r>
        <w:rPr>
          <w:snapToGrid w:val="0"/>
        </w:rPr>
        <w:t>are payable in respect to a pile mooring rented by any vessel in any boat harbour or fishing boat harbour in the State, according to the size of that vessel.</w:t>
      </w:r>
    </w:p>
    <w:p>
      <w:pPr>
        <w:pStyle w:val="Ednotesubsection"/>
      </w:pPr>
      <w:r>
        <w:tab/>
        <w:t>[(2)</w:t>
      </w:r>
      <w:r>
        <w:tab/>
        <w:t>repealed]</w:t>
      </w:r>
    </w:p>
    <w:p>
      <w:pPr>
        <w:pStyle w:val="Footnotesection"/>
      </w:pPr>
      <w:r>
        <w:tab/>
        <w:t>[Regulation 94B inserted in Gazette 1 Aug 1990 p. 3633</w:t>
      </w:r>
      <w:r>
        <w:noBreakHyphen/>
        <w:t xml:space="preserve">4; amended in Gazette 25 Jun 1996 p. 2981; 24 Jun 2005 p. 2817.] </w:t>
      </w:r>
    </w:p>
    <w:p>
      <w:pPr>
        <w:pStyle w:val="Heading5"/>
        <w:rPr>
          <w:snapToGrid w:val="0"/>
        </w:rPr>
      </w:pPr>
      <w:bookmarkStart w:id="676" w:name="_Toc454867159"/>
      <w:bookmarkStart w:id="677" w:name="_Toc13117066"/>
      <w:bookmarkStart w:id="678" w:name="_Toc102390955"/>
      <w:bookmarkStart w:id="679" w:name="_Toc139443339"/>
      <w:r>
        <w:rPr>
          <w:rStyle w:val="CharSectno"/>
        </w:rPr>
        <w:t>94C</w:t>
      </w:r>
      <w:r>
        <w:rPr>
          <w:snapToGrid w:val="0"/>
        </w:rPr>
        <w:t>.</w:t>
      </w:r>
      <w:r>
        <w:rPr>
          <w:snapToGrid w:val="0"/>
        </w:rPr>
        <w:tab/>
        <w:t>Fees for berthing or mooring on a casual basis</w:t>
      </w:r>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4 Division 3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w:t>
      </w:r>
    </w:p>
    <w:p>
      <w:pPr>
        <w:pStyle w:val="Heading2"/>
      </w:pPr>
      <w:bookmarkStart w:id="680" w:name="_Toc81295517"/>
      <w:bookmarkStart w:id="681" w:name="_Toc92097473"/>
      <w:bookmarkStart w:id="682" w:name="_Toc92858926"/>
      <w:bookmarkStart w:id="683" w:name="_Toc94070536"/>
      <w:bookmarkStart w:id="684" w:name="_Toc95554176"/>
      <w:bookmarkStart w:id="685" w:name="_Toc95559389"/>
      <w:bookmarkStart w:id="686" w:name="_Toc97361774"/>
      <w:bookmarkStart w:id="687" w:name="_Toc97362126"/>
      <w:bookmarkStart w:id="688" w:name="_Toc97530779"/>
      <w:bookmarkStart w:id="689" w:name="_Toc97539251"/>
      <w:bookmarkStart w:id="690" w:name="_Toc98563046"/>
      <w:bookmarkStart w:id="691" w:name="_Toc99266435"/>
      <w:bookmarkStart w:id="692" w:name="_Toc102390956"/>
      <w:bookmarkStart w:id="693" w:name="_Toc139101807"/>
      <w:bookmarkStart w:id="694" w:name="_Toc139101992"/>
      <w:bookmarkStart w:id="695" w:name="_Toc139443340"/>
      <w:r>
        <w:rPr>
          <w:rStyle w:val="CharPartNo"/>
        </w:rPr>
        <w:t>Part 3</w:t>
      </w:r>
      <w:r>
        <w:t> — </w:t>
      </w:r>
      <w:r>
        <w:rPr>
          <w:rStyle w:val="CharPartText"/>
        </w:rPr>
        <w:t>Special provisions applying at particular ports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PartText"/>
        </w:rPr>
        <w:t xml:space="preserve"> </w:t>
      </w:r>
    </w:p>
    <w:p>
      <w:pPr>
        <w:pStyle w:val="Footnotesection"/>
      </w:pPr>
      <w:r>
        <w:tab/>
        <w:t xml:space="preserve">[Heading inserted in Gazette 19 May 1989 p. 1494.] </w:t>
      </w:r>
    </w:p>
    <w:p>
      <w:pPr>
        <w:pStyle w:val="Heading3"/>
        <w:rPr>
          <w:snapToGrid w:val="0"/>
        </w:rPr>
      </w:pPr>
      <w:bookmarkStart w:id="696" w:name="_Toc81295518"/>
      <w:bookmarkStart w:id="697" w:name="_Toc92097474"/>
      <w:bookmarkStart w:id="698" w:name="_Toc92858927"/>
      <w:bookmarkStart w:id="699" w:name="_Toc94070537"/>
      <w:bookmarkStart w:id="700" w:name="_Toc95554177"/>
      <w:bookmarkStart w:id="701" w:name="_Toc95559390"/>
      <w:bookmarkStart w:id="702" w:name="_Toc97361775"/>
      <w:bookmarkStart w:id="703" w:name="_Toc97362127"/>
      <w:bookmarkStart w:id="704" w:name="_Toc97530780"/>
      <w:bookmarkStart w:id="705" w:name="_Toc97539252"/>
      <w:bookmarkStart w:id="706" w:name="_Toc98563047"/>
      <w:bookmarkStart w:id="707" w:name="_Toc99266436"/>
      <w:bookmarkStart w:id="708" w:name="_Toc102390957"/>
      <w:bookmarkStart w:id="709" w:name="_Toc139101808"/>
      <w:bookmarkStart w:id="710" w:name="_Toc139101993"/>
      <w:bookmarkStart w:id="711" w:name="_Toc139443341"/>
      <w:r>
        <w:rPr>
          <w:rStyle w:val="CharDivNo"/>
        </w:rPr>
        <w:t>Division 1</w:t>
      </w:r>
      <w:r>
        <w:rPr>
          <w:snapToGrid w:val="0"/>
        </w:rPr>
        <w:t> — </w:t>
      </w:r>
      <w:r>
        <w:rPr>
          <w:rStyle w:val="CharDivText"/>
        </w:rPr>
        <w:t>Use of slipways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Footnotesection"/>
      </w:pPr>
      <w:r>
        <w:tab/>
        <w:t xml:space="preserve">[Heading inserted in Gazette 19 May 1989 p. 1494.] </w:t>
      </w:r>
    </w:p>
    <w:p>
      <w:pPr>
        <w:pStyle w:val="Heading5"/>
      </w:pPr>
      <w:bookmarkStart w:id="712" w:name="_Toc13117067"/>
      <w:bookmarkStart w:id="713" w:name="_Toc102390958"/>
      <w:bookmarkStart w:id="714" w:name="_Toc139443342"/>
      <w:bookmarkStart w:id="715" w:name="_Toc454867161"/>
      <w:r>
        <w:rPr>
          <w:rStyle w:val="CharSectno"/>
        </w:rPr>
        <w:t>95</w:t>
      </w:r>
      <w:r>
        <w:t>.</w:t>
      </w:r>
      <w:r>
        <w:tab/>
        <w:t>Management and control of departmental slipways</w:t>
      </w:r>
      <w:bookmarkEnd w:id="712"/>
      <w:bookmarkEnd w:id="713"/>
      <w:bookmarkEnd w:id="714"/>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716" w:name="_Toc13117068"/>
      <w:bookmarkStart w:id="717" w:name="_Toc102390959"/>
      <w:bookmarkStart w:id="718" w:name="_Toc139443343"/>
      <w:r>
        <w:rPr>
          <w:rStyle w:val="CharSectno"/>
        </w:rPr>
        <w:t>95A</w:t>
      </w:r>
      <w:r>
        <w:rPr>
          <w:snapToGrid w:val="0"/>
        </w:rPr>
        <w:t>.</w:t>
      </w:r>
      <w:r>
        <w:rPr>
          <w:snapToGrid w:val="0"/>
        </w:rPr>
        <w:tab/>
        <w:t>Application for use of slipway</w:t>
      </w:r>
      <w:bookmarkEnd w:id="715"/>
      <w:bookmarkEnd w:id="716"/>
      <w:bookmarkEnd w:id="717"/>
      <w:bookmarkEnd w:id="718"/>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719" w:name="_Toc454867162"/>
      <w:bookmarkStart w:id="720" w:name="_Toc13117069"/>
      <w:bookmarkStart w:id="721" w:name="_Toc102390960"/>
      <w:bookmarkStart w:id="722" w:name="_Toc139443344"/>
      <w:r>
        <w:rPr>
          <w:rStyle w:val="CharSectno"/>
        </w:rPr>
        <w:t>96</w:t>
      </w:r>
      <w:r>
        <w:rPr>
          <w:snapToGrid w:val="0"/>
        </w:rPr>
        <w:t>.</w:t>
      </w:r>
      <w:r>
        <w:rPr>
          <w:snapToGrid w:val="0"/>
        </w:rPr>
        <w:tab/>
        <w:t>Charges for use of slipway</w:t>
      </w:r>
      <w:bookmarkEnd w:id="719"/>
      <w:bookmarkEnd w:id="720"/>
      <w:bookmarkEnd w:id="721"/>
      <w:bookmarkEnd w:id="722"/>
      <w:r>
        <w:rPr>
          <w:snapToGrid w:val="0"/>
        </w:rPr>
        <w:t xml:space="preserve"> </w:t>
      </w:r>
    </w:p>
    <w:p>
      <w:pPr>
        <w:pStyle w:val="Subsection"/>
        <w:rPr>
          <w:snapToGrid w:val="0"/>
        </w:rPr>
      </w:pPr>
      <w:r>
        <w:rPr>
          <w:snapToGrid w:val="0"/>
        </w:rPr>
        <w:tab/>
        <w:t>(a)</w:t>
      </w:r>
      <w:r>
        <w:rPr>
          <w:snapToGrid w:val="0"/>
        </w:rPr>
        <w:tab/>
        <w:t xml:space="preserve">All vessels shall be charged for services rendered 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w:t>
      </w:r>
    </w:p>
    <w:p>
      <w:pPr>
        <w:pStyle w:val="Heading5"/>
        <w:rPr>
          <w:snapToGrid w:val="0"/>
        </w:rPr>
      </w:pPr>
      <w:bookmarkStart w:id="723" w:name="_Toc454867163"/>
      <w:bookmarkStart w:id="724" w:name="_Toc13117070"/>
      <w:bookmarkStart w:id="725" w:name="_Toc102390961"/>
      <w:bookmarkStart w:id="726" w:name="_Toc139443345"/>
      <w:r>
        <w:rPr>
          <w:rStyle w:val="CharSectno"/>
        </w:rPr>
        <w:t>97</w:t>
      </w:r>
      <w:r>
        <w:rPr>
          <w:snapToGrid w:val="0"/>
        </w:rPr>
        <w:t>.</w:t>
      </w:r>
      <w:r>
        <w:rPr>
          <w:snapToGrid w:val="0"/>
        </w:rPr>
        <w:tab/>
        <w:t>Government vessels may take precedence</w:t>
      </w:r>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727" w:name="_Toc454867164"/>
      <w:bookmarkStart w:id="728" w:name="_Toc13117071"/>
      <w:bookmarkStart w:id="729" w:name="_Toc102390962"/>
      <w:bookmarkStart w:id="730" w:name="_Toc139443346"/>
      <w:r>
        <w:rPr>
          <w:rStyle w:val="CharSectno"/>
        </w:rPr>
        <w:t>98</w:t>
      </w:r>
      <w:r>
        <w:rPr>
          <w:snapToGrid w:val="0"/>
        </w:rPr>
        <w:t>.</w:t>
      </w:r>
      <w:r>
        <w:rPr>
          <w:snapToGrid w:val="0"/>
        </w:rPr>
        <w:tab/>
        <w:t>Vessels may forfeit their turn</w:t>
      </w:r>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731" w:name="_Toc454867165"/>
      <w:bookmarkStart w:id="732" w:name="_Toc13117072"/>
      <w:bookmarkStart w:id="733" w:name="_Toc102390963"/>
      <w:bookmarkStart w:id="734" w:name="_Toc139443347"/>
      <w:r>
        <w:rPr>
          <w:rStyle w:val="CharSectno"/>
        </w:rPr>
        <w:t>99</w:t>
      </w:r>
      <w:r>
        <w:rPr>
          <w:snapToGrid w:val="0"/>
        </w:rPr>
        <w:t>.</w:t>
      </w:r>
      <w:r>
        <w:rPr>
          <w:snapToGrid w:val="0"/>
        </w:rPr>
        <w:tab/>
        <w:t>Department will not undertake repairs, etc.</w:t>
      </w:r>
      <w:bookmarkEnd w:id="731"/>
      <w:bookmarkEnd w:id="732"/>
      <w:bookmarkEnd w:id="733"/>
      <w:bookmarkEnd w:id="734"/>
      <w:r>
        <w:rPr>
          <w:snapToGrid w:val="0"/>
        </w:rPr>
        <w:t xml:space="preserve"> </w:t>
      </w:r>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735" w:name="_Toc454867166"/>
      <w:bookmarkStart w:id="736" w:name="_Toc13117073"/>
      <w:bookmarkStart w:id="737" w:name="_Toc102390964"/>
      <w:bookmarkStart w:id="738" w:name="_Toc139443348"/>
      <w:r>
        <w:rPr>
          <w:rStyle w:val="CharSectno"/>
        </w:rPr>
        <w:t>100</w:t>
      </w:r>
      <w:r>
        <w:rPr>
          <w:snapToGrid w:val="0"/>
        </w:rPr>
        <w:t>.</w:t>
      </w:r>
      <w:r>
        <w:rPr>
          <w:snapToGrid w:val="0"/>
        </w:rPr>
        <w:tab/>
        <w:t>Department not responsible for damage to vessel when in use of slip</w:t>
      </w:r>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739" w:name="_Toc454867167"/>
      <w:bookmarkStart w:id="740" w:name="_Toc13117074"/>
      <w:bookmarkStart w:id="741" w:name="_Toc102390965"/>
      <w:bookmarkStart w:id="742" w:name="_Toc139443349"/>
      <w:r>
        <w:rPr>
          <w:rStyle w:val="CharSectno"/>
        </w:rPr>
        <w:t>101</w:t>
      </w:r>
      <w:r>
        <w:rPr>
          <w:snapToGrid w:val="0"/>
        </w:rPr>
        <w:t>.</w:t>
      </w:r>
      <w:r>
        <w:rPr>
          <w:snapToGrid w:val="0"/>
        </w:rPr>
        <w:tab/>
        <w:t>Duties of owner or master using slipway</w:t>
      </w:r>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743" w:name="_Toc454867168"/>
      <w:bookmarkStart w:id="744" w:name="_Toc13117075"/>
      <w:bookmarkStart w:id="745" w:name="_Toc102390966"/>
      <w:bookmarkStart w:id="746" w:name="_Toc139443350"/>
      <w:r>
        <w:rPr>
          <w:rStyle w:val="CharSectno"/>
        </w:rPr>
        <w:t>101A</w:t>
      </w:r>
      <w:r>
        <w:rPr>
          <w:snapToGrid w:val="0"/>
        </w:rPr>
        <w:t>.</w:t>
      </w:r>
      <w:r>
        <w:rPr>
          <w:snapToGrid w:val="0"/>
        </w:rPr>
        <w:tab/>
        <w:t>Slipping of more than one vessel at a time</w:t>
      </w:r>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747" w:name="_Toc454867169"/>
      <w:bookmarkStart w:id="748" w:name="_Toc13117076"/>
      <w:bookmarkStart w:id="749" w:name="_Toc102390967"/>
      <w:bookmarkStart w:id="750" w:name="_Toc139443351"/>
      <w:r>
        <w:rPr>
          <w:rStyle w:val="CharSectno"/>
        </w:rPr>
        <w:t>101B</w:t>
      </w:r>
      <w:r>
        <w:rPr>
          <w:snapToGrid w:val="0"/>
        </w:rPr>
        <w:t>.</w:t>
      </w:r>
      <w:r>
        <w:rPr>
          <w:snapToGrid w:val="0"/>
        </w:rPr>
        <w:tab/>
        <w:t>Dispute procedure</w:t>
      </w:r>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751" w:name="_Toc81295529"/>
      <w:bookmarkStart w:id="752" w:name="_Toc92097485"/>
      <w:bookmarkStart w:id="753" w:name="_Toc92858938"/>
      <w:bookmarkStart w:id="754" w:name="_Toc94070548"/>
      <w:bookmarkStart w:id="755" w:name="_Toc95554188"/>
      <w:bookmarkStart w:id="756" w:name="_Toc95559401"/>
      <w:bookmarkStart w:id="757" w:name="_Toc97361786"/>
      <w:bookmarkStart w:id="758" w:name="_Toc97362138"/>
      <w:bookmarkStart w:id="759" w:name="_Toc97530791"/>
      <w:bookmarkStart w:id="760" w:name="_Toc97539263"/>
      <w:bookmarkStart w:id="761" w:name="_Toc98563058"/>
      <w:bookmarkStart w:id="762" w:name="_Toc99266447"/>
      <w:bookmarkStart w:id="763" w:name="_Toc102390968"/>
      <w:bookmarkStart w:id="764" w:name="_Toc139101819"/>
      <w:bookmarkStart w:id="765" w:name="_Toc139102004"/>
      <w:bookmarkStart w:id="766" w:name="_Toc139443352"/>
      <w:r>
        <w:rPr>
          <w:rStyle w:val="CharDivNo"/>
        </w:rPr>
        <w:t>Division 2</w:t>
      </w:r>
      <w:r>
        <w:rPr>
          <w:snapToGrid w:val="0"/>
        </w:rPr>
        <w:t> — </w:t>
      </w:r>
      <w:r>
        <w:rPr>
          <w:rStyle w:val="CharDivText"/>
        </w:rPr>
        <w:t>Use of mooring springs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snapToGrid w:val="0"/>
        </w:rPr>
        <w:t xml:space="preserve"> </w:t>
      </w:r>
    </w:p>
    <w:p>
      <w:pPr>
        <w:pStyle w:val="Footnotesection"/>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767" w:name="_Toc454867170"/>
      <w:bookmarkStart w:id="768" w:name="_Toc13117077"/>
      <w:bookmarkStart w:id="769" w:name="_Toc102390969"/>
      <w:bookmarkStart w:id="770" w:name="_Toc139443353"/>
      <w:r>
        <w:rPr>
          <w:rStyle w:val="CharSectno"/>
        </w:rPr>
        <w:t>105F</w:t>
      </w:r>
      <w:r>
        <w:rPr>
          <w:snapToGrid w:val="0"/>
        </w:rPr>
        <w:t>.</w:t>
      </w:r>
      <w:r>
        <w:rPr>
          <w:snapToGrid w:val="0"/>
        </w:rPr>
        <w:tab/>
        <w:t>Approaching bollard or jetty to which mooring spring or rope fastened</w:t>
      </w:r>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(regulation 105HC) repealed in Gazette 30 Jun 1995 p. 2700.]</w:t>
      </w:r>
    </w:p>
    <w:p>
      <w:pPr>
        <w:pStyle w:val="Heading3"/>
        <w:rPr>
          <w:snapToGrid w:val="0"/>
        </w:rPr>
      </w:pPr>
      <w:bookmarkStart w:id="771" w:name="_Toc81295531"/>
      <w:bookmarkStart w:id="772" w:name="_Toc92097487"/>
      <w:bookmarkStart w:id="773" w:name="_Toc92858940"/>
      <w:bookmarkStart w:id="774" w:name="_Toc94070550"/>
      <w:bookmarkStart w:id="775" w:name="_Toc95554190"/>
      <w:bookmarkStart w:id="776" w:name="_Toc95559403"/>
      <w:bookmarkStart w:id="777" w:name="_Toc97361788"/>
      <w:bookmarkStart w:id="778" w:name="_Toc97362140"/>
      <w:bookmarkStart w:id="779" w:name="_Toc97530793"/>
      <w:bookmarkStart w:id="780" w:name="_Toc97539265"/>
      <w:bookmarkStart w:id="781" w:name="_Toc98563060"/>
      <w:bookmarkStart w:id="782" w:name="_Toc99266449"/>
      <w:bookmarkStart w:id="783" w:name="_Toc102390970"/>
      <w:bookmarkStart w:id="784" w:name="_Toc139101821"/>
      <w:bookmarkStart w:id="785" w:name="_Toc139102006"/>
      <w:bookmarkStart w:id="786" w:name="_Toc139443354"/>
      <w:r>
        <w:rPr>
          <w:rStyle w:val="CharDivNo"/>
        </w:rPr>
        <w:t>Division 4</w:t>
      </w:r>
      <w:r>
        <w:rPr>
          <w:snapToGrid w:val="0"/>
        </w:rPr>
        <w:t> — </w:t>
      </w:r>
      <w:r>
        <w:rPr>
          <w:rStyle w:val="CharDivText"/>
        </w:rPr>
        <w:t>Use of weighbridges at Wyndham</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DivText"/>
        </w:rPr>
        <w:t xml:space="preserve"> </w:t>
      </w:r>
    </w:p>
    <w:p>
      <w:pPr>
        <w:pStyle w:val="Footnotesection"/>
      </w:pPr>
      <w:r>
        <w:tab/>
        <w:t xml:space="preserve">[Heading inserted in Gazette 19 May 1989 p. 1494; amended in Gazette 20 Jun 2000 p. 3044.] </w:t>
      </w:r>
    </w:p>
    <w:p>
      <w:pPr>
        <w:pStyle w:val="Heading5"/>
        <w:rPr>
          <w:snapToGrid w:val="0"/>
        </w:rPr>
      </w:pPr>
      <w:bookmarkStart w:id="787" w:name="_Toc454867171"/>
      <w:bookmarkStart w:id="788" w:name="_Toc13117078"/>
      <w:bookmarkStart w:id="789" w:name="_Toc102390971"/>
      <w:bookmarkStart w:id="790" w:name="_Toc139443355"/>
      <w:r>
        <w:rPr>
          <w:rStyle w:val="CharSectno"/>
        </w:rPr>
        <w:t>105I</w:t>
      </w:r>
      <w:r>
        <w:rPr>
          <w:snapToGrid w:val="0"/>
        </w:rPr>
        <w:t>.</w:t>
      </w:r>
      <w:r>
        <w:rPr>
          <w:snapToGrid w:val="0"/>
        </w:rPr>
        <w:tab/>
        <w:t>Weighbridge fees</w:t>
      </w:r>
      <w:bookmarkEnd w:id="787"/>
      <w:bookmarkEnd w:id="788"/>
      <w:bookmarkEnd w:id="789"/>
      <w:bookmarkEnd w:id="790"/>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(regulation 105J) repealed in Gazette 30 Jun 1992 p. 2893.]</w:t>
      </w:r>
    </w:p>
    <w:p>
      <w:pPr>
        <w:pStyle w:val="Heading2"/>
      </w:pPr>
      <w:bookmarkStart w:id="791" w:name="_Toc81295533"/>
      <w:bookmarkStart w:id="792" w:name="_Toc92097489"/>
      <w:bookmarkStart w:id="793" w:name="_Toc92858942"/>
      <w:bookmarkStart w:id="794" w:name="_Toc94070552"/>
      <w:bookmarkStart w:id="795" w:name="_Toc95554192"/>
      <w:bookmarkStart w:id="796" w:name="_Toc95559405"/>
      <w:bookmarkStart w:id="797" w:name="_Toc97361790"/>
      <w:bookmarkStart w:id="798" w:name="_Toc97362142"/>
      <w:bookmarkStart w:id="799" w:name="_Toc97530795"/>
      <w:bookmarkStart w:id="800" w:name="_Toc97539267"/>
      <w:bookmarkStart w:id="801" w:name="_Toc98563062"/>
      <w:bookmarkStart w:id="802" w:name="_Toc99266451"/>
      <w:bookmarkStart w:id="803" w:name="_Toc102390972"/>
      <w:bookmarkStart w:id="804" w:name="_Toc139101823"/>
      <w:bookmarkStart w:id="805" w:name="_Toc139102008"/>
      <w:bookmarkStart w:id="806" w:name="_Toc139443356"/>
      <w:r>
        <w:rPr>
          <w:rStyle w:val="CharPartNo"/>
        </w:rPr>
        <w:t>Part 4</w:t>
      </w:r>
      <w:r>
        <w:rPr>
          <w:rStyle w:val="CharDivNo"/>
        </w:rPr>
        <w:t> </w:t>
      </w:r>
      <w:r>
        <w:t>—</w:t>
      </w:r>
      <w:r>
        <w:rPr>
          <w:rStyle w:val="CharDivText"/>
        </w:rPr>
        <w:t> </w:t>
      </w:r>
      <w:r>
        <w:rPr>
          <w:rStyle w:val="CharPartText"/>
        </w:rPr>
        <w:t>Breach of regulations and penalties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PartText"/>
        </w:rPr>
        <w:t xml:space="preserve"> </w:t>
      </w:r>
    </w:p>
    <w:p>
      <w:pPr>
        <w:pStyle w:val="Footnotesection"/>
      </w:pPr>
      <w:r>
        <w:tab/>
        <w:t xml:space="preserve">[Heading inserted in Gazette 19 May 1989 p. 1494.] </w:t>
      </w:r>
    </w:p>
    <w:p>
      <w:pPr>
        <w:pStyle w:val="Heading5"/>
        <w:rPr>
          <w:snapToGrid w:val="0"/>
        </w:rPr>
      </w:pPr>
      <w:bookmarkStart w:id="807" w:name="_Toc454867172"/>
      <w:bookmarkStart w:id="808" w:name="_Toc13117079"/>
      <w:bookmarkStart w:id="809" w:name="_Toc102390973"/>
      <w:bookmarkStart w:id="810" w:name="_Toc139443357"/>
      <w:r>
        <w:rPr>
          <w:rStyle w:val="CharSectno"/>
        </w:rPr>
        <w:t>106</w:t>
      </w:r>
      <w:r>
        <w:rPr>
          <w:snapToGrid w:val="0"/>
        </w:rPr>
        <w:t>.</w:t>
      </w:r>
      <w:r>
        <w:rPr>
          <w:snapToGrid w:val="0"/>
        </w:rPr>
        <w:tab/>
        <w:t>Powers of officer of Department</w:t>
      </w:r>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811" w:name="_Toc454867173"/>
      <w:bookmarkStart w:id="812" w:name="_Toc13117080"/>
      <w:bookmarkStart w:id="813" w:name="_Toc102390974"/>
      <w:bookmarkStart w:id="814" w:name="_Toc139443358"/>
      <w:r>
        <w:rPr>
          <w:rStyle w:val="CharSectno"/>
        </w:rPr>
        <w:t>107</w:t>
      </w:r>
      <w:r>
        <w:rPr>
          <w:snapToGrid w:val="0"/>
        </w:rPr>
        <w:t>.</w:t>
      </w:r>
      <w:r>
        <w:rPr>
          <w:snapToGrid w:val="0"/>
        </w:rPr>
        <w:tab/>
        <w:t>Recovery of expenses incurred by breaches of regulations</w:t>
      </w:r>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815" w:name="_Toc454867174"/>
      <w:bookmarkStart w:id="816" w:name="_Toc13117081"/>
      <w:bookmarkStart w:id="817" w:name="_Toc102390975"/>
      <w:bookmarkStart w:id="818" w:name="_Toc139443359"/>
      <w:r>
        <w:rPr>
          <w:rStyle w:val="CharSectno"/>
        </w:rPr>
        <w:t>107A</w:t>
      </w:r>
      <w:r>
        <w:rPr>
          <w:snapToGrid w:val="0"/>
        </w:rPr>
        <w:t>.</w:t>
      </w:r>
      <w:r>
        <w:rPr>
          <w:snapToGrid w:val="0"/>
        </w:rPr>
        <w:tab/>
        <w:t>Police have authority to enforce regulations</w:t>
      </w:r>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819" w:name="_Toc454867175"/>
      <w:bookmarkStart w:id="820" w:name="_Toc13117082"/>
      <w:bookmarkStart w:id="821" w:name="_Toc102390976"/>
      <w:bookmarkStart w:id="822" w:name="_Toc139443360"/>
      <w:r>
        <w:rPr>
          <w:rStyle w:val="CharSectno"/>
        </w:rPr>
        <w:t>108</w:t>
      </w:r>
      <w:r>
        <w:rPr>
          <w:snapToGrid w:val="0"/>
        </w:rPr>
        <w:t>.</w:t>
      </w:r>
      <w:r>
        <w:rPr>
          <w:snapToGrid w:val="0"/>
        </w:rPr>
        <w:tab/>
        <w:t>Penalty for offences</w:t>
      </w:r>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Style w:val="CharSchNo"/>
        </w:rPr>
      </w:pPr>
      <w:bookmarkStart w:id="823" w:name="_Toc139101828"/>
      <w:bookmarkStart w:id="824" w:name="_Toc139102013"/>
      <w:bookmarkStart w:id="825" w:name="_Toc139443361"/>
      <w:bookmarkStart w:id="826" w:name="_Toc98563078"/>
      <w:bookmarkStart w:id="827" w:name="_Toc99266467"/>
      <w:bookmarkStart w:id="828" w:name="_Toc102390988"/>
      <w:r>
        <w:rPr>
          <w:rStyle w:val="CharSchNo"/>
        </w:rPr>
        <w:t>Schedule 1</w:t>
      </w:r>
      <w:bookmarkEnd w:id="823"/>
      <w:bookmarkEnd w:id="824"/>
      <w:bookmarkEnd w:id="825"/>
    </w:p>
    <w:p>
      <w:pPr>
        <w:pStyle w:val="yFootnoteheading"/>
      </w:pPr>
      <w:r>
        <w:tab/>
        <w:t>[Heading inserted in Gazette 24 Jun 2005 p. 2818.]</w:t>
      </w:r>
    </w:p>
    <w:p>
      <w:pPr>
        <w:pStyle w:val="yNumberedItem"/>
      </w:pPr>
      <w:r>
        <w:t>Note:</w:t>
      </w:r>
      <w:r>
        <w:tab/>
        <w:t>Fees charged per tonne, per cubic metre or per kilolitre are charged per unit or part of a unit (see regulation 25(1a)).</w:t>
      </w:r>
    </w:p>
    <w:p>
      <w:pPr>
        <w:pStyle w:val="yHeading3"/>
      </w:pPr>
      <w:bookmarkStart w:id="829" w:name="_Toc139101829"/>
      <w:bookmarkStart w:id="830" w:name="_Toc139102014"/>
      <w:bookmarkStart w:id="831" w:name="_Toc139443362"/>
      <w:r>
        <w:rPr>
          <w:rStyle w:val="CharSDivNo"/>
        </w:rPr>
        <w:t>Division 1</w:t>
      </w:r>
      <w:r>
        <w:rPr>
          <w:b w:val="0"/>
        </w:rPr>
        <w:t> — </w:t>
      </w:r>
      <w:r>
        <w:rPr>
          <w:rStyle w:val="CharSDivText"/>
        </w:rPr>
        <w:t>Berthing dues at Wyndham</w:t>
      </w:r>
      <w:bookmarkEnd w:id="829"/>
      <w:bookmarkEnd w:id="830"/>
      <w:bookmarkEnd w:id="831"/>
    </w:p>
    <w:p>
      <w:pPr>
        <w:pStyle w:val="yShoulderClause"/>
      </w:pPr>
      <w:r>
        <w:t>[r. 6]</w:t>
      </w:r>
    </w:p>
    <w:p>
      <w:pPr>
        <w:pStyle w:val="yFootnoteheading"/>
      </w:pPr>
      <w:r>
        <w:tab/>
        <w:t>[Heading inserted in Gazette 24 Jun 2005 p. 2818.]</w:t>
      </w:r>
    </w:p>
    <w:tbl>
      <w:tblPr>
        <w:tblW w:w="0" w:type="auto"/>
        <w:tblInd w:w="197"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247"/>
        <w:gridCol w:w="3595"/>
        <w:gridCol w:w="1059"/>
      </w:tblGrid>
      <w:tr>
        <w:tc>
          <w:tcPr>
            <w:tcW w:w="2247" w:type="dxa"/>
          </w:tcPr>
          <w:p>
            <w:pPr>
              <w:pStyle w:val="yTable"/>
              <w:spacing w:after="40"/>
              <w:rPr>
                <w:spacing w:val="-2"/>
                <w:sz w:val="20"/>
              </w:rPr>
            </w:pPr>
          </w:p>
        </w:tc>
        <w:tc>
          <w:tcPr>
            <w:tcW w:w="3595" w:type="dxa"/>
          </w:tcPr>
          <w:p>
            <w:pPr>
              <w:pStyle w:val="yTable"/>
              <w:spacing w:after="40"/>
              <w:jc w:val="center"/>
              <w:rPr>
                <w:spacing w:val="-2"/>
                <w:sz w:val="20"/>
              </w:rPr>
            </w:pPr>
            <w:r>
              <w:rPr>
                <w:b/>
                <w:spacing w:val="-2"/>
                <w:sz w:val="20"/>
              </w:rPr>
              <w:t>Rate</w:t>
            </w:r>
          </w:p>
        </w:tc>
        <w:tc>
          <w:tcPr>
            <w:tcW w:w="1059" w:type="dxa"/>
          </w:tcPr>
          <w:p>
            <w:pPr>
              <w:pStyle w:val="yTable"/>
              <w:spacing w:after="40"/>
              <w:jc w:val="center"/>
              <w:rPr>
                <w:spacing w:val="-2"/>
                <w:sz w:val="20"/>
              </w:rPr>
            </w:pPr>
            <w:r>
              <w:rPr>
                <w:b/>
                <w:spacing w:val="-2"/>
                <w:sz w:val="20"/>
              </w:rPr>
              <w:t>Minimum per day</w:t>
            </w:r>
          </w:p>
        </w:tc>
      </w:tr>
      <w:tr>
        <w:tc>
          <w:tcPr>
            <w:tcW w:w="2247" w:type="dxa"/>
            <w:tcBorders>
              <w:bottom w:val="single" w:sz="4" w:space="0" w:color="auto"/>
            </w:tcBorders>
          </w:tcPr>
          <w:p>
            <w:pPr>
              <w:pStyle w:val="yTable"/>
              <w:spacing w:after="40"/>
              <w:rPr>
                <w:spacing w:val="-2"/>
                <w:sz w:val="20"/>
              </w:rPr>
            </w:pPr>
            <w:r>
              <w:rPr>
                <w:spacing w:val="-2"/>
                <w:sz w:val="20"/>
              </w:rPr>
              <w:t>Vessels 300 gross registered tonnes and over</w:t>
            </w:r>
          </w:p>
        </w:tc>
        <w:tc>
          <w:tcPr>
            <w:tcW w:w="3595" w:type="dxa"/>
            <w:tcBorders>
              <w:bottom w:val="single" w:sz="4" w:space="0" w:color="auto"/>
            </w:tcBorders>
          </w:tcPr>
          <w:p>
            <w:pPr>
              <w:pStyle w:val="yTable"/>
              <w:spacing w:after="40"/>
              <w:rPr>
                <w:spacing w:val="-2"/>
                <w:sz w:val="20"/>
              </w:rPr>
            </w:pPr>
            <w:r>
              <w:rPr>
                <w:spacing w:val="-2"/>
                <w:sz w:val="20"/>
              </w:rPr>
              <w:t xml:space="preserve">$0.87 per tonne, per cubic metre or per kilolitre at option of officer in charge, on all cargo landed or shipped </w:t>
            </w:r>
          </w:p>
        </w:tc>
        <w:tc>
          <w:tcPr>
            <w:tcW w:w="1059" w:type="dxa"/>
            <w:tcBorders>
              <w:bottom w:val="single" w:sz="4" w:space="0" w:color="auto"/>
            </w:tcBorders>
          </w:tcPr>
          <w:p>
            <w:pPr>
              <w:pStyle w:val="yTable"/>
              <w:spacing w:after="40"/>
              <w:jc w:val="right"/>
              <w:rPr>
                <w:spacing w:val="-2"/>
                <w:sz w:val="20"/>
              </w:rPr>
            </w:pPr>
            <w:r>
              <w:rPr>
                <w:spacing w:val="-2"/>
                <w:sz w:val="20"/>
              </w:rPr>
              <w:br/>
            </w:r>
            <w:r>
              <w:rPr>
                <w:spacing w:val="-2"/>
                <w:sz w:val="20"/>
              </w:rPr>
              <w:br/>
            </w:r>
            <w:r>
              <w:rPr>
                <w:sz w:val="20"/>
              </w:rPr>
              <w:t>$132.09</w:t>
            </w:r>
          </w:p>
        </w:tc>
      </w:tr>
      <w:tr>
        <w:tc>
          <w:tcPr>
            <w:tcW w:w="2247" w:type="dxa"/>
            <w:tcBorders>
              <w:bottom w:val="single" w:sz="4" w:space="0" w:color="auto"/>
            </w:tcBorders>
          </w:tcPr>
          <w:p>
            <w:pPr>
              <w:pStyle w:val="yTable"/>
              <w:spacing w:after="40"/>
              <w:rPr>
                <w:spacing w:val="-2"/>
                <w:sz w:val="20"/>
              </w:rPr>
            </w:pPr>
            <w:r>
              <w:rPr>
                <w:spacing w:val="-2"/>
                <w:sz w:val="20"/>
              </w:rPr>
              <w:t>Vessels under 300 gross registered tonnes</w:t>
            </w:r>
          </w:p>
        </w:tc>
        <w:tc>
          <w:tcPr>
            <w:tcW w:w="3595" w:type="dxa"/>
            <w:tcBorders>
              <w:bottom w:val="single" w:sz="4" w:space="0" w:color="auto"/>
            </w:tcBorders>
          </w:tcPr>
          <w:p>
            <w:pPr>
              <w:pStyle w:val="yTable"/>
              <w:spacing w:after="40"/>
              <w:rPr>
                <w:spacing w:val="-2"/>
                <w:sz w:val="20"/>
              </w:rPr>
            </w:pPr>
            <w:r>
              <w:rPr>
                <w:spacing w:val="-2"/>
                <w:sz w:val="20"/>
              </w:rPr>
              <w:br/>
            </w:r>
            <w:r>
              <w:rPr>
                <w:sz w:val="20"/>
              </w:rPr>
              <w:t xml:space="preserve">$4.77 </w:t>
            </w:r>
            <w:r>
              <w:rPr>
                <w:spacing w:val="-2"/>
                <w:sz w:val="20"/>
              </w:rPr>
              <w:t>per metre, per day or part of a day</w:t>
            </w:r>
          </w:p>
        </w:tc>
        <w:tc>
          <w:tcPr>
            <w:tcW w:w="1059" w:type="dxa"/>
            <w:tcBorders>
              <w:bottom w:val="single" w:sz="4" w:space="0" w:color="auto"/>
            </w:tcBorders>
          </w:tcPr>
          <w:p>
            <w:pPr>
              <w:pStyle w:val="yTable"/>
              <w:spacing w:after="40"/>
              <w:jc w:val="right"/>
              <w:rPr>
                <w:spacing w:val="-2"/>
                <w:sz w:val="20"/>
              </w:rPr>
            </w:pPr>
            <w:r>
              <w:rPr>
                <w:spacing w:val="-2"/>
                <w:sz w:val="20"/>
              </w:rPr>
              <w:br/>
            </w:r>
            <w:r>
              <w:rPr>
                <w:sz w:val="20"/>
              </w:rPr>
              <w:t>$88.02</w:t>
            </w:r>
          </w:p>
        </w:tc>
      </w:tr>
      <w:tr>
        <w:tc>
          <w:tcPr>
            <w:tcW w:w="2247" w:type="dxa"/>
            <w:tcBorders>
              <w:top w:val="single" w:sz="4" w:space="0" w:color="auto"/>
              <w:bottom w:val="nil"/>
            </w:tcBorders>
          </w:tcPr>
          <w:p>
            <w:pPr>
              <w:pStyle w:val="yTable"/>
              <w:pageBreakBefore/>
              <w:spacing w:after="40"/>
              <w:rPr>
                <w:spacing w:val="-2"/>
                <w:sz w:val="20"/>
              </w:rPr>
            </w:pPr>
            <w:r>
              <w:rPr>
                <w:spacing w:val="-2"/>
                <w:sz w:val="20"/>
              </w:rPr>
              <w:t>Passenger vessels or other vessels using berth for purposes other than cargo handling</w:t>
            </w:r>
          </w:p>
        </w:tc>
        <w:tc>
          <w:tcPr>
            <w:tcW w:w="3595" w:type="dxa"/>
            <w:tcBorders>
              <w:top w:val="single" w:sz="4" w:space="0" w:color="auto"/>
              <w:bottom w:val="nil"/>
            </w:tcBorders>
          </w:tcPr>
          <w:p>
            <w:pPr>
              <w:pStyle w:val="yTable"/>
              <w:keepNext/>
              <w:keepLines/>
              <w:spacing w:after="40"/>
              <w:rPr>
                <w:spacing w:val="-2"/>
                <w:sz w:val="20"/>
              </w:rPr>
            </w:pPr>
            <w:r>
              <w:rPr>
                <w:spacing w:val="-2"/>
                <w:sz w:val="20"/>
              </w:rPr>
              <w:br/>
            </w:r>
            <w:r>
              <w:rPr>
                <w:spacing w:val="-2"/>
                <w:sz w:val="20"/>
              </w:rPr>
              <w:br/>
            </w:r>
            <w:r>
              <w:rPr>
                <w:spacing w:val="-2"/>
                <w:sz w:val="20"/>
              </w:rPr>
              <w:br/>
            </w:r>
            <w:r>
              <w:rPr>
                <w:sz w:val="20"/>
              </w:rPr>
              <w:t xml:space="preserve">$4.77 </w:t>
            </w:r>
            <w:r>
              <w:rPr>
                <w:spacing w:val="-2"/>
                <w:sz w:val="20"/>
              </w:rPr>
              <w:t>per metre, per day or part of a day</w:t>
            </w:r>
          </w:p>
        </w:tc>
        <w:tc>
          <w:tcPr>
            <w:tcW w:w="1059" w:type="dxa"/>
            <w:tcBorders>
              <w:top w:val="single" w:sz="4" w:space="0" w:color="auto"/>
              <w:bottom w:val="nil"/>
            </w:tcBorders>
          </w:tcPr>
          <w:p>
            <w:pPr>
              <w:pStyle w:val="yTable"/>
              <w:keepNext/>
              <w:keepLines/>
              <w:spacing w:after="40"/>
              <w:jc w:val="right"/>
              <w:rPr>
                <w:spacing w:val="-2"/>
                <w:sz w:val="20"/>
              </w:rPr>
            </w:pPr>
            <w:r>
              <w:rPr>
                <w:spacing w:val="-2"/>
                <w:sz w:val="20"/>
              </w:rPr>
              <w:br/>
            </w:r>
            <w:r>
              <w:rPr>
                <w:spacing w:val="-2"/>
                <w:sz w:val="20"/>
              </w:rPr>
              <w:br/>
            </w:r>
            <w:r>
              <w:rPr>
                <w:spacing w:val="-2"/>
                <w:sz w:val="20"/>
              </w:rPr>
              <w:br/>
            </w:r>
            <w:r>
              <w:rPr>
                <w:sz w:val="20"/>
              </w:rPr>
              <w:t>$88.02</w:t>
            </w:r>
          </w:p>
        </w:tc>
      </w:tr>
      <w:tr>
        <w:tc>
          <w:tcPr>
            <w:tcW w:w="2247" w:type="dxa"/>
            <w:tcBorders>
              <w:bottom w:val="single" w:sz="4" w:space="0" w:color="auto"/>
            </w:tcBorders>
          </w:tcPr>
          <w:p>
            <w:pPr>
              <w:pStyle w:val="yTable"/>
              <w:spacing w:after="40"/>
              <w:rPr>
                <w:spacing w:val="-2"/>
                <w:sz w:val="20"/>
              </w:rPr>
            </w:pPr>
            <w:r>
              <w:rPr>
                <w:spacing w:val="-2"/>
                <w:sz w:val="20"/>
              </w:rPr>
              <w:t>Containers </w:t>
            </w:r>
            <w:r>
              <w:rPr>
                <w:i/>
                <w:snapToGrid w:val="0"/>
                <w:sz w:val="20"/>
              </w:rPr>
              <w:t>—</w:t>
            </w:r>
            <w:r>
              <w:rPr>
                <w:spacing w:val="-2"/>
                <w:sz w:val="20"/>
              </w:rPr>
              <w:t> </w:t>
            </w:r>
          </w:p>
          <w:p>
            <w:pPr>
              <w:pStyle w:val="yTable"/>
              <w:spacing w:after="40"/>
              <w:ind w:left="482"/>
              <w:rPr>
                <w:spacing w:val="-2"/>
                <w:sz w:val="20"/>
              </w:rPr>
            </w:pPr>
            <w:r>
              <w:rPr>
                <w:spacing w:val="-2"/>
                <w:sz w:val="20"/>
              </w:rPr>
              <w:t>Empty</w:t>
            </w:r>
          </w:p>
          <w:p>
            <w:pPr>
              <w:pStyle w:val="yTable"/>
              <w:spacing w:after="40"/>
              <w:ind w:left="482"/>
              <w:rPr>
                <w:spacing w:val="-2"/>
                <w:sz w:val="20"/>
              </w:rPr>
            </w:pPr>
            <w:r>
              <w:rPr>
                <w:spacing w:val="-2"/>
                <w:sz w:val="20"/>
              </w:rPr>
              <w:t>Loaded</w:t>
            </w:r>
          </w:p>
        </w:tc>
        <w:tc>
          <w:tcPr>
            <w:tcW w:w="3595" w:type="dxa"/>
            <w:tcBorders>
              <w:bottom w:val="single" w:sz="4" w:space="0" w:color="auto"/>
            </w:tcBorders>
          </w:tcPr>
          <w:p>
            <w:pPr>
              <w:pStyle w:val="yTable"/>
              <w:spacing w:after="40"/>
              <w:rPr>
                <w:spacing w:val="-2"/>
                <w:sz w:val="20"/>
              </w:rPr>
            </w:pPr>
          </w:p>
          <w:p>
            <w:pPr>
              <w:pStyle w:val="yTable"/>
              <w:spacing w:after="40"/>
              <w:rPr>
                <w:spacing w:val="-2"/>
                <w:sz w:val="20"/>
              </w:rPr>
            </w:pPr>
            <w:r>
              <w:rPr>
                <w:sz w:val="20"/>
              </w:rPr>
              <w:t>$6.85</w:t>
            </w:r>
            <w:r>
              <w:rPr>
                <w:spacing w:val="-2"/>
                <w:sz w:val="20"/>
              </w:rPr>
              <w:t xml:space="preserve"> per container</w:t>
            </w:r>
          </w:p>
          <w:p>
            <w:pPr>
              <w:pStyle w:val="yTable"/>
              <w:spacing w:after="40"/>
              <w:rPr>
                <w:spacing w:val="-2"/>
                <w:sz w:val="20"/>
              </w:rPr>
            </w:pPr>
            <w:r>
              <w:rPr>
                <w:sz w:val="20"/>
              </w:rPr>
              <w:t xml:space="preserve">$22.06 </w:t>
            </w:r>
            <w:r>
              <w:rPr>
                <w:spacing w:val="-2"/>
                <w:sz w:val="20"/>
              </w:rPr>
              <w:t>per container</w:t>
            </w:r>
          </w:p>
        </w:tc>
        <w:tc>
          <w:tcPr>
            <w:tcW w:w="1059" w:type="dxa"/>
            <w:tcBorders>
              <w:bottom w:val="single" w:sz="4" w:space="0" w:color="auto"/>
            </w:tcBorders>
          </w:tcPr>
          <w:p>
            <w:pPr>
              <w:pStyle w:val="yTable"/>
              <w:spacing w:after="40"/>
              <w:rPr>
                <w:spacing w:val="-2"/>
                <w:sz w:val="20"/>
              </w:rPr>
            </w:pPr>
          </w:p>
        </w:tc>
      </w:tr>
    </w:tbl>
    <w:p>
      <w:pPr>
        <w:pStyle w:val="yFootnotesection"/>
      </w:pPr>
      <w:r>
        <w:tab/>
        <w:t>[Division 1 inserted in Gazette 24 Jun 2005 p. 2818-19; amended in Gazette 23 Jun 2006 p. 2194.]</w:t>
      </w:r>
    </w:p>
    <w:p>
      <w:pPr>
        <w:pStyle w:val="yHeading3"/>
      </w:pPr>
      <w:bookmarkStart w:id="832" w:name="_Toc139101830"/>
      <w:bookmarkStart w:id="833" w:name="_Toc139102015"/>
      <w:bookmarkStart w:id="834" w:name="_Toc139443363"/>
      <w:r>
        <w:rPr>
          <w:rStyle w:val="CharSDivNo"/>
        </w:rPr>
        <w:t>Division 2</w:t>
      </w:r>
      <w:r>
        <w:rPr>
          <w:b w:val="0"/>
        </w:rPr>
        <w:t> — </w:t>
      </w:r>
      <w:r>
        <w:rPr>
          <w:rStyle w:val="CharSDivText"/>
        </w:rPr>
        <w:t>Wharfage dues and handling and haulage charges</w:t>
      </w:r>
      <w:bookmarkEnd w:id="832"/>
      <w:bookmarkEnd w:id="833"/>
      <w:bookmarkEnd w:id="834"/>
    </w:p>
    <w:p>
      <w:pPr>
        <w:pStyle w:val="yShoulderClause"/>
      </w:pPr>
      <w:r>
        <w:t>[r. 10A]</w:t>
      </w:r>
    </w:p>
    <w:p>
      <w:pPr>
        <w:pStyle w:val="yFootnoteheading"/>
      </w:pPr>
      <w:r>
        <w:tab/>
        <w:t>[Heading inserted in Gazette 24 Jun 2005 p. 2819.]</w:t>
      </w:r>
    </w:p>
    <w:p>
      <w:pPr>
        <w:pStyle w:val="yHeading4"/>
      </w:pPr>
      <w:bookmarkStart w:id="835" w:name="_Toc139101831"/>
      <w:bookmarkStart w:id="836" w:name="_Toc139102016"/>
      <w:bookmarkStart w:id="837" w:name="_Toc139443364"/>
      <w:r>
        <w:t>Subdivision 1</w:t>
      </w:r>
      <w:r>
        <w:rPr>
          <w:b w:val="0"/>
        </w:rPr>
        <w:t> — </w:t>
      </w:r>
      <w:r>
        <w:t>Wyndham</w:t>
      </w:r>
      <w:bookmarkEnd w:id="835"/>
      <w:bookmarkEnd w:id="836"/>
      <w:bookmarkEnd w:id="837"/>
    </w:p>
    <w:p>
      <w:pPr>
        <w:pStyle w:val="yFootnoteheading"/>
      </w:pPr>
      <w:r>
        <w:tab/>
        <w:t>[Heading inserted in Gazette 24 Jun 2005 p. 2819.]</w:t>
      </w: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7"/>
        <w:gridCol w:w="1559"/>
        <w:gridCol w:w="1045"/>
      </w:tblGrid>
      <w:tr>
        <w:tc>
          <w:tcPr>
            <w:tcW w:w="4297" w:type="dxa"/>
          </w:tcPr>
          <w:p>
            <w:pPr>
              <w:pStyle w:val="yTable"/>
              <w:spacing w:after="40"/>
              <w:rPr>
                <w:snapToGrid w:val="0"/>
              </w:rPr>
            </w:pPr>
            <w:r>
              <w:rPr>
                <w:spacing w:val="-2"/>
                <w:sz w:val="20"/>
              </w:rPr>
              <w:t>Cargo in containers (T E U containers) </w:t>
            </w:r>
            <w:r>
              <w:rPr>
                <w:i/>
                <w:snapToGrid w:val="0"/>
                <w:sz w:val="20"/>
              </w:rPr>
              <w:t>—</w:t>
            </w:r>
            <w:r>
              <w:rPr>
                <w:spacing w:val="-2"/>
                <w:sz w:val="20"/>
              </w:rPr>
              <w:t> </w:t>
            </w:r>
          </w:p>
        </w:tc>
        <w:tc>
          <w:tcPr>
            <w:tcW w:w="1559" w:type="dxa"/>
          </w:tcPr>
          <w:p>
            <w:pPr>
              <w:pStyle w:val="yTable"/>
              <w:spacing w:after="40"/>
              <w:rPr>
                <w:snapToGrid w:val="0"/>
              </w:rPr>
            </w:pPr>
          </w:p>
        </w:tc>
        <w:tc>
          <w:tcPr>
            <w:tcW w:w="1045" w:type="dxa"/>
          </w:tcPr>
          <w:p>
            <w:pPr>
              <w:pStyle w:val="yTable"/>
              <w:spacing w:after="40"/>
              <w:rPr>
                <w:snapToGrid w:val="0"/>
              </w:rPr>
            </w:pPr>
          </w:p>
        </w:tc>
      </w:tr>
      <w:tr>
        <w:tc>
          <w:tcPr>
            <w:tcW w:w="4297" w:type="dxa"/>
          </w:tcPr>
          <w:p>
            <w:pPr>
              <w:pStyle w:val="yTable"/>
              <w:spacing w:after="40"/>
              <w:ind w:firstLine="220"/>
              <w:rPr>
                <w:snapToGrid w:val="0"/>
              </w:rPr>
            </w:pPr>
            <w:r>
              <w:rPr>
                <w:spacing w:val="-2"/>
                <w:sz w:val="20"/>
              </w:rPr>
              <w:t>Empty returns</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z w:val="20"/>
              </w:rPr>
              <w:t>$44.11</w:t>
            </w:r>
          </w:p>
        </w:tc>
      </w:tr>
      <w:tr>
        <w:tc>
          <w:tcPr>
            <w:tcW w:w="4297" w:type="dxa"/>
          </w:tcPr>
          <w:p>
            <w:pPr>
              <w:pStyle w:val="yTable"/>
              <w:spacing w:after="40"/>
              <w:ind w:firstLine="220"/>
              <w:rPr>
                <w:snapToGrid w:val="0"/>
              </w:rPr>
            </w:pPr>
            <w:r>
              <w:rPr>
                <w:spacing w:val="-2"/>
                <w:sz w:val="20"/>
              </w:rPr>
              <w:t>Loaded containers </w:t>
            </w:r>
            <w:r>
              <w:rPr>
                <w:i/>
                <w:snapToGrid w:val="0"/>
                <w:sz w:val="20"/>
              </w:rPr>
              <w:t>—</w:t>
            </w:r>
            <w:r>
              <w:rPr>
                <w:spacing w:val="-2"/>
                <w:sz w:val="20"/>
              </w:rPr>
              <w:t> General</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z w:val="20"/>
              </w:rPr>
              <w:t>$151.83</w:t>
            </w:r>
          </w:p>
        </w:tc>
      </w:tr>
      <w:tr>
        <w:tc>
          <w:tcPr>
            <w:tcW w:w="4297" w:type="dxa"/>
          </w:tcPr>
          <w:p>
            <w:pPr>
              <w:pStyle w:val="yTable"/>
              <w:spacing w:after="40"/>
              <w:rPr>
                <w:snapToGrid w:val="0"/>
              </w:rPr>
            </w:pPr>
            <w:r>
              <w:rPr>
                <w:spacing w:val="-2"/>
                <w:sz w:val="20"/>
              </w:rPr>
              <w:t xml:space="preserve">Products of the soil </w:t>
            </w:r>
            <w:r>
              <w:rPr>
                <w:spacing w:val="-2"/>
                <w:sz w:val="18"/>
              </w:rPr>
              <w:t>(unless otherwise stated)</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z w:val="20"/>
              </w:rPr>
              <w:t>$48.05</w:t>
            </w:r>
          </w:p>
        </w:tc>
      </w:tr>
      <w:tr>
        <w:tc>
          <w:tcPr>
            <w:tcW w:w="4297" w:type="dxa"/>
          </w:tcPr>
          <w:p>
            <w:pPr>
              <w:pStyle w:val="yTable"/>
              <w:spacing w:after="40"/>
              <w:rPr>
                <w:snapToGrid w:val="0"/>
              </w:rPr>
            </w:pPr>
            <w:r>
              <w:rPr>
                <w:spacing w:val="-2"/>
                <w:sz w:val="20"/>
              </w:rPr>
              <w:t>Fertilisers</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z w:val="20"/>
              </w:rPr>
              <w:t>$76.56</w:t>
            </w:r>
          </w:p>
        </w:tc>
      </w:tr>
      <w:tr>
        <w:tc>
          <w:tcPr>
            <w:tcW w:w="4297" w:type="dxa"/>
          </w:tcPr>
          <w:p>
            <w:pPr>
              <w:pStyle w:val="yTable"/>
              <w:spacing w:after="40"/>
              <w:rPr>
                <w:spacing w:val="-2"/>
                <w:sz w:val="20"/>
              </w:rPr>
            </w:pPr>
            <w:r>
              <w:rPr>
                <w:spacing w:val="-2"/>
                <w:sz w:val="20"/>
              </w:rPr>
              <w:t>Explosives</w:t>
            </w:r>
          </w:p>
        </w:tc>
        <w:tc>
          <w:tcPr>
            <w:tcW w:w="1559" w:type="dxa"/>
          </w:tcPr>
          <w:p>
            <w:pPr>
              <w:pStyle w:val="yTable"/>
              <w:spacing w:after="40"/>
              <w:rPr>
                <w:spacing w:val="-2"/>
                <w:sz w:val="20"/>
              </w:rPr>
            </w:pPr>
            <w:r>
              <w:rPr>
                <w:spacing w:val="-2"/>
                <w:sz w:val="20"/>
              </w:rPr>
              <w:t>each</w:t>
            </w:r>
          </w:p>
        </w:tc>
        <w:tc>
          <w:tcPr>
            <w:tcW w:w="1045" w:type="dxa"/>
          </w:tcPr>
          <w:p>
            <w:pPr>
              <w:pStyle w:val="yTable"/>
              <w:spacing w:after="40"/>
              <w:jc w:val="right"/>
              <w:rPr>
                <w:spacing w:val="-2"/>
                <w:sz w:val="20"/>
              </w:rPr>
            </w:pPr>
            <w:r>
              <w:rPr>
                <w:sz w:val="20"/>
              </w:rPr>
              <w:t>$94.73</w:t>
            </w:r>
          </w:p>
        </w:tc>
      </w:tr>
      <w:tr>
        <w:tc>
          <w:tcPr>
            <w:tcW w:w="4297" w:type="dxa"/>
          </w:tcPr>
          <w:p>
            <w:pPr>
              <w:pStyle w:val="yTable"/>
              <w:spacing w:after="40"/>
              <w:rPr>
                <w:spacing w:val="-2"/>
                <w:sz w:val="20"/>
              </w:rPr>
            </w:pPr>
            <w:r>
              <w:rPr>
                <w:spacing w:val="-2"/>
                <w:sz w:val="20"/>
              </w:rPr>
              <w:t>Empty returns (other than T E U Containers)</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z w:val="20"/>
              </w:rPr>
              <w:t>$1.89</w:t>
            </w:r>
          </w:p>
        </w:tc>
      </w:tr>
      <w:tr>
        <w:tc>
          <w:tcPr>
            <w:tcW w:w="4297" w:type="dxa"/>
          </w:tcPr>
          <w:p>
            <w:pPr>
              <w:pStyle w:val="yTable"/>
              <w:spacing w:after="40"/>
              <w:rPr>
                <w:spacing w:val="-2"/>
                <w:sz w:val="20"/>
              </w:rPr>
            </w:pPr>
            <w:r>
              <w:rPr>
                <w:spacing w:val="-2"/>
                <w:sz w:val="20"/>
              </w:rPr>
              <w:t>Explosives</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z w:val="20"/>
              </w:rPr>
              <w:t>$3.26</w:t>
            </w:r>
          </w:p>
        </w:tc>
      </w:tr>
      <w:tr>
        <w:tc>
          <w:tcPr>
            <w:tcW w:w="4297" w:type="dxa"/>
          </w:tcPr>
          <w:p>
            <w:pPr>
              <w:pStyle w:val="yTable"/>
              <w:spacing w:after="40"/>
              <w:rPr>
                <w:spacing w:val="-2"/>
                <w:sz w:val="20"/>
              </w:rPr>
            </w:pPr>
            <w:r>
              <w:rPr>
                <w:spacing w:val="-2"/>
                <w:sz w:val="20"/>
              </w:rPr>
              <w:t>Fertiliser</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z w:val="20"/>
              </w:rPr>
              <w:t>$2.64</w:t>
            </w:r>
          </w:p>
        </w:tc>
      </w:tr>
      <w:tr>
        <w:tc>
          <w:tcPr>
            <w:tcW w:w="4297" w:type="dxa"/>
          </w:tcPr>
          <w:p>
            <w:pPr>
              <w:pStyle w:val="yTable"/>
              <w:spacing w:after="40"/>
              <w:rPr>
                <w:spacing w:val="-2"/>
                <w:sz w:val="20"/>
              </w:rPr>
            </w:pPr>
            <w:r>
              <w:rPr>
                <w:spacing w:val="-2"/>
                <w:sz w:val="20"/>
              </w:rPr>
              <w:t>Bullocks, cows, etc.</w:t>
            </w:r>
          </w:p>
        </w:tc>
        <w:tc>
          <w:tcPr>
            <w:tcW w:w="1559" w:type="dxa"/>
          </w:tcPr>
          <w:p>
            <w:pPr>
              <w:pStyle w:val="yTable"/>
              <w:spacing w:after="40"/>
              <w:rPr>
                <w:spacing w:val="-2"/>
                <w:sz w:val="20"/>
              </w:rPr>
            </w:pPr>
            <w:r>
              <w:rPr>
                <w:spacing w:val="-2"/>
                <w:sz w:val="20"/>
              </w:rPr>
              <w:t>each</w:t>
            </w:r>
          </w:p>
        </w:tc>
        <w:tc>
          <w:tcPr>
            <w:tcW w:w="1045" w:type="dxa"/>
          </w:tcPr>
          <w:p>
            <w:pPr>
              <w:pStyle w:val="yTable"/>
              <w:spacing w:after="40"/>
              <w:jc w:val="right"/>
              <w:rPr>
                <w:spacing w:val="-2"/>
                <w:sz w:val="20"/>
              </w:rPr>
            </w:pPr>
            <w:r>
              <w:rPr>
                <w:sz w:val="20"/>
              </w:rPr>
              <w:t>$1.89</w:t>
            </w:r>
          </w:p>
        </w:tc>
      </w:tr>
      <w:tr>
        <w:tc>
          <w:tcPr>
            <w:tcW w:w="4297" w:type="dxa"/>
          </w:tcPr>
          <w:p>
            <w:pPr>
              <w:pStyle w:val="yTable"/>
              <w:spacing w:after="40"/>
              <w:rPr>
                <w:spacing w:val="-2"/>
                <w:sz w:val="20"/>
              </w:rPr>
            </w:pPr>
            <w:r>
              <w:rPr>
                <w:spacing w:val="-2"/>
                <w:sz w:val="20"/>
              </w:rPr>
              <w:t>Pigs, sheep, goats and dogs</w:t>
            </w:r>
          </w:p>
        </w:tc>
        <w:tc>
          <w:tcPr>
            <w:tcW w:w="1559" w:type="dxa"/>
          </w:tcPr>
          <w:p>
            <w:pPr>
              <w:pStyle w:val="yTable"/>
              <w:spacing w:after="40"/>
              <w:rPr>
                <w:spacing w:val="-2"/>
                <w:sz w:val="20"/>
              </w:rPr>
            </w:pPr>
            <w:r>
              <w:rPr>
                <w:spacing w:val="-2"/>
                <w:sz w:val="20"/>
              </w:rPr>
              <w:t>each</w:t>
            </w:r>
          </w:p>
        </w:tc>
        <w:tc>
          <w:tcPr>
            <w:tcW w:w="1045" w:type="dxa"/>
          </w:tcPr>
          <w:p>
            <w:pPr>
              <w:pStyle w:val="yTable"/>
              <w:spacing w:after="40"/>
              <w:jc w:val="right"/>
              <w:rPr>
                <w:spacing w:val="-2"/>
                <w:sz w:val="20"/>
              </w:rPr>
            </w:pPr>
            <w:r>
              <w:rPr>
                <w:spacing w:val="-2"/>
                <w:sz w:val="20"/>
              </w:rPr>
              <w:t>$0.40</w:t>
            </w:r>
          </w:p>
        </w:tc>
      </w:tr>
      <w:tr>
        <w:tc>
          <w:tcPr>
            <w:tcW w:w="4297" w:type="dxa"/>
          </w:tcPr>
          <w:p>
            <w:pPr>
              <w:pStyle w:val="yTable"/>
              <w:spacing w:after="40"/>
              <w:rPr>
                <w:spacing w:val="-2"/>
                <w:sz w:val="20"/>
              </w:rPr>
            </w:pPr>
            <w:r>
              <w:rPr>
                <w:spacing w:val="-2"/>
                <w:sz w:val="20"/>
              </w:rPr>
              <w:t>Meat </w:t>
            </w:r>
            <w:r>
              <w:rPr>
                <w:i/>
                <w:snapToGrid w:val="0"/>
                <w:sz w:val="20"/>
              </w:rPr>
              <w:t>—</w:t>
            </w:r>
            <w:r>
              <w:rPr>
                <w:spacing w:val="-2"/>
                <w:sz w:val="20"/>
              </w:rPr>
              <w:t>  chilled or frozen</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z w:val="20"/>
              </w:rPr>
              <w:t>$3.11</w:t>
            </w:r>
          </w:p>
        </w:tc>
      </w:tr>
      <w:tr>
        <w:tc>
          <w:tcPr>
            <w:tcW w:w="4297" w:type="dxa"/>
          </w:tcPr>
          <w:p>
            <w:pPr>
              <w:pStyle w:val="yTable"/>
              <w:spacing w:after="40"/>
            </w:pPr>
            <w:r>
              <w:rPr>
                <w:spacing w:val="-2"/>
                <w:sz w:val="20"/>
              </w:rPr>
              <w:t>Bulk Products </w:t>
            </w:r>
            <w:r>
              <w:rPr>
                <w:i/>
                <w:snapToGrid w:val="0"/>
                <w:sz w:val="20"/>
              </w:rPr>
              <w:t>—</w:t>
            </w:r>
            <w:r>
              <w:rPr>
                <w:spacing w:val="-2"/>
                <w:sz w:val="20"/>
              </w:rPr>
              <w:t> </w:t>
            </w:r>
          </w:p>
          <w:p>
            <w:pPr>
              <w:pStyle w:val="yTable"/>
              <w:spacing w:after="40"/>
              <w:ind w:firstLine="220"/>
              <w:rPr>
                <w:spacing w:val="-2"/>
                <w:sz w:val="20"/>
              </w:rPr>
            </w:pPr>
            <w:r>
              <w:rPr>
                <w:spacing w:val="-2"/>
                <w:sz w:val="20"/>
              </w:rPr>
              <w:t>By pipeline</w:t>
            </w:r>
          </w:p>
        </w:tc>
        <w:tc>
          <w:tcPr>
            <w:tcW w:w="1559" w:type="dxa"/>
          </w:tcPr>
          <w:p>
            <w:pPr>
              <w:pStyle w:val="yTable"/>
              <w:spacing w:after="40"/>
              <w:ind w:left="340"/>
              <w:rPr>
                <w:spacing w:val="-2"/>
                <w:sz w:val="20"/>
              </w:rPr>
            </w:pPr>
          </w:p>
          <w:p>
            <w:pPr>
              <w:pStyle w:val="yTable"/>
              <w:spacing w:after="40"/>
              <w:rPr>
                <w:spacing w:val="-2"/>
                <w:sz w:val="20"/>
              </w:rPr>
            </w:pPr>
            <w:r>
              <w:rPr>
                <w:spacing w:val="-2"/>
                <w:sz w:val="20"/>
              </w:rPr>
              <w:t>per kilolitre</w:t>
            </w:r>
          </w:p>
        </w:tc>
        <w:tc>
          <w:tcPr>
            <w:tcW w:w="1045" w:type="dxa"/>
          </w:tcPr>
          <w:p>
            <w:pPr>
              <w:pStyle w:val="yTable"/>
              <w:spacing w:after="40"/>
              <w:ind w:left="340"/>
              <w:jc w:val="right"/>
              <w:rPr>
                <w:spacing w:val="-2"/>
                <w:sz w:val="20"/>
              </w:rPr>
            </w:pPr>
          </w:p>
          <w:p>
            <w:pPr>
              <w:pStyle w:val="yTable"/>
              <w:spacing w:after="40"/>
              <w:jc w:val="right"/>
              <w:rPr>
                <w:spacing w:val="-2"/>
                <w:sz w:val="20"/>
              </w:rPr>
            </w:pPr>
            <w:r>
              <w:rPr>
                <w:sz w:val="20"/>
              </w:rPr>
              <w:t>$8.05</w:t>
            </w:r>
          </w:p>
        </w:tc>
      </w:tr>
      <w:tr>
        <w:tc>
          <w:tcPr>
            <w:tcW w:w="4297" w:type="dxa"/>
          </w:tcPr>
          <w:p>
            <w:pPr>
              <w:pStyle w:val="yTable"/>
              <w:spacing w:after="40"/>
              <w:ind w:left="361" w:hanging="141"/>
              <w:rPr>
                <w:spacing w:val="-2"/>
                <w:sz w:val="20"/>
              </w:rPr>
            </w:pPr>
            <w:r>
              <w:rPr>
                <w:spacing w:val="-2"/>
                <w:sz w:val="20"/>
              </w:rPr>
              <w:t>By pipeline involving use of road tanker on jetty</w:t>
            </w:r>
          </w:p>
        </w:tc>
        <w:tc>
          <w:tcPr>
            <w:tcW w:w="1559" w:type="dxa"/>
          </w:tcPr>
          <w:p>
            <w:pPr>
              <w:pStyle w:val="yTable"/>
              <w:spacing w:after="40"/>
              <w:ind w:left="33" w:hanging="33"/>
              <w:rPr>
                <w:spacing w:val="-2"/>
                <w:sz w:val="20"/>
              </w:rPr>
            </w:pPr>
            <w:r>
              <w:rPr>
                <w:spacing w:val="-2"/>
                <w:sz w:val="20"/>
              </w:rPr>
              <w:t>per kilolitre</w:t>
            </w:r>
          </w:p>
        </w:tc>
        <w:tc>
          <w:tcPr>
            <w:tcW w:w="1045" w:type="dxa"/>
          </w:tcPr>
          <w:p>
            <w:pPr>
              <w:pStyle w:val="yTable"/>
              <w:spacing w:after="40"/>
              <w:jc w:val="right"/>
              <w:rPr>
                <w:spacing w:val="-2"/>
                <w:sz w:val="20"/>
              </w:rPr>
            </w:pPr>
            <w:r>
              <w:rPr>
                <w:sz w:val="20"/>
              </w:rPr>
              <w:t>$8.36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Bulk ore</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per tonne</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r>
              <w:rPr>
                <w:sz w:val="20"/>
              </w:rPr>
              <w:t>$2.59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Products of the soil of the State, except otherwise stated (exported)</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br/>
              <w:t>per tonne or m</w:t>
            </w:r>
            <w:r>
              <w:rPr>
                <w:spacing w:val="-2"/>
                <w:sz w:val="20"/>
                <w:vertAlign w:val="superscript"/>
              </w:rPr>
              <w:t>3</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r>
              <w:rPr>
                <w:spacing w:val="-2"/>
                <w:sz w:val="20"/>
              </w:rPr>
              <w:br/>
            </w:r>
            <w:r>
              <w:rPr>
                <w:sz w:val="20"/>
              </w:rPr>
              <w:t>$1.75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pageBreakBefore/>
              <w:spacing w:after="40"/>
              <w:rPr>
                <w:spacing w:val="-2"/>
                <w:sz w:val="20"/>
              </w:rPr>
            </w:pPr>
            <w:r>
              <w:rPr>
                <w:spacing w:val="-2"/>
                <w:sz w:val="20"/>
              </w:rPr>
              <w:t>Vehicles </w:t>
            </w:r>
            <w:r>
              <w:rPr>
                <w:i/>
                <w:snapToGrid w:val="0"/>
                <w:sz w:val="20"/>
              </w:rPr>
              <w:t>—</w:t>
            </w:r>
            <w:r>
              <w:rPr>
                <w:spacing w:val="-2"/>
                <w:sz w:val="20"/>
              </w:rPr>
              <w:t> </w:t>
            </w:r>
          </w:p>
          <w:p>
            <w:pPr>
              <w:pStyle w:val="yTable"/>
              <w:spacing w:after="40"/>
              <w:ind w:left="340" w:hanging="97"/>
              <w:rPr>
                <w:spacing w:val="-2"/>
                <w:sz w:val="20"/>
              </w:rPr>
            </w:pPr>
            <w:r>
              <w:rPr>
                <w:spacing w:val="-2"/>
                <w:sz w:val="20"/>
              </w:rPr>
              <w:t>Commercial vehicles on own wheels</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p>
          <w:p>
            <w:pPr>
              <w:pStyle w:val="yTable"/>
              <w:spacing w:after="40"/>
              <w:rPr>
                <w:spacing w:val="-2"/>
                <w:sz w:val="20"/>
              </w:rPr>
            </w:pPr>
            <w:r>
              <w:rPr>
                <w:spacing w:val="-2"/>
                <w:sz w:val="20"/>
              </w:rPr>
              <w:t>per tonne or m</w:t>
            </w:r>
            <w:r>
              <w:rPr>
                <w:spacing w:val="-2"/>
                <w:sz w:val="20"/>
                <w:vertAlign w:val="superscript"/>
              </w:rPr>
              <w:t>3</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p>
          <w:p>
            <w:pPr>
              <w:pStyle w:val="yTable"/>
              <w:spacing w:after="40"/>
              <w:jc w:val="right"/>
              <w:rPr>
                <w:spacing w:val="-2"/>
                <w:sz w:val="20"/>
              </w:rPr>
            </w:pPr>
            <w:r>
              <w:rPr>
                <w:sz w:val="20"/>
              </w:rPr>
              <w:t>$3.11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left w:val="single" w:sz="4" w:space="0" w:color="auto"/>
              <w:right w:val="single" w:sz="4" w:space="0" w:color="auto"/>
            </w:tcBorders>
          </w:tcPr>
          <w:p>
            <w:pPr>
              <w:pStyle w:val="yTable"/>
              <w:spacing w:after="40"/>
              <w:ind w:left="341" w:hanging="98"/>
              <w:rPr>
                <w:spacing w:val="-2"/>
                <w:sz w:val="20"/>
              </w:rPr>
            </w:pPr>
            <w:r>
              <w:rPr>
                <w:spacing w:val="-2"/>
                <w:sz w:val="20"/>
              </w:rPr>
              <w:t>Motor cars and utilities on own wheels</w:t>
            </w:r>
          </w:p>
        </w:tc>
        <w:tc>
          <w:tcPr>
            <w:tcW w:w="1559" w:type="dxa"/>
            <w:tcBorders>
              <w:left w:val="single" w:sz="4" w:space="0" w:color="auto"/>
              <w:right w:val="single" w:sz="4" w:space="0" w:color="auto"/>
            </w:tcBorders>
          </w:tcPr>
          <w:p>
            <w:pPr>
              <w:pStyle w:val="yTable"/>
              <w:spacing w:after="40"/>
              <w:rPr>
                <w:spacing w:val="-2"/>
                <w:sz w:val="20"/>
              </w:rPr>
            </w:pPr>
            <w:r>
              <w:rPr>
                <w:spacing w:val="-2"/>
                <w:sz w:val="20"/>
              </w:rPr>
              <w:t>per tonne or m</w:t>
            </w:r>
            <w:r>
              <w:rPr>
                <w:spacing w:val="-2"/>
                <w:sz w:val="20"/>
                <w:vertAlign w:val="superscript"/>
              </w:rPr>
              <w:t>3</w:t>
            </w:r>
          </w:p>
        </w:tc>
        <w:tc>
          <w:tcPr>
            <w:tcW w:w="1045" w:type="dxa"/>
            <w:tcBorders>
              <w:left w:val="single" w:sz="4" w:space="0" w:color="auto"/>
              <w:right w:val="single" w:sz="4" w:space="0" w:color="auto"/>
            </w:tcBorders>
          </w:tcPr>
          <w:p>
            <w:pPr>
              <w:pStyle w:val="yTable"/>
              <w:spacing w:after="40"/>
              <w:jc w:val="right"/>
              <w:rPr>
                <w:spacing w:val="-2"/>
                <w:sz w:val="20"/>
              </w:rPr>
            </w:pPr>
            <w:r>
              <w:rPr>
                <w:sz w:val="20"/>
              </w:rPr>
              <w:t>$2.99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right w:val="single" w:sz="4" w:space="0" w:color="auto"/>
            </w:tcBorders>
          </w:tcPr>
          <w:p>
            <w:pPr>
              <w:pStyle w:val="yTable"/>
              <w:spacing w:after="40"/>
              <w:ind w:left="-41"/>
              <w:rPr>
                <w:spacing w:val="-2"/>
                <w:sz w:val="20"/>
              </w:rPr>
            </w:pPr>
            <w:r>
              <w:rPr>
                <w:spacing w:val="-2"/>
                <w:sz w:val="20"/>
              </w:rPr>
              <w:t>Other cargo </w:t>
            </w:r>
            <w:r>
              <w:rPr>
                <w:i/>
                <w:snapToGrid w:val="0"/>
                <w:sz w:val="20"/>
              </w:rPr>
              <w:t>—</w:t>
            </w:r>
            <w:r>
              <w:rPr>
                <w:spacing w:val="-2"/>
                <w:sz w:val="20"/>
              </w:rPr>
              <w:t> </w:t>
            </w:r>
          </w:p>
          <w:p>
            <w:pPr>
              <w:pStyle w:val="yTable"/>
              <w:spacing w:after="40"/>
              <w:ind w:left="340" w:hanging="97"/>
              <w:rPr>
                <w:spacing w:val="-2"/>
                <w:sz w:val="20"/>
              </w:rPr>
            </w:pPr>
            <w:r>
              <w:rPr>
                <w:spacing w:val="-2"/>
                <w:sz w:val="20"/>
              </w:rPr>
              <w:t>General cargo</w:t>
            </w:r>
          </w:p>
        </w:tc>
        <w:tc>
          <w:tcPr>
            <w:tcW w:w="1559" w:type="dxa"/>
            <w:tcBorders>
              <w:top w:val="single" w:sz="4" w:space="0" w:color="auto"/>
              <w:left w:val="single" w:sz="4" w:space="0" w:color="auto"/>
              <w:right w:val="single" w:sz="4" w:space="0" w:color="auto"/>
            </w:tcBorders>
          </w:tcPr>
          <w:p>
            <w:pPr>
              <w:pStyle w:val="yTable"/>
              <w:spacing w:after="40"/>
              <w:rPr>
                <w:spacing w:val="-2"/>
                <w:sz w:val="20"/>
              </w:rPr>
            </w:pPr>
          </w:p>
          <w:p>
            <w:pPr>
              <w:pStyle w:val="yTable"/>
              <w:spacing w:after="40"/>
              <w:rPr>
                <w:spacing w:val="-2"/>
                <w:sz w:val="20"/>
              </w:rPr>
            </w:pPr>
            <w:r>
              <w:rPr>
                <w:spacing w:val="-2"/>
                <w:sz w:val="20"/>
              </w:rPr>
              <w:t>per tonne or m</w:t>
            </w:r>
            <w:r>
              <w:rPr>
                <w:spacing w:val="-2"/>
                <w:sz w:val="20"/>
                <w:vertAlign w:val="superscript"/>
              </w:rPr>
              <w:t>3</w:t>
            </w:r>
          </w:p>
        </w:tc>
        <w:tc>
          <w:tcPr>
            <w:tcW w:w="1045" w:type="dxa"/>
            <w:tcBorders>
              <w:top w:val="single" w:sz="4" w:space="0" w:color="auto"/>
              <w:left w:val="single" w:sz="4" w:space="0" w:color="auto"/>
              <w:right w:val="single" w:sz="4" w:space="0" w:color="auto"/>
            </w:tcBorders>
          </w:tcPr>
          <w:p>
            <w:pPr>
              <w:pStyle w:val="yTable"/>
              <w:spacing w:after="40"/>
              <w:jc w:val="right"/>
              <w:rPr>
                <w:spacing w:val="-2"/>
                <w:sz w:val="20"/>
              </w:rPr>
            </w:pPr>
          </w:p>
          <w:p>
            <w:pPr>
              <w:pStyle w:val="yTable"/>
              <w:spacing w:after="40"/>
              <w:jc w:val="right"/>
              <w:rPr>
                <w:spacing w:val="-2"/>
                <w:sz w:val="20"/>
              </w:rPr>
            </w:pPr>
            <w:r>
              <w:rPr>
                <w:spacing w:val="-2"/>
                <w:sz w:val="20"/>
              </w:rPr>
              <w:t>$5.13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Recreational vessels</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per metre</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r>
              <w:rPr>
                <w:spacing w:val="-2"/>
                <w:sz w:val="20"/>
              </w:rPr>
              <w:t>$11.75</w:t>
            </w:r>
          </w:p>
        </w:tc>
      </w:tr>
    </w:tbl>
    <w:p>
      <w:pPr>
        <w:pStyle w:val="yMiscellaneousBody"/>
        <w:rPr>
          <w:snapToGrid w:val="0"/>
        </w:rPr>
      </w:pPr>
      <w:r>
        <w:rPr>
          <w:snapToGrid w:val="0"/>
        </w:rPr>
        <w:t>Notes:</w:t>
      </w:r>
    </w:p>
    <w:p>
      <w:pPr>
        <w:pStyle w:val="yNumberedItem"/>
      </w:pPr>
      <w:r>
        <w:t>1.</w:t>
      </w:r>
      <w:r>
        <w:tab/>
        <w:t>The empty rate relates only to containers used in connection with the carriage of cargo through the port.</w:t>
      </w:r>
    </w:p>
    <w:p>
      <w:pPr>
        <w:pStyle w:val="yNumberedItem"/>
      </w:pPr>
      <w:r>
        <w:t>2.</w:t>
      </w:r>
      <w:r>
        <w:tab/>
        <w:t>Charges for any unspecified services are dependent on the type of service.</w:t>
      </w:r>
    </w:p>
    <w:p>
      <w:pPr>
        <w:pStyle w:val="yNumberedItem"/>
      </w:pPr>
      <w:r>
        <w:t>3.</w:t>
      </w:r>
      <w:r>
        <w:tab/>
        <w:t>Under regulation 13, the Port Manager may make extra charges for handling packages over one tonne in weight, or of an exceptional shape, or where extra labour is required or unusual risk is involved.</w:t>
      </w:r>
    </w:p>
    <w:p>
      <w:pPr>
        <w:pStyle w:val="yNumberedItem"/>
      </w:pPr>
      <w:r>
        <w:t>4.</w:t>
      </w:r>
      <w:r>
        <w:tab/>
        <w:t>Under regulation 35, the Port Manager may make an extra charge if insufficiently packed goods involve additional labour or risk.</w:t>
      </w:r>
    </w:p>
    <w:p>
      <w:pPr>
        <w:pStyle w:val="yHeading4"/>
      </w:pPr>
      <w:bookmarkStart w:id="838" w:name="_Toc139101832"/>
      <w:bookmarkStart w:id="839" w:name="_Toc139102017"/>
      <w:bookmarkStart w:id="840" w:name="_Toc139443365"/>
      <w:r>
        <w:t>Subdivision 2</w:t>
      </w:r>
      <w:r>
        <w:rPr>
          <w:b w:val="0"/>
        </w:rPr>
        <w:t> — </w:t>
      </w:r>
      <w:r>
        <w:t>Bremer Bay</w:t>
      </w:r>
      <w:bookmarkEnd w:id="838"/>
      <w:bookmarkEnd w:id="839"/>
      <w:bookmarkEnd w:id="840"/>
    </w:p>
    <w:p>
      <w:pPr>
        <w:pStyle w:val="yFootnoteheading"/>
      </w:pPr>
      <w:r>
        <w:tab/>
        <w:t>[Heading inserted in Gazette 24 Jun 2005 p. 2820.]</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738"/>
      </w:tblGrid>
      <w:tr>
        <w:trPr>
          <w:cantSplit/>
        </w:trPr>
        <w:tc>
          <w:tcPr>
            <w:tcW w:w="3177" w:type="dxa"/>
          </w:tcPr>
          <w:p>
            <w:pPr>
              <w:pStyle w:val="yTable"/>
              <w:keepNext/>
              <w:keepLines/>
              <w:spacing w:after="40"/>
              <w:rPr>
                <w:b/>
                <w:spacing w:val="-2"/>
                <w:sz w:val="20"/>
              </w:rPr>
            </w:pPr>
            <w:r>
              <w:rPr>
                <w:b/>
                <w:spacing w:val="-2"/>
                <w:sz w:val="20"/>
              </w:rPr>
              <w:t>Fishing Product Wharfage Fee —</w:t>
            </w:r>
          </w:p>
        </w:tc>
        <w:tc>
          <w:tcPr>
            <w:tcW w:w="3738" w:type="dxa"/>
          </w:tcPr>
          <w:p>
            <w:pPr>
              <w:pStyle w:val="yTable"/>
              <w:keepNext/>
              <w:keepLines/>
              <w:spacing w:after="40"/>
              <w:rPr>
                <w:spacing w:val="-2"/>
                <w:sz w:val="20"/>
              </w:rPr>
            </w:pPr>
          </w:p>
        </w:tc>
      </w:tr>
      <w:tr>
        <w:trPr>
          <w:cantSplit/>
        </w:trPr>
        <w:tc>
          <w:tcPr>
            <w:tcW w:w="3177" w:type="dxa"/>
          </w:tcPr>
          <w:p>
            <w:pPr>
              <w:pStyle w:val="yTable"/>
              <w:spacing w:after="40"/>
              <w:ind w:left="342" w:hanging="142"/>
              <w:rPr>
                <w:spacing w:val="-2"/>
                <w:sz w:val="20"/>
              </w:rPr>
            </w:pPr>
            <w:r>
              <w:rPr>
                <w:spacing w:val="-2"/>
                <w:sz w:val="20"/>
              </w:rPr>
              <w:t>products other than purse seine</w:t>
            </w:r>
          </w:p>
        </w:tc>
        <w:tc>
          <w:tcPr>
            <w:tcW w:w="3738" w:type="dxa"/>
          </w:tcPr>
          <w:p>
            <w:pPr>
              <w:pStyle w:val="yTable"/>
              <w:spacing w:after="40"/>
              <w:rPr>
                <w:spacing w:val="-2"/>
                <w:sz w:val="20"/>
              </w:rPr>
            </w:pPr>
            <w:r>
              <w:rPr>
                <w:sz w:val="20"/>
              </w:rPr>
              <w:t>$24.56</w:t>
            </w:r>
            <w:r>
              <w:rPr>
                <w:spacing w:val="-2"/>
                <w:sz w:val="20"/>
              </w:rPr>
              <w:t>/t</w:t>
            </w:r>
          </w:p>
        </w:tc>
      </w:tr>
      <w:tr>
        <w:trPr>
          <w:cantSplit/>
        </w:trPr>
        <w:tc>
          <w:tcPr>
            <w:tcW w:w="3177" w:type="dxa"/>
          </w:tcPr>
          <w:p>
            <w:pPr>
              <w:pStyle w:val="yTable"/>
              <w:spacing w:after="40"/>
              <w:ind w:left="200"/>
              <w:rPr>
                <w:spacing w:val="-2"/>
                <w:sz w:val="20"/>
              </w:rPr>
            </w:pPr>
            <w:r>
              <w:rPr>
                <w:spacing w:val="-2"/>
                <w:sz w:val="20"/>
              </w:rPr>
              <w:t>purse seine products where allocated quota for region is —</w:t>
            </w:r>
          </w:p>
        </w:tc>
        <w:tc>
          <w:tcPr>
            <w:tcW w:w="3738" w:type="dxa"/>
          </w:tcPr>
          <w:p>
            <w:pPr>
              <w:pStyle w:val="yTable"/>
              <w:spacing w:after="40"/>
              <w:rPr>
                <w:spacing w:val="-2"/>
                <w:sz w:val="20"/>
              </w:rPr>
            </w:pPr>
          </w:p>
        </w:tc>
      </w:tr>
      <w:tr>
        <w:trPr>
          <w:cantSplit/>
        </w:trPr>
        <w:tc>
          <w:tcPr>
            <w:tcW w:w="3177" w:type="dxa"/>
          </w:tcPr>
          <w:p>
            <w:pPr>
              <w:pStyle w:val="yTable"/>
              <w:spacing w:after="40"/>
              <w:ind w:left="483"/>
              <w:rPr>
                <w:spacing w:val="-2"/>
                <w:sz w:val="20"/>
              </w:rPr>
            </w:pPr>
            <w:r>
              <w:rPr>
                <w:spacing w:val="-2"/>
                <w:sz w:val="20"/>
              </w:rPr>
              <w:t>less than 1 500 tonnes</w:t>
            </w:r>
          </w:p>
        </w:tc>
        <w:tc>
          <w:tcPr>
            <w:tcW w:w="3738" w:type="dxa"/>
          </w:tcPr>
          <w:p>
            <w:pPr>
              <w:pStyle w:val="yTable"/>
              <w:spacing w:after="40"/>
              <w:rPr>
                <w:spacing w:val="-2"/>
                <w:sz w:val="20"/>
              </w:rPr>
            </w:pPr>
            <w:r>
              <w:rPr>
                <w:sz w:val="20"/>
              </w:rPr>
              <w:t>$12.28</w:t>
            </w:r>
            <w:r>
              <w:rPr>
                <w:spacing w:val="-2"/>
                <w:sz w:val="20"/>
              </w:rPr>
              <w:t>/t</w:t>
            </w:r>
          </w:p>
        </w:tc>
      </w:tr>
      <w:tr>
        <w:trPr>
          <w:cantSplit/>
        </w:trPr>
        <w:tc>
          <w:tcPr>
            <w:tcW w:w="3177" w:type="dxa"/>
            <w:tcBorders>
              <w:bottom w:val="nil"/>
            </w:tcBorders>
          </w:tcPr>
          <w:p>
            <w:pPr>
              <w:pStyle w:val="yTable"/>
              <w:ind w:left="483"/>
              <w:rPr>
                <w:spacing w:val="-2"/>
                <w:sz w:val="20"/>
              </w:rPr>
            </w:pPr>
            <w:r>
              <w:rPr>
                <w:spacing w:val="-2"/>
                <w:sz w:val="20"/>
              </w:rPr>
              <w:t xml:space="preserve">over 1 500, but less than 2 000, tonnes </w:t>
            </w:r>
          </w:p>
        </w:tc>
        <w:tc>
          <w:tcPr>
            <w:tcW w:w="3738" w:type="dxa"/>
            <w:tcBorders>
              <w:bottom w:val="nil"/>
            </w:tcBorders>
          </w:tcPr>
          <w:p>
            <w:pPr>
              <w:pStyle w:val="yTable"/>
              <w:rPr>
                <w:spacing w:val="-2"/>
                <w:sz w:val="20"/>
              </w:rPr>
            </w:pPr>
            <w:r>
              <w:rPr>
                <w:spacing w:val="-2"/>
                <w:sz w:val="20"/>
              </w:rPr>
              <w:br/>
            </w:r>
            <w:r>
              <w:rPr>
                <w:sz w:val="20"/>
              </w:rPr>
              <w:t>$18.43</w:t>
            </w:r>
            <w:r>
              <w:rPr>
                <w:spacing w:val="-2"/>
                <w:sz w:val="20"/>
              </w:rPr>
              <w:t>/t</w:t>
            </w:r>
          </w:p>
        </w:tc>
      </w:tr>
      <w:tr>
        <w:tblPrEx>
          <w:tblBorders>
            <w:bottom w:val="double" w:sz="4" w:space="0" w:color="auto"/>
          </w:tblBorders>
          <w:tblCellMar>
            <w:left w:w="108" w:type="dxa"/>
            <w:right w:w="108" w:type="dxa"/>
          </w:tblCellMar>
        </w:tblPrEx>
        <w:trPr>
          <w:cantSplit/>
        </w:trPr>
        <w:tc>
          <w:tcPr>
            <w:tcW w:w="3177" w:type="dxa"/>
            <w:tcBorders>
              <w:bottom w:val="nil"/>
            </w:tcBorders>
          </w:tcPr>
          <w:p>
            <w:pPr>
              <w:pStyle w:val="yTable"/>
              <w:ind w:left="482"/>
              <w:rPr>
                <w:sz w:val="20"/>
              </w:rPr>
            </w:pPr>
            <w:r>
              <w:rPr>
                <w:sz w:val="20"/>
              </w:rPr>
              <w:t xml:space="preserve">2 000 </w:t>
            </w:r>
            <w:r>
              <w:rPr>
                <w:spacing w:val="-2"/>
                <w:sz w:val="20"/>
              </w:rPr>
              <w:t>tonnes</w:t>
            </w:r>
            <w:r>
              <w:rPr>
                <w:sz w:val="20"/>
              </w:rPr>
              <w:t xml:space="preserve"> or over</w:t>
            </w:r>
          </w:p>
        </w:tc>
        <w:tc>
          <w:tcPr>
            <w:tcW w:w="3738" w:type="dxa"/>
            <w:tcBorders>
              <w:bottom w:val="nil"/>
            </w:tcBorders>
          </w:tcPr>
          <w:p>
            <w:pPr>
              <w:pStyle w:val="yTable"/>
              <w:rPr>
                <w:sz w:val="20"/>
              </w:rPr>
            </w:pPr>
            <w:r>
              <w:rPr>
                <w:sz w:val="20"/>
              </w:rPr>
              <w:t>$24.56/t</w:t>
            </w:r>
          </w:p>
        </w:tc>
      </w:tr>
      <w:tr>
        <w:tblPrEx>
          <w:tblBorders>
            <w:bottom w:val="double" w:sz="4" w:space="0" w:color="auto"/>
          </w:tblBorders>
          <w:tblCellMar>
            <w:left w:w="108" w:type="dxa"/>
            <w:right w:w="108" w:type="dxa"/>
          </w:tblCellMar>
        </w:tblPrEx>
        <w:trPr>
          <w:cantSplit/>
        </w:trPr>
        <w:tc>
          <w:tcPr>
            <w:tcW w:w="3177" w:type="dxa"/>
            <w:tcBorders>
              <w:bottom w:val="single" w:sz="4" w:space="0" w:color="auto"/>
            </w:tcBorders>
          </w:tcPr>
          <w:p>
            <w:pPr>
              <w:pStyle w:val="yTable"/>
              <w:spacing w:after="40"/>
              <w:rPr>
                <w:sz w:val="20"/>
              </w:rPr>
            </w:pPr>
            <w:r>
              <w:rPr>
                <w:b/>
                <w:sz w:val="20"/>
              </w:rPr>
              <w:t>General Cargo Wharfage Fee</w:t>
            </w:r>
            <w:r>
              <w:rPr>
                <w:sz w:val="20"/>
              </w:rPr>
              <w:t xml:space="preserve"> </w:t>
            </w:r>
            <w:r>
              <w:rPr>
                <w:sz w:val="20"/>
              </w:rPr>
              <w:br/>
              <w:t>(fish bait exempt)</w:t>
            </w:r>
          </w:p>
        </w:tc>
        <w:tc>
          <w:tcPr>
            <w:tcW w:w="3738" w:type="dxa"/>
            <w:tcBorders>
              <w:bottom w:val="single" w:sz="4" w:space="0" w:color="auto"/>
            </w:tcBorders>
          </w:tcPr>
          <w:p>
            <w:pPr>
              <w:pStyle w:val="yTable"/>
              <w:spacing w:after="40"/>
              <w:rPr>
                <w:sz w:val="20"/>
                <w:vertAlign w:val="superscript"/>
              </w:rPr>
            </w:pPr>
            <w:r>
              <w:rPr>
                <w:sz w:val="20"/>
              </w:rPr>
              <w:br/>
              <w:t>$24.56/t or m</w:t>
            </w:r>
            <w:r>
              <w:rPr>
                <w:sz w:val="20"/>
                <w:vertAlign w:val="superscript"/>
              </w:rPr>
              <w:t>3</w:t>
            </w:r>
          </w:p>
        </w:tc>
      </w:tr>
    </w:tbl>
    <w:p>
      <w:pPr>
        <w:pStyle w:val="yNumberedItem"/>
        <w:rPr>
          <w:snapToGrid w:val="0"/>
        </w:rPr>
      </w:pPr>
      <w:r>
        <w:rPr>
          <w:snapToGrid w:val="0"/>
        </w:rPr>
        <w:t>Note:</w:t>
      </w:r>
      <w:r>
        <w:rPr>
          <w:snapToGrid w:val="0"/>
        </w:rPr>
        <w:tab/>
        <w:t>If this charge is paid due to the loading or unloading of fishing product, then no casual berthing fee is payable (see Schedule 4 Division 1).  This charge is payable in addition to mooring fees.</w:t>
      </w:r>
    </w:p>
    <w:p>
      <w:pPr>
        <w:pStyle w:val="yHeading4"/>
      </w:pPr>
      <w:bookmarkStart w:id="841" w:name="_Toc139101833"/>
      <w:bookmarkStart w:id="842" w:name="_Toc139102018"/>
      <w:bookmarkStart w:id="843" w:name="_Toc139443366"/>
      <w:r>
        <w:t>Subdivision 3</w:t>
      </w:r>
      <w:r>
        <w:rPr>
          <w:b w:val="0"/>
        </w:rPr>
        <w:t> — </w:t>
      </w:r>
      <w:r>
        <w:t>Exmouth</w:t>
      </w:r>
      <w:bookmarkEnd w:id="841"/>
      <w:bookmarkEnd w:id="842"/>
      <w:bookmarkEnd w:id="843"/>
    </w:p>
    <w:p>
      <w:pPr>
        <w:pStyle w:val="yFootnoteheading"/>
      </w:pPr>
      <w:r>
        <w:tab/>
        <w:t>[Heading inserted in Gazette 24 Jun 2005 p. 2821.]</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24"/>
      </w:tblGrid>
      <w:tr>
        <w:tc>
          <w:tcPr>
            <w:tcW w:w="3163" w:type="dxa"/>
          </w:tcPr>
          <w:p>
            <w:pPr>
              <w:pStyle w:val="yTable"/>
              <w:spacing w:after="40"/>
              <w:ind w:left="342" w:hanging="342"/>
              <w:rPr>
                <w:b/>
                <w:spacing w:val="-2"/>
                <w:sz w:val="20"/>
              </w:rPr>
            </w:pPr>
            <w:r>
              <w:rPr>
                <w:b/>
                <w:spacing w:val="-2"/>
                <w:sz w:val="20"/>
              </w:rPr>
              <w:t>General Cargo Wharfage Charge</w:t>
            </w:r>
          </w:p>
        </w:tc>
        <w:tc>
          <w:tcPr>
            <w:tcW w:w="3724" w:type="dxa"/>
          </w:tcPr>
          <w:p>
            <w:pPr>
              <w:pStyle w:val="yTable"/>
              <w:spacing w:after="40"/>
              <w:rPr>
                <w:spacing w:val="-2"/>
                <w:sz w:val="20"/>
              </w:rPr>
            </w:pPr>
          </w:p>
        </w:tc>
      </w:tr>
      <w:tr>
        <w:tc>
          <w:tcPr>
            <w:tcW w:w="3163" w:type="dxa"/>
          </w:tcPr>
          <w:p>
            <w:pPr>
              <w:pStyle w:val="yTable"/>
              <w:spacing w:after="40"/>
              <w:ind w:left="342" w:firstLine="4"/>
              <w:rPr>
                <w:spacing w:val="-2"/>
                <w:sz w:val="20"/>
              </w:rPr>
            </w:pPr>
            <w:r>
              <w:rPr>
                <w:spacing w:val="-2"/>
                <w:sz w:val="20"/>
              </w:rPr>
              <w:t>At service wharf —</w:t>
            </w:r>
          </w:p>
        </w:tc>
        <w:tc>
          <w:tcPr>
            <w:tcW w:w="3724" w:type="dxa"/>
          </w:tcPr>
          <w:p>
            <w:pPr>
              <w:pStyle w:val="yTable"/>
              <w:spacing w:after="40"/>
              <w:rPr>
                <w:spacing w:val="-2"/>
                <w:sz w:val="20"/>
              </w:rPr>
            </w:pPr>
          </w:p>
        </w:tc>
      </w:tr>
      <w:tr>
        <w:tc>
          <w:tcPr>
            <w:tcW w:w="3163" w:type="dxa"/>
            <w:tcBorders>
              <w:bottom w:val="nil"/>
            </w:tcBorders>
          </w:tcPr>
          <w:p>
            <w:pPr>
              <w:pStyle w:val="yTable"/>
              <w:spacing w:after="40"/>
              <w:ind w:left="765" w:firstLine="6"/>
              <w:rPr>
                <w:spacing w:val="-2"/>
                <w:sz w:val="20"/>
              </w:rPr>
            </w:pPr>
            <w:r>
              <w:rPr>
                <w:spacing w:val="-2"/>
                <w:sz w:val="20"/>
              </w:rPr>
              <w:t>Cargo</w:t>
            </w:r>
          </w:p>
        </w:tc>
        <w:tc>
          <w:tcPr>
            <w:tcW w:w="3724" w:type="dxa"/>
            <w:tcBorders>
              <w:bottom w:val="nil"/>
            </w:tcBorders>
          </w:tcPr>
          <w:p>
            <w:pPr>
              <w:pStyle w:val="yTable"/>
              <w:spacing w:after="40"/>
              <w:rPr>
                <w:spacing w:val="-2"/>
                <w:vertAlign w:val="superscript"/>
              </w:rPr>
            </w:pPr>
            <w:r>
              <w:rPr>
                <w:spacing w:val="-2"/>
                <w:sz w:val="20"/>
              </w:rPr>
              <w:t>$5.06/t or m</w:t>
            </w:r>
            <w:r>
              <w:rPr>
                <w:spacing w:val="-2"/>
                <w:sz w:val="20"/>
                <w:vertAlign w:val="superscript"/>
              </w:rPr>
              <w:t>3</w:t>
            </w:r>
          </w:p>
        </w:tc>
      </w:tr>
      <w:tr>
        <w:tc>
          <w:tcPr>
            <w:tcW w:w="3163" w:type="dxa"/>
            <w:tcBorders>
              <w:bottom w:val="nil"/>
            </w:tcBorders>
          </w:tcPr>
          <w:p>
            <w:pPr>
              <w:pStyle w:val="yTable"/>
              <w:spacing w:after="40"/>
              <w:ind w:left="765" w:firstLine="6"/>
              <w:rPr>
                <w:spacing w:val="-2"/>
                <w:sz w:val="20"/>
              </w:rPr>
            </w:pPr>
            <w:r>
              <w:rPr>
                <w:spacing w:val="-2"/>
                <w:sz w:val="20"/>
              </w:rPr>
              <w:t>if vessel lifted</w:t>
            </w:r>
          </w:p>
        </w:tc>
        <w:tc>
          <w:tcPr>
            <w:tcW w:w="3724" w:type="dxa"/>
            <w:tcBorders>
              <w:bottom w:val="nil"/>
            </w:tcBorders>
          </w:tcPr>
          <w:p>
            <w:pPr>
              <w:pStyle w:val="yTable"/>
              <w:spacing w:after="40"/>
            </w:pPr>
            <w:r>
              <w:rPr>
                <w:sz w:val="20"/>
              </w:rPr>
              <w:t>$11.40</w:t>
            </w:r>
            <w:r>
              <w:rPr>
                <w:spacing w:val="-2"/>
                <w:sz w:val="20"/>
              </w:rPr>
              <w:t>/m x length of vessel</w:t>
            </w:r>
          </w:p>
        </w:tc>
      </w:tr>
      <w:tr>
        <w:tc>
          <w:tcPr>
            <w:tcW w:w="3163" w:type="dxa"/>
            <w:tcBorders>
              <w:bottom w:val="single" w:sz="4" w:space="0" w:color="auto"/>
            </w:tcBorders>
          </w:tcPr>
          <w:p>
            <w:pPr>
              <w:pStyle w:val="yTable"/>
              <w:spacing w:after="40"/>
              <w:ind w:left="342" w:firstLine="4"/>
              <w:rPr>
                <w:spacing w:val="-2"/>
                <w:sz w:val="20"/>
              </w:rPr>
            </w:pPr>
            <w:r>
              <w:rPr>
                <w:spacing w:val="-2"/>
                <w:sz w:val="20"/>
              </w:rPr>
              <w:t>Over beach or ramp operation</w:t>
            </w:r>
          </w:p>
        </w:tc>
        <w:tc>
          <w:tcPr>
            <w:tcW w:w="3724" w:type="dxa"/>
            <w:tcBorders>
              <w:bottom w:val="single" w:sz="4" w:space="0" w:color="auto"/>
            </w:tcBorders>
          </w:tcPr>
          <w:p>
            <w:pPr>
              <w:pStyle w:val="yTable"/>
              <w:spacing w:after="40"/>
              <w:rPr>
                <w:spacing w:val="-2"/>
                <w:vertAlign w:val="superscript"/>
              </w:rPr>
            </w:pPr>
            <w:r>
              <w:rPr>
                <w:sz w:val="20"/>
              </w:rPr>
              <w:t>$3.79</w:t>
            </w:r>
            <w:r>
              <w:rPr>
                <w:spacing w:val="-2"/>
                <w:sz w:val="20"/>
              </w:rPr>
              <w:t>/t or m</w:t>
            </w:r>
            <w:r>
              <w:rPr>
                <w:spacing w:val="-2"/>
                <w:sz w:val="20"/>
                <w:vertAlign w:val="superscript"/>
              </w:rPr>
              <w:t>3</w:t>
            </w:r>
          </w:p>
        </w:tc>
      </w:tr>
    </w:tbl>
    <w:p>
      <w:pPr>
        <w:pStyle w:val="yFootnotesection"/>
      </w:pPr>
      <w:r>
        <w:tab/>
        <w:t>[Division 2 inserted in Gazette 24 Jun 2005 p. 2819-21; amended in Gazette 23 Jun 2006 p. 2194</w:t>
      </w:r>
      <w:r>
        <w:noBreakHyphen/>
        <w:t>5.]</w:t>
      </w:r>
    </w:p>
    <w:p>
      <w:pPr>
        <w:pStyle w:val="yHeading3"/>
      </w:pPr>
      <w:bookmarkStart w:id="844" w:name="_Toc139101834"/>
      <w:bookmarkStart w:id="845" w:name="_Toc139102019"/>
      <w:bookmarkStart w:id="846" w:name="_Toc139443367"/>
      <w:r>
        <w:rPr>
          <w:rStyle w:val="CharSDivNo"/>
        </w:rPr>
        <w:t>Division 3</w:t>
      </w:r>
      <w:r>
        <w:rPr>
          <w:b w:val="0"/>
        </w:rPr>
        <w:t> — </w:t>
      </w:r>
      <w:r>
        <w:rPr>
          <w:rStyle w:val="CharSDivText"/>
        </w:rPr>
        <w:t>Transhipment charges at Wyndham</w:t>
      </w:r>
      <w:bookmarkEnd w:id="844"/>
      <w:bookmarkEnd w:id="845"/>
      <w:bookmarkEnd w:id="846"/>
    </w:p>
    <w:p>
      <w:pPr>
        <w:pStyle w:val="yShoulderClause"/>
      </w:pPr>
      <w:r>
        <w:t>[r. 11]</w:t>
      </w:r>
    </w:p>
    <w:p>
      <w:pPr>
        <w:pStyle w:val="yFootnoteheading"/>
      </w:pPr>
      <w:r>
        <w:tab/>
        <w:t>[Heading inserted in Gazette 24 Jun 2005 p. 2821.]</w:t>
      </w:r>
    </w:p>
    <w:tbl>
      <w:tblPr>
        <w:tblW w:w="0" w:type="auto"/>
        <w:tblInd w:w="183"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411"/>
        <w:gridCol w:w="2476"/>
      </w:tblGrid>
      <w:tr>
        <w:tc>
          <w:tcPr>
            <w:tcW w:w="4411" w:type="dxa"/>
          </w:tcPr>
          <w:p>
            <w:pPr>
              <w:pStyle w:val="yTable"/>
              <w:spacing w:after="40"/>
              <w:rPr>
                <w:spacing w:val="-2"/>
                <w:sz w:val="20"/>
              </w:rPr>
            </w:pPr>
            <w:r>
              <w:rPr>
                <w:spacing w:val="-2"/>
                <w:sz w:val="20"/>
              </w:rPr>
              <w:t>For Cargo — </w:t>
            </w:r>
          </w:p>
        </w:tc>
        <w:tc>
          <w:tcPr>
            <w:tcW w:w="2476" w:type="dxa"/>
          </w:tcPr>
          <w:p>
            <w:pPr>
              <w:pStyle w:val="yTable"/>
              <w:spacing w:after="40"/>
              <w:rPr>
                <w:spacing w:val="-2"/>
                <w:sz w:val="20"/>
              </w:rPr>
            </w:pPr>
          </w:p>
        </w:tc>
      </w:tr>
      <w:tr>
        <w:tc>
          <w:tcPr>
            <w:tcW w:w="4411" w:type="dxa"/>
            <w:tcBorders>
              <w:bottom w:val="nil"/>
            </w:tcBorders>
          </w:tcPr>
          <w:p>
            <w:pPr>
              <w:pStyle w:val="yTable"/>
              <w:spacing w:after="40"/>
              <w:ind w:left="482"/>
              <w:rPr>
                <w:spacing w:val="-2"/>
                <w:sz w:val="20"/>
              </w:rPr>
            </w:pPr>
            <w:r>
              <w:rPr>
                <w:spacing w:val="-2"/>
                <w:sz w:val="20"/>
              </w:rPr>
              <w:t>loaded over the side onto another vessel</w:t>
            </w:r>
          </w:p>
        </w:tc>
        <w:tc>
          <w:tcPr>
            <w:tcW w:w="2476" w:type="dxa"/>
            <w:tcBorders>
              <w:bottom w:val="nil"/>
            </w:tcBorders>
          </w:tcPr>
          <w:p>
            <w:pPr>
              <w:pStyle w:val="yTable"/>
              <w:spacing w:after="40"/>
              <w:rPr>
                <w:spacing w:val="-2"/>
                <w:sz w:val="20"/>
              </w:rPr>
            </w:pPr>
            <w:r>
              <w:rPr>
                <w:spacing w:val="-2"/>
                <w:sz w:val="20"/>
              </w:rPr>
              <w:t>50% of the appropriate wharfage dues</w:t>
            </w:r>
          </w:p>
        </w:tc>
      </w:tr>
      <w:tr>
        <w:tc>
          <w:tcPr>
            <w:tcW w:w="4411" w:type="dxa"/>
            <w:tcBorders>
              <w:bottom w:val="single" w:sz="4" w:space="0" w:color="auto"/>
            </w:tcBorders>
          </w:tcPr>
          <w:p>
            <w:pPr>
              <w:pStyle w:val="yTable"/>
              <w:spacing w:after="40"/>
              <w:ind w:left="482"/>
              <w:rPr>
                <w:spacing w:val="-2"/>
                <w:sz w:val="20"/>
              </w:rPr>
            </w:pPr>
            <w:r>
              <w:rPr>
                <w:spacing w:val="-2"/>
                <w:sz w:val="20"/>
              </w:rPr>
              <w:t xml:space="preserve">landed onto a jetty </w:t>
            </w:r>
          </w:p>
        </w:tc>
        <w:tc>
          <w:tcPr>
            <w:tcW w:w="2476" w:type="dxa"/>
            <w:tcBorders>
              <w:bottom w:val="single" w:sz="4" w:space="0" w:color="auto"/>
            </w:tcBorders>
          </w:tcPr>
          <w:p>
            <w:pPr>
              <w:pStyle w:val="yTable"/>
              <w:spacing w:after="40"/>
              <w:rPr>
                <w:spacing w:val="-2"/>
                <w:sz w:val="20"/>
              </w:rPr>
            </w:pPr>
            <w:r>
              <w:rPr>
                <w:spacing w:val="-2"/>
                <w:sz w:val="20"/>
              </w:rPr>
              <w:t>Full wharfage dues</w:t>
            </w:r>
          </w:p>
        </w:tc>
      </w:tr>
    </w:tbl>
    <w:p>
      <w:pPr>
        <w:pStyle w:val="yFootnotesection"/>
      </w:pPr>
      <w:r>
        <w:tab/>
        <w:t>[Division 3 inserted in Gazette 24 Jun 2005 p. 2821.]</w:t>
      </w:r>
    </w:p>
    <w:p>
      <w:pPr>
        <w:pStyle w:val="yHeading3"/>
      </w:pPr>
      <w:bookmarkStart w:id="847" w:name="_Toc139101835"/>
      <w:bookmarkStart w:id="848" w:name="_Toc139102020"/>
      <w:bookmarkStart w:id="849" w:name="_Toc139443368"/>
      <w:r>
        <w:rPr>
          <w:rStyle w:val="CharSDivNo"/>
        </w:rPr>
        <w:t>Division 4</w:t>
      </w:r>
      <w:r>
        <w:rPr>
          <w:b w:val="0"/>
        </w:rPr>
        <w:t> — </w:t>
      </w:r>
      <w:r>
        <w:rPr>
          <w:rStyle w:val="CharSDivText"/>
        </w:rPr>
        <w:t>Fuel oil charges at Wyndham</w:t>
      </w:r>
      <w:bookmarkEnd w:id="847"/>
      <w:bookmarkEnd w:id="848"/>
      <w:bookmarkEnd w:id="849"/>
    </w:p>
    <w:p>
      <w:pPr>
        <w:pStyle w:val="yShoulderClause"/>
      </w:pPr>
      <w:r>
        <w:t>[r. 11B]</w:t>
      </w:r>
    </w:p>
    <w:p>
      <w:pPr>
        <w:pStyle w:val="yFootnoteheading"/>
      </w:pPr>
      <w:r>
        <w:tab/>
        <w:t>[Heading inserted in Gazette 24 Jun 2005 p. 2821.]</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461"/>
        <w:gridCol w:w="2440"/>
      </w:tblGrid>
      <w:tr>
        <w:tc>
          <w:tcPr>
            <w:tcW w:w="4461" w:type="dxa"/>
          </w:tcPr>
          <w:p>
            <w:pPr>
              <w:pStyle w:val="yTable"/>
              <w:rPr>
                <w:spacing w:val="-2"/>
                <w:sz w:val="20"/>
              </w:rPr>
            </w:pPr>
            <w:r>
              <w:rPr>
                <w:spacing w:val="-2"/>
                <w:sz w:val="20"/>
              </w:rPr>
              <w:t>Oil loaded as bunkers for the vessel’s own use</w:t>
            </w:r>
          </w:p>
        </w:tc>
        <w:tc>
          <w:tcPr>
            <w:tcW w:w="2440" w:type="dxa"/>
          </w:tcPr>
          <w:p>
            <w:pPr>
              <w:pStyle w:val="yTable"/>
              <w:rPr>
                <w:spacing w:val="-2"/>
                <w:sz w:val="20"/>
              </w:rPr>
            </w:pPr>
            <w:r>
              <w:rPr>
                <w:spacing w:val="-2"/>
                <w:sz w:val="20"/>
              </w:rPr>
              <w:t>$8.05/kL</w:t>
            </w:r>
          </w:p>
        </w:tc>
      </w:tr>
    </w:tbl>
    <w:p>
      <w:pPr>
        <w:pStyle w:val="yFootnotesection"/>
      </w:pPr>
      <w:r>
        <w:tab/>
        <w:t>[Division 4 inserted in Gazette 24 Jun 2005 p. 2821; amended in Gazette 23 Jun 2006 p. 2195.]</w:t>
      </w:r>
    </w:p>
    <w:p>
      <w:pPr>
        <w:pStyle w:val="yHeading3"/>
      </w:pPr>
      <w:bookmarkStart w:id="850" w:name="_Toc139101836"/>
      <w:bookmarkStart w:id="851" w:name="_Toc139102021"/>
      <w:bookmarkStart w:id="852" w:name="_Toc139443369"/>
      <w:r>
        <w:rPr>
          <w:rStyle w:val="CharSDivNo"/>
        </w:rPr>
        <w:t>Division 5</w:t>
      </w:r>
      <w:r>
        <w:rPr>
          <w:b w:val="0"/>
        </w:rPr>
        <w:t> — </w:t>
      </w:r>
      <w:r>
        <w:rPr>
          <w:rStyle w:val="CharSDivText"/>
        </w:rPr>
        <w:t>Storage charges at Wyndham</w:t>
      </w:r>
      <w:bookmarkEnd w:id="850"/>
      <w:bookmarkEnd w:id="851"/>
      <w:bookmarkEnd w:id="852"/>
    </w:p>
    <w:p>
      <w:pPr>
        <w:pStyle w:val="yShoulderClause"/>
      </w:pPr>
      <w:r>
        <w:t>[r. 25]</w:t>
      </w:r>
    </w:p>
    <w:p>
      <w:pPr>
        <w:pStyle w:val="yFootnoteheading"/>
      </w:pPr>
      <w:r>
        <w:tab/>
        <w:t>[Heading inserted in Gazette 24 Jun 2005 p. 2821.]</w:t>
      </w:r>
    </w:p>
    <w:tbl>
      <w:tblPr>
        <w:tblW w:w="0" w:type="auto"/>
        <w:tblInd w:w="169"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461"/>
        <w:gridCol w:w="2440"/>
      </w:tblGrid>
      <w:tr>
        <w:tc>
          <w:tcPr>
            <w:tcW w:w="4461" w:type="dxa"/>
            <w:tcBorders>
              <w:bottom w:val="nil"/>
            </w:tcBorders>
          </w:tcPr>
          <w:p>
            <w:pPr>
              <w:pStyle w:val="yTable"/>
              <w:spacing w:after="40"/>
              <w:rPr>
                <w:spacing w:val="-2"/>
                <w:sz w:val="20"/>
              </w:rPr>
            </w:pPr>
            <w:r>
              <w:rPr>
                <w:spacing w:val="-2"/>
                <w:sz w:val="20"/>
              </w:rPr>
              <w:t>Transit cargo not removed from the goods shed within 3 days of the cargo being received</w:t>
            </w:r>
          </w:p>
        </w:tc>
        <w:tc>
          <w:tcPr>
            <w:tcW w:w="2440" w:type="dxa"/>
            <w:tcBorders>
              <w:bottom w:val="nil"/>
            </w:tcBorders>
          </w:tcPr>
          <w:p>
            <w:pPr>
              <w:pStyle w:val="yTable"/>
              <w:spacing w:after="40"/>
              <w:rPr>
                <w:spacing w:val="-2"/>
                <w:sz w:val="20"/>
              </w:rPr>
            </w:pPr>
            <w:r>
              <w:rPr>
                <w:spacing w:val="-2"/>
                <w:sz w:val="20"/>
              </w:rPr>
              <w:br/>
            </w:r>
            <w:r>
              <w:rPr>
                <w:sz w:val="20"/>
              </w:rPr>
              <w:t>$0.51</w:t>
            </w:r>
            <w:r>
              <w:rPr>
                <w:spacing w:val="-2"/>
                <w:sz w:val="20"/>
              </w:rPr>
              <w:t>/t per day</w:t>
            </w:r>
          </w:p>
        </w:tc>
      </w:tr>
      <w:tr>
        <w:tc>
          <w:tcPr>
            <w:tcW w:w="4461" w:type="dxa"/>
            <w:tcBorders>
              <w:bottom w:val="single" w:sz="4" w:space="0" w:color="auto"/>
            </w:tcBorders>
          </w:tcPr>
          <w:p>
            <w:pPr>
              <w:pStyle w:val="yTable"/>
              <w:spacing w:after="40"/>
            </w:pPr>
            <w:r>
              <w:t>Transhipment cargo — </w:t>
            </w:r>
          </w:p>
          <w:p>
            <w:pPr>
              <w:pStyle w:val="yTable"/>
              <w:tabs>
                <w:tab w:val="left" w:pos="624"/>
              </w:tabs>
              <w:spacing w:after="40"/>
              <w:rPr>
                <w:spacing w:val="-2"/>
                <w:sz w:val="20"/>
              </w:rPr>
            </w:pPr>
            <w:r>
              <w:rPr>
                <w:spacing w:val="-2"/>
                <w:sz w:val="20"/>
              </w:rPr>
              <w:tab/>
              <w:t>for first 2 weeks</w:t>
            </w:r>
          </w:p>
        </w:tc>
        <w:tc>
          <w:tcPr>
            <w:tcW w:w="2440" w:type="dxa"/>
            <w:tcBorders>
              <w:bottom w:val="single" w:sz="4" w:space="0" w:color="auto"/>
            </w:tcBorders>
          </w:tcPr>
          <w:p>
            <w:pPr>
              <w:pStyle w:val="yTable"/>
              <w:spacing w:after="40"/>
              <w:rPr>
                <w:spacing w:val="-2"/>
                <w:sz w:val="20"/>
              </w:rPr>
            </w:pPr>
          </w:p>
          <w:p>
            <w:pPr>
              <w:pStyle w:val="yTable"/>
              <w:spacing w:after="40"/>
              <w:rPr>
                <w:spacing w:val="-2"/>
                <w:sz w:val="20"/>
              </w:rPr>
            </w:pPr>
            <w:r>
              <w:rPr>
                <w:sz w:val="20"/>
              </w:rPr>
              <w:t>$0.51</w:t>
            </w:r>
            <w:r>
              <w:rPr>
                <w:spacing w:val="-2"/>
                <w:sz w:val="20"/>
              </w:rPr>
              <w:t>/t or per m</w:t>
            </w:r>
            <w:r>
              <w:rPr>
                <w:spacing w:val="-2"/>
                <w:sz w:val="20"/>
                <w:vertAlign w:val="superscript"/>
              </w:rPr>
              <w:t>3</w:t>
            </w:r>
            <w:r>
              <w:rPr>
                <w:spacing w:val="-2"/>
                <w:sz w:val="20"/>
              </w:rPr>
              <w:t xml:space="preserve"> per week</w:t>
            </w:r>
          </w:p>
        </w:tc>
      </w:tr>
      <w:tr>
        <w:tc>
          <w:tcPr>
            <w:tcW w:w="4461" w:type="dxa"/>
            <w:tcBorders>
              <w:bottom w:val="nil"/>
            </w:tcBorders>
          </w:tcPr>
          <w:p>
            <w:pPr>
              <w:pStyle w:val="yTable"/>
              <w:tabs>
                <w:tab w:val="left" w:pos="624"/>
              </w:tabs>
              <w:spacing w:after="40"/>
              <w:rPr>
                <w:spacing w:val="-2"/>
                <w:sz w:val="20"/>
              </w:rPr>
            </w:pPr>
            <w:r>
              <w:rPr>
                <w:spacing w:val="-2"/>
                <w:sz w:val="20"/>
              </w:rPr>
              <w:tab/>
              <w:t>after 2 weeks</w:t>
            </w:r>
          </w:p>
        </w:tc>
        <w:tc>
          <w:tcPr>
            <w:tcW w:w="2440" w:type="dxa"/>
            <w:tcBorders>
              <w:bottom w:val="nil"/>
            </w:tcBorders>
          </w:tcPr>
          <w:p>
            <w:pPr>
              <w:pStyle w:val="yTable"/>
              <w:spacing w:after="40"/>
              <w:rPr>
                <w:spacing w:val="-2"/>
                <w:sz w:val="20"/>
              </w:rPr>
            </w:pPr>
            <w:r>
              <w:rPr>
                <w:spacing w:val="-2"/>
                <w:sz w:val="20"/>
              </w:rPr>
              <w:t>Transit cargo rates apply</w:t>
            </w:r>
          </w:p>
        </w:tc>
      </w:tr>
      <w:tr>
        <w:tc>
          <w:tcPr>
            <w:tcW w:w="4461" w:type="dxa"/>
            <w:tcBorders>
              <w:top w:val="single" w:sz="4" w:space="0" w:color="auto"/>
              <w:bottom w:val="single" w:sz="4" w:space="0" w:color="auto"/>
            </w:tcBorders>
          </w:tcPr>
          <w:p>
            <w:pPr>
              <w:pStyle w:val="yTable"/>
              <w:tabs>
                <w:tab w:val="left" w:pos="624"/>
              </w:tabs>
              <w:spacing w:after="40"/>
              <w:rPr>
                <w:spacing w:val="-2"/>
                <w:sz w:val="20"/>
              </w:rPr>
            </w:pPr>
            <w:r>
              <w:rPr>
                <w:spacing w:val="-2"/>
                <w:sz w:val="20"/>
              </w:rPr>
              <w:t>Storage at Container Park, Wyndham</w:t>
            </w:r>
          </w:p>
        </w:tc>
        <w:tc>
          <w:tcPr>
            <w:tcW w:w="2440" w:type="dxa"/>
            <w:tcBorders>
              <w:top w:val="single" w:sz="4" w:space="0" w:color="auto"/>
              <w:bottom w:val="single" w:sz="4" w:space="0" w:color="auto"/>
            </w:tcBorders>
          </w:tcPr>
          <w:p>
            <w:pPr>
              <w:pStyle w:val="yTable"/>
              <w:spacing w:after="40"/>
              <w:rPr>
                <w:spacing w:val="-2"/>
                <w:sz w:val="20"/>
              </w:rPr>
            </w:pPr>
            <w:r>
              <w:rPr>
                <w:sz w:val="20"/>
              </w:rPr>
              <w:t>$28.13</w:t>
            </w:r>
            <w:r>
              <w:t xml:space="preserve"> </w:t>
            </w:r>
            <w:r>
              <w:rPr>
                <w:spacing w:val="-2"/>
                <w:sz w:val="20"/>
              </w:rPr>
              <w:t>per loaded container</w:t>
            </w:r>
          </w:p>
        </w:tc>
      </w:tr>
    </w:tbl>
    <w:p>
      <w:pPr>
        <w:pStyle w:val="yFootnotesection"/>
      </w:pPr>
      <w:r>
        <w:tab/>
        <w:t>[Division 5 inserted in Gazette 24 Jun 2005 p. 2821; amended in Gazette 23 Jun 2006 p. 2195.]</w:t>
      </w:r>
    </w:p>
    <w:p>
      <w:pPr>
        <w:pStyle w:val="yHeading3"/>
      </w:pPr>
      <w:bookmarkStart w:id="853" w:name="_Toc139101837"/>
      <w:bookmarkStart w:id="854" w:name="_Toc139102022"/>
      <w:bookmarkStart w:id="855" w:name="_Toc139443370"/>
      <w:r>
        <w:rPr>
          <w:rStyle w:val="CharSDivNo"/>
        </w:rPr>
        <w:t>Division 6</w:t>
      </w:r>
      <w:r>
        <w:rPr>
          <w:b w:val="0"/>
        </w:rPr>
        <w:t> — </w:t>
      </w:r>
      <w:r>
        <w:rPr>
          <w:rStyle w:val="CharSDivText"/>
        </w:rPr>
        <w:t>Weighbridge fees at Wyndham</w:t>
      </w:r>
      <w:bookmarkEnd w:id="853"/>
      <w:bookmarkEnd w:id="854"/>
      <w:bookmarkEnd w:id="855"/>
    </w:p>
    <w:p>
      <w:pPr>
        <w:pStyle w:val="yShoulderClause"/>
      </w:pPr>
      <w:r>
        <w:t>[r. 105I]</w:t>
      </w:r>
    </w:p>
    <w:p>
      <w:pPr>
        <w:pStyle w:val="yFootnoteheading"/>
      </w:pPr>
      <w:r>
        <w:tab/>
        <w:t>[Heading inserted in Gazette 24 Jun 2005 p. 2822.]</w:t>
      </w:r>
    </w:p>
    <w:tbl>
      <w:tblPr>
        <w:tblW w:w="0" w:type="auto"/>
        <w:tblInd w:w="155" w:type="dxa"/>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000" w:firstRow="0" w:lastRow="0" w:firstColumn="0" w:lastColumn="0" w:noHBand="0" w:noVBand="0"/>
      </w:tblPr>
      <w:tblGrid>
        <w:gridCol w:w="4426"/>
        <w:gridCol w:w="2489"/>
      </w:tblGrid>
      <w:tr>
        <w:tc>
          <w:tcPr>
            <w:tcW w:w="4426" w:type="dxa"/>
            <w:tcBorders>
              <w:top w:val="single" w:sz="4" w:space="0" w:color="auto"/>
              <w:bottom w:val="single" w:sz="4" w:space="0" w:color="auto"/>
              <w:right w:val="single" w:sz="4" w:space="0" w:color="auto"/>
            </w:tcBorders>
          </w:tcPr>
          <w:p>
            <w:pPr>
              <w:pStyle w:val="yTable"/>
              <w:rPr>
                <w:spacing w:val="-2"/>
                <w:sz w:val="20"/>
              </w:rPr>
            </w:pPr>
            <w:r>
              <w:rPr>
                <w:spacing w:val="-2"/>
                <w:sz w:val="20"/>
              </w:rPr>
              <w:t xml:space="preserve">For use of the 50 t weighbridge during normal hours — </w:t>
            </w:r>
          </w:p>
        </w:tc>
        <w:tc>
          <w:tcPr>
            <w:tcW w:w="2489" w:type="dxa"/>
            <w:tcBorders>
              <w:top w:val="single" w:sz="4" w:space="0" w:color="auto"/>
              <w:left w:val="single" w:sz="4" w:space="0" w:color="auto"/>
              <w:bottom w:val="single" w:sz="4" w:space="0" w:color="auto"/>
            </w:tcBorders>
          </w:tcPr>
          <w:p>
            <w:pPr>
              <w:pStyle w:val="yTable"/>
              <w:rPr>
                <w:spacing w:val="-2"/>
                <w:sz w:val="20"/>
              </w:rPr>
            </w:pPr>
          </w:p>
        </w:tc>
      </w:tr>
      <w:tr>
        <w:tc>
          <w:tcPr>
            <w:tcW w:w="4426"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 xml:space="preserve">Not exceeding 10 t </w:t>
            </w:r>
          </w:p>
        </w:tc>
        <w:tc>
          <w:tcPr>
            <w:tcW w:w="2489" w:type="dxa"/>
            <w:tcBorders>
              <w:top w:val="single" w:sz="4" w:space="0" w:color="auto"/>
              <w:left w:val="single" w:sz="4" w:space="0" w:color="auto"/>
              <w:bottom w:val="single" w:sz="4" w:space="0" w:color="auto"/>
            </w:tcBorders>
          </w:tcPr>
          <w:p>
            <w:pPr>
              <w:pStyle w:val="yTable"/>
              <w:spacing w:after="40"/>
              <w:rPr>
                <w:spacing w:val="-2"/>
                <w:sz w:val="20"/>
              </w:rPr>
            </w:pPr>
            <w:r>
              <w:rPr>
                <w:sz w:val="20"/>
              </w:rPr>
              <w:t>$10.06</w:t>
            </w:r>
          </w:p>
        </w:tc>
      </w:tr>
      <w:tr>
        <w:tc>
          <w:tcPr>
            <w:tcW w:w="4426"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 xml:space="preserve">Exceeding 10 t but not exceeding 30 t </w:t>
            </w:r>
          </w:p>
        </w:tc>
        <w:tc>
          <w:tcPr>
            <w:tcW w:w="2489" w:type="dxa"/>
            <w:tcBorders>
              <w:top w:val="single" w:sz="4" w:space="0" w:color="auto"/>
              <w:left w:val="single" w:sz="4" w:space="0" w:color="auto"/>
              <w:bottom w:val="single" w:sz="4" w:space="0" w:color="auto"/>
            </w:tcBorders>
          </w:tcPr>
          <w:p>
            <w:pPr>
              <w:pStyle w:val="yTable"/>
              <w:spacing w:after="40"/>
              <w:rPr>
                <w:spacing w:val="-2"/>
                <w:sz w:val="20"/>
              </w:rPr>
            </w:pPr>
            <w:r>
              <w:rPr>
                <w:sz w:val="20"/>
              </w:rPr>
              <w:t>$11.48</w:t>
            </w:r>
          </w:p>
        </w:tc>
      </w:tr>
      <w:tr>
        <w:tc>
          <w:tcPr>
            <w:tcW w:w="4426" w:type="dxa"/>
            <w:tcBorders>
              <w:top w:val="single" w:sz="4" w:space="0" w:color="auto"/>
              <w:bottom w:val="nil"/>
              <w:right w:val="single" w:sz="4" w:space="0" w:color="auto"/>
            </w:tcBorders>
          </w:tcPr>
          <w:p>
            <w:pPr>
              <w:pStyle w:val="yTable"/>
              <w:spacing w:after="40"/>
              <w:rPr>
                <w:spacing w:val="-2"/>
                <w:sz w:val="20"/>
              </w:rPr>
            </w:pPr>
            <w:r>
              <w:rPr>
                <w:spacing w:val="-2"/>
                <w:sz w:val="20"/>
              </w:rPr>
              <w:t xml:space="preserve">Exceeding 30 t </w:t>
            </w:r>
          </w:p>
        </w:tc>
        <w:tc>
          <w:tcPr>
            <w:tcW w:w="2489" w:type="dxa"/>
            <w:tcBorders>
              <w:top w:val="single" w:sz="4" w:space="0" w:color="auto"/>
              <w:left w:val="single" w:sz="4" w:space="0" w:color="auto"/>
              <w:bottom w:val="nil"/>
            </w:tcBorders>
          </w:tcPr>
          <w:p>
            <w:pPr>
              <w:pStyle w:val="yTable"/>
              <w:spacing w:after="40"/>
              <w:rPr>
                <w:spacing w:val="-2"/>
                <w:sz w:val="20"/>
              </w:rPr>
            </w:pPr>
            <w:r>
              <w:rPr>
                <w:sz w:val="20"/>
              </w:rPr>
              <w:t>$14.32</w:t>
            </w:r>
          </w:p>
        </w:tc>
      </w:tr>
      <w:tr>
        <w:trPr>
          <w:cantSplit/>
        </w:trPr>
        <w:tc>
          <w:tcPr>
            <w:tcW w:w="6915" w:type="dxa"/>
            <w:gridSpan w:val="2"/>
            <w:tcBorders>
              <w:top w:val="single" w:sz="4" w:space="0" w:color="auto"/>
              <w:bottom w:val="single" w:sz="4" w:space="0" w:color="auto"/>
            </w:tcBorders>
          </w:tcPr>
          <w:p>
            <w:pPr>
              <w:pStyle w:val="yTable"/>
              <w:spacing w:after="40"/>
              <w:rPr>
                <w:spacing w:val="-2"/>
                <w:sz w:val="20"/>
              </w:rPr>
            </w:pPr>
            <w:r>
              <w:rPr>
                <w:spacing w:val="-2"/>
                <w:sz w:val="20"/>
              </w:rPr>
              <w:t xml:space="preserve">Outside normal hours, operator’s wages are added to the above fees </w:t>
            </w:r>
            <w:r>
              <w:rPr>
                <w:spacing w:val="-2"/>
                <w:sz w:val="20"/>
              </w:rPr>
              <w:br/>
              <w:t>(see regulation 105I(2))</w:t>
            </w:r>
          </w:p>
        </w:tc>
      </w:tr>
    </w:tbl>
    <w:p>
      <w:pPr>
        <w:pStyle w:val="yFootnotesection"/>
      </w:pPr>
      <w:r>
        <w:tab/>
        <w:t>[Division 6 inserted in Gazette 24 Jun 2005 p. 2822; amended in Gazette 23 Jun 2006 p. 2195.]</w:t>
      </w:r>
    </w:p>
    <w:p>
      <w:pPr>
        <w:pStyle w:val="yHeading3"/>
      </w:pPr>
      <w:bookmarkStart w:id="856" w:name="_Toc139101838"/>
      <w:bookmarkStart w:id="857" w:name="_Toc139102023"/>
      <w:bookmarkStart w:id="858" w:name="_Toc139443371"/>
      <w:r>
        <w:rPr>
          <w:rStyle w:val="CharSDivNo"/>
        </w:rPr>
        <w:t>Division 7</w:t>
      </w:r>
      <w:r>
        <w:rPr>
          <w:b w:val="0"/>
        </w:rPr>
        <w:t> — </w:t>
      </w:r>
      <w:r>
        <w:rPr>
          <w:rStyle w:val="CharSDivText"/>
        </w:rPr>
        <w:t>Miscellaneous charges at Wyndham</w:t>
      </w:r>
      <w:bookmarkEnd w:id="856"/>
      <w:bookmarkEnd w:id="857"/>
      <w:bookmarkEnd w:id="858"/>
    </w:p>
    <w:p>
      <w:pPr>
        <w:pStyle w:val="yFootnoteheading"/>
      </w:pPr>
      <w:r>
        <w:tab/>
        <w:t>[Heading inserted in Gazette 24 Jun 2005 p. 2822.]</w:t>
      </w:r>
    </w:p>
    <w:tbl>
      <w:tblPr>
        <w:tblW w:w="0" w:type="auto"/>
        <w:tblInd w:w="169"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521"/>
        <w:gridCol w:w="2380"/>
      </w:tblGrid>
      <w:tr>
        <w:trPr>
          <w:trHeight w:val="284"/>
        </w:trPr>
        <w:tc>
          <w:tcPr>
            <w:tcW w:w="4521" w:type="dxa"/>
          </w:tcPr>
          <w:p>
            <w:pPr>
              <w:pStyle w:val="yTable"/>
              <w:rPr>
                <w:spacing w:val="-2"/>
                <w:sz w:val="20"/>
              </w:rPr>
            </w:pPr>
            <w:r>
              <w:rPr>
                <w:spacing w:val="-2"/>
                <w:sz w:val="20"/>
              </w:rPr>
              <w:t>Fresh water supplied to ships</w:t>
            </w:r>
          </w:p>
        </w:tc>
        <w:tc>
          <w:tcPr>
            <w:tcW w:w="2380" w:type="dxa"/>
          </w:tcPr>
          <w:p>
            <w:pPr>
              <w:pStyle w:val="yTable"/>
              <w:rPr>
                <w:spacing w:val="-2"/>
                <w:sz w:val="20"/>
              </w:rPr>
            </w:pPr>
            <w:r>
              <w:rPr>
                <w:sz w:val="20"/>
              </w:rPr>
              <w:t>$2.63</w:t>
            </w:r>
            <w:r>
              <w:rPr>
                <w:spacing w:val="-2"/>
                <w:sz w:val="20"/>
              </w:rPr>
              <w:t>/kL</w:t>
            </w:r>
          </w:p>
        </w:tc>
      </w:tr>
      <w:tr>
        <w:trPr>
          <w:trHeight w:val="228"/>
        </w:trPr>
        <w:tc>
          <w:tcPr>
            <w:tcW w:w="4521" w:type="dxa"/>
          </w:tcPr>
          <w:p>
            <w:pPr>
              <w:pStyle w:val="yTable"/>
              <w:tabs>
                <w:tab w:val="left" w:pos="624"/>
              </w:tabs>
              <w:spacing w:after="40"/>
              <w:rPr>
                <w:spacing w:val="-2"/>
                <w:sz w:val="20"/>
              </w:rPr>
            </w:pPr>
            <w:r>
              <w:rPr>
                <w:spacing w:val="-2"/>
                <w:sz w:val="20"/>
              </w:rPr>
              <w:t>Lighting of jetty — </w:t>
            </w:r>
          </w:p>
        </w:tc>
        <w:tc>
          <w:tcPr>
            <w:tcW w:w="2380" w:type="dxa"/>
          </w:tcPr>
          <w:p>
            <w:pPr>
              <w:pStyle w:val="yTable"/>
              <w:spacing w:after="40"/>
              <w:rPr>
                <w:spacing w:val="-2"/>
                <w:sz w:val="20"/>
              </w:rPr>
            </w:pPr>
          </w:p>
        </w:tc>
      </w:tr>
      <w:tr>
        <w:trPr>
          <w:trHeight w:val="284"/>
        </w:trPr>
        <w:tc>
          <w:tcPr>
            <w:tcW w:w="4521" w:type="dxa"/>
          </w:tcPr>
          <w:p>
            <w:pPr>
              <w:pStyle w:val="yTable"/>
              <w:tabs>
                <w:tab w:val="left" w:pos="624"/>
              </w:tabs>
              <w:spacing w:after="40"/>
              <w:rPr>
                <w:spacing w:val="-2"/>
                <w:sz w:val="20"/>
              </w:rPr>
            </w:pPr>
            <w:r>
              <w:rPr>
                <w:spacing w:val="-2"/>
                <w:sz w:val="20"/>
              </w:rPr>
              <w:tab/>
              <w:t>full lighting of jetty shed and yard</w:t>
            </w:r>
          </w:p>
        </w:tc>
        <w:tc>
          <w:tcPr>
            <w:tcW w:w="2380" w:type="dxa"/>
          </w:tcPr>
          <w:p>
            <w:pPr>
              <w:pStyle w:val="yTable"/>
              <w:spacing w:after="40"/>
              <w:rPr>
                <w:spacing w:val="-2"/>
                <w:sz w:val="20"/>
              </w:rPr>
            </w:pPr>
            <w:r>
              <w:rPr>
                <w:sz w:val="20"/>
              </w:rPr>
              <w:t xml:space="preserve">$24.32 </w:t>
            </w:r>
            <w:r>
              <w:rPr>
                <w:spacing w:val="-2"/>
                <w:sz w:val="20"/>
              </w:rPr>
              <w:t>per hour</w:t>
            </w:r>
          </w:p>
        </w:tc>
      </w:tr>
      <w:tr>
        <w:trPr>
          <w:trHeight w:val="285"/>
        </w:trPr>
        <w:tc>
          <w:tcPr>
            <w:tcW w:w="4521" w:type="dxa"/>
            <w:tcBorders>
              <w:bottom w:val="nil"/>
            </w:tcBorders>
          </w:tcPr>
          <w:p>
            <w:pPr>
              <w:pStyle w:val="yTable"/>
              <w:tabs>
                <w:tab w:val="left" w:pos="624"/>
              </w:tabs>
              <w:spacing w:after="40"/>
              <w:rPr>
                <w:spacing w:val="-2"/>
                <w:sz w:val="20"/>
              </w:rPr>
            </w:pPr>
            <w:r>
              <w:rPr>
                <w:spacing w:val="-2"/>
                <w:sz w:val="20"/>
              </w:rPr>
              <w:tab/>
              <w:t xml:space="preserve">use of jetty lighting </w:t>
            </w:r>
          </w:p>
        </w:tc>
        <w:tc>
          <w:tcPr>
            <w:tcW w:w="2380" w:type="dxa"/>
            <w:tcBorders>
              <w:bottom w:val="nil"/>
            </w:tcBorders>
          </w:tcPr>
          <w:p>
            <w:pPr>
              <w:pStyle w:val="yTable"/>
              <w:spacing w:after="40"/>
              <w:rPr>
                <w:spacing w:val="-2"/>
                <w:sz w:val="20"/>
              </w:rPr>
            </w:pPr>
            <w:r>
              <w:rPr>
                <w:sz w:val="20"/>
              </w:rPr>
              <w:t xml:space="preserve">$7.79 </w:t>
            </w:r>
            <w:r>
              <w:rPr>
                <w:spacing w:val="-2"/>
                <w:sz w:val="20"/>
              </w:rPr>
              <w:t>per hour</w:t>
            </w:r>
          </w:p>
        </w:tc>
      </w:tr>
      <w:tr>
        <w:trPr>
          <w:trHeight w:val="285"/>
        </w:trPr>
        <w:tc>
          <w:tcPr>
            <w:tcW w:w="4521" w:type="dxa"/>
            <w:tcBorders>
              <w:bottom w:val="single" w:sz="4" w:space="0" w:color="auto"/>
            </w:tcBorders>
          </w:tcPr>
          <w:p>
            <w:pPr>
              <w:pStyle w:val="yTable"/>
              <w:tabs>
                <w:tab w:val="left" w:pos="624"/>
              </w:tabs>
              <w:rPr>
                <w:spacing w:val="-2"/>
                <w:sz w:val="20"/>
              </w:rPr>
            </w:pPr>
            <w:r>
              <w:rPr>
                <w:spacing w:val="-2"/>
                <w:sz w:val="20"/>
              </w:rPr>
              <w:tab/>
              <w:t xml:space="preserve">Reduced lighting </w:t>
            </w:r>
          </w:p>
        </w:tc>
        <w:tc>
          <w:tcPr>
            <w:tcW w:w="2380" w:type="dxa"/>
            <w:tcBorders>
              <w:bottom w:val="single" w:sz="4" w:space="0" w:color="auto"/>
            </w:tcBorders>
          </w:tcPr>
          <w:p>
            <w:pPr>
              <w:pStyle w:val="yTable"/>
              <w:rPr>
                <w:spacing w:val="-2"/>
                <w:sz w:val="20"/>
              </w:rPr>
            </w:pPr>
            <w:r>
              <w:rPr>
                <w:sz w:val="20"/>
              </w:rPr>
              <w:t>$2.59</w:t>
            </w:r>
            <w:r>
              <w:rPr>
                <w:spacing w:val="-2"/>
                <w:sz w:val="20"/>
              </w:rPr>
              <w:t xml:space="preserve"> per hour</w:t>
            </w:r>
          </w:p>
        </w:tc>
      </w:tr>
    </w:tbl>
    <w:p>
      <w:pPr>
        <w:pStyle w:val="yFootnotesection"/>
      </w:pPr>
      <w:r>
        <w:tab/>
        <w:t>[Division 7 inserted in Gazette 24 Jun 2005 p. 2822; amended in Gazette 23 Jun 2006 p. 2195.]</w:t>
      </w:r>
    </w:p>
    <w:p>
      <w:pPr>
        <w:pStyle w:val="yHeading3"/>
      </w:pPr>
      <w:bookmarkStart w:id="859" w:name="_Toc139101839"/>
      <w:bookmarkStart w:id="860" w:name="_Toc139102024"/>
      <w:bookmarkStart w:id="861" w:name="_Toc139443372"/>
      <w:r>
        <w:rPr>
          <w:rStyle w:val="CharSDivNo"/>
        </w:rPr>
        <w:t>Division 8</w:t>
      </w:r>
      <w:r>
        <w:rPr>
          <w:b w:val="0"/>
        </w:rPr>
        <w:t> — </w:t>
      </w:r>
      <w:r>
        <w:rPr>
          <w:rStyle w:val="CharSDivText"/>
        </w:rPr>
        <w:t>Slipway charges</w:t>
      </w:r>
      <w:bookmarkEnd w:id="859"/>
      <w:bookmarkEnd w:id="860"/>
      <w:bookmarkEnd w:id="861"/>
    </w:p>
    <w:p>
      <w:pPr>
        <w:pStyle w:val="yShoulderClause"/>
      </w:pPr>
      <w:r>
        <w:t>[r. 96]</w:t>
      </w:r>
    </w:p>
    <w:p>
      <w:pPr>
        <w:pStyle w:val="yFootnoteheading"/>
      </w:pPr>
      <w:r>
        <w:tab/>
        <w:t>[Heading inserted in Gazette 24 Jun 2005 p. 2822.]</w:t>
      </w:r>
    </w:p>
    <w:p>
      <w:pPr>
        <w:pStyle w:val="yMiscellaneousBody"/>
        <w:rPr>
          <w:snapToGrid w:val="0"/>
        </w:rPr>
      </w:pPr>
      <w:r>
        <w:rPr>
          <w:snapToGrid w:val="0"/>
        </w:rPr>
        <w:t>Notes:</w:t>
      </w:r>
    </w:p>
    <w:p>
      <w:pPr>
        <w:pStyle w:val="yNumberedItem"/>
      </w:pPr>
      <w:r>
        <w:t>1.</w:t>
      </w:r>
      <w:r>
        <w:tab/>
        <w:t>All slipway charges are charged per day or part thereof except for haulage charges, which are charged per service.</w:t>
      </w:r>
    </w:p>
    <w:p>
      <w:pPr>
        <w:pStyle w:val="yNumberedItem"/>
      </w:pPr>
      <w:r>
        <w:t>2.</w:t>
      </w:r>
      <w:r>
        <w:tab/>
        <w:t>The slipway charges are subject to regulations 37 and 38, which specify the working hours of a port and the payments that are required in addition to the usual charges when work takes place outside those hours or during holidays.</w:t>
      </w:r>
    </w:p>
    <w:p>
      <w:pPr>
        <w:pStyle w:val="yHeading4"/>
      </w:pPr>
      <w:bookmarkStart w:id="862" w:name="_Toc139101840"/>
      <w:bookmarkStart w:id="863" w:name="_Toc139102025"/>
      <w:bookmarkStart w:id="864" w:name="_Toc139443373"/>
      <w:r>
        <w:t>Subdivision 1</w:t>
      </w:r>
      <w:r>
        <w:rPr>
          <w:b w:val="0"/>
        </w:rPr>
        <w:t> — </w:t>
      </w:r>
      <w:r>
        <w:t>Water and electric power charges</w:t>
      </w:r>
      <w:bookmarkEnd w:id="862"/>
      <w:bookmarkEnd w:id="863"/>
      <w:bookmarkEnd w:id="864"/>
    </w:p>
    <w:p>
      <w:pPr>
        <w:pStyle w:val="yFootnoteheading"/>
      </w:pPr>
      <w:r>
        <w:tab/>
        <w:t>[Heading inserted in Gazette 24 Jun 2005 p. 2823.]</w:t>
      </w:r>
    </w:p>
    <w:p>
      <w:pPr>
        <w:pStyle w:val="zyMiscellaneousHeading"/>
        <w:rPr>
          <w:snapToGrid w:val="0"/>
        </w:rPr>
      </w:pPr>
      <w:r>
        <w:rPr>
          <w:snapToGrid w:val="0"/>
        </w:rPr>
        <w:t>All locations, or where no specific charge applies</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178"/>
        <w:gridCol w:w="3709"/>
      </w:tblGrid>
      <w:tr>
        <w:tc>
          <w:tcPr>
            <w:tcW w:w="3178" w:type="dxa"/>
            <w:tcBorders>
              <w:bottom w:val="nil"/>
            </w:tcBorders>
          </w:tcPr>
          <w:p>
            <w:pPr>
              <w:pStyle w:val="yTable"/>
              <w:spacing w:after="40"/>
              <w:rPr>
                <w:spacing w:val="-2"/>
                <w:sz w:val="20"/>
              </w:rPr>
            </w:pPr>
            <w:r>
              <w:rPr>
                <w:spacing w:val="-2"/>
                <w:sz w:val="20"/>
              </w:rPr>
              <w:t>Use of water</w:t>
            </w:r>
          </w:p>
        </w:tc>
        <w:tc>
          <w:tcPr>
            <w:tcW w:w="3709" w:type="dxa"/>
            <w:tcBorders>
              <w:bottom w:val="nil"/>
            </w:tcBorders>
          </w:tcPr>
          <w:p>
            <w:pPr>
              <w:pStyle w:val="yTable"/>
              <w:spacing w:after="40"/>
              <w:rPr>
                <w:spacing w:val="-2"/>
                <w:sz w:val="20"/>
              </w:rPr>
            </w:pPr>
            <w:r>
              <w:rPr>
                <w:spacing w:val="-2"/>
                <w:sz w:val="20"/>
              </w:rPr>
              <w:t>$3.68</w:t>
            </w:r>
          </w:p>
        </w:tc>
      </w:tr>
      <w:tr>
        <w:tc>
          <w:tcPr>
            <w:tcW w:w="3178" w:type="dxa"/>
            <w:tcBorders>
              <w:bottom w:val="single" w:sz="4" w:space="0" w:color="auto"/>
            </w:tcBorders>
          </w:tcPr>
          <w:p>
            <w:pPr>
              <w:pStyle w:val="yTable"/>
              <w:spacing w:after="40"/>
              <w:rPr>
                <w:spacing w:val="-2"/>
                <w:sz w:val="20"/>
              </w:rPr>
            </w:pPr>
            <w:r>
              <w:rPr>
                <w:spacing w:val="-2"/>
                <w:sz w:val="20"/>
              </w:rPr>
              <w:t>Use of power</w:t>
            </w:r>
          </w:p>
        </w:tc>
        <w:tc>
          <w:tcPr>
            <w:tcW w:w="3709" w:type="dxa"/>
            <w:tcBorders>
              <w:bottom w:val="single" w:sz="4" w:space="0" w:color="auto"/>
            </w:tcBorders>
          </w:tcPr>
          <w:p>
            <w:pPr>
              <w:pStyle w:val="yTable"/>
              <w:spacing w:after="40"/>
              <w:rPr>
                <w:spacing w:val="-2"/>
                <w:sz w:val="20"/>
              </w:rPr>
            </w:pPr>
            <w:r>
              <w:rPr>
                <w:spacing w:val="-2"/>
                <w:sz w:val="20"/>
              </w:rPr>
              <w:t>$6.14 or, if metering indicates that electric power usage is occurring in excess of $6.14 per day, at cost</w:t>
            </w:r>
          </w:p>
        </w:tc>
      </w:tr>
    </w:tbl>
    <w:p>
      <w:pPr>
        <w:pStyle w:val="zyMiscellaneousHeading"/>
        <w:rPr>
          <w:snapToGrid w:val="0"/>
        </w:rPr>
      </w:pPr>
      <w:r>
        <w:rPr>
          <w:snapToGrid w:val="0"/>
        </w:rPr>
        <w:t>Princess Royal Harbour (Albany)</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163"/>
        <w:gridCol w:w="3724"/>
      </w:tblGrid>
      <w:tr>
        <w:trPr>
          <w:cantSplit/>
        </w:trPr>
        <w:tc>
          <w:tcPr>
            <w:tcW w:w="3163" w:type="dxa"/>
          </w:tcPr>
          <w:p>
            <w:pPr>
              <w:pStyle w:val="yTable"/>
              <w:spacing w:before="40" w:after="20"/>
              <w:rPr>
                <w:spacing w:val="-2"/>
                <w:sz w:val="20"/>
              </w:rPr>
            </w:pPr>
            <w:r>
              <w:rPr>
                <w:spacing w:val="-2"/>
                <w:sz w:val="20"/>
              </w:rPr>
              <w:t>Use of water</w:t>
            </w:r>
          </w:p>
        </w:tc>
        <w:tc>
          <w:tcPr>
            <w:tcW w:w="3724" w:type="dxa"/>
          </w:tcPr>
          <w:p>
            <w:pPr>
              <w:pStyle w:val="yTable"/>
              <w:spacing w:before="40" w:after="20"/>
              <w:rPr>
                <w:spacing w:val="-2"/>
                <w:sz w:val="20"/>
              </w:rPr>
            </w:pPr>
            <w:r>
              <w:rPr>
                <w:spacing w:val="-2"/>
                <w:sz w:val="20"/>
              </w:rPr>
              <w:t>$4.22 per day or, if metering indicates that water usage is occurring in excess of $4.22 per day, at cost</w:t>
            </w:r>
          </w:p>
        </w:tc>
      </w:tr>
      <w:tr>
        <w:trPr>
          <w:cantSplit/>
        </w:trPr>
        <w:tc>
          <w:tcPr>
            <w:tcW w:w="3163" w:type="dxa"/>
            <w:tcBorders>
              <w:bottom w:val="nil"/>
            </w:tcBorders>
          </w:tcPr>
          <w:p>
            <w:pPr>
              <w:pStyle w:val="yTable"/>
              <w:spacing w:before="40" w:after="20"/>
              <w:rPr>
                <w:spacing w:val="-2"/>
                <w:sz w:val="20"/>
              </w:rPr>
            </w:pPr>
            <w:r>
              <w:rPr>
                <w:spacing w:val="-2"/>
                <w:sz w:val="20"/>
              </w:rPr>
              <w:t>Use of 3</w:t>
            </w:r>
            <w:r>
              <w:rPr>
                <w:spacing w:val="-2"/>
                <w:sz w:val="20"/>
              </w:rPr>
              <w:noBreakHyphen/>
              <w:t>phase power</w:t>
            </w:r>
          </w:p>
        </w:tc>
        <w:tc>
          <w:tcPr>
            <w:tcW w:w="3724" w:type="dxa"/>
            <w:tcBorders>
              <w:bottom w:val="nil"/>
            </w:tcBorders>
          </w:tcPr>
          <w:p>
            <w:pPr>
              <w:pStyle w:val="yTable"/>
              <w:spacing w:before="40" w:after="20"/>
              <w:rPr>
                <w:spacing w:val="-2"/>
                <w:sz w:val="20"/>
              </w:rPr>
            </w:pPr>
            <w:r>
              <w:rPr>
                <w:spacing w:val="-2"/>
                <w:sz w:val="20"/>
              </w:rPr>
              <w:t>$29.11</w:t>
            </w:r>
          </w:p>
        </w:tc>
      </w:tr>
      <w:tr>
        <w:trPr>
          <w:cantSplit/>
        </w:trPr>
        <w:tc>
          <w:tcPr>
            <w:tcW w:w="3163" w:type="dxa"/>
            <w:tcBorders>
              <w:bottom w:val="single" w:sz="4" w:space="0" w:color="auto"/>
            </w:tcBorders>
          </w:tcPr>
          <w:p>
            <w:pPr>
              <w:pStyle w:val="yTable"/>
              <w:spacing w:before="40" w:after="20"/>
              <w:rPr>
                <w:spacing w:val="-2"/>
                <w:sz w:val="20"/>
              </w:rPr>
            </w:pPr>
            <w:r>
              <w:rPr>
                <w:spacing w:val="-2"/>
                <w:sz w:val="20"/>
              </w:rPr>
              <w:t>Use of single</w:t>
            </w:r>
            <w:r>
              <w:rPr>
                <w:spacing w:val="-2"/>
                <w:sz w:val="20"/>
              </w:rPr>
              <w:noBreakHyphen/>
              <w:t>phase power</w:t>
            </w:r>
          </w:p>
        </w:tc>
        <w:tc>
          <w:tcPr>
            <w:tcW w:w="3724" w:type="dxa"/>
            <w:tcBorders>
              <w:bottom w:val="single" w:sz="4" w:space="0" w:color="auto"/>
            </w:tcBorders>
          </w:tcPr>
          <w:p>
            <w:pPr>
              <w:pStyle w:val="yTable"/>
              <w:spacing w:before="40" w:after="20"/>
              <w:rPr>
                <w:spacing w:val="-2"/>
                <w:sz w:val="20"/>
              </w:rPr>
            </w:pPr>
            <w:r>
              <w:rPr>
                <w:spacing w:val="-2"/>
                <w:sz w:val="20"/>
              </w:rPr>
              <w:t>$7.28 per day or, if metering indicates that electric power usage is occurring in excess of $7.28 per day, at cost</w:t>
            </w:r>
          </w:p>
        </w:tc>
      </w:tr>
    </w:tbl>
    <w:p>
      <w:pPr>
        <w:pStyle w:val="yHeading4"/>
      </w:pPr>
      <w:bookmarkStart w:id="865" w:name="_Toc139101841"/>
      <w:bookmarkStart w:id="866" w:name="_Toc139102026"/>
      <w:bookmarkStart w:id="867" w:name="_Toc139443374"/>
      <w:r>
        <w:t>Subdivision 2</w:t>
      </w:r>
      <w:r>
        <w:rPr>
          <w:b w:val="0"/>
        </w:rPr>
        <w:t> — </w:t>
      </w:r>
      <w:r>
        <w:t>General charges</w:t>
      </w:r>
      <w:bookmarkEnd w:id="865"/>
      <w:bookmarkEnd w:id="866"/>
      <w:bookmarkEnd w:id="867"/>
    </w:p>
    <w:p>
      <w:pPr>
        <w:pStyle w:val="yFootnoteheading"/>
      </w:pPr>
      <w:r>
        <w:tab/>
        <w:t>[Heading inserted in Gazette 24 Jun 2005 p. 2823.]</w:t>
      </w:r>
    </w:p>
    <w:p>
      <w:pPr>
        <w:pStyle w:val="zyMiscellaneousHeading"/>
        <w:rPr>
          <w:snapToGrid w:val="0"/>
        </w:rPr>
      </w:pPr>
      <w:r>
        <w:rPr>
          <w:snapToGrid w:val="0"/>
        </w:rPr>
        <w:t>Casuarina Boat Harbour (Bunbury)</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871"/>
        <w:gridCol w:w="3016"/>
      </w:tblGrid>
      <w:tr>
        <w:tc>
          <w:tcPr>
            <w:tcW w:w="3871" w:type="dxa"/>
            <w:tcBorders>
              <w:bottom w:val="nil"/>
            </w:tcBorders>
          </w:tcPr>
          <w:p>
            <w:pPr>
              <w:pStyle w:val="yTable"/>
              <w:spacing w:after="20"/>
              <w:rPr>
                <w:spacing w:val="-2"/>
                <w:sz w:val="20"/>
              </w:rPr>
            </w:pPr>
            <w:r>
              <w:rPr>
                <w:spacing w:val="-2"/>
                <w:sz w:val="20"/>
              </w:rPr>
              <w:t>All Vessels (per day or part of a day on the slipway)</w:t>
            </w:r>
            <w:r>
              <w:rPr>
                <w:spacing w:val="-2"/>
                <w:sz w:val="20"/>
              </w:rPr>
              <w:br/>
              <w:t>1 April to next succeeding 31 August</w:t>
            </w:r>
            <w:r>
              <w:rPr>
                <w:spacing w:val="-2"/>
                <w:sz w:val="20"/>
              </w:rPr>
              <w:br/>
              <w:t>1 September to next succeeding 31 March</w:t>
            </w:r>
          </w:p>
        </w:tc>
        <w:tc>
          <w:tcPr>
            <w:tcW w:w="3016" w:type="dxa"/>
            <w:tcBorders>
              <w:bottom w:val="nil"/>
            </w:tcBorders>
          </w:tcPr>
          <w:p>
            <w:pPr>
              <w:pStyle w:val="yTable"/>
              <w:spacing w:after="20"/>
              <w:rPr>
                <w:spacing w:val="-2"/>
                <w:sz w:val="20"/>
              </w:rPr>
            </w:pPr>
            <w:r>
              <w:rPr>
                <w:spacing w:val="-2"/>
                <w:sz w:val="20"/>
              </w:rPr>
              <w:br/>
            </w:r>
            <w:r>
              <w:rPr>
                <w:spacing w:val="-2"/>
                <w:sz w:val="20"/>
              </w:rPr>
              <w:br/>
              <w:t>$52.60</w:t>
            </w:r>
            <w:r>
              <w:rPr>
                <w:spacing w:val="-2"/>
                <w:sz w:val="20"/>
              </w:rPr>
              <w:br/>
              <w:t>$105.20</w:t>
            </w:r>
          </w:p>
        </w:tc>
      </w:tr>
      <w:tr>
        <w:tc>
          <w:tcPr>
            <w:tcW w:w="3871" w:type="dxa"/>
            <w:tcBorders>
              <w:bottom w:val="single" w:sz="4" w:space="0" w:color="auto"/>
            </w:tcBorders>
          </w:tcPr>
          <w:p>
            <w:pPr>
              <w:pStyle w:val="yTable"/>
              <w:spacing w:after="20"/>
              <w:rPr>
                <w:spacing w:val="-2"/>
                <w:sz w:val="20"/>
              </w:rPr>
            </w:pPr>
            <w:r>
              <w:rPr>
                <w:spacing w:val="-2"/>
                <w:sz w:val="20"/>
              </w:rPr>
              <w:t>Haulage charge (includes hauls up and down) —</w:t>
            </w:r>
          </w:p>
        </w:tc>
        <w:tc>
          <w:tcPr>
            <w:tcW w:w="3016" w:type="dxa"/>
            <w:tcBorders>
              <w:bottom w:val="single" w:sz="4" w:space="0" w:color="auto"/>
            </w:tcBorders>
          </w:tcPr>
          <w:p>
            <w:pPr>
              <w:pStyle w:val="yTable"/>
              <w:spacing w:after="20"/>
              <w:rPr>
                <w:spacing w:val="-2"/>
                <w:sz w:val="20"/>
              </w:rPr>
            </w:pPr>
          </w:p>
        </w:tc>
      </w:tr>
      <w:tr>
        <w:tc>
          <w:tcPr>
            <w:tcW w:w="3871" w:type="dxa"/>
            <w:tcBorders>
              <w:bottom w:val="single" w:sz="4" w:space="0" w:color="auto"/>
            </w:tcBorders>
          </w:tcPr>
          <w:p>
            <w:pPr>
              <w:pStyle w:val="yTable"/>
              <w:spacing w:after="20"/>
              <w:ind w:left="170"/>
              <w:rPr>
                <w:spacing w:val="-2"/>
                <w:sz w:val="20"/>
              </w:rPr>
            </w:pPr>
            <w:r>
              <w:rPr>
                <w:spacing w:val="-2"/>
                <w:sz w:val="20"/>
              </w:rPr>
              <w:t xml:space="preserve">vessels for which mooring fee under the </w:t>
            </w:r>
            <w:r>
              <w:rPr>
                <w:i/>
                <w:spacing w:val="-2"/>
                <w:sz w:val="20"/>
              </w:rPr>
              <w:t>Shipping and Pilotage (Mooring Control Areas) Regulations 1983</w:t>
            </w:r>
            <w:r>
              <w:rPr>
                <w:spacing w:val="-2"/>
                <w:sz w:val="20"/>
              </w:rPr>
              <w:t xml:space="preserve"> or annual pen fee paid</w:t>
            </w:r>
          </w:p>
        </w:tc>
        <w:tc>
          <w:tcPr>
            <w:tcW w:w="3016" w:type="dxa"/>
            <w:tcBorders>
              <w:bottom w:val="single" w:sz="4" w:space="0" w:color="auto"/>
            </w:tcBorders>
          </w:tcPr>
          <w:p>
            <w:pPr>
              <w:pStyle w:val="yTable"/>
              <w:spacing w:after="20"/>
              <w:rPr>
                <w:spacing w:val="-2"/>
                <w:sz w:val="20"/>
              </w:rPr>
            </w:pPr>
            <w:r>
              <w:rPr>
                <w:spacing w:val="-2"/>
                <w:sz w:val="20"/>
              </w:rPr>
              <w:br/>
            </w:r>
            <w:r>
              <w:rPr>
                <w:spacing w:val="-2"/>
                <w:sz w:val="20"/>
              </w:rPr>
              <w:br/>
            </w:r>
            <w:r>
              <w:rPr>
                <w:spacing w:val="-2"/>
                <w:sz w:val="20"/>
              </w:rPr>
              <w:br/>
              <w:t>$178.89</w:t>
            </w:r>
          </w:p>
        </w:tc>
      </w:tr>
      <w:tr>
        <w:tc>
          <w:tcPr>
            <w:tcW w:w="3871" w:type="dxa"/>
            <w:tcBorders>
              <w:bottom w:val="single" w:sz="4" w:space="0" w:color="auto"/>
            </w:tcBorders>
          </w:tcPr>
          <w:p>
            <w:pPr>
              <w:pStyle w:val="yTable"/>
              <w:spacing w:after="20"/>
              <w:ind w:left="170"/>
              <w:rPr>
                <w:spacing w:val="-2"/>
                <w:sz w:val="20"/>
              </w:rPr>
            </w:pPr>
            <w:r>
              <w:rPr>
                <w:spacing w:val="-2"/>
                <w:sz w:val="20"/>
              </w:rPr>
              <w:t xml:space="preserve">vessels for which mooring fee under the </w:t>
            </w:r>
            <w:r>
              <w:rPr>
                <w:i/>
                <w:spacing w:val="-2"/>
                <w:sz w:val="20"/>
              </w:rPr>
              <w:t>Shipping and Pilotage (Mooring Control Areas) Regulations 1983</w:t>
            </w:r>
            <w:r>
              <w:rPr>
                <w:spacing w:val="-2"/>
                <w:sz w:val="20"/>
              </w:rPr>
              <w:t xml:space="preserve"> or annual pen fee not paid</w:t>
            </w:r>
          </w:p>
        </w:tc>
        <w:tc>
          <w:tcPr>
            <w:tcW w:w="3016" w:type="dxa"/>
            <w:tcBorders>
              <w:bottom w:val="single" w:sz="4" w:space="0" w:color="auto"/>
            </w:tcBorders>
          </w:tcPr>
          <w:p>
            <w:pPr>
              <w:pStyle w:val="yTable"/>
              <w:spacing w:after="20"/>
              <w:rPr>
                <w:spacing w:val="-2"/>
                <w:sz w:val="20"/>
              </w:rPr>
            </w:pPr>
            <w:r>
              <w:rPr>
                <w:spacing w:val="-2"/>
                <w:sz w:val="20"/>
              </w:rPr>
              <w:br/>
            </w:r>
            <w:r>
              <w:rPr>
                <w:spacing w:val="-2"/>
                <w:sz w:val="20"/>
              </w:rPr>
              <w:br/>
            </w:r>
            <w:r>
              <w:rPr>
                <w:spacing w:val="-2"/>
                <w:sz w:val="20"/>
              </w:rPr>
              <w:br/>
              <w:t>$</w:t>
            </w:r>
            <w:r>
              <w:rPr>
                <w:sz w:val="20"/>
              </w:rPr>
              <w:t>208.71</w:t>
            </w:r>
          </w:p>
        </w:tc>
      </w:tr>
      <w:tr>
        <w:tc>
          <w:tcPr>
            <w:tcW w:w="3871" w:type="dxa"/>
            <w:tcBorders>
              <w:top w:val="nil"/>
              <w:bottom w:val="single" w:sz="4" w:space="0" w:color="auto"/>
            </w:tcBorders>
          </w:tcPr>
          <w:p>
            <w:pPr>
              <w:pStyle w:val="yTable"/>
              <w:spacing w:after="20"/>
              <w:rPr>
                <w:spacing w:val="-2"/>
                <w:sz w:val="20"/>
              </w:rPr>
            </w:pPr>
            <w:r>
              <w:rPr>
                <w:spacing w:val="-2"/>
                <w:sz w:val="20"/>
              </w:rPr>
              <w:t xml:space="preserve">Fee for use of Department for Planning and Infrastructure land adjacent to the slipway for maintenance or storage — </w:t>
            </w:r>
          </w:p>
        </w:tc>
        <w:tc>
          <w:tcPr>
            <w:tcW w:w="3016" w:type="dxa"/>
            <w:tcBorders>
              <w:top w:val="nil"/>
              <w:bottom w:val="single" w:sz="4" w:space="0" w:color="auto"/>
            </w:tcBorders>
          </w:tcPr>
          <w:p>
            <w:pPr>
              <w:pStyle w:val="yTable"/>
              <w:spacing w:after="20"/>
              <w:rPr>
                <w:spacing w:val="-2"/>
                <w:sz w:val="20"/>
              </w:rPr>
            </w:pPr>
          </w:p>
        </w:tc>
      </w:tr>
      <w:tr>
        <w:tc>
          <w:tcPr>
            <w:tcW w:w="3871" w:type="dxa"/>
            <w:tcBorders>
              <w:bottom w:val="single" w:sz="4" w:space="0" w:color="auto"/>
            </w:tcBorders>
          </w:tcPr>
          <w:p>
            <w:pPr>
              <w:pStyle w:val="yTable"/>
              <w:spacing w:after="20"/>
              <w:ind w:left="170"/>
              <w:rPr>
                <w:spacing w:val="-2"/>
                <w:sz w:val="20"/>
              </w:rPr>
            </w:pPr>
            <w:r>
              <w:rPr>
                <w:spacing w:val="-2"/>
                <w:sz w:val="20"/>
              </w:rPr>
              <w:t>for the first 30 days (per day or part of a day)</w:t>
            </w:r>
          </w:p>
        </w:tc>
        <w:tc>
          <w:tcPr>
            <w:tcW w:w="3016" w:type="dxa"/>
            <w:tcBorders>
              <w:bottom w:val="single" w:sz="4" w:space="0" w:color="auto"/>
            </w:tcBorders>
          </w:tcPr>
          <w:p>
            <w:pPr>
              <w:pStyle w:val="yTable"/>
              <w:spacing w:after="20"/>
              <w:rPr>
                <w:spacing w:val="-2"/>
                <w:sz w:val="20"/>
              </w:rPr>
            </w:pPr>
            <w:r>
              <w:rPr>
                <w:spacing w:val="-2"/>
                <w:sz w:val="20"/>
              </w:rPr>
              <w:t>$</w:t>
            </w:r>
            <w:r>
              <w:rPr>
                <w:sz w:val="20"/>
              </w:rPr>
              <w:t>7.51</w:t>
            </w:r>
          </w:p>
        </w:tc>
      </w:tr>
      <w:tr>
        <w:tc>
          <w:tcPr>
            <w:tcW w:w="3871" w:type="dxa"/>
            <w:tcBorders>
              <w:top w:val="single" w:sz="4" w:space="0" w:color="auto"/>
              <w:bottom w:val="single" w:sz="4" w:space="0" w:color="auto"/>
            </w:tcBorders>
          </w:tcPr>
          <w:p>
            <w:pPr>
              <w:pStyle w:val="yTable"/>
              <w:spacing w:after="20"/>
              <w:ind w:left="170"/>
              <w:rPr>
                <w:spacing w:val="-2"/>
                <w:sz w:val="20"/>
              </w:rPr>
            </w:pPr>
            <w:r>
              <w:rPr>
                <w:spacing w:val="-2"/>
                <w:sz w:val="20"/>
              </w:rPr>
              <w:t>after 30 days (per day or part of a day)</w:t>
            </w:r>
          </w:p>
        </w:tc>
        <w:tc>
          <w:tcPr>
            <w:tcW w:w="3016" w:type="dxa"/>
            <w:tcBorders>
              <w:top w:val="single" w:sz="4" w:space="0" w:color="auto"/>
              <w:bottom w:val="single" w:sz="4" w:space="0" w:color="auto"/>
            </w:tcBorders>
          </w:tcPr>
          <w:p>
            <w:pPr>
              <w:pStyle w:val="yTable"/>
              <w:spacing w:after="20"/>
              <w:rPr>
                <w:spacing w:val="-2"/>
                <w:sz w:val="20"/>
              </w:rPr>
            </w:pPr>
            <w:r>
              <w:rPr>
                <w:spacing w:val="-2"/>
                <w:sz w:val="20"/>
              </w:rPr>
              <w:t>$</w:t>
            </w:r>
            <w:r>
              <w:rPr>
                <w:sz w:val="20"/>
              </w:rPr>
              <w:t>31.30</w:t>
            </w:r>
          </w:p>
        </w:tc>
      </w:tr>
      <w:tr>
        <w:tc>
          <w:tcPr>
            <w:tcW w:w="3871" w:type="dxa"/>
            <w:tcBorders>
              <w:top w:val="nil"/>
              <w:bottom w:val="single" w:sz="4" w:space="0" w:color="auto"/>
            </w:tcBorders>
          </w:tcPr>
          <w:p>
            <w:pPr>
              <w:pStyle w:val="yTable"/>
              <w:spacing w:after="20"/>
              <w:rPr>
                <w:spacing w:val="-2"/>
                <w:sz w:val="20"/>
              </w:rPr>
            </w:pPr>
            <w:r>
              <w:rPr>
                <w:spacing w:val="-2"/>
                <w:sz w:val="20"/>
              </w:rPr>
              <w:t xml:space="preserve">Fee for storage or maintenance of vessel on harbour land not immediately adjacent to the slipway — </w:t>
            </w:r>
          </w:p>
        </w:tc>
        <w:tc>
          <w:tcPr>
            <w:tcW w:w="3016" w:type="dxa"/>
            <w:tcBorders>
              <w:top w:val="nil"/>
              <w:bottom w:val="single" w:sz="4" w:space="0" w:color="auto"/>
            </w:tcBorders>
          </w:tcPr>
          <w:p>
            <w:pPr>
              <w:pStyle w:val="yTable"/>
              <w:spacing w:after="20"/>
              <w:rPr>
                <w:spacing w:val="-2"/>
                <w:sz w:val="20"/>
              </w:rPr>
            </w:pPr>
          </w:p>
        </w:tc>
      </w:tr>
      <w:tr>
        <w:tc>
          <w:tcPr>
            <w:tcW w:w="3871" w:type="dxa"/>
            <w:tcBorders>
              <w:bottom w:val="nil"/>
            </w:tcBorders>
          </w:tcPr>
          <w:p>
            <w:pPr>
              <w:pStyle w:val="yTable"/>
              <w:spacing w:after="20"/>
              <w:ind w:left="170"/>
              <w:rPr>
                <w:spacing w:val="-2"/>
                <w:sz w:val="20"/>
              </w:rPr>
            </w:pPr>
            <w:r>
              <w:rPr>
                <w:spacing w:val="-2"/>
                <w:sz w:val="20"/>
              </w:rPr>
              <w:t>for the first 90 days (per day or part of a day)</w:t>
            </w:r>
          </w:p>
        </w:tc>
        <w:tc>
          <w:tcPr>
            <w:tcW w:w="3016" w:type="dxa"/>
            <w:tcBorders>
              <w:bottom w:val="nil"/>
            </w:tcBorders>
          </w:tcPr>
          <w:p>
            <w:pPr>
              <w:pStyle w:val="yTable"/>
              <w:spacing w:after="20"/>
              <w:rPr>
                <w:spacing w:val="-2"/>
                <w:sz w:val="20"/>
              </w:rPr>
            </w:pPr>
            <w:r>
              <w:rPr>
                <w:spacing w:val="-2"/>
                <w:sz w:val="20"/>
              </w:rPr>
              <w:t>$7.51</w:t>
            </w:r>
          </w:p>
        </w:tc>
      </w:tr>
      <w:tr>
        <w:tc>
          <w:tcPr>
            <w:tcW w:w="3871" w:type="dxa"/>
            <w:tcBorders>
              <w:bottom w:val="single" w:sz="4" w:space="0" w:color="auto"/>
            </w:tcBorders>
          </w:tcPr>
          <w:p>
            <w:pPr>
              <w:pStyle w:val="yTable"/>
              <w:spacing w:after="20"/>
              <w:ind w:left="170"/>
              <w:rPr>
                <w:spacing w:val="-2"/>
                <w:sz w:val="20"/>
              </w:rPr>
            </w:pPr>
            <w:r>
              <w:rPr>
                <w:spacing w:val="-2"/>
                <w:sz w:val="20"/>
              </w:rPr>
              <w:t>after 90 days (per day or part of a day)</w:t>
            </w:r>
          </w:p>
        </w:tc>
        <w:tc>
          <w:tcPr>
            <w:tcW w:w="3016" w:type="dxa"/>
            <w:tcBorders>
              <w:bottom w:val="single" w:sz="4" w:space="0" w:color="auto"/>
            </w:tcBorders>
          </w:tcPr>
          <w:p>
            <w:pPr>
              <w:pStyle w:val="yTable"/>
              <w:spacing w:after="20"/>
              <w:rPr>
                <w:spacing w:val="-2"/>
                <w:sz w:val="20"/>
              </w:rPr>
            </w:pPr>
            <w:r>
              <w:rPr>
                <w:spacing w:val="-2"/>
                <w:sz w:val="20"/>
              </w:rPr>
              <w:t>$</w:t>
            </w:r>
            <w:r>
              <w:rPr>
                <w:sz w:val="20"/>
              </w:rPr>
              <w:t>31.30</w:t>
            </w:r>
          </w:p>
        </w:tc>
      </w:tr>
      <w:tr>
        <w:trPr>
          <w:cantSplit/>
        </w:trPr>
        <w:tc>
          <w:tcPr>
            <w:tcW w:w="6887" w:type="dxa"/>
            <w:gridSpan w:val="2"/>
            <w:tcBorders>
              <w:top w:val="nil"/>
              <w:bottom w:val="nil"/>
            </w:tcBorders>
          </w:tcPr>
          <w:p>
            <w:pPr>
              <w:pStyle w:val="yNumberedItem"/>
            </w:pPr>
            <w:r>
              <w:t>Note:</w:t>
            </w:r>
            <w:r>
              <w:tab/>
              <w:t>if use of land adjacent to the slipway precedes use of land away from the slipway, all days involved will be counted towards the 90 days allowed at the lower rate.</w:t>
            </w:r>
          </w:p>
        </w:tc>
      </w:tr>
      <w:tr>
        <w:tc>
          <w:tcPr>
            <w:tcW w:w="3871" w:type="dxa"/>
            <w:tcBorders>
              <w:top w:val="single" w:sz="4" w:space="0" w:color="auto"/>
              <w:bottom w:val="single" w:sz="4" w:space="0" w:color="auto"/>
            </w:tcBorders>
          </w:tcPr>
          <w:p>
            <w:pPr>
              <w:pStyle w:val="yTable"/>
              <w:spacing w:after="20"/>
              <w:rPr>
                <w:spacing w:val="-2"/>
                <w:sz w:val="20"/>
              </w:rPr>
            </w:pPr>
            <w:r>
              <w:rPr>
                <w:spacing w:val="-2"/>
                <w:sz w:val="20"/>
              </w:rPr>
              <w:t>Water and power (where metered)</w:t>
            </w:r>
          </w:p>
        </w:tc>
        <w:tc>
          <w:tcPr>
            <w:tcW w:w="3016" w:type="dxa"/>
            <w:tcBorders>
              <w:top w:val="single" w:sz="4" w:space="0" w:color="auto"/>
              <w:bottom w:val="single" w:sz="4" w:space="0" w:color="auto"/>
            </w:tcBorders>
          </w:tcPr>
          <w:p>
            <w:pPr>
              <w:pStyle w:val="yTable"/>
              <w:spacing w:after="20"/>
              <w:rPr>
                <w:spacing w:val="-2"/>
                <w:sz w:val="20"/>
              </w:rPr>
            </w:pPr>
            <w:r>
              <w:rPr>
                <w:spacing w:val="-2"/>
                <w:sz w:val="20"/>
              </w:rPr>
              <w:t>at cost</w:t>
            </w:r>
          </w:p>
        </w:tc>
      </w:tr>
    </w:tbl>
    <w:p>
      <w:pPr>
        <w:pStyle w:val="zyMiscellaneousHeading"/>
        <w:rPr>
          <w:snapToGrid w:val="0"/>
        </w:rPr>
      </w:pPr>
      <w:r>
        <w:rPr>
          <w:snapToGrid w:val="0"/>
        </w:rPr>
        <w:t>Johns Creek Boat Harbour (Point Samson)</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431"/>
        <w:gridCol w:w="1470"/>
      </w:tblGrid>
      <w:tr>
        <w:tc>
          <w:tcPr>
            <w:tcW w:w="5431" w:type="dxa"/>
          </w:tcPr>
          <w:p>
            <w:pPr>
              <w:pStyle w:val="yTable"/>
              <w:spacing w:after="20"/>
              <w:rPr>
                <w:spacing w:val="-2"/>
                <w:sz w:val="20"/>
              </w:rPr>
            </w:pPr>
            <w:r>
              <w:rPr>
                <w:spacing w:val="-2"/>
                <w:sz w:val="20"/>
              </w:rPr>
              <w:t>Slippage Fees </w:t>
            </w:r>
            <w:r>
              <w:rPr>
                <w:i/>
                <w:snapToGrid w:val="0"/>
                <w:sz w:val="20"/>
              </w:rPr>
              <w:t>—</w:t>
            </w:r>
            <w:r>
              <w:rPr>
                <w:spacing w:val="-2"/>
                <w:sz w:val="20"/>
              </w:rPr>
              <w:t> </w:t>
            </w:r>
          </w:p>
        </w:tc>
        <w:tc>
          <w:tcPr>
            <w:tcW w:w="1470" w:type="dxa"/>
          </w:tcPr>
          <w:p>
            <w:pPr>
              <w:pStyle w:val="yTable"/>
              <w:spacing w:after="20"/>
              <w:rPr>
                <w:spacing w:val="-2"/>
                <w:sz w:val="20"/>
              </w:rPr>
            </w:pPr>
          </w:p>
        </w:tc>
      </w:tr>
      <w:tr>
        <w:tc>
          <w:tcPr>
            <w:tcW w:w="5431" w:type="dxa"/>
          </w:tcPr>
          <w:p>
            <w:pPr>
              <w:pStyle w:val="yTable"/>
              <w:spacing w:after="20"/>
              <w:ind w:left="243" w:hanging="243"/>
              <w:rPr>
                <w:spacing w:val="-2"/>
                <w:sz w:val="20"/>
              </w:rPr>
            </w:pPr>
            <w:r>
              <w:rPr>
                <w:spacing w:val="-2"/>
                <w:sz w:val="20"/>
              </w:rPr>
              <w:tab/>
              <w:t>Vessels for which annual pen fees paid </w:t>
            </w:r>
            <w:r>
              <w:rPr>
                <w:i/>
                <w:snapToGrid w:val="0"/>
                <w:sz w:val="20"/>
              </w:rPr>
              <w:t>—</w:t>
            </w:r>
            <w:r>
              <w:rPr>
                <w:spacing w:val="-2"/>
                <w:sz w:val="20"/>
              </w:rPr>
              <w:t> </w:t>
            </w:r>
          </w:p>
        </w:tc>
        <w:tc>
          <w:tcPr>
            <w:tcW w:w="1470" w:type="dxa"/>
          </w:tcPr>
          <w:p>
            <w:pPr>
              <w:pStyle w:val="yTable"/>
              <w:spacing w:after="20"/>
              <w:rPr>
                <w:spacing w:val="-2"/>
                <w:sz w:val="20"/>
              </w:rPr>
            </w:pPr>
          </w:p>
        </w:tc>
      </w:tr>
      <w:tr>
        <w:tc>
          <w:tcPr>
            <w:tcW w:w="5431" w:type="dxa"/>
          </w:tcPr>
          <w:p>
            <w:pPr>
              <w:pStyle w:val="yTable"/>
              <w:tabs>
                <w:tab w:val="left" w:pos="433"/>
              </w:tabs>
              <w:spacing w:after="20"/>
              <w:rPr>
                <w:spacing w:val="-2"/>
                <w:sz w:val="20"/>
              </w:rPr>
            </w:pPr>
            <w:r>
              <w:rPr>
                <w:spacing w:val="-2"/>
                <w:sz w:val="20"/>
              </w:rPr>
              <w:tab/>
              <w:t>Vessels not exceeding 15 m</w:t>
            </w:r>
          </w:p>
        </w:tc>
        <w:tc>
          <w:tcPr>
            <w:tcW w:w="1470" w:type="dxa"/>
          </w:tcPr>
          <w:p>
            <w:pPr>
              <w:pStyle w:val="yTable"/>
              <w:spacing w:after="20"/>
              <w:rPr>
                <w:spacing w:val="-2"/>
                <w:sz w:val="20"/>
              </w:rPr>
            </w:pPr>
            <w:r>
              <w:rPr>
                <w:spacing w:val="-2"/>
                <w:sz w:val="20"/>
              </w:rPr>
              <w:t>$</w:t>
            </w:r>
            <w:r>
              <w:rPr>
                <w:sz w:val="20"/>
              </w:rPr>
              <w:t>122.84</w:t>
            </w:r>
          </w:p>
        </w:tc>
      </w:tr>
      <w:tr>
        <w:tc>
          <w:tcPr>
            <w:tcW w:w="5431" w:type="dxa"/>
          </w:tcPr>
          <w:p>
            <w:pPr>
              <w:pStyle w:val="yTable"/>
              <w:tabs>
                <w:tab w:val="left" w:pos="461"/>
              </w:tabs>
              <w:spacing w:after="20"/>
              <w:rPr>
                <w:spacing w:val="-2"/>
                <w:sz w:val="20"/>
              </w:rPr>
            </w:pPr>
            <w:r>
              <w:rPr>
                <w:spacing w:val="-2"/>
                <w:sz w:val="20"/>
              </w:rPr>
              <w:tab/>
              <w:t>Vessels over 15 m</w:t>
            </w:r>
          </w:p>
        </w:tc>
        <w:tc>
          <w:tcPr>
            <w:tcW w:w="1470" w:type="dxa"/>
          </w:tcPr>
          <w:p>
            <w:pPr>
              <w:pStyle w:val="yTable"/>
              <w:spacing w:after="20"/>
              <w:rPr>
                <w:spacing w:val="-2"/>
                <w:sz w:val="20"/>
              </w:rPr>
            </w:pPr>
            <w:r>
              <w:rPr>
                <w:sz w:val="20"/>
              </w:rPr>
              <w:t>$174.43</w:t>
            </w:r>
          </w:p>
        </w:tc>
      </w:tr>
      <w:tr>
        <w:tc>
          <w:tcPr>
            <w:tcW w:w="5431" w:type="dxa"/>
          </w:tcPr>
          <w:p>
            <w:pPr>
              <w:pStyle w:val="yTable"/>
              <w:keepNext/>
              <w:keepLines/>
              <w:tabs>
                <w:tab w:val="left" w:pos="243"/>
              </w:tabs>
              <w:spacing w:after="20"/>
              <w:rPr>
                <w:spacing w:val="-2"/>
                <w:sz w:val="20"/>
              </w:rPr>
            </w:pPr>
            <w:r>
              <w:rPr>
                <w:spacing w:val="-2"/>
                <w:sz w:val="20"/>
              </w:rPr>
              <w:tab/>
              <w:t>Vessels for which annual pen fees not paid </w:t>
            </w:r>
            <w:r>
              <w:rPr>
                <w:i/>
                <w:snapToGrid w:val="0"/>
                <w:sz w:val="20"/>
              </w:rPr>
              <w:t>—</w:t>
            </w:r>
            <w:r>
              <w:rPr>
                <w:spacing w:val="-2"/>
                <w:sz w:val="20"/>
              </w:rPr>
              <w:t> </w:t>
            </w:r>
          </w:p>
        </w:tc>
        <w:tc>
          <w:tcPr>
            <w:tcW w:w="1470" w:type="dxa"/>
          </w:tcPr>
          <w:p>
            <w:pPr>
              <w:pStyle w:val="yTable"/>
              <w:keepNext/>
              <w:keepLines/>
              <w:spacing w:after="20"/>
              <w:rPr>
                <w:spacing w:val="-2"/>
                <w:sz w:val="20"/>
              </w:rPr>
            </w:pPr>
          </w:p>
        </w:tc>
      </w:tr>
      <w:tr>
        <w:tc>
          <w:tcPr>
            <w:tcW w:w="5431" w:type="dxa"/>
            <w:tcBorders>
              <w:bottom w:val="nil"/>
            </w:tcBorders>
          </w:tcPr>
          <w:p>
            <w:pPr>
              <w:pStyle w:val="yTable"/>
              <w:keepNext/>
              <w:keepLines/>
              <w:tabs>
                <w:tab w:val="left" w:pos="475"/>
              </w:tabs>
              <w:spacing w:after="20"/>
              <w:rPr>
                <w:spacing w:val="-2"/>
                <w:sz w:val="20"/>
              </w:rPr>
            </w:pPr>
            <w:r>
              <w:rPr>
                <w:spacing w:val="-2"/>
                <w:sz w:val="20"/>
              </w:rPr>
              <w:tab/>
              <w:t>Vessels not exceeding 15 m</w:t>
            </w:r>
          </w:p>
        </w:tc>
        <w:tc>
          <w:tcPr>
            <w:tcW w:w="1470" w:type="dxa"/>
            <w:tcBorders>
              <w:bottom w:val="nil"/>
            </w:tcBorders>
          </w:tcPr>
          <w:p>
            <w:pPr>
              <w:pStyle w:val="yTable"/>
              <w:keepNext/>
              <w:keepLines/>
              <w:spacing w:after="20"/>
              <w:rPr>
                <w:spacing w:val="-2"/>
                <w:sz w:val="20"/>
              </w:rPr>
            </w:pPr>
            <w:r>
              <w:rPr>
                <w:sz w:val="20"/>
              </w:rPr>
              <w:t>$147.41</w:t>
            </w:r>
          </w:p>
        </w:tc>
      </w:tr>
      <w:tr>
        <w:tc>
          <w:tcPr>
            <w:tcW w:w="5431" w:type="dxa"/>
            <w:tcBorders>
              <w:bottom w:val="nil"/>
            </w:tcBorders>
          </w:tcPr>
          <w:p>
            <w:pPr>
              <w:pStyle w:val="yTable"/>
              <w:tabs>
                <w:tab w:val="left" w:pos="489"/>
              </w:tabs>
              <w:spacing w:after="20"/>
              <w:rPr>
                <w:spacing w:val="-2"/>
                <w:sz w:val="20"/>
              </w:rPr>
            </w:pPr>
            <w:r>
              <w:rPr>
                <w:spacing w:val="-2"/>
                <w:sz w:val="20"/>
              </w:rPr>
              <w:tab/>
              <w:t>Vessels over 15 m</w:t>
            </w:r>
          </w:p>
        </w:tc>
        <w:tc>
          <w:tcPr>
            <w:tcW w:w="1470" w:type="dxa"/>
            <w:tcBorders>
              <w:bottom w:val="nil"/>
            </w:tcBorders>
          </w:tcPr>
          <w:p>
            <w:pPr>
              <w:pStyle w:val="yTable"/>
              <w:spacing w:after="20"/>
              <w:rPr>
                <w:spacing w:val="-2"/>
                <w:sz w:val="20"/>
              </w:rPr>
            </w:pPr>
            <w:r>
              <w:rPr>
                <w:sz w:val="20"/>
              </w:rPr>
              <w:t>$214.97</w:t>
            </w:r>
          </w:p>
        </w:tc>
      </w:tr>
      <w:tr>
        <w:tc>
          <w:tcPr>
            <w:tcW w:w="5431" w:type="dxa"/>
            <w:tcBorders>
              <w:bottom w:val="nil"/>
            </w:tcBorders>
          </w:tcPr>
          <w:p>
            <w:pPr>
              <w:pStyle w:val="yTable"/>
              <w:tabs>
                <w:tab w:val="left" w:pos="624"/>
              </w:tabs>
              <w:spacing w:after="20"/>
              <w:rPr>
                <w:spacing w:val="-2"/>
                <w:sz w:val="20"/>
              </w:rPr>
            </w:pPr>
            <w:r>
              <w:rPr>
                <w:spacing w:val="-2"/>
                <w:sz w:val="20"/>
              </w:rPr>
              <w:t>Water Charges</w:t>
            </w:r>
          </w:p>
        </w:tc>
        <w:tc>
          <w:tcPr>
            <w:tcW w:w="1470" w:type="dxa"/>
            <w:tcBorders>
              <w:bottom w:val="nil"/>
            </w:tcBorders>
          </w:tcPr>
          <w:p>
            <w:pPr>
              <w:pStyle w:val="yTable"/>
              <w:spacing w:after="20"/>
              <w:rPr>
                <w:spacing w:val="-2"/>
                <w:sz w:val="20"/>
              </w:rPr>
            </w:pPr>
            <w:r>
              <w:rPr>
                <w:sz w:val="20"/>
              </w:rPr>
              <w:t>$3.32</w:t>
            </w:r>
            <w:r>
              <w:rPr>
                <w:spacing w:val="-2"/>
                <w:sz w:val="20"/>
              </w:rPr>
              <w:t xml:space="preserve"> (per day)</w:t>
            </w:r>
          </w:p>
        </w:tc>
      </w:tr>
      <w:tr>
        <w:tc>
          <w:tcPr>
            <w:tcW w:w="5431" w:type="dxa"/>
            <w:tcBorders>
              <w:top w:val="single" w:sz="4" w:space="0" w:color="auto"/>
              <w:bottom w:val="single" w:sz="4" w:space="0" w:color="auto"/>
            </w:tcBorders>
          </w:tcPr>
          <w:p>
            <w:pPr>
              <w:pStyle w:val="yTable"/>
              <w:spacing w:after="20"/>
              <w:rPr>
                <w:spacing w:val="-2"/>
                <w:sz w:val="20"/>
              </w:rPr>
            </w:pPr>
            <w:r>
              <w:rPr>
                <w:spacing w:val="-2"/>
                <w:sz w:val="20"/>
              </w:rPr>
              <w:t>Electrical power</w:t>
            </w:r>
          </w:p>
        </w:tc>
        <w:tc>
          <w:tcPr>
            <w:tcW w:w="1470" w:type="dxa"/>
            <w:tcBorders>
              <w:top w:val="single" w:sz="4" w:space="0" w:color="auto"/>
              <w:bottom w:val="single" w:sz="4" w:space="0" w:color="auto"/>
            </w:tcBorders>
          </w:tcPr>
          <w:p>
            <w:pPr>
              <w:pStyle w:val="yTable"/>
              <w:spacing w:after="20"/>
              <w:rPr>
                <w:spacing w:val="-2"/>
                <w:sz w:val="20"/>
              </w:rPr>
            </w:pPr>
            <w:r>
              <w:rPr>
                <w:spacing w:val="-2"/>
                <w:sz w:val="20"/>
              </w:rPr>
              <w:t xml:space="preserve">at cost, with a minimum daily charge of </w:t>
            </w:r>
            <w:r>
              <w:rPr>
                <w:sz w:val="20"/>
              </w:rPr>
              <w:t>$5.71</w:t>
            </w:r>
          </w:p>
        </w:tc>
      </w:tr>
    </w:tbl>
    <w:p>
      <w:pPr>
        <w:pStyle w:val="zyMiscellaneousHeading"/>
        <w:rPr>
          <w:snapToGrid w:val="0"/>
        </w:rPr>
      </w:pPr>
      <w:r>
        <w:rPr>
          <w:snapToGrid w:val="0"/>
        </w:rPr>
        <w:t>Princess Royal Harbour (Albany)</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431"/>
        <w:gridCol w:w="1470"/>
      </w:tblGrid>
      <w:tr>
        <w:tc>
          <w:tcPr>
            <w:tcW w:w="5431" w:type="dxa"/>
          </w:tcPr>
          <w:p>
            <w:pPr>
              <w:pStyle w:val="yTable"/>
              <w:spacing w:after="20"/>
              <w:rPr>
                <w:spacing w:val="-2"/>
                <w:sz w:val="20"/>
              </w:rPr>
            </w:pPr>
            <w:r>
              <w:rPr>
                <w:spacing w:val="-2"/>
                <w:sz w:val="20"/>
              </w:rPr>
              <w:t>Slippage Fees — </w:t>
            </w:r>
          </w:p>
        </w:tc>
        <w:tc>
          <w:tcPr>
            <w:tcW w:w="1470" w:type="dxa"/>
          </w:tcPr>
          <w:p>
            <w:pPr>
              <w:pStyle w:val="yTable"/>
              <w:spacing w:after="20"/>
              <w:rPr>
                <w:spacing w:val="-2"/>
                <w:sz w:val="20"/>
              </w:rPr>
            </w:pPr>
          </w:p>
        </w:tc>
      </w:tr>
      <w:tr>
        <w:tc>
          <w:tcPr>
            <w:tcW w:w="5431" w:type="dxa"/>
          </w:tcPr>
          <w:p>
            <w:pPr>
              <w:pStyle w:val="yTable"/>
              <w:spacing w:after="20"/>
              <w:rPr>
                <w:spacing w:val="-2"/>
                <w:sz w:val="20"/>
              </w:rPr>
            </w:pPr>
            <w:r>
              <w:rPr>
                <w:spacing w:val="-2"/>
                <w:sz w:val="20"/>
              </w:rPr>
              <w:t>Vessels not exceeding 100 Gross Registered Tonnes — </w:t>
            </w:r>
          </w:p>
        </w:tc>
        <w:tc>
          <w:tcPr>
            <w:tcW w:w="1470" w:type="dxa"/>
          </w:tcPr>
          <w:p>
            <w:pPr>
              <w:pStyle w:val="yTable"/>
              <w:spacing w:after="20"/>
              <w:rPr>
                <w:spacing w:val="-2"/>
                <w:sz w:val="20"/>
              </w:rPr>
            </w:pPr>
          </w:p>
        </w:tc>
      </w:tr>
      <w:tr>
        <w:tc>
          <w:tcPr>
            <w:tcW w:w="5431" w:type="dxa"/>
          </w:tcPr>
          <w:p>
            <w:pPr>
              <w:pStyle w:val="yTable"/>
              <w:tabs>
                <w:tab w:val="left" w:pos="243"/>
              </w:tabs>
              <w:spacing w:after="20"/>
              <w:rPr>
                <w:spacing w:val="-2"/>
                <w:sz w:val="20"/>
              </w:rPr>
            </w:pPr>
            <w:r>
              <w:rPr>
                <w:spacing w:val="-2"/>
                <w:sz w:val="20"/>
              </w:rPr>
              <w:tab/>
              <w:t>Vessels not exceeding 15 m</w:t>
            </w:r>
          </w:p>
        </w:tc>
        <w:tc>
          <w:tcPr>
            <w:tcW w:w="1470" w:type="dxa"/>
          </w:tcPr>
          <w:p>
            <w:pPr>
              <w:pStyle w:val="yTable"/>
              <w:spacing w:after="20"/>
              <w:rPr>
                <w:spacing w:val="-2"/>
                <w:sz w:val="20"/>
              </w:rPr>
            </w:pPr>
            <w:r>
              <w:rPr>
                <w:spacing w:val="-2"/>
                <w:sz w:val="20"/>
              </w:rPr>
              <w:t>$</w:t>
            </w:r>
            <w:r>
              <w:rPr>
                <w:sz w:val="20"/>
              </w:rPr>
              <w:t>146.76</w:t>
            </w:r>
          </w:p>
        </w:tc>
      </w:tr>
      <w:tr>
        <w:tc>
          <w:tcPr>
            <w:tcW w:w="5431" w:type="dxa"/>
          </w:tcPr>
          <w:p>
            <w:pPr>
              <w:pStyle w:val="yTable"/>
              <w:tabs>
                <w:tab w:val="left" w:pos="243"/>
              </w:tabs>
              <w:spacing w:after="20"/>
              <w:ind w:left="170"/>
              <w:rPr>
                <w:spacing w:val="-2"/>
                <w:sz w:val="20"/>
              </w:rPr>
            </w:pPr>
            <w:r>
              <w:rPr>
                <w:spacing w:val="-2"/>
                <w:sz w:val="20"/>
              </w:rPr>
              <w:tab/>
              <w:t>Vessels over 15 but not exceeding 20 m</w:t>
            </w:r>
          </w:p>
        </w:tc>
        <w:tc>
          <w:tcPr>
            <w:tcW w:w="1470" w:type="dxa"/>
          </w:tcPr>
          <w:p>
            <w:pPr>
              <w:pStyle w:val="yTable"/>
              <w:spacing w:after="20"/>
              <w:rPr>
                <w:spacing w:val="-2"/>
                <w:sz w:val="20"/>
              </w:rPr>
            </w:pPr>
            <w:r>
              <w:rPr>
                <w:spacing w:val="-2"/>
                <w:sz w:val="20"/>
              </w:rPr>
              <w:t>$</w:t>
            </w:r>
            <w:r>
              <w:rPr>
                <w:sz w:val="20"/>
              </w:rPr>
              <w:t>236.60</w:t>
            </w:r>
          </w:p>
        </w:tc>
      </w:tr>
      <w:tr>
        <w:tc>
          <w:tcPr>
            <w:tcW w:w="5431" w:type="dxa"/>
          </w:tcPr>
          <w:p>
            <w:pPr>
              <w:pStyle w:val="yTable"/>
              <w:tabs>
                <w:tab w:val="left" w:pos="243"/>
              </w:tabs>
              <w:spacing w:after="20"/>
              <w:ind w:left="170"/>
              <w:rPr>
                <w:spacing w:val="-2"/>
                <w:sz w:val="20"/>
              </w:rPr>
            </w:pPr>
            <w:r>
              <w:rPr>
                <w:spacing w:val="-2"/>
                <w:sz w:val="20"/>
              </w:rPr>
              <w:tab/>
              <w:t>Vessels over 20 but not exceeding 25 m</w:t>
            </w:r>
          </w:p>
        </w:tc>
        <w:tc>
          <w:tcPr>
            <w:tcW w:w="1470" w:type="dxa"/>
          </w:tcPr>
          <w:p>
            <w:pPr>
              <w:pStyle w:val="yTable"/>
              <w:spacing w:after="20"/>
              <w:rPr>
                <w:spacing w:val="-2"/>
                <w:sz w:val="20"/>
              </w:rPr>
            </w:pPr>
            <w:r>
              <w:rPr>
                <w:spacing w:val="-2"/>
                <w:sz w:val="20"/>
              </w:rPr>
              <w:t>$294.80</w:t>
            </w:r>
          </w:p>
        </w:tc>
      </w:tr>
      <w:tr>
        <w:tc>
          <w:tcPr>
            <w:tcW w:w="5431" w:type="dxa"/>
          </w:tcPr>
          <w:p>
            <w:pPr>
              <w:pStyle w:val="yTable"/>
              <w:tabs>
                <w:tab w:val="left" w:pos="243"/>
              </w:tabs>
              <w:spacing w:after="20"/>
              <w:ind w:left="170"/>
              <w:rPr>
                <w:spacing w:val="-2"/>
                <w:sz w:val="20"/>
              </w:rPr>
            </w:pPr>
            <w:r>
              <w:rPr>
                <w:spacing w:val="-2"/>
                <w:sz w:val="20"/>
              </w:rPr>
              <w:tab/>
              <w:t>Vessels over 25 m</w:t>
            </w:r>
          </w:p>
        </w:tc>
        <w:tc>
          <w:tcPr>
            <w:tcW w:w="1470" w:type="dxa"/>
          </w:tcPr>
          <w:p>
            <w:pPr>
              <w:pStyle w:val="yTable"/>
              <w:spacing w:after="20"/>
              <w:rPr>
                <w:spacing w:val="-2"/>
                <w:sz w:val="20"/>
              </w:rPr>
            </w:pPr>
            <w:r>
              <w:rPr>
                <w:spacing w:val="-2"/>
                <w:sz w:val="20"/>
              </w:rPr>
              <w:t>$442.85</w:t>
            </w:r>
          </w:p>
        </w:tc>
      </w:tr>
      <w:tr>
        <w:tc>
          <w:tcPr>
            <w:tcW w:w="5431" w:type="dxa"/>
          </w:tcPr>
          <w:p>
            <w:pPr>
              <w:pStyle w:val="yTable"/>
              <w:spacing w:after="20"/>
              <w:ind w:left="461" w:hanging="218"/>
              <w:rPr>
                <w:spacing w:val="-2"/>
                <w:sz w:val="20"/>
              </w:rPr>
            </w:pPr>
            <w:r>
              <w:rPr>
                <w:spacing w:val="-2"/>
                <w:sz w:val="20"/>
              </w:rPr>
              <w:t>Vessels over 100 but not exceeding 200 Gross Registered Tons</w:t>
            </w:r>
          </w:p>
        </w:tc>
        <w:tc>
          <w:tcPr>
            <w:tcW w:w="1470" w:type="dxa"/>
          </w:tcPr>
          <w:p>
            <w:pPr>
              <w:pStyle w:val="yTable"/>
              <w:spacing w:after="20"/>
              <w:rPr>
                <w:spacing w:val="-2"/>
                <w:sz w:val="20"/>
              </w:rPr>
            </w:pPr>
            <w:r>
              <w:rPr>
                <w:spacing w:val="-2"/>
                <w:sz w:val="20"/>
              </w:rPr>
              <w:t>$1 437.32</w:t>
            </w:r>
          </w:p>
        </w:tc>
      </w:tr>
      <w:tr>
        <w:tc>
          <w:tcPr>
            <w:tcW w:w="5431" w:type="dxa"/>
            <w:tcBorders>
              <w:bottom w:val="nil"/>
            </w:tcBorders>
          </w:tcPr>
          <w:p>
            <w:pPr>
              <w:pStyle w:val="yTable"/>
              <w:tabs>
                <w:tab w:val="left" w:pos="243"/>
              </w:tabs>
              <w:spacing w:after="20"/>
              <w:rPr>
                <w:spacing w:val="-2"/>
                <w:sz w:val="20"/>
              </w:rPr>
            </w:pPr>
            <w:r>
              <w:rPr>
                <w:spacing w:val="-2"/>
                <w:sz w:val="20"/>
              </w:rPr>
              <w:tab/>
              <w:t>Vessels over 200 Gross Registered Tons:</w:t>
            </w:r>
          </w:p>
        </w:tc>
        <w:tc>
          <w:tcPr>
            <w:tcW w:w="1470" w:type="dxa"/>
            <w:tcBorders>
              <w:bottom w:val="nil"/>
            </w:tcBorders>
          </w:tcPr>
          <w:p>
            <w:pPr>
              <w:pStyle w:val="yTable"/>
              <w:spacing w:after="20"/>
              <w:rPr>
                <w:spacing w:val="-2"/>
                <w:sz w:val="20"/>
              </w:rPr>
            </w:pPr>
            <w:r>
              <w:rPr>
                <w:spacing w:val="-2"/>
                <w:sz w:val="20"/>
              </w:rPr>
              <w:t>$2 844.29</w:t>
            </w:r>
          </w:p>
        </w:tc>
      </w:tr>
      <w:tr>
        <w:tc>
          <w:tcPr>
            <w:tcW w:w="5431" w:type="dxa"/>
            <w:tcBorders>
              <w:bottom w:val="single" w:sz="4" w:space="0" w:color="auto"/>
            </w:tcBorders>
          </w:tcPr>
          <w:p>
            <w:pPr>
              <w:pStyle w:val="yTable"/>
              <w:tabs>
                <w:tab w:val="left" w:pos="243"/>
              </w:tabs>
              <w:spacing w:after="20"/>
              <w:rPr>
                <w:spacing w:val="-2"/>
                <w:sz w:val="20"/>
              </w:rPr>
            </w:pPr>
            <w:r>
              <w:rPr>
                <w:spacing w:val="-2"/>
                <w:sz w:val="20"/>
              </w:rPr>
              <w:tab/>
              <w:t>Operator’s Time — At cost with a minimum for each service</w:t>
            </w:r>
          </w:p>
        </w:tc>
        <w:tc>
          <w:tcPr>
            <w:tcW w:w="1470" w:type="dxa"/>
            <w:tcBorders>
              <w:bottom w:val="single" w:sz="4" w:space="0" w:color="auto"/>
            </w:tcBorders>
          </w:tcPr>
          <w:p>
            <w:pPr>
              <w:pStyle w:val="yTable"/>
              <w:spacing w:after="20"/>
              <w:rPr>
                <w:spacing w:val="-2"/>
                <w:sz w:val="20"/>
              </w:rPr>
            </w:pPr>
            <w:r>
              <w:rPr>
                <w:spacing w:val="-2"/>
                <w:sz w:val="20"/>
              </w:rPr>
              <w:t>$356.80</w:t>
            </w:r>
          </w:p>
        </w:tc>
      </w:tr>
    </w:tbl>
    <w:p>
      <w:pPr>
        <w:pStyle w:val="zyMiscellaneousHeading"/>
        <w:pageBreakBefore/>
        <w:rPr>
          <w:snapToGrid w:val="0"/>
        </w:rPr>
      </w:pPr>
      <w:r>
        <w:rPr>
          <w:snapToGrid w:val="0"/>
        </w:rPr>
        <w:t>Wyndham Port</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417"/>
        <w:gridCol w:w="1456"/>
      </w:tblGrid>
      <w:tr>
        <w:tc>
          <w:tcPr>
            <w:tcW w:w="5417" w:type="dxa"/>
          </w:tcPr>
          <w:p>
            <w:pPr>
              <w:pStyle w:val="yTable"/>
              <w:spacing w:after="20"/>
              <w:rPr>
                <w:spacing w:val="-2"/>
                <w:sz w:val="20"/>
              </w:rPr>
            </w:pPr>
            <w:r>
              <w:rPr>
                <w:spacing w:val="-2"/>
                <w:sz w:val="20"/>
              </w:rPr>
              <w:t>Slippage Fees — </w:t>
            </w:r>
          </w:p>
        </w:tc>
        <w:tc>
          <w:tcPr>
            <w:tcW w:w="1456" w:type="dxa"/>
          </w:tcPr>
          <w:p>
            <w:pPr>
              <w:pStyle w:val="yTable"/>
              <w:spacing w:after="20"/>
              <w:rPr>
                <w:spacing w:val="-2"/>
                <w:sz w:val="20"/>
              </w:rPr>
            </w:pPr>
          </w:p>
        </w:tc>
      </w:tr>
      <w:tr>
        <w:tc>
          <w:tcPr>
            <w:tcW w:w="5417" w:type="dxa"/>
          </w:tcPr>
          <w:p>
            <w:pPr>
              <w:pStyle w:val="yTable"/>
              <w:tabs>
                <w:tab w:val="left" w:pos="229"/>
              </w:tabs>
              <w:spacing w:after="20"/>
              <w:rPr>
                <w:spacing w:val="-2"/>
                <w:sz w:val="20"/>
              </w:rPr>
            </w:pPr>
            <w:r>
              <w:rPr>
                <w:spacing w:val="-2"/>
                <w:sz w:val="20"/>
              </w:rPr>
              <w:tab/>
              <w:t>Vessels not exceeding 15 m</w:t>
            </w:r>
          </w:p>
        </w:tc>
        <w:tc>
          <w:tcPr>
            <w:tcW w:w="1456" w:type="dxa"/>
          </w:tcPr>
          <w:p>
            <w:pPr>
              <w:pStyle w:val="yTable"/>
              <w:spacing w:after="20"/>
              <w:rPr>
                <w:spacing w:val="-2"/>
                <w:sz w:val="20"/>
              </w:rPr>
            </w:pPr>
            <w:r>
              <w:rPr>
                <w:spacing w:val="-2"/>
                <w:sz w:val="20"/>
              </w:rPr>
              <w:t>$108.28</w:t>
            </w:r>
          </w:p>
        </w:tc>
      </w:tr>
      <w:tr>
        <w:tc>
          <w:tcPr>
            <w:tcW w:w="5417" w:type="dxa"/>
            <w:tcBorders>
              <w:bottom w:val="nil"/>
            </w:tcBorders>
          </w:tcPr>
          <w:p>
            <w:pPr>
              <w:pStyle w:val="yTable"/>
              <w:tabs>
                <w:tab w:val="left" w:pos="229"/>
              </w:tabs>
              <w:spacing w:after="20"/>
              <w:rPr>
                <w:spacing w:val="-2"/>
                <w:sz w:val="20"/>
              </w:rPr>
            </w:pPr>
            <w:r>
              <w:rPr>
                <w:spacing w:val="-2"/>
                <w:sz w:val="20"/>
              </w:rPr>
              <w:tab/>
              <w:t>Vessels over 15 m</w:t>
            </w:r>
          </w:p>
        </w:tc>
        <w:tc>
          <w:tcPr>
            <w:tcW w:w="1456" w:type="dxa"/>
            <w:tcBorders>
              <w:bottom w:val="nil"/>
            </w:tcBorders>
          </w:tcPr>
          <w:p>
            <w:pPr>
              <w:pStyle w:val="yTable"/>
              <w:spacing w:after="20"/>
              <w:rPr>
                <w:spacing w:val="-2"/>
                <w:sz w:val="20"/>
              </w:rPr>
            </w:pPr>
            <w:r>
              <w:rPr>
                <w:spacing w:val="-2"/>
                <w:sz w:val="20"/>
              </w:rPr>
              <w:t>$157.74</w:t>
            </w:r>
          </w:p>
        </w:tc>
      </w:tr>
      <w:tr>
        <w:tc>
          <w:tcPr>
            <w:tcW w:w="5417" w:type="dxa"/>
          </w:tcPr>
          <w:p>
            <w:pPr>
              <w:pStyle w:val="yTable"/>
              <w:tabs>
                <w:tab w:val="left" w:pos="624"/>
              </w:tabs>
              <w:spacing w:after="20"/>
              <w:rPr>
                <w:spacing w:val="-2"/>
                <w:sz w:val="20"/>
              </w:rPr>
            </w:pPr>
            <w:r>
              <w:rPr>
                <w:spacing w:val="-2"/>
                <w:sz w:val="20"/>
              </w:rPr>
              <w:t>Haulage charge — all vessels</w:t>
            </w:r>
          </w:p>
        </w:tc>
        <w:tc>
          <w:tcPr>
            <w:tcW w:w="1456" w:type="dxa"/>
          </w:tcPr>
          <w:p>
            <w:pPr>
              <w:pStyle w:val="yTable"/>
              <w:spacing w:after="20"/>
              <w:rPr>
                <w:spacing w:val="-2"/>
                <w:sz w:val="20"/>
              </w:rPr>
            </w:pPr>
            <w:r>
              <w:rPr>
                <w:spacing w:val="-2"/>
                <w:sz w:val="20"/>
              </w:rPr>
              <w:t>$132.33</w:t>
            </w:r>
          </w:p>
        </w:tc>
      </w:tr>
    </w:tbl>
    <w:p>
      <w:pPr>
        <w:pStyle w:val="yFootnotesection"/>
      </w:pPr>
      <w:r>
        <w:tab/>
        <w:t>[Division 8 inserted in Gazette 24 Jun 2005 p. 2822-5; amended in Gazette 23 Jun 2006 p. 2195</w:t>
      </w:r>
      <w:r>
        <w:noBreakHyphen/>
        <w:t>6.]</w:t>
      </w:r>
    </w:p>
    <w:p>
      <w:pPr>
        <w:pStyle w:val="yScheduleHeading"/>
        <w:rPr>
          <w:rStyle w:val="CharSchNo"/>
        </w:rPr>
      </w:pPr>
      <w:bookmarkStart w:id="868" w:name="_Toc139101842"/>
      <w:bookmarkStart w:id="869" w:name="_Toc139102027"/>
      <w:bookmarkStart w:id="870" w:name="_Toc139443375"/>
      <w:bookmarkStart w:id="871" w:name="_Toc98563081"/>
      <w:bookmarkStart w:id="872" w:name="_Toc102390991"/>
      <w:bookmarkEnd w:id="826"/>
      <w:bookmarkEnd w:id="827"/>
      <w:bookmarkEnd w:id="828"/>
      <w:r>
        <w:rPr>
          <w:rStyle w:val="CharSchNo"/>
        </w:rPr>
        <w:t>Schedule 2</w:t>
      </w:r>
      <w:bookmarkEnd w:id="868"/>
      <w:bookmarkEnd w:id="869"/>
      <w:bookmarkEnd w:id="870"/>
    </w:p>
    <w:p>
      <w:pPr>
        <w:pStyle w:val="yShoulderClause"/>
      </w:pPr>
      <w:r>
        <w:t>[r. 72]</w:t>
      </w:r>
    </w:p>
    <w:p>
      <w:pPr>
        <w:pStyle w:val="yFootnoteheading"/>
      </w:pPr>
      <w:r>
        <w:tab/>
        <w:t>[Heading inserted in Gazette 24 Jun 2005 p. 2825.]</w:t>
      </w:r>
    </w:p>
    <w:p>
      <w:pPr>
        <w:pStyle w:val="yHeading3"/>
      </w:pPr>
      <w:bookmarkStart w:id="873" w:name="_Toc139101843"/>
      <w:bookmarkStart w:id="874" w:name="_Toc139102028"/>
      <w:bookmarkStart w:id="875" w:name="_Toc139443376"/>
      <w:r>
        <w:rPr>
          <w:rStyle w:val="CharSDivNo"/>
        </w:rPr>
        <w:t>Division 1</w:t>
      </w:r>
      <w:r>
        <w:rPr>
          <w:b w:val="0"/>
        </w:rPr>
        <w:t> — </w:t>
      </w:r>
      <w:r>
        <w:rPr>
          <w:rStyle w:val="CharSDivText"/>
        </w:rPr>
        <w:t>Berthing fees: Port of Perth</w:t>
      </w:r>
      <w:bookmarkEnd w:id="873"/>
      <w:bookmarkEnd w:id="874"/>
      <w:bookmarkEnd w:id="875"/>
    </w:p>
    <w:p>
      <w:pPr>
        <w:pStyle w:val="yFootnoteheading"/>
      </w:pPr>
      <w:r>
        <w:tab/>
        <w:t>[Heading inserted in Gazette 24 Jun 2005 p. 2825.]</w:t>
      </w:r>
    </w:p>
    <w:p>
      <w:pPr>
        <w:pStyle w:val="yHeading4"/>
      </w:pPr>
      <w:bookmarkStart w:id="876" w:name="_Toc139101844"/>
      <w:bookmarkStart w:id="877" w:name="_Toc139102029"/>
      <w:bookmarkStart w:id="878" w:name="_Toc139443377"/>
      <w:r>
        <w:t>Subdivision 1</w:t>
      </w:r>
      <w:r>
        <w:rPr>
          <w:b w:val="0"/>
        </w:rPr>
        <w:t> — </w:t>
      </w:r>
      <w:r>
        <w:t>Barrack Street and Mends Street Jetties</w:t>
      </w:r>
      <w:bookmarkEnd w:id="876"/>
      <w:bookmarkEnd w:id="877"/>
      <w:bookmarkEnd w:id="878"/>
    </w:p>
    <w:p>
      <w:pPr>
        <w:pStyle w:val="yFootnoteheading"/>
      </w:pPr>
      <w:r>
        <w:tab/>
        <w:t>[Heading inserted in Gazette 24 Jun 2005 p. 2825.]</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005"/>
        <w:gridCol w:w="1882"/>
      </w:tblGrid>
      <w:tr>
        <w:tc>
          <w:tcPr>
            <w:tcW w:w="5005" w:type="dxa"/>
          </w:tcPr>
          <w:p>
            <w:pPr>
              <w:pStyle w:val="yTable"/>
              <w:tabs>
                <w:tab w:val="left" w:pos="567"/>
              </w:tabs>
              <w:spacing w:after="20"/>
              <w:rPr>
                <w:spacing w:val="-2"/>
                <w:sz w:val="20"/>
              </w:rPr>
            </w:pPr>
            <w:r>
              <w:rPr>
                <w:b/>
                <w:spacing w:val="-2"/>
                <w:sz w:val="20"/>
              </w:rPr>
              <w:t>Annual Rate</w:t>
            </w:r>
            <w:r>
              <w:rPr>
                <w:spacing w:val="-2"/>
                <w:sz w:val="20"/>
              </w:rPr>
              <w:t xml:space="preserve"> (based on surveyed passenger carrying capacity for the vessel’s highest class of survey)</w:t>
            </w:r>
          </w:p>
          <w:p>
            <w:pPr>
              <w:pStyle w:val="yTable"/>
              <w:tabs>
                <w:tab w:val="left" w:pos="567"/>
              </w:tabs>
              <w:spacing w:after="20"/>
              <w:rPr>
                <w:spacing w:val="-2"/>
                <w:sz w:val="20"/>
              </w:rPr>
            </w:pPr>
            <w:r>
              <w:rPr>
                <w:spacing w:val="-2"/>
                <w:sz w:val="20"/>
              </w:rPr>
              <w:tab/>
            </w:r>
            <w:r>
              <w:rPr>
                <w:b/>
                <w:i/>
                <w:spacing w:val="-2"/>
                <w:sz w:val="20"/>
              </w:rPr>
              <w:t>plus</w:t>
            </w:r>
            <w:r>
              <w:rPr>
                <w:spacing w:val="-2"/>
                <w:sz w:val="20"/>
              </w:rPr>
              <w:t> —</w:t>
            </w:r>
          </w:p>
        </w:tc>
        <w:tc>
          <w:tcPr>
            <w:tcW w:w="1882" w:type="dxa"/>
          </w:tcPr>
          <w:p>
            <w:pPr>
              <w:pStyle w:val="yTable"/>
              <w:spacing w:after="20"/>
              <w:rPr>
                <w:spacing w:val="-2"/>
                <w:sz w:val="20"/>
              </w:rPr>
            </w:pPr>
            <w:r>
              <w:rPr>
                <w:spacing w:val="-2"/>
                <w:sz w:val="20"/>
              </w:rPr>
              <w:br/>
              <w:t>$43.00 per passenger</w:t>
            </w:r>
          </w:p>
        </w:tc>
      </w:tr>
      <w:tr>
        <w:tc>
          <w:tcPr>
            <w:tcW w:w="5005" w:type="dxa"/>
            <w:tcBorders>
              <w:bottom w:val="nil"/>
            </w:tcBorders>
          </w:tcPr>
          <w:p>
            <w:pPr>
              <w:pStyle w:val="yTable"/>
              <w:tabs>
                <w:tab w:val="left" w:pos="1044"/>
              </w:tabs>
              <w:spacing w:after="20"/>
              <w:rPr>
                <w:spacing w:val="-2"/>
                <w:sz w:val="20"/>
              </w:rPr>
            </w:pPr>
            <w:r>
              <w:rPr>
                <w:spacing w:val="-2"/>
                <w:sz w:val="20"/>
              </w:rPr>
              <w:tab/>
              <w:t>Vessels up to 35 m</w:t>
            </w:r>
          </w:p>
        </w:tc>
        <w:tc>
          <w:tcPr>
            <w:tcW w:w="1882" w:type="dxa"/>
            <w:tcBorders>
              <w:bottom w:val="nil"/>
            </w:tcBorders>
          </w:tcPr>
          <w:p>
            <w:pPr>
              <w:pStyle w:val="yTable"/>
              <w:spacing w:after="20"/>
              <w:rPr>
                <w:spacing w:val="-2"/>
                <w:sz w:val="20"/>
              </w:rPr>
            </w:pPr>
            <w:r>
              <w:rPr>
                <w:spacing w:val="-2"/>
                <w:sz w:val="20"/>
              </w:rPr>
              <w:t>$307.10/m x length of vessel, or $5 527.84 (whichever is higher)</w:t>
            </w:r>
          </w:p>
        </w:tc>
      </w:tr>
      <w:tr>
        <w:tc>
          <w:tcPr>
            <w:tcW w:w="5005" w:type="dxa"/>
          </w:tcPr>
          <w:p>
            <w:pPr>
              <w:pStyle w:val="yTable"/>
              <w:tabs>
                <w:tab w:val="left" w:pos="1044"/>
              </w:tabs>
              <w:spacing w:after="20"/>
              <w:rPr>
                <w:spacing w:val="-2"/>
                <w:sz w:val="20"/>
              </w:rPr>
            </w:pPr>
            <w:r>
              <w:rPr>
                <w:spacing w:val="-2"/>
                <w:sz w:val="20"/>
              </w:rPr>
              <w:tab/>
              <w:t>Vessels 35 m and over</w:t>
            </w:r>
          </w:p>
        </w:tc>
        <w:tc>
          <w:tcPr>
            <w:tcW w:w="1882" w:type="dxa"/>
          </w:tcPr>
          <w:p>
            <w:pPr>
              <w:pStyle w:val="yTable"/>
              <w:spacing w:after="20"/>
              <w:rPr>
                <w:spacing w:val="-2"/>
                <w:sz w:val="20"/>
              </w:rPr>
            </w:pPr>
            <w:r>
              <w:rPr>
                <w:spacing w:val="-2"/>
                <w:sz w:val="20"/>
              </w:rPr>
              <w:t>$491.36/m x length of vessel</w:t>
            </w:r>
          </w:p>
        </w:tc>
      </w:tr>
      <w:tr>
        <w:tc>
          <w:tcPr>
            <w:tcW w:w="5005" w:type="dxa"/>
          </w:tcPr>
          <w:p>
            <w:pPr>
              <w:pStyle w:val="yTable"/>
              <w:tabs>
                <w:tab w:val="left" w:pos="624"/>
              </w:tabs>
              <w:spacing w:after="20"/>
              <w:rPr>
                <w:b/>
                <w:i/>
                <w:spacing w:val="-2"/>
                <w:sz w:val="20"/>
              </w:rPr>
            </w:pPr>
            <w:r>
              <w:rPr>
                <w:spacing w:val="-2"/>
                <w:sz w:val="20"/>
              </w:rPr>
              <w:tab/>
            </w:r>
            <w:r>
              <w:rPr>
                <w:b/>
                <w:i/>
                <w:spacing w:val="-2"/>
                <w:sz w:val="20"/>
              </w:rPr>
              <w:t>less</w:t>
            </w:r>
          </w:p>
        </w:tc>
        <w:tc>
          <w:tcPr>
            <w:tcW w:w="1882" w:type="dxa"/>
          </w:tcPr>
          <w:p>
            <w:pPr>
              <w:pStyle w:val="yTable"/>
              <w:spacing w:after="20"/>
              <w:rPr>
                <w:spacing w:val="-2"/>
                <w:sz w:val="20"/>
              </w:rPr>
            </w:pPr>
            <w:r>
              <w:rPr>
                <w:spacing w:val="-2"/>
                <w:sz w:val="20"/>
              </w:rPr>
              <w:t>$4 299.40</w:t>
            </w:r>
          </w:p>
        </w:tc>
      </w:tr>
      <w:tr>
        <w:tc>
          <w:tcPr>
            <w:tcW w:w="5005" w:type="dxa"/>
            <w:tcBorders>
              <w:bottom w:val="nil"/>
            </w:tcBorders>
          </w:tcPr>
          <w:p>
            <w:pPr>
              <w:pStyle w:val="yTable"/>
              <w:tabs>
                <w:tab w:val="left" w:pos="624"/>
              </w:tabs>
              <w:spacing w:after="20"/>
              <w:rPr>
                <w:b/>
                <w:spacing w:val="-2"/>
                <w:sz w:val="20"/>
              </w:rPr>
            </w:pPr>
            <w:r>
              <w:rPr>
                <w:b/>
                <w:spacing w:val="-2"/>
                <w:sz w:val="20"/>
              </w:rPr>
              <w:t>Minimum Annual Fee</w:t>
            </w:r>
          </w:p>
        </w:tc>
        <w:tc>
          <w:tcPr>
            <w:tcW w:w="1882" w:type="dxa"/>
            <w:tcBorders>
              <w:bottom w:val="nil"/>
            </w:tcBorders>
          </w:tcPr>
          <w:p>
            <w:pPr>
              <w:pStyle w:val="yTable"/>
              <w:spacing w:after="20"/>
              <w:rPr>
                <w:spacing w:val="-2"/>
                <w:sz w:val="20"/>
              </w:rPr>
            </w:pPr>
            <w:r>
              <w:rPr>
                <w:spacing w:val="-2"/>
                <w:sz w:val="20"/>
              </w:rPr>
              <w:t>$3 071.01</w:t>
            </w:r>
          </w:p>
        </w:tc>
      </w:tr>
      <w:tr>
        <w:tc>
          <w:tcPr>
            <w:tcW w:w="5005" w:type="dxa"/>
            <w:tcBorders>
              <w:bottom w:val="single" w:sz="4" w:space="0" w:color="auto"/>
            </w:tcBorders>
          </w:tcPr>
          <w:p>
            <w:pPr>
              <w:pStyle w:val="yTable"/>
              <w:tabs>
                <w:tab w:val="left" w:pos="624"/>
              </w:tabs>
              <w:spacing w:after="20"/>
              <w:rPr>
                <w:b/>
                <w:spacing w:val="-2"/>
                <w:sz w:val="20"/>
              </w:rPr>
            </w:pPr>
            <w:r>
              <w:rPr>
                <w:b/>
                <w:spacing w:val="-2"/>
                <w:sz w:val="20"/>
              </w:rPr>
              <w:t xml:space="preserve">Sullage Fee </w:t>
            </w:r>
            <w:r>
              <w:rPr>
                <w:spacing w:val="-2"/>
                <w:sz w:val="20"/>
              </w:rPr>
              <w:t>for vessels not paying annual fee</w:t>
            </w:r>
          </w:p>
        </w:tc>
        <w:tc>
          <w:tcPr>
            <w:tcW w:w="1882" w:type="dxa"/>
            <w:tcBorders>
              <w:bottom w:val="single" w:sz="4" w:space="0" w:color="auto"/>
            </w:tcBorders>
          </w:tcPr>
          <w:p>
            <w:pPr>
              <w:pStyle w:val="yTable"/>
              <w:spacing w:after="20"/>
              <w:rPr>
                <w:spacing w:val="-2"/>
                <w:sz w:val="20"/>
              </w:rPr>
            </w:pPr>
            <w:r>
              <w:rPr>
                <w:spacing w:val="-2"/>
                <w:sz w:val="20"/>
              </w:rPr>
              <w:t>$61.42 per pump out</w:t>
            </w:r>
          </w:p>
        </w:tc>
      </w:tr>
    </w:tbl>
    <w:p>
      <w:pPr>
        <w:pStyle w:val="yHeading4"/>
      </w:pPr>
      <w:bookmarkStart w:id="879" w:name="_Toc139101845"/>
      <w:bookmarkStart w:id="880" w:name="_Toc139102030"/>
      <w:bookmarkStart w:id="881" w:name="_Toc139443378"/>
      <w:r>
        <w:t>Subdivision 2</w:t>
      </w:r>
      <w:r>
        <w:rPr>
          <w:b w:val="0"/>
        </w:rPr>
        <w:t> — </w:t>
      </w:r>
      <w:r>
        <w:t>Swan and Canning Rivers</w:t>
      </w:r>
      <w:bookmarkEnd w:id="879"/>
      <w:bookmarkEnd w:id="880"/>
      <w:bookmarkEnd w:id="881"/>
    </w:p>
    <w:p>
      <w:pPr>
        <w:pStyle w:val="yFootnoteheading"/>
      </w:pPr>
      <w:r>
        <w:tab/>
        <w:t>[Heading inserted in Gazette 24 Jun 2005 p. 2826.]</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005"/>
        <w:gridCol w:w="1882"/>
      </w:tblGrid>
      <w:tr>
        <w:tc>
          <w:tcPr>
            <w:tcW w:w="5005" w:type="dxa"/>
          </w:tcPr>
          <w:p>
            <w:pPr>
              <w:pStyle w:val="yTable"/>
              <w:spacing w:after="20"/>
              <w:rPr>
                <w:spacing w:val="-2"/>
                <w:sz w:val="20"/>
              </w:rPr>
            </w:pPr>
            <w:r>
              <w:rPr>
                <w:spacing w:val="-2"/>
                <w:sz w:val="20"/>
              </w:rPr>
              <w:t>For other jetties provided by the Department —</w:t>
            </w:r>
          </w:p>
        </w:tc>
        <w:tc>
          <w:tcPr>
            <w:tcW w:w="1882" w:type="dxa"/>
          </w:tcPr>
          <w:p>
            <w:pPr>
              <w:pStyle w:val="yTable"/>
              <w:spacing w:after="20"/>
              <w:rPr>
                <w:spacing w:val="-2"/>
                <w:sz w:val="20"/>
              </w:rPr>
            </w:pPr>
          </w:p>
        </w:tc>
      </w:tr>
      <w:tr>
        <w:tc>
          <w:tcPr>
            <w:tcW w:w="5005" w:type="dxa"/>
            <w:tcBorders>
              <w:bottom w:val="nil"/>
            </w:tcBorders>
          </w:tcPr>
          <w:p>
            <w:pPr>
              <w:pStyle w:val="yTable"/>
              <w:tabs>
                <w:tab w:val="left" w:pos="482"/>
              </w:tabs>
              <w:spacing w:after="20"/>
              <w:rPr>
                <w:spacing w:val="-2"/>
                <w:sz w:val="20"/>
              </w:rPr>
            </w:pPr>
            <w:r>
              <w:rPr>
                <w:spacing w:val="-2"/>
                <w:sz w:val="20"/>
              </w:rPr>
              <w:t xml:space="preserve">Commercial or Charter Vessels — </w:t>
            </w:r>
          </w:p>
          <w:p>
            <w:pPr>
              <w:pStyle w:val="yTable"/>
              <w:tabs>
                <w:tab w:val="left" w:pos="243"/>
              </w:tabs>
              <w:spacing w:after="20"/>
              <w:rPr>
                <w:spacing w:val="-2"/>
                <w:sz w:val="20"/>
              </w:rPr>
            </w:pPr>
            <w:r>
              <w:rPr>
                <w:spacing w:val="-2"/>
                <w:sz w:val="20"/>
              </w:rPr>
              <w:tab/>
              <w:t>annual rate</w:t>
            </w:r>
          </w:p>
        </w:tc>
        <w:tc>
          <w:tcPr>
            <w:tcW w:w="1882" w:type="dxa"/>
            <w:tcBorders>
              <w:bottom w:val="nil"/>
            </w:tcBorders>
          </w:tcPr>
          <w:p>
            <w:pPr>
              <w:pStyle w:val="yTable"/>
              <w:spacing w:after="20"/>
              <w:rPr>
                <w:spacing w:val="-2"/>
                <w:sz w:val="20"/>
              </w:rPr>
            </w:pPr>
          </w:p>
          <w:p>
            <w:pPr>
              <w:pStyle w:val="yTable"/>
              <w:spacing w:after="20"/>
              <w:rPr>
                <w:spacing w:val="-2"/>
                <w:sz w:val="20"/>
              </w:rPr>
            </w:pPr>
            <w:r>
              <w:rPr>
                <w:spacing w:val="-2"/>
                <w:sz w:val="20"/>
              </w:rPr>
              <w:t>$58.23/m x length of vessel</w:t>
            </w:r>
          </w:p>
        </w:tc>
      </w:tr>
      <w:tr>
        <w:tc>
          <w:tcPr>
            <w:tcW w:w="5005" w:type="dxa"/>
            <w:tcBorders>
              <w:bottom w:val="single" w:sz="4" w:space="0" w:color="auto"/>
            </w:tcBorders>
          </w:tcPr>
          <w:p>
            <w:pPr>
              <w:pStyle w:val="yTable"/>
              <w:tabs>
                <w:tab w:val="left" w:pos="243"/>
              </w:tabs>
              <w:spacing w:after="20"/>
              <w:rPr>
                <w:spacing w:val="-2"/>
                <w:sz w:val="20"/>
              </w:rPr>
            </w:pPr>
            <w:r>
              <w:rPr>
                <w:spacing w:val="-2"/>
                <w:sz w:val="20"/>
              </w:rPr>
              <w:tab/>
              <w:t>part year fee (for 3 months or less)</w:t>
            </w:r>
          </w:p>
        </w:tc>
        <w:tc>
          <w:tcPr>
            <w:tcW w:w="1882" w:type="dxa"/>
            <w:tcBorders>
              <w:bottom w:val="single" w:sz="4" w:space="0" w:color="auto"/>
            </w:tcBorders>
          </w:tcPr>
          <w:p>
            <w:pPr>
              <w:pStyle w:val="yTable"/>
              <w:spacing w:after="20"/>
              <w:rPr>
                <w:spacing w:val="-2"/>
                <w:sz w:val="20"/>
              </w:rPr>
            </w:pPr>
            <w:r>
              <w:rPr>
                <w:spacing w:val="-2"/>
                <w:sz w:val="20"/>
              </w:rPr>
              <w:t>$11.65/m x length of vessel</w:t>
            </w:r>
          </w:p>
        </w:tc>
      </w:tr>
    </w:tbl>
    <w:p>
      <w:pPr>
        <w:pStyle w:val="yNumberedItem"/>
      </w:pPr>
      <w:r>
        <w:t>Note:</w:t>
      </w:r>
      <w:r>
        <w:tab/>
        <w:t>The part year fee is payable in advance and is available only once in any 12  month period.  The annual rate applies for any period after the period for which the part year fee is paid.</w:t>
      </w:r>
    </w:p>
    <w:p>
      <w:pPr>
        <w:pStyle w:val="yFootnotesection"/>
      </w:pPr>
      <w:r>
        <w:tab/>
        <w:t>[Division 1 inserted in Gazette 24 Jun 2005 p. 2825-6; amended in Gazette 23 Jun 2006 p. 2196</w:t>
      </w:r>
      <w:r>
        <w:noBreakHyphen/>
        <w:t>7.]</w:t>
      </w:r>
    </w:p>
    <w:p>
      <w:pPr>
        <w:pStyle w:val="yHeading3"/>
      </w:pPr>
      <w:bookmarkStart w:id="882" w:name="_Toc139101846"/>
      <w:bookmarkStart w:id="883" w:name="_Toc139102031"/>
      <w:bookmarkStart w:id="884" w:name="_Toc139443379"/>
      <w:r>
        <w:rPr>
          <w:rStyle w:val="CharSDivNo"/>
        </w:rPr>
        <w:t>Division 2</w:t>
      </w:r>
      <w:r>
        <w:rPr>
          <w:b w:val="0"/>
        </w:rPr>
        <w:t> — </w:t>
      </w:r>
      <w:r>
        <w:rPr>
          <w:rStyle w:val="CharSDivText"/>
        </w:rPr>
        <w:t>Pen fees: Port of Perth</w:t>
      </w:r>
      <w:bookmarkEnd w:id="882"/>
      <w:bookmarkEnd w:id="883"/>
      <w:bookmarkEnd w:id="884"/>
    </w:p>
    <w:p>
      <w:pPr>
        <w:pStyle w:val="yFootnoteheading"/>
      </w:pPr>
      <w:r>
        <w:tab/>
        <w:t>[Heading inserted in Gazette 24 Jun 2005 p. 2826.]</w:t>
      </w:r>
    </w:p>
    <w:p>
      <w:pPr>
        <w:pStyle w:val="yHeading4"/>
      </w:pPr>
      <w:bookmarkStart w:id="885" w:name="_Toc139101847"/>
      <w:bookmarkStart w:id="886" w:name="_Toc139102032"/>
      <w:bookmarkStart w:id="887" w:name="_Toc139443380"/>
      <w:r>
        <w:t>Subdivision 1</w:t>
      </w:r>
      <w:r>
        <w:rPr>
          <w:b w:val="0"/>
        </w:rPr>
        <w:t> — </w:t>
      </w:r>
      <w:r>
        <w:t>Hillarys Boat Harbour</w:t>
      </w:r>
      <w:bookmarkEnd w:id="885"/>
      <w:bookmarkEnd w:id="886"/>
      <w:bookmarkEnd w:id="887"/>
    </w:p>
    <w:p>
      <w:pPr>
        <w:pStyle w:val="yFootnoteheading"/>
      </w:pPr>
      <w:r>
        <w:tab/>
        <w:t>[Heading inserted in Gazette 24 Jun 2005 p. 2826.]</w:t>
      </w:r>
    </w:p>
    <w:tbl>
      <w:tblPr>
        <w:tblW w:w="0" w:type="auto"/>
        <w:tblInd w:w="206"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7"/>
        <w:gridCol w:w="1560"/>
        <w:gridCol w:w="2590"/>
      </w:tblGrid>
      <w:tr>
        <w:trPr>
          <w:cantSplit/>
        </w:trPr>
        <w:tc>
          <w:tcPr>
            <w:tcW w:w="2737" w:type="dxa"/>
          </w:tcPr>
          <w:p>
            <w:pPr>
              <w:pStyle w:val="ySubsection"/>
              <w:keepNext/>
              <w:keepLines/>
              <w:spacing w:before="120"/>
              <w:ind w:left="0" w:firstLine="0"/>
              <w:rPr>
                <w:b/>
              </w:rPr>
            </w:pPr>
            <w:r>
              <w:rPr>
                <w:b/>
              </w:rPr>
              <w:t>Annual Fee</w:t>
            </w:r>
          </w:p>
        </w:tc>
        <w:tc>
          <w:tcPr>
            <w:tcW w:w="4150" w:type="dxa"/>
            <w:gridSpan w:val="2"/>
          </w:tcPr>
          <w:p>
            <w:pPr>
              <w:pStyle w:val="ySubsection"/>
              <w:keepNext/>
              <w:keepLines/>
              <w:spacing w:before="120"/>
              <w:ind w:left="0" w:firstLine="0"/>
            </w:pPr>
          </w:p>
        </w:tc>
      </w:tr>
      <w:tr>
        <w:tblPrEx>
          <w:tblCellMar>
            <w:left w:w="84" w:type="dxa"/>
            <w:right w:w="84" w:type="dxa"/>
          </w:tblCellMar>
        </w:tblPrEx>
        <w:trPr>
          <w:cantSplit/>
          <w:trHeight w:val="600"/>
        </w:trPr>
        <w:tc>
          <w:tcPr>
            <w:tcW w:w="2737" w:type="dxa"/>
            <w:tcBorders>
              <w:bottom w:val="nil"/>
            </w:tcBorders>
          </w:tcPr>
          <w:p>
            <w:pPr>
              <w:pStyle w:val="yTable"/>
              <w:keepNext/>
              <w:keepLines/>
              <w:spacing w:after="20"/>
              <w:ind w:firstLine="244"/>
              <w:rPr>
                <w:spacing w:val="-2"/>
                <w:sz w:val="20"/>
              </w:rPr>
            </w:pPr>
            <w:r>
              <w:rPr>
                <w:spacing w:val="-2"/>
                <w:sz w:val="20"/>
              </w:rPr>
              <w:t>fixed pens</w:t>
            </w:r>
          </w:p>
          <w:p>
            <w:pPr>
              <w:pStyle w:val="yTable"/>
              <w:keepNext/>
              <w:keepLines/>
              <w:spacing w:after="20"/>
              <w:ind w:left="244" w:hanging="244"/>
              <w:rPr>
                <w:spacing w:val="-2"/>
                <w:sz w:val="20"/>
              </w:rPr>
            </w:pPr>
            <w:r>
              <w:rPr>
                <w:spacing w:val="-2"/>
                <w:sz w:val="20"/>
              </w:rPr>
              <w:tab/>
              <w:t>Recreational vessel</w:t>
            </w:r>
            <w:r>
              <w:rPr>
                <w:spacing w:val="-2"/>
                <w:sz w:val="20"/>
              </w:rPr>
              <w:br/>
            </w:r>
            <w:r>
              <w:rPr>
                <w:spacing w:val="-2"/>
                <w:sz w:val="20"/>
              </w:rPr>
              <w:br/>
            </w:r>
          </w:p>
          <w:p>
            <w:pPr>
              <w:pStyle w:val="yTable"/>
              <w:keepNext/>
              <w:keepLines/>
              <w:spacing w:after="20"/>
              <w:ind w:left="244" w:hanging="244"/>
              <w:rPr>
                <w:spacing w:val="-2"/>
                <w:sz w:val="20"/>
              </w:rPr>
            </w:pPr>
            <w:r>
              <w:rPr>
                <w:spacing w:val="-2"/>
                <w:sz w:val="20"/>
              </w:rPr>
              <w:tab/>
              <w:t>Commercial vessel</w:t>
            </w:r>
          </w:p>
        </w:tc>
        <w:tc>
          <w:tcPr>
            <w:tcW w:w="4150" w:type="dxa"/>
            <w:gridSpan w:val="2"/>
            <w:tcBorders>
              <w:bottom w:val="nil"/>
            </w:tcBorders>
          </w:tcPr>
          <w:p>
            <w:pPr>
              <w:pStyle w:val="yTable"/>
              <w:keepNext/>
              <w:keepLines/>
              <w:spacing w:after="20"/>
              <w:rPr>
                <w:spacing w:val="-2"/>
                <w:sz w:val="20"/>
              </w:rPr>
            </w:pPr>
          </w:p>
          <w:p>
            <w:pPr>
              <w:pStyle w:val="yTable"/>
              <w:keepNext/>
              <w:keepLines/>
              <w:spacing w:after="20"/>
              <w:rPr>
                <w:spacing w:val="-2"/>
                <w:sz w:val="20"/>
              </w:rPr>
            </w:pPr>
            <w:r>
              <w:rPr>
                <w:spacing w:val="-2"/>
                <w:sz w:val="20"/>
              </w:rPr>
              <w:t>$328.66/m x length of vessel (</w:t>
            </w:r>
            <w:r>
              <w:rPr>
                <w:i/>
                <w:spacing w:val="-2"/>
                <w:sz w:val="20"/>
              </w:rPr>
              <w:t>subject to a minimum chargeable length relative to the size of the pen, as set out below</w:t>
            </w:r>
            <w:r>
              <w:rPr>
                <w:spacing w:val="-2"/>
                <w:sz w:val="20"/>
              </w:rPr>
              <w:t>)</w:t>
            </w:r>
          </w:p>
          <w:p>
            <w:pPr>
              <w:pStyle w:val="yTable"/>
              <w:keepNext/>
              <w:keepLines/>
              <w:spacing w:after="20"/>
              <w:rPr>
                <w:spacing w:val="-2"/>
                <w:sz w:val="20"/>
              </w:rPr>
            </w:pPr>
            <w:r>
              <w:rPr>
                <w:spacing w:val="-2"/>
                <w:sz w:val="20"/>
              </w:rPr>
              <w:t>$357.15/m x length of vessel (</w:t>
            </w:r>
            <w:r>
              <w:rPr>
                <w:i/>
                <w:spacing w:val="-2"/>
                <w:sz w:val="20"/>
              </w:rPr>
              <w:t>subject to a minimum chargeable length relative to the size of the pen, as set out below</w:t>
            </w:r>
            <w:r>
              <w:rPr>
                <w:spacing w:val="-2"/>
                <w:sz w:val="20"/>
              </w:rPr>
              <w:t>)</w:t>
            </w:r>
          </w:p>
        </w:tc>
      </w:tr>
      <w:tr>
        <w:tblPrEx>
          <w:tblCellMar>
            <w:left w:w="84" w:type="dxa"/>
            <w:right w:w="84" w:type="dxa"/>
          </w:tblCellMar>
        </w:tblPrEx>
        <w:trPr>
          <w:cantSplit/>
          <w:trHeight w:val="600"/>
        </w:trPr>
        <w:tc>
          <w:tcPr>
            <w:tcW w:w="2737" w:type="dxa"/>
            <w:tcBorders>
              <w:bottom w:val="single" w:sz="4" w:space="0" w:color="auto"/>
            </w:tcBorders>
          </w:tcPr>
          <w:p>
            <w:pPr>
              <w:pStyle w:val="yTable"/>
              <w:tabs>
                <w:tab w:val="left" w:pos="244"/>
              </w:tabs>
              <w:spacing w:after="20"/>
              <w:rPr>
                <w:spacing w:val="-2"/>
                <w:sz w:val="20"/>
              </w:rPr>
            </w:pPr>
            <w:r>
              <w:rPr>
                <w:spacing w:val="-2"/>
                <w:sz w:val="20"/>
              </w:rPr>
              <w:tab/>
              <w:t>floating pens</w:t>
            </w:r>
          </w:p>
          <w:p>
            <w:pPr>
              <w:pStyle w:val="yTable"/>
              <w:spacing w:after="20"/>
              <w:ind w:left="244" w:hanging="244"/>
              <w:rPr>
                <w:spacing w:val="-2"/>
                <w:sz w:val="20"/>
              </w:rPr>
            </w:pPr>
            <w:r>
              <w:rPr>
                <w:spacing w:val="-2"/>
                <w:sz w:val="20"/>
              </w:rPr>
              <w:tab/>
              <w:t>Recreational vessel</w:t>
            </w:r>
            <w:r>
              <w:rPr>
                <w:spacing w:val="-2"/>
                <w:sz w:val="20"/>
              </w:rPr>
              <w:br/>
            </w:r>
            <w:r>
              <w:rPr>
                <w:spacing w:val="-2"/>
                <w:sz w:val="20"/>
              </w:rPr>
              <w:br/>
            </w:r>
          </w:p>
          <w:p>
            <w:pPr>
              <w:pStyle w:val="yTable"/>
              <w:spacing w:after="20"/>
              <w:ind w:left="244" w:hanging="244"/>
              <w:rPr>
                <w:spacing w:val="-2"/>
                <w:sz w:val="20"/>
              </w:rPr>
            </w:pPr>
            <w:r>
              <w:rPr>
                <w:spacing w:val="-2"/>
                <w:sz w:val="20"/>
              </w:rPr>
              <w:tab/>
              <w:t>Commercial vessel</w:t>
            </w:r>
          </w:p>
        </w:tc>
        <w:tc>
          <w:tcPr>
            <w:tcW w:w="4150" w:type="dxa"/>
            <w:gridSpan w:val="2"/>
            <w:tcBorders>
              <w:bottom w:val="single" w:sz="4" w:space="0" w:color="auto"/>
            </w:tcBorders>
          </w:tcPr>
          <w:p>
            <w:pPr>
              <w:pStyle w:val="yTable"/>
              <w:spacing w:after="20"/>
              <w:rPr>
                <w:spacing w:val="-2"/>
                <w:sz w:val="20"/>
              </w:rPr>
            </w:pPr>
          </w:p>
          <w:p>
            <w:pPr>
              <w:pStyle w:val="yTable"/>
              <w:spacing w:after="20"/>
              <w:rPr>
                <w:spacing w:val="-2"/>
                <w:sz w:val="20"/>
              </w:rPr>
            </w:pPr>
            <w:r>
              <w:rPr>
                <w:spacing w:val="-4"/>
                <w:sz w:val="20"/>
              </w:rPr>
              <w:t>$352.14/m x length of vessel (</w:t>
            </w:r>
            <w:r>
              <w:rPr>
                <w:i/>
                <w:spacing w:val="-4"/>
                <w:sz w:val="20"/>
              </w:rPr>
              <w:t>subject to a minimum chargeable length relative to the size of the pen, as set out below</w:t>
            </w:r>
            <w:r>
              <w:rPr>
                <w:spacing w:val="-4"/>
                <w:sz w:val="20"/>
              </w:rPr>
              <w:t>)</w:t>
            </w:r>
          </w:p>
          <w:p>
            <w:pPr>
              <w:pStyle w:val="yTable"/>
              <w:spacing w:after="20"/>
              <w:rPr>
                <w:spacing w:val="-4"/>
                <w:sz w:val="20"/>
              </w:rPr>
            </w:pPr>
            <w:r>
              <w:rPr>
                <w:spacing w:val="-2"/>
                <w:sz w:val="20"/>
              </w:rPr>
              <w:t>$380.63/m x length of vessel (</w:t>
            </w:r>
            <w:r>
              <w:rPr>
                <w:i/>
                <w:spacing w:val="-2"/>
                <w:sz w:val="20"/>
              </w:rPr>
              <w:t>subject to a minimum chargeable length relative to the size of the pen, as set out below</w:t>
            </w:r>
            <w:r>
              <w:rPr>
                <w:spacing w:val="-2"/>
                <w:sz w:val="20"/>
              </w:rPr>
              <w:t>)</w:t>
            </w:r>
          </w:p>
        </w:tc>
      </w:tr>
      <w:tr>
        <w:tblPrEx>
          <w:tblBorders>
            <w:bottom w:val="single" w:sz="4" w:space="0" w:color="auto"/>
          </w:tblBorders>
          <w:tblCellMar>
            <w:left w:w="84" w:type="dxa"/>
            <w:right w:w="84" w:type="dxa"/>
          </w:tblCellMar>
        </w:tblPrEx>
        <w:trPr>
          <w:cantSplit/>
          <w:trHeight w:val="270"/>
        </w:trPr>
        <w:tc>
          <w:tcPr>
            <w:tcW w:w="2737" w:type="dxa"/>
            <w:vMerge w:val="restart"/>
          </w:tcPr>
          <w:p>
            <w:pPr>
              <w:pStyle w:val="yTable"/>
              <w:spacing w:after="20"/>
              <w:rPr>
                <w:i/>
                <w:spacing w:val="-2"/>
                <w:sz w:val="20"/>
              </w:rPr>
            </w:pPr>
            <w:r>
              <w:rPr>
                <w:i/>
                <w:spacing w:val="-2"/>
                <w:sz w:val="20"/>
              </w:rPr>
              <w:t>Minimum chargeable length when calculating annual fee for fixed or floating pens of a particular size.</w:t>
            </w:r>
          </w:p>
        </w:tc>
        <w:tc>
          <w:tcPr>
            <w:tcW w:w="1560" w:type="dxa"/>
            <w:tcBorders>
              <w:bottom w:val="single" w:sz="4" w:space="0" w:color="auto"/>
            </w:tcBorders>
          </w:tcPr>
          <w:p>
            <w:pPr>
              <w:pStyle w:val="yTable"/>
              <w:spacing w:after="20"/>
              <w:rPr>
                <w:spacing w:val="-2"/>
                <w:sz w:val="20"/>
              </w:rPr>
            </w:pPr>
            <w:r>
              <w:rPr>
                <w:spacing w:val="-2"/>
                <w:sz w:val="20"/>
              </w:rPr>
              <w:t>10 m pen</w:t>
            </w:r>
          </w:p>
        </w:tc>
        <w:tc>
          <w:tcPr>
            <w:tcW w:w="2590" w:type="dxa"/>
          </w:tcPr>
          <w:p>
            <w:pPr>
              <w:pStyle w:val="yTable"/>
              <w:keepNext/>
              <w:keepLines/>
              <w:spacing w:after="20"/>
              <w:rPr>
                <w:spacing w:val="-2"/>
                <w:sz w:val="20"/>
              </w:rPr>
            </w:pPr>
            <w:r>
              <w:rPr>
                <w:spacing w:val="-2"/>
                <w:sz w:val="20"/>
              </w:rPr>
              <w:t>at least 8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12 m pen</w:t>
            </w:r>
          </w:p>
        </w:tc>
        <w:tc>
          <w:tcPr>
            <w:tcW w:w="2590" w:type="dxa"/>
          </w:tcPr>
          <w:p>
            <w:pPr>
              <w:pStyle w:val="yTable"/>
              <w:keepNext/>
              <w:keepLines/>
              <w:spacing w:after="20"/>
              <w:rPr>
                <w:spacing w:val="-2"/>
                <w:sz w:val="20"/>
              </w:rPr>
            </w:pPr>
            <w:r>
              <w:rPr>
                <w:spacing w:val="-2"/>
                <w:sz w:val="20"/>
              </w:rPr>
              <w:t>at least 9.6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13 m pen</w:t>
            </w:r>
          </w:p>
        </w:tc>
        <w:tc>
          <w:tcPr>
            <w:tcW w:w="2590" w:type="dxa"/>
          </w:tcPr>
          <w:p>
            <w:pPr>
              <w:pStyle w:val="yTable"/>
              <w:keepNext/>
              <w:keepLines/>
              <w:spacing w:after="20"/>
              <w:rPr>
                <w:spacing w:val="-2"/>
                <w:sz w:val="20"/>
              </w:rPr>
            </w:pPr>
            <w:r>
              <w:rPr>
                <w:spacing w:val="-2"/>
                <w:sz w:val="20"/>
              </w:rPr>
              <w:t>at least 10.4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15 m pen</w:t>
            </w:r>
          </w:p>
        </w:tc>
        <w:tc>
          <w:tcPr>
            <w:tcW w:w="2590" w:type="dxa"/>
          </w:tcPr>
          <w:p>
            <w:pPr>
              <w:pStyle w:val="yTable"/>
              <w:keepNext/>
              <w:keepLines/>
              <w:spacing w:after="20"/>
              <w:rPr>
                <w:spacing w:val="-2"/>
                <w:sz w:val="20"/>
              </w:rPr>
            </w:pPr>
            <w:r>
              <w:rPr>
                <w:spacing w:val="-2"/>
                <w:sz w:val="20"/>
              </w:rPr>
              <w:t>at least 12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18 m pen</w:t>
            </w:r>
          </w:p>
        </w:tc>
        <w:tc>
          <w:tcPr>
            <w:tcW w:w="2590" w:type="dxa"/>
          </w:tcPr>
          <w:p>
            <w:pPr>
              <w:pStyle w:val="yTable"/>
              <w:keepNext/>
              <w:keepLines/>
              <w:spacing w:after="20"/>
              <w:rPr>
                <w:spacing w:val="-2"/>
                <w:sz w:val="20"/>
              </w:rPr>
            </w:pPr>
            <w:r>
              <w:rPr>
                <w:spacing w:val="-2"/>
                <w:sz w:val="20"/>
              </w:rPr>
              <w:t>at least 14.4 m</w:t>
            </w:r>
          </w:p>
        </w:tc>
      </w:tr>
      <w:tr>
        <w:tblPrEx>
          <w:tblBorders>
            <w:bottom w:val="single" w:sz="4" w:space="0" w:color="auto"/>
          </w:tblBorders>
          <w:tblCellMar>
            <w:left w:w="84" w:type="dxa"/>
            <w:right w:w="84" w:type="dxa"/>
          </w:tblCellMar>
        </w:tblPrEx>
        <w:trPr>
          <w:cantSplit/>
          <w:trHeight w:val="268"/>
        </w:trPr>
        <w:tc>
          <w:tcPr>
            <w:tcW w:w="2737" w:type="dxa"/>
            <w:vMerge/>
            <w:tcBorders>
              <w:bottom w:val="single" w:sz="4" w:space="0" w:color="auto"/>
            </w:tcBorders>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22 m pen</w:t>
            </w:r>
          </w:p>
        </w:tc>
        <w:tc>
          <w:tcPr>
            <w:tcW w:w="2590" w:type="dxa"/>
            <w:tcBorders>
              <w:bottom w:val="single" w:sz="4" w:space="0" w:color="auto"/>
            </w:tcBorders>
          </w:tcPr>
          <w:p>
            <w:pPr>
              <w:pStyle w:val="yTable"/>
              <w:keepNext/>
              <w:keepLines/>
              <w:spacing w:after="20"/>
              <w:rPr>
                <w:spacing w:val="-2"/>
                <w:sz w:val="20"/>
              </w:rPr>
            </w:pPr>
            <w:r>
              <w:rPr>
                <w:spacing w:val="-2"/>
                <w:sz w:val="20"/>
              </w:rPr>
              <w:t>at least 17.6 m</w:t>
            </w:r>
          </w:p>
        </w:tc>
      </w:tr>
      <w:tr>
        <w:tblPrEx>
          <w:tblBorders>
            <w:bottom w:val="single" w:sz="4" w:space="0" w:color="auto"/>
          </w:tblBorders>
          <w:tblCellMar>
            <w:left w:w="84" w:type="dxa"/>
            <w:right w:w="84" w:type="dxa"/>
          </w:tblCellMar>
        </w:tblPrEx>
        <w:trPr>
          <w:cantSplit/>
        </w:trPr>
        <w:tc>
          <w:tcPr>
            <w:tcW w:w="2737" w:type="dxa"/>
            <w:tcBorders>
              <w:top w:val="single" w:sz="4" w:space="0" w:color="auto"/>
            </w:tcBorders>
          </w:tcPr>
          <w:p>
            <w:pPr>
              <w:pStyle w:val="yTable"/>
              <w:spacing w:after="20"/>
              <w:rPr>
                <w:spacing w:val="-2"/>
                <w:sz w:val="20"/>
              </w:rPr>
            </w:pPr>
            <w:r>
              <w:rPr>
                <w:b/>
                <w:spacing w:val="-2"/>
                <w:sz w:val="20"/>
              </w:rPr>
              <w:t>Part Year Fee – 3 months or more paid in advance</w:t>
            </w:r>
          </w:p>
        </w:tc>
        <w:tc>
          <w:tcPr>
            <w:tcW w:w="4150" w:type="dxa"/>
            <w:gridSpan w:val="2"/>
            <w:tcBorders>
              <w:top w:val="single" w:sz="4" w:space="0" w:color="auto"/>
            </w:tcBorders>
          </w:tcPr>
          <w:p>
            <w:pPr>
              <w:pStyle w:val="yTable"/>
              <w:spacing w:after="20"/>
              <w:rPr>
                <w:spacing w:val="-2"/>
                <w:sz w:val="20"/>
              </w:rPr>
            </w:pPr>
          </w:p>
        </w:tc>
      </w:tr>
      <w:tr>
        <w:tblPrEx>
          <w:tblBorders>
            <w:bottom w:val="single" w:sz="4" w:space="0" w:color="auto"/>
          </w:tblBorders>
          <w:tblCellMar>
            <w:left w:w="84" w:type="dxa"/>
            <w:right w:w="84" w:type="dxa"/>
          </w:tblCellMar>
        </w:tblPrEx>
        <w:trPr>
          <w:cantSplit/>
        </w:trPr>
        <w:tc>
          <w:tcPr>
            <w:tcW w:w="2737" w:type="dxa"/>
            <w:tcBorders>
              <w:bottom w:val="single" w:sz="4" w:space="0" w:color="auto"/>
            </w:tcBorders>
          </w:tcPr>
          <w:p>
            <w:pPr>
              <w:pStyle w:val="yTable"/>
              <w:spacing w:after="20"/>
              <w:ind w:firstLine="244"/>
              <w:rPr>
                <w:spacing w:val="-2"/>
                <w:sz w:val="20"/>
              </w:rPr>
            </w:pPr>
            <w:r>
              <w:rPr>
                <w:spacing w:val="-2"/>
                <w:sz w:val="20"/>
              </w:rPr>
              <w:t>fixed pens</w:t>
            </w:r>
          </w:p>
          <w:p>
            <w:pPr>
              <w:pStyle w:val="yTable"/>
              <w:spacing w:after="20"/>
              <w:ind w:left="244" w:hanging="244"/>
              <w:rPr>
                <w:spacing w:val="-2"/>
                <w:sz w:val="20"/>
              </w:rPr>
            </w:pPr>
            <w:r>
              <w:rPr>
                <w:spacing w:val="-2"/>
                <w:sz w:val="20"/>
              </w:rPr>
              <w:tab/>
              <w:t>Recreational vessel</w:t>
            </w:r>
          </w:p>
          <w:p>
            <w:pPr>
              <w:pStyle w:val="yTable"/>
              <w:spacing w:after="20"/>
              <w:ind w:left="244" w:hanging="244"/>
              <w:rPr>
                <w:spacing w:val="-2"/>
                <w:sz w:val="20"/>
              </w:rPr>
            </w:pPr>
            <w:r>
              <w:rPr>
                <w:spacing w:val="-2"/>
                <w:sz w:val="20"/>
              </w:rPr>
              <w:tab/>
              <w:t>Commercial vessel</w:t>
            </w:r>
          </w:p>
        </w:tc>
        <w:tc>
          <w:tcPr>
            <w:tcW w:w="4150" w:type="dxa"/>
            <w:gridSpan w:val="2"/>
            <w:tcBorders>
              <w:bottom w:val="single" w:sz="4" w:space="0" w:color="auto"/>
            </w:tcBorders>
          </w:tcPr>
          <w:p>
            <w:pPr>
              <w:pStyle w:val="yTable"/>
              <w:spacing w:after="20"/>
              <w:rPr>
                <w:spacing w:val="-2"/>
                <w:sz w:val="20"/>
              </w:rPr>
            </w:pPr>
          </w:p>
          <w:p>
            <w:pPr>
              <w:pStyle w:val="yTable"/>
              <w:spacing w:after="20"/>
              <w:rPr>
                <w:spacing w:val="-2"/>
                <w:sz w:val="20"/>
              </w:rPr>
            </w:pPr>
            <w:r>
              <w:rPr>
                <w:spacing w:val="-2"/>
                <w:sz w:val="20"/>
              </w:rPr>
              <w:t>$32.87/m x length of vessel, per month</w:t>
            </w:r>
          </w:p>
          <w:p>
            <w:pPr>
              <w:pStyle w:val="yTable"/>
              <w:spacing w:after="20"/>
              <w:rPr>
                <w:spacing w:val="-2"/>
                <w:sz w:val="20"/>
              </w:rPr>
            </w:pPr>
            <w:r>
              <w:rPr>
                <w:spacing w:val="-2"/>
                <w:sz w:val="20"/>
              </w:rPr>
              <w:t>$35.72/m x length of vessel, per month</w:t>
            </w:r>
          </w:p>
        </w:tc>
      </w:tr>
      <w:tr>
        <w:tblPrEx>
          <w:tblBorders>
            <w:bottom w:val="single" w:sz="4" w:space="0" w:color="auto"/>
          </w:tblBorders>
          <w:tblCellMar>
            <w:left w:w="84" w:type="dxa"/>
            <w:right w:w="84" w:type="dxa"/>
          </w:tblCellMar>
        </w:tblPrEx>
        <w:trPr>
          <w:cantSplit/>
        </w:trPr>
        <w:tc>
          <w:tcPr>
            <w:tcW w:w="2737" w:type="dxa"/>
            <w:tcBorders>
              <w:bottom w:val="single" w:sz="4" w:space="0" w:color="auto"/>
            </w:tcBorders>
          </w:tcPr>
          <w:p>
            <w:pPr>
              <w:pStyle w:val="yTable"/>
              <w:spacing w:after="20"/>
              <w:ind w:left="244" w:hanging="244"/>
              <w:rPr>
                <w:spacing w:val="-2"/>
                <w:sz w:val="20"/>
              </w:rPr>
            </w:pPr>
            <w:r>
              <w:rPr>
                <w:spacing w:val="-2"/>
                <w:sz w:val="20"/>
              </w:rPr>
              <w:tab/>
              <w:t>floating pens</w:t>
            </w:r>
          </w:p>
          <w:p>
            <w:pPr>
              <w:pStyle w:val="yTable"/>
              <w:spacing w:after="20"/>
              <w:ind w:left="244" w:hanging="244"/>
              <w:rPr>
                <w:spacing w:val="-2"/>
                <w:sz w:val="20"/>
              </w:rPr>
            </w:pPr>
            <w:r>
              <w:rPr>
                <w:spacing w:val="-2"/>
                <w:sz w:val="20"/>
              </w:rPr>
              <w:tab/>
              <w:t>Recreational vessel</w:t>
            </w:r>
          </w:p>
          <w:p>
            <w:pPr>
              <w:pStyle w:val="yTable"/>
              <w:spacing w:after="20"/>
              <w:ind w:left="244" w:hanging="244"/>
              <w:rPr>
                <w:spacing w:val="-2"/>
                <w:sz w:val="20"/>
              </w:rPr>
            </w:pPr>
            <w:r>
              <w:rPr>
                <w:spacing w:val="-2"/>
                <w:sz w:val="20"/>
              </w:rPr>
              <w:tab/>
              <w:t>Commercial vessel</w:t>
            </w:r>
          </w:p>
        </w:tc>
        <w:tc>
          <w:tcPr>
            <w:tcW w:w="4150" w:type="dxa"/>
            <w:gridSpan w:val="2"/>
            <w:tcBorders>
              <w:bottom w:val="single" w:sz="4" w:space="0" w:color="auto"/>
            </w:tcBorders>
          </w:tcPr>
          <w:p>
            <w:pPr>
              <w:pStyle w:val="yTable"/>
              <w:spacing w:after="20"/>
              <w:rPr>
                <w:spacing w:val="-2"/>
                <w:sz w:val="20"/>
              </w:rPr>
            </w:pPr>
          </w:p>
          <w:p>
            <w:pPr>
              <w:pStyle w:val="yTable"/>
              <w:spacing w:after="20"/>
              <w:rPr>
                <w:spacing w:val="-2"/>
                <w:sz w:val="20"/>
              </w:rPr>
            </w:pPr>
            <w:r>
              <w:rPr>
                <w:spacing w:val="-2"/>
                <w:sz w:val="20"/>
              </w:rPr>
              <w:t>$35.21/m x length of vessel, per month</w:t>
            </w:r>
          </w:p>
          <w:p>
            <w:pPr>
              <w:pStyle w:val="yTable"/>
              <w:spacing w:after="20"/>
              <w:rPr>
                <w:spacing w:val="-2"/>
                <w:sz w:val="20"/>
              </w:rPr>
            </w:pPr>
            <w:r>
              <w:rPr>
                <w:spacing w:val="-2"/>
                <w:sz w:val="20"/>
              </w:rPr>
              <w:t>$38.06/m x length of vessel, per month</w:t>
            </w:r>
          </w:p>
        </w:tc>
      </w:tr>
      <w:tr>
        <w:tblPrEx>
          <w:tblBorders>
            <w:bottom w:val="single" w:sz="4" w:space="0" w:color="auto"/>
          </w:tblBorders>
          <w:tblCellMar>
            <w:left w:w="84" w:type="dxa"/>
            <w:right w:w="84" w:type="dxa"/>
          </w:tblCellMar>
        </w:tblPrEx>
        <w:trPr>
          <w:cantSplit/>
        </w:trPr>
        <w:tc>
          <w:tcPr>
            <w:tcW w:w="2737" w:type="dxa"/>
            <w:tcBorders>
              <w:top w:val="single" w:sz="4" w:space="0" w:color="auto"/>
            </w:tcBorders>
          </w:tcPr>
          <w:p>
            <w:pPr>
              <w:pStyle w:val="yTable"/>
              <w:keepNext/>
              <w:spacing w:after="20"/>
              <w:rPr>
                <w:spacing w:val="-2"/>
                <w:sz w:val="20"/>
              </w:rPr>
            </w:pPr>
            <w:r>
              <w:rPr>
                <w:b/>
                <w:spacing w:val="-2"/>
                <w:sz w:val="20"/>
              </w:rPr>
              <w:t>Monthly Fee</w:t>
            </w:r>
          </w:p>
        </w:tc>
        <w:tc>
          <w:tcPr>
            <w:tcW w:w="4150" w:type="dxa"/>
            <w:gridSpan w:val="2"/>
            <w:tcBorders>
              <w:top w:val="single" w:sz="4" w:space="0" w:color="auto"/>
            </w:tcBorders>
          </w:tcPr>
          <w:p>
            <w:pPr>
              <w:pStyle w:val="yTable"/>
              <w:keepNext/>
              <w:spacing w:after="20"/>
              <w:rPr>
                <w:spacing w:val="-2"/>
                <w:sz w:val="20"/>
              </w:rPr>
            </w:pPr>
          </w:p>
        </w:tc>
      </w:tr>
      <w:tr>
        <w:tblPrEx>
          <w:tblBorders>
            <w:bottom w:val="single" w:sz="4" w:space="0" w:color="auto"/>
          </w:tblBorders>
          <w:tblCellMar>
            <w:left w:w="84" w:type="dxa"/>
            <w:right w:w="84" w:type="dxa"/>
          </w:tblCellMar>
        </w:tblPrEx>
        <w:trPr>
          <w:cantSplit/>
        </w:trPr>
        <w:tc>
          <w:tcPr>
            <w:tcW w:w="2737" w:type="dxa"/>
          </w:tcPr>
          <w:p>
            <w:pPr>
              <w:pStyle w:val="yTable"/>
              <w:spacing w:after="20"/>
              <w:ind w:left="244" w:hanging="244"/>
              <w:rPr>
                <w:spacing w:val="-2"/>
                <w:sz w:val="20"/>
              </w:rPr>
            </w:pPr>
            <w:r>
              <w:rPr>
                <w:spacing w:val="-2"/>
                <w:sz w:val="20"/>
              </w:rPr>
              <w:tab/>
              <w:t>fixed pens</w:t>
            </w:r>
          </w:p>
          <w:p>
            <w:pPr>
              <w:pStyle w:val="yTable"/>
              <w:spacing w:after="20"/>
              <w:ind w:left="340" w:hanging="96"/>
              <w:rPr>
                <w:spacing w:val="-2"/>
                <w:sz w:val="20"/>
              </w:rPr>
            </w:pPr>
            <w:r>
              <w:rPr>
                <w:spacing w:val="-2"/>
                <w:sz w:val="20"/>
              </w:rPr>
              <w:t>Recreational vessel</w:t>
            </w:r>
          </w:p>
          <w:p>
            <w:pPr>
              <w:pStyle w:val="yTable"/>
              <w:spacing w:after="20"/>
              <w:ind w:left="340" w:hanging="96"/>
              <w:rPr>
                <w:spacing w:val="-2"/>
                <w:sz w:val="20"/>
              </w:rPr>
            </w:pPr>
            <w:r>
              <w:rPr>
                <w:spacing w:val="-2"/>
                <w:sz w:val="20"/>
              </w:rPr>
              <w:t>Commercial vessel</w:t>
            </w:r>
          </w:p>
        </w:tc>
        <w:tc>
          <w:tcPr>
            <w:tcW w:w="4150" w:type="dxa"/>
            <w:gridSpan w:val="2"/>
          </w:tcPr>
          <w:p>
            <w:pPr>
              <w:pStyle w:val="yTable"/>
              <w:spacing w:after="20"/>
              <w:rPr>
                <w:spacing w:val="-2"/>
                <w:sz w:val="20"/>
              </w:rPr>
            </w:pPr>
          </w:p>
          <w:p>
            <w:pPr>
              <w:pStyle w:val="yTable"/>
              <w:spacing w:after="20"/>
              <w:rPr>
                <w:spacing w:val="-2"/>
                <w:sz w:val="20"/>
              </w:rPr>
            </w:pPr>
            <w:r>
              <w:rPr>
                <w:spacing w:val="-2"/>
                <w:sz w:val="20"/>
              </w:rPr>
              <w:t>$65.73/m x length of vessel, per month</w:t>
            </w:r>
          </w:p>
          <w:p>
            <w:pPr>
              <w:pStyle w:val="yTable"/>
              <w:spacing w:after="20"/>
              <w:rPr>
                <w:spacing w:val="-2"/>
                <w:sz w:val="20"/>
              </w:rPr>
            </w:pPr>
            <w:r>
              <w:rPr>
                <w:spacing w:val="-2"/>
                <w:sz w:val="20"/>
              </w:rPr>
              <w:t>$71.43/m x length of vessel, per month</w:t>
            </w:r>
          </w:p>
        </w:tc>
      </w:tr>
      <w:tr>
        <w:tblPrEx>
          <w:tblBorders>
            <w:bottom w:val="single" w:sz="4" w:space="0" w:color="auto"/>
          </w:tblBorders>
          <w:tblCellMar>
            <w:left w:w="84" w:type="dxa"/>
            <w:right w:w="84" w:type="dxa"/>
          </w:tblCellMar>
        </w:tblPrEx>
        <w:trPr>
          <w:cantSplit/>
        </w:trPr>
        <w:tc>
          <w:tcPr>
            <w:tcW w:w="2737" w:type="dxa"/>
          </w:tcPr>
          <w:p>
            <w:pPr>
              <w:pStyle w:val="yTable"/>
              <w:spacing w:after="20"/>
              <w:ind w:firstLine="244"/>
              <w:rPr>
                <w:spacing w:val="-2"/>
                <w:sz w:val="20"/>
              </w:rPr>
            </w:pPr>
            <w:r>
              <w:rPr>
                <w:spacing w:val="-2"/>
                <w:sz w:val="20"/>
              </w:rPr>
              <w:t>floating pens</w:t>
            </w:r>
          </w:p>
          <w:p>
            <w:pPr>
              <w:pStyle w:val="yTable"/>
              <w:spacing w:after="20"/>
              <w:ind w:left="340" w:hanging="96"/>
              <w:rPr>
                <w:spacing w:val="-2"/>
                <w:sz w:val="20"/>
              </w:rPr>
            </w:pPr>
            <w:r>
              <w:rPr>
                <w:spacing w:val="-2"/>
                <w:sz w:val="20"/>
              </w:rPr>
              <w:t>Recreational vessel</w:t>
            </w:r>
          </w:p>
          <w:p>
            <w:pPr>
              <w:pStyle w:val="yTable"/>
              <w:spacing w:after="20"/>
              <w:ind w:left="340" w:hanging="96"/>
              <w:rPr>
                <w:spacing w:val="-2"/>
                <w:sz w:val="20"/>
              </w:rPr>
            </w:pPr>
            <w:r>
              <w:rPr>
                <w:spacing w:val="-2"/>
                <w:sz w:val="20"/>
              </w:rPr>
              <w:t>Commercial vessel</w:t>
            </w:r>
          </w:p>
        </w:tc>
        <w:tc>
          <w:tcPr>
            <w:tcW w:w="4150" w:type="dxa"/>
            <w:gridSpan w:val="2"/>
          </w:tcPr>
          <w:p>
            <w:pPr>
              <w:pStyle w:val="yTable"/>
              <w:spacing w:after="20"/>
              <w:rPr>
                <w:spacing w:val="-2"/>
                <w:sz w:val="20"/>
              </w:rPr>
            </w:pPr>
          </w:p>
          <w:p>
            <w:pPr>
              <w:pStyle w:val="yTable"/>
              <w:spacing w:after="20"/>
              <w:rPr>
                <w:spacing w:val="-2"/>
                <w:sz w:val="20"/>
              </w:rPr>
            </w:pPr>
            <w:r>
              <w:rPr>
                <w:spacing w:val="-2"/>
                <w:sz w:val="20"/>
              </w:rPr>
              <w:t>$70.43/m x length of vessel, per month</w:t>
            </w:r>
          </w:p>
          <w:p>
            <w:pPr>
              <w:pStyle w:val="yTable"/>
              <w:spacing w:after="20"/>
              <w:rPr>
                <w:spacing w:val="-2"/>
                <w:sz w:val="20"/>
              </w:rPr>
            </w:pPr>
            <w:r>
              <w:rPr>
                <w:spacing w:val="-2"/>
                <w:sz w:val="20"/>
              </w:rPr>
              <w:t>$76.13/m x length of vessel, per month</w:t>
            </w:r>
          </w:p>
        </w:tc>
      </w:tr>
      <w:tr>
        <w:tblPrEx>
          <w:tblBorders>
            <w:bottom w:val="single" w:sz="4" w:space="0" w:color="auto"/>
          </w:tblBorders>
          <w:tblCellMar>
            <w:left w:w="84" w:type="dxa"/>
            <w:right w:w="84" w:type="dxa"/>
          </w:tblCellMar>
        </w:tblPrEx>
        <w:trPr>
          <w:cantSplit/>
        </w:trPr>
        <w:tc>
          <w:tcPr>
            <w:tcW w:w="2737" w:type="dxa"/>
          </w:tcPr>
          <w:p>
            <w:pPr>
              <w:pStyle w:val="yTable"/>
              <w:spacing w:after="20"/>
              <w:rPr>
                <w:spacing w:val="-2"/>
                <w:sz w:val="20"/>
              </w:rPr>
            </w:pPr>
            <w:r>
              <w:rPr>
                <w:b/>
                <w:spacing w:val="-2"/>
                <w:sz w:val="20"/>
              </w:rPr>
              <w:t>Weekly Fee</w:t>
            </w:r>
          </w:p>
        </w:tc>
        <w:tc>
          <w:tcPr>
            <w:tcW w:w="4150" w:type="dxa"/>
            <w:gridSpan w:val="2"/>
          </w:tcPr>
          <w:p>
            <w:pPr>
              <w:pStyle w:val="yTable"/>
              <w:spacing w:after="20"/>
              <w:rPr>
                <w:spacing w:val="-2"/>
                <w:sz w:val="20"/>
              </w:rPr>
            </w:pPr>
          </w:p>
        </w:tc>
      </w:tr>
      <w:tr>
        <w:tblPrEx>
          <w:tblBorders>
            <w:bottom w:val="single" w:sz="4" w:space="0" w:color="auto"/>
          </w:tblBorders>
          <w:tblCellMar>
            <w:left w:w="84" w:type="dxa"/>
            <w:right w:w="84" w:type="dxa"/>
          </w:tblCellMar>
        </w:tblPrEx>
        <w:trPr>
          <w:cantSplit/>
        </w:trPr>
        <w:tc>
          <w:tcPr>
            <w:tcW w:w="2737" w:type="dxa"/>
          </w:tcPr>
          <w:p>
            <w:pPr>
              <w:pStyle w:val="yTable"/>
              <w:spacing w:after="20"/>
              <w:ind w:left="244" w:hanging="244"/>
              <w:rPr>
                <w:spacing w:val="-2"/>
                <w:sz w:val="20"/>
              </w:rPr>
            </w:pPr>
            <w:r>
              <w:rPr>
                <w:spacing w:val="-2"/>
                <w:sz w:val="20"/>
              </w:rPr>
              <w:tab/>
              <w:t>Recreational vessel</w:t>
            </w:r>
            <w:r>
              <w:rPr>
                <w:spacing w:val="-2"/>
                <w:sz w:val="20"/>
              </w:rPr>
              <w:br/>
            </w:r>
          </w:p>
          <w:p>
            <w:pPr>
              <w:pStyle w:val="yTable"/>
              <w:spacing w:after="20"/>
              <w:ind w:left="244" w:hanging="244"/>
              <w:rPr>
                <w:b/>
                <w:spacing w:val="-2"/>
                <w:sz w:val="20"/>
              </w:rPr>
            </w:pPr>
            <w:r>
              <w:rPr>
                <w:spacing w:val="-2"/>
                <w:sz w:val="20"/>
              </w:rPr>
              <w:tab/>
              <w:t>Commercial vessel</w:t>
            </w:r>
          </w:p>
        </w:tc>
        <w:tc>
          <w:tcPr>
            <w:tcW w:w="4150" w:type="dxa"/>
            <w:gridSpan w:val="2"/>
          </w:tcPr>
          <w:p>
            <w:pPr>
              <w:pStyle w:val="yTable"/>
              <w:spacing w:after="20"/>
              <w:rPr>
                <w:spacing w:val="-2"/>
                <w:sz w:val="20"/>
              </w:rPr>
            </w:pPr>
            <w:r>
              <w:rPr>
                <w:spacing w:val="-2"/>
                <w:sz w:val="20"/>
              </w:rPr>
              <w:t>$17.60/m x length of vessel, per week (with a minimum weekly charge of $155.00 per vessel)</w:t>
            </w:r>
          </w:p>
          <w:p>
            <w:pPr>
              <w:pStyle w:val="yTable"/>
              <w:spacing w:after="20"/>
              <w:rPr>
                <w:spacing w:val="-2"/>
                <w:sz w:val="20"/>
              </w:rPr>
            </w:pPr>
            <w:r>
              <w:rPr>
                <w:spacing w:val="-2"/>
                <w:sz w:val="20"/>
              </w:rPr>
              <w:t>$19.03/m x length of vessel, per week (with a minimum weekly charge of $155.00 per vessel)</w:t>
            </w:r>
          </w:p>
        </w:tc>
      </w:tr>
      <w:tr>
        <w:tblPrEx>
          <w:tblBorders>
            <w:bottom w:val="single" w:sz="4" w:space="0" w:color="auto"/>
          </w:tblBorders>
          <w:tblCellMar>
            <w:left w:w="84" w:type="dxa"/>
            <w:right w:w="84" w:type="dxa"/>
          </w:tblCellMar>
        </w:tblPrEx>
        <w:trPr>
          <w:cantSplit/>
        </w:trPr>
        <w:tc>
          <w:tcPr>
            <w:tcW w:w="2737" w:type="dxa"/>
          </w:tcPr>
          <w:p>
            <w:pPr>
              <w:pStyle w:val="yTable"/>
              <w:spacing w:after="20"/>
              <w:rPr>
                <w:spacing w:val="-2"/>
                <w:sz w:val="20"/>
              </w:rPr>
            </w:pPr>
            <w:r>
              <w:rPr>
                <w:b/>
                <w:spacing w:val="-2"/>
                <w:sz w:val="20"/>
              </w:rPr>
              <w:t>Daily Casual Fee</w:t>
            </w:r>
          </w:p>
        </w:tc>
        <w:tc>
          <w:tcPr>
            <w:tcW w:w="4150" w:type="dxa"/>
            <w:gridSpan w:val="2"/>
          </w:tcPr>
          <w:p>
            <w:pPr>
              <w:pStyle w:val="yTable"/>
              <w:spacing w:after="20"/>
              <w:rPr>
                <w:spacing w:val="-2"/>
                <w:sz w:val="20"/>
              </w:rPr>
            </w:pPr>
            <w:r>
              <w:rPr>
                <w:spacing w:val="-2"/>
                <w:sz w:val="20"/>
              </w:rPr>
              <w:t>$3.52/m x length of vessel (with a minimum overnight charge of $31.00 per vessel)</w:t>
            </w:r>
          </w:p>
        </w:tc>
      </w:tr>
      <w:tr>
        <w:tblPrEx>
          <w:tblBorders>
            <w:bottom w:val="single" w:sz="4" w:space="0" w:color="auto"/>
          </w:tblBorders>
          <w:tblCellMar>
            <w:left w:w="84" w:type="dxa"/>
            <w:right w:w="84" w:type="dxa"/>
          </w:tblCellMar>
        </w:tblPrEx>
        <w:trPr>
          <w:cantSplit/>
        </w:trPr>
        <w:tc>
          <w:tcPr>
            <w:tcW w:w="2737" w:type="dxa"/>
            <w:tcBorders>
              <w:bottom w:val="nil"/>
            </w:tcBorders>
          </w:tcPr>
          <w:p>
            <w:pPr>
              <w:pStyle w:val="yTable"/>
              <w:spacing w:after="20"/>
              <w:rPr>
                <w:b/>
                <w:spacing w:val="-2"/>
                <w:sz w:val="20"/>
              </w:rPr>
            </w:pPr>
            <w:r>
              <w:rPr>
                <w:b/>
                <w:spacing w:val="-2"/>
                <w:sz w:val="20"/>
              </w:rPr>
              <w:t>Short</w:t>
            </w:r>
            <w:r>
              <w:rPr>
                <w:b/>
                <w:spacing w:val="-2"/>
                <w:sz w:val="20"/>
              </w:rPr>
              <w:noBreakHyphen/>
              <w:t>Term Use Fee for Recreational vessels</w:t>
            </w:r>
          </w:p>
          <w:p>
            <w:pPr>
              <w:pStyle w:val="yTable"/>
              <w:spacing w:after="20"/>
              <w:rPr>
                <w:spacing w:val="-2"/>
                <w:sz w:val="20"/>
              </w:rPr>
            </w:pPr>
            <w:r>
              <w:rPr>
                <w:spacing w:val="-2"/>
                <w:sz w:val="20"/>
              </w:rPr>
              <w:t>(up to 3 hours)</w:t>
            </w:r>
          </w:p>
        </w:tc>
        <w:tc>
          <w:tcPr>
            <w:tcW w:w="4150" w:type="dxa"/>
            <w:gridSpan w:val="2"/>
            <w:tcBorders>
              <w:bottom w:val="nil"/>
            </w:tcBorders>
          </w:tcPr>
          <w:p>
            <w:pPr>
              <w:pStyle w:val="yTable"/>
              <w:spacing w:after="20"/>
              <w:rPr>
                <w:b/>
                <w:spacing w:val="-2"/>
                <w:sz w:val="20"/>
              </w:rPr>
            </w:pPr>
            <w:r>
              <w:rPr>
                <w:b/>
                <w:spacing w:val="-2"/>
                <w:sz w:val="20"/>
              </w:rPr>
              <w:br/>
            </w:r>
          </w:p>
          <w:p>
            <w:pPr>
              <w:pStyle w:val="yTable"/>
              <w:spacing w:after="20"/>
              <w:rPr>
                <w:spacing w:val="-2"/>
                <w:sz w:val="20"/>
              </w:rPr>
            </w:pPr>
            <w:r>
              <w:rPr>
                <w:spacing w:val="-2"/>
                <w:sz w:val="20"/>
              </w:rPr>
              <w:t>$22.79/3 hours</w:t>
            </w:r>
          </w:p>
        </w:tc>
      </w:tr>
      <w:tr>
        <w:tblPrEx>
          <w:tblBorders>
            <w:bottom w:val="single" w:sz="4" w:space="0" w:color="auto"/>
          </w:tblBorders>
          <w:tblCellMar>
            <w:left w:w="84" w:type="dxa"/>
            <w:right w:w="84" w:type="dxa"/>
          </w:tblCellMar>
        </w:tblPrEx>
        <w:trPr>
          <w:cantSplit/>
        </w:trPr>
        <w:tc>
          <w:tcPr>
            <w:tcW w:w="2737" w:type="dxa"/>
            <w:tcBorders>
              <w:bottom w:val="single" w:sz="4" w:space="0" w:color="auto"/>
            </w:tcBorders>
          </w:tcPr>
          <w:p>
            <w:pPr>
              <w:pStyle w:val="yTable"/>
              <w:spacing w:after="20"/>
              <w:rPr>
                <w:spacing w:val="-2"/>
                <w:sz w:val="20"/>
              </w:rPr>
            </w:pPr>
            <w:r>
              <w:rPr>
                <w:b/>
                <w:spacing w:val="-2"/>
                <w:sz w:val="20"/>
              </w:rPr>
              <w:t>‘Live on Board’ Fee</w:t>
            </w:r>
          </w:p>
        </w:tc>
        <w:tc>
          <w:tcPr>
            <w:tcW w:w="4150" w:type="dxa"/>
            <w:gridSpan w:val="2"/>
            <w:tcBorders>
              <w:bottom w:val="single" w:sz="4" w:space="0" w:color="auto"/>
            </w:tcBorders>
          </w:tcPr>
          <w:p>
            <w:pPr>
              <w:pStyle w:val="yTable"/>
              <w:spacing w:after="20"/>
              <w:rPr>
                <w:spacing w:val="-2"/>
                <w:sz w:val="20"/>
              </w:rPr>
            </w:pPr>
            <w:r>
              <w:rPr>
                <w:sz w:val="20"/>
              </w:rPr>
              <w:t>$89.36/month per vessel</w:t>
            </w:r>
          </w:p>
        </w:tc>
      </w:tr>
    </w:tbl>
    <w:p>
      <w:pPr>
        <w:pStyle w:val="yHeading4"/>
      </w:pPr>
      <w:bookmarkStart w:id="888" w:name="_Toc139101848"/>
      <w:bookmarkStart w:id="889" w:name="_Toc139102033"/>
      <w:bookmarkStart w:id="890" w:name="_Toc139443381"/>
      <w:r>
        <w:t>Subdivision 2</w:t>
      </w:r>
      <w:r>
        <w:rPr>
          <w:b w:val="0"/>
        </w:rPr>
        <w:t> — </w:t>
      </w:r>
      <w:r>
        <w:t>Challenger Boat Harbour (Fremantle)</w:t>
      </w:r>
      <w:bookmarkEnd w:id="888"/>
      <w:bookmarkEnd w:id="889"/>
      <w:bookmarkEnd w:id="890"/>
    </w:p>
    <w:p>
      <w:pPr>
        <w:pStyle w:val="yFootnoteheading"/>
      </w:pPr>
      <w:r>
        <w:tab/>
        <w:t>[Heading inserted in Gazette 24 Jun 2005 p. 2827.]</w:t>
      </w:r>
    </w:p>
    <w:p>
      <w:pPr>
        <w:pStyle w:val="yMiscellaneousBody"/>
        <w:spacing w:after="80"/>
        <w:rPr>
          <w:snapToGrid w:val="0"/>
        </w:rPr>
      </w:pPr>
      <w:r>
        <w:rPr>
          <w:snapToGrid w:val="0"/>
        </w:rPr>
        <w:t>(including Mediterranean moorings)</w:t>
      </w:r>
    </w:p>
    <w:tbl>
      <w:tblPr>
        <w:tblW w:w="0" w:type="auto"/>
        <w:tblInd w:w="182"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737"/>
        <w:gridCol w:w="4150"/>
      </w:tblGrid>
      <w:tr>
        <w:tc>
          <w:tcPr>
            <w:tcW w:w="2737" w:type="dxa"/>
            <w:tcBorders>
              <w:bottom w:val="single" w:sz="4" w:space="0" w:color="auto"/>
            </w:tcBorders>
          </w:tcPr>
          <w:p>
            <w:pPr>
              <w:pStyle w:val="yTable"/>
              <w:spacing w:after="20"/>
              <w:rPr>
                <w:spacing w:val="-2"/>
                <w:sz w:val="20"/>
              </w:rPr>
            </w:pPr>
            <w:r>
              <w:rPr>
                <w:b/>
                <w:spacing w:val="-2"/>
                <w:sz w:val="20"/>
              </w:rPr>
              <w:t>Annual Fee</w:t>
            </w:r>
          </w:p>
        </w:tc>
        <w:tc>
          <w:tcPr>
            <w:tcW w:w="4150" w:type="dxa"/>
            <w:tcBorders>
              <w:bottom w:val="single" w:sz="4" w:space="0" w:color="auto"/>
            </w:tcBorders>
          </w:tcPr>
          <w:p>
            <w:pPr>
              <w:pStyle w:val="yTable"/>
              <w:spacing w:after="20"/>
              <w:rPr>
                <w:spacing w:val="-2"/>
                <w:sz w:val="20"/>
              </w:rPr>
            </w:pPr>
          </w:p>
        </w:tc>
      </w:tr>
      <w:tr>
        <w:tc>
          <w:tcPr>
            <w:tcW w:w="2737" w:type="dxa"/>
            <w:tcBorders>
              <w:bottom w:val="single" w:sz="4" w:space="0" w:color="auto"/>
            </w:tcBorders>
          </w:tcPr>
          <w:p>
            <w:pPr>
              <w:pStyle w:val="yTable"/>
              <w:spacing w:after="20"/>
              <w:ind w:left="244"/>
              <w:rPr>
                <w:spacing w:val="-2"/>
                <w:sz w:val="20"/>
              </w:rPr>
            </w:pPr>
            <w:r>
              <w:rPr>
                <w:spacing w:val="-2"/>
                <w:sz w:val="20"/>
              </w:rPr>
              <w:t>Catamaran pens with walkways</w:t>
            </w:r>
          </w:p>
        </w:tc>
        <w:tc>
          <w:tcPr>
            <w:tcW w:w="4150" w:type="dxa"/>
            <w:tcBorders>
              <w:bottom w:val="single" w:sz="4" w:space="0" w:color="auto"/>
            </w:tcBorders>
          </w:tcPr>
          <w:p>
            <w:pPr>
              <w:pStyle w:val="yTable"/>
              <w:spacing w:after="20"/>
              <w:rPr>
                <w:spacing w:val="-2"/>
                <w:sz w:val="20"/>
              </w:rPr>
            </w:pPr>
            <w:r>
              <w:rPr>
                <w:spacing w:val="-2"/>
                <w:sz w:val="20"/>
              </w:rPr>
              <w:t xml:space="preserve">$524.10/m x length of vessel </w:t>
            </w:r>
            <w:r>
              <w:rPr>
                <w:i/>
                <w:spacing w:val="-2"/>
                <w:sz w:val="20"/>
              </w:rPr>
              <w:t>(subject to a minimum chargeable length relative to the size of the pen, as set out below)</w:t>
            </w:r>
          </w:p>
        </w:tc>
      </w:tr>
      <w:tr>
        <w:tc>
          <w:tcPr>
            <w:tcW w:w="2737" w:type="dxa"/>
            <w:tcBorders>
              <w:top w:val="single" w:sz="4" w:space="0" w:color="auto"/>
            </w:tcBorders>
          </w:tcPr>
          <w:p>
            <w:pPr>
              <w:pStyle w:val="yTable"/>
              <w:spacing w:after="20"/>
              <w:ind w:left="244"/>
              <w:rPr>
                <w:spacing w:val="-2"/>
                <w:sz w:val="20"/>
              </w:rPr>
            </w:pPr>
            <w:r>
              <w:rPr>
                <w:spacing w:val="-2"/>
                <w:sz w:val="20"/>
              </w:rPr>
              <w:t>Other pens with walkways</w:t>
            </w:r>
          </w:p>
        </w:tc>
        <w:tc>
          <w:tcPr>
            <w:tcW w:w="4150" w:type="dxa"/>
            <w:tcBorders>
              <w:top w:val="single" w:sz="4" w:space="0" w:color="auto"/>
            </w:tcBorders>
          </w:tcPr>
          <w:p>
            <w:pPr>
              <w:pStyle w:val="yTable"/>
              <w:spacing w:after="20"/>
              <w:rPr>
                <w:spacing w:val="-2"/>
                <w:sz w:val="20"/>
              </w:rPr>
            </w:pPr>
            <w:r>
              <w:rPr>
                <w:spacing w:val="-2"/>
                <w:sz w:val="20"/>
              </w:rPr>
              <w:t xml:space="preserve">$361.05/m x length of vessel </w:t>
            </w:r>
            <w:r>
              <w:rPr>
                <w:i/>
                <w:spacing w:val="-2"/>
                <w:sz w:val="20"/>
              </w:rPr>
              <w:t>(subject to a minimum chargeable length relative to the size of the pen, as set out below)</w:t>
            </w:r>
          </w:p>
        </w:tc>
      </w:tr>
      <w:tr>
        <w:tc>
          <w:tcPr>
            <w:tcW w:w="2737" w:type="dxa"/>
          </w:tcPr>
          <w:p>
            <w:pPr>
              <w:pStyle w:val="yTable"/>
              <w:spacing w:after="20"/>
              <w:ind w:left="244"/>
              <w:rPr>
                <w:spacing w:val="-2"/>
                <w:sz w:val="20"/>
              </w:rPr>
            </w:pPr>
            <w:r>
              <w:rPr>
                <w:spacing w:val="-2"/>
                <w:sz w:val="20"/>
              </w:rPr>
              <w:t>Other pens</w:t>
            </w:r>
          </w:p>
        </w:tc>
        <w:tc>
          <w:tcPr>
            <w:tcW w:w="4150" w:type="dxa"/>
          </w:tcPr>
          <w:p>
            <w:pPr>
              <w:pStyle w:val="yTable"/>
              <w:spacing w:after="20"/>
              <w:rPr>
                <w:spacing w:val="-2"/>
                <w:sz w:val="20"/>
              </w:rPr>
            </w:pPr>
            <w:r>
              <w:rPr>
                <w:spacing w:val="-2"/>
                <w:sz w:val="20"/>
              </w:rPr>
              <w:t xml:space="preserve">$326.11/m x length of vessel </w:t>
            </w:r>
            <w:r>
              <w:rPr>
                <w:i/>
                <w:spacing w:val="-2"/>
                <w:sz w:val="20"/>
              </w:rPr>
              <w:t>(subject to a minimum chargeable length relative to the size of the pen, as set out below)</w:t>
            </w:r>
          </w:p>
        </w:tc>
      </w:tr>
      <w:tr>
        <w:tc>
          <w:tcPr>
            <w:tcW w:w="2737" w:type="dxa"/>
          </w:tcPr>
          <w:p>
            <w:pPr>
              <w:pStyle w:val="yTable"/>
              <w:spacing w:after="20"/>
              <w:rPr>
                <w:spacing w:val="-2"/>
                <w:sz w:val="20"/>
              </w:rPr>
            </w:pPr>
            <w:r>
              <w:rPr>
                <w:b/>
                <w:spacing w:val="-2"/>
                <w:sz w:val="20"/>
              </w:rPr>
              <w:t>Daily Casual Fee</w:t>
            </w:r>
          </w:p>
        </w:tc>
        <w:tc>
          <w:tcPr>
            <w:tcW w:w="4150" w:type="dxa"/>
          </w:tcPr>
          <w:p>
            <w:pPr>
              <w:pStyle w:val="yTable"/>
              <w:spacing w:after="20"/>
              <w:rPr>
                <w:spacing w:val="-2"/>
                <w:sz w:val="20"/>
              </w:rPr>
            </w:pPr>
            <w:r>
              <w:rPr>
                <w:spacing w:val="-2"/>
                <w:sz w:val="20"/>
              </w:rPr>
              <w:t xml:space="preserve">$29.12/day (all vessels) </w:t>
            </w:r>
          </w:p>
        </w:tc>
      </w:tr>
      <w:tr>
        <w:tc>
          <w:tcPr>
            <w:tcW w:w="2737" w:type="dxa"/>
          </w:tcPr>
          <w:p>
            <w:pPr>
              <w:pStyle w:val="yTable"/>
              <w:spacing w:after="20"/>
              <w:rPr>
                <w:spacing w:val="-2"/>
                <w:sz w:val="20"/>
              </w:rPr>
            </w:pPr>
            <w:r>
              <w:rPr>
                <w:b/>
                <w:spacing w:val="-2"/>
                <w:sz w:val="20"/>
              </w:rPr>
              <w:t>Weekly Fee</w:t>
            </w:r>
          </w:p>
        </w:tc>
        <w:tc>
          <w:tcPr>
            <w:tcW w:w="4150" w:type="dxa"/>
          </w:tcPr>
          <w:p>
            <w:pPr>
              <w:pStyle w:val="yTable"/>
              <w:spacing w:after="20"/>
              <w:rPr>
                <w:spacing w:val="-2"/>
                <w:sz w:val="20"/>
              </w:rPr>
            </w:pPr>
            <w:r>
              <w:rPr>
                <w:spacing w:val="-2"/>
                <w:sz w:val="20"/>
              </w:rPr>
              <w:t>$145.60/week (all vessels)</w:t>
            </w:r>
          </w:p>
        </w:tc>
      </w:tr>
      <w:tr>
        <w:tc>
          <w:tcPr>
            <w:tcW w:w="2737" w:type="dxa"/>
          </w:tcPr>
          <w:p>
            <w:pPr>
              <w:pStyle w:val="yTable"/>
              <w:keepNext/>
              <w:keepLines/>
              <w:spacing w:after="20"/>
              <w:rPr>
                <w:spacing w:val="-2"/>
                <w:sz w:val="20"/>
              </w:rPr>
            </w:pPr>
            <w:r>
              <w:rPr>
                <w:b/>
                <w:spacing w:val="-2"/>
                <w:sz w:val="20"/>
              </w:rPr>
              <w:t>Monthly Fee</w:t>
            </w:r>
          </w:p>
        </w:tc>
        <w:tc>
          <w:tcPr>
            <w:tcW w:w="4150" w:type="dxa"/>
          </w:tcPr>
          <w:p>
            <w:pPr>
              <w:pStyle w:val="yTable"/>
              <w:keepNext/>
              <w:keepLines/>
              <w:spacing w:after="20"/>
              <w:rPr>
                <w:spacing w:val="-2"/>
                <w:sz w:val="20"/>
              </w:rPr>
            </w:pPr>
          </w:p>
        </w:tc>
      </w:tr>
      <w:tr>
        <w:tc>
          <w:tcPr>
            <w:tcW w:w="2737" w:type="dxa"/>
          </w:tcPr>
          <w:p>
            <w:pPr>
              <w:pStyle w:val="yTable"/>
              <w:spacing w:after="20"/>
              <w:ind w:left="244"/>
              <w:rPr>
                <w:b/>
                <w:spacing w:val="-2"/>
                <w:sz w:val="20"/>
              </w:rPr>
            </w:pPr>
            <w:r>
              <w:rPr>
                <w:spacing w:val="-2"/>
                <w:sz w:val="20"/>
              </w:rPr>
              <w:t>Catamaran pens with walkways</w:t>
            </w:r>
          </w:p>
        </w:tc>
        <w:tc>
          <w:tcPr>
            <w:tcW w:w="4150" w:type="dxa"/>
          </w:tcPr>
          <w:p>
            <w:pPr>
              <w:pStyle w:val="yTable"/>
              <w:spacing w:after="20"/>
              <w:rPr>
                <w:spacing w:val="-2"/>
                <w:sz w:val="20"/>
              </w:rPr>
            </w:pPr>
            <w:r>
              <w:rPr>
                <w:spacing w:val="-2"/>
                <w:sz w:val="20"/>
              </w:rPr>
              <w:t xml:space="preserve">$104.82/m x length of vessel, per m </w:t>
            </w:r>
            <w:r>
              <w:rPr>
                <w:i/>
                <w:spacing w:val="-2"/>
                <w:sz w:val="20"/>
              </w:rPr>
              <w:t>(subject to a minimum chargeable length relative to the size of the pen, as set out below)</w:t>
            </w:r>
          </w:p>
        </w:tc>
      </w:tr>
      <w:tr>
        <w:tc>
          <w:tcPr>
            <w:tcW w:w="2737" w:type="dxa"/>
            <w:tcBorders>
              <w:bottom w:val="nil"/>
            </w:tcBorders>
          </w:tcPr>
          <w:p>
            <w:pPr>
              <w:pStyle w:val="yTable"/>
              <w:spacing w:after="20"/>
              <w:ind w:left="244"/>
              <w:rPr>
                <w:b/>
                <w:spacing w:val="-2"/>
                <w:sz w:val="20"/>
              </w:rPr>
            </w:pPr>
            <w:r>
              <w:rPr>
                <w:spacing w:val="-2"/>
                <w:sz w:val="20"/>
              </w:rPr>
              <w:t>Other pens with walkways</w:t>
            </w:r>
          </w:p>
        </w:tc>
        <w:tc>
          <w:tcPr>
            <w:tcW w:w="4150" w:type="dxa"/>
            <w:tcBorders>
              <w:bottom w:val="nil"/>
            </w:tcBorders>
          </w:tcPr>
          <w:p>
            <w:pPr>
              <w:pStyle w:val="yTable"/>
              <w:spacing w:after="20"/>
              <w:rPr>
                <w:spacing w:val="-2"/>
                <w:sz w:val="20"/>
              </w:rPr>
            </w:pPr>
            <w:r>
              <w:rPr>
                <w:spacing w:val="-2"/>
                <w:sz w:val="20"/>
              </w:rPr>
              <w:t xml:space="preserve">$72.21/m x length of vessel, per month </w:t>
            </w:r>
            <w:r>
              <w:rPr>
                <w:i/>
                <w:spacing w:val="-2"/>
                <w:sz w:val="20"/>
              </w:rPr>
              <w:t>(subject to a minimum chargeable length relative to the size of the pen, as set out below)</w:t>
            </w:r>
          </w:p>
        </w:tc>
      </w:tr>
      <w:tr>
        <w:tc>
          <w:tcPr>
            <w:tcW w:w="2737" w:type="dxa"/>
            <w:tcBorders>
              <w:bottom w:val="single" w:sz="4" w:space="0" w:color="auto"/>
            </w:tcBorders>
          </w:tcPr>
          <w:p>
            <w:pPr>
              <w:pStyle w:val="yTable"/>
              <w:spacing w:after="20"/>
              <w:ind w:left="244"/>
              <w:rPr>
                <w:b/>
                <w:spacing w:val="-2"/>
                <w:sz w:val="20"/>
              </w:rPr>
            </w:pPr>
            <w:r>
              <w:rPr>
                <w:spacing w:val="-2"/>
                <w:sz w:val="20"/>
              </w:rPr>
              <w:t>Other pens</w:t>
            </w:r>
          </w:p>
        </w:tc>
        <w:tc>
          <w:tcPr>
            <w:tcW w:w="4150" w:type="dxa"/>
            <w:tcBorders>
              <w:bottom w:val="single" w:sz="4" w:space="0" w:color="auto"/>
            </w:tcBorders>
          </w:tcPr>
          <w:p>
            <w:pPr>
              <w:pStyle w:val="yTable"/>
              <w:spacing w:after="20"/>
              <w:rPr>
                <w:spacing w:val="-2"/>
                <w:sz w:val="20"/>
              </w:rPr>
            </w:pPr>
            <w:r>
              <w:rPr>
                <w:spacing w:val="-2"/>
                <w:sz w:val="20"/>
              </w:rPr>
              <w:t xml:space="preserve">$65.22/m x length of vessel, per month </w:t>
            </w:r>
            <w:r>
              <w:rPr>
                <w:i/>
                <w:spacing w:val="-2"/>
                <w:sz w:val="20"/>
              </w:rPr>
              <w:t>(subject to a minimum chargeable length relative to the size of the pen, as set out below)</w:t>
            </w:r>
          </w:p>
        </w:tc>
      </w:tr>
    </w:tbl>
    <w:p>
      <w:pPr>
        <w:pStyle w:val="yTable"/>
      </w:pPr>
    </w:p>
    <w:tbl>
      <w:tblPr>
        <w:tblW w:w="0" w:type="auto"/>
        <w:tblInd w:w="182"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737"/>
        <w:gridCol w:w="2126"/>
        <w:gridCol w:w="2010"/>
      </w:tblGrid>
      <w:tr>
        <w:trPr>
          <w:cantSplit/>
        </w:trPr>
        <w:tc>
          <w:tcPr>
            <w:tcW w:w="2737" w:type="dxa"/>
            <w:tcBorders>
              <w:top w:val="single" w:sz="4" w:space="0" w:color="auto"/>
              <w:bottom w:val="single" w:sz="4" w:space="0" w:color="auto"/>
            </w:tcBorders>
          </w:tcPr>
          <w:p>
            <w:pPr>
              <w:pStyle w:val="yTable"/>
              <w:spacing w:after="20"/>
              <w:rPr>
                <w:spacing w:val="-2"/>
                <w:sz w:val="20"/>
              </w:rPr>
            </w:pPr>
            <w:r>
              <w:rPr>
                <w:b/>
                <w:spacing w:val="-2"/>
                <w:sz w:val="20"/>
              </w:rPr>
              <w:t>Part Year Fee — 3 months or more paid in advance</w:t>
            </w:r>
          </w:p>
        </w:tc>
        <w:tc>
          <w:tcPr>
            <w:tcW w:w="4136" w:type="dxa"/>
            <w:gridSpan w:val="2"/>
            <w:tcBorders>
              <w:top w:val="single" w:sz="4" w:space="0" w:color="auto"/>
              <w:bottom w:val="single" w:sz="4" w:space="0" w:color="auto"/>
            </w:tcBorders>
          </w:tcPr>
          <w:p>
            <w:pPr>
              <w:pStyle w:val="yTable"/>
              <w:spacing w:after="20"/>
              <w:rPr>
                <w:spacing w:val="-2"/>
                <w:sz w:val="20"/>
              </w:rPr>
            </w:pPr>
          </w:p>
        </w:tc>
      </w:tr>
      <w:tr>
        <w:trPr>
          <w:cantSplit/>
        </w:trPr>
        <w:tc>
          <w:tcPr>
            <w:tcW w:w="2737" w:type="dxa"/>
            <w:tcBorders>
              <w:top w:val="nil"/>
            </w:tcBorders>
          </w:tcPr>
          <w:p>
            <w:pPr>
              <w:pStyle w:val="yTable"/>
              <w:spacing w:after="20"/>
              <w:ind w:left="244"/>
              <w:rPr>
                <w:b/>
                <w:spacing w:val="-2"/>
                <w:sz w:val="20"/>
              </w:rPr>
            </w:pPr>
            <w:r>
              <w:rPr>
                <w:spacing w:val="-2"/>
                <w:sz w:val="20"/>
              </w:rPr>
              <w:t>Catamaran pens with walkways</w:t>
            </w:r>
          </w:p>
        </w:tc>
        <w:tc>
          <w:tcPr>
            <w:tcW w:w="4136" w:type="dxa"/>
            <w:gridSpan w:val="2"/>
            <w:tcBorders>
              <w:top w:val="nil"/>
            </w:tcBorders>
          </w:tcPr>
          <w:p>
            <w:pPr>
              <w:pStyle w:val="yTable"/>
              <w:spacing w:after="20"/>
              <w:rPr>
                <w:spacing w:val="-2"/>
                <w:sz w:val="20"/>
              </w:rPr>
            </w:pPr>
            <w:r>
              <w:rPr>
                <w:spacing w:val="-2"/>
                <w:sz w:val="20"/>
              </w:rPr>
              <w:t xml:space="preserve">$52.41/m x length of vessel, per month </w:t>
            </w:r>
            <w:r>
              <w:rPr>
                <w:i/>
                <w:spacing w:val="-2"/>
                <w:sz w:val="20"/>
              </w:rPr>
              <w:t>(subject to a minimum chargeable length relative to the size of the pen, as set out below)</w:t>
            </w:r>
          </w:p>
        </w:tc>
      </w:tr>
      <w:tr>
        <w:trPr>
          <w:cantSplit/>
        </w:trPr>
        <w:tc>
          <w:tcPr>
            <w:tcW w:w="2737" w:type="dxa"/>
            <w:tcBorders>
              <w:bottom w:val="nil"/>
            </w:tcBorders>
          </w:tcPr>
          <w:p>
            <w:pPr>
              <w:pStyle w:val="yTable"/>
              <w:spacing w:after="20"/>
              <w:ind w:left="244"/>
              <w:rPr>
                <w:b/>
                <w:spacing w:val="-2"/>
                <w:sz w:val="20"/>
              </w:rPr>
            </w:pPr>
            <w:r>
              <w:rPr>
                <w:spacing w:val="-2"/>
                <w:sz w:val="20"/>
              </w:rPr>
              <w:t>Other pens with walkways</w:t>
            </w:r>
          </w:p>
        </w:tc>
        <w:tc>
          <w:tcPr>
            <w:tcW w:w="4136" w:type="dxa"/>
            <w:gridSpan w:val="2"/>
            <w:tcBorders>
              <w:bottom w:val="nil"/>
            </w:tcBorders>
          </w:tcPr>
          <w:p>
            <w:pPr>
              <w:pStyle w:val="yTable"/>
              <w:spacing w:after="20"/>
              <w:rPr>
                <w:spacing w:val="-2"/>
                <w:sz w:val="20"/>
              </w:rPr>
            </w:pPr>
            <w:r>
              <w:rPr>
                <w:spacing w:val="-2"/>
                <w:sz w:val="20"/>
              </w:rPr>
              <w:t xml:space="preserve">$36.10/m x length of vessel, per month </w:t>
            </w:r>
            <w:r>
              <w:rPr>
                <w:i/>
                <w:spacing w:val="-2"/>
                <w:sz w:val="20"/>
              </w:rPr>
              <w:t>(subject to a minimum chargeable length relative to the size of the pen, as set out below)</w:t>
            </w:r>
          </w:p>
        </w:tc>
      </w:tr>
      <w:tr>
        <w:trPr>
          <w:cantSplit/>
        </w:trPr>
        <w:tc>
          <w:tcPr>
            <w:tcW w:w="2737" w:type="dxa"/>
            <w:tcBorders>
              <w:bottom w:val="single" w:sz="4" w:space="0" w:color="auto"/>
            </w:tcBorders>
          </w:tcPr>
          <w:p>
            <w:pPr>
              <w:pStyle w:val="yTable"/>
              <w:spacing w:after="20"/>
              <w:ind w:left="244"/>
              <w:rPr>
                <w:b/>
                <w:spacing w:val="-2"/>
                <w:sz w:val="20"/>
              </w:rPr>
            </w:pPr>
            <w:r>
              <w:rPr>
                <w:spacing w:val="-2"/>
                <w:sz w:val="20"/>
              </w:rPr>
              <w:t>Other pens</w:t>
            </w:r>
          </w:p>
        </w:tc>
        <w:tc>
          <w:tcPr>
            <w:tcW w:w="4136" w:type="dxa"/>
            <w:gridSpan w:val="2"/>
            <w:tcBorders>
              <w:bottom w:val="single" w:sz="4" w:space="0" w:color="auto"/>
            </w:tcBorders>
          </w:tcPr>
          <w:p>
            <w:pPr>
              <w:pStyle w:val="yTable"/>
              <w:spacing w:after="20"/>
              <w:rPr>
                <w:spacing w:val="-2"/>
                <w:sz w:val="20"/>
              </w:rPr>
            </w:pPr>
            <w:r>
              <w:rPr>
                <w:spacing w:val="-2"/>
                <w:sz w:val="20"/>
              </w:rPr>
              <w:t xml:space="preserve">$32.61/m x length of vessel, per month </w:t>
            </w:r>
            <w:r>
              <w:rPr>
                <w:i/>
                <w:spacing w:val="-2"/>
                <w:sz w:val="20"/>
              </w:rPr>
              <w:t>(subject to a minimum chargeable length relative to the size of the pen, as set out below)</w:t>
            </w:r>
          </w:p>
        </w:tc>
      </w:tr>
      <w:tr>
        <w:tc>
          <w:tcPr>
            <w:tcW w:w="2737" w:type="dxa"/>
            <w:tcBorders>
              <w:bottom w:val="single" w:sz="4" w:space="0" w:color="auto"/>
            </w:tcBorders>
          </w:tcPr>
          <w:p>
            <w:pPr>
              <w:pStyle w:val="yTable"/>
              <w:spacing w:after="20"/>
              <w:rPr>
                <w:spacing w:val="-2"/>
                <w:sz w:val="20"/>
              </w:rPr>
            </w:pPr>
            <w:r>
              <w:br w:type="page"/>
            </w:r>
            <w:r>
              <w:rPr>
                <w:b/>
                <w:spacing w:val="-2"/>
                <w:sz w:val="20"/>
              </w:rPr>
              <w:t>‘Live on Board’ Fee</w:t>
            </w:r>
          </w:p>
        </w:tc>
        <w:tc>
          <w:tcPr>
            <w:tcW w:w="4136" w:type="dxa"/>
            <w:gridSpan w:val="2"/>
            <w:tcBorders>
              <w:bottom w:val="single" w:sz="4" w:space="0" w:color="auto"/>
            </w:tcBorders>
          </w:tcPr>
          <w:p>
            <w:pPr>
              <w:pStyle w:val="yTable"/>
              <w:spacing w:after="20"/>
              <w:rPr>
                <w:spacing w:val="-2"/>
                <w:sz w:val="20"/>
              </w:rPr>
            </w:pPr>
            <w:r>
              <w:rPr>
                <w:spacing w:val="-2"/>
                <w:sz w:val="20"/>
              </w:rPr>
              <w:t>$89.36/month per vessel</w:t>
            </w:r>
          </w:p>
        </w:tc>
      </w:tr>
      <w:tr>
        <w:trPr>
          <w:cantSplit/>
        </w:trPr>
        <w:tc>
          <w:tcPr>
            <w:tcW w:w="2737" w:type="dxa"/>
            <w:vMerge w:val="restart"/>
            <w:tcBorders>
              <w:bottom w:val="nil"/>
            </w:tcBorders>
          </w:tcPr>
          <w:p>
            <w:pPr>
              <w:pStyle w:val="yTable"/>
              <w:spacing w:after="20"/>
              <w:rPr>
                <w:i/>
                <w:spacing w:val="-2"/>
                <w:sz w:val="20"/>
              </w:rPr>
            </w:pPr>
            <w:r>
              <w:rPr>
                <w:i/>
                <w:spacing w:val="-2"/>
                <w:sz w:val="20"/>
              </w:rPr>
              <w:t>Minimum chargeable length when calculating a fee for pen of a particular size</w:t>
            </w:r>
          </w:p>
        </w:tc>
        <w:tc>
          <w:tcPr>
            <w:tcW w:w="2126" w:type="dxa"/>
            <w:tcBorders>
              <w:bottom w:val="single" w:sz="4" w:space="0" w:color="auto"/>
            </w:tcBorders>
          </w:tcPr>
          <w:p>
            <w:pPr>
              <w:pStyle w:val="yTable"/>
              <w:spacing w:after="20"/>
              <w:rPr>
                <w:spacing w:val="-2"/>
                <w:sz w:val="20"/>
              </w:rPr>
            </w:pPr>
            <w:r>
              <w:rPr>
                <w:spacing w:val="-2"/>
                <w:sz w:val="20"/>
              </w:rPr>
              <w:t>10 m pen</w:t>
            </w:r>
          </w:p>
        </w:tc>
        <w:tc>
          <w:tcPr>
            <w:tcW w:w="2010" w:type="dxa"/>
            <w:tcBorders>
              <w:bottom w:val="single" w:sz="4" w:space="0" w:color="auto"/>
            </w:tcBorders>
          </w:tcPr>
          <w:p>
            <w:pPr>
              <w:pStyle w:val="yTable"/>
              <w:spacing w:after="20"/>
              <w:rPr>
                <w:spacing w:val="-2"/>
                <w:sz w:val="20"/>
              </w:rPr>
            </w:pPr>
            <w:r>
              <w:rPr>
                <w:spacing w:val="-2"/>
                <w:sz w:val="20"/>
              </w:rPr>
              <w:t>at least 10 m</w:t>
            </w:r>
          </w:p>
        </w:tc>
      </w:tr>
      <w:tr>
        <w:trPr>
          <w:cantSplit/>
        </w:trPr>
        <w:tc>
          <w:tcPr>
            <w:tcW w:w="2737" w:type="dxa"/>
            <w:vMerge/>
            <w:tcBorders>
              <w:top w:val="nil"/>
              <w:bottom w:val="nil"/>
            </w:tcBorders>
          </w:tcPr>
          <w:p>
            <w:pPr>
              <w:pStyle w:val="yTable"/>
              <w:spacing w:after="20"/>
              <w:rPr>
                <w:b/>
                <w:spacing w:val="-2"/>
                <w:sz w:val="20"/>
              </w:rPr>
            </w:pPr>
          </w:p>
        </w:tc>
        <w:tc>
          <w:tcPr>
            <w:tcW w:w="2126" w:type="dxa"/>
            <w:tcBorders>
              <w:top w:val="single" w:sz="4" w:space="0" w:color="auto"/>
              <w:bottom w:val="single" w:sz="4" w:space="0" w:color="auto"/>
            </w:tcBorders>
          </w:tcPr>
          <w:p>
            <w:pPr>
              <w:pStyle w:val="yTable"/>
              <w:spacing w:after="20"/>
              <w:rPr>
                <w:spacing w:val="-2"/>
                <w:sz w:val="20"/>
              </w:rPr>
            </w:pPr>
            <w:r>
              <w:rPr>
                <w:spacing w:val="-2"/>
                <w:sz w:val="20"/>
              </w:rPr>
              <w:t>12 m pen</w:t>
            </w:r>
          </w:p>
        </w:tc>
        <w:tc>
          <w:tcPr>
            <w:tcW w:w="2010" w:type="dxa"/>
            <w:tcBorders>
              <w:top w:val="single" w:sz="4" w:space="0" w:color="auto"/>
              <w:bottom w:val="single" w:sz="4" w:space="0" w:color="auto"/>
            </w:tcBorders>
          </w:tcPr>
          <w:p>
            <w:pPr>
              <w:pStyle w:val="yTable"/>
              <w:spacing w:after="20"/>
              <w:rPr>
                <w:spacing w:val="-2"/>
                <w:sz w:val="20"/>
              </w:rPr>
            </w:pPr>
            <w:r>
              <w:rPr>
                <w:spacing w:val="-2"/>
                <w:sz w:val="20"/>
              </w:rPr>
              <w:t>at least 12 m</w:t>
            </w:r>
          </w:p>
        </w:tc>
      </w:tr>
      <w:tr>
        <w:trPr>
          <w:cantSplit/>
        </w:trPr>
        <w:tc>
          <w:tcPr>
            <w:tcW w:w="2737" w:type="dxa"/>
            <w:vMerge/>
            <w:tcBorders>
              <w:top w:val="nil"/>
              <w:bottom w:val="single" w:sz="4" w:space="0" w:color="auto"/>
            </w:tcBorders>
          </w:tcPr>
          <w:p>
            <w:pPr>
              <w:pStyle w:val="yTable"/>
              <w:spacing w:after="20"/>
              <w:rPr>
                <w:b/>
                <w:spacing w:val="-2"/>
                <w:sz w:val="20"/>
              </w:rPr>
            </w:pPr>
          </w:p>
        </w:tc>
        <w:tc>
          <w:tcPr>
            <w:tcW w:w="2126" w:type="dxa"/>
            <w:tcBorders>
              <w:top w:val="single" w:sz="4" w:space="0" w:color="auto"/>
              <w:bottom w:val="single" w:sz="4" w:space="0" w:color="auto"/>
            </w:tcBorders>
          </w:tcPr>
          <w:p>
            <w:pPr>
              <w:pStyle w:val="yTable"/>
              <w:spacing w:after="20"/>
              <w:rPr>
                <w:spacing w:val="-2"/>
                <w:sz w:val="20"/>
              </w:rPr>
            </w:pPr>
            <w:r>
              <w:rPr>
                <w:spacing w:val="-2"/>
                <w:sz w:val="20"/>
              </w:rPr>
              <w:t>20 m pen</w:t>
            </w:r>
          </w:p>
        </w:tc>
        <w:tc>
          <w:tcPr>
            <w:tcW w:w="2010" w:type="dxa"/>
            <w:tcBorders>
              <w:top w:val="single" w:sz="4" w:space="0" w:color="auto"/>
              <w:bottom w:val="single" w:sz="4" w:space="0" w:color="auto"/>
            </w:tcBorders>
          </w:tcPr>
          <w:p>
            <w:pPr>
              <w:pStyle w:val="yTable"/>
              <w:spacing w:after="20"/>
              <w:rPr>
                <w:spacing w:val="-2"/>
                <w:sz w:val="20"/>
              </w:rPr>
            </w:pPr>
            <w:r>
              <w:rPr>
                <w:spacing w:val="-2"/>
                <w:sz w:val="20"/>
              </w:rPr>
              <w:t>at least 20 m</w:t>
            </w:r>
          </w:p>
        </w:tc>
      </w:tr>
    </w:tbl>
    <w:p>
      <w:pPr>
        <w:pStyle w:val="yFootnotesection"/>
      </w:pPr>
      <w:r>
        <w:tab/>
        <w:t>[Division 2 inserted in Gazette 24 Jun 2005 p. 2826-8; amended in Gazette 23Jun 2006 p. 2197</w:t>
      </w:r>
      <w:r>
        <w:noBreakHyphen/>
        <w:t>8.]</w:t>
      </w:r>
    </w:p>
    <w:p>
      <w:pPr>
        <w:pStyle w:val="yScheduleHeading"/>
      </w:pPr>
      <w:bookmarkStart w:id="891" w:name="_Toc139101849"/>
      <w:bookmarkStart w:id="892" w:name="_Toc139102034"/>
      <w:bookmarkStart w:id="893" w:name="_Toc139443382"/>
      <w:bookmarkEnd w:id="871"/>
      <w:bookmarkEnd w:id="872"/>
      <w:r>
        <w:rPr>
          <w:rStyle w:val="CharSchNo"/>
        </w:rPr>
        <w:t>Schedule 3</w:t>
      </w:r>
      <w:r>
        <w:t> — </w:t>
      </w:r>
      <w:r>
        <w:rPr>
          <w:rStyle w:val="CharSchText"/>
        </w:rPr>
        <w:t>Forms</w:t>
      </w:r>
      <w:bookmarkEnd w:id="891"/>
      <w:bookmarkEnd w:id="892"/>
      <w:bookmarkEnd w:id="893"/>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3</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[Form 3 inserted in Gazette 6 Jul 1984 p. 2029.]</w:t>
      </w:r>
    </w:p>
    <w:p>
      <w:pPr>
        <w:pStyle w:val="yScheduleHeading"/>
        <w:rPr>
          <w:rStyle w:val="CharSchNo"/>
        </w:rPr>
      </w:pPr>
      <w:bookmarkStart w:id="894" w:name="_Toc139101850"/>
      <w:bookmarkStart w:id="895" w:name="_Toc139102035"/>
      <w:bookmarkStart w:id="896" w:name="_Toc139443383"/>
      <w:r>
        <w:rPr>
          <w:rStyle w:val="CharSchNo"/>
        </w:rPr>
        <w:t>Schedule 4</w:t>
      </w:r>
      <w:bookmarkEnd w:id="894"/>
      <w:bookmarkEnd w:id="895"/>
      <w:bookmarkEnd w:id="896"/>
    </w:p>
    <w:p>
      <w:pPr>
        <w:pStyle w:val="yFootnoteheading"/>
      </w:pPr>
      <w:r>
        <w:tab/>
        <w:t>[Heading inserted in Gazette 24 Jun 2005 p. 2829.]</w:t>
      </w:r>
    </w:p>
    <w:p>
      <w:pPr>
        <w:pStyle w:val="yHeading3"/>
      </w:pPr>
      <w:bookmarkStart w:id="897" w:name="_Toc139101851"/>
      <w:bookmarkStart w:id="898" w:name="_Toc139102036"/>
      <w:bookmarkStart w:id="899" w:name="_Toc139443384"/>
      <w:r>
        <w:rPr>
          <w:rStyle w:val="CharSDivNo"/>
        </w:rPr>
        <w:t>Division 1</w:t>
      </w:r>
      <w:r>
        <w:rPr>
          <w:b w:val="0"/>
        </w:rPr>
        <w:t> — </w:t>
      </w:r>
      <w:r>
        <w:rPr>
          <w:rStyle w:val="CharSDivText"/>
        </w:rPr>
        <w:t>Pen and berthage fees</w:t>
      </w:r>
      <w:r>
        <w:rPr>
          <w:rStyle w:val="CharSDivText"/>
        </w:rPr>
        <w:br/>
        <w:t>(other than Port of Perth)</w:t>
      </w:r>
      <w:bookmarkEnd w:id="897"/>
      <w:bookmarkEnd w:id="898"/>
      <w:bookmarkEnd w:id="899"/>
    </w:p>
    <w:p>
      <w:pPr>
        <w:pStyle w:val="yShoulderClause"/>
      </w:pPr>
      <w:r>
        <w:t>[r. 94A]</w:t>
      </w:r>
    </w:p>
    <w:p>
      <w:pPr>
        <w:pStyle w:val="yFootnoteheading"/>
      </w:pPr>
      <w:r>
        <w:tab/>
        <w:t>[Heading inserted in Gazette 24 Jun 2005 p. 2829.]</w:t>
      </w:r>
    </w:p>
    <w:p>
      <w:pPr>
        <w:pStyle w:val="yNumberedItem"/>
      </w:pPr>
      <w:r>
        <w:t>Note:</w:t>
      </w:r>
      <w:r>
        <w:tab/>
        <w:t>All Daily Casual Fees are charged per 24 hours or part of a day.</w:t>
      </w:r>
    </w:p>
    <w:p>
      <w:pPr>
        <w:pStyle w:val="yHeading4"/>
      </w:pPr>
      <w:bookmarkStart w:id="900" w:name="_Toc139101852"/>
      <w:bookmarkStart w:id="901" w:name="_Toc139102037"/>
      <w:bookmarkStart w:id="902" w:name="_Toc139443385"/>
      <w:r>
        <w:t>Subdivision 1</w:t>
      </w:r>
      <w:r>
        <w:rPr>
          <w:b w:val="0"/>
        </w:rPr>
        <w:t> — </w:t>
      </w:r>
      <w:r>
        <w:t>Augusta</w:t>
      </w:r>
      <w:bookmarkEnd w:id="900"/>
      <w:bookmarkEnd w:id="901"/>
      <w:bookmarkEnd w:id="902"/>
    </w:p>
    <w:p>
      <w:pPr>
        <w:pStyle w:val="yFootnoteheading"/>
      </w:pPr>
      <w:r>
        <w:tab/>
        <w:t>[Heading inserted in Gazette 24 Jun 2005 p. 2829.]</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56"/>
        <w:gridCol w:w="3745"/>
      </w:tblGrid>
      <w:tr>
        <w:tc>
          <w:tcPr>
            <w:tcW w:w="3156" w:type="dxa"/>
          </w:tcPr>
          <w:p>
            <w:pPr>
              <w:pStyle w:val="yTable"/>
              <w:spacing w:after="40"/>
              <w:rPr>
                <w:spacing w:val="-2"/>
                <w:sz w:val="20"/>
              </w:rPr>
            </w:pPr>
            <w:r>
              <w:rPr>
                <w:b/>
              </w:rPr>
              <w:t>Shared use of jetty</w:t>
            </w:r>
          </w:p>
        </w:tc>
        <w:tc>
          <w:tcPr>
            <w:tcW w:w="3745" w:type="dxa"/>
          </w:tcPr>
          <w:p>
            <w:pPr>
              <w:pStyle w:val="yTable"/>
              <w:spacing w:after="40"/>
              <w:rPr>
                <w:spacing w:val="-2"/>
                <w:sz w:val="20"/>
              </w:rPr>
            </w:pPr>
          </w:p>
        </w:tc>
      </w:tr>
      <w:tr>
        <w:tc>
          <w:tcPr>
            <w:tcW w:w="3156" w:type="dxa"/>
            <w:tcBorders>
              <w:bottom w:val="nil"/>
            </w:tcBorders>
          </w:tcPr>
          <w:p>
            <w:pPr>
              <w:pStyle w:val="yTable"/>
              <w:spacing w:after="40"/>
              <w:ind w:left="244"/>
              <w:rPr>
                <w:spacing w:val="-2"/>
                <w:sz w:val="20"/>
              </w:rPr>
            </w:pPr>
            <w:r>
              <w:rPr>
                <w:spacing w:val="-2"/>
                <w:sz w:val="20"/>
              </w:rPr>
              <w:t>Annual Fee</w:t>
            </w:r>
          </w:p>
        </w:tc>
        <w:tc>
          <w:tcPr>
            <w:tcW w:w="3745" w:type="dxa"/>
            <w:tcBorders>
              <w:bottom w:val="nil"/>
            </w:tcBorders>
          </w:tcPr>
          <w:p>
            <w:pPr>
              <w:pStyle w:val="yTable"/>
              <w:spacing w:after="40"/>
              <w:rPr>
                <w:spacing w:val="-2"/>
                <w:sz w:val="20"/>
              </w:rPr>
            </w:pPr>
            <w:r>
              <w:rPr>
                <w:spacing w:val="-2"/>
                <w:sz w:val="20"/>
              </w:rPr>
              <w:t>$592.86</w:t>
            </w:r>
          </w:p>
        </w:tc>
      </w:tr>
      <w:tr>
        <w:tc>
          <w:tcPr>
            <w:tcW w:w="3156" w:type="dxa"/>
            <w:tcBorders>
              <w:bottom w:val="single" w:sz="4" w:space="0" w:color="auto"/>
            </w:tcBorders>
          </w:tcPr>
          <w:p>
            <w:pPr>
              <w:pStyle w:val="yTable"/>
              <w:spacing w:after="40"/>
              <w:ind w:left="244"/>
              <w:rPr>
                <w:spacing w:val="-2"/>
                <w:sz w:val="20"/>
              </w:rPr>
            </w:pPr>
            <w:r>
              <w:rPr>
                <w:spacing w:val="-2"/>
                <w:sz w:val="20"/>
              </w:rPr>
              <w:t>Daily Casual Fee</w:t>
            </w:r>
          </w:p>
        </w:tc>
        <w:tc>
          <w:tcPr>
            <w:tcW w:w="3745" w:type="dxa"/>
            <w:tcBorders>
              <w:bottom w:val="single" w:sz="4" w:space="0" w:color="auto"/>
            </w:tcBorders>
          </w:tcPr>
          <w:p>
            <w:pPr>
              <w:pStyle w:val="yTable"/>
              <w:spacing w:after="40"/>
              <w:rPr>
                <w:spacing w:val="-2"/>
                <w:sz w:val="20"/>
              </w:rPr>
            </w:pPr>
            <w:r>
              <w:rPr>
                <w:spacing w:val="-2"/>
                <w:sz w:val="20"/>
              </w:rPr>
              <w:t>$3.55/m x length of vessel</w:t>
            </w:r>
          </w:p>
        </w:tc>
      </w:tr>
    </w:tbl>
    <w:p>
      <w:pPr>
        <w:pStyle w:val="yHeading4"/>
      </w:pPr>
      <w:bookmarkStart w:id="903" w:name="_Toc139101853"/>
      <w:bookmarkStart w:id="904" w:name="_Toc139102038"/>
      <w:bookmarkStart w:id="905" w:name="_Toc139443386"/>
      <w:r>
        <w:t>Subdivision 2</w:t>
      </w:r>
      <w:r>
        <w:rPr>
          <w:b w:val="0"/>
        </w:rPr>
        <w:t> — </w:t>
      </w:r>
      <w:r>
        <w:t>Bandy Creek Boat Harbour (Esperance)</w:t>
      </w:r>
      <w:bookmarkEnd w:id="903"/>
      <w:bookmarkEnd w:id="904"/>
      <w:bookmarkEnd w:id="905"/>
    </w:p>
    <w:p>
      <w:pPr>
        <w:pStyle w:val="yFootnoteheading"/>
      </w:pPr>
      <w:r>
        <w:tab/>
        <w:t>[Heading inserted in Gazette 24 Jun 2005 p. 2829.]</w:t>
      </w:r>
    </w:p>
    <w:tbl>
      <w:tblPr>
        <w:tblW w:w="0" w:type="auto"/>
        <w:tblInd w:w="196" w:type="dxa"/>
        <w:tblBorders>
          <w:left w:val="single" w:sz="4" w:space="0" w:color="auto"/>
          <w:bottom w:val="double" w:sz="2"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52"/>
      </w:tblGrid>
      <w:tr>
        <w:tc>
          <w:tcPr>
            <w:tcW w:w="3149" w:type="dxa"/>
            <w:tcBorders>
              <w:top w:val="single" w:sz="4" w:space="0" w:color="auto"/>
              <w:bottom w:val="nil"/>
            </w:tcBorders>
          </w:tcPr>
          <w:p>
            <w:pPr>
              <w:pStyle w:val="yTable"/>
              <w:tabs>
                <w:tab w:val="left" w:pos="342"/>
              </w:tabs>
              <w:spacing w:after="40"/>
              <w:ind w:left="342" w:hanging="342"/>
              <w:rPr>
                <w:spacing w:val="-2"/>
                <w:sz w:val="20"/>
              </w:rPr>
            </w:pPr>
            <w:r>
              <w:rPr>
                <w:b/>
                <w:spacing w:val="-2"/>
                <w:sz w:val="20"/>
              </w:rPr>
              <w:t>Fees for Serviced Pens</w:t>
            </w:r>
          </w:p>
        </w:tc>
        <w:tc>
          <w:tcPr>
            <w:tcW w:w="3752" w:type="dxa"/>
            <w:tcBorders>
              <w:top w:val="single" w:sz="4" w:space="0" w:color="auto"/>
              <w:bottom w:val="nil"/>
              <w:right w:val="single" w:sz="4" w:space="0" w:color="auto"/>
            </w:tcBorders>
          </w:tcPr>
          <w:p>
            <w:pPr>
              <w:pStyle w:val="yTable"/>
              <w:spacing w:after="40"/>
              <w:rPr>
                <w:spacing w:val="-2"/>
                <w:sz w:val="20"/>
              </w:rPr>
            </w:pPr>
          </w:p>
        </w:tc>
      </w:tr>
      <w:tr>
        <w:tc>
          <w:tcPr>
            <w:tcW w:w="3149" w:type="dxa"/>
            <w:tcBorders>
              <w:top w:val="single" w:sz="4" w:space="0" w:color="auto"/>
              <w:bottom w:val="single" w:sz="4" w:space="0" w:color="auto"/>
            </w:tcBorders>
          </w:tcPr>
          <w:p>
            <w:pPr>
              <w:pStyle w:val="yTable"/>
              <w:tabs>
                <w:tab w:val="left" w:pos="342"/>
              </w:tabs>
              <w:spacing w:after="40"/>
              <w:ind w:left="342" w:hanging="342"/>
              <w:rPr>
                <w:b/>
                <w:spacing w:val="-2"/>
                <w:sz w:val="20"/>
              </w:rPr>
            </w:pPr>
            <w:r>
              <w:rPr>
                <w:b/>
                <w:spacing w:val="-2"/>
                <w:sz w:val="20"/>
              </w:rPr>
              <w:t xml:space="preserve">Annual Fee </w:t>
            </w:r>
            <w:r>
              <w:rPr>
                <w:spacing w:val="-2"/>
                <w:sz w:val="20"/>
              </w:rPr>
              <w:t>(paid annually)</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$222.69/m x length of vessel</w:t>
            </w:r>
          </w:p>
        </w:tc>
      </w:tr>
      <w:tr>
        <w:trPr>
          <w:cantSplit/>
        </w:trPr>
        <w:tc>
          <w:tcPr>
            <w:tcW w:w="3149" w:type="dxa"/>
            <w:tcBorders>
              <w:top w:val="single" w:sz="4" w:space="0" w:color="auto"/>
              <w:bottom w:val="single" w:sz="4" w:space="0" w:color="auto"/>
            </w:tcBorders>
          </w:tcPr>
          <w:p>
            <w:pPr>
              <w:pStyle w:val="yTable"/>
              <w:tabs>
                <w:tab w:val="left" w:pos="0"/>
              </w:tabs>
              <w:spacing w:after="40"/>
              <w:rPr>
                <w:spacing w:val="-2"/>
                <w:sz w:val="20"/>
              </w:rPr>
            </w:pPr>
            <w:r>
              <w:rPr>
                <w:b/>
                <w:spacing w:val="-2"/>
                <w:sz w:val="20"/>
              </w:rPr>
              <w:t>Part Year Fee — 3 months or more paid in advance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br/>
              <w:t>$22.27/m x length of vessel, per month</w:t>
            </w:r>
          </w:p>
        </w:tc>
      </w:tr>
      <w:tr>
        <w:trPr>
          <w:cantSplit/>
        </w:trPr>
        <w:tc>
          <w:tcPr>
            <w:tcW w:w="3149" w:type="dxa"/>
            <w:tcBorders>
              <w:top w:val="single" w:sz="4" w:space="0" w:color="auto"/>
              <w:bottom w:val="single" w:sz="4" w:space="0" w:color="auto"/>
            </w:tcBorders>
          </w:tcPr>
          <w:p>
            <w:pPr>
              <w:pStyle w:val="yTable"/>
              <w:tabs>
                <w:tab w:val="left" w:pos="342"/>
              </w:tabs>
              <w:spacing w:after="40"/>
              <w:ind w:left="340" w:hanging="340"/>
              <w:rPr>
                <w:spacing w:val="-2"/>
                <w:sz w:val="20"/>
              </w:rPr>
            </w:pPr>
            <w:r>
              <w:rPr>
                <w:b/>
                <w:spacing w:val="-2"/>
                <w:sz w:val="20"/>
              </w:rPr>
              <w:t>Monthly Fee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$44.54/m x length of vessel, per month</w:t>
            </w:r>
          </w:p>
        </w:tc>
      </w:tr>
      <w:tr>
        <w:trPr>
          <w:cantSplit/>
        </w:trPr>
        <w:tc>
          <w:tcPr>
            <w:tcW w:w="3149" w:type="dxa"/>
            <w:tcBorders>
              <w:top w:val="single" w:sz="4" w:space="0" w:color="auto"/>
              <w:bottom w:val="single" w:sz="4" w:space="0" w:color="auto"/>
            </w:tcBorders>
          </w:tcPr>
          <w:p>
            <w:pPr>
              <w:pStyle w:val="yTable"/>
              <w:tabs>
                <w:tab w:val="left" w:pos="342"/>
              </w:tabs>
              <w:spacing w:after="40"/>
              <w:ind w:left="340" w:hanging="340"/>
              <w:rPr>
                <w:spacing w:val="-2"/>
                <w:sz w:val="20"/>
              </w:rPr>
            </w:pPr>
            <w:r>
              <w:rPr>
                <w:b/>
                <w:spacing w:val="-2"/>
                <w:sz w:val="20"/>
              </w:rPr>
              <w:t>Weekly Fee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$31.60/m x length of vessel, per week</w:t>
            </w:r>
          </w:p>
        </w:tc>
      </w:tr>
      <w:tr>
        <w:trPr>
          <w:cantSplit/>
          <w:trHeight w:val="362"/>
        </w:trPr>
        <w:tc>
          <w:tcPr>
            <w:tcW w:w="3149" w:type="dxa"/>
            <w:tcBorders>
              <w:top w:val="single" w:sz="4" w:space="0" w:color="auto"/>
            </w:tcBorders>
          </w:tcPr>
          <w:p>
            <w:pPr>
              <w:pStyle w:val="yTable"/>
              <w:tabs>
                <w:tab w:val="left" w:pos="342"/>
              </w:tabs>
              <w:spacing w:after="40"/>
              <w:ind w:left="340" w:hanging="340"/>
              <w:rPr>
                <w:spacing w:val="-2"/>
                <w:sz w:val="20"/>
              </w:rPr>
            </w:pPr>
            <w:r>
              <w:rPr>
                <w:b/>
                <w:spacing w:val="-2"/>
                <w:sz w:val="20"/>
              </w:rPr>
              <w:t>Daily Casual Fee</w:t>
            </w:r>
          </w:p>
        </w:tc>
        <w:tc>
          <w:tcPr>
            <w:tcW w:w="3752" w:type="dxa"/>
            <w:tcBorders>
              <w:top w:val="single" w:sz="4" w:space="0" w:color="auto"/>
              <w:bottom w:val="nil"/>
              <w:right w:val="single" w:sz="4" w:space="0" w:color="auto"/>
            </w:tcBorders>
          </w:tcPr>
          <w:p>
            <w:pPr>
              <w:pStyle w:val="yTable"/>
              <w:spacing w:after="40"/>
              <w:rPr>
                <w:spacing w:val="-2"/>
                <w:sz w:val="20"/>
              </w:rPr>
            </w:pPr>
            <w:r>
              <w:rPr>
                <w:spacing w:val="-2"/>
                <w:sz w:val="20"/>
              </w:rPr>
              <w:t>$6.32/m x length of vessel, per day</w:t>
            </w:r>
          </w:p>
        </w:tc>
      </w:tr>
      <w:tr>
        <w:tc>
          <w:tcPr>
            <w:tcW w:w="3149" w:type="dxa"/>
            <w:tcBorders>
              <w:top w:val="single" w:sz="4" w:space="0" w:color="auto"/>
              <w:bottom w:val="nil"/>
            </w:tcBorders>
          </w:tcPr>
          <w:p>
            <w:pPr>
              <w:pStyle w:val="yTable"/>
              <w:tabs>
                <w:tab w:val="left" w:pos="342"/>
              </w:tabs>
              <w:spacing w:after="40"/>
              <w:ind w:left="342" w:hanging="342"/>
              <w:rPr>
                <w:spacing w:val="-2"/>
                <w:sz w:val="20"/>
              </w:rPr>
            </w:pPr>
            <w:r>
              <w:rPr>
                <w:b/>
                <w:spacing w:val="-2"/>
                <w:sz w:val="20"/>
              </w:rPr>
              <w:t>Fees for Partially Serviced Pens</w:t>
            </w:r>
          </w:p>
        </w:tc>
        <w:tc>
          <w:tcPr>
            <w:tcW w:w="3752" w:type="dxa"/>
            <w:tcBorders>
              <w:top w:val="single" w:sz="4" w:space="0" w:color="auto"/>
              <w:bottom w:val="nil"/>
              <w:right w:val="single" w:sz="4" w:space="0" w:color="auto"/>
            </w:tcBorders>
          </w:tcPr>
          <w:p>
            <w:pPr>
              <w:pStyle w:val="yTable"/>
              <w:spacing w:after="40"/>
              <w:rPr>
                <w:spacing w:val="-2"/>
                <w:sz w:val="20"/>
              </w:rPr>
            </w:pPr>
          </w:p>
        </w:tc>
      </w:tr>
      <w:tr>
        <w:trPr>
          <w:cantSplit/>
        </w:trPr>
        <w:tc>
          <w:tcPr>
            <w:tcW w:w="3149" w:type="dxa"/>
            <w:tcBorders>
              <w:top w:val="single" w:sz="4" w:space="0" w:color="auto"/>
              <w:bottom w:val="single" w:sz="4" w:space="0" w:color="auto"/>
            </w:tcBorders>
          </w:tcPr>
          <w:p>
            <w:pPr>
              <w:pStyle w:val="yTable"/>
              <w:tabs>
                <w:tab w:val="left" w:pos="342"/>
              </w:tabs>
              <w:spacing w:after="40"/>
              <w:ind w:left="340" w:hanging="340"/>
              <w:rPr>
                <w:spacing w:val="-2"/>
                <w:sz w:val="20"/>
              </w:rPr>
            </w:pPr>
            <w:r>
              <w:rPr>
                <w:b/>
                <w:spacing w:val="-2"/>
                <w:sz w:val="20"/>
              </w:rPr>
              <w:t>Annual Fee</w:t>
            </w:r>
          </w:p>
          <w:p>
            <w:pPr>
              <w:pStyle w:val="yTable"/>
              <w:tabs>
                <w:tab w:val="left" w:pos="0"/>
              </w:tabs>
              <w:spacing w:after="40"/>
              <w:rPr>
                <w:spacing w:val="-2"/>
                <w:sz w:val="20"/>
              </w:rPr>
            </w:pPr>
            <w:r>
              <w:rPr>
                <w:spacing w:val="-2"/>
                <w:sz w:val="20"/>
              </w:rPr>
              <w:t>(Partially serviced pens </w:t>
            </w:r>
            <w:r>
              <w:rPr>
                <w:b/>
                <w:i/>
                <w:snapToGrid w:val="0"/>
                <w:sz w:val="20"/>
              </w:rPr>
              <w:t>— </w:t>
            </w:r>
            <w:r>
              <w:rPr>
                <w:spacing w:val="-2"/>
                <w:sz w:val="20"/>
              </w:rPr>
              <w:t>paid annually)</w:t>
            </w:r>
          </w:p>
          <w:p>
            <w:pPr>
              <w:pStyle w:val="yTable"/>
              <w:spacing w:after="6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bottom w:val="single" w:sz="4" w:space="0" w:color="auto"/>
              <w:right w:val="single" w:sz="4" w:space="0" w:color="auto"/>
            </w:tcBorders>
          </w:tcPr>
          <w:p>
            <w:pPr>
              <w:pStyle w:val="yTable"/>
              <w:spacing w:before="20" w:after="60"/>
              <w:rPr>
                <w:spacing w:val="-2"/>
                <w:sz w:val="20"/>
              </w:rPr>
            </w:pPr>
            <w:r>
              <w:rPr>
                <w:spacing w:val="-2"/>
                <w:sz w:val="20"/>
              </w:rPr>
              <w:br/>
            </w:r>
            <w:r>
              <w:rPr>
                <w:spacing w:val="-2"/>
                <w:sz w:val="20"/>
              </w:rPr>
              <w:br/>
            </w:r>
            <w:r>
              <w:rPr>
                <w:spacing w:val="-2"/>
                <w:sz w:val="20"/>
              </w:rPr>
              <w:br/>
            </w:r>
            <w:r>
              <w:rPr>
                <w:spacing w:val="-2"/>
                <w:sz w:val="20"/>
              </w:rPr>
              <w:br/>
              <w:t>$155.63/m x length of vessel</w:t>
            </w:r>
          </w:p>
          <w:p>
            <w:pPr>
              <w:pStyle w:val="yTable"/>
              <w:spacing w:after="40"/>
              <w:rPr>
                <w:spacing w:val="-2"/>
                <w:sz w:val="20"/>
              </w:rPr>
            </w:pPr>
            <w:r>
              <w:rPr>
                <w:spacing w:val="-2"/>
                <w:sz w:val="20"/>
              </w:rPr>
              <w:t>$178.40/m x length of vessel</w:t>
            </w:r>
          </w:p>
        </w:tc>
      </w:tr>
      <w:tr>
        <w:trPr>
          <w:cantSplit/>
        </w:trPr>
        <w:tc>
          <w:tcPr>
            <w:tcW w:w="3149" w:type="dxa"/>
            <w:tcBorders>
              <w:top w:val="single" w:sz="4" w:space="0" w:color="auto"/>
              <w:bottom w:val="single" w:sz="4" w:space="0" w:color="auto"/>
            </w:tcBorders>
          </w:tcPr>
          <w:p>
            <w:pPr>
              <w:pStyle w:val="yTable"/>
              <w:tabs>
                <w:tab w:val="left" w:pos="342"/>
              </w:tabs>
              <w:spacing w:after="40"/>
              <w:rPr>
                <w:spacing w:val="-2"/>
                <w:sz w:val="20"/>
              </w:rPr>
            </w:pPr>
            <w:r>
              <w:rPr>
                <w:b/>
                <w:spacing w:val="-2"/>
                <w:sz w:val="20"/>
              </w:rPr>
              <w:t>Part Year Fee — 3 months or more paid in advance</w:t>
            </w:r>
          </w:p>
          <w:p>
            <w:pPr>
              <w:pStyle w:val="yTable"/>
              <w:spacing w:after="40"/>
              <w:ind w:left="230" w:hanging="230"/>
              <w:rPr>
                <w:spacing w:val="-2"/>
                <w:sz w:val="20"/>
              </w:rPr>
            </w:pPr>
            <w:r>
              <w:rPr>
                <w:spacing w:val="-2"/>
                <w:sz w:val="20"/>
              </w:rPr>
              <w:tab/>
              <w:t>Recreational vessel</w:t>
            </w:r>
          </w:p>
          <w:p>
            <w:pPr>
              <w:pStyle w:val="yTable"/>
              <w:spacing w:after="40"/>
              <w:ind w:left="230" w:hanging="230"/>
              <w:rPr>
                <w:b/>
                <w:spacing w:val="-2"/>
                <w:sz w:val="20"/>
              </w:rPr>
            </w:pPr>
            <w:r>
              <w:rPr>
                <w:spacing w:val="-2"/>
                <w:sz w:val="20"/>
              </w:rPr>
              <w:tab/>
              <w:t>Commercial vessel</w:t>
            </w:r>
          </w:p>
        </w:tc>
        <w:tc>
          <w:tcPr>
            <w:tcW w:w="3752" w:type="dxa"/>
            <w:tcBorders>
              <w:top w:val="single" w:sz="4" w:space="0" w:color="auto"/>
              <w:bottom w:val="single" w:sz="4" w:space="0" w:color="auto"/>
              <w:right w:val="single" w:sz="4" w:space="0" w:color="auto"/>
            </w:tcBorders>
          </w:tcPr>
          <w:p>
            <w:pPr>
              <w:pStyle w:val="yTable"/>
              <w:spacing w:before="0" w:after="40"/>
              <w:rPr>
                <w:spacing w:val="-2"/>
                <w:sz w:val="20"/>
              </w:rPr>
            </w:pPr>
          </w:p>
          <w:p>
            <w:pPr>
              <w:pStyle w:val="yTable"/>
              <w:spacing w:before="0" w:after="40"/>
              <w:rPr>
                <w:spacing w:val="-2"/>
                <w:sz w:val="20"/>
              </w:rPr>
            </w:pPr>
          </w:p>
          <w:p>
            <w:pPr>
              <w:pStyle w:val="yTable"/>
              <w:spacing w:after="40"/>
              <w:rPr>
                <w:spacing w:val="-2"/>
                <w:sz w:val="20"/>
              </w:rPr>
            </w:pPr>
            <w:r>
              <w:rPr>
                <w:spacing w:val="-2"/>
                <w:sz w:val="20"/>
              </w:rPr>
              <w:t>$15.56/m x length of vessel, per month</w:t>
            </w:r>
          </w:p>
          <w:p>
            <w:pPr>
              <w:pStyle w:val="yTable"/>
              <w:spacing w:after="40"/>
              <w:rPr>
                <w:spacing w:val="-2"/>
                <w:sz w:val="20"/>
              </w:rPr>
            </w:pPr>
            <w:r>
              <w:rPr>
                <w:spacing w:val="-2"/>
                <w:sz w:val="20"/>
              </w:rPr>
              <w:t>$17.84/m x length of vessel, per month</w:t>
            </w:r>
          </w:p>
        </w:tc>
      </w:tr>
      <w:tr>
        <w:trPr>
          <w:cantSplit/>
        </w:trPr>
        <w:tc>
          <w:tcPr>
            <w:tcW w:w="3149" w:type="dxa"/>
            <w:tcBorders>
              <w:top w:val="single" w:sz="4" w:space="0" w:color="auto"/>
              <w:bottom w:val="single" w:sz="4" w:space="0" w:color="auto"/>
              <w:right w:val="single" w:sz="4" w:space="0" w:color="auto"/>
            </w:tcBorders>
          </w:tcPr>
          <w:p>
            <w:pPr>
              <w:pStyle w:val="yTable"/>
              <w:tabs>
                <w:tab w:val="left" w:pos="342"/>
              </w:tabs>
              <w:spacing w:after="40"/>
              <w:rPr>
                <w:spacing w:val="-2"/>
                <w:sz w:val="20"/>
              </w:rPr>
            </w:pPr>
            <w:r>
              <w:rPr>
                <w:b/>
                <w:spacing w:val="-2"/>
                <w:sz w:val="20"/>
              </w:rPr>
              <w:t>Monthly Fee</w:t>
            </w:r>
          </w:p>
          <w:p>
            <w:pPr>
              <w:pStyle w:val="yTable"/>
              <w:spacing w:after="4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p>
          <w:p>
            <w:pPr>
              <w:pStyle w:val="yTable"/>
              <w:spacing w:after="40"/>
              <w:rPr>
                <w:spacing w:val="-2"/>
                <w:sz w:val="20"/>
              </w:rPr>
            </w:pPr>
            <w:r>
              <w:rPr>
                <w:spacing w:val="-2"/>
                <w:sz w:val="20"/>
              </w:rPr>
              <w:t>$31.13/m x length of vessel, per month</w:t>
            </w:r>
          </w:p>
          <w:p>
            <w:pPr>
              <w:pStyle w:val="yTable"/>
              <w:spacing w:after="40"/>
              <w:rPr>
                <w:spacing w:val="-2"/>
                <w:sz w:val="20"/>
              </w:rPr>
            </w:pPr>
            <w:r>
              <w:rPr>
                <w:spacing w:val="-2"/>
                <w:sz w:val="20"/>
              </w:rPr>
              <w:t>$35.68/m x length of vessel, per month</w:t>
            </w:r>
          </w:p>
        </w:tc>
      </w:tr>
      <w:tr>
        <w:trPr>
          <w:cantSplit/>
        </w:trPr>
        <w:tc>
          <w:tcPr>
            <w:tcW w:w="3149" w:type="dxa"/>
            <w:tcBorders>
              <w:top w:val="single" w:sz="4" w:space="0" w:color="auto"/>
              <w:bottom w:val="nil"/>
            </w:tcBorders>
          </w:tcPr>
          <w:p>
            <w:pPr>
              <w:pStyle w:val="yTable"/>
              <w:tabs>
                <w:tab w:val="left" w:pos="342"/>
              </w:tabs>
              <w:spacing w:after="40"/>
              <w:rPr>
                <w:spacing w:val="-2"/>
                <w:sz w:val="20"/>
              </w:rPr>
            </w:pPr>
            <w:r>
              <w:rPr>
                <w:b/>
                <w:spacing w:val="-2"/>
                <w:sz w:val="20"/>
              </w:rPr>
              <w:t>Weekly Fee</w:t>
            </w:r>
          </w:p>
          <w:p>
            <w:pPr>
              <w:pStyle w:val="yTable"/>
              <w:spacing w:after="4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bottom w:val="nil"/>
              <w:right w:val="single" w:sz="4" w:space="0" w:color="auto"/>
            </w:tcBorders>
          </w:tcPr>
          <w:p>
            <w:pPr>
              <w:pStyle w:val="yTable"/>
              <w:spacing w:after="40"/>
              <w:rPr>
                <w:spacing w:val="-2"/>
                <w:sz w:val="20"/>
              </w:rPr>
            </w:pPr>
          </w:p>
          <w:p>
            <w:pPr>
              <w:pStyle w:val="yTable"/>
              <w:spacing w:after="40"/>
              <w:rPr>
                <w:spacing w:val="-2"/>
                <w:sz w:val="20"/>
              </w:rPr>
            </w:pPr>
            <w:r>
              <w:rPr>
                <w:spacing w:val="-2"/>
                <w:sz w:val="20"/>
              </w:rPr>
              <w:t>$18.95/m x length of vessel, per week</w:t>
            </w:r>
          </w:p>
          <w:p>
            <w:pPr>
              <w:pStyle w:val="yTable"/>
              <w:spacing w:after="40"/>
              <w:rPr>
                <w:spacing w:val="-2"/>
                <w:sz w:val="20"/>
              </w:rPr>
            </w:pPr>
            <w:r>
              <w:rPr>
                <w:spacing w:val="-2"/>
                <w:sz w:val="20"/>
              </w:rPr>
              <w:t>$31.60/m x length of vessel, per week</w:t>
            </w:r>
          </w:p>
        </w:tc>
      </w:tr>
      <w:tr>
        <w:trPr>
          <w:cantSplit/>
        </w:trPr>
        <w:tc>
          <w:tcPr>
            <w:tcW w:w="3149" w:type="dxa"/>
            <w:tcBorders>
              <w:top w:val="single" w:sz="4" w:space="0" w:color="auto"/>
              <w:bottom w:val="nil"/>
            </w:tcBorders>
          </w:tcPr>
          <w:p>
            <w:pPr>
              <w:pStyle w:val="yTable"/>
              <w:tabs>
                <w:tab w:val="left" w:pos="342"/>
              </w:tabs>
              <w:spacing w:after="40"/>
              <w:rPr>
                <w:spacing w:val="-2"/>
                <w:sz w:val="20"/>
              </w:rPr>
            </w:pPr>
            <w:r>
              <w:rPr>
                <w:b/>
                <w:spacing w:val="-2"/>
                <w:sz w:val="20"/>
              </w:rPr>
              <w:t>Daily Casual Fee</w:t>
            </w:r>
          </w:p>
          <w:p>
            <w:pPr>
              <w:pStyle w:val="yTable"/>
              <w:spacing w:after="4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bottom w:val="nil"/>
              <w:right w:val="single" w:sz="4" w:space="0" w:color="auto"/>
            </w:tcBorders>
          </w:tcPr>
          <w:p>
            <w:pPr>
              <w:pStyle w:val="yTable"/>
              <w:spacing w:after="40"/>
              <w:rPr>
                <w:spacing w:val="-2"/>
                <w:sz w:val="20"/>
              </w:rPr>
            </w:pPr>
          </w:p>
          <w:p>
            <w:pPr>
              <w:pStyle w:val="yTable"/>
              <w:spacing w:after="40"/>
              <w:rPr>
                <w:spacing w:val="-2"/>
                <w:sz w:val="20"/>
              </w:rPr>
            </w:pPr>
            <w:r>
              <w:rPr>
                <w:spacing w:val="-2"/>
                <w:sz w:val="20"/>
              </w:rPr>
              <w:t>$3.79/m x length of vessel, per day</w:t>
            </w:r>
          </w:p>
          <w:p>
            <w:pPr>
              <w:pStyle w:val="yTable"/>
              <w:spacing w:after="40"/>
              <w:rPr>
                <w:spacing w:val="-2"/>
                <w:sz w:val="20"/>
              </w:rPr>
            </w:pPr>
            <w:r>
              <w:rPr>
                <w:spacing w:val="-2"/>
                <w:sz w:val="20"/>
              </w:rPr>
              <w:t>$6.32/m x length of vessel, per day</w:t>
            </w:r>
          </w:p>
        </w:tc>
      </w:tr>
      <w:tr>
        <w:tc>
          <w:tcPr>
            <w:tcW w:w="3149" w:type="dxa"/>
            <w:tcBorders>
              <w:top w:val="single" w:sz="4" w:space="0" w:color="auto"/>
              <w:bottom w:val="single" w:sz="4" w:space="0" w:color="auto"/>
            </w:tcBorders>
          </w:tcPr>
          <w:p>
            <w:pPr>
              <w:pStyle w:val="yTable"/>
              <w:spacing w:after="40"/>
              <w:rPr>
                <w:b/>
                <w:spacing w:val="-2"/>
                <w:sz w:val="20"/>
              </w:rPr>
            </w:pPr>
            <w:r>
              <w:rPr>
                <w:b/>
                <w:spacing w:val="-2"/>
                <w:sz w:val="20"/>
              </w:rPr>
              <w:t>Short</w:t>
            </w:r>
            <w:r>
              <w:rPr>
                <w:b/>
                <w:spacing w:val="-2"/>
                <w:sz w:val="20"/>
              </w:rPr>
              <w:noBreakHyphen/>
              <w:t>term use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$3.17/m x length of vessel, per 3 hours</w:t>
            </w:r>
          </w:p>
        </w:tc>
      </w:tr>
      <w:tr>
        <w:tc>
          <w:tcPr>
            <w:tcW w:w="3149" w:type="dxa"/>
            <w:tcBorders>
              <w:top w:val="single" w:sz="4" w:space="0" w:color="auto"/>
              <w:bottom w:val="single" w:sz="4" w:space="0" w:color="auto"/>
            </w:tcBorders>
          </w:tcPr>
          <w:p>
            <w:pPr>
              <w:pStyle w:val="yTable"/>
              <w:spacing w:after="40"/>
              <w:rPr>
                <w:b/>
                <w:spacing w:val="-2"/>
                <w:sz w:val="20"/>
              </w:rPr>
            </w:pPr>
            <w:r>
              <w:rPr>
                <w:b/>
                <w:spacing w:val="-2"/>
                <w:sz w:val="20"/>
              </w:rPr>
              <w:t>Electric Power Charge</w:t>
            </w:r>
          </w:p>
          <w:p>
            <w:pPr>
              <w:pStyle w:val="yTable"/>
              <w:spacing w:after="40"/>
              <w:ind w:left="230" w:hanging="230"/>
              <w:rPr>
                <w:spacing w:val="-2"/>
                <w:sz w:val="20"/>
              </w:rPr>
            </w:pPr>
            <w:r>
              <w:rPr>
                <w:spacing w:val="-2"/>
                <w:sz w:val="20"/>
              </w:rPr>
              <w:tab/>
              <w:t>Single phase</w:t>
            </w:r>
          </w:p>
          <w:p>
            <w:pPr>
              <w:pStyle w:val="yTable"/>
              <w:spacing w:after="40"/>
              <w:ind w:left="230" w:hanging="230"/>
              <w:rPr>
                <w:spacing w:val="-2"/>
                <w:sz w:val="20"/>
              </w:rPr>
            </w:pPr>
            <w:r>
              <w:rPr>
                <w:spacing w:val="-2"/>
                <w:sz w:val="20"/>
              </w:rPr>
              <w:tab/>
              <w:t>3</w:t>
            </w:r>
            <w:r>
              <w:rPr>
                <w:spacing w:val="-2"/>
                <w:sz w:val="20"/>
              </w:rPr>
              <w:noBreakHyphen/>
              <w:t>phase metered</w:t>
            </w:r>
          </w:p>
          <w:p>
            <w:pPr>
              <w:pStyle w:val="yTable"/>
              <w:spacing w:after="40"/>
              <w:ind w:left="230" w:hanging="230"/>
              <w:rPr>
                <w:b/>
                <w:spacing w:val="-2"/>
                <w:sz w:val="20"/>
              </w:rPr>
            </w:pPr>
            <w:r>
              <w:rPr>
                <w:spacing w:val="-2"/>
                <w:sz w:val="20"/>
              </w:rPr>
              <w:tab/>
              <w:t>3</w:t>
            </w:r>
            <w:r>
              <w:rPr>
                <w:spacing w:val="-2"/>
                <w:sz w:val="20"/>
              </w:rPr>
              <w:noBreakHyphen/>
              <w:t>phase unmetered</w:t>
            </w:r>
          </w:p>
        </w:tc>
        <w:tc>
          <w:tcPr>
            <w:tcW w:w="3752" w:type="dxa"/>
            <w:tcBorders>
              <w:top w:val="single" w:sz="4" w:space="0" w:color="auto"/>
              <w:bottom w:val="single" w:sz="4" w:space="0" w:color="auto"/>
              <w:right w:val="single" w:sz="4" w:space="0" w:color="auto"/>
            </w:tcBorders>
          </w:tcPr>
          <w:p>
            <w:pPr>
              <w:pStyle w:val="yTable"/>
              <w:keepNext/>
              <w:spacing w:after="40"/>
              <w:rPr>
                <w:spacing w:val="-2"/>
                <w:sz w:val="20"/>
              </w:rPr>
            </w:pPr>
          </w:p>
          <w:p>
            <w:pPr>
              <w:pStyle w:val="yTable"/>
              <w:keepNext/>
              <w:spacing w:after="40"/>
              <w:rPr>
                <w:spacing w:val="-2"/>
                <w:sz w:val="20"/>
              </w:rPr>
            </w:pPr>
            <w:r>
              <w:rPr>
                <w:spacing w:val="-2"/>
                <w:sz w:val="20"/>
              </w:rPr>
              <w:t>At cost</w:t>
            </w:r>
          </w:p>
          <w:p>
            <w:pPr>
              <w:pStyle w:val="yTable"/>
              <w:keepNext/>
              <w:spacing w:after="40"/>
              <w:rPr>
                <w:spacing w:val="-2"/>
                <w:sz w:val="20"/>
              </w:rPr>
            </w:pPr>
            <w:r>
              <w:rPr>
                <w:spacing w:val="-2"/>
                <w:sz w:val="20"/>
              </w:rPr>
              <w:t>At cost</w:t>
            </w:r>
          </w:p>
          <w:p>
            <w:pPr>
              <w:pStyle w:val="yTable"/>
              <w:keepNext/>
              <w:spacing w:after="40"/>
              <w:rPr>
                <w:spacing w:val="-2"/>
                <w:sz w:val="20"/>
              </w:rPr>
            </w:pPr>
            <w:r>
              <w:rPr>
                <w:spacing w:val="-2"/>
                <w:sz w:val="20"/>
              </w:rPr>
              <w:t xml:space="preserve">$25.31 per day or part of a day </w:t>
            </w:r>
          </w:p>
        </w:tc>
      </w:tr>
      <w:tr>
        <w:trPr>
          <w:cantSplit/>
        </w:trPr>
        <w:tc>
          <w:tcPr>
            <w:tcW w:w="3149" w:type="dxa"/>
            <w:tcBorders>
              <w:top w:val="single" w:sz="4" w:space="0" w:color="auto"/>
              <w:bottom w:val="single" w:sz="4" w:space="0" w:color="auto"/>
            </w:tcBorders>
          </w:tcPr>
          <w:p>
            <w:pPr>
              <w:pStyle w:val="yTable"/>
              <w:rPr>
                <w:b/>
                <w:spacing w:val="-2"/>
                <w:sz w:val="20"/>
              </w:rPr>
            </w:pPr>
            <w:r>
              <w:rPr>
                <w:b/>
                <w:spacing w:val="-2"/>
                <w:sz w:val="20"/>
              </w:rPr>
              <w:t>Boat Launching Ramp Fee</w:t>
            </w:r>
          </w:p>
          <w:p>
            <w:pPr>
              <w:pStyle w:val="yTable"/>
              <w:tabs>
                <w:tab w:val="left" w:pos="767"/>
              </w:tabs>
              <w:rPr>
                <w:spacing w:val="-2"/>
                <w:sz w:val="20"/>
              </w:rPr>
            </w:pPr>
            <w:r>
              <w:rPr>
                <w:spacing w:val="-2"/>
                <w:sz w:val="20"/>
              </w:rPr>
              <w:t>(Commercial vessels only)</w:t>
            </w:r>
          </w:p>
          <w:p>
            <w:pPr>
              <w:pStyle w:val="yTable"/>
              <w:tabs>
                <w:tab w:val="left" w:pos="342"/>
              </w:tabs>
              <w:ind w:left="340" w:hanging="340"/>
              <w:rPr>
                <w:spacing w:val="-2"/>
                <w:sz w:val="20"/>
              </w:rPr>
            </w:pPr>
            <w:r>
              <w:rPr>
                <w:spacing w:val="-2"/>
                <w:sz w:val="20"/>
              </w:rPr>
              <w:tab/>
              <w:t>Annual Fee</w:t>
            </w:r>
          </w:p>
          <w:p>
            <w:pPr>
              <w:pStyle w:val="yTable"/>
              <w:tabs>
                <w:tab w:val="left" w:pos="342"/>
              </w:tabs>
              <w:ind w:left="340" w:hanging="340"/>
              <w:rPr>
                <w:spacing w:val="-2"/>
                <w:sz w:val="20"/>
              </w:rPr>
            </w:pPr>
            <w:r>
              <w:rPr>
                <w:spacing w:val="-2"/>
                <w:sz w:val="20"/>
              </w:rPr>
              <w:tab/>
              <w:t>Monthly Fee</w:t>
            </w:r>
          </w:p>
        </w:tc>
        <w:tc>
          <w:tcPr>
            <w:tcW w:w="3752" w:type="dxa"/>
            <w:tcBorders>
              <w:top w:val="single" w:sz="4" w:space="0" w:color="auto"/>
              <w:bottom w:val="single" w:sz="4" w:space="0" w:color="auto"/>
              <w:right w:val="single" w:sz="4" w:space="0" w:color="auto"/>
            </w:tcBorders>
          </w:tcPr>
          <w:p>
            <w:pPr>
              <w:pStyle w:val="yTable"/>
              <w:rPr>
                <w:spacing w:val="-2"/>
                <w:sz w:val="20"/>
              </w:rPr>
            </w:pPr>
          </w:p>
          <w:p>
            <w:pPr>
              <w:pStyle w:val="yTable"/>
              <w:rPr>
                <w:spacing w:val="-2"/>
                <w:sz w:val="20"/>
              </w:rPr>
            </w:pPr>
          </w:p>
          <w:p>
            <w:pPr>
              <w:pStyle w:val="yTable"/>
              <w:rPr>
                <w:spacing w:val="-2"/>
                <w:sz w:val="20"/>
              </w:rPr>
            </w:pPr>
            <w:r>
              <w:rPr>
                <w:spacing w:val="-2"/>
                <w:sz w:val="20"/>
              </w:rPr>
              <w:t>$632.63 per vessel</w:t>
            </w:r>
          </w:p>
          <w:p>
            <w:pPr>
              <w:pStyle w:val="yTable"/>
              <w:rPr>
                <w:spacing w:val="-2"/>
                <w:sz w:val="20"/>
              </w:rPr>
            </w:pPr>
            <w:r>
              <w:rPr>
                <w:spacing w:val="-2"/>
                <w:sz w:val="20"/>
              </w:rPr>
              <w:t>$126.53 per vessel</w:t>
            </w:r>
          </w:p>
        </w:tc>
      </w:tr>
      <w:tr>
        <w:tc>
          <w:tcPr>
            <w:tcW w:w="3149" w:type="dxa"/>
            <w:tcBorders>
              <w:top w:val="single" w:sz="4" w:space="0" w:color="auto"/>
              <w:bottom w:val="single" w:sz="4" w:space="0" w:color="auto"/>
            </w:tcBorders>
          </w:tcPr>
          <w:p>
            <w:pPr>
              <w:pStyle w:val="yTable"/>
              <w:pageBreakBefore/>
              <w:rPr>
                <w:b/>
                <w:spacing w:val="-2"/>
                <w:sz w:val="20"/>
              </w:rPr>
            </w:pPr>
            <w:r>
              <w:rPr>
                <w:spacing w:val="-2"/>
                <w:sz w:val="20"/>
              </w:rPr>
              <w:t>Fee for crane use of wharf/hardstand to lift vessels to and from harbour</w:t>
            </w:r>
          </w:p>
        </w:tc>
        <w:tc>
          <w:tcPr>
            <w:tcW w:w="3752" w:type="dxa"/>
            <w:tcBorders>
              <w:top w:val="single" w:sz="4" w:space="0" w:color="auto"/>
              <w:bottom w:val="single" w:sz="4" w:space="0" w:color="auto"/>
              <w:right w:val="single" w:sz="4" w:space="0" w:color="auto"/>
            </w:tcBorders>
          </w:tcPr>
          <w:p>
            <w:pPr>
              <w:pStyle w:val="yTable"/>
              <w:rPr>
                <w:spacing w:val="-2"/>
                <w:sz w:val="20"/>
              </w:rPr>
            </w:pPr>
          </w:p>
          <w:p>
            <w:pPr>
              <w:pStyle w:val="yTable"/>
              <w:rPr>
                <w:spacing w:val="-2"/>
                <w:sz w:val="20"/>
              </w:rPr>
            </w:pPr>
            <w:r>
              <w:rPr>
                <w:spacing w:val="-2"/>
                <w:sz w:val="20"/>
              </w:rPr>
              <w:t>$189.80 per lift</w:t>
            </w:r>
          </w:p>
        </w:tc>
      </w:tr>
      <w:tr>
        <w:tc>
          <w:tcPr>
            <w:tcW w:w="3149" w:type="dxa"/>
            <w:tcBorders>
              <w:top w:val="single" w:sz="4" w:space="0" w:color="auto"/>
              <w:bottom w:val="single" w:sz="4" w:space="0" w:color="auto"/>
            </w:tcBorders>
          </w:tcPr>
          <w:p>
            <w:pPr>
              <w:pStyle w:val="yTable"/>
              <w:tabs>
                <w:tab w:val="left" w:pos="1192"/>
              </w:tabs>
              <w:rPr>
                <w:b/>
                <w:spacing w:val="-2"/>
                <w:sz w:val="20"/>
              </w:rPr>
            </w:pPr>
            <w:r>
              <w:rPr>
                <w:b/>
                <w:spacing w:val="-2"/>
                <w:sz w:val="20"/>
              </w:rPr>
              <w:t>‘Live on Board’ Fee</w:t>
            </w:r>
          </w:p>
        </w:tc>
        <w:tc>
          <w:tcPr>
            <w:tcW w:w="3752" w:type="dxa"/>
            <w:tcBorders>
              <w:top w:val="single" w:sz="4" w:space="0" w:color="auto"/>
              <w:bottom w:val="single" w:sz="4" w:space="0" w:color="auto"/>
              <w:right w:val="single" w:sz="4" w:space="0" w:color="auto"/>
            </w:tcBorders>
          </w:tcPr>
          <w:p>
            <w:pPr>
              <w:pStyle w:val="yTable"/>
              <w:rPr>
                <w:spacing w:val="-2"/>
                <w:sz w:val="20"/>
              </w:rPr>
            </w:pPr>
            <w:r>
              <w:rPr>
                <w:spacing w:val="-2"/>
                <w:sz w:val="20"/>
              </w:rPr>
              <w:t>$33.50 per vessel per month</w:t>
            </w:r>
          </w:p>
        </w:tc>
      </w:tr>
    </w:tbl>
    <w:p>
      <w:pPr>
        <w:pStyle w:val="yHeading4"/>
      </w:pPr>
      <w:bookmarkStart w:id="906" w:name="_Toc139101854"/>
      <w:bookmarkStart w:id="907" w:name="_Toc139102039"/>
      <w:bookmarkStart w:id="908" w:name="_Toc139443387"/>
      <w:r>
        <w:t>Subdivision 3</w:t>
      </w:r>
      <w:r>
        <w:rPr>
          <w:b w:val="0"/>
        </w:rPr>
        <w:t> — </w:t>
      </w:r>
      <w:r>
        <w:t>Batavia Coast Boat Harbour</w:t>
      </w:r>
      <w:bookmarkEnd w:id="906"/>
      <w:bookmarkEnd w:id="907"/>
      <w:bookmarkEnd w:id="908"/>
    </w:p>
    <w:p>
      <w:pPr>
        <w:pStyle w:val="yFootnoteheading"/>
      </w:pPr>
      <w:r>
        <w:tab/>
        <w:t>[Heading inserted in Gazette 24 Jun 2005 p. 2831.]</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1913"/>
        <w:gridCol w:w="1839"/>
      </w:tblGrid>
      <w:tr>
        <w:trPr>
          <w:cantSplit/>
        </w:trPr>
        <w:tc>
          <w:tcPr>
            <w:tcW w:w="6915" w:type="dxa"/>
            <w:gridSpan w:val="3"/>
          </w:tcPr>
          <w:p>
            <w:pPr>
              <w:pStyle w:val="yTable"/>
              <w:spacing w:before="40"/>
              <w:ind w:left="1332" w:hanging="1332"/>
              <w:rPr>
                <w:spacing w:val="-2"/>
                <w:sz w:val="20"/>
              </w:rPr>
            </w:pPr>
            <w:r>
              <w:rPr>
                <w:b/>
                <w:sz w:val="20"/>
              </w:rPr>
              <w:t>Standard Fees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rPr>
          <w:cantSplit/>
          <w:trHeight w:val="454"/>
        </w:trPr>
        <w:tc>
          <w:tcPr>
            <w:tcW w:w="3163" w:type="dxa"/>
            <w:vMerge w:val="restart"/>
          </w:tcPr>
          <w:p>
            <w:pPr>
              <w:pStyle w:val="yTable"/>
              <w:rPr>
                <w:i/>
                <w:iCs/>
                <w:spacing w:val="-2"/>
                <w:sz w:val="20"/>
              </w:rPr>
            </w:pPr>
            <w:r>
              <w:rPr>
                <w:i/>
                <w:iCs/>
                <w:spacing w:val="-2"/>
                <w:sz w:val="20"/>
              </w:rPr>
              <w:t>Minimum chargeable length when calculating the fee for pens of a particular size</w:t>
            </w:r>
          </w:p>
        </w:tc>
        <w:tc>
          <w:tcPr>
            <w:tcW w:w="1913" w:type="dxa"/>
          </w:tcPr>
          <w:p>
            <w:pPr>
              <w:pStyle w:val="yTable"/>
              <w:keepNext/>
              <w:rPr>
                <w:spacing w:val="-2"/>
                <w:sz w:val="20"/>
              </w:rPr>
            </w:pPr>
            <w:r>
              <w:rPr>
                <w:spacing w:val="-2"/>
                <w:sz w:val="20"/>
              </w:rPr>
              <w:t>10 m pen</w:t>
            </w:r>
          </w:p>
        </w:tc>
        <w:tc>
          <w:tcPr>
            <w:tcW w:w="1839" w:type="dxa"/>
          </w:tcPr>
          <w:p>
            <w:pPr>
              <w:pStyle w:val="yTable"/>
              <w:rPr>
                <w:spacing w:val="-2"/>
                <w:sz w:val="20"/>
              </w:rPr>
            </w:pPr>
            <w:r>
              <w:rPr>
                <w:spacing w:val="-2"/>
                <w:sz w:val="20"/>
              </w:rPr>
              <w:t>at least 8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12 m pen</w:t>
            </w:r>
          </w:p>
        </w:tc>
        <w:tc>
          <w:tcPr>
            <w:tcW w:w="1839" w:type="dxa"/>
          </w:tcPr>
          <w:p>
            <w:pPr>
              <w:pStyle w:val="yTable"/>
              <w:keepNext/>
              <w:rPr>
                <w:spacing w:val="-2"/>
                <w:sz w:val="20"/>
              </w:rPr>
            </w:pPr>
            <w:r>
              <w:rPr>
                <w:spacing w:val="-2"/>
                <w:sz w:val="20"/>
              </w:rPr>
              <w:t>at least 9.6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15 m pen</w:t>
            </w:r>
          </w:p>
        </w:tc>
        <w:tc>
          <w:tcPr>
            <w:tcW w:w="1839" w:type="dxa"/>
          </w:tcPr>
          <w:p>
            <w:pPr>
              <w:pStyle w:val="yTable"/>
              <w:keepNext/>
              <w:rPr>
                <w:spacing w:val="-2"/>
                <w:sz w:val="20"/>
              </w:rPr>
            </w:pPr>
            <w:r>
              <w:rPr>
                <w:spacing w:val="-2"/>
                <w:sz w:val="20"/>
              </w:rPr>
              <w:t>at least 12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18 m pen</w:t>
            </w:r>
          </w:p>
        </w:tc>
        <w:tc>
          <w:tcPr>
            <w:tcW w:w="1839" w:type="dxa"/>
          </w:tcPr>
          <w:p>
            <w:pPr>
              <w:pStyle w:val="yTable"/>
              <w:keepNext/>
              <w:rPr>
                <w:spacing w:val="-2"/>
                <w:sz w:val="20"/>
              </w:rPr>
            </w:pPr>
            <w:r>
              <w:rPr>
                <w:spacing w:val="-2"/>
                <w:sz w:val="20"/>
              </w:rPr>
              <w:t>at least 14.4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20 m pen</w:t>
            </w:r>
          </w:p>
        </w:tc>
        <w:tc>
          <w:tcPr>
            <w:tcW w:w="1839" w:type="dxa"/>
          </w:tcPr>
          <w:p>
            <w:pPr>
              <w:pStyle w:val="yTable"/>
              <w:keepNext/>
              <w:rPr>
                <w:spacing w:val="-2"/>
                <w:sz w:val="20"/>
              </w:rPr>
            </w:pPr>
            <w:r>
              <w:rPr>
                <w:spacing w:val="-2"/>
                <w:sz w:val="20"/>
              </w:rPr>
              <w:t>at least 16 m</w:t>
            </w:r>
          </w:p>
        </w:tc>
      </w:tr>
      <w:tr>
        <w:trPr>
          <w:cantSplit/>
          <w:trHeight w:val="451"/>
        </w:trPr>
        <w:tc>
          <w:tcPr>
            <w:tcW w:w="3163" w:type="dxa"/>
          </w:tcPr>
          <w:p>
            <w:pPr>
              <w:pStyle w:val="yTable"/>
              <w:rPr>
                <w:b/>
                <w:bCs/>
                <w:spacing w:val="-2"/>
                <w:sz w:val="20"/>
              </w:rPr>
            </w:pPr>
            <w:r>
              <w:rPr>
                <w:b/>
                <w:bCs/>
                <w:spacing w:val="-2"/>
                <w:sz w:val="20"/>
              </w:rPr>
              <w:t>Annual Fee</w:t>
            </w:r>
          </w:p>
        </w:tc>
        <w:tc>
          <w:tcPr>
            <w:tcW w:w="3752" w:type="dxa"/>
            <w:gridSpan w:val="2"/>
          </w:tcPr>
          <w:p>
            <w:pPr>
              <w:pStyle w:val="yTable"/>
              <w:keepNext/>
              <w:rPr>
                <w:spacing w:val="-2"/>
                <w:sz w:val="20"/>
              </w:rPr>
            </w:pPr>
            <w:r>
              <w:rPr>
                <w:spacing w:val="-2"/>
                <w:sz w:val="20"/>
              </w:rPr>
              <w:t>$275.00/m x length of vessel</w:t>
            </w:r>
          </w:p>
        </w:tc>
      </w:tr>
      <w:tr>
        <w:trPr>
          <w:cantSplit/>
          <w:trHeight w:val="451"/>
        </w:trPr>
        <w:tc>
          <w:tcPr>
            <w:tcW w:w="3163" w:type="dxa"/>
          </w:tcPr>
          <w:p>
            <w:pPr>
              <w:pStyle w:val="yTable"/>
              <w:rPr>
                <w:b/>
                <w:bCs/>
                <w:spacing w:val="-2"/>
                <w:sz w:val="20"/>
              </w:rPr>
            </w:pPr>
            <w:r>
              <w:rPr>
                <w:b/>
                <w:bCs/>
                <w:spacing w:val="-2"/>
                <w:sz w:val="20"/>
              </w:rPr>
              <w:t>Part Year Fee</w:t>
            </w:r>
            <w:r>
              <w:rPr>
                <w:spacing w:val="-2"/>
                <w:sz w:val="20"/>
              </w:rPr>
              <w:t> — 3 months or more, paid in advance</w:t>
            </w:r>
          </w:p>
        </w:tc>
        <w:tc>
          <w:tcPr>
            <w:tcW w:w="3752" w:type="dxa"/>
            <w:gridSpan w:val="2"/>
          </w:tcPr>
          <w:p>
            <w:pPr>
              <w:pStyle w:val="yTable"/>
              <w:keepNext/>
              <w:rPr>
                <w:spacing w:val="-2"/>
                <w:sz w:val="20"/>
              </w:rPr>
            </w:pPr>
            <w:r>
              <w:rPr>
                <w:spacing w:val="-2"/>
                <w:sz w:val="20"/>
              </w:rPr>
              <w:t>$27.50/m x length of vessel, per month</w:t>
            </w:r>
          </w:p>
        </w:tc>
      </w:tr>
      <w:tr>
        <w:trPr>
          <w:cantSplit/>
          <w:trHeight w:val="451"/>
        </w:trPr>
        <w:tc>
          <w:tcPr>
            <w:tcW w:w="3163" w:type="dxa"/>
          </w:tcPr>
          <w:p>
            <w:pPr>
              <w:pStyle w:val="yTable"/>
              <w:rPr>
                <w:b/>
                <w:bCs/>
                <w:spacing w:val="-2"/>
                <w:sz w:val="20"/>
              </w:rPr>
            </w:pPr>
            <w:r>
              <w:rPr>
                <w:b/>
                <w:bCs/>
                <w:spacing w:val="-2"/>
                <w:sz w:val="20"/>
              </w:rPr>
              <w:t>Monthly Fee</w:t>
            </w:r>
          </w:p>
        </w:tc>
        <w:tc>
          <w:tcPr>
            <w:tcW w:w="3752" w:type="dxa"/>
            <w:gridSpan w:val="2"/>
          </w:tcPr>
          <w:p>
            <w:pPr>
              <w:pStyle w:val="yTable"/>
              <w:keepNext/>
              <w:rPr>
                <w:spacing w:val="-2"/>
                <w:sz w:val="20"/>
              </w:rPr>
            </w:pPr>
            <w:r>
              <w:rPr>
                <w:spacing w:val="-2"/>
                <w:sz w:val="20"/>
              </w:rPr>
              <w:t>$55.00/m x length of vessel, per month</w:t>
            </w:r>
          </w:p>
        </w:tc>
      </w:tr>
      <w:tr>
        <w:trPr>
          <w:cantSplit/>
          <w:trHeight w:val="451"/>
        </w:trPr>
        <w:tc>
          <w:tcPr>
            <w:tcW w:w="3163" w:type="dxa"/>
          </w:tcPr>
          <w:p>
            <w:pPr>
              <w:pStyle w:val="yTable"/>
            </w:pPr>
            <w:r>
              <w:rPr>
                <w:b/>
                <w:bCs/>
                <w:sz w:val="20"/>
              </w:rPr>
              <w:t>Weekly Fee</w:t>
            </w:r>
          </w:p>
          <w:p>
            <w:pPr>
              <w:pStyle w:val="yTable"/>
            </w:pPr>
            <w:r>
              <w:t>Recreational vessel</w:t>
            </w:r>
            <w:r>
              <w:br/>
            </w:r>
          </w:p>
          <w:p>
            <w:pPr>
              <w:pStyle w:val="yTable"/>
              <w:rPr>
                <w:b/>
                <w:bCs/>
                <w:spacing w:val="-2"/>
                <w:sz w:val="20"/>
              </w:rPr>
            </w:pPr>
            <w:r>
              <w:t>Commercial vessel</w:t>
            </w:r>
          </w:p>
        </w:tc>
        <w:tc>
          <w:tcPr>
            <w:tcW w:w="3752" w:type="dxa"/>
            <w:gridSpan w:val="2"/>
          </w:tcPr>
          <w:p>
            <w:pPr>
              <w:pStyle w:val="yTable"/>
            </w:pPr>
          </w:p>
          <w:p>
            <w:pPr>
              <w:pStyle w:val="yTable"/>
            </w:pPr>
            <w:r>
              <w:t>$19.25/m x length of vessel, per week</w:t>
            </w:r>
          </w:p>
          <w:p>
            <w:pPr>
              <w:pStyle w:val="yTable"/>
              <w:keepNext/>
              <w:rPr>
                <w:spacing w:val="-2"/>
                <w:sz w:val="20"/>
              </w:rPr>
            </w:pPr>
            <w:r>
              <w:br/>
              <w:t>$27.50/m x length of vessel, per week</w:t>
            </w:r>
          </w:p>
        </w:tc>
      </w:tr>
      <w:tr>
        <w:trPr>
          <w:cantSplit/>
          <w:trHeight w:val="451"/>
        </w:trPr>
        <w:tc>
          <w:tcPr>
            <w:tcW w:w="3163" w:type="dxa"/>
          </w:tcPr>
          <w:p>
            <w:pPr>
              <w:pStyle w:val="yTable"/>
            </w:pPr>
            <w:r>
              <w:rPr>
                <w:b/>
                <w:bCs/>
                <w:sz w:val="20"/>
              </w:rPr>
              <w:t>3 Day Fee</w:t>
            </w:r>
          </w:p>
          <w:p>
            <w:pPr>
              <w:pStyle w:val="yTable"/>
            </w:pPr>
            <w:r>
              <w:t>Recreational vessel</w:t>
            </w:r>
            <w:r>
              <w:br/>
            </w:r>
          </w:p>
          <w:p>
            <w:pPr>
              <w:pStyle w:val="yTable"/>
              <w:rPr>
                <w:b/>
                <w:bCs/>
                <w:spacing w:val="-2"/>
                <w:sz w:val="20"/>
              </w:rPr>
            </w:pPr>
            <w:r>
              <w:t>Commercial vessel</w:t>
            </w:r>
          </w:p>
        </w:tc>
        <w:tc>
          <w:tcPr>
            <w:tcW w:w="3752" w:type="dxa"/>
            <w:gridSpan w:val="2"/>
          </w:tcPr>
          <w:p>
            <w:pPr>
              <w:pStyle w:val="yTable"/>
            </w:pPr>
          </w:p>
          <w:p>
            <w:pPr>
              <w:pStyle w:val="yTable"/>
            </w:pPr>
            <w:r>
              <w:t>$7.70/m x length of vessel, per 3 day period</w:t>
            </w:r>
          </w:p>
          <w:p>
            <w:pPr>
              <w:pStyle w:val="yTable"/>
              <w:keepNext/>
              <w:rPr>
                <w:spacing w:val="-2"/>
                <w:sz w:val="20"/>
              </w:rPr>
            </w:pPr>
            <w:r>
              <w:t>$11.00/m x length of vessel, per 3 day period</w:t>
            </w:r>
          </w:p>
        </w:tc>
      </w:tr>
      <w:tr>
        <w:trPr>
          <w:cantSplit/>
          <w:trHeight w:val="451"/>
        </w:trPr>
        <w:tc>
          <w:tcPr>
            <w:tcW w:w="3163" w:type="dxa"/>
          </w:tcPr>
          <w:p>
            <w:pPr>
              <w:pStyle w:val="yTable"/>
            </w:pPr>
            <w:r>
              <w:rPr>
                <w:b/>
                <w:bCs/>
                <w:sz w:val="20"/>
              </w:rPr>
              <w:t>Daily Casual Fee</w:t>
            </w:r>
          </w:p>
          <w:p>
            <w:pPr>
              <w:pStyle w:val="yTable"/>
            </w:pPr>
            <w:r>
              <w:t>Recreational vessel</w:t>
            </w:r>
            <w:r>
              <w:br/>
            </w:r>
          </w:p>
          <w:p>
            <w:pPr>
              <w:pStyle w:val="yTable"/>
              <w:rPr>
                <w:b/>
                <w:bCs/>
                <w:spacing w:val="-2"/>
                <w:sz w:val="20"/>
              </w:rPr>
            </w:pPr>
            <w:r>
              <w:t>Commercial vessel</w:t>
            </w:r>
          </w:p>
        </w:tc>
        <w:tc>
          <w:tcPr>
            <w:tcW w:w="3752" w:type="dxa"/>
            <w:gridSpan w:val="2"/>
          </w:tcPr>
          <w:p>
            <w:pPr>
              <w:pStyle w:val="yTable"/>
            </w:pPr>
          </w:p>
          <w:p>
            <w:pPr>
              <w:pStyle w:val="yTable"/>
            </w:pPr>
            <w:r>
              <w:t>$3.85/m x length of vessel, per day or part of a day</w:t>
            </w:r>
          </w:p>
          <w:p>
            <w:pPr>
              <w:pStyle w:val="yTable"/>
              <w:keepNext/>
              <w:rPr>
                <w:spacing w:val="-2"/>
                <w:sz w:val="20"/>
              </w:rPr>
            </w:pPr>
            <w:r>
              <w:t>$5.50/m x length of vessel, per day or part of a day</w:t>
            </w:r>
          </w:p>
        </w:tc>
      </w:tr>
      <w:tr>
        <w:trPr>
          <w:cantSplit/>
          <w:trHeight w:val="451"/>
        </w:trPr>
        <w:tc>
          <w:tcPr>
            <w:tcW w:w="3163" w:type="dxa"/>
          </w:tcPr>
          <w:p>
            <w:pPr>
              <w:pStyle w:val="yTable"/>
              <w:rPr>
                <w:b/>
                <w:bCs/>
                <w:spacing w:val="-2"/>
                <w:sz w:val="20"/>
              </w:rPr>
            </w:pPr>
            <w:r>
              <w:rPr>
                <w:b/>
                <w:bCs/>
                <w:spacing w:val="-2"/>
                <w:sz w:val="20"/>
              </w:rPr>
              <w:t>Live on Board Fee</w:t>
            </w:r>
          </w:p>
        </w:tc>
        <w:tc>
          <w:tcPr>
            <w:tcW w:w="3752" w:type="dxa"/>
            <w:gridSpan w:val="2"/>
          </w:tcPr>
          <w:p>
            <w:pPr>
              <w:pStyle w:val="yTable"/>
              <w:keepNext/>
              <w:rPr>
                <w:spacing w:val="-2"/>
                <w:sz w:val="20"/>
              </w:rPr>
            </w:pPr>
            <w:r>
              <w:rPr>
                <w:spacing w:val="-2"/>
                <w:sz w:val="20"/>
              </w:rPr>
              <w:t>$89.36 per vessel per month</w:t>
            </w:r>
          </w:p>
        </w:tc>
      </w:tr>
      <w:tr>
        <w:trPr>
          <w:cantSplit/>
          <w:trHeight w:val="451"/>
        </w:trPr>
        <w:tc>
          <w:tcPr>
            <w:tcW w:w="3163" w:type="dxa"/>
          </w:tcPr>
          <w:p>
            <w:pPr>
              <w:pStyle w:val="yTable"/>
              <w:rPr>
                <w:b/>
                <w:bCs/>
                <w:spacing w:val="-2"/>
                <w:sz w:val="20"/>
              </w:rPr>
            </w:pPr>
            <w:r>
              <w:rPr>
                <w:b/>
                <w:bCs/>
                <w:sz w:val="20"/>
              </w:rPr>
              <w:t xml:space="preserve">Short Term Use Fee </w:t>
            </w:r>
            <w:r>
              <w:rPr>
                <w:sz w:val="20"/>
              </w:rPr>
              <w:t>(for use of service jetty for loading, unloading or passenger transfer where mooring, berthage or pen fees not paid)</w:t>
            </w:r>
          </w:p>
        </w:tc>
        <w:tc>
          <w:tcPr>
            <w:tcW w:w="3752" w:type="dxa"/>
            <w:gridSpan w:val="2"/>
          </w:tcPr>
          <w:p>
            <w:pPr>
              <w:pStyle w:val="yTable"/>
              <w:keepNext/>
              <w:rPr>
                <w:spacing w:val="-2"/>
                <w:sz w:val="20"/>
              </w:rPr>
            </w:pPr>
          </w:p>
        </w:tc>
      </w:tr>
      <w:tr>
        <w:trPr>
          <w:cantSplit/>
          <w:trHeight w:val="451"/>
        </w:trPr>
        <w:tc>
          <w:tcPr>
            <w:tcW w:w="3163" w:type="dxa"/>
          </w:tcPr>
          <w:p>
            <w:pPr>
              <w:pStyle w:val="yTable"/>
              <w:rPr>
                <w:b/>
                <w:bCs/>
                <w:sz w:val="20"/>
              </w:rPr>
            </w:pPr>
            <w:r>
              <w:rPr>
                <w:b/>
                <w:bCs/>
                <w:sz w:val="20"/>
              </w:rPr>
              <w:t>Annual Fee</w:t>
            </w:r>
          </w:p>
        </w:tc>
        <w:tc>
          <w:tcPr>
            <w:tcW w:w="3752" w:type="dxa"/>
            <w:gridSpan w:val="2"/>
          </w:tcPr>
          <w:p>
            <w:pPr>
              <w:pStyle w:val="yTable"/>
              <w:keepNext/>
              <w:rPr>
                <w:spacing w:val="-2"/>
                <w:sz w:val="20"/>
              </w:rPr>
            </w:pPr>
            <w:r>
              <w:rPr>
                <w:sz w:val="20"/>
              </w:rPr>
              <w:t>$825.00 per vessel</w:t>
            </w:r>
          </w:p>
        </w:tc>
      </w:tr>
      <w:tr>
        <w:trPr>
          <w:cantSplit/>
          <w:trHeight w:val="451"/>
        </w:trPr>
        <w:tc>
          <w:tcPr>
            <w:tcW w:w="3163" w:type="dxa"/>
            <w:tcBorders>
              <w:bottom w:val="single" w:sz="4" w:space="0" w:color="auto"/>
            </w:tcBorders>
          </w:tcPr>
          <w:p>
            <w:pPr>
              <w:pStyle w:val="yTable"/>
              <w:rPr>
                <w:b/>
                <w:bCs/>
                <w:sz w:val="20"/>
              </w:rPr>
            </w:pPr>
            <w:r>
              <w:rPr>
                <w:b/>
                <w:bCs/>
                <w:sz w:val="20"/>
              </w:rPr>
              <w:t>Daily Casual Fee</w:t>
            </w:r>
          </w:p>
        </w:tc>
        <w:tc>
          <w:tcPr>
            <w:tcW w:w="3752" w:type="dxa"/>
            <w:gridSpan w:val="2"/>
            <w:tcBorders>
              <w:bottom w:val="single" w:sz="4" w:space="0" w:color="auto"/>
            </w:tcBorders>
          </w:tcPr>
          <w:p>
            <w:pPr>
              <w:pStyle w:val="yTable"/>
              <w:keepNext/>
              <w:rPr>
                <w:spacing w:val="-2"/>
                <w:sz w:val="20"/>
              </w:rPr>
            </w:pPr>
            <w:r>
              <w:rPr>
                <w:sz w:val="20"/>
              </w:rPr>
              <w:t>$2.75/m x length of vessel, per day or part of a day</w:t>
            </w:r>
          </w:p>
        </w:tc>
      </w:tr>
    </w:tbl>
    <w:p>
      <w:pPr>
        <w:pStyle w:val="yNumberedItem"/>
      </w:pPr>
      <w:r>
        <w:t>Note:</w:t>
      </w:r>
      <w:r>
        <w:tab/>
        <w:t>All fees are inclusive of GST at the standard rate of 10% except for the “Live on Board” fee (long term arrangements in excess of 28 days), which has the GST applied at the concessional rate of 5.5%.  Where the “Live on Board” fee is charged, the corresponding pen fee will also have GST applied at 5.5%. (Refer to the Australian Tax Office public GST ruling: GSTB 2003/2 Goods and Services Tax: Long term accommodation at Marinas.)</w:t>
      </w:r>
    </w:p>
    <w:p>
      <w:pPr>
        <w:pStyle w:val="yHeading4"/>
      </w:pPr>
      <w:bookmarkStart w:id="909" w:name="_Toc139101855"/>
      <w:bookmarkStart w:id="910" w:name="_Toc139102040"/>
      <w:bookmarkStart w:id="911" w:name="_Toc139443388"/>
      <w:r>
        <w:t>Subdivision 4</w:t>
      </w:r>
      <w:r>
        <w:rPr>
          <w:b w:val="0"/>
        </w:rPr>
        <w:t> — </w:t>
      </w:r>
      <w:r>
        <w:t>Beadon Creek Boat Harbour (Onslow)</w:t>
      </w:r>
      <w:bookmarkEnd w:id="909"/>
      <w:bookmarkEnd w:id="910"/>
      <w:bookmarkEnd w:id="911"/>
    </w:p>
    <w:p>
      <w:pPr>
        <w:pStyle w:val="yFootnoteheading"/>
      </w:pPr>
      <w:r>
        <w:tab/>
        <w:t>[Heading inserted in Gazette 24 Jun 2005 p. 2832.]</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66"/>
      </w:tblGrid>
      <w:tr>
        <w:tc>
          <w:tcPr>
            <w:tcW w:w="3149" w:type="dxa"/>
          </w:tcPr>
          <w:p>
            <w:pPr>
              <w:pStyle w:val="yTable"/>
              <w:spacing w:before="120" w:after="40"/>
              <w:ind w:left="482" w:hanging="482"/>
              <w:rPr>
                <w:b/>
                <w:spacing w:val="-2"/>
                <w:sz w:val="20"/>
              </w:rPr>
            </w:pPr>
            <w:r>
              <w:rPr>
                <w:b/>
                <w:spacing w:val="-2"/>
                <w:sz w:val="20"/>
              </w:rPr>
              <w:t>Berthage/Use of Service Jetty</w:t>
            </w:r>
          </w:p>
          <w:p>
            <w:pPr>
              <w:pStyle w:val="yTable"/>
              <w:spacing w:after="40"/>
              <w:rPr>
                <w:spacing w:val="-2"/>
                <w:sz w:val="20"/>
              </w:rPr>
            </w:pPr>
            <w:r>
              <w:rPr>
                <w:spacing w:val="-2"/>
                <w:sz w:val="20"/>
              </w:rPr>
              <w:t>Daily Casual Fee (per day or part of a day)</w:t>
            </w:r>
          </w:p>
        </w:tc>
        <w:tc>
          <w:tcPr>
            <w:tcW w:w="3766" w:type="dxa"/>
          </w:tcPr>
          <w:p>
            <w:pPr>
              <w:pStyle w:val="yTable"/>
              <w:spacing w:after="40"/>
              <w:rPr>
                <w:spacing w:val="-2"/>
                <w:sz w:val="20"/>
              </w:rPr>
            </w:pPr>
          </w:p>
          <w:p>
            <w:pPr>
              <w:pStyle w:val="yTable"/>
              <w:spacing w:after="40"/>
              <w:rPr>
                <w:spacing w:val="-2"/>
                <w:sz w:val="20"/>
              </w:rPr>
            </w:pPr>
            <w:r>
              <w:rPr>
                <w:spacing w:val="-2"/>
                <w:sz w:val="20"/>
              </w:rPr>
              <w:br/>
              <w:t>$6.14/m x length of vessel</w:t>
            </w:r>
          </w:p>
        </w:tc>
      </w:tr>
    </w:tbl>
    <w:p>
      <w:pPr>
        <w:pStyle w:val="yNumberedItem"/>
      </w:pPr>
      <w:r>
        <w:t xml:space="preserve">Note: </w:t>
      </w:r>
      <w:r>
        <w:tab/>
        <w:t>Use of the service jetty is likely to be restricted to load/unload/fuelling operations only, after which vessels will need to be relocated to the mooring piles.</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36"/>
        <w:gridCol w:w="3765"/>
      </w:tblGrid>
      <w:tr>
        <w:trPr>
          <w:cantSplit/>
        </w:trPr>
        <w:tc>
          <w:tcPr>
            <w:tcW w:w="3136" w:type="dxa"/>
            <w:tcBorders>
              <w:bottom w:val="single" w:sz="4" w:space="0" w:color="auto"/>
            </w:tcBorders>
          </w:tcPr>
          <w:p>
            <w:pPr>
              <w:pStyle w:val="yTable"/>
              <w:spacing w:after="120"/>
              <w:rPr>
                <w:spacing w:val="-2"/>
                <w:sz w:val="20"/>
              </w:rPr>
            </w:pPr>
            <w:r>
              <w:rPr>
                <w:spacing w:val="-2"/>
                <w:sz w:val="20"/>
              </w:rPr>
              <w:t>Annual Casual Berthage Fee (for short term use, e.g. 1 to 2 hours) —</w:t>
            </w:r>
          </w:p>
        </w:tc>
        <w:tc>
          <w:tcPr>
            <w:tcW w:w="3765" w:type="dxa"/>
            <w:tcBorders>
              <w:bottom w:val="single" w:sz="4" w:space="0" w:color="auto"/>
            </w:tcBorders>
          </w:tcPr>
          <w:p>
            <w:pPr>
              <w:pStyle w:val="yTable"/>
              <w:spacing w:after="120"/>
              <w:rPr>
                <w:spacing w:val="-2"/>
                <w:sz w:val="20"/>
              </w:rPr>
            </w:pPr>
            <w:r>
              <w:rPr>
                <w:spacing w:val="-2"/>
                <w:sz w:val="20"/>
              </w:rPr>
              <w:br/>
              <w:t>$122.84/m x length of vessel</w:t>
            </w:r>
          </w:p>
        </w:tc>
      </w:tr>
      <w:tr>
        <w:trPr>
          <w:cantSplit/>
        </w:trPr>
        <w:tc>
          <w:tcPr>
            <w:tcW w:w="6901" w:type="dxa"/>
            <w:gridSpan w:val="2"/>
            <w:tcBorders>
              <w:top w:val="nil"/>
              <w:left w:val="nil"/>
              <w:right w:val="nil"/>
            </w:tcBorders>
          </w:tcPr>
          <w:p>
            <w:pPr>
              <w:pStyle w:val="yNumberedItem"/>
            </w:pPr>
            <w:r>
              <w:t xml:space="preserve">Note: </w:t>
            </w:r>
            <w:r>
              <w:tab/>
              <w:t>Despite the payment of an Annual Casual Berthing Fee, vessels remaining alongside the wharf for other than active loading/unloading/fuelling operations will also be required to pay the Daily Casual Fee, and will be subject to similar conditions as those set out in the note to that Fee, on each day that extended use is required/approved.</w:t>
            </w:r>
          </w:p>
          <w:p>
            <w:pPr>
              <w:pStyle w:val="yNumberedItem"/>
            </w:pPr>
            <w:r>
              <w:t xml:space="preserve">Note: </w:t>
            </w:r>
            <w:r>
              <w:tab/>
              <w:t>Subject to availability, and to suitability of vessel, payment of the annual fee option would also cover shared use of the mooring piles or service wharf during cyclone alerts.</w:t>
            </w:r>
          </w:p>
        </w:tc>
      </w:tr>
      <w:tr>
        <w:trPr>
          <w:cantSplit/>
        </w:trPr>
        <w:tc>
          <w:tcPr>
            <w:tcW w:w="6901" w:type="dxa"/>
            <w:gridSpan w:val="2"/>
          </w:tcPr>
          <w:p>
            <w:pPr>
              <w:pStyle w:val="yTable"/>
              <w:spacing w:after="120"/>
              <w:rPr>
                <w:spacing w:val="-2"/>
                <w:sz w:val="20"/>
              </w:rPr>
            </w:pPr>
            <w:r>
              <w:rPr>
                <w:b/>
                <w:spacing w:val="-2"/>
                <w:sz w:val="20"/>
              </w:rPr>
              <w:t xml:space="preserve">Shared use of facilities </w:t>
            </w:r>
            <w:r>
              <w:rPr>
                <w:spacing w:val="-2"/>
                <w:sz w:val="20"/>
              </w:rPr>
              <w:t>(including mooring piles, service wharf to load, unload or for maintenance, extended berthing, access during cyclone alerts)</w:t>
            </w:r>
          </w:p>
        </w:tc>
      </w:tr>
      <w:tr>
        <w:trPr>
          <w:cantSplit/>
        </w:trPr>
        <w:tc>
          <w:tcPr>
            <w:tcW w:w="3136" w:type="dxa"/>
          </w:tcPr>
          <w:p>
            <w:pPr>
              <w:pStyle w:val="yTable"/>
              <w:spacing w:after="60"/>
              <w:ind w:left="198"/>
              <w:rPr>
                <w:spacing w:val="-2"/>
                <w:sz w:val="20"/>
              </w:rPr>
            </w:pPr>
            <w:r>
              <w:rPr>
                <w:spacing w:val="-2"/>
                <w:sz w:val="20"/>
              </w:rPr>
              <w:t>Annual Fee</w:t>
            </w:r>
          </w:p>
        </w:tc>
        <w:tc>
          <w:tcPr>
            <w:tcW w:w="3765" w:type="dxa"/>
          </w:tcPr>
          <w:p>
            <w:pPr>
              <w:pStyle w:val="yTable"/>
              <w:spacing w:after="60"/>
              <w:rPr>
                <w:spacing w:val="-2"/>
                <w:sz w:val="20"/>
              </w:rPr>
            </w:pPr>
            <w:r>
              <w:rPr>
                <w:spacing w:val="-2"/>
                <w:sz w:val="20"/>
              </w:rPr>
              <w:t>$245.67/m x length of vessel</w:t>
            </w:r>
          </w:p>
        </w:tc>
      </w:tr>
      <w:tr>
        <w:trPr>
          <w:cantSplit/>
        </w:trPr>
        <w:tc>
          <w:tcPr>
            <w:tcW w:w="3136" w:type="dxa"/>
          </w:tcPr>
          <w:p>
            <w:pPr>
              <w:pStyle w:val="yTable"/>
              <w:spacing w:after="60"/>
              <w:ind w:left="198"/>
              <w:rPr>
                <w:spacing w:val="-2"/>
                <w:sz w:val="20"/>
              </w:rPr>
            </w:pPr>
            <w:r>
              <w:rPr>
                <w:spacing w:val="-2"/>
                <w:sz w:val="20"/>
              </w:rPr>
              <w:t>Part Year Fee — 3 months or more paid in advance</w:t>
            </w:r>
          </w:p>
        </w:tc>
        <w:tc>
          <w:tcPr>
            <w:tcW w:w="3765" w:type="dxa"/>
          </w:tcPr>
          <w:p>
            <w:pPr>
              <w:pStyle w:val="yTable"/>
              <w:spacing w:after="60"/>
              <w:rPr>
                <w:spacing w:val="-2"/>
                <w:sz w:val="20"/>
              </w:rPr>
            </w:pPr>
            <w:r>
              <w:rPr>
                <w:spacing w:val="-2"/>
                <w:sz w:val="20"/>
              </w:rPr>
              <w:br/>
              <w:t>$24.56/m x length of vessel, per month</w:t>
            </w:r>
          </w:p>
        </w:tc>
      </w:tr>
      <w:tr>
        <w:trPr>
          <w:cantSplit/>
        </w:trPr>
        <w:tc>
          <w:tcPr>
            <w:tcW w:w="3136" w:type="dxa"/>
          </w:tcPr>
          <w:p>
            <w:pPr>
              <w:pStyle w:val="yTable"/>
              <w:spacing w:after="60"/>
              <w:ind w:left="198"/>
              <w:rPr>
                <w:spacing w:val="-2"/>
                <w:sz w:val="20"/>
              </w:rPr>
            </w:pPr>
            <w:r>
              <w:rPr>
                <w:spacing w:val="-2"/>
                <w:sz w:val="20"/>
              </w:rPr>
              <w:t>Monthly Fee</w:t>
            </w:r>
          </w:p>
        </w:tc>
        <w:tc>
          <w:tcPr>
            <w:tcW w:w="3765" w:type="dxa"/>
          </w:tcPr>
          <w:p>
            <w:pPr>
              <w:pStyle w:val="yTable"/>
              <w:spacing w:after="60"/>
              <w:rPr>
                <w:spacing w:val="-2"/>
                <w:sz w:val="20"/>
              </w:rPr>
            </w:pPr>
            <w:r>
              <w:rPr>
                <w:spacing w:val="-2"/>
                <w:sz w:val="20"/>
              </w:rPr>
              <w:t>$49.13/m x length of vessel, per month</w:t>
            </w:r>
          </w:p>
        </w:tc>
      </w:tr>
      <w:tr>
        <w:trPr>
          <w:cantSplit/>
        </w:trPr>
        <w:tc>
          <w:tcPr>
            <w:tcW w:w="3136" w:type="dxa"/>
          </w:tcPr>
          <w:p>
            <w:pPr>
              <w:pStyle w:val="yTable"/>
              <w:spacing w:after="60"/>
              <w:ind w:left="198"/>
              <w:rPr>
                <w:spacing w:val="-2"/>
                <w:sz w:val="20"/>
              </w:rPr>
            </w:pPr>
            <w:r>
              <w:rPr>
                <w:spacing w:val="-2"/>
                <w:sz w:val="20"/>
              </w:rPr>
              <w:t>Weekly Fee</w:t>
            </w:r>
          </w:p>
        </w:tc>
        <w:tc>
          <w:tcPr>
            <w:tcW w:w="3765" w:type="dxa"/>
          </w:tcPr>
          <w:p>
            <w:pPr>
              <w:pStyle w:val="yTable"/>
              <w:spacing w:after="60"/>
              <w:rPr>
                <w:spacing w:val="-2"/>
                <w:sz w:val="20"/>
              </w:rPr>
            </w:pPr>
            <w:r>
              <w:rPr>
                <w:spacing w:val="-2"/>
                <w:sz w:val="20"/>
              </w:rPr>
              <w:t>$30.70/m x length of vessel, per week</w:t>
            </w:r>
          </w:p>
        </w:tc>
      </w:tr>
      <w:tr>
        <w:trPr>
          <w:cantSplit/>
        </w:trPr>
        <w:tc>
          <w:tcPr>
            <w:tcW w:w="3136" w:type="dxa"/>
          </w:tcPr>
          <w:p>
            <w:pPr>
              <w:pStyle w:val="yTable"/>
              <w:spacing w:after="60"/>
              <w:ind w:left="198"/>
              <w:rPr>
                <w:spacing w:val="-2"/>
                <w:sz w:val="20"/>
              </w:rPr>
            </w:pPr>
            <w:r>
              <w:rPr>
                <w:spacing w:val="-2"/>
                <w:sz w:val="20"/>
              </w:rPr>
              <w:t>Daily Fee</w:t>
            </w:r>
          </w:p>
        </w:tc>
        <w:tc>
          <w:tcPr>
            <w:tcW w:w="3765" w:type="dxa"/>
          </w:tcPr>
          <w:p>
            <w:pPr>
              <w:pStyle w:val="yTable"/>
              <w:spacing w:after="60"/>
              <w:rPr>
                <w:spacing w:val="-2"/>
                <w:sz w:val="20"/>
              </w:rPr>
            </w:pPr>
            <w:r>
              <w:rPr>
                <w:spacing w:val="-2"/>
                <w:sz w:val="20"/>
              </w:rPr>
              <w:t>$6.14/m x length of vessel, per day</w:t>
            </w:r>
          </w:p>
        </w:tc>
      </w:tr>
      <w:tr>
        <w:trPr>
          <w:cantSplit/>
        </w:trPr>
        <w:tc>
          <w:tcPr>
            <w:tcW w:w="3136" w:type="dxa"/>
          </w:tcPr>
          <w:p>
            <w:pPr>
              <w:pStyle w:val="yTable"/>
              <w:spacing w:after="60"/>
              <w:rPr>
                <w:spacing w:val="-2"/>
                <w:sz w:val="20"/>
              </w:rPr>
            </w:pPr>
            <w:r>
              <w:rPr>
                <w:b/>
                <w:spacing w:val="-2"/>
                <w:sz w:val="20"/>
              </w:rPr>
              <w:t>Fee for use of Service Jetty Hardstanding Area for storage or maintenance</w:t>
            </w:r>
            <w:r>
              <w:rPr>
                <w:spacing w:val="-2"/>
                <w:sz w:val="20"/>
              </w:rPr>
              <w:t> </w:t>
            </w:r>
            <w:r>
              <w:rPr>
                <w:i/>
                <w:snapToGrid w:val="0"/>
                <w:sz w:val="20"/>
              </w:rPr>
              <w:t>—</w:t>
            </w:r>
            <w:r>
              <w:rPr>
                <w:spacing w:val="-2"/>
                <w:sz w:val="20"/>
              </w:rPr>
              <w:t> </w:t>
            </w:r>
          </w:p>
          <w:p>
            <w:pPr>
              <w:pStyle w:val="yTable"/>
              <w:spacing w:after="40"/>
              <w:ind w:left="340" w:hanging="142"/>
              <w:rPr>
                <w:spacing w:val="-2"/>
                <w:sz w:val="20"/>
              </w:rPr>
            </w:pPr>
            <w:r>
              <w:rPr>
                <w:spacing w:val="-2"/>
                <w:sz w:val="20"/>
              </w:rPr>
              <w:t>For the first 30 days</w:t>
            </w:r>
          </w:p>
        </w:tc>
        <w:tc>
          <w:tcPr>
            <w:tcW w:w="3765" w:type="dxa"/>
          </w:tcPr>
          <w:p>
            <w:pPr>
              <w:pStyle w:val="yTable"/>
              <w:spacing w:after="40"/>
              <w:rPr>
                <w:spacing w:val="-2"/>
                <w:sz w:val="20"/>
              </w:rPr>
            </w:pPr>
            <w:r>
              <w:rPr>
                <w:spacing w:val="-2"/>
                <w:sz w:val="20"/>
              </w:rPr>
              <w:br/>
            </w:r>
            <w:r>
              <w:rPr>
                <w:spacing w:val="-2"/>
                <w:sz w:val="20"/>
              </w:rPr>
              <w:br/>
            </w:r>
          </w:p>
          <w:p>
            <w:pPr>
              <w:pStyle w:val="yTable"/>
              <w:spacing w:after="40"/>
              <w:rPr>
                <w:b/>
                <w:spacing w:val="-2"/>
                <w:sz w:val="20"/>
              </w:rPr>
            </w:pPr>
            <w:r>
              <w:rPr>
                <w:spacing w:val="-2"/>
                <w:sz w:val="20"/>
              </w:rPr>
              <w:t>$6.14 per day or part of a day</w:t>
            </w:r>
          </w:p>
        </w:tc>
      </w:tr>
      <w:tr>
        <w:trPr>
          <w:cantSplit/>
        </w:trPr>
        <w:tc>
          <w:tcPr>
            <w:tcW w:w="3136" w:type="dxa"/>
          </w:tcPr>
          <w:p>
            <w:pPr>
              <w:pStyle w:val="yTable"/>
              <w:spacing w:after="60"/>
              <w:ind w:left="340" w:hanging="142"/>
              <w:rPr>
                <w:spacing w:val="-2"/>
                <w:sz w:val="20"/>
              </w:rPr>
            </w:pPr>
            <w:r>
              <w:rPr>
                <w:spacing w:val="-2"/>
                <w:sz w:val="20"/>
              </w:rPr>
              <w:t>After 30 days</w:t>
            </w:r>
          </w:p>
        </w:tc>
        <w:tc>
          <w:tcPr>
            <w:tcW w:w="3765" w:type="dxa"/>
          </w:tcPr>
          <w:p>
            <w:pPr>
              <w:pStyle w:val="yTable"/>
              <w:spacing w:after="60"/>
              <w:rPr>
                <w:spacing w:val="-2"/>
                <w:sz w:val="20"/>
              </w:rPr>
            </w:pPr>
            <w:r>
              <w:rPr>
                <w:spacing w:val="-2"/>
                <w:sz w:val="20"/>
              </w:rPr>
              <w:t>$24.56 per day or part of a day</w:t>
            </w:r>
          </w:p>
        </w:tc>
      </w:tr>
      <w:tr>
        <w:trPr>
          <w:cantSplit/>
        </w:trPr>
        <w:tc>
          <w:tcPr>
            <w:tcW w:w="3136" w:type="dxa"/>
          </w:tcPr>
          <w:p>
            <w:pPr>
              <w:pStyle w:val="yTable"/>
              <w:spacing w:after="120"/>
              <w:ind w:left="198" w:hanging="198"/>
              <w:rPr>
                <w:spacing w:val="-2"/>
                <w:sz w:val="20"/>
              </w:rPr>
            </w:pPr>
            <w:r>
              <w:rPr>
                <w:b/>
                <w:spacing w:val="-2"/>
                <w:sz w:val="20"/>
              </w:rPr>
              <w:t>3</w:t>
            </w:r>
            <w:r>
              <w:rPr>
                <w:b/>
                <w:spacing w:val="-2"/>
                <w:sz w:val="20"/>
              </w:rPr>
              <w:noBreakHyphen/>
              <w:t>phase electric power charges</w:t>
            </w:r>
            <w:r>
              <w:rPr>
                <w:spacing w:val="-2"/>
                <w:sz w:val="20"/>
              </w:rPr>
              <w:t> </w:t>
            </w:r>
            <w:r>
              <w:rPr>
                <w:i/>
                <w:snapToGrid w:val="0"/>
                <w:sz w:val="20"/>
              </w:rPr>
              <w:t>—</w:t>
            </w:r>
            <w:r>
              <w:rPr>
                <w:spacing w:val="-2"/>
                <w:sz w:val="20"/>
              </w:rPr>
              <w:t> </w:t>
            </w:r>
            <w:r>
              <w:rPr>
                <w:spacing w:val="-2"/>
                <w:sz w:val="20"/>
              </w:rPr>
              <w:br/>
              <w:t>(all vessels)</w:t>
            </w:r>
          </w:p>
        </w:tc>
        <w:tc>
          <w:tcPr>
            <w:tcW w:w="3765" w:type="dxa"/>
          </w:tcPr>
          <w:p>
            <w:pPr>
              <w:pStyle w:val="yTable"/>
              <w:spacing w:after="40"/>
              <w:rPr>
                <w:spacing w:val="-2"/>
                <w:sz w:val="20"/>
              </w:rPr>
            </w:pPr>
            <w:r>
              <w:rPr>
                <w:spacing w:val="-2"/>
                <w:sz w:val="20"/>
              </w:rPr>
              <w:br/>
              <w:t>At cost</w:t>
            </w:r>
          </w:p>
        </w:tc>
      </w:tr>
      <w:tr>
        <w:tblPrEx>
          <w:tblCellMar>
            <w:left w:w="85" w:type="dxa"/>
            <w:right w:w="85" w:type="dxa"/>
          </w:tblCellMar>
        </w:tblPrEx>
        <w:trPr>
          <w:cantSplit/>
        </w:trPr>
        <w:tc>
          <w:tcPr>
            <w:tcW w:w="3136" w:type="dxa"/>
            <w:tcBorders>
              <w:bottom w:val="nil"/>
            </w:tcBorders>
          </w:tcPr>
          <w:p>
            <w:pPr>
              <w:pStyle w:val="yTable"/>
              <w:spacing w:before="120" w:after="120"/>
              <w:ind w:left="198" w:hanging="198"/>
              <w:rPr>
                <w:spacing w:val="-2"/>
                <w:sz w:val="20"/>
              </w:rPr>
            </w:pPr>
            <w:r>
              <w:rPr>
                <w:b/>
                <w:spacing w:val="-2"/>
                <w:sz w:val="20"/>
              </w:rPr>
              <w:t>Service charges</w:t>
            </w:r>
            <w:r>
              <w:rPr>
                <w:spacing w:val="-2"/>
                <w:sz w:val="20"/>
              </w:rPr>
              <w:t> </w:t>
            </w:r>
            <w:r>
              <w:rPr>
                <w:i/>
                <w:snapToGrid w:val="0"/>
                <w:sz w:val="20"/>
              </w:rPr>
              <w:t>—</w:t>
            </w:r>
            <w:r>
              <w:rPr>
                <w:i/>
                <w:snapToGrid w:val="0"/>
                <w:sz w:val="20"/>
              </w:rPr>
              <w:br/>
            </w:r>
            <w:r>
              <w:rPr>
                <w:spacing w:val="-4"/>
                <w:sz w:val="20"/>
              </w:rPr>
              <w:t>water and electric power (single phase) when berthed at private jetties and drawing water or single phase power from service jetty outlets</w:t>
            </w:r>
          </w:p>
        </w:tc>
        <w:tc>
          <w:tcPr>
            <w:tcW w:w="3765" w:type="dxa"/>
            <w:tcBorders>
              <w:bottom w:val="nil"/>
            </w:tcBorders>
          </w:tcPr>
          <w:p>
            <w:pPr>
              <w:pStyle w:val="yTable"/>
              <w:spacing w:before="120" w:after="120"/>
              <w:rPr>
                <w:spacing w:val="-2"/>
                <w:sz w:val="20"/>
              </w:rPr>
            </w:pPr>
            <w:r>
              <w:rPr>
                <w:spacing w:val="-2"/>
                <w:sz w:val="20"/>
              </w:rPr>
              <w:br/>
              <w:t>$6.14 per day or part of a day but, if any large drawing of water occurs and the value of the water exceeds $6.14, the water to be charged at cost</w:t>
            </w:r>
          </w:p>
        </w:tc>
      </w:tr>
      <w:tr>
        <w:tblPrEx>
          <w:tblCellMar>
            <w:left w:w="85" w:type="dxa"/>
            <w:right w:w="85" w:type="dxa"/>
          </w:tblCellMar>
        </w:tblPrEx>
        <w:trPr>
          <w:cantSplit/>
        </w:trPr>
        <w:tc>
          <w:tcPr>
            <w:tcW w:w="3136" w:type="dxa"/>
            <w:tcBorders>
              <w:bottom w:val="single" w:sz="4" w:space="0" w:color="auto"/>
            </w:tcBorders>
          </w:tcPr>
          <w:p>
            <w:pPr>
              <w:pStyle w:val="yTable"/>
              <w:spacing w:after="40"/>
              <w:ind w:left="198"/>
              <w:rPr>
                <w:spacing w:val="-4"/>
                <w:sz w:val="20"/>
              </w:rPr>
            </w:pPr>
            <w:r>
              <w:rPr>
                <w:spacing w:val="-4"/>
                <w:sz w:val="20"/>
              </w:rPr>
              <w:t>water and electric power (single phase) when using the service jetty hardstand for storage or maintenance</w:t>
            </w:r>
          </w:p>
        </w:tc>
        <w:tc>
          <w:tcPr>
            <w:tcW w:w="3765" w:type="dxa"/>
            <w:tcBorders>
              <w:bottom w:val="single" w:sz="4" w:space="0" w:color="auto"/>
            </w:tcBorders>
          </w:tcPr>
          <w:p>
            <w:pPr>
              <w:pStyle w:val="yTable"/>
              <w:keepNext/>
              <w:spacing w:after="40"/>
              <w:rPr>
                <w:spacing w:val="-2"/>
                <w:sz w:val="20"/>
              </w:rPr>
            </w:pPr>
            <w:r>
              <w:rPr>
                <w:spacing w:val="-2"/>
                <w:sz w:val="20"/>
              </w:rPr>
              <w:br/>
            </w:r>
            <w:r>
              <w:rPr>
                <w:spacing w:val="-2"/>
                <w:sz w:val="20"/>
              </w:rPr>
              <w:br/>
              <w:t>Charge forms a part of berthage fee</w:t>
            </w:r>
          </w:p>
        </w:tc>
      </w:tr>
    </w:tbl>
    <w:p>
      <w:pPr>
        <w:pStyle w:val="yNumberedItem"/>
      </w:pPr>
      <w:r>
        <w:t>Note:</w:t>
      </w:r>
      <w:r>
        <w:tab/>
        <w:t>No fee is payable for vessels seeking and being granted accommodation on the hardstand purely during the course of a cyclone event.</w:t>
      </w:r>
    </w:p>
    <w:p>
      <w:pPr>
        <w:pStyle w:val="yHeading4"/>
      </w:pPr>
      <w:bookmarkStart w:id="912" w:name="_Toc139101856"/>
      <w:bookmarkStart w:id="913" w:name="_Toc139102041"/>
      <w:bookmarkStart w:id="914" w:name="_Toc139443389"/>
      <w:r>
        <w:t>Subdivision 5</w:t>
      </w:r>
      <w:r>
        <w:rPr>
          <w:b w:val="0"/>
        </w:rPr>
        <w:t> — </w:t>
      </w:r>
      <w:r>
        <w:t>Bremer Bay</w:t>
      </w:r>
      <w:bookmarkEnd w:id="912"/>
      <w:bookmarkEnd w:id="913"/>
      <w:bookmarkEnd w:id="914"/>
    </w:p>
    <w:p>
      <w:pPr>
        <w:pStyle w:val="yFootnoteheading"/>
      </w:pPr>
      <w:r>
        <w:tab/>
        <w:t>[Heading inserted in Gazette 24 Jun 2005 p. 2833.]</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80"/>
      </w:tblGrid>
      <w:tr>
        <w:tc>
          <w:tcPr>
            <w:tcW w:w="3149" w:type="dxa"/>
          </w:tcPr>
          <w:p>
            <w:pPr>
              <w:pStyle w:val="yTable"/>
              <w:spacing w:after="120"/>
              <w:rPr>
                <w:spacing w:val="-2"/>
                <w:sz w:val="20"/>
              </w:rPr>
            </w:pPr>
            <w:r>
              <w:rPr>
                <w:b/>
                <w:spacing w:val="-2"/>
                <w:sz w:val="20"/>
              </w:rPr>
              <w:t>Berthage Fee</w:t>
            </w:r>
            <w:r>
              <w:rPr>
                <w:spacing w:val="-2"/>
                <w:sz w:val="20"/>
              </w:rPr>
              <w:t xml:space="preserve"> (per day or part of a day) To be paid by users of service jetty</w:t>
            </w:r>
          </w:p>
        </w:tc>
        <w:tc>
          <w:tcPr>
            <w:tcW w:w="3780" w:type="dxa"/>
          </w:tcPr>
          <w:p>
            <w:pPr>
              <w:pStyle w:val="yTable"/>
              <w:spacing w:after="120"/>
              <w:rPr>
                <w:spacing w:val="-2"/>
                <w:sz w:val="20"/>
              </w:rPr>
            </w:pPr>
            <w:r>
              <w:rPr>
                <w:spacing w:val="-2"/>
                <w:sz w:val="20"/>
              </w:rPr>
              <w:br/>
            </w:r>
            <w:r>
              <w:rPr>
                <w:spacing w:val="-2"/>
                <w:sz w:val="20"/>
              </w:rPr>
              <w:br/>
              <w:t>$6.14/m x length of vessel</w:t>
            </w:r>
          </w:p>
        </w:tc>
      </w:tr>
      <w:tr>
        <w:tc>
          <w:tcPr>
            <w:tcW w:w="3149" w:type="dxa"/>
            <w:tcBorders>
              <w:bottom w:val="nil"/>
            </w:tcBorders>
          </w:tcPr>
          <w:p>
            <w:pPr>
              <w:pStyle w:val="yTable"/>
              <w:spacing w:after="120"/>
              <w:rPr>
                <w:b/>
                <w:spacing w:val="-2"/>
                <w:sz w:val="20"/>
              </w:rPr>
            </w:pPr>
            <w:r>
              <w:rPr>
                <w:b/>
                <w:spacing w:val="-2"/>
                <w:sz w:val="20"/>
              </w:rPr>
              <w:t>Casual Berthage Fees for Short Term Use</w:t>
            </w:r>
            <w:r>
              <w:rPr>
                <w:b/>
                <w:spacing w:val="-2"/>
                <w:sz w:val="20"/>
              </w:rPr>
              <w:br/>
            </w:r>
            <w:r>
              <w:rPr>
                <w:spacing w:val="-2"/>
                <w:sz w:val="20"/>
              </w:rPr>
              <w:t xml:space="preserve">For charter vessels or combined charter/fishing vessels that have paid mooring fees, and use the jetty for passenger transfer or maintenance — </w:t>
            </w:r>
            <w:r>
              <w:rPr>
                <w:spacing w:val="-2"/>
                <w:sz w:val="20"/>
              </w:rPr>
              <w:br/>
              <w:t>per annum</w:t>
            </w:r>
            <w:r>
              <w:rPr>
                <w:spacing w:val="-2"/>
                <w:sz w:val="20"/>
              </w:rPr>
              <w:br/>
              <w:t>per day (or part of a day)</w:t>
            </w:r>
          </w:p>
        </w:tc>
        <w:tc>
          <w:tcPr>
            <w:tcW w:w="3780" w:type="dxa"/>
            <w:tcBorders>
              <w:bottom w:val="nil"/>
            </w:tcBorders>
          </w:tcPr>
          <w:p>
            <w:pPr>
              <w:pStyle w:val="yTable"/>
              <w:keepNext/>
              <w:spacing w:after="120"/>
              <w:rPr>
                <w:spacing w:val="-2"/>
                <w:sz w:val="20"/>
              </w:rPr>
            </w:pPr>
            <w:r>
              <w:rPr>
                <w:spacing w:val="-2"/>
                <w:sz w:val="20"/>
              </w:rPr>
              <w:br/>
            </w:r>
            <w:r>
              <w:rPr>
                <w:spacing w:val="-2"/>
                <w:sz w:val="20"/>
              </w:rPr>
              <w:br/>
            </w:r>
            <w:r>
              <w:rPr>
                <w:spacing w:val="-2"/>
                <w:sz w:val="20"/>
              </w:rPr>
              <w:br/>
            </w:r>
            <w:r>
              <w:rPr>
                <w:spacing w:val="-2"/>
                <w:sz w:val="20"/>
              </w:rPr>
              <w:br/>
            </w:r>
            <w:r>
              <w:rPr>
                <w:spacing w:val="-2"/>
                <w:sz w:val="20"/>
              </w:rPr>
              <w:br/>
            </w:r>
            <w:r>
              <w:rPr>
                <w:spacing w:val="-2"/>
                <w:sz w:val="20"/>
              </w:rPr>
              <w:br/>
              <w:t>$73.70/m x length of vessel</w:t>
            </w:r>
            <w:r>
              <w:rPr>
                <w:spacing w:val="-2"/>
                <w:sz w:val="20"/>
              </w:rPr>
              <w:br/>
              <w:t>$3.08/m x length of vessel</w:t>
            </w:r>
          </w:p>
        </w:tc>
      </w:tr>
      <w:tr>
        <w:tc>
          <w:tcPr>
            <w:tcW w:w="3149" w:type="dxa"/>
            <w:tcBorders>
              <w:bottom w:val="nil"/>
            </w:tcBorders>
          </w:tcPr>
          <w:p>
            <w:pPr>
              <w:pStyle w:val="yTable"/>
              <w:spacing w:after="40"/>
              <w:rPr>
                <w:b/>
                <w:spacing w:val="-2"/>
                <w:sz w:val="20"/>
              </w:rPr>
            </w:pPr>
            <w:r>
              <w:rPr>
                <w:b/>
                <w:spacing w:val="-2"/>
                <w:sz w:val="20"/>
              </w:rPr>
              <w:t>Electric Power Charge</w:t>
            </w:r>
          </w:p>
          <w:p>
            <w:pPr>
              <w:pStyle w:val="yTable"/>
              <w:spacing w:after="40"/>
              <w:ind w:left="230"/>
              <w:rPr>
                <w:spacing w:val="-2"/>
                <w:sz w:val="20"/>
              </w:rPr>
            </w:pPr>
            <w:r>
              <w:rPr>
                <w:spacing w:val="-2"/>
                <w:sz w:val="20"/>
              </w:rPr>
              <w:t>3</w:t>
            </w:r>
            <w:r>
              <w:rPr>
                <w:spacing w:val="-2"/>
                <w:sz w:val="20"/>
              </w:rPr>
              <w:noBreakHyphen/>
              <w:t>phase</w:t>
            </w:r>
          </w:p>
          <w:p>
            <w:pPr>
              <w:pStyle w:val="yTable"/>
              <w:spacing w:after="40"/>
              <w:ind w:left="230"/>
              <w:rPr>
                <w:b/>
                <w:spacing w:val="-2"/>
                <w:sz w:val="20"/>
              </w:rPr>
            </w:pPr>
            <w:r>
              <w:rPr>
                <w:spacing w:val="-2"/>
                <w:sz w:val="20"/>
              </w:rPr>
              <w:t>Single phase (for vessels not paying wharfage or berthage fee)</w:t>
            </w:r>
          </w:p>
        </w:tc>
        <w:tc>
          <w:tcPr>
            <w:tcW w:w="3780" w:type="dxa"/>
            <w:tcBorders>
              <w:bottom w:val="nil"/>
            </w:tcBorders>
          </w:tcPr>
          <w:p>
            <w:pPr>
              <w:pStyle w:val="yTable"/>
              <w:spacing w:after="40"/>
              <w:rPr>
                <w:spacing w:val="-2"/>
                <w:sz w:val="20"/>
              </w:rPr>
            </w:pPr>
          </w:p>
          <w:p>
            <w:pPr>
              <w:pStyle w:val="yTable"/>
              <w:spacing w:after="40"/>
              <w:rPr>
                <w:spacing w:val="-2"/>
                <w:sz w:val="20"/>
              </w:rPr>
            </w:pPr>
            <w:r>
              <w:rPr>
                <w:spacing w:val="-2"/>
                <w:sz w:val="20"/>
              </w:rPr>
              <w:t>$24.56 per 12 hour period</w:t>
            </w:r>
          </w:p>
          <w:p>
            <w:pPr>
              <w:pStyle w:val="yTable"/>
              <w:spacing w:after="40"/>
              <w:rPr>
                <w:spacing w:val="-2"/>
                <w:sz w:val="20"/>
              </w:rPr>
            </w:pPr>
            <w:r>
              <w:rPr>
                <w:spacing w:val="-2"/>
                <w:sz w:val="20"/>
              </w:rPr>
              <w:br/>
              <w:t xml:space="preserve">$6.14 per day </w:t>
            </w:r>
          </w:p>
        </w:tc>
      </w:tr>
      <w:tr>
        <w:tc>
          <w:tcPr>
            <w:tcW w:w="3149" w:type="dxa"/>
            <w:tcBorders>
              <w:bottom w:val="single" w:sz="4" w:space="0" w:color="auto"/>
            </w:tcBorders>
          </w:tcPr>
          <w:p>
            <w:pPr>
              <w:pStyle w:val="yTable"/>
              <w:spacing w:after="120"/>
              <w:rPr>
                <w:b/>
                <w:spacing w:val="-2"/>
                <w:sz w:val="20"/>
                <w:lang w:val="en-US"/>
              </w:rPr>
            </w:pPr>
            <w:r>
              <w:rPr>
                <w:b/>
                <w:spacing w:val="-2"/>
                <w:sz w:val="20"/>
              </w:rPr>
              <w:t xml:space="preserve">Water Charge </w:t>
            </w:r>
            <w:r>
              <w:rPr>
                <w:spacing w:val="-2"/>
                <w:sz w:val="20"/>
              </w:rPr>
              <w:t>(for vessels not paying wharfage or berthage fee)</w:t>
            </w:r>
          </w:p>
        </w:tc>
        <w:tc>
          <w:tcPr>
            <w:tcW w:w="3780" w:type="dxa"/>
            <w:tcBorders>
              <w:bottom w:val="single" w:sz="4" w:space="0" w:color="auto"/>
            </w:tcBorders>
          </w:tcPr>
          <w:p>
            <w:pPr>
              <w:pStyle w:val="yTable"/>
              <w:spacing w:after="120"/>
              <w:rPr>
                <w:spacing w:val="-2"/>
                <w:sz w:val="20"/>
              </w:rPr>
            </w:pPr>
            <w:r>
              <w:rPr>
                <w:spacing w:val="-2"/>
                <w:sz w:val="20"/>
              </w:rPr>
              <w:t>$6.14 per day but, if any large drawing of water occurs and the value of the water exceeds $6.14, the water to be charged at cost</w:t>
            </w:r>
          </w:p>
        </w:tc>
      </w:tr>
    </w:tbl>
    <w:p>
      <w:pPr>
        <w:pStyle w:val="yNumberedItem"/>
      </w:pPr>
      <w:r>
        <w:t xml:space="preserve">Note: </w:t>
      </w:r>
      <w:r>
        <w:tab/>
        <w:t>The Berthage Fee is only payable by the users of the service jetty who are not paying wharfage on loaded or unloaded fishing products (see Schedule 1 Division 2).</w:t>
      </w:r>
    </w:p>
    <w:p>
      <w:pPr>
        <w:pStyle w:val="yHeading4"/>
      </w:pPr>
      <w:bookmarkStart w:id="915" w:name="_Toc139101857"/>
      <w:bookmarkStart w:id="916" w:name="_Toc139102042"/>
      <w:bookmarkStart w:id="917" w:name="_Toc139443390"/>
      <w:r>
        <w:t>Subdivision 6</w:t>
      </w:r>
      <w:r>
        <w:rPr>
          <w:b w:val="0"/>
        </w:rPr>
        <w:t> — </w:t>
      </w:r>
      <w:r>
        <w:t>Carnarvon Boat Harbour</w:t>
      </w:r>
      <w:bookmarkEnd w:id="915"/>
      <w:bookmarkEnd w:id="916"/>
      <w:bookmarkEnd w:id="917"/>
    </w:p>
    <w:p>
      <w:pPr>
        <w:pStyle w:val="yFootnoteheading"/>
      </w:pPr>
      <w:r>
        <w:tab/>
        <w:t>[Heading inserted in Gazette 24 Jun 2005 p. 2834.]</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15"/>
        <w:gridCol w:w="1134"/>
        <w:gridCol w:w="1134"/>
        <w:gridCol w:w="2693"/>
      </w:tblGrid>
      <w:tr>
        <w:trPr>
          <w:cantSplit/>
        </w:trPr>
        <w:tc>
          <w:tcPr>
            <w:tcW w:w="6976" w:type="dxa"/>
            <w:gridSpan w:val="4"/>
            <w:tcBorders>
              <w:bottom w:val="nil"/>
            </w:tcBorders>
          </w:tcPr>
          <w:p>
            <w:pPr>
              <w:pStyle w:val="yTable"/>
              <w:keepNext/>
              <w:spacing w:after="20"/>
              <w:rPr>
                <w:spacing w:val="-2"/>
                <w:sz w:val="20"/>
              </w:rPr>
            </w:pPr>
            <w:r>
              <w:rPr>
                <w:b/>
                <w:sz w:val="20"/>
              </w:rPr>
              <w:t>General mooring pens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00"/>
        </w:trPr>
        <w:tc>
          <w:tcPr>
            <w:tcW w:w="2015" w:type="dxa"/>
            <w:tcBorders>
              <w:bottom w:val="single" w:sz="4" w:space="0" w:color="auto"/>
            </w:tcBorders>
          </w:tcPr>
          <w:p>
            <w:pPr>
              <w:pStyle w:val="yTable"/>
              <w:spacing w:after="20"/>
              <w:rPr>
                <w:b/>
                <w:spacing w:val="-2"/>
                <w:sz w:val="20"/>
              </w:rPr>
            </w:pPr>
          </w:p>
        </w:tc>
        <w:tc>
          <w:tcPr>
            <w:tcW w:w="2268" w:type="dxa"/>
            <w:gridSpan w:val="2"/>
            <w:tcBorders>
              <w:bottom w:val="single" w:sz="4" w:space="0" w:color="auto"/>
            </w:tcBorders>
          </w:tcPr>
          <w:p>
            <w:pPr>
              <w:pStyle w:val="yTable"/>
              <w:spacing w:after="20"/>
              <w:rPr>
                <w:spacing w:val="-2"/>
                <w:sz w:val="20"/>
              </w:rPr>
            </w:pPr>
            <w:r>
              <w:rPr>
                <w:spacing w:val="-2"/>
                <w:sz w:val="20"/>
              </w:rPr>
              <w:t>12 m pen</w:t>
            </w:r>
          </w:p>
        </w:tc>
        <w:tc>
          <w:tcPr>
            <w:tcW w:w="2693" w:type="dxa"/>
            <w:tcBorders>
              <w:bottom w:val="single" w:sz="4" w:space="0" w:color="auto"/>
            </w:tcBorders>
          </w:tcPr>
          <w:p>
            <w:pPr>
              <w:pStyle w:val="yTable"/>
              <w:spacing w:after="20"/>
              <w:rPr>
                <w:spacing w:val="-2"/>
                <w:sz w:val="20"/>
              </w:rPr>
            </w:pPr>
            <w:r>
              <w:rPr>
                <w:spacing w:val="-2"/>
                <w:sz w:val="20"/>
              </w:rPr>
              <w:t>at least 9.6 m</w:t>
            </w:r>
          </w:p>
        </w:tc>
      </w:tr>
      <w:tr>
        <w:tblPrEx>
          <w:tblBorders>
            <w:bottom w:val="double" w:sz="4" w:space="0" w:color="auto"/>
          </w:tblBorders>
        </w:tblPrEx>
        <w:trPr>
          <w:cantSplit/>
          <w:trHeight w:val="300"/>
        </w:trPr>
        <w:tc>
          <w:tcPr>
            <w:tcW w:w="2015" w:type="dxa"/>
            <w:tcBorders>
              <w:top w:val="single" w:sz="4" w:space="0" w:color="auto"/>
              <w:bottom w:val="single" w:sz="4" w:space="0" w:color="auto"/>
            </w:tcBorders>
          </w:tcPr>
          <w:p>
            <w:pPr>
              <w:pStyle w:val="yTable"/>
              <w:spacing w:after="20"/>
              <w:rPr>
                <w:b/>
                <w:spacing w:val="-2"/>
                <w:sz w:val="20"/>
              </w:rPr>
            </w:pPr>
          </w:p>
        </w:tc>
        <w:tc>
          <w:tcPr>
            <w:tcW w:w="2268" w:type="dxa"/>
            <w:gridSpan w:val="2"/>
            <w:tcBorders>
              <w:bottom w:val="single" w:sz="4" w:space="0" w:color="auto"/>
            </w:tcBorders>
          </w:tcPr>
          <w:p>
            <w:pPr>
              <w:pStyle w:val="yTable"/>
              <w:spacing w:after="20"/>
              <w:rPr>
                <w:spacing w:val="-2"/>
                <w:sz w:val="20"/>
              </w:rPr>
            </w:pPr>
            <w:r>
              <w:rPr>
                <w:spacing w:val="-2"/>
                <w:sz w:val="20"/>
              </w:rPr>
              <w:t>15 m pen</w:t>
            </w:r>
          </w:p>
        </w:tc>
        <w:tc>
          <w:tcPr>
            <w:tcW w:w="2693" w:type="dxa"/>
            <w:tcBorders>
              <w:bottom w:val="single" w:sz="4" w:space="0" w:color="auto"/>
            </w:tcBorders>
          </w:tcPr>
          <w:p>
            <w:pPr>
              <w:pStyle w:val="yTable"/>
              <w:spacing w:after="20"/>
              <w:rPr>
                <w:spacing w:val="-2"/>
                <w:sz w:val="20"/>
              </w:rPr>
            </w:pPr>
            <w:r>
              <w:rPr>
                <w:spacing w:val="-2"/>
                <w:sz w:val="20"/>
              </w:rPr>
              <w:t>at least 12 m</w:t>
            </w:r>
          </w:p>
        </w:tc>
      </w:tr>
      <w:tr>
        <w:tblPrEx>
          <w:tblBorders>
            <w:bottom w:val="double" w:sz="4" w:space="0" w:color="auto"/>
          </w:tblBorders>
        </w:tblPrEx>
        <w:trPr>
          <w:cantSplit/>
          <w:trHeight w:val="285"/>
        </w:trPr>
        <w:tc>
          <w:tcPr>
            <w:tcW w:w="2015" w:type="dxa"/>
            <w:tcBorders>
              <w:top w:val="nil"/>
              <w:bottom w:val="single" w:sz="4" w:space="0" w:color="auto"/>
            </w:tcBorders>
          </w:tcPr>
          <w:p>
            <w:pPr>
              <w:pStyle w:val="yTable"/>
              <w:spacing w:after="20"/>
              <w:rPr>
                <w:b/>
                <w:spacing w:val="-2"/>
                <w:sz w:val="20"/>
              </w:rPr>
            </w:pPr>
          </w:p>
        </w:tc>
        <w:tc>
          <w:tcPr>
            <w:tcW w:w="2268" w:type="dxa"/>
            <w:gridSpan w:val="2"/>
            <w:tcBorders>
              <w:bottom w:val="single" w:sz="4" w:space="0" w:color="auto"/>
            </w:tcBorders>
          </w:tcPr>
          <w:p>
            <w:pPr>
              <w:pStyle w:val="yTable"/>
              <w:spacing w:after="20"/>
              <w:rPr>
                <w:spacing w:val="-2"/>
                <w:sz w:val="20"/>
              </w:rPr>
            </w:pPr>
            <w:r>
              <w:rPr>
                <w:spacing w:val="-2"/>
                <w:sz w:val="20"/>
              </w:rPr>
              <w:t>20 m pen</w:t>
            </w:r>
          </w:p>
        </w:tc>
        <w:tc>
          <w:tcPr>
            <w:tcW w:w="2693" w:type="dxa"/>
            <w:tcBorders>
              <w:bottom w:val="single" w:sz="4" w:space="0" w:color="auto"/>
            </w:tcBorders>
          </w:tcPr>
          <w:p>
            <w:pPr>
              <w:pStyle w:val="yTable"/>
              <w:spacing w:after="20"/>
              <w:rPr>
                <w:spacing w:val="-2"/>
                <w:sz w:val="20"/>
              </w:rPr>
            </w:pPr>
            <w:r>
              <w:rPr>
                <w:spacing w:val="-2"/>
                <w:sz w:val="20"/>
              </w:rPr>
              <w:t>at least 16 m</w:t>
            </w:r>
          </w:p>
        </w:tc>
      </w:tr>
      <w:tr>
        <w:trPr>
          <w:cantSplit/>
        </w:trPr>
        <w:tc>
          <w:tcPr>
            <w:tcW w:w="3149" w:type="dxa"/>
            <w:gridSpan w:val="2"/>
          </w:tcPr>
          <w:p>
            <w:pPr>
              <w:pStyle w:val="yTable"/>
              <w:spacing w:after="20"/>
              <w:rPr>
                <w:spacing w:val="-2"/>
                <w:sz w:val="20"/>
              </w:rPr>
            </w:pPr>
            <w:r>
              <w:rPr>
                <w:b/>
                <w:spacing w:val="-2"/>
                <w:sz w:val="20"/>
              </w:rPr>
              <w:t>Annual Fee</w:t>
            </w:r>
          </w:p>
        </w:tc>
        <w:tc>
          <w:tcPr>
            <w:tcW w:w="3827" w:type="dxa"/>
            <w:gridSpan w:val="2"/>
          </w:tcPr>
          <w:p>
            <w:pPr>
              <w:pStyle w:val="yTable"/>
              <w:spacing w:after="20"/>
              <w:rPr>
                <w:spacing w:val="-2"/>
                <w:sz w:val="20"/>
              </w:rPr>
            </w:pPr>
            <w:r>
              <w:rPr>
                <w:spacing w:val="-2"/>
                <w:sz w:val="20"/>
              </w:rPr>
              <w:t xml:space="preserve">$197.94/m x length of vessel </w:t>
            </w:r>
          </w:p>
        </w:tc>
      </w:tr>
      <w:tr>
        <w:trPr>
          <w:cantSplit/>
        </w:trPr>
        <w:tc>
          <w:tcPr>
            <w:tcW w:w="3149" w:type="dxa"/>
            <w:gridSpan w:val="2"/>
          </w:tcPr>
          <w:p>
            <w:pPr>
              <w:pStyle w:val="yTable"/>
              <w:spacing w:after="20"/>
              <w:rPr>
                <w:spacing w:val="-2"/>
                <w:sz w:val="20"/>
              </w:rPr>
            </w:pPr>
            <w:r>
              <w:rPr>
                <w:b/>
                <w:spacing w:val="-2"/>
                <w:sz w:val="20"/>
              </w:rPr>
              <w:t>Part Year Fee – 3 months or more, paid in advance</w:t>
            </w:r>
          </w:p>
        </w:tc>
        <w:tc>
          <w:tcPr>
            <w:tcW w:w="3827" w:type="dxa"/>
            <w:gridSpan w:val="2"/>
          </w:tcPr>
          <w:p>
            <w:pPr>
              <w:pStyle w:val="yTable"/>
              <w:spacing w:after="20"/>
              <w:rPr>
                <w:spacing w:val="-2"/>
                <w:sz w:val="20"/>
              </w:rPr>
            </w:pPr>
            <w:r>
              <w:rPr>
                <w:spacing w:val="-2"/>
                <w:sz w:val="20"/>
              </w:rPr>
              <w:br/>
              <w:t>$19.79/m x length of vessel, per month</w:t>
            </w:r>
          </w:p>
        </w:tc>
      </w:tr>
      <w:tr>
        <w:trPr>
          <w:cantSplit/>
        </w:trPr>
        <w:tc>
          <w:tcPr>
            <w:tcW w:w="3149" w:type="dxa"/>
            <w:gridSpan w:val="2"/>
          </w:tcPr>
          <w:p>
            <w:pPr>
              <w:pStyle w:val="yTable"/>
              <w:spacing w:after="40"/>
              <w:rPr>
                <w:spacing w:val="-2"/>
                <w:sz w:val="20"/>
              </w:rPr>
            </w:pPr>
            <w:r>
              <w:rPr>
                <w:b/>
                <w:spacing w:val="-2"/>
                <w:sz w:val="20"/>
              </w:rPr>
              <w:t>Monthly Fee</w:t>
            </w:r>
          </w:p>
        </w:tc>
        <w:tc>
          <w:tcPr>
            <w:tcW w:w="3827" w:type="dxa"/>
            <w:gridSpan w:val="2"/>
          </w:tcPr>
          <w:p>
            <w:pPr>
              <w:pStyle w:val="yTable"/>
              <w:spacing w:after="40"/>
              <w:rPr>
                <w:spacing w:val="-2"/>
                <w:sz w:val="20"/>
              </w:rPr>
            </w:pPr>
            <w:r>
              <w:rPr>
                <w:spacing w:val="-2"/>
                <w:sz w:val="20"/>
              </w:rPr>
              <w:t>$39.59/m x length of vessel, per month</w:t>
            </w:r>
          </w:p>
        </w:tc>
      </w:tr>
      <w:tr>
        <w:trPr>
          <w:cantSplit/>
        </w:trPr>
        <w:tc>
          <w:tcPr>
            <w:tcW w:w="3149" w:type="dxa"/>
            <w:gridSpan w:val="2"/>
            <w:tcBorders>
              <w:bottom w:val="nil"/>
            </w:tcBorders>
          </w:tcPr>
          <w:p>
            <w:pPr>
              <w:pStyle w:val="yTable"/>
              <w:spacing w:after="40"/>
              <w:rPr>
                <w:spacing w:val="-2"/>
                <w:sz w:val="20"/>
              </w:rPr>
            </w:pPr>
            <w:r>
              <w:rPr>
                <w:b/>
                <w:spacing w:val="-2"/>
                <w:sz w:val="20"/>
              </w:rPr>
              <w:t>Weekly Fee</w:t>
            </w:r>
          </w:p>
        </w:tc>
        <w:tc>
          <w:tcPr>
            <w:tcW w:w="3827" w:type="dxa"/>
            <w:gridSpan w:val="2"/>
            <w:tcBorders>
              <w:bottom w:val="nil"/>
            </w:tcBorders>
          </w:tcPr>
          <w:p>
            <w:pPr>
              <w:pStyle w:val="yTable"/>
              <w:spacing w:after="40"/>
              <w:rPr>
                <w:spacing w:val="-2"/>
                <w:sz w:val="20"/>
              </w:rPr>
            </w:pPr>
            <w:r>
              <w:rPr>
                <w:spacing w:val="-2"/>
                <w:sz w:val="20"/>
              </w:rPr>
              <w:t>$18.50/m x length of vessel, per week</w:t>
            </w:r>
          </w:p>
        </w:tc>
      </w:tr>
      <w:tr>
        <w:trPr>
          <w:cantSplit/>
        </w:trPr>
        <w:tc>
          <w:tcPr>
            <w:tcW w:w="3149" w:type="dxa"/>
            <w:gridSpan w:val="2"/>
            <w:tcBorders>
              <w:bottom w:val="single" w:sz="4" w:space="0" w:color="auto"/>
            </w:tcBorders>
          </w:tcPr>
          <w:p>
            <w:pPr>
              <w:pStyle w:val="yTable"/>
              <w:spacing w:after="40"/>
              <w:rPr>
                <w:spacing w:val="-2"/>
                <w:sz w:val="20"/>
              </w:rPr>
            </w:pPr>
            <w:r>
              <w:rPr>
                <w:b/>
                <w:spacing w:val="-2"/>
                <w:sz w:val="20"/>
              </w:rPr>
              <w:t xml:space="preserve">Daily Casual Fee </w:t>
            </w:r>
            <w:r>
              <w:rPr>
                <w:spacing w:val="-2"/>
                <w:sz w:val="20"/>
              </w:rPr>
              <w:t>(all vessels)</w:t>
            </w:r>
          </w:p>
        </w:tc>
        <w:tc>
          <w:tcPr>
            <w:tcW w:w="3827" w:type="dxa"/>
            <w:gridSpan w:val="2"/>
            <w:tcBorders>
              <w:bottom w:val="single" w:sz="4" w:space="0" w:color="auto"/>
            </w:tcBorders>
          </w:tcPr>
          <w:p>
            <w:pPr>
              <w:pStyle w:val="yTable"/>
              <w:spacing w:after="40"/>
              <w:rPr>
                <w:spacing w:val="-2"/>
                <w:sz w:val="20"/>
              </w:rPr>
            </w:pPr>
            <w:r>
              <w:rPr>
                <w:spacing w:val="-2"/>
                <w:sz w:val="20"/>
              </w:rPr>
              <w:t>$3.70/m x length of vessel per day</w:t>
            </w:r>
          </w:p>
        </w:tc>
      </w:tr>
    </w:tbl>
    <w:p>
      <w:pPr>
        <w:pStyle w:val="yNumberedItem"/>
      </w:pPr>
      <w:r>
        <w:t xml:space="preserve">Note: </w:t>
      </w:r>
      <w:r>
        <w:tab/>
        <w:t>Does not include entitlement to use Land Backed Wharf, T Jetty or T Jetty pens for other than fuelling purposes for which fuel wharfage is payable.</w:t>
      </w:r>
    </w:p>
    <w:p>
      <w:pPr>
        <w:pStyle w:val="yNumberedItem"/>
      </w:pPr>
      <w:r>
        <w:t xml:space="preserve">Note: </w:t>
      </w:r>
      <w:r>
        <w:tab/>
        <w:t>Vessels requiring use of the Land Backed Wharf, T Jetty or T Jetty pens have the option of paying casual or term fees specified for use of Land Backed Wharf, T Jetty or T Jetty pens.</w:t>
      </w: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21"/>
        <w:gridCol w:w="3794"/>
      </w:tblGrid>
      <w:tr>
        <w:trPr>
          <w:cantSplit/>
        </w:trPr>
        <w:tc>
          <w:tcPr>
            <w:tcW w:w="6915" w:type="dxa"/>
            <w:gridSpan w:val="2"/>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b/>
                <w:spacing w:val="-2"/>
                <w:sz w:val="20"/>
              </w:rPr>
              <w:t xml:space="preserve">Shared use of Snapper Jetty/low level landing and attached partly serviced mooring pens </w:t>
            </w:r>
          </w:p>
        </w:tc>
      </w:tr>
      <w:tr>
        <w:tc>
          <w:tcPr>
            <w:tcW w:w="3121" w:type="dxa"/>
            <w:tcBorders>
              <w:top w:val="single" w:sz="4" w:space="0" w:color="auto"/>
            </w:tcBorders>
          </w:tcPr>
          <w:p>
            <w:pPr>
              <w:pStyle w:val="yTable"/>
              <w:tabs>
                <w:tab w:val="left" w:pos="342"/>
              </w:tabs>
              <w:spacing w:after="40"/>
              <w:ind w:left="202"/>
              <w:rPr>
                <w:spacing w:val="-2"/>
                <w:sz w:val="20"/>
              </w:rPr>
            </w:pPr>
            <w:r>
              <w:rPr>
                <w:b/>
                <w:spacing w:val="-2"/>
                <w:sz w:val="20"/>
              </w:rPr>
              <w:t>Annual Fee</w:t>
            </w:r>
          </w:p>
        </w:tc>
        <w:tc>
          <w:tcPr>
            <w:tcW w:w="3794" w:type="dxa"/>
            <w:tcBorders>
              <w:top w:val="nil"/>
            </w:tcBorders>
          </w:tcPr>
          <w:p>
            <w:pPr>
              <w:pStyle w:val="yTable"/>
              <w:spacing w:after="40"/>
              <w:rPr>
                <w:spacing w:val="-2"/>
                <w:sz w:val="20"/>
              </w:rPr>
            </w:pPr>
            <w:r>
              <w:rPr>
                <w:spacing w:val="-2"/>
                <w:sz w:val="20"/>
              </w:rPr>
              <w:t xml:space="preserve">$180.55/m x length of vessel </w:t>
            </w:r>
          </w:p>
        </w:tc>
      </w:tr>
      <w:tr>
        <w:tc>
          <w:tcPr>
            <w:tcW w:w="3121" w:type="dxa"/>
          </w:tcPr>
          <w:p>
            <w:pPr>
              <w:pStyle w:val="yTable"/>
              <w:spacing w:after="40"/>
              <w:ind w:left="202"/>
              <w:rPr>
                <w:spacing w:val="-2"/>
                <w:sz w:val="20"/>
              </w:rPr>
            </w:pPr>
            <w:r>
              <w:rPr>
                <w:b/>
                <w:spacing w:val="-2"/>
                <w:sz w:val="20"/>
              </w:rPr>
              <w:t>Part Year Fee – 3 months or more, paid in advance</w:t>
            </w:r>
          </w:p>
        </w:tc>
        <w:tc>
          <w:tcPr>
            <w:tcW w:w="3794" w:type="dxa"/>
          </w:tcPr>
          <w:p>
            <w:pPr>
              <w:pStyle w:val="yTable"/>
              <w:spacing w:after="40"/>
              <w:rPr>
                <w:spacing w:val="-2"/>
                <w:sz w:val="20"/>
              </w:rPr>
            </w:pPr>
            <w:r>
              <w:rPr>
                <w:spacing w:val="-2"/>
                <w:sz w:val="20"/>
              </w:rPr>
              <w:br/>
              <w:t>$18.05/m x length of vessel, per month</w:t>
            </w:r>
          </w:p>
        </w:tc>
      </w:tr>
      <w:tr>
        <w:tc>
          <w:tcPr>
            <w:tcW w:w="3121" w:type="dxa"/>
          </w:tcPr>
          <w:p>
            <w:pPr>
              <w:pStyle w:val="yTable"/>
              <w:spacing w:after="40"/>
              <w:ind w:left="202"/>
              <w:rPr>
                <w:spacing w:val="-2"/>
                <w:sz w:val="20"/>
              </w:rPr>
            </w:pPr>
            <w:r>
              <w:rPr>
                <w:b/>
                <w:spacing w:val="-2"/>
                <w:sz w:val="20"/>
              </w:rPr>
              <w:t>Monthly Fee</w:t>
            </w:r>
          </w:p>
        </w:tc>
        <w:tc>
          <w:tcPr>
            <w:tcW w:w="3794" w:type="dxa"/>
          </w:tcPr>
          <w:p>
            <w:pPr>
              <w:pStyle w:val="yTable"/>
              <w:spacing w:after="40"/>
              <w:rPr>
                <w:spacing w:val="-2"/>
                <w:sz w:val="20"/>
              </w:rPr>
            </w:pPr>
            <w:r>
              <w:rPr>
                <w:spacing w:val="-2"/>
                <w:sz w:val="20"/>
              </w:rPr>
              <w:t>$36.10/m x length of vessel, per month</w:t>
            </w:r>
          </w:p>
        </w:tc>
      </w:tr>
      <w:tr>
        <w:tc>
          <w:tcPr>
            <w:tcW w:w="3121" w:type="dxa"/>
            <w:tcBorders>
              <w:bottom w:val="nil"/>
            </w:tcBorders>
          </w:tcPr>
          <w:p>
            <w:pPr>
              <w:pStyle w:val="yTable"/>
              <w:spacing w:after="40"/>
              <w:ind w:left="202"/>
              <w:rPr>
                <w:spacing w:val="-2"/>
                <w:sz w:val="20"/>
              </w:rPr>
            </w:pPr>
            <w:r>
              <w:rPr>
                <w:b/>
                <w:spacing w:val="-2"/>
                <w:sz w:val="20"/>
              </w:rPr>
              <w:t>Weekly Fee</w:t>
            </w:r>
          </w:p>
        </w:tc>
        <w:tc>
          <w:tcPr>
            <w:tcW w:w="3794" w:type="dxa"/>
            <w:tcBorders>
              <w:bottom w:val="nil"/>
            </w:tcBorders>
          </w:tcPr>
          <w:p>
            <w:pPr>
              <w:pStyle w:val="yTable"/>
              <w:spacing w:after="40"/>
              <w:rPr>
                <w:spacing w:val="-2"/>
                <w:sz w:val="20"/>
              </w:rPr>
            </w:pPr>
            <w:r>
              <w:rPr>
                <w:spacing w:val="-2"/>
                <w:sz w:val="20"/>
              </w:rPr>
              <w:t>$18.50/m x length of vessel, per week</w:t>
            </w:r>
          </w:p>
        </w:tc>
      </w:tr>
      <w:tr>
        <w:tc>
          <w:tcPr>
            <w:tcW w:w="3121" w:type="dxa"/>
            <w:tcBorders>
              <w:bottom w:val="single" w:sz="4" w:space="0" w:color="auto"/>
            </w:tcBorders>
          </w:tcPr>
          <w:p>
            <w:pPr>
              <w:pStyle w:val="yTable"/>
              <w:spacing w:after="40"/>
              <w:ind w:left="202"/>
              <w:rPr>
                <w:spacing w:val="-2"/>
                <w:sz w:val="20"/>
                <w:lang w:val="en-US"/>
              </w:rPr>
            </w:pPr>
            <w:r>
              <w:rPr>
                <w:b/>
                <w:spacing w:val="-2"/>
                <w:sz w:val="20"/>
              </w:rPr>
              <w:t>Daily Casual Fee</w:t>
            </w:r>
          </w:p>
        </w:tc>
        <w:tc>
          <w:tcPr>
            <w:tcW w:w="3794" w:type="dxa"/>
            <w:tcBorders>
              <w:bottom w:val="single" w:sz="4" w:space="0" w:color="auto"/>
            </w:tcBorders>
          </w:tcPr>
          <w:p>
            <w:pPr>
              <w:pStyle w:val="yTable"/>
              <w:spacing w:after="40"/>
              <w:rPr>
                <w:spacing w:val="-2"/>
                <w:sz w:val="20"/>
              </w:rPr>
            </w:pPr>
            <w:r>
              <w:rPr>
                <w:spacing w:val="-2"/>
                <w:sz w:val="20"/>
              </w:rPr>
              <w:t>$3.70/m x length of vessel, per day</w:t>
            </w:r>
          </w:p>
        </w:tc>
      </w:tr>
      <w:tr>
        <w:trPr>
          <w:cantSplit/>
        </w:trPr>
        <w:tc>
          <w:tcPr>
            <w:tcW w:w="6915" w:type="dxa"/>
            <w:gridSpan w:val="2"/>
            <w:tcBorders>
              <w:top w:val="single" w:sz="4" w:space="0" w:color="auto"/>
              <w:bottom w:val="single" w:sz="4" w:space="0" w:color="auto"/>
            </w:tcBorders>
          </w:tcPr>
          <w:p>
            <w:pPr>
              <w:pStyle w:val="yTable"/>
              <w:spacing w:after="40"/>
              <w:rPr>
                <w:spacing w:val="-2"/>
                <w:sz w:val="20"/>
              </w:rPr>
            </w:pPr>
            <w:r>
              <w:rPr>
                <w:b/>
                <w:spacing w:val="-2"/>
                <w:sz w:val="20"/>
              </w:rPr>
              <w:t>Land Backed Wharf, T Jetty and T Jetty pens</w:t>
            </w:r>
          </w:p>
        </w:tc>
      </w:tr>
      <w:tr>
        <w:tc>
          <w:tcPr>
            <w:tcW w:w="3121" w:type="dxa"/>
            <w:tcBorders>
              <w:top w:val="single" w:sz="4" w:space="0" w:color="auto"/>
              <w:bottom w:val="nil"/>
            </w:tcBorders>
          </w:tcPr>
          <w:p>
            <w:pPr>
              <w:pStyle w:val="yTable"/>
              <w:tabs>
                <w:tab w:val="left" w:pos="342"/>
              </w:tabs>
              <w:spacing w:after="40"/>
              <w:ind w:left="202"/>
              <w:rPr>
                <w:spacing w:val="-2"/>
                <w:sz w:val="20"/>
              </w:rPr>
            </w:pPr>
            <w:r>
              <w:rPr>
                <w:b/>
                <w:spacing w:val="-2"/>
                <w:sz w:val="20"/>
              </w:rPr>
              <w:t>Annual Fee</w:t>
            </w:r>
          </w:p>
        </w:tc>
        <w:tc>
          <w:tcPr>
            <w:tcW w:w="3794" w:type="dxa"/>
            <w:tcBorders>
              <w:top w:val="single" w:sz="4" w:space="0" w:color="auto"/>
              <w:bottom w:val="nil"/>
            </w:tcBorders>
          </w:tcPr>
          <w:p>
            <w:pPr>
              <w:pStyle w:val="yTable"/>
              <w:spacing w:after="40"/>
              <w:rPr>
                <w:spacing w:val="-2"/>
                <w:sz w:val="20"/>
              </w:rPr>
            </w:pPr>
            <w:r>
              <w:rPr>
                <w:spacing w:val="-2"/>
                <w:sz w:val="20"/>
              </w:rPr>
              <w:t xml:space="preserve">$232.93/m x length of vessel </w:t>
            </w:r>
          </w:p>
        </w:tc>
      </w:tr>
      <w:tr>
        <w:tc>
          <w:tcPr>
            <w:tcW w:w="3121" w:type="dxa"/>
            <w:tcBorders>
              <w:bottom w:val="single" w:sz="4" w:space="0" w:color="auto"/>
            </w:tcBorders>
          </w:tcPr>
          <w:p>
            <w:pPr>
              <w:pStyle w:val="yTable"/>
              <w:spacing w:after="40"/>
              <w:ind w:left="202"/>
              <w:rPr>
                <w:spacing w:val="-2"/>
                <w:sz w:val="20"/>
              </w:rPr>
            </w:pPr>
            <w:r>
              <w:rPr>
                <w:b/>
                <w:spacing w:val="-2"/>
                <w:sz w:val="20"/>
              </w:rPr>
              <w:t>Part Year Fee – 3 months or more, paid in advance</w:t>
            </w:r>
          </w:p>
        </w:tc>
        <w:tc>
          <w:tcPr>
            <w:tcW w:w="3794" w:type="dxa"/>
            <w:tcBorders>
              <w:bottom w:val="single" w:sz="4" w:space="0" w:color="auto"/>
            </w:tcBorders>
          </w:tcPr>
          <w:p>
            <w:pPr>
              <w:pStyle w:val="yTable"/>
              <w:spacing w:after="40"/>
              <w:rPr>
                <w:spacing w:val="-2"/>
                <w:sz w:val="20"/>
              </w:rPr>
            </w:pPr>
            <w:r>
              <w:rPr>
                <w:spacing w:val="-2"/>
                <w:sz w:val="20"/>
              </w:rPr>
              <w:br/>
              <w:t>$23.29/m x length of vessel, per month</w:t>
            </w:r>
          </w:p>
        </w:tc>
      </w:tr>
      <w:tr>
        <w:tc>
          <w:tcPr>
            <w:tcW w:w="3121" w:type="dxa"/>
            <w:tcBorders>
              <w:bottom w:val="single" w:sz="4" w:space="0" w:color="auto"/>
            </w:tcBorders>
          </w:tcPr>
          <w:p>
            <w:pPr>
              <w:pStyle w:val="yTable"/>
              <w:spacing w:after="40"/>
              <w:ind w:left="202"/>
              <w:rPr>
                <w:spacing w:val="-2"/>
                <w:sz w:val="20"/>
              </w:rPr>
            </w:pPr>
            <w:r>
              <w:rPr>
                <w:b/>
                <w:spacing w:val="-2"/>
                <w:sz w:val="20"/>
              </w:rPr>
              <w:t>Monthly Fee</w:t>
            </w:r>
          </w:p>
        </w:tc>
        <w:tc>
          <w:tcPr>
            <w:tcW w:w="3794" w:type="dxa"/>
            <w:tcBorders>
              <w:bottom w:val="single" w:sz="4" w:space="0" w:color="auto"/>
            </w:tcBorders>
          </w:tcPr>
          <w:p>
            <w:pPr>
              <w:pStyle w:val="yTable"/>
              <w:spacing w:after="40"/>
              <w:rPr>
                <w:spacing w:val="-2"/>
                <w:sz w:val="20"/>
              </w:rPr>
            </w:pPr>
            <w:r>
              <w:rPr>
                <w:spacing w:val="-2"/>
                <w:sz w:val="20"/>
              </w:rPr>
              <w:t>$46.59/m x length of vessel, per month</w:t>
            </w:r>
          </w:p>
        </w:tc>
      </w:tr>
      <w:tr>
        <w:tc>
          <w:tcPr>
            <w:tcW w:w="3121" w:type="dxa"/>
            <w:tcBorders>
              <w:bottom w:val="single" w:sz="4" w:space="0" w:color="auto"/>
            </w:tcBorders>
          </w:tcPr>
          <w:p>
            <w:pPr>
              <w:pStyle w:val="yTable"/>
              <w:spacing w:after="40"/>
              <w:ind w:left="202"/>
              <w:rPr>
                <w:spacing w:val="-2"/>
                <w:sz w:val="20"/>
              </w:rPr>
            </w:pPr>
            <w:r>
              <w:rPr>
                <w:b/>
                <w:spacing w:val="-2"/>
                <w:sz w:val="20"/>
              </w:rPr>
              <w:t>Weekly Fee</w:t>
            </w:r>
          </w:p>
        </w:tc>
        <w:tc>
          <w:tcPr>
            <w:tcW w:w="3794" w:type="dxa"/>
            <w:tcBorders>
              <w:bottom w:val="single" w:sz="4" w:space="0" w:color="auto"/>
            </w:tcBorders>
          </w:tcPr>
          <w:p>
            <w:pPr>
              <w:pStyle w:val="yTable"/>
              <w:spacing w:after="40"/>
              <w:rPr>
                <w:spacing w:val="-2"/>
                <w:sz w:val="20"/>
              </w:rPr>
            </w:pPr>
            <w:r>
              <w:rPr>
                <w:spacing w:val="-2"/>
                <w:sz w:val="20"/>
              </w:rPr>
              <w:t>$34.95/m x length of vessel, per week</w:t>
            </w:r>
          </w:p>
        </w:tc>
      </w:tr>
      <w:tr>
        <w:tc>
          <w:tcPr>
            <w:tcW w:w="3121" w:type="dxa"/>
          </w:tcPr>
          <w:p>
            <w:pPr>
              <w:pStyle w:val="yTable"/>
              <w:spacing w:after="40"/>
              <w:ind w:left="202"/>
              <w:rPr>
                <w:spacing w:val="-2"/>
                <w:sz w:val="20"/>
                <w:lang w:val="en-US"/>
              </w:rPr>
            </w:pPr>
            <w:r>
              <w:rPr>
                <w:b/>
                <w:spacing w:val="-2"/>
                <w:sz w:val="20"/>
              </w:rPr>
              <w:t>Daily Casual Fee</w:t>
            </w:r>
          </w:p>
        </w:tc>
        <w:tc>
          <w:tcPr>
            <w:tcW w:w="3794" w:type="dxa"/>
          </w:tcPr>
          <w:p>
            <w:pPr>
              <w:pStyle w:val="yTable"/>
              <w:spacing w:after="40"/>
              <w:rPr>
                <w:spacing w:val="-2"/>
                <w:sz w:val="20"/>
              </w:rPr>
            </w:pPr>
            <w:r>
              <w:rPr>
                <w:spacing w:val="-2"/>
                <w:sz w:val="20"/>
              </w:rPr>
              <w:t>$6.99/m x length of vessel, per day</w:t>
            </w:r>
          </w:p>
        </w:tc>
      </w:tr>
      <w:tr>
        <w:tc>
          <w:tcPr>
            <w:tcW w:w="3121" w:type="dxa"/>
          </w:tcPr>
          <w:p>
            <w:pPr>
              <w:pStyle w:val="yTable"/>
              <w:spacing w:after="40"/>
              <w:ind w:left="202"/>
              <w:rPr>
                <w:b/>
                <w:spacing w:val="-2"/>
                <w:sz w:val="20"/>
              </w:rPr>
            </w:pPr>
            <w:r>
              <w:rPr>
                <w:b/>
                <w:spacing w:val="-2"/>
                <w:sz w:val="20"/>
              </w:rPr>
              <w:t>Electric Power Charge (3</w:t>
            </w:r>
            <w:r>
              <w:rPr>
                <w:b/>
                <w:spacing w:val="-2"/>
                <w:sz w:val="20"/>
              </w:rPr>
              <w:noBreakHyphen/>
              <w:t>phase)</w:t>
            </w:r>
          </w:p>
        </w:tc>
        <w:tc>
          <w:tcPr>
            <w:tcW w:w="3794" w:type="dxa"/>
          </w:tcPr>
          <w:p>
            <w:pPr>
              <w:pStyle w:val="yTable"/>
              <w:spacing w:after="40"/>
              <w:rPr>
                <w:spacing w:val="-2"/>
                <w:sz w:val="20"/>
              </w:rPr>
            </w:pPr>
            <w:r>
              <w:rPr>
                <w:spacing w:val="-2"/>
                <w:sz w:val="20"/>
              </w:rPr>
              <w:t>$24.59 per day or part of a day</w:t>
            </w:r>
          </w:p>
        </w:tc>
      </w:tr>
      <w:tr>
        <w:tc>
          <w:tcPr>
            <w:tcW w:w="3121" w:type="dxa"/>
            <w:tcBorders>
              <w:bottom w:val="single" w:sz="4" w:space="0" w:color="auto"/>
            </w:tcBorders>
          </w:tcPr>
          <w:p>
            <w:pPr>
              <w:pStyle w:val="yTable"/>
              <w:spacing w:after="40"/>
              <w:ind w:left="202"/>
              <w:rPr>
                <w:b/>
                <w:spacing w:val="-2"/>
                <w:sz w:val="20"/>
              </w:rPr>
            </w:pPr>
            <w:r>
              <w:rPr>
                <w:b/>
                <w:spacing w:val="-2"/>
                <w:sz w:val="20"/>
              </w:rPr>
              <w:t>‘Live on Board’ Fee</w:t>
            </w:r>
          </w:p>
        </w:tc>
        <w:tc>
          <w:tcPr>
            <w:tcW w:w="3794" w:type="dxa"/>
            <w:tcBorders>
              <w:bottom w:val="single" w:sz="4" w:space="0" w:color="auto"/>
            </w:tcBorders>
          </w:tcPr>
          <w:p>
            <w:pPr>
              <w:pStyle w:val="yTable"/>
              <w:spacing w:after="40"/>
              <w:rPr>
                <w:spacing w:val="-2"/>
                <w:sz w:val="20"/>
              </w:rPr>
            </w:pPr>
            <w:r>
              <w:rPr>
                <w:sz w:val="20"/>
              </w:rPr>
              <w:t>$33.50/month per vessel</w:t>
            </w:r>
          </w:p>
        </w:tc>
      </w:tr>
    </w:tbl>
    <w:p>
      <w:pPr>
        <w:pStyle w:val="yHeading4"/>
      </w:pPr>
      <w:bookmarkStart w:id="918" w:name="_Toc139101858"/>
      <w:bookmarkStart w:id="919" w:name="_Toc139102043"/>
      <w:bookmarkStart w:id="920" w:name="_Toc139443391"/>
      <w:r>
        <w:t>Subdivision 7</w:t>
      </w:r>
      <w:r>
        <w:rPr>
          <w:b w:val="0"/>
        </w:rPr>
        <w:t> — </w:t>
      </w:r>
      <w:r>
        <w:t>Casuarina Boat Harbour</w:t>
      </w:r>
      <w:bookmarkEnd w:id="918"/>
      <w:bookmarkEnd w:id="919"/>
      <w:bookmarkEnd w:id="920"/>
    </w:p>
    <w:p>
      <w:pPr>
        <w:pStyle w:val="yFootnoteheading"/>
      </w:pPr>
      <w:r>
        <w:tab/>
        <w:t>[Heading inserted in Gazette 24 Jun 2005 p. 2835.]</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15"/>
        <w:gridCol w:w="1134"/>
        <w:gridCol w:w="1134"/>
        <w:gridCol w:w="2646"/>
      </w:tblGrid>
      <w:tr>
        <w:trPr>
          <w:cantSplit/>
        </w:trPr>
        <w:tc>
          <w:tcPr>
            <w:tcW w:w="6929" w:type="dxa"/>
            <w:gridSpan w:val="4"/>
          </w:tcPr>
          <w:p>
            <w:pPr>
              <w:pStyle w:val="yTable"/>
              <w:keepNext/>
              <w:spacing w:after="20"/>
              <w:rPr>
                <w:spacing w:val="-2"/>
                <w:sz w:val="20"/>
              </w:rPr>
            </w:pPr>
            <w:r>
              <w:rPr>
                <w:b/>
                <w:sz w:val="20"/>
              </w:rPr>
              <w:t>General</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75"/>
        </w:trPr>
        <w:tc>
          <w:tcPr>
            <w:tcW w:w="2015" w:type="dxa"/>
            <w:vMerge w:val="restart"/>
          </w:tcPr>
          <w:p>
            <w:pPr>
              <w:pStyle w:val="yTable"/>
              <w:keepNext/>
              <w:spacing w:after="20"/>
              <w:rPr>
                <w:i/>
                <w:spacing w:val="-2"/>
                <w:sz w:val="20"/>
              </w:rPr>
            </w:pPr>
            <w:r>
              <w:rPr>
                <w:i/>
                <w:spacing w:val="-2"/>
                <w:sz w:val="20"/>
              </w:rPr>
              <w:t>Minimum chargeable length when calculating fee for pens of a particular size</w:t>
            </w:r>
          </w:p>
        </w:tc>
        <w:tc>
          <w:tcPr>
            <w:tcW w:w="2268" w:type="dxa"/>
            <w:gridSpan w:val="2"/>
          </w:tcPr>
          <w:p>
            <w:pPr>
              <w:pStyle w:val="yTable"/>
              <w:keepNext/>
              <w:spacing w:after="20"/>
              <w:rPr>
                <w:spacing w:val="-2"/>
                <w:sz w:val="20"/>
              </w:rPr>
            </w:pPr>
            <w:r>
              <w:rPr>
                <w:spacing w:val="-2"/>
                <w:sz w:val="20"/>
              </w:rPr>
              <w:t>10 m pen</w:t>
            </w:r>
          </w:p>
        </w:tc>
        <w:tc>
          <w:tcPr>
            <w:tcW w:w="2646" w:type="dxa"/>
          </w:tcPr>
          <w:p>
            <w:pPr>
              <w:pStyle w:val="yTable"/>
              <w:keepNext/>
              <w:spacing w:after="20"/>
              <w:rPr>
                <w:spacing w:val="-2"/>
                <w:sz w:val="20"/>
              </w:rPr>
            </w:pPr>
            <w:r>
              <w:rPr>
                <w:spacing w:val="-2"/>
                <w:sz w:val="20"/>
              </w:rPr>
              <w:t>at least 8 m</w:t>
            </w:r>
          </w:p>
        </w:tc>
      </w:tr>
      <w:tr>
        <w:tblPrEx>
          <w:tblBorders>
            <w:bottom w:val="double" w:sz="4" w:space="0" w:color="auto"/>
          </w:tblBorders>
        </w:tblPrEx>
        <w:trPr>
          <w:cantSplit/>
          <w:trHeight w:val="300"/>
        </w:trPr>
        <w:tc>
          <w:tcPr>
            <w:tcW w:w="2015" w:type="dxa"/>
            <w:vMerge/>
          </w:tcPr>
          <w:p>
            <w:pPr>
              <w:pStyle w:val="yTable"/>
              <w:keepNext/>
              <w:keepLines/>
              <w:spacing w:after="20"/>
              <w:rPr>
                <w:b/>
                <w:spacing w:val="-2"/>
                <w:sz w:val="20"/>
              </w:rPr>
            </w:pPr>
          </w:p>
        </w:tc>
        <w:tc>
          <w:tcPr>
            <w:tcW w:w="2268" w:type="dxa"/>
            <w:gridSpan w:val="2"/>
          </w:tcPr>
          <w:p>
            <w:pPr>
              <w:pStyle w:val="yTable"/>
              <w:spacing w:after="20"/>
              <w:rPr>
                <w:spacing w:val="-2"/>
                <w:sz w:val="20"/>
              </w:rPr>
            </w:pPr>
            <w:r>
              <w:rPr>
                <w:spacing w:val="-2"/>
                <w:sz w:val="20"/>
              </w:rPr>
              <w:t>12 m pen</w:t>
            </w:r>
          </w:p>
        </w:tc>
        <w:tc>
          <w:tcPr>
            <w:tcW w:w="2646" w:type="dxa"/>
          </w:tcPr>
          <w:p>
            <w:pPr>
              <w:pStyle w:val="yTable"/>
              <w:spacing w:after="20"/>
              <w:rPr>
                <w:spacing w:val="-2"/>
                <w:sz w:val="20"/>
              </w:rPr>
            </w:pPr>
            <w:r>
              <w:rPr>
                <w:spacing w:val="-2"/>
                <w:sz w:val="20"/>
              </w:rPr>
              <w:t>at least 9.6 m</w:t>
            </w:r>
          </w:p>
        </w:tc>
      </w:tr>
      <w:tr>
        <w:tblPrEx>
          <w:tblBorders>
            <w:bottom w:val="double" w:sz="4" w:space="0" w:color="auto"/>
          </w:tblBorders>
        </w:tblPrEx>
        <w:trPr>
          <w:cantSplit/>
          <w:trHeight w:val="285"/>
        </w:trPr>
        <w:tc>
          <w:tcPr>
            <w:tcW w:w="2015" w:type="dxa"/>
            <w:vMerge/>
          </w:tcPr>
          <w:p>
            <w:pPr>
              <w:pStyle w:val="yTable"/>
              <w:keepNext/>
              <w:keepLines/>
              <w:spacing w:after="20"/>
              <w:rPr>
                <w:b/>
                <w:spacing w:val="-2"/>
                <w:sz w:val="20"/>
              </w:rPr>
            </w:pPr>
          </w:p>
        </w:tc>
        <w:tc>
          <w:tcPr>
            <w:tcW w:w="2268" w:type="dxa"/>
            <w:gridSpan w:val="2"/>
          </w:tcPr>
          <w:p>
            <w:pPr>
              <w:pStyle w:val="yTable"/>
              <w:spacing w:after="20"/>
              <w:rPr>
                <w:spacing w:val="-2"/>
                <w:sz w:val="20"/>
              </w:rPr>
            </w:pPr>
            <w:r>
              <w:rPr>
                <w:spacing w:val="-2"/>
                <w:sz w:val="20"/>
              </w:rPr>
              <w:t>15 m pen</w:t>
            </w:r>
          </w:p>
        </w:tc>
        <w:tc>
          <w:tcPr>
            <w:tcW w:w="2646" w:type="dxa"/>
          </w:tcPr>
          <w:p>
            <w:pPr>
              <w:pStyle w:val="yTable"/>
              <w:spacing w:after="20"/>
              <w:rPr>
                <w:spacing w:val="-2"/>
                <w:sz w:val="20"/>
              </w:rPr>
            </w:pPr>
            <w:r>
              <w:rPr>
                <w:spacing w:val="-2"/>
                <w:sz w:val="20"/>
              </w:rPr>
              <w:t>at least 12 m</w:t>
            </w:r>
          </w:p>
        </w:tc>
      </w:tr>
      <w:tr>
        <w:trPr>
          <w:cantSplit/>
        </w:trPr>
        <w:tc>
          <w:tcPr>
            <w:tcW w:w="2015" w:type="dxa"/>
            <w:vMerge/>
          </w:tcPr>
          <w:p>
            <w:pPr>
              <w:pStyle w:val="yTable"/>
              <w:spacing w:after="20"/>
              <w:ind w:left="483"/>
              <w:rPr>
                <w:spacing w:val="-2"/>
                <w:sz w:val="20"/>
              </w:rPr>
            </w:pPr>
          </w:p>
        </w:tc>
        <w:tc>
          <w:tcPr>
            <w:tcW w:w="2268" w:type="dxa"/>
            <w:gridSpan w:val="2"/>
          </w:tcPr>
          <w:p>
            <w:pPr>
              <w:pStyle w:val="yTable"/>
              <w:spacing w:after="20"/>
              <w:rPr>
                <w:spacing w:val="-2"/>
                <w:sz w:val="20"/>
              </w:rPr>
            </w:pPr>
            <w:r>
              <w:rPr>
                <w:spacing w:val="-2"/>
                <w:sz w:val="20"/>
              </w:rPr>
              <w:t>18 m pen</w:t>
            </w:r>
          </w:p>
        </w:tc>
        <w:tc>
          <w:tcPr>
            <w:tcW w:w="2646" w:type="dxa"/>
          </w:tcPr>
          <w:p>
            <w:pPr>
              <w:pStyle w:val="yTable"/>
              <w:spacing w:after="20"/>
              <w:rPr>
                <w:spacing w:val="-2"/>
                <w:sz w:val="20"/>
              </w:rPr>
            </w:pPr>
            <w:r>
              <w:rPr>
                <w:spacing w:val="-2"/>
                <w:sz w:val="20"/>
              </w:rPr>
              <w:t>at least 14.4 m</w:t>
            </w:r>
          </w:p>
        </w:tc>
      </w:tr>
      <w:tr>
        <w:tc>
          <w:tcPr>
            <w:tcW w:w="3149" w:type="dxa"/>
            <w:gridSpan w:val="2"/>
          </w:tcPr>
          <w:p>
            <w:pPr>
              <w:pStyle w:val="yTable"/>
              <w:spacing w:after="20"/>
              <w:ind w:left="88"/>
              <w:rPr>
                <w:spacing w:val="-2"/>
                <w:sz w:val="20"/>
              </w:rPr>
            </w:pPr>
            <w:r>
              <w:rPr>
                <w:b/>
                <w:spacing w:val="-2"/>
                <w:sz w:val="20"/>
              </w:rPr>
              <w:t>Annual Fee</w:t>
            </w:r>
          </w:p>
        </w:tc>
        <w:tc>
          <w:tcPr>
            <w:tcW w:w="3780" w:type="dxa"/>
            <w:gridSpan w:val="2"/>
          </w:tcPr>
          <w:p>
            <w:pPr>
              <w:pStyle w:val="yTable"/>
              <w:spacing w:after="20"/>
              <w:rPr>
                <w:spacing w:val="-2"/>
                <w:sz w:val="20"/>
              </w:rPr>
            </w:pPr>
            <w:r>
              <w:rPr>
                <w:spacing w:val="-2"/>
                <w:sz w:val="20"/>
              </w:rPr>
              <w:t xml:space="preserve">$250.45/m x length of vessel </w:t>
            </w:r>
          </w:p>
        </w:tc>
      </w:tr>
      <w:tr>
        <w:tc>
          <w:tcPr>
            <w:tcW w:w="3149" w:type="dxa"/>
            <w:gridSpan w:val="2"/>
          </w:tcPr>
          <w:p>
            <w:pPr>
              <w:pStyle w:val="yTable"/>
              <w:spacing w:after="20"/>
              <w:ind w:left="88"/>
              <w:rPr>
                <w:spacing w:val="-2"/>
                <w:sz w:val="20"/>
              </w:rPr>
            </w:pPr>
            <w:r>
              <w:rPr>
                <w:b/>
                <w:spacing w:val="-2"/>
                <w:sz w:val="20"/>
              </w:rPr>
              <w:t>Part Year Fee – 3 months or more, paid in advance</w:t>
            </w:r>
          </w:p>
        </w:tc>
        <w:tc>
          <w:tcPr>
            <w:tcW w:w="3780" w:type="dxa"/>
            <w:gridSpan w:val="2"/>
          </w:tcPr>
          <w:p>
            <w:pPr>
              <w:pStyle w:val="yTable"/>
              <w:spacing w:after="20"/>
              <w:rPr>
                <w:spacing w:val="-2"/>
                <w:sz w:val="20"/>
              </w:rPr>
            </w:pPr>
            <w:r>
              <w:rPr>
                <w:spacing w:val="-2"/>
                <w:sz w:val="20"/>
              </w:rPr>
              <w:br/>
              <w:t>$25.04/m x length of vessel, per month</w:t>
            </w:r>
          </w:p>
        </w:tc>
      </w:tr>
      <w:tr>
        <w:tc>
          <w:tcPr>
            <w:tcW w:w="3149" w:type="dxa"/>
            <w:gridSpan w:val="2"/>
          </w:tcPr>
          <w:p>
            <w:pPr>
              <w:pStyle w:val="yTable"/>
              <w:spacing w:after="20"/>
              <w:ind w:left="88"/>
              <w:rPr>
                <w:spacing w:val="-2"/>
                <w:sz w:val="20"/>
              </w:rPr>
            </w:pPr>
            <w:r>
              <w:rPr>
                <w:b/>
                <w:spacing w:val="-2"/>
                <w:sz w:val="20"/>
              </w:rPr>
              <w:t>Monthly Fee</w:t>
            </w:r>
          </w:p>
        </w:tc>
        <w:tc>
          <w:tcPr>
            <w:tcW w:w="3780" w:type="dxa"/>
            <w:gridSpan w:val="2"/>
          </w:tcPr>
          <w:p>
            <w:pPr>
              <w:pStyle w:val="yTable"/>
              <w:spacing w:after="20"/>
              <w:rPr>
                <w:spacing w:val="-2"/>
                <w:sz w:val="20"/>
              </w:rPr>
            </w:pPr>
            <w:r>
              <w:rPr>
                <w:spacing w:val="-2"/>
                <w:sz w:val="20"/>
              </w:rPr>
              <w:t>$50.09/m x length of vessel, per month</w:t>
            </w:r>
          </w:p>
        </w:tc>
      </w:tr>
      <w:tr>
        <w:tc>
          <w:tcPr>
            <w:tcW w:w="3149" w:type="dxa"/>
            <w:gridSpan w:val="2"/>
            <w:tcBorders>
              <w:bottom w:val="nil"/>
            </w:tcBorders>
          </w:tcPr>
          <w:p>
            <w:pPr>
              <w:pStyle w:val="yTable"/>
              <w:spacing w:after="20"/>
              <w:ind w:left="88"/>
              <w:rPr>
                <w:spacing w:val="-2"/>
                <w:sz w:val="20"/>
              </w:rPr>
            </w:pPr>
            <w:r>
              <w:rPr>
                <w:b/>
                <w:spacing w:val="-2"/>
                <w:sz w:val="20"/>
              </w:rPr>
              <w:t>Weekly Fee</w:t>
            </w:r>
          </w:p>
        </w:tc>
        <w:tc>
          <w:tcPr>
            <w:tcW w:w="3780" w:type="dxa"/>
            <w:gridSpan w:val="2"/>
            <w:tcBorders>
              <w:bottom w:val="nil"/>
            </w:tcBorders>
          </w:tcPr>
          <w:p>
            <w:pPr>
              <w:pStyle w:val="yTable"/>
              <w:spacing w:after="20"/>
              <w:rPr>
                <w:spacing w:val="-2"/>
                <w:sz w:val="20"/>
              </w:rPr>
            </w:pPr>
            <w:r>
              <w:rPr>
                <w:spacing w:val="-2"/>
                <w:sz w:val="20"/>
              </w:rPr>
              <w:t>$18.80/m x length of vessel, per week</w:t>
            </w:r>
          </w:p>
        </w:tc>
      </w:tr>
      <w:tr>
        <w:tc>
          <w:tcPr>
            <w:tcW w:w="3149" w:type="dxa"/>
            <w:gridSpan w:val="2"/>
            <w:tcBorders>
              <w:bottom w:val="single" w:sz="4" w:space="0" w:color="auto"/>
            </w:tcBorders>
          </w:tcPr>
          <w:p>
            <w:pPr>
              <w:pStyle w:val="yTable"/>
              <w:spacing w:after="20"/>
              <w:ind w:left="88"/>
              <w:rPr>
                <w:spacing w:val="-2"/>
                <w:sz w:val="20"/>
              </w:rPr>
            </w:pPr>
            <w:r>
              <w:rPr>
                <w:b/>
                <w:spacing w:val="-2"/>
                <w:sz w:val="20"/>
              </w:rPr>
              <w:t>Daily Casual Fee</w:t>
            </w:r>
          </w:p>
        </w:tc>
        <w:tc>
          <w:tcPr>
            <w:tcW w:w="3780" w:type="dxa"/>
            <w:gridSpan w:val="2"/>
            <w:tcBorders>
              <w:bottom w:val="single" w:sz="4" w:space="0" w:color="auto"/>
            </w:tcBorders>
          </w:tcPr>
          <w:p>
            <w:pPr>
              <w:pStyle w:val="yTable"/>
              <w:spacing w:after="20"/>
              <w:rPr>
                <w:spacing w:val="-2"/>
                <w:sz w:val="20"/>
              </w:rPr>
            </w:pPr>
            <w:r>
              <w:rPr>
                <w:spacing w:val="-2"/>
                <w:sz w:val="20"/>
              </w:rPr>
              <w:t>$3.76/m x length of vessel, per day or part of a day</w:t>
            </w:r>
          </w:p>
        </w:tc>
      </w:tr>
      <w:tr>
        <w:tblPrEx>
          <w:tblBorders>
            <w:bottom w:val="double" w:sz="4" w:space="0" w:color="auto"/>
          </w:tblBorders>
        </w:tblPrEx>
        <w:tc>
          <w:tcPr>
            <w:tcW w:w="3149" w:type="dxa"/>
            <w:gridSpan w:val="2"/>
            <w:tcBorders>
              <w:top w:val="single" w:sz="4" w:space="0" w:color="auto"/>
              <w:bottom w:val="single" w:sz="4" w:space="0" w:color="auto"/>
            </w:tcBorders>
          </w:tcPr>
          <w:p>
            <w:pPr>
              <w:pStyle w:val="yTable"/>
              <w:spacing w:after="20"/>
              <w:rPr>
                <w:b/>
                <w:spacing w:val="-2"/>
                <w:sz w:val="20"/>
              </w:rPr>
            </w:pPr>
            <w:r>
              <w:rPr>
                <w:b/>
                <w:spacing w:val="-2"/>
                <w:sz w:val="20"/>
              </w:rPr>
              <w:t>Extended Berthage at Service Jetty —</w:t>
            </w:r>
          </w:p>
        </w:tc>
        <w:tc>
          <w:tcPr>
            <w:tcW w:w="3780" w:type="dxa"/>
            <w:gridSpan w:val="2"/>
            <w:tcBorders>
              <w:top w:val="single" w:sz="4" w:space="0" w:color="auto"/>
              <w:bottom w:val="single" w:sz="4" w:space="0" w:color="auto"/>
            </w:tcBorders>
          </w:tcPr>
          <w:p>
            <w:pPr>
              <w:pStyle w:val="yTable"/>
              <w:spacing w:after="20"/>
              <w:rPr>
                <w:spacing w:val="-2"/>
                <w:sz w:val="20"/>
              </w:rPr>
            </w:pPr>
          </w:p>
        </w:tc>
      </w:tr>
      <w:tr>
        <w:tblPrEx>
          <w:tblBorders>
            <w:bottom w:val="double" w:sz="4" w:space="0" w:color="auto"/>
          </w:tblBorders>
        </w:tblPrEx>
        <w:tc>
          <w:tcPr>
            <w:tcW w:w="3149" w:type="dxa"/>
            <w:gridSpan w:val="2"/>
            <w:tcBorders>
              <w:top w:val="nil"/>
            </w:tcBorders>
          </w:tcPr>
          <w:p>
            <w:pPr>
              <w:pStyle w:val="yTable"/>
              <w:spacing w:after="20"/>
              <w:ind w:left="230"/>
              <w:rPr>
                <w:spacing w:val="-2"/>
                <w:sz w:val="20"/>
              </w:rPr>
            </w:pPr>
            <w:r>
              <w:rPr>
                <w:b/>
                <w:spacing w:val="-2"/>
                <w:sz w:val="20"/>
              </w:rPr>
              <w:t>Annual Fee</w:t>
            </w:r>
          </w:p>
        </w:tc>
        <w:tc>
          <w:tcPr>
            <w:tcW w:w="3780" w:type="dxa"/>
            <w:gridSpan w:val="2"/>
            <w:tcBorders>
              <w:top w:val="nil"/>
            </w:tcBorders>
          </w:tcPr>
          <w:p>
            <w:pPr>
              <w:pStyle w:val="yTable"/>
              <w:spacing w:after="20"/>
              <w:rPr>
                <w:spacing w:val="-2"/>
                <w:sz w:val="20"/>
              </w:rPr>
            </w:pPr>
            <w:r>
              <w:rPr>
                <w:spacing w:val="-2"/>
                <w:sz w:val="20"/>
              </w:rPr>
              <w:t xml:space="preserve">$250.45/m x length of vessel </w:t>
            </w:r>
          </w:p>
        </w:tc>
      </w:tr>
      <w:tr>
        <w:tc>
          <w:tcPr>
            <w:tcW w:w="3149" w:type="dxa"/>
            <w:gridSpan w:val="2"/>
          </w:tcPr>
          <w:p>
            <w:pPr>
              <w:pStyle w:val="yTable"/>
              <w:spacing w:after="20"/>
              <w:ind w:left="230"/>
              <w:rPr>
                <w:spacing w:val="-2"/>
                <w:sz w:val="20"/>
              </w:rPr>
            </w:pPr>
            <w:r>
              <w:rPr>
                <w:b/>
                <w:spacing w:val="-2"/>
                <w:sz w:val="20"/>
              </w:rPr>
              <w:t>Part Year Fee – 3 months or more, paid in advance</w:t>
            </w:r>
          </w:p>
        </w:tc>
        <w:tc>
          <w:tcPr>
            <w:tcW w:w="3780" w:type="dxa"/>
            <w:gridSpan w:val="2"/>
          </w:tcPr>
          <w:p>
            <w:pPr>
              <w:pStyle w:val="yTable"/>
              <w:spacing w:after="20"/>
              <w:rPr>
                <w:spacing w:val="-2"/>
                <w:sz w:val="20"/>
              </w:rPr>
            </w:pPr>
            <w:r>
              <w:rPr>
                <w:spacing w:val="-2"/>
                <w:sz w:val="20"/>
              </w:rPr>
              <w:br/>
              <w:t>$25.04/m x length of vessel, per month</w:t>
            </w:r>
          </w:p>
        </w:tc>
      </w:tr>
      <w:tr>
        <w:tblPrEx>
          <w:tblBorders>
            <w:bottom w:val="double" w:sz="4" w:space="0" w:color="auto"/>
          </w:tblBorders>
        </w:tblPrEx>
        <w:tc>
          <w:tcPr>
            <w:tcW w:w="3149" w:type="dxa"/>
            <w:gridSpan w:val="2"/>
            <w:tcBorders>
              <w:bottom w:val="nil"/>
            </w:tcBorders>
          </w:tcPr>
          <w:p>
            <w:pPr>
              <w:pStyle w:val="yTable"/>
              <w:spacing w:after="20"/>
              <w:ind w:left="230"/>
              <w:rPr>
                <w:spacing w:val="-2"/>
                <w:sz w:val="20"/>
              </w:rPr>
            </w:pPr>
            <w:r>
              <w:rPr>
                <w:b/>
                <w:spacing w:val="-2"/>
                <w:sz w:val="20"/>
              </w:rPr>
              <w:t>Monthly Fee</w:t>
            </w:r>
          </w:p>
        </w:tc>
        <w:tc>
          <w:tcPr>
            <w:tcW w:w="3780" w:type="dxa"/>
            <w:gridSpan w:val="2"/>
            <w:tcBorders>
              <w:bottom w:val="nil"/>
            </w:tcBorders>
          </w:tcPr>
          <w:p>
            <w:pPr>
              <w:pStyle w:val="yTable"/>
              <w:spacing w:after="20"/>
              <w:rPr>
                <w:spacing w:val="-2"/>
                <w:sz w:val="20"/>
              </w:rPr>
            </w:pPr>
            <w:r>
              <w:rPr>
                <w:spacing w:val="-2"/>
                <w:sz w:val="20"/>
              </w:rPr>
              <w:t>$50.09/m x length of vessel, per month</w:t>
            </w:r>
          </w:p>
        </w:tc>
      </w:tr>
      <w:tr>
        <w:tc>
          <w:tcPr>
            <w:tcW w:w="3149" w:type="dxa"/>
            <w:gridSpan w:val="2"/>
            <w:tcBorders>
              <w:bottom w:val="single" w:sz="4" w:space="0" w:color="auto"/>
            </w:tcBorders>
          </w:tcPr>
          <w:p>
            <w:pPr>
              <w:pStyle w:val="yTable"/>
              <w:spacing w:after="20"/>
              <w:rPr>
                <w:spacing w:val="-2"/>
                <w:sz w:val="20"/>
              </w:rPr>
            </w:pPr>
            <w:r>
              <w:rPr>
                <w:b/>
                <w:spacing w:val="-2"/>
                <w:sz w:val="20"/>
              </w:rPr>
              <w:t>‘Live on Board’ Fee</w:t>
            </w:r>
          </w:p>
        </w:tc>
        <w:tc>
          <w:tcPr>
            <w:tcW w:w="3780" w:type="dxa"/>
            <w:gridSpan w:val="2"/>
            <w:tcBorders>
              <w:bottom w:val="single" w:sz="4" w:space="0" w:color="auto"/>
            </w:tcBorders>
          </w:tcPr>
          <w:p>
            <w:pPr>
              <w:pStyle w:val="yTable"/>
              <w:spacing w:after="20"/>
              <w:rPr>
                <w:spacing w:val="-2"/>
                <w:sz w:val="20"/>
              </w:rPr>
            </w:pPr>
            <w:r>
              <w:rPr>
                <w:spacing w:val="-2"/>
                <w:sz w:val="20"/>
              </w:rPr>
              <w:t xml:space="preserve">$33.50 per month per vessel </w:t>
            </w:r>
          </w:p>
        </w:tc>
      </w:tr>
    </w:tbl>
    <w:p>
      <w:pPr>
        <w:pStyle w:val="yHeading4"/>
      </w:pPr>
      <w:bookmarkStart w:id="921" w:name="_Toc139101859"/>
      <w:bookmarkStart w:id="922" w:name="_Toc139102044"/>
      <w:bookmarkStart w:id="923" w:name="_Toc139443392"/>
      <w:r>
        <w:t>Subdivision 8</w:t>
      </w:r>
      <w:r>
        <w:rPr>
          <w:b w:val="0"/>
        </w:rPr>
        <w:t> — </w:t>
      </w:r>
      <w:r>
        <w:t>Cervantes</w:t>
      </w:r>
      <w:bookmarkEnd w:id="921"/>
      <w:bookmarkEnd w:id="922"/>
      <w:bookmarkEnd w:id="923"/>
    </w:p>
    <w:p>
      <w:pPr>
        <w:pStyle w:val="yFootnoteheading"/>
      </w:pPr>
      <w:r>
        <w:tab/>
        <w:t>[Heading inserted in Gazette 24 Jun 2005 p. 2835.]</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766"/>
      </w:tblGrid>
      <w:tr>
        <w:trPr>
          <w:cantSplit/>
        </w:trPr>
        <w:tc>
          <w:tcPr>
            <w:tcW w:w="3177" w:type="dxa"/>
          </w:tcPr>
          <w:p>
            <w:pPr>
              <w:pStyle w:val="yTable"/>
              <w:spacing w:after="20"/>
              <w:ind w:left="-26" w:firstLine="26"/>
              <w:rPr>
                <w:spacing w:val="-2"/>
                <w:sz w:val="20"/>
              </w:rPr>
            </w:pPr>
            <w:r>
              <w:rPr>
                <w:b/>
                <w:spacing w:val="-2"/>
                <w:sz w:val="20"/>
              </w:rPr>
              <w:t>Berthage/Use of Service Jetty (for extended overnight stay)</w:t>
            </w:r>
          </w:p>
          <w:p>
            <w:pPr>
              <w:pStyle w:val="yTable"/>
              <w:tabs>
                <w:tab w:val="left" w:pos="116"/>
              </w:tabs>
              <w:spacing w:after="20"/>
              <w:jc w:val="both"/>
              <w:rPr>
                <w:spacing w:val="-2"/>
                <w:sz w:val="20"/>
              </w:rPr>
            </w:pPr>
            <w:r>
              <w:rPr>
                <w:spacing w:val="-2"/>
                <w:sz w:val="20"/>
              </w:rPr>
              <w:tab/>
              <w:t>Daily Casual Fee</w:t>
            </w:r>
          </w:p>
        </w:tc>
        <w:tc>
          <w:tcPr>
            <w:tcW w:w="3766" w:type="dxa"/>
          </w:tcPr>
          <w:p>
            <w:pPr>
              <w:pStyle w:val="yTable"/>
              <w:spacing w:after="20"/>
              <w:rPr>
                <w:spacing w:val="-2"/>
                <w:sz w:val="20"/>
              </w:rPr>
            </w:pPr>
            <w:r>
              <w:rPr>
                <w:spacing w:val="-2"/>
                <w:sz w:val="20"/>
              </w:rPr>
              <w:br/>
            </w:r>
          </w:p>
          <w:p>
            <w:pPr>
              <w:pStyle w:val="yTable"/>
              <w:spacing w:after="20"/>
              <w:rPr>
                <w:spacing w:val="-2"/>
                <w:sz w:val="20"/>
              </w:rPr>
            </w:pPr>
            <w:r>
              <w:rPr>
                <w:spacing w:val="-2"/>
                <w:sz w:val="20"/>
              </w:rPr>
              <w:t>$5.50/m x length of vessel, per day or part of a day</w:t>
            </w:r>
          </w:p>
        </w:tc>
      </w:tr>
    </w:tbl>
    <w:p>
      <w:pPr>
        <w:pStyle w:val="yNumberedItem"/>
      </w:pPr>
      <w:r>
        <w:t>Note:</w:t>
      </w:r>
      <w:r>
        <w:tab/>
        <w:t>Vessels undertaking emergency repairs, for which specific prior Department approval has been obtained to berth at the jetty for the period in question, are exempt from this fee.</w:t>
      </w:r>
    </w:p>
    <w:p>
      <w:pPr>
        <w:pStyle w:val="yHeading4"/>
      </w:pPr>
      <w:bookmarkStart w:id="924" w:name="_Toc139101860"/>
      <w:bookmarkStart w:id="925" w:name="_Toc139102045"/>
      <w:bookmarkStart w:id="926" w:name="_Toc139443393"/>
      <w:r>
        <w:t>Subdivision 9</w:t>
      </w:r>
      <w:r>
        <w:rPr>
          <w:b w:val="0"/>
        </w:rPr>
        <w:t> — </w:t>
      </w:r>
      <w:r>
        <w:t>Emu Point Boat Harbour (Albany)</w:t>
      </w:r>
      <w:bookmarkEnd w:id="924"/>
      <w:bookmarkEnd w:id="925"/>
      <w:bookmarkEnd w:id="926"/>
    </w:p>
    <w:p>
      <w:pPr>
        <w:pStyle w:val="yFootnoteheading"/>
      </w:pPr>
      <w:r>
        <w:tab/>
        <w:t>[Heading inserted in Gazette 24 Jun 2005 p. 2836.]</w:t>
      </w: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19"/>
        <w:gridCol w:w="3766"/>
      </w:tblGrid>
      <w:tr>
        <w:trPr>
          <w:cantSplit/>
        </w:trPr>
        <w:tc>
          <w:tcPr>
            <w:tcW w:w="3219" w:type="dxa"/>
          </w:tcPr>
          <w:p>
            <w:pPr>
              <w:pStyle w:val="yTable"/>
              <w:spacing w:after="40"/>
              <w:rPr>
                <w:spacing w:val="-2"/>
                <w:sz w:val="20"/>
              </w:rPr>
            </w:pPr>
            <w:r>
              <w:rPr>
                <w:b/>
                <w:spacing w:val="-2"/>
                <w:sz w:val="20"/>
              </w:rPr>
              <w:t>Annual Fee</w:t>
            </w:r>
          </w:p>
          <w:p>
            <w:pPr>
              <w:pStyle w:val="yTable"/>
              <w:tabs>
                <w:tab w:val="left" w:pos="1192"/>
              </w:tabs>
              <w:spacing w:after="40"/>
              <w:ind w:left="170"/>
              <w:rPr>
                <w:spacing w:val="-2"/>
                <w:sz w:val="20"/>
              </w:rPr>
            </w:pPr>
            <w:r>
              <w:rPr>
                <w:spacing w:val="-2"/>
                <w:sz w:val="20"/>
              </w:rPr>
              <w:t>Recreational vessel</w:t>
            </w:r>
          </w:p>
          <w:p>
            <w:pPr>
              <w:pStyle w:val="yTable"/>
              <w:tabs>
                <w:tab w:val="left" w:pos="1192"/>
              </w:tabs>
              <w:spacing w:after="40"/>
              <w:ind w:left="170"/>
              <w:rPr>
                <w:spacing w:val="-2"/>
                <w:sz w:val="20"/>
              </w:rPr>
            </w:pPr>
            <w:r>
              <w:rPr>
                <w:spacing w:val="-2"/>
                <w:sz w:val="20"/>
              </w:rPr>
              <w:t>Commercial vessel up to 20 m</w:t>
            </w:r>
          </w:p>
          <w:p>
            <w:pPr>
              <w:pStyle w:val="yTable"/>
              <w:tabs>
                <w:tab w:val="left" w:pos="1192"/>
              </w:tabs>
              <w:spacing w:after="40"/>
              <w:ind w:left="170"/>
              <w:rPr>
                <w:spacing w:val="-2"/>
                <w:sz w:val="20"/>
              </w:rPr>
            </w:pPr>
            <w:r>
              <w:rPr>
                <w:spacing w:val="-2"/>
                <w:sz w:val="20"/>
              </w:rPr>
              <w:t>Commercial vessel 20 m and over</w:t>
            </w:r>
          </w:p>
        </w:tc>
        <w:tc>
          <w:tcPr>
            <w:tcW w:w="3766" w:type="dxa"/>
          </w:tcPr>
          <w:p>
            <w:pPr>
              <w:pStyle w:val="yTable"/>
              <w:spacing w:after="40"/>
              <w:rPr>
                <w:spacing w:val="-2"/>
                <w:sz w:val="20"/>
              </w:rPr>
            </w:pPr>
          </w:p>
          <w:p>
            <w:pPr>
              <w:pStyle w:val="yTable"/>
              <w:spacing w:after="40"/>
              <w:rPr>
                <w:spacing w:val="-2"/>
                <w:sz w:val="20"/>
              </w:rPr>
            </w:pPr>
            <w:r>
              <w:rPr>
                <w:spacing w:val="-2"/>
                <w:sz w:val="20"/>
              </w:rPr>
              <w:t>$172.07/m x length of vessel</w:t>
            </w:r>
          </w:p>
          <w:p>
            <w:pPr>
              <w:pStyle w:val="yTable"/>
              <w:spacing w:after="40"/>
              <w:rPr>
                <w:spacing w:val="-2"/>
                <w:sz w:val="20"/>
              </w:rPr>
            </w:pPr>
            <w:r>
              <w:rPr>
                <w:spacing w:val="-2"/>
                <w:sz w:val="20"/>
              </w:rPr>
              <w:t>$189.80/m x length of vessel</w:t>
            </w:r>
          </w:p>
          <w:p>
            <w:pPr>
              <w:pStyle w:val="yTable"/>
              <w:spacing w:after="40"/>
              <w:rPr>
                <w:spacing w:val="-2"/>
                <w:sz w:val="20"/>
              </w:rPr>
            </w:pPr>
            <w:r>
              <w:rPr>
                <w:spacing w:val="-2"/>
                <w:sz w:val="20"/>
              </w:rPr>
              <w:t>$225.21/m x length of vessel</w:t>
            </w:r>
          </w:p>
        </w:tc>
      </w:tr>
      <w:tr>
        <w:trPr>
          <w:cantSplit/>
        </w:trPr>
        <w:tc>
          <w:tcPr>
            <w:tcW w:w="3219" w:type="dxa"/>
          </w:tcPr>
          <w:p>
            <w:pPr>
              <w:pStyle w:val="yTable"/>
              <w:spacing w:before="40"/>
              <w:rPr>
                <w:b/>
                <w:spacing w:val="-2"/>
                <w:sz w:val="20"/>
              </w:rPr>
            </w:pPr>
            <w:r>
              <w:rPr>
                <w:b/>
                <w:spacing w:val="-2"/>
                <w:sz w:val="20"/>
              </w:rPr>
              <w:t>Part Year Fee – 3 months or more</w:t>
            </w:r>
          </w:p>
          <w:p>
            <w:pPr>
              <w:pStyle w:val="yTable"/>
              <w:spacing w:before="40"/>
              <w:rPr>
                <w:spacing w:val="-2"/>
                <w:sz w:val="20"/>
              </w:rPr>
            </w:pPr>
            <w:r>
              <w:rPr>
                <w:b/>
                <w:spacing w:val="-2"/>
                <w:sz w:val="20"/>
              </w:rPr>
              <w:t>and paid in advance</w:t>
            </w:r>
          </w:p>
          <w:p>
            <w:pPr>
              <w:pStyle w:val="yTable"/>
              <w:tabs>
                <w:tab w:val="left" w:pos="1192"/>
              </w:tabs>
              <w:spacing w:after="40"/>
              <w:ind w:left="170"/>
              <w:rPr>
                <w:spacing w:val="-2"/>
                <w:sz w:val="20"/>
              </w:rPr>
            </w:pPr>
            <w:r>
              <w:rPr>
                <w:spacing w:val="-2"/>
                <w:sz w:val="20"/>
              </w:rPr>
              <w:t>Recreational vessel</w:t>
            </w:r>
          </w:p>
          <w:p>
            <w:pPr>
              <w:pStyle w:val="yTable"/>
              <w:tabs>
                <w:tab w:val="left" w:pos="1192"/>
              </w:tabs>
              <w:spacing w:after="40"/>
              <w:ind w:left="170"/>
              <w:rPr>
                <w:spacing w:val="-2"/>
                <w:sz w:val="20"/>
              </w:rPr>
            </w:pPr>
            <w:r>
              <w:rPr>
                <w:spacing w:val="-2"/>
                <w:sz w:val="20"/>
              </w:rPr>
              <w:t>Commercial vessel up to 20 m</w:t>
            </w:r>
          </w:p>
          <w:p>
            <w:pPr>
              <w:pStyle w:val="yTable"/>
              <w:tabs>
                <w:tab w:val="left" w:pos="1192"/>
              </w:tabs>
              <w:spacing w:after="40"/>
              <w:ind w:left="170"/>
              <w:rPr>
                <w:spacing w:val="-2"/>
                <w:sz w:val="20"/>
              </w:rPr>
            </w:pPr>
            <w:r>
              <w:rPr>
                <w:spacing w:val="-2"/>
                <w:sz w:val="20"/>
              </w:rPr>
              <w:t>Commercial vessel 20 m and over</w:t>
            </w:r>
          </w:p>
        </w:tc>
        <w:tc>
          <w:tcPr>
            <w:tcW w:w="3766" w:type="dxa"/>
          </w:tcPr>
          <w:p>
            <w:pPr>
              <w:pStyle w:val="yTable"/>
              <w:spacing w:before="40"/>
              <w:rPr>
                <w:b/>
                <w:spacing w:val="-2"/>
                <w:sz w:val="20"/>
              </w:rPr>
            </w:pPr>
          </w:p>
          <w:p>
            <w:pPr>
              <w:pStyle w:val="yTable"/>
              <w:spacing w:before="40"/>
              <w:rPr>
                <w:b/>
                <w:spacing w:val="-2"/>
                <w:sz w:val="20"/>
              </w:rPr>
            </w:pPr>
          </w:p>
          <w:p>
            <w:pPr>
              <w:pStyle w:val="yTable"/>
              <w:spacing w:after="40"/>
              <w:rPr>
                <w:spacing w:val="-2"/>
                <w:sz w:val="20"/>
              </w:rPr>
            </w:pPr>
            <w:r>
              <w:rPr>
                <w:spacing w:val="-2"/>
                <w:sz w:val="20"/>
              </w:rPr>
              <w:t>$17.21/m x length of vessel, per month</w:t>
            </w:r>
          </w:p>
          <w:p>
            <w:pPr>
              <w:pStyle w:val="yTable"/>
              <w:spacing w:after="40"/>
              <w:rPr>
                <w:spacing w:val="-2"/>
                <w:sz w:val="20"/>
              </w:rPr>
            </w:pPr>
            <w:r>
              <w:rPr>
                <w:spacing w:val="-2"/>
                <w:sz w:val="20"/>
              </w:rPr>
              <w:t>$18.98/m x length of vessel, per month</w:t>
            </w:r>
          </w:p>
          <w:p>
            <w:pPr>
              <w:pStyle w:val="yTable"/>
              <w:spacing w:after="40"/>
              <w:rPr>
                <w:spacing w:val="-2"/>
                <w:sz w:val="20"/>
              </w:rPr>
            </w:pPr>
            <w:r>
              <w:rPr>
                <w:spacing w:val="-2"/>
                <w:sz w:val="20"/>
              </w:rPr>
              <w:t>$22.52/m x length of vessel, per month</w:t>
            </w:r>
          </w:p>
        </w:tc>
      </w:tr>
      <w:tr>
        <w:trPr>
          <w:cantSplit/>
        </w:trPr>
        <w:tc>
          <w:tcPr>
            <w:tcW w:w="3219" w:type="dxa"/>
          </w:tcPr>
          <w:p>
            <w:pPr>
              <w:pStyle w:val="yTable"/>
              <w:spacing w:after="40"/>
              <w:rPr>
                <w:spacing w:val="-2"/>
                <w:sz w:val="20"/>
              </w:rPr>
            </w:pPr>
            <w:r>
              <w:rPr>
                <w:b/>
                <w:spacing w:val="-2"/>
                <w:sz w:val="20"/>
              </w:rPr>
              <w:t>Monthly fee</w:t>
            </w:r>
            <w:r>
              <w:rPr>
                <w:spacing w:val="-2"/>
                <w:sz w:val="20"/>
              </w:rPr>
              <w:t>:</w:t>
            </w:r>
          </w:p>
          <w:p>
            <w:pPr>
              <w:pStyle w:val="yTable"/>
              <w:tabs>
                <w:tab w:val="left" w:pos="1192"/>
              </w:tabs>
              <w:spacing w:after="40"/>
              <w:ind w:left="170"/>
              <w:rPr>
                <w:spacing w:val="-2"/>
                <w:sz w:val="20"/>
              </w:rPr>
            </w:pPr>
            <w:r>
              <w:rPr>
                <w:spacing w:val="-2"/>
                <w:sz w:val="20"/>
              </w:rPr>
              <w:t>Recreational vessel:</w:t>
            </w:r>
          </w:p>
          <w:p>
            <w:pPr>
              <w:pStyle w:val="yTable"/>
              <w:tabs>
                <w:tab w:val="left" w:pos="1192"/>
              </w:tabs>
              <w:spacing w:after="40"/>
              <w:ind w:left="170"/>
              <w:rPr>
                <w:spacing w:val="-2"/>
                <w:sz w:val="20"/>
              </w:rPr>
            </w:pPr>
            <w:r>
              <w:rPr>
                <w:spacing w:val="-2"/>
                <w:sz w:val="20"/>
              </w:rPr>
              <w:t>Commercial vessel up to 20 m:</w:t>
            </w:r>
          </w:p>
          <w:p>
            <w:pPr>
              <w:pStyle w:val="yTable"/>
              <w:tabs>
                <w:tab w:val="left" w:pos="1192"/>
              </w:tabs>
              <w:spacing w:after="40"/>
              <w:ind w:left="170"/>
              <w:rPr>
                <w:spacing w:val="-2"/>
                <w:sz w:val="20"/>
              </w:rPr>
            </w:pPr>
            <w:r>
              <w:rPr>
                <w:spacing w:val="-2"/>
                <w:sz w:val="20"/>
              </w:rPr>
              <w:t>Commercial vessel 20 m and over</w:t>
            </w:r>
          </w:p>
        </w:tc>
        <w:tc>
          <w:tcPr>
            <w:tcW w:w="3766" w:type="dxa"/>
          </w:tcPr>
          <w:p>
            <w:pPr>
              <w:pStyle w:val="yTable"/>
              <w:spacing w:after="40"/>
              <w:rPr>
                <w:spacing w:val="-2"/>
                <w:sz w:val="20"/>
              </w:rPr>
            </w:pPr>
          </w:p>
          <w:p>
            <w:pPr>
              <w:pStyle w:val="yTable"/>
              <w:spacing w:after="40"/>
              <w:rPr>
                <w:spacing w:val="-2"/>
                <w:sz w:val="20"/>
              </w:rPr>
            </w:pPr>
            <w:r>
              <w:rPr>
                <w:spacing w:val="-2"/>
                <w:sz w:val="20"/>
              </w:rPr>
              <w:t>$34.41/m x length of vessel, per month</w:t>
            </w:r>
          </w:p>
          <w:p>
            <w:pPr>
              <w:pStyle w:val="yTable"/>
              <w:spacing w:after="40"/>
              <w:rPr>
                <w:spacing w:val="-2"/>
                <w:sz w:val="20"/>
              </w:rPr>
            </w:pPr>
            <w:r>
              <w:rPr>
                <w:spacing w:val="-2"/>
                <w:sz w:val="20"/>
              </w:rPr>
              <w:t>$37.96/m x length of vessel, per month</w:t>
            </w:r>
          </w:p>
          <w:p>
            <w:pPr>
              <w:pStyle w:val="yTable"/>
              <w:spacing w:after="40"/>
              <w:rPr>
                <w:spacing w:val="-2"/>
                <w:sz w:val="20"/>
              </w:rPr>
            </w:pPr>
            <w:r>
              <w:rPr>
                <w:spacing w:val="-2"/>
                <w:sz w:val="20"/>
              </w:rPr>
              <w:t>$45.04/m x length of vessel, per month</w:t>
            </w:r>
          </w:p>
        </w:tc>
      </w:tr>
      <w:tr>
        <w:trPr>
          <w:cantSplit/>
        </w:trPr>
        <w:tc>
          <w:tcPr>
            <w:tcW w:w="3219" w:type="dxa"/>
          </w:tcPr>
          <w:p>
            <w:pPr>
              <w:pStyle w:val="yTable"/>
              <w:spacing w:after="40"/>
              <w:rPr>
                <w:spacing w:val="-2"/>
                <w:sz w:val="20"/>
              </w:rPr>
            </w:pPr>
            <w:r>
              <w:rPr>
                <w:b/>
                <w:spacing w:val="-2"/>
                <w:sz w:val="20"/>
              </w:rPr>
              <w:t xml:space="preserve">Weekly Fee </w:t>
            </w:r>
            <w:r>
              <w:rPr>
                <w:spacing w:val="-2"/>
                <w:sz w:val="20"/>
              </w:rPr>
              <w:t>(all vessels)</w:t>
            </w:r>
          </w:p>
        </w:tc>
        <w:tc>
          <w:tcPr>
            <w:tcW w:w="3766" w:type="dxa"/>
          </w:tcPr>
          <w:p>
            <w:pPr>
              <w:pStyle w:val="yTable"/>
              <w:spacing w:after="40"/>
              <w:rPr>
                <w:spacing w:val="-2"/>
                <w:sz w:val="20"/>
              </w:rPr>
            </w:pPr>
            <w:r>
              <w:rPr>
                <w:spacing w:val="-2"/>
                <w:sz w:val="20"/>
              </w:rPr>
              <w:t>$31.60/m x length of vessel, per week</w:t>
            </w:r>
          </w:p>
        </w:tc>
      </w:tr>
      <w:tr>
        <w:trPr>
          <w:cantSplit/>
        </w:trPr>
        <w:tc>
          <w:tcPr>
            <w:tcW w:w="3219" w:type="dxa"/>
          </w:tcPr>
          <w:p>
            <w:pPr>
              <w:pStyle w:val="yTable"/>
              <w:spacing w:after="40"/>
              <w:rPr>
                <w:spacing w:val="-2"/>
                <w:sz w:val="20"/>
              </w:rPr>
            </w:pPr>
            <w:r>
              <w:rPr>
                <w:b/>
                <w:spacing w:val="-2"/>
                <w:sz w:val="20"/>
              </w:rPr>
              <w:t xml:space="preserve">Daily Casual Fee </w:t>
            </w:r>
            <w:r>
              <w:rPr>
                <w:spacing w:val="-2"/>
                <w:sz w:val="20"/>
              </w:rPr>
              <w:t>(all vessels)</w:t>
            </w:r>
          </w:p>
        </w:tc>
        <w:tc>
          <w:tcPr>
            <w:tcW w:w="3766" w:type="dxa"/>
          </w:tcPr>
          <w:p>
            <w:pPr>
              <w:pStyle w:val="yTable"/>
              <w:spacing w:after="40"/>
              <w:rPr>
                <w:spacing w:val="-2"/>
                <w:sz w:val="20"/>
              </w:rPr>
            </w:pPr>
            <w:r>
              <w:rPr>
                <w:spacing w:val="-2"/>
                <w:sz w:val="20"/>
              </w:rPr>
              <w:t>$6.32/m x length of vessel, per day</w:t>
            </w:r>
          </w:p>
        </w:tc>
      </w:tr>
      <w:tr>
        <w:tblPrEx>
          <w:tblBorders>
            <w:bottom w:val="double" w:sz="4" w:space="0" w:color="auto"/>
          </w:tblBorders>
        </w:tblPrEx>
        <w:trPr>
          <w:cantSplit/>
        </w:trPr>
        <w:tc>
          <w:tcPr>
            <w:tcW w:w="3219" w:type="dxa"/>
          </w:tcPr>
          <w:p>
            <w:pPr>
              <w:pStyle w:val="yTable"/>
              <w:spacing w:after="40"/>
              <w:rPr>
                <w:sz w:val="20"/>
              </w:rPr>
            </w:pPr>
            <w:r>
              <w:rPr>
                <w:b/>
                <w:sz w:val="20"/>
              </w:rPr>
              <w:t>Short Term Use Fee</w:t>
            </w:r>
            <w:r>
              <w:rPr>
                <w:sz w:val="20"/>
              </w:rPr>
              <w:t xml:space="preserve"> (for use of service jetty by vessels for which mooring, berthage or pen fees not paid)/day – short term use —</w:t>
            </w:r>
          </w:p>
        </w:tc>
        <w:tc>
          <w:tcPr>
            <w:tcW w:w="3766" w:type="dxa"/>
          </w:tcPr>
          <w:p>
            <w:pPr>
              <w:pStyle w:val="yTable"/>
              <w:spacing w:after="40"/>
              <w:rPr>
                <w:spacing w:val="-2"/>
                <w:sz w:val="20"/>
              </w:rPr>
            </w:pPr>
          </w:p>
        </w:tc>
      </w:tr>
      <w:tr>
        <w:tblPrEx>
          <w:tblBorders>
            <w:bottom w:val="double" w:sz="4" w:space="0" w:color="auto"/>
          </w:tblBorders>
        </w:tblPrEx>
        <w:trPr>
          <w:cantSplit/>
        </w:trPr>
        <w:tc>
          <w:tcPr>
            <w:tcW w:w="3219" w:type="dxa"/>
            <w:tcBorders>
              <w:bottom w:val="nil"/>
            </w:tcBorders>
          </w:tcPr>
          <w:p>
            <w:pPr>
              <w:pStyle w:val="yTable"/>
              <w:spacing w:after="40"/>
              <w:ind w:left="16"/>
              <w:rPr>
                <w:b/>
                <w:spacing w:val="-2"/>
                <w:sz w:val="20"/>
              </w:rPr>
            </w:pPr>
            <w:r>
              <w:br w:type="page"/>
            </w:r>
            <w:r>
              <w:rPr>
                <w:b/>
                <w:spacing w:val="-2"/>
                <w:sz w:val="20"/>
              </w:rPr>
              <w:t>Annual Fee</w:t>
            </w:r>
          </w:p>
        </w:tc>
        <w:tc>
          <w:tcPr>
            <w:tcW w:w="3766" w:type="dxa"/>
            <w:tcBorders>
              <w:bottom w:val="nil"/>
            </w:tcBorders>
          </w:tcPr>
          <w:p>
            <w:pPr>
              <w:pStyle w:val="yTable"/>
              <w:spacing w:after="40"/>
              <w:rPr>
                <w:spacing w:val="-2"/>
                <w:sz w:val="20"/>
              </w:rPr>
            </w:pPr>
            <w:r>
              <w:rPr>
                <w:spacing w:val="-2"/>
                <w:sz w:val="20"/>
              </w:rPr>
              <w:t>$116.40/m x length of vessel</w:t>
            </w:r>
          </w:p>
        </w:tc>
      </w:tr>
      <w:tr>
        <w:tblPrEx>
          <w:tblBorders>
            <w:bottom w:val="double" w:sz="4" w:space="0" w:color="auto"/>
          </w:tblBorders>
        </w:tblPrEx>
        <w:trPr>
          <w:cantSplit/>
        </w:trPr>
        <w:tc>
          <w:tcPr>
            <w:tcW w:w="3219" w:type="dxa"/>
            <w:tcBorders>
              <w:bottom w:val="nil"/>
            </w:tcBorders>
          </w:tcPr>
          <w:p>
            <w:pPr>
              <w:pStyle w:val="yTable"/>
              <w:spacing w:after="40"/>
              <w:ind w:left="16"/>
              <w:rPr>
                <w:spacing w:val="-2"/>
                <w:sz w:val="20"/>
              </w:rPr>
            </w:pPr>
            <w:r>
              <w:rPr>
                <w:b/>
                <w:spacing w:val="-2"/>
                <w:sz w:val="20"/>
              </w:rPr>
              <w:t>Daily Casual Fee</w:t>
            </w:r>
          </w:p>
        </w:tc>
        <w:tc>
          <w:tcPr>
            <w:tcW w:w="3766" w:type="dxa"/>
            <w:tcBorders>
              <w:bottom w:val="nil"/>
            </w:tcBorders>
          </w:tcPr>
          <w:p>
            <w:pPr>
              <w:pStyle w:val="yTable"/>
              <w:spacing w:after="40"/>
              <w:rPr>
                <w:spacing w:val="-2"/>
                <w:sz w:val="20"/>
              </w:rPr>
            </w:pPr>
            <w:r>
              <w:rPr>
                <w:spacing w:val="-2"/>
                <w:sz w:val="20"/>
              </w:rPr>
              <w:t>$3.79/m x length of vessel</w:t>
            </w:r>
          </w:p>
        </w:tc>
      </w:tr>
      <w:tr>
        <w:tblPrEx>
          <w:tblBorders>
            <w:bottom w:val="double" w:sz="4" w:space="0" w:color="auto"/>
          </w:tblBorders>
        </w:tblPrEx>
        <w:trPr>
          <w:cantSplit/>
        </w:trPr>
        <w:tc>
          <w:tcPr>
            <w:tcW w:w="3219" w:type="dxa"/>
            <w:tcBorders>
              <w:top w:val="single" w:sz="4" w:space="0" w:color="auto"/>
              <w:bottom w:val="single" w:sz="4" w:space="0" w:color="auto"/>
            </w:tcBorders>
          </w:tcPr>
          <w:p>
            <w:pPr>
              <w:pStyle w:val="yTable"/>
              <w:spacing w:after="40"/>
              <w:rPr>
                <w:b/>
                <w:spacing w:val="-2"/>
                <w:sz w:val="20"/>
              </w:rPr>
            </w:pPr>
            <w:r>
              <w:rPr>
                <w:b/>
                <w:sz w:val="20"/>
              </w:rPr>
              <w:t>Electric power — 3</w:t>
            </w:r>
            <w:r>
              <w:rPr>
                <w:b/>
                <w:sz w:val="20"/>
              </w:rPr>
              <w:noBreakHyphen/>
              <w:t>phase</w:t>
            </w:r>
          </w:p>
        </w:tc>
        <w:tc>
          <w:tcPr>
            <w:tcW w:w="3766" w:type="dxa"/>
            <w:tcBorders>
              <w:top w:val="single" w:sz="4" w:space="0" w:color="auto"/>
              <w:bottom w:val="single" w:sz="4" w:space="0" w:color="auto"/>
            </w:tcBorders>
          </w:tcPr>
          <w:p>
            <w:pPr>
              <w:pStyle w:val="yTable"/>
              <w:spacing w:after="40"/>
              <w:rPr>
                <w:spacing w:val="-2"/>
                <w:sz w:val="20"/>
              </w:rPr>
            </w:pPr>
            <w:r>
              <w:rPr>
                <w:spacing w:val="-2"/>
                <w:sz w:val="20"/>
              </w:rPr>
              <w:t>$29.11 per day or part of a day</w:t>
            </w:r>
          </w:p>
        </w:tc>
      </w:tr>
    </w:tbl>
    <w:p>
      <w:pPr>
        <w:pStyle w:val="yHeading4"/>
      </w:pPr>
      <w:bookmarkStart w:id="927" w:name="_Toc139101861"/>
      <w:bookmarkStart w:id="928" w:name="_Toc139102046"/>
      <w:bookmarkStart w:id="929" w:name="_Toc139443394"/>
      <w:r>
        <w:t>Subdivision 10</w:t>
      </w:r>
      <w:r>
        <w:rPr>
          <w:b w:val="0"/>
        </w:rPr>
        <w:t> — </w:t>
      </w:r>
      <w:r>
        <w:t>Exmouth</w:t>
      </w:r>
      <w:bookmarkEnd w:id="927"/>
      <w:bookmarkEnd w:id="928"/>
      <w:bookmarkEnd w:id="929"/>
    </w:p>
    <w:p>
      <w:pPr>
        <w:pStyle w:val="yFootnoteheading"/>
      </w:pPr>
      <w:r>
        <w:tab/>
        <w:t>[Heading inserted in Gazette 24 Jun 2005 p. 2836.]</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52"/>
      </w:tblGrid>
      <w:tr>
        <w:tc>
          <w:tcPr>
            <w:tcW w:w="3205" w:type="dxa"/>
          </w:tcPr>
          <w:p>
            <w:pPr>
              <w:pStyle w:val="yTable"/>
              <w:rPr>
                <w:b/>
                <w:spacing w:val="-2"/>
                <w:sz w:val="20"/>
              </w:rPr>
            </w:pPr>
            <w:r>
              <w:rPr>
                <w:b/>
                <w:spacing w:val="-2"/>
                <w:sz w:val="20"/>
              </w:rPr>
              <w:t>Commercial/Charter Boat Pens</w:t>
            </w:r>
          </w:p>
        </w:tc>
        <w:tc>
          <w:tcPr>
            <w:tcW w:w="3752" w:type="dxa"/>
          </w:tcPr>
          <w:p>
            <w:pPr>
              <w:pStyle w:val="yTable"/>
              <w:rPr>
                <w:spacing w:val="-2"/>
                <w:sz w:val="20"/>
              </w:rPr>
            </w:pPr>
          </w:p>
        </w:tc>
      </w:tr>
      <w:tr>
        <w:tc>
          <w:tcPr>
            <w:tcW w:w="3205" w:type="dxa"/>
          </w:tcPr>
          <w:p>
            <w:pPr>
              <w:pStyle w:val="yTable"/>
              <w:rPr>
                <w:spacing w:val="-2"/>
                <w:sz w:val="20"/>
              </w:rPr>
            </w:pPr>
            <w:r>
              <w:rPr>
                <w:b/>
                <w:spacing w:val="-2"/>
                <w:sz w:val="20"/>
              </w:rPr>
              <w:t>Annual Fee</w:t>
            </w:r>
          </w:p>
        </w:tc>
        <w:tc>
          <w:tcPr>
            <w:tcW w:w="3752" w:type="dxa"/>
          </w:tcPr>
          <w:p>
            <w:pPr>
              <w:pStyle w:val="yTable"/>
              <w:rPr>
                <w:spacing w:val="-2"/>
                <w:sz w:val="20"/>
              </w:rPr>
            </w:pPr>
            <w:r>
              <w:rPr>
                <w:spacing w:val="-2"/>
                <w:sz w:val="20"/>
              </w:rPr>
              <w:t xml:space="preserve">$371.99/m x length of vessel </w:t>
            </w:r>
          </w:p>
        </w:tc>
      </w:tr>
      <w:tr>
        <w:tc>
          <w:tcPr>
            <w:tcW w:w="3205" w:type="dxa"/>
          </w:tcPr>
          <w:p>
            <w:pPr>
              <w:pStyle w:val="yTable"/>
              <w:rPr>
                <w:spacing w:val="-2"/>
                <w:sz w:val="20"/>
              </w:rPr>
            </w:pPr>
            <w:r>
              <w:rPr>
                <w:b/>
                <w:spacing w:val="-2"/>
                <w:sz w:val="20"/>
              </w:rPr>
              <w:t>Part Year Fee – 3 months or more, paid in advance</w:t>
            </w:r>
          </w:p>
        </w:tc>
        <w:tc>
          <w:tcPr>
            <w:tcW w:w="3752" w:type="dxa"/>
          </w:tcPr>
          <w:p>
            <w:pPr>
              <w:pStyle w:val="yTable"/>
              <w:rPr>
                <w:spacing w:val="-2"/>
                <w:sz w:val="20"/>
              </w:rPr>
            </w:pPr>
            <w:r>
              <w:rPr>
                <w:spacing w:val="-2"/>
                <w:sz w:val="20"/>
              </w:rPr>
              <w:br/>
              <w:t>$37.20/m x length of vessel, per month</w:t>
            </w:r>
          </w:p>
        </w:tc>
      </w:tr>
      <w:tr>
        <w:tc>
          <w:tcPr>
            <w:tcW w:w="3205" w:type="dxa"/>
          </w:tcPr>
          <w:p>
            <w:pPr>
              <w:pStyle w:val="yTable"/>
              <w:rPr>
                <w:spacing w:val="-2"/>
                <w:sz w:val="20"/>
              </w:rPr>
            </w:pPr>
            <w:r>
              <w:rPr>
                <w:b/>
                <w:spacing w:val="-2"/>
                <w:sz w:val="20"/>
              </w:rPr>
              <w:t>Monthly Fee</w:t>
            </w:r>
          </w:p>
        </w:tc>
        <w:tc>
          <w:tcPr>
            <w:tcW w:w="3752" w:type="dxa"/>
          </w:tcPr>
          <w:p>
            <w:pPr>
              <w:pStyle w:val="yTable"/>
              <w:rPr>
                <w:spacing w:val="-2"/>
                <w:sz w:val="20"/>
              </w:rPr>
            </w:pPr>
            <w:r>
              <w:rPr>
                <w:spacing w:val="-2"/>
                <w:sz w:val="20"/>
              </w:rPr>
              <w:t>$74.40/m x length of vessel, per month</w:t>
            </w:r>
          </w:p>
        </w:tc>
      </w:tr>
      <w:tr>
        <w:tc>
          <w:tcPr>
            <w:tcW w:w="3205" w:type="dxa"/>
          </w:tcPr>
          <w:p>
            <w:pPr>
              <w:pStyle w:val="yTable"/>
              <w:rPr>
                <w:spacing w:val="-2"/>
                <w:sz w:val="20"/>
              </w:rPr>
            </w:pPr>
            <w:r>
              <w:rPr>
                <w:b/>
                <w:spacing w:val="-2"/>
                <w:sz w:val="20"/>
              </w:rPr>
              <w:t>Weekly Fee</w:t>
            </w:r>
          </w:p>
        </w:tc>
        <w:tc>
          <w:tcPr>
            <w:tcW w:w="3752" w:type="dxa"/>
          </w:tcPr>
          <w:p>
            <w:pPr>
              <w:pStyle w:val="yTable"/>
              <w:rPr>
                <w:spacing w:val="-2"/>
                <w:sz w:val="20"/>
              </w:rPr>
            </w:pPr>
            <w:r>
              <w:rPr>
                <w:spacing w:val="-2"/>
                <w:sz w:val="20"/>
              </w:rPr>
              <w:t>$36.85/m x length of vessel, per week</w:t>
            </w:r>
          </w:p>
        </w:tc>
      </w:tr>
      <w:tr>
        <w:tc>
          <w:tcPr>
            <w:tcW w:w="3205" w:type="dxa"/>
            <w:tcBorders>
              <w:bottom w:val="nil"/>
            </w:tcBorders>
          </w:tcPr>
          <w:p>
            <w:pPr>
              <w:pStyle w:val="yTable"/>
              <w:rPr>
                <w:spacing w:val="-2"/>
                <w:sz w:val="20"/>
              </w:rPr>
            </w:pPr>
            <w:r>
              <w:rPr>
                <w:b/>
                <w:spacing w:val="-2"/>
                <w:sz w:val="20"/>
              </w:rPr>
              <w:t>Daily Casual Fee</w:t>
            </w:r>
          </w:p>
        </w:tc>
        <w:tc>
          <w:tcPr>
            <w:tcW w:w="3752" w:type="dxa"/>
            <w:tcBorders>
              <w:bottom w:val="nil"/>
            </w:tcBorders>
          </w:tcPr>
          <w:p>
            <w:pPr>
              <w:pStyle w:val="yTable"/>
              <w:rPr>
                <w:spacing w:val="-2"/>
                <w:sz w:val="20"/>
              </w:rPr>
            </w:pPr>
            <w:r>
              <w:rPr>
                <w:spacing w:val="-2"/>
                <w:sz w:val="20"/>
              </w:rPr>
              <w:t>$7.37/m x length of vessel, per day or part of a day</w:t>
            </w:r>
          </w:p>
        </w:tc>
      </w:tr>
      <w:tr>
        <w:tc>
          <w:tcPr>
            <w:tcW w:w="3205" w:type="dxa"/>
          </w:tcPr>
          <w:p>
            <w:pPr>
              <w:pStyle w:val="yTable"/>
              <w:spacing w:after="40"/>
              <w:rPr>
                <w:spacing w:val="-2"/>
                <w:sz w:val="20"/>
              </w:rPr>
            </w:pPr>
            <w:r>
              <w:rPr>
                <w:b/>
                <w:bCs/>
                <w:sz w:val="20"/>
              </w:rPr>
              <w:t xml:space="preserve"> Short Term Use Fee</w:t>
            </w:r>
            <w:r>
              <w:rPr>
                <w:spacing w:val="-2"/>
                <w:sz w:val="20"/>
              </w:rPr>
              <w:t xml:space="preserve"> (If General Purpose Pen is unavailable)</w:t>
            </w:r>
          </w:p>
        </w:tc>
        <w:tc>
          <w:tcPr>
            <w:tcW w:w="3752" w:type="dxa"/>
          </w:tcPr>
          <w:p>
            <w:pPr>
              <w:pStyle w:val="yTable"/>
              <w:spacing w:after="40"/>
              <w:rPr>
                <w:spacing w:val="-2"/>
                <w:sz w:val="20"/>
              </w:rPr>
            </w:pPr>
            <w:r>
              <w:rPr>
                <w:spacing w:val="-2"/>
                <w:sz w:val="20"/>
              </w:rPr>
              <w:br/>
              <w:t>$3.68/m x length of vessel, per day</w:t>
            </w:r>
          </w:p>
        </w:tc>
      </w:tr>
      <w:tr>
        <w:tc>
          <w:tcPr>
            <w:tcW w:w="3205" w:type="dxa"/>
          </w:tcPr>
          <w:p>
            <w:pPr>
              <w:pStyle w:val="yTable"/>
              <w:tabs>
                <w:tab w:val="left" w:pos="342"/>
              </w:tabs>
              <w:spacing w:after="40"/>
              <w:rPr>
                <w:b/>
                <w:spacing w:val="-2"/>
                <w:sz w:val="20"/>
              </w:rPr>
            </w:pPr>
            <w:r>
              <w:rPr>
                <w:b/>
                <w:spacing w:val="-2"/>
                <w:sz w:val="20"/>
              </w:rPr>
              <w:t>Commercial/Charter Boat Passenger Transfer Pen (Daily casual fee)</w:t>
            </w:r>
          </w:p>
        </w:tc>
        <w:tc>
          <w:tcPr>
            <w:tcW w:w="3752" w:type="dxa"/>
          </w:tcPr>
          <w:p>
            <w:pPr>
              <w:pStyle w:val="yTable"/>
              <w:spacing w:after="40"/>
              <w:rPr>
                <w:spacing w:val="-2"/>
                <w:sz w:val="20"/>
              </w:rPr>
            </w:pPr>
          </w:p>
        </w:tc>
      </w:tr>
      <w:tr>
        <w:tc>
          <w:tcPr>
            <w:tcW w:w="3205" w:type="dxa"/>
          </w:tcPr>
          <w:p>
            <w:pPr>
              <w:pStyle w:val="yTable"/>
              <w:spacing w:after="40"/>
              <w:ind w:left="286"/>
              <w:rPr>
                <w:spacing w:val="-2"/>
                <w:sz w:val="20"/>
              </w:rPr>
            </w:pPr>
            <w:r>
              <w:rPr>
                <w:spacing w:val="-2"/>
                <w:sz w:val="20"/>
              </w:rPr>
              <w:t>Vessel with Harbour Pen</w:t>
            </w:r>
          </w:p>
        </w:tc>
        <w:tc>
          <w:tcPr>
            <w:tcW w:w="3752" w:type="dxa"/>
          </w:tcPr>
          <w:p>
            <w:pPr>
              <w:pStyle w:val="yTable"/>
              <w:spacing w:after="40"/>
              <w:rPr>
                <w:spacing w:val="-2"/>
                <w:sz w:val="20"/>
              </w:rPr>
            </w:pPr>
            <w:r>
              <w:rPr>
                <w:spacing w:val="-2"/>
                <w:sz w:val="20"/>
              </w:rPr>
              <w:t>No Charge</w:t>
            </w:r>
          </w:p>
        </w:tc>
      </w:tr>
      <w:tr>
        <w:tc>
          <w:tcPr>
            <w:tcW w:w="3205" w:type="dxa"/>
          </w:tcPr>
          <w:p>
            <w:pPr>
              <w:pStyle w:val="yTable"/>
              <w:spacing w:after="40"/>
              <w:ind w:left="286"/>
              <w:rPr>
                <w:spacing w:val="-2"/>
                <w:sz w:val="20"/>
              </w:rPr>
            </w:pPr>
            <w:r>
              <w:rPr>
                <w:spacing w:val="-2"/>
                <w:sz w:val="20"/>
              </w:rPr>
              <w:t>Vessel with Harbour Mooring</w:t>
            </w:r>
          </w:p>
        </w:tc>
        <w:tc>
          <w:tcPr>
            <w:tcW w:w="3752" w:type="dxa"/>
          </w:tcPr>
          <w:p>
            <w:pPr>
              <w:pStyle w:val="yTable"/>
              <w:spacing w:after="40"/>
              <w:rPr>
                <w:spacing w:val="-2"/>
                <w:sz w:val="20"/>
              </w:rPr>
            </w:pPr>
            <w:r>
              <w:rPr>
                <w:spacing w:val="-2"/>
                <w:sz w:val="20"/>
              </w:rPr>
              <w:t>$4.91/m x length of vessel, per day</w:t>
            </w:r>
          </w:p>
        </w:tc>
      </w:tr>
      <w:tr>
        <w:tc>
          <w:tcPr>
            <w:tcW w:w="3205" w:type="dxa"/>
          </w:tcPr>
          <w:p>
            <w:pPr>
              <w:pStyle w:val="yTable"/>
              <w:spacing w:after="40"/>
              <w:ind w:left="286"/>
              <w:rPr>
                <w:spacing w:val="-2"/>
                <w:sz w:val="20"/>
              </w:rPr>
            </w:pPr>
            <w:r>
              <w:rPr>
                <w:spacing w:val="-2"/>
                <w:sz w:val="20"/>
              </w:rPr>
              <w:t>Vessel without Mooring or Pen, and not paying a Shared Use fee</w:t>
            </w:r>
          </w:p>
        </w:tc>
        <w:tc>
          <w:tcPr>
            <w:tcW w:w="3752" w:type="dxa"/>
          </w:tcPr>
          <w:p>
            <w:pPr>
              <w:pStyle w:val="yTable"/>
              <w:spacing w:after="40"/>
              <w:rPr>
                <w:spacing w:val="-2"/>
                <w:sz w:val="20"/>
              </w:rPr>
            </w:pPr>
            <w:r>
              <w:rPr>
                <w:spacing w:val="-2"/>
                <w:sz w:val="20"/>
              </w:rPr>
              <w:br/>
              <w:t>$7.37/m x length of vessel, per day</w:t>
            </w:r>
          </w:p>
        </w:tc>
      </w:tr>
      <w:tr>
        <w:tc>
          <w:tcPr>
            <w:tcW w:w="3205" w:type="dxa"/>
          </w:tcPr>
          <w:p>
            <w:pPr>
              <w:pStyle w:val="yTable"/>
              <w:spacing w:after="40"/>
              <w:rPr>
                <w:b/>
                <w:spacing w:val="-2"/>
                <w:sz w:val="20"/>
              </w:rPr>
            </w:pPr>
            <w:r>
              <w:rPr>
                <w:b/>
                <w:spacing w:val="-2"/>
                <w:sz w:val="20"/>
              </w:rPr>
              <w:t>General Purpose Pens</w:t>
            </w:r>
          </w:p>
        </w:tc>
        <w:tc>
          <w:tcPr>
            <w:tcW w:w="3752" w:type="dxa"/>
          </w:tcPr>
          <w:p>
            <w:pPr>
              <w:pStyle w:val="yTable"/>
              <w:keepNext/>
              <w:keepLines/>
              <w:spacing w:after="40"/>
              <w:ind w:left="483"/>
              <w:rPr>
                <w:b/>
                <w:spacing w:val="-2"/>
                <w:sz w:val="20"/>
              </w:rPr>
            </w:pPr>
          </w:p>
        </w:tc>
      </w:tr>
      <w:tr>
        <w:tc>
          <w:tcPr>
            <w:tcW w:w="3205" w:type="dxa"/>
          </w:tcPr>
          <w:p>
            <w:pPr>
              <w:pStyle w:val="yTable"/>
              <w:spacing w:after="40"/>
              <w:rPr>
                <w:spacing w:val="-2"/>
                <w:sz w:val="20"/>
              </w:rPr>
            </w:pPr>
            <w:r>
              <w:rPr>
                <w:b/>
                <w:spacing w:val="-2"/>
                <w:sz w:val="20"/>
              </w:rPr>
              <w:t>Annual Fee</w:t>
            </w:r>
          </w:p>
        </w:tc>
        <w:tc>
          <w:tcPr>
            <w:tcW w:w="3752" w:type="dxa"/>
          </w:tcPr>
          <w:p>
            <w:pPr>
              <w:pStyle w:val="yTable"/>
              <w:spacing w:after="40"/>
              <w:rPr>
                <w:spacing w:val="-2"/>
                <w:sz w:val="20"/>
              </w:rPr>
            </w:pPr>
            <w:r>
              <w:rPr>
                <w:spacing w:val="-2"/>
                <w:sz w:val="20"/>
              </w:rPr>
              <w:t xml:space="preserve">$322.63/m x length of vessel </w:t>
            </w:r>
          </w:p>
        </w:tc>
      </w:tr>
      <w:tr>
        <w:tc>
          <w:tcPr>
            <w:tcW w:w="3205" w:type="dxa"/>
          </w:tcPr>
          <w:p>
            <w:pPr>
              <w:pStyle w:val="yTable"/>
              <w:spacing w:after="40"/>
              <w:rPr>
                <w:spacing w:val="-2"/>
                <w:sz w:val="20"/>
              </w:rPr>
            </w:pPr>
            <w:r>
              <w:rPr>
                <w:b/>
                <w:spacing w:val="-2"/>
                <w:sz w:val="20"/>
              </w:rPr>
              <w:t>Part Year Fee – 3 months or more, paid in advance</w:t>
            </w:r>
          </w:p>
        </w:tc>
        <w:tc>
          <w:tcPr>
            <w:tcW w:w="3752" w:type="dxa"/>
          </w:tcPr>
          <w:p>
            <w:pPr>
              <w:pStyle w:val="yTable"/>
              <w:spacing w:after="40"/>
              <w:rPr>
                <w:spacing w:val="-2"/>
                <w:sz w:val="20"/>
              </w:rPr>
            </w:pPr>
            <w:r>
              <w:rPr>
                <w:spacing w:val="-2"/>
                <w:sz w:val="20"/>
              </w:rPr>
              <w:br/>
              <w:t>$32.26/m x length of vessel, per month</w:t>
            </w:r>
          </w:p>
        </w:tc>
      </w:tr>
      <w:tr>
        <w:tc>
          <w:tcPr>
            <w:tcW w:w="3205" w:type="dxa"/>
          </w:tcPr>
          <w:p>
            <w:pPr>
              <w:pStyle w:val="yTable"/>
              <w:spacing w:after="40"/>
              <w:rPr>
                <w:spacing w:val="-2"/>
                <w:sz w:val="20"/>
              </w:rPr>
            </w:pPr>
            <w:r>
              <w:rPr>
                <w:b/>
                <w:spacing w:val="-2"/>
                <w:sz w:val="20"/>
              </w:rPr>
              <w:t>Monthly Fee</w:t>
            </w:r>
          </w:p>
        </w:tc>
        <w:tc>
          <w:tcPr>
            <w:tcW w:w="3752" w:type="dxa"/>
          </w:tcPr>
          <w:p>
            <w:pPr>
              <w:pStyle w:val="yTable"/>
              <w:spacing w:after="40"/>
              <w:rPr>
                <w:spacing w:val="-2"/>
                <w:sz w:val="20"/>
              </w:rPr>
            </w:pPr>
            <w:r>
              <w:rPr>
                <w:spacing w:val="-2"/>
                <w:sz w:val="20"/>
              </w:rPr>
              <w:t>$64.52/m x length of vessel, per month</w:t>
            </w:r>
          </w:p>
        </w:tc>
      </w:tr>
      <w:tr>
        <w:tc>
          <w:tcPr>
            <w:tcW w:w="3205" w:type="dxa"/>
            <w:tcBorders>
              <w:bottom w:val="nil"/>
            </w:tcBorders>
          </w:tcPr>
          <w:p>
            <w:pPr>
              <w:pStyle w:val="yTable"/>
              <w:spacing w:after="40"/>
              <w:rPr>
                <w:spacing w:val="-2"/>
                <w:sz w:val="20"/>
              </w:rPr>
            </w:pPr>
            <w:r>
              <w:rPr>
                <w:b/>
                <w:spacing w:val="-2"/>
                <w:sz w:val="20"/>
              </w:rPr>
              <w:t>Weekly Casual Fee</w:t>
            </w:r>
          </w:p>
        </w:tc>
        <w:tc>
          <w:tcPr>
            <w:tcW w:w="3752" w:type="dxa"/>
            <w:tcBorders>
              <w:bottom w:val="nil"/>
            </w:tcBorders>
          </w:tcPr>
          <w:p>
            <w:pPr>
              <w:pStyle w:val="yTable"/>
              <w:spacing w:after="40"/>
              <w:rPr>
                <w:spacing w:val="-2"/>
                <w:sz w:val="20"/>
              </w:rPr>
            </w:pPr>
            <w:r>
              <w:rPr>
                <w:spacing w:val="-2"/>
                <w:sz w:val="20"/>
              </w:rPr>
              <w:t>$18.40/m x length of vessel, per week</w:t>
            </w:r>
          </w:p>
        </w:tc>
      </w:tr>
      <w:tr>
        <w:tc>
          <w:tcPr>
            <w:tcW w:w="3205" w:type="dxa"/>
            <w:tcBorders>
              <w:bottom w:val="single" w:sz="4" w:space="0" w:color="auto"/>
            </w:tcBorders>
          </w:tcPr>
          <w:p>
            <w:pPr>
              <w:pStyle w:val="yTable"/>
              <w:spacing w:after="40"/>
              <w:rPr>
                <w:spacing w:val="-2"/>
                <w:sz w:val="20"/>
              </w:rPr>
            </w:pPr>
            <w:r>
              <w:rPr>
                <w:b/>
                <w:spacing w:val="-2"/>
                <w:sz w:val="20"/>
              </w:rPr>
              <w:t>Daily Casual Fee</w:t>
            </w:r>
          </w:p>
        </w:tc>
        <w:tc>
          <w:tcPr>
            <w:tcW w:w="3752" w:type="dxa"/>
            <w:tcBorders>
              <w:bottom w:val="single" w:sz="4" w:space="0" w:color="auto"/>
            </w:tcBorders>
          </w:tcPr>
          <w:p>
            <w:pPr>
              <w:pStyle w:val="yTable"/>
              <w:spacing w:after="40"/>
              <w:rPr>
                <w:spacing w:val="-2"/>
                <w:sz w:val="20"/>
              </w:rPr>
            </w:pPr>
            <w:r>
              <w:rPr>
                <w:spacing w:val="-2"/>
                <w:sz w:val="20"/>
              </w:rPr>
              <w:t>$3.68/m x length of vessel, per day</w:t>
            </w:r>
          </w:p>
        </w:tc>
      </w:tr>
    </w:tbl>
    <w:p>
      <w:pPr>
        <w:pStyle w:val="yNumberedItem"/>
      </w:pPr>
      <w:r>
        <w:t xml:space="preserve">Note: </w:t>
      </w:r>
      <w:r>
        <w:tab/>
        <w:t>Commercial/charter vessels berthing in General Purpose Pens are to pay the same fees as if berthed in a Charter Boat Pen.</w:t>
      </w: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14"/>
        <w:gridCol w:w="3163"/>
        <w:gridCol w:w="24"/>
        <w:gridCol w:w="3714"/>
        <w:gridCol w:w="89"/>
      </w:tblGrid>
      <w:tr>
        <w:trPr>
          <w:gridAfter w:val="1"/>
          <w:wAfter w:w="89" w:type="dxa"/>
          <w:cantSplit/>
        </w:trPr>
        <w:tc>
          <w:tcPr>
            <w:tcW w:w="3191" w:type="dxa"/>
            <w:gridSpan w:val="3"/>
          </w:tcPr>
          <w:p>
            <w:pPr>
              <w:spacing w:before="60"/>
            </w:pPr>
            <w:r>
              <w:rPr>
                <w:i/>
                <w:snapToGrid w:val="0"/>
                <w:sz w:val="18"/>
              </w:rPr>
              <w:br w:type="page"/>
            </w:r>
            <w:r>
              <w:rPr>
                <w:i/>
                <w:snapToGrid w:val="0"/>
                <w:sz w:val="18"/>
              </w:rPr>
              <w:br w:type="page"/>
            </w:r>
            <w:r>
              <w:rPr>
                <w:b/>
                <w:spacing w:val="-2"/>
                <w:sz w:val="20"/>
              </w:rPr>
              <w:t>Trawler Pens</w:t>
            </w:r>
          </w:p>
        </w:tc>
        <w:tc>
          <w:tcPr>
            <w:tcW w:w="3738" w:type="dxa"/>
            <w:gridSpan w:val="2"/>
          </w:tcPr>
          <w:p>
            <w:pPr>
              <w:spacing w:before="60"/>
            </w:pPr>
          </w:p>
        </w:tc>
      </w:tr>
      <w:tr>
        <w:trPr>
          <w:gridAfter w:val="1"/>
          <w:wAfter w:w="89" w:type="dxa"/>
          <w:cantSplit/>
        </w:trPr>
        <w:tc>
          <w:tcPr>
            <w:tcW w:w="3191" w:type="dxa"/>
            <w:gridSpan w:val="3"/>
          </w:tcPr>
          <w:p>
            <w:pPr>
              <w:pStyle w:val="yTable"/>
              <w:ind w:left="248" w:hanging="248"/>
            </w:pPr>
            <w:r>
              <w:rPr>
                <w:b/>
                <w:spacing w:val="-2"/>
                <w:sz w:val="20"/>
              </w:rPr>
              <w:t>Annual Fee</w:t>
            </w:r>
          </w:p>
        </w:tc>
        <w:tc>
          <w:tcPr>
            <w:tcW w:w="3738" w:type="dxa"/>
            <w:gridSpan w:val="2"/>
          </w:tcPr>
          <w:p>
            <w:pPr>
              <w:spacing w:before="60"/>
            </w:pPr>
            <w:r>
              <w:rPr>
                <w:spacing w:val="-2"/>
                <w:sz w:val="20"/>
              </w:rPr>
              <w:t>$259.37/m x length of vessel</w:t>
            </w:r>
          </w:p>
        </w:tc>
      </w:tr>
      <w:tr>
        <w:trPr>
          <w:gridAfter w:val="1"/>
          <w:wAfter w:w="89" w:type="dxa"/>
          <w:cantSplit/>
        </w:trPr>
        <w:tc>
          <w:tcPr>
            <w:tcW w:w="3191" w:type="dxa"/>
            <w:gridSpan w:val="3"/>
          </w:tcPr>
          <w:p>
            <w:pPr>
              <w:pStyle w:val="yTable"/>
            </w:pPr>
            <w:r>
              <w:rPr>
                <w:b/>
                <w:spacing w:val="-2"/>
                <w:sz w:val="20"/>
              </w:rPr>
              <w:t>Part Year Fee – 3 months or more, paid in advance</w:t>
            </w:r>
          </w:p>
        </w:tc>
        <w:tc>
          <w:tcPr>
            <w:tcW w:w="3738" w:type="dxa"/>
            <w:gridSpan w:val="2"/>
          </w:tcPr>
          <w:p>
            <w:pPr>
              <w:spacing w:before="60"/>
            </w:pPr>
            <w:r>
              <w:rPr>
                <w:spacing w:val="-2"/>
                <w:sz w:val="20"/>
              </w:rPr>
              <w:br/>
              <w:t>$25.94/m x length of vessel, per month</w:t>
            </w:r>
          </w:p>
        </w:tc>
      </w:tr>
      <w:tr>
        <w:trPr>
          <w:gridAfter w:val="1"/>
          <w:wAfter w:w="89" w:type="dxa"/>
          <w:cantSplit/>
        </w:trPr>
        <w:tc>
          <w:tcPr>
            <w:tcW w:w="3191" w:type="dxa"/>
            <w:gridSpan w:val="3"/>
          </w:tcPr>
          <w:p>
            <w:pPr>
              <w:pStyle w:val="yTable"/>
              <w:spacing w:after="40"/>
              <w:ind w:left="248" w:hanging="248"/>
            </w:pPr>
            <w:r>
              <w:rPr>
                <w:b/>
                <w:spacing w:val="-2"/>
                <w:sz w:val="20"/>
              </w:rPr>
              <w:t>Monthly Fee</w:t>
            </w:r>
          </w:p>
        </w:tc>
        <w:tc>
          <w:tcPr>
            <w:tcW w:w="3738" w:type="dxa"/>
            <w:gridSpan w:val="2"/>
          </w:tcPr>
          <w:p>
            <w:pPr>
              <w:spacing w:before="60" w:after="40"/>
            </w:pPr>
            <w:r>
              <w:rPr>
                <w:spacing w:val="-2"/>
                <w:sz w:val="20"/>
              </w:rPr>
              <w:t>$51.87/m x length of vessel, per month</w:t>
            </w:r>
          </w:p>
        </w:tc>
      </w:tr>
      <w:tr>
        <w:trPr>
          <w:gridAfter w:val="1"/>
          <w:wAfter w:w="89" w:type="dxa"/>
          <w:cantSplit/>
        </w:trPr>
        <w:tc>
          <w:tcPr>
            <w:tcW w:w="3191" w:type="dxa"/>
            <w:gridSpan w:val="3"/>
            <w:tcBorders>
              <w:bottom w:val="nil"/>
            </w:tcBorders>
          </w:tcPr>
          <w:p>
            <w:pPr>
              <w:pStyle w:val="yTable"/>
              <w:spacing w:after="40"/>
              <w:ind w:left="248" w:hanging="248"/>
            </w:pPr>
            <w:r>
              <w:rPr>
                <w:b/>
                <w:spacing w:val="-2"/>
                <w:sz w:val="20"/>
              </w:rPr>
              <w:t>Weekly Fee</w:t>
            </w:r>
          </w:p>
        </w:tc>
        <w:tc>
          <w:tcPr>
            <w:tcW w:w="3738" w:type="dxa"/>
            <w:gridSpan w:val="2"/>
            <w:tcBorders>
              <w:bottom w:val="nil"/>
            </w:tcBorders>
          </w:tcPr>
          <w:p>
            <w:pPr>
              <w:spacing w:before="60" w:after="40"/>
            </w:pPr>
            <w:r>
              <w:rPr>
                <w:spacing w:val="-2"/>
                <w:sz w:val="20"/>
              </w:rPr>
              <w:t>$30.70/m x length of vessel, per week</w:t>
            </w:r>
          </w:p>
        </w:tc>
      </w:tr>
      <w:tr>
        <w:trPr>
          <w:gridAfter w:val="1"/>
          <w:wAfter w:w="89" w:type="dxa"/>
          <w:cantSplit/>
        </w:trPr>
        <w:tc>
          <w:tcPr>
            <w:tcW w:w="3191" w:type="dxa"/>
            <w:gridSpan w:val="3"/>
            <w:tcBorders>
              <w:bottom w:val="single" w:sz="4" w:space="0" w:color="auto"/>
            </w:tcBorders>
          </w:tcPr>
          <w:p>
            <w:pPr>
              <w:pStyle w:val="yTable"/>
              <w:spacing w:after="40"/>
              <w:ind w:left="248" w:hanging="248"/>
            </w:pPr>
            <w:r>
              <w:rPr>
                <w:b/>
                <w:spacing w:val="-2"/>
                <w:sz w:val="20"/>
              </w:rPr>
              <w:t>Daily Casual Fee</w:t>
            </w:r>
          </w:p>
        </w:tc>
        <w:tc>
          <w:tcPr>
            <w:tcW w:w="3738" w:type="dxa"/>
            <w:gridSpan w:val="2"/>
            <w:tcBorders>
              <w:bottom w:val="single" w:sz="4" w:space="0" w:color="auto"/>
            </w:tcBorders>
          </w:tcPr>
          <w:p>
            <w:pPr>
              <w:spacing w:before="60" w:after="40"/>
            </w:pPr>
            <w:r>
              <w:rPr>
                <w:spacing w:val="-2"/>
                <w:sz w:val="20"/>
              </w:rPr>
              <w:t>$6.14/m x length of vessel per day</w:t>
            </w:r>
          </w:p>
        </w:tc>
      </w:tr>
      <w:tr>
        <w:trPr>
          <w:gridAfter w:val="1"/>
          <w:wAfter w:w="89" w:type="dxa"/>
          <w:cantSplit/>
        </w:trPr>
        <w:tc>
          <w:tcPr>
            <w:tcW w:w="3191" w:type="dxa"/>
            <w:gridSpan w:val="3"/>
          </w:tcPr>
          <w:p>
            <w:pPr>
              <w:spacing w:before="60" w:after="40"/>
            </w:pPr>
            <w:r>
              <w:rPr>
                <w:b/>
                <w:spacing w:val="-2"/>
                <w:sz w:val="20"/>
              </w:rPr>
              <w:t xml:space="preserve">Shared Use of Berthing &amp; Mooring Pens </w:t>
            </w:r>
            <w:r>
              <w:rPr>
                <w:spacing w:val="-2"/>
                <w:sz w:val="20"/>
              </w:rPr>
              <w:t>(for those vessels not allocated a permanent mooring pen, and subject to availability)</w:t>
            </w:r>
          </w:p>
        </w:tc>
        <w:tc>
          <w:tcPr>
            <w:tcW w:w="3738" w:type="dxa"/>
            <w:gridSpan w:val="2"/>
          </w:tcPr>
          <w:p>
            <w:pPr>
              <w:spacing w:before="60" w:after="40"/>
            </w:pPr>
          </w:p>
        </w:tc>
      </w:tr>
      <w:tr>
        <w:trPr>
          <w:gridAfter w:val="1"/>
          <w:wAfter w:w="89" w:type="dxa"/>
          <w:cantSplit/>
        </w:trPr>
        <w:tc>
          <w:tcPr>
            <w:tcW w:w="3191" w:type="dxa"/>
            <w:gridSpan w:val="3"/>
          </w:tcPr>
          <w:p>
            <w:pPr>
              <w:pStyle w:val="yTable"/>
              <w:spacing w:after="40"/>
              <w:rPr>
                <w:b/>
                <w:spacing w:val="-2"/>
                <w:sz w:val="20"/>
              </w:rPr>
            </w:pPr>
            <w:r>
              <w:rPr>
                <w:b/>
                <w:spacing w:val="-2"/>
                <w:sz w:val="20"/>
              </w:rPr>
              <w:t>Annual Fee</w:t>
            </w:r>
          </w:p>
          <w:p>
            <w:pPr>
              <w:spacing w:before="60" w:after="40"/>
              <w:ind w:left="248" w:hanging="248"/>
            </w:pPr>
            <w:r>
              <w:rPr>
                <w:b/>
                <w:spacing w:val="-2"/>
                <w:sz w:val="20"/>
              </w:rPr>
              <w:tab/>
              <w:t>Commercial/Charter Boat Pens</w:t>
            </w:r>
          </w:p>
        </w:tc>
        <w:tc>
          <w:tcPr>
            <w:tcW w:w="3738" w:type="dxa"/>
            <w:gridSpan w:val="2"/>
          </w:tcPr>
          <w:p>
            <w:pPr>
              <w:pStyle w:val="yTable"/>
              <w:spacing w:after="40"/>
              <w:rPr>
                <w:spacing w:val="-2"/>
                <w:sz w:val="20"/>
              </w:rPr>
            </w:pPr>
          </w:p>
          <w:p>
            <w:pPr>
              <w:spacing w:before="60" w:after="40"/>
            </w:pPr>
            <w:r>
              <w:rPr>
                <w:spacing w:val="-2"/>
                <w:sz w:val="20"/>
              </w:rPr>
              <w:t>$371.99/m x length of vessel</w:t>
            </w:r>
          </w:p>
        </w:tc>
      </w:tr>
      <w:tr>
        <w:trPr>
          <w:gridAfter w:val="1"/>
          <w:wAfter w:w="89" w:type="dxa"/>
          <w:cantSplit/>
        </w:trPr>
        <w:tc>
          <w:tcPr>
            <w:tcW w:w="3191" w:type="dxa"/>
            <w:gridSpan w:val="3"/>
          </w:tcPr>
          <w:p>
            <w:pPr>
              <w:pStyle w:val="yTable"/>
              <w:spacing w:after="20"/>
              <w:ind w:left="248" w:hanging="248"/>
              <w:rPr>
                <w:b/>
                <w:spacing w:val="-2"/>
                <w:sz w:val="20"/>
              </w:rPr>
            </w:pPr>
            <w:r>
              <w:rPr>
                <w:b/>
                <w:spacing w:val="-2"/>
                <w:sz w:val="20"/>
              </w:rPr>
              <w:t>Annual Fee</w:t>
            </w:r>
          </w:p>
          <w:p>
            <w:pPr>
              <w:spacing w:before="60" w:after="20"/>
              <w:ind w:left="248" w:hanging="248"/>
            </w:pPr>
            <w:r>
              <w:rPr>
                <w:b/>
                <w:spacing w:val="-2"/>
                <w:sz w:val="20"/>
              </w:rPr>
              <w:tab/>
              <w:t>General Purpose Pens</w:t>
            </w:r>
          </w:p>
        </w:tc>
        <w:tc>
          <w:tcPr>
            <w:tcW w:w="3738" w:type="dxa"/>
            <w:gridSpan w:val="2"/>
          </w:tcPr>
          <w:p>
            <w:pPr>
              <w:pStyle w:val="yTable"/>
              <w:spacing w:after="20"/>
              <w:rPr>
                <w:spacing w:val="-2"/>
                <w:sz w:val="20"/>
              </w:rPr>
            </w:pPr>
          </w:p>
          <w:p>
            <w:pPr>
              <w:spacing w:before="60" w:after="20"/>
            </w:pPr>
            <w:r>
              <w:rPr>
                <w:spacing w:val="-2"/>
                <w:sz w:val="20"/>
              </w:rPr>
              <w:t>$322.63/m x length of vessel</w:t>
            </w:r>
          </w:p>
        </w:tc>
      </w:tr>
      <w:tr>
        <w:trPr>
          <w:gridAfter w:val="1"/>
          <w:wAfter w:w="89" w:type="dxa"/>
          <w:cantSplit/>
        </w:trPr>
        <w:tc>
          <w:tcPr>
            <w:tcW w:w="3191" w:type="dxa"/>
            <w:gridSpan w:val="3"/>
          </w:tcPr>
          <w:p>
            <w:pPr>
              <w:pStyle w:val="yTable"/>
              <w:spacing w:after="20"/>
              <w:ind w:left="248" w:hanging="248"/>
              <w:rPr>
                <w:b/>
                <w:spacing w:val="-2"/>
                <w:sz w:val="20"/>
              </w:rPr>
            </w:pPr>
            <w:r>
              <w:rPr>
                <w:b/>
                <w:spacing w:val="-2"/>
                <w:sz w:val="20"/>
              </w:rPr>
              <w:t>Annual Fee</w:t>
            </w:r>
          </w:p>
          <w:p>
            <w:pPr>
              <w:spacing w:before="60" w:after="20"/>
              <w:ind w:left="248" w:hanging="248"/>
            </w:pPr>
            <w:r>
              <w:rPr>
                <w:b/>
                <w:spacing w:val="-2"/>
                <w:sz w:val="20"/>
              </w:rPr>
              <w:tab/>
              <w:t>Trawler Pens</w:t>
            </w:r>
          </w:p>
        </w:tc>
        <w:tc>
          <w:tcPr>
            <w:tcW w:w="3738" w:type="dxa"/>
            <w:gridSpan w:val="2"/>
          </w:tcPr>
          <w:p>
            <w:pPr>
              <w:pStyle w:val="yTable"/>
              <w:spacing w:after="20"/>
              <w:rPr>
                <w:spacing w:val="-2"/>
                <w:sz w:val="20"/>
              </w:rPr>
            </w:pPr>
          </w:p>
          <w:p>
            <w:pPr>
              <w:spacing w:before="60" w:after="20"/>
            </w:pPr>
            <w:r>
              <w:rPr>
                <w:spacing w:val="-2"/>
                <w:sz w:val="20"/>
              </w:rPr>
              <w:t>$259.37/m x length of vessel</w:t>
            </w:r>
          </w:p>
        </w:tc>
      </w:tr>
      <w:tr>
        <w:tblPrEx>
          <w:tblCellMar>
            <w:left w:w="84" w:type="dxa"/>
            <w:right w:w="84" w:type="dxa"/>
          </w:tblCellMar>
        </w:tblPrEx>
        <w:trPr>
          <w:gridAfter w:val="1"/>
          <w:wAfter w:w="89" w:type="dxa"/>
          <w:cantSplit/>
        </w:trPr>
        <w:tc>
          <w:tcPr>
            <w:tcW w:w="6929" w:type="dxa"/>
            <w:gridSpan w:val="5"/>
            <w:tcBorders>
              <w:left w:val="nil"/>
              <w:bottom w:val="nil"/>
              <w:right w:val="nil"/>
            </w:tcBorders>
          </w:tcPr>
          <w:p>
            <w:pPr>
              <w:pStyle w:val="yNumberedItem"/>
              <w:rPr>
                <w:snapToGrid w:val="0"/>
              </w:rPr>
            </w:pPr>
            <w:r>
              <w:t>Note:</w:t>
            </w:r>
            <w:r>
              <w:tab/>
              <w:t>Pen fees apply per vessel (even if the pen is used by more than one vessel), other than where the long</w:t>
            </w:r>
            <w:r>
              <w:noBreakHyphen/>
              <w:t>term lease has been granted.</w:t>
            </w:r>
          </w:p>
        </w:tc>
      </w:tr>
      <w:tr>
        <w:tblPrEx>
          <w:tblCellMar>
            <w:left w:w="84" w:type="dxa"/>
            <w:right w:w="84" w:type="dxa"/>
          </w:tblCellMar>
        </w:tblPrEx>
        <w:trPr>
          <w:gridBefore w:val="1"/>
          <w:gridAfter w:val="1"/>
          <w:wBefore w:w="14" w:type="dxa"/>
          <w:wAfter w:w="89" w:type="dxa"/>
          <w:cantSplit/>
        </w:trPr>
        <w:tc>
          <w:tcPr>
            <w:tcW w:w="3201" w:type="dxa"/>
            <w:gridSpan w:val="3"/>
            <w:tcBorders>
              <w:bottom w:val="single" w:sz="4" w:space="0" w:color="auto"/>
            </w:tcBorders>
          </w:tcPr>
          <w:p>
            <w:pPr>
              <w:pStyle w:val="yTable"/>
              <w:spacing w:after="40"/>
              <w:rPr>
                <w:spacing w:val="-2"/>
                <w:sz w:val="20"/>
              </w:rPr>
            </w:pPr>
            <w:r>
              <w:rPr>
                <w:b/>
                <w:spacing w:val="-2"/>
                <w:sz w:val="20"/>
              </w:rPr>
              <w:t>‘Live on Board’ Fee</w:t>
            </w:r>
          </w:p>
        </w:tc>
        <w:tc>
          <w:tcPr>
            <w:tcW w:w="3714" w:type="dxa"/>
            <w:tcBorders>
              <w:bottom w:val="single" w:sz="4" w:space="0" w:color="auto"/>
            </w:tcBorders>
          </w:tcPr>
          <w:p>
            <w:pPr>
              <w:pStyle w:val="yTable"/>
              <w:spacing w:after="40"/>
              <w:rPr>
                <w:spacing w:val="-2"/>
                <w:sz w:val="20"/>
              </w:rPr>
            </w:pPr>
            <w:r>
              <w:rPr>
                <w:spacing w:val="-2"/>
                <w:sz w:val="20"/>
              </w:rPr>
              <w:t>$33.50 per month per vessel</w:t>
            </w:r>
          </w:p>
        </w:tc>
      </w:tr>
      <w:tr>
        <w:tblPrEx>
          <w:tblCellMar>
            <w:left w:w="84" w:type="dxa"/>
            <w:right w:w="84" w:type="dxa"/>
          </w:tblCellMar>
        </w:tblPrEx>
        <w:trPr>
          <w:gridBefore w:val="1"/>
          <w:gridAfter w:val="1"/>
          <w:wBefore w:w="14" w:type="dxa"/>
          <w:wAfter w:w="89" w:type="dxa"/>
          <w:cantSplit/>
        </w:trPr>
        <w:tc>
          <w:tcPr>
            <w:tcW w:w="3201" w:type="dxa"/>
            <w:gridSpan w:val="3"/>
            <w:tcBorders>
              <w:top w:val="nil"/>
            </w:tcBorders>
          </w:tcPr>
          <w:p>
            <w:pPr>
              <w:pStyle w:val="yTable"/>
              <w:spacing w:after="40"/>
              <w:rPr>
                <w:b/>
                <w:spacing w:val="-2"/>
                <w:sz w:val="20"/>
              </w:rPr>
            </w:pPr>
            <w:r>
              <w:rPr>
                <w:b/>
                <w:spacing w:val="-2"/>
                <w:sz w:val="20"/>
              </w:rPr>
              <w:t>Use of Service Jetty</w:t>
            </w:r>
          </w:p>
        </w:tc>
        <w:tc>
          <w:tcPr>
            <w:tcW w:w="3714" w:type="dxa"/>
            <w:tcBorders>
              <w:top w:val="nil"/>
            </w:tcBorders>
          </w:tcPr>
          <w:p>
            <w:pPr>
              <w:pStyle w:val="yTable"/>
              <w:spacing w:after="40"/>
              <w:rPr>
                <w:spacing w:val="-2"/>
                <w:sz w:val="20"/>
              </w:rPr>
            </w:pP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342" w:hanging="342"/>
              <w:rPr>
                <w:spacing w:val="-2"/>
                <w:sz w:val="20"/>
              </w:rPr>
            </w:pPr>
            <w:r>
              <w:rPr>
                <w:b/>
                <w:spacing w:val="-2"/>
                <w:sz w:val="20"/>
              </w:rPr>
              <w:t>Daily Casual Fee</w:t>
            </w:r>
          </w:p>
        </w:tc>
        <w:tc>
          <w:tcPr>
            <w:tcW w:w="3714" w:type="dxa"/>
          </w:tcPr>
          <w:p>
            <w:pPr>
              <w:pStyle w:val="yTable"/>
              <w:spacing w:after="40"/>
              <w:rPr>
                <w:spacing w:val="-2"/>
                <w:sz w:val="20"/>
              </w:rPr>
            </w:pP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58"/>
              <w:rPr>
                <w:b/>
                <w:spacing w:val="-2"/>
                <w:sz w:val="20"/>
              </w:rPr>
            </w:pPr>
            <w:r>
              <w:rPr>
                <w:spacing w:val="-2"/>
                <w:sz w:val="20"/>
              </w:rPr>
              <w:t>Vessels with Harbour Pen/Mooring/Shared Use facility</w:t>
            </w:r>
          </w:p>
        </w:tc>
        <w:tc>
          <w:tcPr>
            <w:tcW w:w="3714" w:type="dxa"/>
          </w:tcPr>
          <w:p>
            <w:pPr>
              <w:pStyle w:val="yTable"/>
              <w:spacing w:after="40"/>
              <w:rPr>
                <w:spacing w:val="-2"/>
              </w:rPr>
            </w:pPr>
            <w:r>
              <w:rPr>
                <w:spacing w:val="-2"/>
                <w:sz w:val="20"/>
              </w:rPr>
              <w:br/>
              <w:t>$3.68/m x length of vessel, per day</w:t>
            </w: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58"/>
              <w:rPr>
                <w:b/>
                <w:spacing w:val="-2"/>
                <w:sz w:val="20"/>
              </w:rPr>
            </w:pPr>
            <w:r>
              <w:rPr>
                <w:spacing w:val="-2"/>
                <w:sz w:val="20"/>
              </w:rPr>
              <w:t>Other Vessels</w:t>
            </w:r>
          </w:p>
        </w:tc>
        <w:tc>
          <w:tcPr>
            <w:tcW w:w="3714" w:type="dxa"/>
          </w:tcPr>
          <w:p>
            <w:pPr>
              <w:spacing w:before="60" w:after="40"/>
            </w:pPr>
            <w:r>
              <w:rPr>
                <w:spacing w:val="-2"/>
                <w:sz w:val="20"/>
              </w:rPr>
              <w:t>$7.37/m x length of vessel, per day</w:t>
            </w: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6"/>
              <w:rPr>
                <w:spacing w:val="-2"/>
                <w:sz w:val="20"/>
              </w:rPr>
            </w:pPr>
            <w:r>
              <w:rPr>
                <w:b/>
                <w:spacing w:val="-2"/>
                <w:sz w:val="20"/>
              </w:rPr>
              <w:t>Annual Fee</w:t>
            </w:r>
          </w:p>
        </w:tc>
        <w:tc>
          <w:tcPr>
            <w:tcW w:w="3714" w:type="dxa"/>
          </w:tcPr>
          <w:p>
            <w:pPr>
              <w:pStyle w:val="yTable"/>
              <w:spacing w:after="40"/>
              <w:rPr>
                <w:spacing w:val="-2"/>
                <w:sz w:val="20"/>
              </w:rPr>
            </w:pP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58"/>
              <w:rPr>
                <w:b/>
                <w:spacing w:val="-2"/>
                <w:sz w:val="20"/>
              </w:rPr>
            </w:pPr>
            <w:r>
              <w:rPr>
                <w:spacing w:val="-2"/>
                <w:sz w:val="20"/>
              </w:rPr>
              <w:t>Vessels with Harbour Pen/Mooring/Shared Use facility</w:t>
            </w:r>
          </w:p>
        </w:tc>
        <w:tc>
          <w:tcPr>
            <w:tcW w:w="3714" w:type="dxa"/>
          </w:tcPr>
          <w:p>
            <w:pPr>
              <w:pStyle w:val="yTable"/>
              <w:spacing w:after="40"/>
              <w:rPr>
                <w:spacing w:val="-2"/>
              </w:rPr>
            </w:pPr>
            <w:r>
              <w:rPr>
                <w:spacing w:val="-2"/>
                <w:sz w:val="20"/>
              </w:rPr>
              <w:br/>
              <w:t>$184.26/m x length of vessel</w:t>
            </w:r>
          </w:p>
        </w:tc>
      </w:tr>
      <w:tr>
        <w:tblPrEx>
          <w:tblCellMar>
            <w:left w:w="84" w:type="dxa"/>
            <w:right w:w="84" w:type="dxa"/>
          </w:tblCellMar>
        </w:tblPrEx>
        <w:trPr>
          <w:gridBefore w:val="1"/>
          <w:gridAfter w:val="1"/>
          <w:wBefore w:w="14" w:type="dxa"/>
          <w:wAfter w:w="89" w:type="dxa"/>
          <w:cantSplit/>
        </w:trPr>
        <w:tc>
          <w:tcPr>
            <w:tcW w:w="3201" w:type="dxa"/>
            <w:gridSpan w:val="3"/>
            <w:tcBorders>
              <w:bottom w:val="nil"/>
            </w:tcBorders>
          </w:tcPr>
          <w:p>
            <w:pPr>
              <w:pStyle w:val="yTable"/>
              <w:spacing w:after="40"/>
              <w:ind w:left="258"/>
              <w:rPr>
                <w:b/>
                <w:spacing w:val="-2"/>
                <w:sz w:val="20"/>
              </w:rPr>
            </w:pPr>
            <w:r>
              <w:rPr>
                <w:spacing w:val="-2"/>
                <w:sz w:val="20"/>
              </w:rPr>
              <w:t>Other Vessels</w:t>
            </w:r>
          </w:p>
        </w:tc>
        <w:tc>
          <w:tcPr>
            <w:tcW w:w="3714" w:type="dxa"/>
            <w:tcBorders>
              <w:bottom w:val="nil"/>
            </w:tcBorders>
          </w:tcPr>
          <w:p>
            <w:pPr>
              <w:spacing w:before="60" w:after="40"/>
            </w:pPr>
            <w:r>
              <w:rPr>
                <w:spacing w:val="-2"/>
                <w:sz w:val="20"/>
              </w:rPr>
              <w:t>$368.52/m x length of vessel</w:t>
            </w:r>
          </w:p>
        </w:tc>
      </w:tr>
      <w:tr>
        <w:tblPrEx>
          <w:tblCellMar>
            <w:left w:w="84" w:type="dxa"/>
            <w:right w:w="84" w:type="dxa"/>
          </w:tblCellMar>
        </w:tblPrEx>
        <w:trPr>
          <w:gridBefore w:val="1"/>
          <w:gridAfter w:val="1"/>
          <w:wBefore w:w="14" w:type="dxa"/>
          <w:wAfter w:w="89" w:type="dxa"/>
          <w:cantSplit/>
        </w:trPr>
        <w:tc>
          <w:tcPr>
            <w:tcW w:w="6915" w:type="dxa"/>
            <w:gridSpan w:val="4"/>
            <w:tcBorders>
              <w:left w:val="nil"/>
              <w:bottom w:val="nil"/>
              <w:right w:val="nil"/>
            </w:tcBorders>
          </w:tcPr>
          <w:p>
            <w:pPr>
              <w:pStyle w:val="yNumberedItem"/>
              <w:rPr>
                <w:snapToGrid w:val="0"/>
              </w:rPr>
            </w:pPr>
            <w:r>
              <w:t>Note:</w:t>
            </w:r>
            <w:r>
              <w:tab/>
              <w:t>No Berthage Fee applies for fuelling purposes or short duration for transfer (if vessel has harbour pen or mooring).</w:t>
            </w:r>
          </w:p>
        </w:tc>
      </w:tr>
      <w:tr>
        <w:tblPrEx>
          <w:tblCellMar>
            <w:left w:w="84" w:type="dxa"/>
            <w:right w:w="84" w:type="dxa"/>
          </w:tblCellMar>
        </w:tblPrEx>
        <w:trPr>
          <w:gridBefore w:val="2"/>
          <w:wBefore w:w="28" w:type="dxa"/>
          <w:cantSplit/>
        </w:trPr>
        <w:tc>
          <w:tcPr>
            <w:tcW w:w="3163" w:type="dxa"/>
          </w:tcPr>
          <w:p>
            <w:pPr>
              <w:pStyle w:val="yTable"/>
              <w:keepNext/>
              <w:keepLines/>
              <w:spacing w:before="40" w:after="40"/>
              <w:rPr>
                <w:spacing w:val="-2"/>
                <w:sz w:val="20"/>
              </w:rPr>
            </w:pPr>
            <w:r>
              <w:rPr>
                <w:b/>
                <w:spacing w:val="-2"/>
                <w:sz w:val="20"/>
              </w:rPr>
              <w:t xml:space="preserve">Cyclone Moorings </w:t>
            </w:r>
            <w:r>
              <w:rPr>
                <w:spacing w:val="-2"/>
                <w:sz w:val="20"/>
              </w:rPr>
              <w:t>(Using Seabed Piles and Wharf or Pen piles)</w:t>
            </w:r>
          </w:p>
        </w:tc>
        <w:tc>
          <w:tcPr>
            <w:tcW w:w="3827" w:type="dxa"/>
            <w:gridSpan w:val="3"/>
          </w:tcPr>
          <w:p>
            <w:pPr>
              <w:pStyle w:val="yTable"/>
              <w:keepNext/>
              <w:keepLines/>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keepNext/>
              <w:keepLines/>
              <w:spacing w:before="40" w:after="40"/>
              <w:ind w:left="244"/>
              <w:rPr>
                <w:spacing w:val="-2"/>
                <w:sz w:val="20"/>
              </w:rPr>
            </w:pPr>
            <w:r>
              <w:rPr>
                <w:spacing w:val="-2"/>
                <w:sz w:val="20"/>
              </w:rPr>
              <w:t>Vessels that have paid Annual/Monthly Berthage or Harbour Pen Fees</w:t>
            </w:r>
          </w:p>
        </w:tc>
        <w:tc>
          <w:tcPr>
            <w:tcW w:w="3827" w:type="dxa"/>
            <w:gridSpan w:val="3"/>
          </w:tcPr>
          <w:p>
            <w:pPr>
              <w:pStyle w:val="yTable"/>
              <w:keepNext/>
              <w:keepLines/>
              <w:spacing w:before="40" w:after="40"/>
              <w:rPr>
                <w:spacing w:val="-2"/>
                <w:sz w:val="20"/>
              </w:rPr>
            </w:pPr>
            <w:r>
              <w:rPr>
                <w:spacing w:val="-2"/>
                <w:sz w:val="20"/>
              </w:rPr>
              <w:br/>
            </w:r>
            <w:r>
              <w:rPr>
                <w:spacing w:val="-2"/>
                <w:sz w:val="20"/>
              </w:rPr>
              <w:br/>
              <w:t>No charge</w:t>
            </w:r>
          </w:p>
        </w:tc>
      </w:tr>
      <w:tr>
        <w:tblPrEx>
          <w:tblCellMar>
            <w:left w:w="84" w:type="dxa"/>
            <w:right w:w="84" w:type="dxa"/>
          </w:tblCellMar>
        </w:tblPrEx>
        <w:trPr>
          <w:gridBefore w:val="2"/>
          <w:wBefore w:w="28" w:type="dxa"/>
          <w:cantSplit/>
        </w:trPr>
        <w:tc>
          <w:tcPr>
            <w:tcW w:w="3163" w:type="dxa"/>
            <w:tcBorders>
              <w:bottom w:val="nil"/>
            </w:tcBorders>
          </w:tcPr>
          <w:p>
            <w:pPr>
              <w:pStyle w:val="yTable"/>
              <w:spacing w:before="40" w:after="40"/>
              <w:ind w:left="244"/>
              <w:rPr>
                <w:spacing w:val="-2"/>
                <w:sz w:val="20"/>
              </w:rPr>
            </w:pPr>
            <w:r>
              <w:rPr>
                <w:spacing w:val="-2"/>
                <w:sz w:val="20"/>
              </w:rPr>
              <w:t>Other Vessels (in addition to prescribed Harbour Fees and Charges)</w:t>
            </w:r>
          </w:p>
        </w:tc>
        <w:tc>
          <w:tcPr>
            <w:tcW w:w="3827" w:type="dxa"/>
            <w:gridSpan w:val="3"/>
            <w:tcBorders>
              <w:bottom w:val="nil"/>
            </w:tcBorders>
          </w:tcPr>
          <w:p>
            <w:pPr>
              <w:pStyle w:val="yTable"/>
              <w:keepNext/>
              <w:keepLines/>
              <w:spacing w:before="40" w:after="40"/>
              <w:rPr>
                <w:spacing w:val="-2"/>
                <w:sz w:val="20"/>
              </w:rPr>
            </w:pPr>
            <w:r>
              <w:rPr>
                <w:spacing w:val="-2"/>
                <w:sz w:val="20"/>
              </w:rPr>
              <w:br/>
            </w:r>
            <w:r>
              <w:rPr>
                <w:spacing w:val="-2"/>
                <w:sz w:val="20"/>
              </w:rPr>
              <w:br/>
              <w:t>$12.65/m x length of vessel</w:t>
            </w:r>
          </w:p>
        </w:tc>
      </w:tr>
      <w:tr>
        <w:tblPrEx>
          <w:tblCellMar>
            <w:left w:w="84" w:type="dxa"/>
            <w:right w:w="84" w:type="dxa"/>
          </w:tblCellMar>
        </w:tblPrEx>
        <w:trPr>
          <w:gridBefore w:val="2"/>
          <w:wBefore w:w="28" w:type="dxa"/>
          <w:cantSplit/>
        </w:trPr>
        <w:tc>
          <w:tcPr>
            <w:tcW w:w="3163" w:type="dxa"/>
            <w:tcBorders>
              <w:top w:val="single" w:sz="4" w:space="0" w:color="auto"/>
            </w:tcBorders>
          </w:tcPr>
          <w:p>
            <w:pPr>
              <w:pStyle w:val="yTable"/>
              <w:spacing w:before="40" w:after="40"/>
              <w:ind w:left="342" w:hanging="342"/>
              <w:rPr>
                <w:b/>
                <w:spacing w:val="-2"/>
                <w:sz w:val="20"/>
              </w:rPr>
            </w:pPr>
            <w:r>
              <w:rPr>
                <w:b/>
                <w:spacing w:val="-2"/>
                <w:sz w:val="20"/>
              </w:rPr>
              <w:t>Service Wharf Hardstand Area</w:t>
            </w:r>
          </w:p>
        </w:tc>
        <w:tc>
          <w:tcPr>
            <w:tcW w:w="3827" w:type="dxa"/>
            <w:gridSpan w:val="3"/>
            <w:tcBorders>
              <w:top w:val="single" w:sz="4" w:space="0" w:color="auto"/>
            </w:tcBorders>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44"/>
              <w:rPr>
                <w:spacing w:val="-2"/>
                <w:sz w:val="20"/>
              </w:rPr>
            </w:pPr>
            <w:r>
              <w:rPr>
                <w:spacing w:val="-2"/>
                <w:sz w:val="20"/>
              </w:rPr>
              <w:t>Storage, etc.</w:t>
            </w:r>
          </w:p>
        </w:tc>
        <w:tc>
          <w:tcPr>
            <w:tcW w:w="3827" w:type="dxa"/>
            <w:gridSpan w:val="3"/>
          </w:tcPr>
          <w:p>
            <w:pPr>
              <w:pStyle w:val="yTable"/>
              <w:spacing w:before="40" w:after="40"/>
              <w:rPr>
                <w:spacing w:val="-2"/>
                <w:sz w:val="20"/>
              </w:rPr>
            </w:pPr>
            <w:r>
              <w:rPr>
                <w:spacing w:val="-2"/>
                <w:sz w:val="20"/>
              </w:rPr>
              <w:t>$1.26 per m</w:t>
            </w:r>
            <w:r>
              <w:rPr>
                <w:spacing w:val="-2"/>
                <w:sz w:val="20"/>
                <w:vertAlign w:val="superscript"/>
              </w:rPr>
              <w:t>2</w:t>
            </w:r>
            <w:r>
              <w:rPr>
                <w:spacing w:val="-2"/>
                <w:sz w:val="20"/>
              </w:rPr>
              <w:t>, per day, with a minimum fee of $23.30 per day</w:t>
            </w:r>
          </w:p>
        </w:tc>
      </w:tr>
      <w:tr>
        <w:tblPrEx>
          <w:tblCellMar>
            <w:left w:w="84" w:type="dxa"/>
            <w:right w:w="84" w:type="dxa"/>
          </w:tblCellMar>
        </w:tblPrEx>
        <w:trPr>
          <w:gridBefore w:val="2"/>
          <w:wBefore w:w="28" w:type="dxa"/>
          <w:cantSplit/>
        </w:trPr>
        <w:tc>
          <w:tcPr>
            <w:tcW w:w="3163" w:type="dxa"/>
          </w:tcPr>
          <w:p>
            <w:pPr>
              <w:pStyle w:val="yTable"/>
              <w:spacing w:before="40" w:after="40"/>
              <w:rPr>
                <w:spacing w:val="-2"/>
                <w:sz w:val="20"/>
              </w:rPr>
            </w:pPr>
            <w:r>
              <w:rPr>
                <w:b/>
                <w:spacing w:val="-2"/>
                <w:sz w:val="20"/>
              </w:rPr>
              <w:t>Use of Harbour Beach Area for Vessel Inspections</w:t>
            </w:r>
            <w:r>
              <w:rPr>
                <w:spacing w:val="-2"/>
                <w:sz w:val="20"/>
              </w:rPr>
              <w:t xml:space="preserve"> by vessels not penned in the harbour</w:t>
            </w:r>
          </w:p>
        </w:tc>
        <w:tc>
          <w:tcPr>
            <w:tcW w:w="3827" w:type="dxa"/>
            <w:gridSpan w:val="3"/>
          </w:tcPr>
          <w:p>
            <w:pPr>
              <w:pStyle w:val="yTable"/>
              <w:spacing w:before="40" w:after="40"/>
              <w:rPr>
                <w:spacing w:val="-2"/>
                <w:sz w:val="20"/>
              </w:rPr>
            </w:pPr>
            <w:r>
              <w:rPr>
                <w:spacing w:val="-2"/>
                <w:sz w:val="20"/>
              </w:rPr>
              <w:br/>
            </w:r>
            <w:r>
              <w:rPr>
                <w:spacing w:val="-2"/>
                <w:sz w:val="20"/>
              </w:rPr>
              <w:br/>
              <w:t>$31.64 per day or part of a day</w:t>
            </w:r>
          </w:p>
        </w:tc>
      </w:tr>
      <w:tr>
        <w:tblPrEx>
          <w:tblCellMar>
            <w:left w:w="84" w:type="dxa"/>
            <w:right w:w="84" w:type="dxa"/>
          </w:tblCellMar>
        </w:tblPrEx>
        <w:trPr>
          <w:gridBefore w:val="2"/>
          <w:wBefore w:w="28" w:type="dxa"/>
          <w:cantSplit/>
        </w:trPr>
        <w:tc>
          <w:tcPr>
            <w:tcW w:w="3163" w:type="dxa"/>
          </w:tcPr>
          <w:p>
            <w:pPr>
              <w:pStyle w:val="yTable"/>
              <w:keepNext/>
              <w:spacing w:before="40" w:after="40"/>
              <w:rPr>
                <w:b/>
                <w:spacing w:val="-2"/>
                <w:sz w:val="20"/>
              </w:rPr>
            </w:pPr>
            <w:r>
              <w:rPr>
                <w:b/>
                <w:spacing w:val="-2"/>
                <w:sz w:val="20"/>
              </w:rPr>
              <w:t>Rubbish Disposal</w:t>
            </w:r>
          </w:p>
        </w:tc>
        <w:tc>
          <w:tcPr>
            <w:tcW w:w="3827" w:type="dxa"/>
            <w:gridSpan w:val="3"/>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Charge for Removal of any Waste Oil Drums (not removed by the owner)</w:t>
            </w:r>
          </w:p>
        </w:tc>
        <w:tc>
          <w:tcPr>
            <w:tcW w:w="3827" w:type="dxa"/>
            <w:gridSpan w:val="3"/>
          </w:tcPr>
          <w:p>
            <w:pPr>
              <w:pStyle w:val="yTable"/>
              <w:spacing w:before="40" w:after="40"/>
              <w:rPr>
                <w:spacing w:val="-2"/>
                <w:sz w:val="20"/>
              </w:rPr>
            </w:pPr>
            <w:r>
              <w:rPr>
                <w:spacing w:val="-2"/>
                <w:sz w:val="20"/>
              </w:rPr>
              <w:br/>
            </w:r>
            <w:r>
              <w:rPr>
                <w:spacing w:val="-2"/>
                <w:sz w:val="20"/>
              </w:rPr>
              <w:br/>
              <w:t>$6.32 per 20 L drum</w:t>
            </w:r>
          </w:p>
        </w:tc>
      </w:tr>
      <w:tr>
        <w:tblPrEx>
          <w:tblCellMar>
            <w:left w:w="84" w:type="dxa"/>
            <w:right w:w="84" w:type="dxa"/>
          </w:tblCellMar>
        </w:tblPrEx>
        <w:trPr>
          <w:gridBefore w:val="2"/>
          <w:wBefore w:w="28" w:type="dxa"/>
          <w:cantSplit/>
        </w:trPr>
        <w:tc>
          <w:tcPr>
            <w:tcW w:w="3163" w:type="dxa"/>
          </w:tcPr>
          <w:p>
            <w:pPr>
              <w:pStyle w:val="yTable"/>
              <w:spacing w:before="40" w:after="40"/>
              <w:ind w:left="200"/>
              <w:rPr>
                <w:b/>
                <w:spacing w:val="-2"/>
                <w:sz w:val="20"/>
              </w:rPr>
            </w:pPr>
            <w:r>
              <w:rPr>
                <w:spacing w:val="-2"/>
                <w:sz w:val="20"/>
              </w:rPr>
              <w:t>for excess quantities, or if from other than vessels using harbour</w:t>
            </w:r>
          </w:p>
        </w:tc>
        <w:tc>
          <w:tcPr>
            <w:tcW w:w="3827" w:type="dxa"/>
            <w:gridSpan w:val="3"/>
          </w:tcPr>
          <w:p>
            <w:pPr>
              <w:pStyle w:val="yTable"/>
              <w:spacing w:before="40" w:after="40"/>
              <w:rPr>
                <w:spacing w:val="-2"/>
                <w:sz w:val="20"/>
              </w:rPr>
            </w:pPr>
            <w:r>
              <w:rPr>
                <w:spacing w:val="-2"/>
                <w:sz w:val="20"/>
              </w:rPr>
              <w:br/>
              <w:t>$63.25 per service</w:t>
            </w: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4"/>
                <w:sz w:val="20"/>
              </w:rPr>
            </w:pPr>
            <w:r>
              <w:rPr>
                <w:spacing w:val="-4"/>
                <w:sz w:val="20"/>
              </w:rPr>
              <w:t>to clean up rubbish not placed in bins</w:t>
            </w:r>
          </w:p>
        </w:tc>
        <w:tc>
          <w:tcPr>
            <w:tcW w:w="3827" w:type="dxa"/>
            <w:gridSpan w:val="3"/>
          </w:tcPr>
          <w:p>
            <w:pPr>
              <w:pStyle w:val="yTable"/>
              <w:spacing w:before="40" w:after="40"/>
              <w:rPr>
                <w:spacing w:val="-2"/>
                <w:sz w:val="20"/>
              </w:rPr>
            </w:pPr>
            <w:r>
              <w:rPr>
                <w:spacing w:val="-2"/>
                <w:sz w:val="20"/>
              </w:rPr>
              <w:br/>
              <w:t>at cost</w:t>
            </w:r>
          </w:p>
        </w:tc>
      </w:tr>
      <w:tr>
        <w:tblPrEx>
          <w:tblCellMar>
            <w:left w:w="84" w:type="dxa"/>
            <w:right w:w="84" w:type="dxa"/>
          </w:tblCellMar>
        </w:tblPrEx>
        <w:trPr>
          <w:gridBefore w:val="2"/>
          <w:wBefore w:w="28" w:type="dxa"/>
          <w:cantSplit/>
        </w:trPr>
        <w:tc>
          <w:tcPr>
            <w:tcW w:w="3163" w:type="dxa"/>
          </w:tcPr>
          <w:p>
            <w:pPr>
              <w:pStyle w:val="yTable"/>
              <w:spacing w:before="40" w:after="40"/>
              <w:rPr>
                <w:b/>
                <w:spacing w:val="-2"/>
                <w:sz w:val="20"/>
              </w:rPr>
            </w:pPr>
            <w:r>
              <w:rPr>
                <w:b/>
                <w:spacing w:val="-2"/>
                <w:sz w:val="20"/>
              </w:rPr>
              <w:t>Water charge</w:t>
            </w:r>
          </w:p>
        </w:tc>
        <w:tc>
          <w:tcPr>
            <w:tcW w:w="3827" w:type="dxa"/>
            <w:gridSpan w:val="3"/>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General purpose, Service Wharf &amp; Hardstand (large quantities)</w:t>
            </w:r>
          </w:p>
        </w:tc>
        <w:tc>
          <w:tcPr>
            <w:tcW w:w="3827" w:type="dxa"/>
            <w:gridSpan w:val="3"/>
          </w:tcPr>
          <w:p>
            <w:pPr>
              <w:pStyle w:val="yTable"/>
              <w:spacing w:before="40" w:after="40"/>
              <w:rPr>
                <w:spacing w:val="-2"/>
                <w:sz w:val="20"/>
              </w:rPr>
            </w:pPr>
            <w:r>
              <w:rPr>
                <w:spacing w:val="-2"/>
                <w:sz w:val="20"/>
              </w:rPr>
              <w:br/>
              <w:t>At cost, with a minimum fee of $3.94 per day</w:t>
            </w: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Charter Pens (metered)</w:t>
            </w:r>
          </w:p>
        </w:tc>
        <w:tc>
          <w:tcPr>
            <w:tcW w:w="3827" w:type="dxa"/>
            <w:gridSpan w:val="3"/>
          </w:tcPr>
          <w:p>
            <w:pPr>
              <w:pStyle w:val="yTable"/>
              <w:spacing w:before="40" w:after="40"/>
              <w:rPr>
                <w:spacing w:val="-2"/>
                <w:sz w:val="20"/>
              </w:rPr>
            </w:pPr>
            <w:r>
              <w:rPr>
                <w:spacing w:val="-2"/>
                <w:sz w:val="20"/>
              </w:rPr>
              <w:t>At cost</w:t>
            </w:r>
          </w:p>
        </w:tc>
      </w:tr>
      <w:tr>
        <w:tblPrEx>
          <w:tblCellMar>
            <w:left w:w="84" w:type="dxa"/>
            <w:right w:w="84" w:type="dxa"/>
          </w:tblCellMar>
        </w:tblPrEx>
        <w:trPr>
          <w:gridBefore w:val="2"/>
          <w:wBefore w:w="28" w:type="dxa"/>
          <w:cantSplit/>
        </w:trPr>
        <w:tc>
          <w:tcPr>
            <w:tcW w:w="3163" w:type="dxa"/>
          </w:tcPr>
          <w:p>
            <w:pPr>
              <w:pStyle w:val="yTable"/>
              <w:spacing w:before="40" w:after="40"/>
              <w:rPr>
                <w:spacing w:val="-2"/>
                <w:sz w:val="20"/>
              </w:rPr>
            </w:pPr>
            <w:r>
              <w:rPr>
                <w:b/>
                <w:spacing w:val="-2"/>
                <w:sz w:val="20"/>
              </w:rPr>
              <w:t>Electrical power charges</w:t>
            </w:r>
            <w:r>
              <w:rPr>
                <w:spacing w:val="-2"/>
                <w:sz w:val="20"/>
              </w:rPr>
              <w:t xml:space="preserve"> </w:t>
            </w:r>
          </w:p>
        </w:tc>
        <w:tc>
          <w:tcPr>
            <w:tcW w:w="3827" w:type="dxa"/>
            <w:gridSpan w:val="3"/>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Charter Pens – single/3</w:t>
            </w:r>
            <w:r>
              <w:rPr>
                <w:spacing w:val="-2"/>
                <w:sz w:val="20"/>
              </w:rPr>
              <w:noBreakHyphen/>
              <w:t>phase (metered)</w:t>
            </w:r>
          </w:p>
        </w:tc>
        <w:tc>
          <w:tcPr>
            <w:tcW w:w="3827" w:type="dxa"/>
            <w:gridSpan w:val="3"/>
          </w:tcPr>
          <w:p>
            <w:pPr>
              <w:pStyle w:val="yTable"/>
              <w:spacing w:before="40" w:after="40"/>
              <w:rPr>
                <w:spacing w:val="-2"/>
                <w:sz w:val="20"/>
              </w:rPr>
            </w:pPr>
            <w:r>
              <w:rPr>
                <w:spacing w:val="-2"/>
                <w:sz w:val="20"/>
              </w:rPr>
              <w:br/>
              <w:t>at cost</w:t>
            </w:r>
          </w:p>
        </w:tc>
      </w:tr>
      <w:tr>
        <w:tblPrEx>
          <w:tblCellMar>
            <w:left w:w="84" w:type="dxa"/>
            <w:right w:w="84" w:type="dxa"/>
          </w:tblCellMar>
        </w:tblPrEx>
        <w:trPr>
          <w:gridBefore w:val="2"/>
          <w:wBefore w:w="28" w:type="dxa"/>
          <w:cantSplit/>
        </w:trPr>
        <w:tc>
          <w:tcPr>
            <w:tcW w:w="3163" w:type="dxa"/>
            <w:tcBorders>
              <w:bottom w:val="nil"/>
            </w:tcBorders>
          </w:tcPr>
          <w:p>
            <w:pPr>
              <w:pStyle w:val="yTable"/>
              <w:spacing w:before="40" w:after="40"/>
              <w:ind w:left="200"/>
              <w:rPr>
                <w:spacing w:val="-2"/>
                <w:sz w:val="20"/>
                <w:lang w:val="en-US"/>
              </w:rPr>
            </w:pPr>
            <w:r>
              <w:rPr>
                <w:spacing w:val="-2"/>
                <w:sz w:val="20"/>
              </w:rPr>
              <w:t>General Purpose Pens – single phase (not metered)</w:t>
            </w:r>
          </w:p>
        </w:tc>
        <w:tc>
          <w:tcPr>
            <w:tcW w:w="3827" w:type="dxa"/>
            <w:gridSpan w:val="3"/>
            <w:tcBorders>
              <w:bottom w:val="nil"/>
            </w:tcBorders>
          </w:tcPr>
          <w:p>
            <w:pPr>
              <w:pStyle w:val="yTable"/>
              <w:spacing w:before="40" w:after="40"/>
              <w:rPr>
                <w:spacing w:val="-2"/>
                <w:sz w:val="20"/>
              </w:rPr>
            </w:pPr>
            <w:r>
              <w:rPr>
                <w:spacing w:val="-2"/>
                <w:sz w:val="20"/>
              </w:rPr>
              <w:br/>
              <w:t>No charge</w:t>
            </w:r>
          </w:p>
        </w:tc>
      </w:tr>
      <w:tr>
        <w:tblPrEx>
          <w:tblCellMar>
            <w:left w:w="84" w:type="dxa"/>
            <w:right w:w="84" w:type="dxa"/>
          </w:tblCellMar>
        </w:tblPrEx>
        <w:trPr>
          <w:gridBefore w:val="2"/>
          <w:wBefore w:w="28" w:type="dxa"/>
          <w:cantSplit/>
        </w:trPr>
        <w:tc>
          <w:tcPr>
            <w:tcW w:w="3163" w:type="dxa"/>
            <w:tcBorders>
              <w:bottom w:val="single" w:sz="4" w:space="0" w:color="auto"/>
            </w:tcBorders>
          </w:tcPr>
          <w:p>
            <w:pPr>
              <w:pStyle w:val="yTable"/>
              <w:spacing w:before="40" w:after="40"/>
              <w:ind w:left="200"/>
              <w:rPr>
                <w:spacing w:val="-2"/>
                <w:sz w:val="20"/>
              </w:rPr>
            </w:pPr>
            <w:r>
              <w:rPr>
                <w:spacing w:val="-2"/>
                <w:sz w:val="20"/>
              </w:rPr>
              <w:t xml:space="preserve">Service Wharf and Hardstand – </w:t>
            </w:r>
          </w:p>
          <w:p>
            <w:pPr>
              <w:pStyle w:val="yTable"/>
              <w:spacing w:before="40" w:after="40"/>
              <w:ind w:left="244"/>
              <w:rPr>
                <w:spacing w:val="-2"/>
                <w:sz w:val="20"/>
              </w:rPr>
            </w:pPr>
            <w:r>
              <w:rPr>
                <w:spacing w:val="-2"/>
                <w:sz w:val="20"/>
              </w:rPr>
              <w:t>single phase for vessels not paying Pen or Berthage fees (or other users, including trucks using power at the jetty)</w:t>
            </w:r>
          </w:p>
        </w:tc>
        <w:tc>
          <w:tcPr>
            <w:tcW w:w="3827" w:type="dxa"/>
            <w:gridSpan w:val="3"/>
            <w:tcBorders>
              <w:bottom w:val="single" w:sz="4" w:space="0" w:color="auto"/>
            </w:tcBorders>
          </w:tcPr>
          <w:p>
            <w:pPr>
              <w:pStyle w:val="yTable"/>
              <w:spacing w:before="40" w:after="40"/>
              <w:rPr>
                <w:spacing w:val="-2"/>
                <w:sz w:val="20"/>
              </w:rPr>
            </w:pPr>
          </w:p>
          <w:p>
            <w:pPr>
              <w:pStyle w:val="yTable"/>
              <w:spacing w:before="40" w:after="40"/>
              <w:rPr>
                <w:spacing w:val="-2"/>
                <w:sz w:val="20"/>
              </w:rPr>
            </w:pPr>
            <w:r>
              <w:rPr>
                <w:spacing w:val="-2"/>
                <w:sz w:val="20"/>
              </w:rPr>
              <w:br/>
            </w:r>
            <w:r>
              <w:rPr>
                <w:spacing w:val="-2"/>
                <w:sz w:val="20"/>
              </w:rPr>
              <w:br/>
            </w:r>
            <w:r>
              <w:rPr>
                <w:spacing w:val="-2"/>
                <w:sz w:val="20"/>
              </w:rPr>
              <w:br/>
              <w:t>$6.32 per day or part of a day</w:t>
            </w:r>
          </w:p>
        </w:tc>
      </w:tr>
      <w:tr>
        <w:tblPrEx>
          <w:tblCellMar>
            <w:left w:w="84" w:type="dxa"/>
            <w:right w:w="84" w:type="dxa"/>
          </w:tblCellMar>
        </w:tblPrEx>
        <w:trPr>
          <w:gridBefore w:val="2"/>
          <w:wBefore w:w="28" w:type="dxa"/>
          <w:cantSplit/>
        </w:trPr>
        <w:tc>
          <w:tcPr>
            <w:tcW w:w="3163" w:type="dxa"/>
            <w:tcBorders>
              <w:bottom w:val="nil"/>
            </w:tcBorders>
          </w:tcPr>
          <w:p>
            <w:pPr>
              <w:pStyle w:val="yTable"/>
              <w:spacing w:before="40" w:after="40"/>
              <w:ind w:left="244"/>
              <w:rPr>
                <w:spacing w:val="-2"/>
                <w:sz w:val="20"/>
              </w:rPr>
            </w:pPr>
            <w:r>
              <w:rPr>
                <w:spacing w:val="-2"/>
                <w:sz w:val="20"/>
              </w:rPr>
              <w:t>3</w:t>
            </w:r>
            <w:r>
              <w:rPr>
                <w:spacing w:val="-2"/>
                <w:sz w:val="20"/>
              </w:rPr>
              <w:noBreakHyphen/>
              <w:t>phase (vessels, trucks, etc.) (unmetered)</w:t>
            </w:r>
          </w:p>
        </w:tc>
        <w:tc>
          <w:tcPr>
            <w:tcW w:w="3827" w:type="dxa"/>
            <w:gridSpan w:val="3"/>
            <w:tcBorders>
              <w:bottom w:val="nil"/>
            </w:tcBorders>
          </w:tcPr>
          <w:p>
            <w:pPr>
              <w:pStyle w:val="yTable"/>
              <w:spacing w:before="40" w:after="40"/>
              <w:rPr>
                <w:spacing w:val="-2"/>
                <w:sz w:val="20"/>
              </w:rPr>
            </w:pPr>
            <w:r>
              <w:rPr>
                <w:spacing w:val="-2"/>
                <w:sz w:val="20"/>
              </w:rPr>
              <w:br/>
              <w:t>$24.56 per 12 hour period</w:t>
            </w:r>
          </w:p>
        </w:tc>
      </w:tr>
      <w:tr>
        <w:tblPrEx>
          <w:tblCellMar>
            <w:left w:w="84" w:type="dxa"/>
            <w:right w:w="84" w:type="dxa"/>
          </w:tblCellMar>
        </w:tblPrEx>
        <w:trPr>
          <w:gridBefore w:val="2"/>
          <w:wBefore w:w="28" w:type="dxa"/>
          <w:cantSplit/>
        </w:trPr>
        <w:tc>
          <w:tcPr>
            <w:tcW w:w="3163" w:type="dxa"/>
            <w:tcBorders>
              <w:top w:val="single" w:sz="4" w:space="0" w:color="auto"/>
              <w:bottom w:val="nil"/>
            </w:tcBorders>
          </w:tcPr>
          <w:p>
            <w:pPr>
              <w:pStyle w:val="yTable"/>
              <w:spacing w:before="40" w:after="40"/>
              <w:ind w:left="244"/>
              <w:rPr>
                <w:spacing w:val="-2"/>
                <w:sz w:val="20"/>
              </w:rPr>
            </w:pPr>
            <w:r>
              <w:rPr>
                <w:spacing w:val="-2"/>
                <w:sz w:val="20"/>
              </w:rPr>
              <w:t>3</w:t>
            </w:r>
            <w:r>
              <w:rPr>
                <w:spacing w:val="-2"/>
                <w:sz w:val="20"/>
              </w:rPr>
              <w:noBreakHyphen/>
              <w:t>phase (vessels, trucks, etc.) (metered)</w:t>
            </w:r>
          </w:p>
        </w:tc>
        <w:tc>
          <w:tcPr>
            <w:tcW w:w="3827" w:type="dxa"/>
            <w:gridSpan w:val="3"/>
            <w:tcBorders>
              <w:top w:val="single" w:sz="4" w:space="0" w:color="auto"/>
              <w:bottom w:val="nil"/>
            </w:tcBorders>
          </w:tcPr>
          <w:p>
            <w:pPr>
              <w:pStyle w:val="yTable"/>
              <w:spacing w:before="40" w:after="40"/>
              <w:rPr>
                <w:spacing w:val="-2"/>
                <w:sz w:val="20"/>
              </w:rPr>
            </w:pPr>
            <w:r>
              <w:rPr>
                <w:spacing w:val="-2"/>
                <w:sz w:val="20"/>
              </w:rPr>
              <w:br/>
              <w:t>At cost</w:t>
            </w:r>
          </w:p>
        </w:tc>
      </w:tr>
      <w:tr>
        <w:tblPrEx>
          <w:tblCellMar>
            <w:left w:w="84" w:type="dxa"/>
            <w:right w:w="84" w:type="dxa"/>
          </w:tblCellMar>
        </w:tblPrEx>
        <w:trPr>
          <w:gridBefore w:val="2"/>
          <w:wBefore w:w="28" w:type="dxa"/>
          <w:cantSplit/>
        </w:trPr>
        <w:tc>
          <w:tcPr>
            <w:tcW w:w="3163" w:type="dxa"/>
            <w:tcBorders>
              <w:top w:val="single" w:sz="4" w:space="0" w:color="auto"/>
            </w:tcBorders>
          </w:tcPr>
          <w:p>
            <w:pPr>
              <w:pStyle w:val="yTable"/>
              <w:spacing w:before="40" w:after="40"/>
              <w:rPr>
                <w:b/>
                <w:spacing w:val="-2"/>
                <w:sz w:val="20"/>
              </w:rPr>
            </w:pPr>
            <w:r>
              <w:rPr>
                <w:b/>
                <w:spacing w:val="-2"/>
                <w:sz w:val="20"/>
              </w:rPr>
              <w:t>Boat Ramp Charges</w:t>
            </w:r>
          </w:p>
        </w:tc>
        <w:tc>
          <w:tcPr>
            <w:tcW w:w="3827" w:type="dxa"/>
            <w:gridSpan w:val="3"/>
            <w:tcBorders>
              <w:top w:val="single" w:sz="4" w:space="0" w:color="auto"/>
            </w:tcBorders>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Borders>
              <w:bottom w:val="single" w:sz="4" w:space="0" w:color="auto"/>
            </w:tcBorders>
          </w:tcPr>
          <w:p>
            <w:pPr>
              <w:pStyle w:val="yTable"/>
              <w:spacing w:before="40" w:after="40"/>
              <w:ind w:left="200"/>
              <w:rPr>
                <w:spacing w:val="-2"/>
                <w:sz w:val="20"/>
              </w:rPr>
            </w:pPr>
            <w:r>
              <w:rPr>
                <w:spacing w:val="-2"/>
                <w:sz w:val="20"/>
              </w:rPr>
              <w:t>Recreational vessels</w:t>
            </w:r>
          </w:p>
        </w:tc>
        <w:tc>
          <w:tcPr>
            <w:tcW w:w="3827" w:type="dxa"/>
            <w:gridSpan w:val="3"/>
            <w:tcBorders>
              <w:bottom w:val="single" w:sz="4" w:space="0" w:color="auto"/>
            </w:tcBorders>
          </w:tcPr>
          <w:p>
            <w:pPr>
              <w:pStyle w:val="yTable"/>
              <w:spacing w:before="40" w:after="40"/>
              <w:rPr>
                <w:spacing w:val="-2"/>
                <w:sz w:val="20"/>
              </w:rPr>
            </w:pPr>
            <w:r>
              <w:rPr>
                <w:spacing w:val="-2"/>
                <w:sz w:val="20"/>
              </w:rPr>
              <w:t>No charge</w:t>
            </w:r>
          </w:p>
        </w:tc>
      </w:tr>
      <w:tr>
        <w:tblPrEx>
          <w:tblCellMar>
            <w:left w:w="84" w:type="dxa"/>
            <w:right w:w="84" w:type="dxa"/>
          </w:tblCellMar>
        </w:tblPrEx>
        <w:trPr>
          <w:gridBefore w:val="2"/>
          <w:wBefore w:w="28" w:type="dxa"/>
          <w:cantSplit/>
        </w:trPr>
        <w:tc>
          <w:tcPr>
            <w:tcW w:w="3163" w:type="dxa"/>
            <w:tcBorders>
              <w:top w:val="nil"/>
              <w:bottom w:val="nil"/>
            </w:tcBorders>
          </w:tcPr>
          <w:p>
            <w:pPr>
              <w:pStyle w:val="yTable"/>
              <w:spacing w:before="40" w:after="40"/>
              <w:ind w:left="200"/>
              <w:rPr>
                <w:spacing w:val="-2"/>
                <w:sz w:val="20"/>
              </w:rPr>
            </w:pPr>
            <w:r>
              <w:rPr>
                <w:spacing w:val="-2"/>
                <w:sz w:val="20"/>
              </w:rPr>
              <w:t>Commercial vessels — annual</w:t>
            </w:r>
          </w:p>
        </w:tc>
        <w:tc>
          <w:tcPr>
            <w:tcW w:w="3827" w:type="dxa"/>
            <w:gridSpan w:val="3"/>
            <w:tcBorders>
              <w:top w:val="nil"/>
              <w:bottom w:val="nil"/>
            </w:tcBorders>
          </w:tcPr>
          <w:p>
            <w:pPr>
              <w:pStyle w:val="yTable"/>
              <w:spacing w:before="40" w:after="40"/>
              <w:rPr>
                <w:spacing w:val="-2"/>
                <w:sz w:val="20"/>
              </w:rPr>
            </w:pPr>
            <w:r>
              <w:rPr>
                <w:spacing w:val="-2"/>
                <w:sz w:val="20"/>
              </w:rPr>
              <w:t>$632.63</w:t>
            </w:r>
          </w:p>
        </w:tc>
      </w:tr>
      <w:tr>
        <w:tblPrEx>
          <w:tblCellMar>
            <w:left w:w="84" w:type="dxa"/>
            <w:right w:w="84" w:type="dxa"/>
          </w:tblCellMar>
        </w:tblPrEx>
        <w:trPr>
          <w:gridBefore w:val="2"/>
          <w:wBefore w:w="28" w:type="dxa"/>
          <w:cantSplit/>
        </w:trPr>
        <w:tc>
          <w:tcPr>
            <w:tcW w:w="3163" w:type="dxa"/>
            <w:tcBorders>
              <w:bottom w:val="single" w:sz="4" w:space="0" w:color="auto"/>
            </w:tcBorders>
          </w:tcPr>
          <w:p>
            <w:pPr>
              <w:pStyle w:val="yTable"/>
              <w:tabs>
                <w:tab w:val="left" w:pos="1759"/>
              </w:tabs>
              <w:spacing w:before="40" w:after="40"/>
              <w:rPr>
                <w:spacing w:val="-2"/>
                <w:sz w:val="20"/>
              </w:rPr>
            </w:pPr>
            <w:r>
              <w:rPr>
                <w:spacing w:val="-2"/>
                <w:sz w:val="20"/>
              </w:rPr>
              <w:tab/>
              <w:t> — monthly</w:t>
            </w:r>
          </w:p>
        </w:tc>
        <w:tc>
          <w:tcPr>
            <w:tcW w:w="3827" w:type="dxa"/>
            <w:gridSpan w:val="3"/>
            <w:tcBorders>
              <w:bottom w:val="single" w:sz="4" w:space="0" w:color="auto"/>
            </w:tcBorders>
          </w:tcPr>
          <w:p>
            <w:pPr>
              <w:pStyle w:val="yTable"/>
              <w:spacing w:before="40" w:after="40"/>
              <w:rPr>
                <w:spacing w:val="-2"/>
                <w:sz w:val="20"/>
              </w:rPr>
            </w:pPr>
            <w:r>
              <w:rPr>
                <w:spacing w:val="-2"/>
                <w:sz w:val="20"/>
              </w:rPr>
              <w:t>$126.53</w:t>
            </w:r>
          </w:p>
        </w:tc>
      </w:tr>
    </w:tbl>
    <w:p>
      <w:pPr>
        <w:pStyle w:val="yHeading4"/>
      </w:pPr>
      <w:bookmarkStart w:id="930" w:name="_Toc139101862"/>
      <w:bookmarkStart w:id="931" w:name="_Toc139102047"/>
      <w:bookmarkStart w:id="932" w:name="_Toc139443395"/>
      <w:r>
        <w:t>Subdivision 11</w:t>
      </w:r>
      <w:r>
        <w:rPr>
          <w:b w:val="0"/>
        </w:rPr>
        <w:t> — </w:t>
      </w:r>
      <w:r>
        <w:t>Fremantle Fishing Boat Harbour</w:t>
      </w:r>
      <w:bookmarkEnd w:id="930"/>
      <w:bookmarkEnd w:id="931"/>
      <w:bookmarkEnd w:id="932"/>
    </w:p>
    <w:p>
      <w:pPr>
        <w:pStyle w:val="yFootnoteheading"/>
      </w:pPr>
      <w:r>
        <w:tab/>
        <w:t>[Heading inserted in Gazette 24 Jun 2005 p. 2840.]</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446"/>
        <w:gridCol w:w="3544"/>
      </w:tblGrid>
      <w:tr>
        <w:tc>
          <w:tcPr>
            <w:tcW w:w="3446" w:type="dxa"/>
          </w:tcPr>
          <w:p>
            <w:pPr>
              <w:pStyle w:val="yTable"/>
              <w:tabs>
                <w:tab w:val="left" w:pos="392"/>
              </w:tabs>
              <w:spacing w:before="40" w:after="40"/>
              <w:rPr>
                <w:spacing w:val="-2"/>
                <w:sz w:val="20"/>
              </w:rPr>
            </w:pPr>
            <w:r>
              <w:rPr>
                <w:b/>
                <w:spacing w:val="-2"/>
                <w:sz w:val="20"/>
              </w:rPr>
              <w:t>Annual Fee</w:t>
            </w:r>
            <w:r>
              <w:rPr>
                <w:spacing w:val="-2"/>
                <w:sz w:val="20"/>
              </w:rPr>
              <w:t> </w:t>
            </w:r>
            <w:r>
              <w:rPr>
                <w:i/>
                <w:snapToGrid w:val="0"/>
                <w:sz w:val="20"/>
              </w:rPr>
              <w:t>—</w:t>
            </w:r>
            <w:r>
              <w:rPr>
                <w:spacing w:val="-2"/>
                <w:sz w:val="20"/>
              </w:rPr>
              <w:t> </w:t>
            </w:r>
          </w:p>
          <w:p>
            <w:pPr>
              <w:pStyle w:val="yTable"/>
              <w:tabs>
                <w:tab w:val="left" w:pos="244"/>
              </w:tabs>
              <w:spacing w:before="40" w:after="40"/>
              <w:rPr>
                <w:spacing w:val="-2"/>
                <w:sz w:val="20"/>
              </w:rPr>
            </w:pPr>
            <w:r>
              <w:rPr>
                <w:spacing w:val="-2"/>
                <w:sz w:val="20"/>
              </w:rPr>
              <w:tab/>
              <w:t>Commercial vessels up to 19.99 m</w:t>
            </w:r>
          </w:p>
        </w:tc>
        <w:tc>
          <w:tcPr>
            <w:tcW w:w="3544" w:type="dxa"/>
          </w:tcPr>
          <w:p>
            <w:pPr>
              <w:pStyle w:val="yTable"/>
              <w:spacing w:before="40" w:after="40"/>
              <w:rPr>
                <w:spacing w:val="-2"/>
                <w:sz w:val="20"/>
              </w:rPr>
            </w:pPr>
          </w:p>
          <w:p>
            <w:pPr>
              <w:pStyle w:val="yTable"/>
              <w:spacing w:before="40" w:after="40"/>
              <w:rPr>
                <w:spacing w:val="-2"/>
                <w:sz w:val="20"/>
              </w:rPr>
            </w:pPr>
            <w:r>
              <w:rPr>
                <w:spacing w:val="-2"/>
                <w:sz w:val="20"/>
              </w:rPr>
              <w:t>$209.64/m x length of vessel</w:t>
            </w:r>
          </w:p>
        </w:tc>
      </w:tr>
      <w:tr>
        <w:tc>
          <w:tcPr>
            <w:tcW w:w="3446" w:type="dxa"/>
          </w:tcPr>
          <w:p>
            <w:pPr>
              <w:pStyle w:val="yTable"/>
              <w:tabs>
                <w:tab w:val="left" w:pos="244"/>
              </w:tabs>
              <w:spacing w:before="40" w:after="40"/>
              <w:rPr>
                <w:spacing w:val="-2"/>
                <w:sz w:val="20"/>
              </w:rPr>
            </w:pPr>
            <w:r>
              <w:rPr>
                <w:spacing w:val="-2"/>
                <w:sz w:val="20"/>
              </w:rPr>
              <w:tab/>
              <w:t>Commercial vessels 20 m and over</w:t>
            </w:r>
          </w:p>
        </w:tc>
        <w:tc>
          <w:tcPr>
            <w:tcW w:w="3544" w:type="dxa"/>
          </w:tcPr>
          <w:p>
            <w:pPr>
              <w:pStyle w:val="yTable"/>
              <w:spacing w:before="40" w:after="40"/>
              <w:rPr>
                <w:spacing w:val="-2"/>
                <w:sz w:val="20"/>
              </w:rPr>
            </w:pPr>
            <w:r>
              <w:rPr>
                <w:spacing w:val="-2"/>
                <w:sz w:val="20"/>
              </w:rPr>
              <w:t xml:space="preserve">$285.34/m x length of vessel </w:t>
            </w:r>
          </w:p>
        </w:tc>
      </w:tr>
      <w:tr>
        <w:tc>
          <w:tcPr>
            <w:tcW w:w="3446" w:type="dxa"/>
          </w:tcPr>
          <w:p>
            <w:pPr>
              <w:pStyle w:val="yTable"/>
              <w:tabs>
                <w:tab w:val="left" w:pos="244"/>
              </w:tabs>
              <w:spacing w:before="40" w:after="40"/>
              <w:rPr>
                <w:spacing w:val="-2"/>
                <w:sz w:val="20"/>
              </w:rPr>
            </w:pPr>
            <w:r>
              <w:rPr>
                <w:spacing w:val="-2"/>
                <w:sz w:val="20"/>
              </w:rPr>
              <w:tab/>
              <w:t>Private pleasure vessels</w:t>
            </w:r>
          </w:p>
        </w:tc>
        <w:tc>
          <w:tcPr>
            <w:tcW w:w="3544" w:type="dxa"/>
          </w:tcPr>
          <w:p>
            <w:pPr>
              <w:pStyle w:val="yTable"/>
              <w:spacing w:before="40" w:after="40"/>
              <w:rPr>
                <w:spacing w:val="-2"/>
                <w:sz w:val="20"/>
              </w:rPr>
            </w:pPr>
            <w:r>
              <w:rPr>
                <w:spacing w:val="-2"/>
                <w:sz w:val="20"/>
              </w:rPr>
              <w:t xml:space="preserve">$285.34/m x length of vessel </w:t>
            </w:r>
          </w:p>
        </w:tc>
      </w:tr>
      <w:tr>
        <w:tc>
          <w:tcPr>
            <w:tcW w:w="3446" w:type="dxa"/>
          </w:tcPr>
          <w:p>
            <w:pPr>
              <w:pStyle w:val="yTable"/>
              <w:tabs>
                <w:tab w:val="left" w:pos="392"/>
              </w:tabs>
              <w:spacing w:before="120" w:after="40"/>
              <w:rPr>
                <w:b/>
                <w:spacing w:val="-2"/>
                <w:sz w:val="20"/>
              </w:rPr>
            </w:pPr>
            <w:r>
              <w:rPr>
                <w:b/>
                <w:spacing w:val="-2"/>
                <w:sz w:val="20"/>
              </w:rPr>
              <w:t>Part Year Fee – 3 months or more, paid in advance</w:t>
            </w:r>
          </w:p>
          <w:p>
            <w:pPr>
              <w:pStyle w:val="yTable"/>
              <w:tabs>
                <w:tab w:val="left" w:pos="244"/>
              </w:tabs>
              <w:spacing w:before="120" w:after="40"/>
              <w:rPr>
                <w:spacing w:val="-2"/>
                <w:sz w:val="20"/>
              </w:rPr>
            </w:pPr>
            <w:r>
              <w:rPr>
                <w:spacing w:val="-2"/>
                <w:sz w:val="20"/>
              </w:rPr>
              <w:tab/>
              <w:t>Commercial vessels up to 19.99 m</w:t>
            </w:r>
          </w:p>
        </w:tc>
        <w:tc>
          <w:tcPr>
            <w:tcW w:w="3544" w:type="dxa"/>
          </w:tcPr>
          <w:p>
            <w:pPr>
              <w:pStyle w:val="yTable"/>
              <w:spacing w:before="120" w:after="40"/>
              <w:rPr>
                <w:spacing w:val="-2"/>
                <w:sz w:val="20"/>
              </w:rPr>
            </w:pPr>
            <w:r>
              <w:rPr>
                <w:spacing w:val="-2"/>
                <w:sz w:val="20"/>
              </w:rPr>
              <w:t>$20.96/m x length of vessel, per month</w:t>
            </w:r>
          </w:p>
        </w:tc>
      </w:tr>
      <w:tr>
        <w:tc>
          <w:tcPr>
            <w:tcW w:w="3446" w:type="dxa"/>
          </w:tcPr>
          <w:p>
            <w:pPr>
              <w:pStyle w:val="yTable"/>
              <w:tabs>
                <w:tab w:val="left" w:pos="244"/>
              </w:tabs>
              <w:spacing w:before="120" w:after="40"/>
              <w:rPr>
                <w:spacing w:val="-2"/>
                <w:sz w:val="20"/>
              </w:rPr>
            </w:pPr>
            <w:r>
              <w:rPr>
                <w:spacing w:val="-2"/>
                <w:sz w:val="20"/>
              </w:rPr>
              <w:tab/>
              <w:t>Commercial vessels 20 m and over</w:t>
            </w:r>
          </w:p>
        </w:tc>
        <w:tc>
          <w:tcPr>
            <w:tcW w:w="3544" w:type="dxa"/>
          </w:tcPr>
          <w:p>
            <w:pPr>
              <w:pStyle w:val="yTable"/>
              <w:spacing w:before="120" w:after="40"/>
              <w:rPr>
                <w:spacing w:val="-2"/>
                <w:sz w:val="20"/>
              </w:rPr>
            </w:pPr>
            <w:r>
              <w:rPr>
                <w:spacing w:val="-2"/>
                <w:sz w:val="20"/>
              </w:rPr>
              <w:t>$28.53/m x length of vessel, per month</w:t>
            </w:r>
          </w:p>
        </w:tc>
      </w:tr>
      <w:tr>
        <w:tc>
          <w:tcPr>
            <w:tcW w:w="3446" w:type="dxa"/>
          </w:tcPr>
          <w:p>
            <w:pPr>
              <w:pStyle w:val="yTable"/>
              <w:tabs>
                <w:tab w:val="left" w:pos="244"/>
              </w:tabs>
              <w:spacing w:before="120" w:after="40"/>
              <w:rPr>
                <w:spacing w:val="-2"/>
                <w:sz w:val="20"/>
              </w:rPr>
            </w:pPr>
            <w:r>
              <w:rPr>
                <w:spacing w:val="-2"/>
                <w:sz w:val="20"/>
              </w:rPr>
              <w:tab/>
              <w:t>Private pleasure vessels</w:t>
            </w:r>
          </w:p>
        </w:tc>
        <w:tc>
          <w:tcPr>
            <w:tcW w:w="3544" w:type="dxa"/>
          </w:tcPr>
          <w:p>
            <w:pPr>
              <w:pStyle w:val="yTable"/>
              <w:spacing w:before="120" w:after="40"/>
              <w:rPr>
                <w:spacing w:val="-2"/>
                <w:sz w:val="20"/>
              </w:rPr>
            </w:pPr>
            <w:r>
              <w:rPr>
                <w:spacing w:val="-2"/>
                <w:sz w:val="20"/>
              </w:rPr>
              <w:t xml:space="preserve">$28.53/m x length of vessel, per month </w:t>
            </w:r>
          </w:p>
        </w:tc>
      </w:tr>
      <w:tr>
        <w:tc>
          <w:tcPr>
            <w:tcW w:w="3446" w:type="dxa"/>
          </w:tcPr>
          <w:p>
            <w:pPr>
              <w:pStyle w:val="yTable"/>
              <w:tabs>
                <w:tab w:val="left" w:pos="392"/>
              </w:tabs>
              <w:spacing w:before="120" w:after="40"/>
              <w:rPr>
                <w:b/>
                <w:spacing w:val="-2"/>
                <w:sz w:val="20"/>
              </w:rPr>
            </w:pPr>
            <w:r>
              <w:rPr>
                <w:b/>
                <w:spacing w:val="-2"/>
                <w:sz w:val="20"/>
              </w:rPr>
              <w:t>Monthly Fee</w:t>
            </w:r>
          </w:p>
          <w:p>
            <w:pPr>
              <w:pStyle w:val="yTable"/>
              <w:tabs>
                <w:tab w:val="left" w:pos="244"/>
              </w:tabs>
              <w:spacing w:before="120" w:after="40"/>
              <w:rPr>
                <w:spacing w:val="-2"/>
                <w:sz w:val="20"/>
              </w:rPr>
            </w:pPr>
            <w:r>
              <w:rPr>
                <w:spacing w:val="-2"/>
                <w:sz w:val="20"/>
              </w:rPr>
              <w:tab/>
              <w:t>Commercial vessels up to 19.99 m</w:t>
            </w:r>
          </w:p>
        </w:tc>
        <w:tc>
          <w:tcPr>
            <w:tcW w:w="3544" w:type="dxa"/>
          </w:tcPr>
          <w:p>
            <w:pPr>
              <w:pStyle w:val="yTable"/>
              <w:spacing w:before="40" w:after="120"/>
              <w:rPr>
                <w:spacing w:val="-2"/>
                <w:sz w:val="20"/>
              </w:rPr>
            </w:pPr>
          </w:p>
          <w:p>
            <w:pPr>
              <w:pStyle w:val="yTable"/>
              <w:spacing w:before="120" w:after="40"/>
              <w:rPr>
                <w:spacing w:val="-2"/>
                <w:sz w:val="20"/>
              </w:rPr>
            </w:pPr>
            <w:r>
              <w:rPr>
                <w:spacing w:val="-2"/>
                <w:sz w:val="20"/>
              </w:rPr>
              <w:t>$27.25/m x length of vessel, per month</w:t>
            </w:r>
          </w:p>
        </w:tc>
      </w:tr>
      <w:tr>
        <w:tc>
          <w:tcPr>
            <w:tcW w:w="3446" w:type="dxa"/>
          </w:tcPr>
          <w:p>
            <w:pPr>
              <w:pStyle w:val="yTable"/>
              <w:tabs>
                <w:tab w:val="left" w:pos="244"/>
              </w:tabs>
              <w:spacing w:before="120" w:after="40"/>
              <w:rPr>
                <w:spacing w:val="-2"/>
                <w:sz w:val="20"/>
              </w:rPr>
            </w:pPr>
            <w:r>
              <w:rPr>
                <w:spacing w:val="-2"/>
                <w:sz w:val="20"/>
              </w:rPr>
              <w:tab/>
              <w:t>Commercial vessels 20 m and over</w:t>
            </w:r>
          </w:p>
        </w:tc>
        <w:tc>
          <w:tcPr>
            <w:tcW w:w="3544" w:type="dxa"/>
          </w:tcPr>
          <w:p>
            <w:pPr>
              <w:pStyle w:val="yTable"/>
              <w:spacing w:before="120" w:after="40"/>
              <w:rPr>
                <w:spacing w:val="-2"/>
                <w:sz w:val="20"/>
              </w:rPr>
            </w:pPr>
            <w:r>
              <w:rPr>
                <w:spacing w:val="-2"/>
                <w:sz w:val="20"/>
              </w:rPr>
              <w:t>$37.09/m x length of vessel, per month</w:t>
            </w:r>
          </w:p>
        </w:tc>
      </w:tr>
      <w:tr>
        <w:tc>
          <w:tcPr>
            <w:tcW w:w="3446" w:type="dxa"/>
          </w:tcPr>
          <w:p>
            <w:pPr>
              <w:pStyle w:val="yTable"/>
              <w:tabs>
                <w:tab w:val="left" w:pos="244"/>
              </w:tabs>
              <w:spacing w:before="120" w:after="40"/>
              <w:rPr>
                <w:spacing w:val="-2"/>
                <w:sz w:val="20"/>
              </w:rPr>
            </w:pPr>
            <w:r>
              <w:rPr>
                <w:spacing w:val="-2"/>
                <w:sz w:val="20"/>
              </w:rPr>
              <w:tab/>
              <w:t>Private pleasure vessels</w:t>
            </w:r>
          </w:p>
        </w:tc>
        <w:tc>
          <w:tcPr>
            <w:tcW w:w="3544" w:type="dxa"/>
          </w:tcPr>
          <w:p>
            <w:pPr>
              <w:pStyle w:val="yTable"/>
              <w:spacing w:before="120" w:after="40"/>
              <w:rPr>
                <w:spacing w:val="-2"/>
                <w:sz w:val="20"/>
              </w:rPr>
            </w:pPr>
            <w:r>
              <w:rPr>
                <w:spacing w:val="-2"/>
                <w:sz w:val="20"/>
              </w:rPr>
              <w:t>$57.07/m x length of vessel, per month</w:t>
            </w:r>
          </w:p>
        </w:tc>
      </w:tr>
      <w:tr>
        <w:tc>
          <w:tcPr>
            <w:tcW w:w="3446" w:type="dxa"/>
            <w:tcBorders>
              <w:bottom w:val="nil"/>
            </w:tcBorders>
          </w:tcPr>
          <w:p>
            <w:pPr>
              <w:pStyle w:val="yTable"/>
              <w:spacing w:before="120" w:after="40"/>
              <w:rPr>
                <w:spacing w:val="-2"/>
                <w:sz w:val="20"/>
              </w:rPr>
            </w:pPr>
            <w:r>
              <w:rPr>
                <w:b/>
                <w:spacing w:val="-2"/>
                <w:sz w:val="20"/>
              </w:rPr>
              <w:t>Weekly Fee</w:t>
            </w:r>
          </w:p>
        </w:tc>
        <w:tc>
          <w:tcPr>
            <w:tcW w:w="3544" w:type="dxa"/>
            <w:tcBorders>
              <w:bottom w:val="nil"/>
            </w:tcBorders>
          </w:tcPr>
          <w:p>
            <w:pPr>
              <w:pStyle w:val="yTable"/>
              <w:spacing w:before="120" w:after="40"/>
              <w:rPr>
                <w:spacing w:val="-2"/>
                <w:sz w:val="20"/>
              </w:rPr>
            </w:pPr>
            <w:r>
              <w:rPr>
                <w:spacing w:val="-2"/>
                <w:sz w:val="20"/>
              </w:rPr>
              <w:t>$29.10/m x length of vessel, per week</w:t>
            </w:r>
          </w:p>
        </w:tc>
      </w:tr>
      <w:tr>
        <w:tc>
          <w:tcPr>
            <w:tcW w:w="3446" w:type="dxa"/>
            <w:tcBorders>
              <w:bottom w:val="single" w:sz="4" w:space="0" w:color="auto"/>
            </w:tcBorders>
          </w:tcPr>
          <w:p>
            <w:pPr>
              <w:pStyle w:val="yTable"/>
              <w:spacing w:before="120" w:after="40"/>
              <w:rPr>
                <w:spacing w:val="-2"/>
                <w:sz w:val="20"/>
              </w:rPr>
            </w:pPr>
            <w:r>
              <w:rPr>
                <w:b/>
                <w:spacing w:val="-2"/>
                <w:sz w:val="20"/>
              </w:rPr>
              <w:t>Daily Casual Fee</w:t>
            </w:r>
          </w:p>
          <w:p>
            <w:pPr>
              <w:pStyle w:val="yTable"/>
              <w:spacing w:before="120" w:after="40"/>
              <w:rPr>
                <w:spacing w:val="-2"/>
                <w:sz w:val="20"/>
              </w:rPr>
            </w:pPr>
            <w:r>
              <w:rPr>
                <w:spacing w:val="-2"/>
                <w:sz w:val="20"/>
              </w:rPr>
              <w:t>(per day or part of a day)</w:t>
            </w:r>
          </w:p>
        </w:tc>
        <w:tc>
          <w:tcPr>
            <w:tcW w:w="3544" w:type="dxa"/>
            <w:tcBorders>
              <w:bottom w:val="single" w:sz="4" w:space="0" w:color="auto"/>
            </w:tcBorders>
          </w:tcPr>
          <w:p>
            <w:pPr>
              <w:pStyle w:val="yTable"/>
              <w:spacing w:before="120" w:after="40"/>
              <w:rPr>
                <w:spacing w:val="-2"/>
                <w:sz w:val="20"/>
              </w:rPr>
            </w:pPr>
          </w:p>
          <w:p>
            <w:pPr>
              <w:pStyle w:val="yTable"/>
              <w:spacing w:before="120" w:after="40"/>
              <w:rPr>
                <w:spacing w:val="-2"/>
                <w:sz w:val="20"/>
              </w:rPr>
            </w:pPr>
            <w:r>
              <w:rPr>
                <w:spacing w:val="-2"/>
                <w:sz w:val="20"/>
              </w:rPr>
              <w:t>$5.82/m x length of vessel</w:t>
            </w:r>
          </w:p>
        </w:tc>
      </w:tr>
    </w:tbl>
    <w:p>
      <w:pPr>
        <w:pStyle w:val="yHeading4"/>
      </w:pPr>
      <w:bookmarkStart w:id="933" w:name="_Toc139101863"/>
      <w:bookmarkStart w:id="934" w:name="_Toc139102048"/>
      <w:bookmarkStart w:id="935" w:name="_Toc139443396"/>
      <w:r>
        <w:t>Subdivision 12</w:t>
      </w:r>
      <w:r>
        <w:rPr>
          <w:b w:val="0"/>
        </w:rPr>
        <w:t> — </w:t>
      </w:r>
      <w:r>
        <w:t>Green Head</w:t>
      </w:r>
      <w:bookmarkEnd w:id="933"/>
      <w:bookmarkEnd w:id="934"/>
      <w:bookmarkEnd w:id="935"/>
    </w:p>
    <w:p>
      <w:pPr>
        <w:pStyle w:val="yFootnoteheading"/>
      </w:pPr>
      <w:r>
        <w:tab/>
        <w:t>[Heading inserted in Gazette 24 Jun 2005 p. 2840.]</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827"/>
      </w:tblGrid>
      <w:tr>
        <w:trPr>
          <w:cantSplit/>
        </w:trPr>
        <w:tc>
          <w:tcPr>
            <w:tcW w:w="3163" w:type="dxa"/>
            <w:tcBorders>
              <w:bottom w:val="single" w:sz="4" w:space="0" w:color="auto"/>
            </w:tcBorders>
          </w:tcPr>
          <w:p>
            <w:pPr>
              <w:pStyle w:val="yTable"/>
              <w:spacing w:before="40" w:after="120"/>
              <w:rPr>
                <w:spacing w:val="-2"/>
                <w:sz w:val="20"/>
              </w:rPr>
            </w:pPr>
            <w:r>
              <w:rPr>
                <w:b/>
                <w:spacing w:val="-2"/>
                <w:sz w:val="20"/>
              </w:rPr>
              <w:t>Berthage/Use of Service Jetty (for extended overnight stay)</w:t>
            </w:r>
          </w:p>
          <w:p>
            <w:pPr>
              <w:pStyle w:val="yTable"/>
              <w:tabs>
                <w:tab w:val="left" w:pos="244"/>
              </w:tabs>
              <w:spacing w:before="0" w:after="40"/>
              <w:jc w:val="both"/>
              <w:rPr>
                <w:spacing w:val="-2"/>
                <w:sz w:val="20"/>
              </w:rPr>
            </w:pPr>
            <w:r>
              <w:rPr>
                <w:spacing w:val="-2"/>
                <w:sz w:val="20"/>
              </w:rPr>
              <w:tab/>
              <w:t>Daily Casual Fee</w:t>
            </w:r>
          </w:p>
        </w:tc>
        <w:tc>
          <w:tcPr>
            <w:tcW w:w="3827" w:type="dxa"/>
            <w:tcBorders>
              <w:bottom w:val="single" w:sz="4" w:space="0" w:color="auto"/>
            </w:tcBorders>
          </w:tcPr>
          <w:p>
            <w:pPr>
              <w:pStyle w:val="yTable"/>
              <w:spacing w:before="0" w:after="120"/>
              <w:rPr>
                <w:spacing w:val="-2"/>
                <w:sz w:val="20"/>
              </w:rPr>
            </w:pPr>
            <w:r>
              <w:rPr>
                <w:b/>
                <w:spacing w:val="-2"/>
                <w:sz w:val="20"/>
              </w:rPr>
              <w:br/>
            </w:r>
          </w:p>
          <w:p>
            <w:pPr>
              <w:pStyle w:val="yTable"/>
              <w:spacing w:before="0" w:after="40"/>
              <w:rPr>
                <w:spacing w:val="-2"/>
                <w:sz w:val="20"/>
              </w:rPr>
            </w:pPr>
            <w:r>
              <w:rPr>
                <w:spacing w:val="-2"/>
                <w:sz w:val="20"/>
              </w:rPr>
              <w:t xml:space="preserve">$3.85/m x length of vessel, per day or part of </w:t>
            </w:r>
            <w:r>
              <w:rPr>
                <w:spacing w:val="-2"/>
                <w:sz w:val="20"/>
              </w:rPr>
              <w:br/>
              <w:t>a day</w:t>
            </w:r>
          </w:p>
        </w:tc>
      </w:tr>
      <w:tr>
        <w:trPr>
          <w:cantSplit/>
        </w:trPr>
        <w:tc>
          <w:tcPr>
            <w:tcW w:w="6990" w:type="dxa"/>
            <w:gridSpan w:val="2"/>
            <w:tcBorders>
              <w:left w:val="nil"/>
              <w:bottom w:val="nil"/>
              <w:right w:val="nil"/>
            </w:tcBorders>
          </w:tcPr>
          <w:p>
            <w:pPr>
              <w:pStyle w:val="yNumberedItem"/>
            </w:pPr>
            <w:r>
              <w:t xml:space="preserve">Note: </w:t>
            </w:r>
            <w:r>
              <w:tab/>
              <w:t>Vessels undertaking emergency repairs, for which specific prior Department approval has been obtained to berth at the jetty for the period in question, are exempt from this fee.</w:t>
            </w:r>
          </w:p>
        </w:tc>
      </w:tr>
    </w:tbl>
    <w:p>
      <w:pPr>
        <w:pStyle w:val="yHeading4"/>
      </w:pPr>
      <w:bookmarkStart w:id="936" w:name="_Toc139101864"/>
      <w:bookmarkStart w:id="937" w:name="_Toc139102049"/>
      <w:bookmarkStart w:id="938" w:name="_Toc139443397"/>
      <w:r>
        <w:t>Subdivision 13</w:t>
      </w:r>
      <w:r>
        <w:rPr>
          <w:b w:val="0"/>
        </w:rPr>
        <w:t> — </w:t>
      </w:r>
      <w:r>
        <w:t>Hopetoun</w:t>
      </w:r>
      <w:bookmarkEnd w:id="936"/>
      <w:bookmarkEnd w:id="937"/>
      <w:bookmarkEnd w:id="938"/>
    </w:p>
    <w:p>
      <w:pPr>
        <w:pStyle w:val="yFootnoteheading"/>
      </w:pPr>
      <w:r>
        <w:tab/>
        <w:t>[Heading inserted in Gazette 24 Jun 2005 p. 2841.]</w:t>
      </w:r>
    </w:p>
    <w:tbl>
      <w:tblPr>
        <w:tblW w:w="0" w:type="auto"/>
        <w:tblInd w:w="21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35"/>
        <w:gridCol w:w="3794"/>
      </w:tblGrid>
      <w:tr>
        <w:tc>
          <w:tcPr>
            <w:tcW w:w="3135" w:type="dxa"/>
            <w:tcBorders>
              <w:bottom w:val="nil"/>
            </w:tcBorders>
          </w:tcPr>
          <w:p>
            <w:pPr>
              <w:pStyle w:val="yTable"/>
              <w:spacing w:before="120" w:after="40"/>
              <w:rPr>
                <w:spacing w:val="-2"/>
                <w:sz w:val="20"/>
              </w:rPr>
            </w:pPr>
            <w:r>
              <w:rPr>
                <w:b/>
                <w:spacing w:val="-2"/>
                <w:sz w:val="20"/>
              </w:rPr>
              <w:t>Daily Casual Fee</w:t>
            </w:r>
          </w:p>
        </w:tc>
        <w:tc>
          <w:tcPr>
            <w:tcW w:w="3794" w:type="dxa"/>
            <w:tcBorders>
              <w:bottom w:val="nil"/>
            </w:tcBorders>
          </w:tcPr>
          <w:p>
            <w:pPr>
              <w:pStyle w:val="yTable"/>
              <w:spacing w:before="120" w:after="40"/>
              <w:rPr>
                <w:spacing w:val="-2"/>
                <w:sz w:val="20"/>
              </w:rPr>
            </w:pPr>
            <w:r>
              <w:rPr>
                <w:spacing w:val="-2"/>
                <w:sz w:val="20"/>
              </w:rPr>
              <w:t>$3.68/m x length of vessel, per day or part of a day</w:t>
            </w:r>
          </w:p>
        </w:tc>
      </w:tr>
      <w:tr>
        <w:tc>
          <w:tcPr>
            <w:tcW w:w="3135" w:type="dxa"/>
            <w:tcBorders>
              <w:bottom w:val="single" w:sz="4" w:space="0" w:color="auto"/>
            </w:tcBorders>
          </w:tcPr>
          <w:p>
            <w:pPr>
              <w:pStyle w:val="yTable"/>
              <w:spacing w:before="120" w:after="40"/>
              <w:rPr>
                <w:b/>
                <w:spacing w:val="-6"/>
                <w:sz w:val="20"/>
              </w:rPr>
            </w:pPr>
            <w:r>
              <w:rPr>
                <w:b/>
                <w:spacing w:val="-6"/>
                <w:sz w:val="20"/>
              </w:rPr>
              <w:t>Annual Short Term Use Fee</w:t>
            </w:r>
            <w:r>
              <w:rPr>
                <w:b/>
                <w:spacing w:val="-6"/>
                <w:sz w:val="20"/>
              </w:rPr>
              <w:br/>
            </w:r>
            <w:r>
              <w:rPr>
                <w:spacing w:val="-6"/>
                <w:sz w:val="20"/>
              </w:rPr>
              <w:t>for short term use of jetty for loading/unloading and passenger transfer</w:t>
            </w:r>
          </w:p>
        </w:tc>
        <w:tc>
          <w:tcPr>
            <w:tcW w:w="3794" w:type="dxa"/>
            <w:tcBorders>
              <w:bottom w:val="single" w:sz="4" w:space="0" w:color="auto"/>
            </w:tcBorders>
          </w:tcPr>
          <w:p>
            <w:pPr>
              <w:pStyle w:val="yTable"/>
              <w:spacing w:before="120" w:after="40"/>
              <w:rPr>
                <w:spacing w:val="-2"/>
                <w:sz w:val="20"/>
              </w:rPr>
            </w:pPr>
            <w:r>
              <w:rPr>
                <w:b/>
                <w:spacing w:val="-2"/>
                <w:sz w:val="20"/>
              </w:rPr>
              <w:br/>
            </w:r>
            <w:r>
              <w:rPr>
                <w:spacing w:val="-2"/>
                <w:sz w:val="20"/>
              </w:rPr>
              <w:br/>
            </w:r>
            <w:r>
              <w:rPr>
                <w:spacing w:val="-2"/>
                <w:sz w:val="20"/>
              </w:rPr>
              <w:br/>
              <w:t>$73.70/m x length of vessel</w:t>
            </w:r>
          </w:p>
        </w:tc>
      </w:tr>
    </w:tbl>
    <w:p>
      <w:pPr>
        <w:pStyle w:val="yNumberedItem"/>
      </w:pPr>
      <w:r>
        <w:t>Note:</w:t>
      </w:r>
      <w:r>
        <w:tab/>
        <w:t>The Daily Casual Fee will also apply to extended use on any day.</w:t>
      </w:r>
    </w:p>
    <w:p>
      <w:pPr>
        <w:pStyle w:val="yHeading4"/>
      </w:pPr>
      <w:bookmarkStart w:id="939" w:name="_Toc139101865"/>
      <w:bookmarkStart w:id="940" w:name="_Toc139102050"/>
      <w:bookmarkStart w:id="941" w:name="_Toc139443398"/>
      <w:r>
        <w:t>Subdivision 14</w:t>
      </w:r>
      <w:r>
        <w:rPr>
          <w:b w:val="0"/>
        </w:rPr>
        <w:t> — </w:t>
      </w:r>
      <w:r>
        <w:t>Johns Creek Boat Harbour (Point Samson)</w:t>
      </w:r>
      <w:bookmarkEnd w:id="939"/>
      <w:bookmarkEnd w:id="940"/>
      <w:bookmarkEnd w:id="941"/>
    </w:p>
    <w:p>
      <w:pPr>
        <w:pStyle w:val="yFootnoteheading"/>
      </w:pPr>
      <w:r>
        <w:tab/>
        <w:t>[Heading inserted in Gazette 24 Jun 2005 p. 2841.]</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94"/>
      </w:tblGrid>
      <w:tr>
        <w:tc>
          <w:tcPr>
            <w:tcW w:w="3163" w:type="dxa"/>
          </w:tcPr>
          <w:p>
            <w:pPr>
              <w:pStyle w:val="yTable"/>
              <w:keepNext/>
              <w:spacing w:before="0" w:after="100"/>
              <w:rPr>
                <w:b/>
                <w:spacing w:val="-2"/>
                <w:sz w:val="20"/>
              </w:rPr>
            </w:pPr>
            <w:r>
              <w:rPr>
                <w:b/>
                <w:spacing w:val="-2"/>
                <w:sz w:val="20"/>
              </w:rPr>
              <w:t>General</w:t>
            </w:r>
          </w:p>
        </w:tc>
        <w:tc>
          <w:tcPr>
            <w:tcW w:w="3794" w:type="dxa"/>
          </w:tcPr>
          <w:p>
            <w:pPr>
              <w:pStyle w:val="yTable"/>
              <w:keepNext/>
              <w:spacing w:before="0" w:after="100"/>
              <w:rPr>
                <w:spacing w:val="-2"/>
                <w:sz w:val="20"/>
              </w:rPr>
            </w:pPr>
          </w:p>
        </w:tc>
      </w:tr>
      <w:tr>
        <w:tc>
          <w:tcPr>
            <w:tcW w:w="3163" w:type="dxa"/>
          </w:tcPr>
          <w:p>
            <w:pPr>
              <w:pStyle w:val="yTable"/>
              <w:keepNext/>
              <w:tabs>
                <w:tab w:val="left" w:pos="342"/>
              </w:tabs>
              <w:spacing w:before="0" w:after="100"/>
              <w:ind w:left="244"/>
              <w:rPr>
                <w:spacing w:val="-2"/>
                <w:sz w:val="20"/>
              </w:rPr>
            </w:pPr>
            <w:r>
              <w:rPr>
                <w:b/>
                <w:spacing w:val="-2"/>
                <w:sz w:val="20"/>
              </w:rPr>
              <w:t>Annual Fee</w:t>
            </w:r>
          </w:p>
        </w:tc>
        <w:tc>
          <w:tcPr>
            <w:tcW w:w="3794" w:type="dxa"/>
          </w:tcPr>
          <w:p>
            <w:pPr>
              <w:pStyle w:val="yTable"/>
              <w:keepNext/>
              <w:spacing w:before="0" w:after="100"/>
              <w:rPr>
                <w:spacing w:val="-2"/>
                <w:sz w:val="20"/>
              </w:rPr>
            </w:pPr>
            <w:r>
              <w:rPr>
                <w:spacing w:val="-2"/>
                <w:sz w:val="20"/>
              </w:rPr>
              <w:t xml:space="preserve">$368.52/m x length of vessel </w:t>
            </w:r>
          </w:p>
        </w:tc>
      </w:tr>
      <w:tr>
        <w:tc>
          <w:tcPr>
            <w:tcW w:w="3163" w:type="dxa"/>
          </w:tcPr>
          <w:p>
            <w:pPr>
              <w:pStyle w:val="yTable"/>
              <w:tabs>
                <w:tab w:val="left" w:pos="392"/>
              </w:tabs>
              <w:spacing w:before="0" w:after="100"/>
              <w:ind w:left="244"/>
              <w:rPr>
                <w:spacing w:val="-2"/>
                <w:sz w:val="20"/>
              </w:rPr>
            </w:pPr>
            <w:r>
              <w:rPr>
                <w:b/>
                <w:spacing w:val="-2"/>
                <w:sz w:val="20"/>
              </w:rPr>
              <w:t>Part Year Fee – 3 months or more, paid in advance</w:t>
            </w:r>
          </w:p>
        </w:tc>
        <w:tc>
          <w:tcPr>
            <w:tcW w:w="3794" w:type="dxa"/>
          </w:tcPr>
          <w:p>
            <w:pPr>
              <w:pStyle w:val="yTable"/>
              <w:spacing w:before="0" w:after="100"/>
              <w:rPr>
                <w:spacing w:val="-2"/>
                <w:sz w:val="20"/>
              </w:rPr>
            </w:pPr>
            <w:r>
              <w:rPr>
                <w:spacing w:val="-2"/>
                <w:sz w:val="20"/>
              </w:rPr>
              <w:br/>
              <w:t>$36.85/m x length of vessel, per month</w:t>
            </w:r>
          </w:p>
        </w:tc>
      </w:tr>
      <w:tr>
        <w:tc>
          <w:tcPr>
            <w:tcW w:w="3163" w:type="dxa"/>
          </w:tcPr>
          <w:p>
            <w:pPr>
              <w:pStyle w:val="yTable"/>
              <w:spacing w:before="0" w:after="100"/>
              <w:ind w:left="244"/>
              <w:rPr>
                <w:spacing w:val="-2"/>
                <w:sz w:val="20"/>
              </w:rPr>
            </w:pPr>
            <w:r>
              <w:rPr>
                <w:b/>
                <w:spacing w:val="-2"/>
                <w:sz w:val="20"/>
              </w:rPr>
              <w:t>Monthly Fee</w:t>
            </w:r>
          </w:p>
        </w:tc>
        <w:tc>
          <w:tcPr>
            <w:tcW w:w="3794" w:type="dxa"/>
          </w:tcPr>
          <w:p>
            <w:pPr>
              <w:pStyle w:val="yTable"/>
              <w:spacing w:before="0" w:after="100"/>
              <w:rPr>
                <w:spacing w:val="-2"/>
                <w:sz w:val="20"/>
              </w:rPr>
            </w:pPr>
            <w:r>
              <w:rPr>
                <w:spacing w:val="-2"/>
                <w:sz w:val="20"/>
              </w:rPr>
              <w:t>$73.70/m x length of vessel, per month</w:t>
            </w:r>
          </w:p>
        </w:tc>
      </w:tr>
      <w:tr>
        <w:tc>
          <w:tcPr>
            <w:tcW w:w="3163" w:type="dxa"/>
          </w:tcPr>
          <w:p>
            <w:pPr>
              <w:pStyle w:val="yTable"/>
              <w:spacing w:before="0" w:after="100"/>
              <w:ind w:left="244"/>
              <w:rPr>
                <w:spacing w:val="-2"/>
                <w:sz w:val="20"/>
              </w:rPr>
            </w:pPr>
            <w:r>
              <w:rPr>
                <w:b/>
                <w:spacing w:val="-2"/>
                <w:sz w:val="20"/>
              </w:rPr>
              <w:t>Weekly Fee</w:t>
            </w:r>
          </w:p>
        </w:tc>
        <w:tc>
          <w:tcPr>
            <w:tcW w:w="3794" w:type="dxa"/>
          </w:tcPr>
          <w:p>
            <w:pPr>
              <w:pStyle w:val="yTable"/>
              <w:spacing w:before="0" w:after="100"/>
              <w:rPr>
                <w:spacing w:val="-2"/>
                <w:sz w:val="20"/>
              </w:rPr>
            </w:pPr>
            <w:r>
              <w:rPr>
                <w:spacing w:val="-2"/>
                <w:sz w:val="20"/>
              </w:rPr>
              <w:t>$36.85/m x length of vessel, per week</w:t>
            </w:r>
          </w:p>
        </w:tc>
      </w:tr>
      <w:tr>
        <w:tc>
          <w:tcPr>
            <w:tcW w:w="3163" w:type="dxa"/>
          </w:tcPr>
          <w:p>
            <w:pPr>
              <w:pStyle w:val="yTable"/>
              <w:spacing w:before="0" w:after="100"/>
              <w:ind w:left="244"/>
              <w:rPr>
                <w:spacing w:val="-2"/>
                <w:sz w:val="20"/>
              </w:rPr>
            </w:pPr>
            <w:r>
              <w:rPr>
                <w:b/>
                <w:spacing w:val="-2"/>
                <w:sz w:val="20"/>
              </w:rPr>
              <w:t>Daily Casual Fee</w:t>
            </w:r>
          </w:p>
        </w:tc>
        <w:tc>
          <w:tcPr>
            <w:tcW w:w="3794" w:type="dxa"/>
          </w:tcPr>
          <w:p>
            <w:pPr>
              <w:pStyle w:val="yTable"/>
              <w:spacing w:before="0" w:after="100"/>
              <w:rPr>
                <w:spacing w:val="-2"/>
                <w:sz w:val="20"/>
              </w:rPr>
            </w:pPr>
            <w:r>
              <w:rPr>
                <w:spacing w:val="-2"/>
                <w:sz w:val="20"/>
              </w:rPr>
              <w:t>$7.37/m x length of vessel, per day</w:t>
            </w:r>
          </w:p>
        </w:tc>
      </w:tr>
      <w:tr>
        <w:tc>
          <w:tcPr>
            <w:tcW w:w="3163" w:type="dxa"/>
          </w:tcPr>
          <w:p>
            <w:pPr>
              <w:pStyle w:val="yTable"/>
              <w:spacing w:before="0" w:after="100"/>
              <w:rPr>
                <w:b/>
                <w:spacing w:val="-2"/>
                <w:sz w:val="20"/>
              </w:rPr>
            </w:pPr>
            <w:r>
              <w:rPr>
                <w:b/>
                <w:spacing w:val="-2"/>
                <w:sz w:val="20"/>
              </w:rPr>
              <w:t xml:space="preserve">Extended Berthage </w:t>
            </w:r>
            <w:r>
              <w:rPr>
                <w:spacing w:val="-2"/>
                <w:sz w:val="20"/>
              </w:rPr>
              <w:t>(shared use of service jetty)</w:t>
            </w:r>
          </w:p>
        </w:tc>
        <w:tc>
          <w:tcPr>
            <w:tcW w:w="3794" w:type="dxa"/>
          </w:tcPr>
          <w:p>
            <w:pPr>
              <w:pStyle w:val="yTable"/>
              <w:spacing w:before="0" w:after="100"/>
              <w:rPr>
                <w:spacing w:val="-2"/>
                <w:sz w:val="20"/>
              </w:rPr>
            </w:pPr>
          </w:p>
        </w:tc>
      </w:tr>
      <w:tr>
        <w:tc>
          <w:tcPr>
            <w:tcW w:w="3163" w:type="dxa"/>
          </w:tcPr>
          <w:p>
            <w:pPr>
              <w:pStyle w:val="yTable"/>
              <w:tabs>
                <w:tab w:val="left" w:pos="342"/>
              </w:tabs>
              <w:spacing w:before="0" w:after="100"/>
              <w:ind w:left="244"/>
              <w:rPr>
                <w:spacing w:val="-2"/>
                <w:sz w:val="20"/>
              </w:rPr>
            </w:pPr>
            <w:r>
              <w:rPr>
                <w:b/>
                <w:spacing w:val="-2"/>
                <w:sz w:val="20"/>
              </w:rPr>
              <w:t>Annual Fee</w:t>
            </w:r>
          </w:p>
        </w:tc>
        <w:tc>
          <w:tcPr>
            <w:tcW w:w="3794" w:type="dxa"/>
          </w:tcPr>
          <w:p>
            <w:pPr>
              <w:pStyle w:val="yTable"/>
              <w:spacing w:before="0" w:after="100"/>
              <w:rPr>
                <w:spacing w:val="-2"/>
                <w:sz w:val="20"/>
              </w:rPr>
            </w:pPr>
            <w:r>
              <w:rPr>
                <w:spacing w:val="-2"/>
                <w:sz w:val="20"/>
              </w:rPr>
              <w:t xml:space="preserve">$368.52/m x length of vessel </w:t>
            </w:r>
          </w:p>
        </w:tc>
      </w:tr>
      <w:tr>
        <w:tc>
          <w:tcPr>
            <w:tcW w:w="3163" w:type="dxa"/>
          </w:tcPr>
          <w:p>
            <w:pPr>
              <w:pStyle w:val="yTable"/>
              <w:tabs>
                <w:tab w:val="left" w:pos="392"/>
              </w:tabs>
              <w:spacing w:before="0" w:after="100"/>
              <w:ind w:left="244"/>
              <w:rPr>
                <w:spacing w:val="-2"/>
                <w:sz w:val="20"/>
              </w:rPr>
            </w:pPr>
            <w:r>
              <w:rPr>
                <w:b/>
                <w:spacing w:val="-2"/>
                <w:sz w:val="20"/>
              </w:rPr>
              <w:t>Part Year Fee – 3 months or more, paid in advance</w:t>
            </w:r>
          </w:p>
        </w:tc>
        <w:tc>
          <w:tcPr>
            <w:tcW w:w="3794" w:type="dxa"/>
          </w:tcPr>
          <w:p>
            <w:pPr>
              <w:pStyle w:val="yTable"/>
              <w:spacing w:before="0" w:after="100"/>
              <w:rPr>
                <w:spacing w:val="-2"/>
                <w:sz w:val="20"/>
              </w:rPr>
            </w:pPr>
            <w:r>
              <w:rPr>
                <w:spacing w:val="-2"/>
                <w:sz w:val="20"/>
              </w:rPr>
              <w:br/>
              <w:t>$36.85/m x length of vessel, per month</w:t>
            </w:r>
          </w:p>
        </w:tc>
      </w:tr>
      <w:tr>
        <w:tc>
          <w:tcPr>
            <w:tcW w:w="3163" w:type="dxa"/>
          </w:tcPr>
          <w:p>
            <w:pPr>
              <w:pStyle w:val="yTable"/>
              <w:spacing w:before="0" w:after="100"/>
              <w:ind w:left="244"/>
              <w:rPr>
                <w:spacing w:val="-2"/>
                <w:sz w:val="20"/>
              </w:rPr>
            </w:pPr>
            <w:r>
              <w:rPr>
                <w:b/>
                <w:spacing w:val="-2"/>
                <w:sz w:val="20"/>
              </w:rPr>
              <w:t>Monthly Fee</w:t>
            </w:r>
          </w:p>
        </w:tc>
        <w:tc>
          <w:tcPr>
            <w:tcW w:w="3794" w:type="dxa"/>
          </w:tcPr>
          <w:p>
            <w:pPr>
              <w:pStyle w:val="yTable"/>
              <w:spacing w:before="0" w:after="100"/>
              <w:rPr>
                <w:spacing w:val="-2"/>
                <w:sz w:val="20"/>
              </w:rPr>
            </w:pPr>
            <w:r>
              <w:rPr>
                <w:spacing w:val="-2"/>
                <w:sz w:val="20"/>
              </w:rPr>
              <w:t>$73.70/m x length of vessel, per month</w:t>
            </w:r>
          </w:p>
        </w:tc>
      </w:tr>
      <w:tr>
        <w:tc>
          <w:tcPr>
            <w:tcW w:w="3163" w:type="dxa"/>
          </w:tcPr>
          <w:p>
            <w:pPr>
              <w:pStyle w:val="yTable"/>
              <w:spacing w:before="0" w:after="100"/>
              <w:rPr>
                <w:b/>
                <w:spacing w:val="-2"/>
                <w:sz w:val="20"/>
              </w:rPr>
            </w:pPr>
            <w:r>
              <w:rPr>
                <w:b/>
                <w:spacing w:val="-2"/>
                <w:sz w:val="20"/>
              </w:rPr>
              <w:t>Use restricted to old pens/shared use of old Service Jetty for Extended Berthage</w:t>
            </w:r>
          </w:p>
        </w:tc>
        <w:tc>
          <w:tcPr>
            <w:tcW w:w="3794" w:type="dxa"/>
          </w:tcPr>
          <w:p>
            <w:pPr>
              <w:pStyle w:val="yTable"/>
              <w:spacing w:before="0" w:after="100"/>
              <w:rPr>
                <w:spacing w:val="-2"/>
                <w:sz w:val="20"/>
              </w:rPr>
            </w:pPr>
          </w:p>
        </w:tc>
      </w:tr>
      <w:tr>
        <w:tc>
          <w:tcPr>
            <w:tcW w:w="3163" w:type="dxa"/>
          </w:tcPr>
          <w:p>
            <w:pPr>
              <w:pStyle w:val="yTable"/>
              <w:tabs>
                <w:tab w:val="left" w:pos="244"/>
              </w:tabs>
              <w:spacing w:before="0" w:after="100"/>
              <w:ind w:left="244"/>
              <w:rPr>
                <w:spacing w:val="-2"/>
                <w:sz w:val="20"/>
              </w:rPr>
            </w:pPr>
            <w:r>
              <w:rPr>
                <w:b/>
                <w:spacing w:val="-2"/>
                <w:sz w:val="20"/>
              </w:rPr>
              <w:t>Annual Fee</w:t>
            </w:r>
          </w:p>
        </w:tc>
        <w:tc>
          <w:tcPr>
            <w:tcW w:w="3794" w:type="dxa"/>
          </w:tcPr>
          <w:p>
            <w:pPr>
              <w:pStyle w:val="yTable"/>
              <w:spacing w:before="0" w:after="100"/>
              <w:rPr>
                <w:spacing w:val="-2"/>
                <w:sz w:val="20"/>
              </w:rPr>
            </w:pPr>
            <w:r>
              <w:rPr>
                <w:spacing w:val="-2"/>
                <w:sz w:val="20"/>
              </w:rPr>
              <w:t xml:space="preserve">$294.81/m x length of vessel </w:t>
            </w:r>
          </w:p>
        </w:tc>
      </w:tr>
      <w:tr>
        <w:tc>
          <w:tcPr>
            <w:tcW w:w="3163" w:type="dxa"/>
          </w:tcPr>
          <w:p>
            <w:pPr>
              <w:pStyle w:val="yTable"/>
              <w:tabs>
                <w:tab w:val="left" w:pos="244"/>
                <w:tab w:val="left" w:pos="392"/>
              </w:tabs>
              <w:spacing w:before="0" w:after="100"/>
              <w:ind w:left="244"/>
              <w:rPr>
                <w:spacing w:val="-2"/>
                <w:sz w:val="20"/>
              </w:rPr>
            </w:pPr>
            <w:r>
              <w:rPr>
                <w:b/>
                <w:spacing w:val="-2"/>
                <w:sz w:val="20"/>
              </w:rPr>
              <w:t>Part Year Fee – 3 months or more, paid in advance</w:t>
            </w:r>
          </w:p>
        </w:tc>
        <w:tc>
          <w:tcPr>
            <w:tcW w:w="3794" w:type="dxa"/>
          </w:tcPr>
          <w:p>
            <w:pPr>
              <w:pStyle w:val="yTable"/>
              <w:spacing w:before="0" w:after="100"/>
              <w:rPr>
                <w:spacing w:val="-2"/>
                <w:sz w:val="20"/>
              </w:rPr>
            </w:pPr>
            <w:r>
              <w:rPr>
                <w:spacing w:val="-2"/>
                <w:sz w:val="20"/>
              </w:rPr>
              <w:br/>
              <w:t>$29.48/m x length of vessel, per month</w:t>
            </w:r>
          </w:p>
        </w:tc>
      </w:tr>
      <w:tr>
        <w:tc>
          <w:tcPr>
            <w:tcW w:w="3163" w:type="dxa"/>
          </w:tcPr>
          <w:p>
            <w:pPr>
              <w:pStyle w:val="yTable"/>
              <w:tabs>
                <w:tab w:val="left" w:pos="244"/>
              </w:tabs>
              <w:spacing w:before="0" w:after="100"/>
              <w:ind w:left="244"/>
              <w:rPr>
                <w:spacing w:val="-2"/>
                <w:sz w:val="20"/>
              </w:rPr>
            </w:pPr>
            <w:r>
              <w:rPr>
                <w:b/>
                <w:spacing w:val="-2"/>
                <w:sz w:val="20"/>
              </w:rPr>
              <w:t>Monthly Fee</w:t>
            </w:r>
          </w:p>
        </w:tc>
        <w:tc>
          <w:tcPr>
            <w:tcW w:w="3794" w:type="dxa"/>
          </w:tcPr>
          <w:p>
            <w:pPr>
              <w:pStyle w:val="yTable"/>
              <w:spacing w:before="0" w:after="100"/>
              <w:rPr>
                <w:spacing w:val="-2"/>
                <w:sz w:val="20"/>
              </w:rPr>
            </w:pPr>
            <w:r>
              <w:rPr>
                <w:spacing w:val="-2"/>
                <w:sz w:val="20"/>
              </w:rPr>
              <w:t>$58.96/m x length of vessel, per month</w:t>
            </w:r>
          </w:p>
        </w:tc>
      </w:tr>
      <w:tr>
        <w:tc>
          <w:tcPr>
            <w:tcW w:w="3163" w:type="dxa"/>
            <w:tcBorders>
              <w:bottom w:val="single" w:sz="4" w:space="0" w:color="auto"/>
            </w:tcBorders>
          </w:tcPr>
          <w:p>
            <w:pPr>
              <w:pStyle w:val="yTable"/>
              <w:tabs>
                <w:tab w:val="left" w:pos="244"/>
              </w:tabs>
              <w:spacing w:before="0" w:after="100"/>
              <w:ind w:left="244"/>
              <w:rPr>
                <w:spacing w:val="-2"/>
                <w:sz w:val="20"/>
              </w:rPr>
            </w:pPr>
            <w:r>
              <w:rPr>
                <w:b/>
                <w:spacing w:val="-2"/>
                <w:sz w:val="20"/>
              </w:rPr>
              <w:t>Weekly Fee</w:t>
            </w:r>
          </w:p>
        </w:tc>
        <w:tc>
          <w:tcPr>
            <w:tcW w:w="3794" w:type="dxa"/>
            <w:tcBorders>
              <w:bottom w:val="single" w:sz="4" w:space="0" w:color="auto"/>
            </w:tcBorders>
          </w:tcPr>
          <w:p>
            <w:pPr>
              <w:pStyle w:val="yTable"/>
              <w:spacing w:before="0" w:after="100"/>
              <w:rPr>
                <w:spacing w:val="-2"/>
                <w:sz w:val="20"/>
              </w:rPr>
            </w:pPr>
            <w:r>
              <w:rPr>
                <w:spacing w:val="-2"/>
                <w:sz w:val="20"/>
              </w:rPr>
              <w:t>$30.70/m x length of vessel, per week</w:t>
            </w:r>
          </w:p>
        </w:tc>
      </w:tr>
      <w:tr>
        <w:tc>
          <w:tcPr>
            <w:tcW w:w="3163" w:type="dxa"/>
            <w:tcBorders>
              <w:bottom w:val="single" w:sz="4" w:space="0" w:color="auto"/>
            </w:tcBorders>
          </w:tcPr>
          <w:p>
            <w:pPr>
              <w:pStyle w:val="yTable"/>
              <w:tabs>
                <w:tab w:val="left" w:pos="244"/>
              </w:tabs>
              <w:spacing w:before="0" w:after="100"/>
              <w:ind w:left="244"/>
              <w:rPr>
                <w:spacing w:val="-2"/>
                <w:sz w:val="20"/>
              </w:rPr>
            </w:pPr>
            <w:r>
              <w:rPr>
                <w:b/>
                <w:spacing w:val="-2"/>
                <w:sz w:val="20"/>
              </w:rPr>
              <w:t>Daily Casual Fee</w:t>
            </w:r>
          </w:p>
        </w:tc>
        <w:tc>
          <w:tcPr>
            <w:tcW w:w="3794" w:type="dxa"/>
            <w:tcBorders>
              <w:bottom w:val="single" w:sz="4" w:space="0" w:color="auto"/>
            </w:tcBorders>
          </w:tcPr>
          <w:p>
            <w:pPr>
              <w:pStyle w:val="yTable"/>
              <w:spacing w:before="0" w:after="100"/>
              <w:rPr>
                <w:spacing w:val="-2"/>
                <w:sz w:val="20"/>
              </w:rPr>
            </w:pPr>
            <w:r>
              <w:rPr>
                <w:spacing w:val="-2"/>
                <w:sz w:val="20"/>
              </w:rPr>
              <w:t>$6.14/m x length of vessel, per day</w:t>
            </w:r>
          </w:p>
        </w:tc>
      </w:tr>
    </w:tbl>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94"/>
      </w:tblGrid>
      <w:tr>
        <w:trPr>
          <w:cantSplit/>
        </w:trPr>
        <w:tc>
          <w:tcPr>
            <w:tcW w:w="6957" w:type="dxa"/>
            <w:gridSpan w:val="2"/>
            <w:tcBorders>
              <w:top w:val="nil"/>
              <w:left w:val="nil"/>
              <w:bottom w:val="nil"/>
              <w:right w:val="nil"/>
            </w:tcBorders>
          </w:tcPr>
          <w:p>
            <w:pPr>
              <w:pStyle w:val="yNumberedItem"/>
              <w:rPr>
                <w:snapToGrid w:val="0"/>
              </w:rPr>
            </w:pPr>
            <w:r>
              <w:t>Note:</w:t>
            </w:r>
            <w:r>
              <w:tab/>
              <w:t>If persons paying this annual fee wish to use the other (new) harbour berthing facilities, they have the option of upgrading their annual payment to the higher amount, or paying an additional daily casual fee.</w:t>
            </w:r>
          </w:p>
        </w:tc>
      </w:tr>
      <w:tr>
        <w:tc>
          <w:tcPr>
            <w:tcW w:w="3163" w:type="dxa"/>
            <w:tcBorders>
              <w:bottom w:val="single" w:sz="4" w:space="0" w:color="auto"/>
            </w:tcBorders>
          </w:tcPr>
          <w:p>
            <w:pPr>
              <w:pStyle w:val="yTable"/>
              <w:spacing w:before="0" w:after="100"/>
              <w:rPr>
                <w:spacing w:val="-2"/>
                <w:sz w:val="20"/>
              </w:rPr>
            </w:pPr>
            <w:r>
              <w:rPr>
                <w:b/>
                <w:spacing w:val="-2"/>
                <w:sz w:val="20"/>
              </w:rPr>
              <w:t>Electrical Power Charge:</w:t>
            </w:r>
            <w:r>
              <w:rPr>
                <w:spacing w:val="-2"/>
                <w:sz w:val="20"/>
              </w:rPr>
              <w:t xml:space="preserve"> (3</w:t>
            </w:r>
            <w:r>
              <w:rPr>
                <w:b/>
                <w:spacing w:val="-2"/>
                <w:sz w:val="20"/>
              </w:rPr>
              <w:noBreakHyphen/>
            </w:r>
            <w:r>
              <w:rPr>
                <w:spacing w:val="-2"/>
                <w:sz w:val="20"/>
              </w:rPr>
              <w:t>phase)</w:t>
            </w:r>
          </w:p>
          <w:p>
            <w:pPr>
              <w:pStyle w:val="yTable"/>
              <w:keepNext/>
              <w:keepLines/>
              <w:tabs>
                <w:tab w:val="left" w:pos="244"/>
              </w:tabs>
              <w:spacing w:before="0" w:after="80"/>
              <w:rPr>
                <w:spacing w:val="-2"/>
                <w:sz w:val="20"/>
              </w:rPr>
            </w:pPr>
            <w:r>
              <w:rPr>
                <w:spacing w:val="-2"/>
                <w:sz w:val="20"/>
              </w:rPr>
              <w:tab/>
              <w:t>If metered</w:t>
            </w:r>
          </w:p>
          <w:p>
            <w:pPr>
              <w:pStyle w:val="yTable"/>
              <w:keepNext/>
              <w:keepLines/>
              <w:tabs>
                <w:tab w:val="left" w:pos="527"/>
              </w:tabs>
              <w:spacing w:before="0" w:after="80"/>
              <w:rPr>
                <w:spacing w:val="-2"/>
                <w:sz w:val="20"/>
              </w:rPr>
            </w:pPr>
            <w:r>
              <w:rPr>
                <w:spacing w:val="-2"/>
                <w:sz w:val="20"/>
              </w:rPr>
              <w:tab/>
              <w:t xml:space="preserve">plus a meter reading fee of </w:t>
            </w:r>
          </w:p>
          <w:p>
            <w:pPr>
              <w:pStyle w:val="yTable"/>
              <w:tabs>
                <w:tab w:val="left" w:pos="244"/>
              </w:tabs>
              <w:spacing w:before="40" w:after="40"/>
              <w:rPr>
                <w:b/>
                <w:spacing w:val="-2"/>
                <w:sz w:val="20"/>
              </w:rPr>
            </w:pPr>
            <w:r>
              <w:rPr>
                <w:spacing w:val="-2"/>
                <w:sz w:val="20"/>
              </w:rPr>
              <w:tab/>
              <w:t>If unmetered</w:t>
            </w:r>
          </w:p>
        </w:tc>
        <w:tc>
          <w:tcPr>
            <w:tcW w:w="3794" w:type="dxa"/>
            <w:tcBorders>
              <w:bottom w:val="single" w:sz="4" w:space="0" w:color="auto"/>
            </w:tcBorders>
          </w:tcPr>
          <w:p>
            <w:pPr>
              <w:pStyle w:val="yTable"/>
              <w:spacing w:before="0" w:after="100"/>
              <w:rPr>
                <w:spacing w:val="-2"/>
                <w:sz w:val="20"/>
              </w:rPr>
            </w:pPr>
          </w:p>
          <w:p>
            <w:pPr>
              <w:pStyle w:val="yTable"/>
              <w:spacing w:before="0" w:after="80"/>
              <w:rPr>
                <w:spacing w:val="-2"/>
                <w:sz w:val="20"/>
              </w:rPr>
            </w:pPr>
            <w:r>
              <w:rPr>
                <w:spacing w:val="-2"/>
                <w:sz w:val="20"/>
              </w:rPr>
              <w:t>At cost</w:t>
            </w:r>
          </w:p>
          <w:p>
            <w:pPr>
              <w:pStyle w:val="yTable"/>
              <w:spacing w:before="0" w:after="80"/>
              <w:rPr>
                <w:spacing w:val="-2"/>
                <w:sz w:val="20"/>
              </w:rPr>
            </w:pPr>
            <w:r>
              <w:rPr>
                <w:spacing w:val="-2"/>
                <w:sz w:val="20"/>
              </w:rPr>
              <w:t>$12.28</w:t>
            </w:r>
          </w:p>
          <w:p>
            <w:pPr>
              <w:pStyle w:val="yTable"/>
              <w:spacing w:before="40" w:after="40"/>
              <w:rPr>
                <w:spacing w:val="-2"/>
                <w:sz w:val="20"/>
              </w:rPr>
            </w:pPr>
            <w:r>
              <w:rPr>
                <w:spacing w:val="-2"/>
                <w:sz w:val="20"/>
              </w:rPr>
              <w:t>$24.56/12 hour period or part of a 12 hour period</w:t>
            </w:r>
          </w:p>
        </w:tc>
      </w:tr>
    </w:tbl>
    <w:p>
      <w:pPr>
        <w:pStyle w:val="yHeading4"/>
      </w:pPr>
      <w:bookmarkStart w:id="942" w:name="_Toc139101866"/>
      <w:bookmarkStart w:id="943" w:name="_Toc139102051"/>
      <w:bookmarkStart w:id="944" w:name="_Toc139443399"/>
      <w:r>
        <w:t>Subdivision 15</w:t>
      </w:r>
      <w:r>
        <w:rPr>
          <w:b w:val="0"/>
        </w:rPr>
        <w:t> — </w:t>
      </w:r>
      <w:r>
        <w:t>Jurien Boat Harbour</w:t>
      </w:r>
      <w:bookmarkEnd w:id="942"/>
      <w:bookmarkEnd w:id="943"/>
      <w:bookmarkEnd w:id="944"/>
    </w:p>
    <w:p>
      <w:pPr>
        <w:pStyle w:val="yFootnoteheading"/>
      </w:pPr>
      <w:r>
        <w:tab/>
        <w:t>[Heading inserted in Gazette 24 Jun 2005 p. 2842.]</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43"/>
        <w:gridCol w:w="1134"/>
        <w:gridCol w:w="1134"/>
        <w:gridCol w:w="2632"/>
      </w:tblGrid>
      <w:tr>
        <w:trPr>
          <w:cantSplit/>
        </w:trPr>
        <w:tc>
          <w:tcPr>
            <w:tcW w:w="6943" w:type="dxa"/>
            <w:gridSpan w:val="4"/>
          </w:tcPr>
          <w:p>
            <w:pPr>
              <w:pStyle w:val="yTable"/>
              <w:spacing w:before="40"/>
              <w:ind w:left="1332" w:hanging="1332"/>
              <w:rPr>
                <w:spacing w:val="-2"/>
                <w:sz w:val="20"/>
              </w:rPr>
            </w:pPr>
            <w:r>
              <w:rPr>
                <w:b/>
                <w:sz w:val="20"/>
              </w:rPr>
              <w:t>Standard Fees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00"/>
        </w:trPr>
        <w:tc>
          <w:tcPr>
            <w:tcW w:w="2043" w:type="dxa"/>
            <w:vMerge w:val="restart"/>
          </w:tcPr>
          <w:p>
            <w:pPr>
              <w:pStyle w:val="yTable"/>
              <w:spacing w:before="40"/>
              <w:rPr>
                <w:b/>
                <w:spacing w:val="-2"/>
                <w:sz w:val="20"/>
              </w:rPr>
            </w:pPr>
            <w:r>
              <w:rPr>
                <w:sz w:val="24"/>
              </w:rPr>
              <w:br w:type="page"/>
            </w:r>
            <w:r>
              <w:rPr>
                <w:i/>
                <w:spacing w:val="-2"/>
                <w:sz w:val="20"/>
              </w:rPr>
              <w:t>Minimum chargeable length when calculating fee for pens of a particular size</w:t>
            </w:r>
          </w:p>
        </w:tc>
        <w:tc>
          <w:tcPr>
            <w:tcW w:w="2268" w:type="dxa"/>
            <w:gridSpan w:val="2"/>
          </w:tcPr>
          <w:p>
            <w:pPr>
              <w:pStyle w:val="yTable"/>
              <w:keepNext/>
              <w:keepLines/>
              <w:spacing w:before="40"/>
              <w:rPr>
                <w:spacing w:val="-2"/>
                <w:sz w:val="20"/>
              </w:rPr>
            </w:pPr>
            <w:r>
              <w:rPr>
                <w:spacing w:val="-2"/>
                <w:sz w:val="20"/>
              </w:rPr>
              <w:t>12 m pen</w:t>
            </w:r>
          </w:p>
        </w:tc>
        <w:tc>
          <w:tcPr>
            <w:tcW w:w="2632" w:type="dxa"/>
          </w:tcPr>
          <w:p>
            <w:pPr>
              <w:pStyle w:val="yTable"/>
              <w:keepNext/>
              <w:keepLines/>
              <w:spacing w:before="40"/>
              <w:rPr>
                <w:spacing w:val="-2"/>
                <w:sz w:val="20"/>
              </w:rPr>
            </w:pPr>
            <w:r>
              <w:rPr>
                <w:spacing w:val="-2"/>
                <w:sz w:val="20"/>
              </w:rPr>
              <w:t>at least 9.6 m</w:t>
            </w:r>
          </w:p>
        </w:tc>
      </w:tr>
      <w:tr>
        <w:tblPrEx>
          <w:tblBorders>
            <w:bottom w:val="double" w:sz="4" w:space="0" w:color="auto"/>
          </w:tblBorders>
        </w:tblPrEx>
        <w:trPr>
          <w:cantSplit/>
          <w:trHeight w:val="300"/>
        </w:trPr>
        <w:tc>
          <w:tcPr>
            <w:tcW w:w="2043" w:type="dxa"/>
            <w:vMerge/>
          </w:tcPr>
          <w:p>
            <w:pPr>
              <w:pStyle w:val="yTable"/>
              <w:keepNext/>
              <w:keepLines/>
              <w:spacing w:before="40" w:after="40"/>
              <w:rPr>
                <w:b/>
                <w:spacing w:val="-2"/>
                <w:sz w:val="20"/>
              </w:rPr>
            </w:pPr>
          </w:p>
        </w:tc>
        <w:tc>
          <w:tcPr>
            <w:tcW w:w="2268" w:type="dxa"/>
            <w:gridSpan w:val="2"/>
          </w:tcPr>
          <w:p>
            <w:pPr>
              <w:pStyle w:val="yTable"/>
              <w:spacing w:before="40"/>
              <w:rPr>
                <w:spacing w:val="-2"/>
                <w:sz w:val="20"/>
              </w:rPr>
            </w:pPr>
            <w:r>
              <w:rPr>
                <w:spacing w:val="-2"/>
                <w:sz w:val="20"/>
              </w:rPr>
              <w:t>15 m pen</w:t>
            </w:r>
          </w:p>
        </w:tc>
        <w:tc>
          <w:tcPr>
            <w:tcW w:w="2632" w:type="dxa"/>
          </w:tcPr>
          <w:p>
            <w:pPr>
              <w:pStyle w:val="yTable"/>
              <w:spacing w:before="40"/>
              <w:rPr>
                <w:spacing w:val="-2"/>
                <w:sz w:val="20"/>
              </w:rPr>
            </w:pPr>
            <w:r>
              <w:rPr>
                <w:spacing w:val="-2"/>
                <w:sz w:val="20"/>
              </w:rPr>
              <w:t>at least 12 m</w:t>
            </w:r>
          </w:p>
        </w:tc>
      </w:tr>
      <w:tr>
        <w:tblPrEx>
          <w:tblBorders>
            <w:bottom w:val="double" w:sz="4" w:space="0" w:color="auto"/>
          </w:tblBorders>
        </w:tblPrEx>
        <w:trPr>
          <w:cantSplit/>
          <w:trHeight w:val="285"/>
        </w:trPr>
        <w:tc>
          <w:tcPr>
            <w:tcW w:w="2043" w:type="dxa"/>
            <w:vMerge/>
          </w:tcPr>
          <w:p>
            <w:pPr>
              <w:pStyle w:val="yTable"/>
              <w:keepNext/>
              <w:keepLines/>
              <w:spacing w:before="40" w:after="40"/>
              <w:rPr>
                <w:b/>
                <w:spacing w:val="-2"/>
                <w:sz w:val="20"/>
              </w:rPr>
            </w:pPr>
          </w:p>
        </w:tc>
        <w:tc>
          <w:tcPr>
            <w:tcW w:w="2268" w:type="dxa"/>
            <w:gridSpan w:val="2"/>
          </w:tcPr>
          <w:p>
            <w:pPr>
              <w:pStyle w:val="yTable"/>
              <w:spacing w:before="40"/>
              <w:rPr>
                <w:spacing w:val="-2"/>
                <w:sz w:val="20"/>
              </w:rPr>
            </w:pPr>
            <w:r>
              <w:rPr>
                <w:spacing w:val="-2"/>
                <w:sz w:val="20"/>
              </w:rPr>
              <w:t>18 m pen</w:t>
            </w:r>
          </w:p>
        </w:tc>
        <w:tc>
          <w:tcPr>
            <w:tcW w:w="2632" w:type="dxa"/>
          </w:tcPr>
          <w:p>
            <w:pPr>
              <w:pStyle w:val="yTable"/>
              <w:spacing w:before="40"/>
              <w:rPr>
                <w:spacing w:val="-2"/>
                <w:sz w:val="20"/>
              </w:rPr>
            </w:pPr>
            <w:r>
              <w:rPr>
                <w:spacing w:val="-2"/>
                <w:sz w:val="20"/>
              </w:rPr>
              <w:t>at least 14.4 m</w:t>
            </w:r>
          </w:p>
        </w:tc>
      </w:tr>
      <w:tr>
        <w:trPr>
          <w:cantSplit/>
        </w:trPr>
        <w:tc>
          <w:tcPr>
            <w:tcW w:w="2043" w:type="dxa"/>
            <w:vMerge/>
          </w:tcPr>
          <w:p>
            <w:pPr>
              <w:pStyle w:val="yTable"/>
              <w:spacing w:before="40" w:after="40"/>
              <w:rPr>
                <w:spacing w:val="-2"/>
                <w:sz w:val="20"/>
              </w:rPr>
            </w:pPr>
          </w:p>
        </w:tc>
        <w:tc>
          <w:tcPr>
            <w:tcW w:w="2268" w:type="dxa"/>
            <w:gridSpan w:val="2"/>
          </w:tcPr>
          <w:p>
            <w:pPr>
              <w:pStyle w:val="yTable"/>
              <w:spacing w:before="40"/>
              <w:rPr>
                <w:spacing w:val="-2"/>
                <w:sz w:val="20"/>
              </w:rPr>
            </w:pPr>
            <w:r>
              <w:rPr>
                <w:spacing w:val="-2"/>
                <w:sz w:val="20"/>
              </w:rPr>
              <w:t>20 m pen</w:t>
            </w:r>
          </w:p>
        </w:tc>
        <w:tc>
          <w:tcPr>
            <w:tcW w:w="2632" w:type="dxa"/>
          </w:tcPr>
          <w:p>
            <w:pPr>
              <w:pStyle w:val="yTable"/>
              <w:spacing w:before="40"/>
              <w:rPr>
                <w:spacing w:val="-2"/>
                <w:sz w:val="20"/>
              </w:rPr>
            </w:pPr>
            <w:r>
              <w:rPr>
                <w:spacing w:val="-2"/>
                <w:sz w:val="20"/>
              </w:rPr>
              <w:t>at least 16 m</w:t>
            </w:r>
          </w:p>
        </w:tc>
      </w:tr>
      <w:tr>
        <w:tc>
          <w:tcPr>
            <w:tcW w:w="3177" w:type="dxa"/>
            <w:gridSpan w:val="2"/>
          </w:tcPr>
          <w:p>
            <w:pPr>
              <w:pStyle w:val="yTable"/>
              <w:spacing w:before="40"/>
              <w:ind w:left="-26" w:firstLine="26"/>
              <w:rPr>
                <w:spacing w:val="-2"/>
                <w:sz w:val="20"/>
              </w:rPr>
            </w:pPr>
            <w:r>
              <w:rPr>
                <w:b/>
                <w:spacing w:val="-2"/>
                <w:sz w:val="20"/>
              </w:rPr>
              <w:t>Annual Fee</w:t>
            </w:r>
          </w:p>
        </w:tc>
        <w:tc>
          <w:tcPr>
            <w:tcW w:w="3766" w:type="dxa"/>
            <w:gridSpan w:val="2"/>
          </w:tcPr>
          <w:p>
            <w:pPr>
              <w:pStyle w:val="yTable"/>
              <w:spacing w:before="40"/>
              <w:rPr>
                <w:spacing w:val="-2"/>
                <w:sz w:val="20"/>
              </w:rPr>
            </w:pPr>
          </w:p>
        </w:tc>
      </w:tr>
      <w:tr>
        <w:tc>
          <w:tcPr>
            <w:tcW w:w="3177" w:type="dxa"/>
            <w:gridSpan w:val="2"/>
          </w:tcPr>
          <w:p>
            <w:pPr>
              <w:pStyle w:val="yTable"/>
              <w:tabs>
                <w:tab w:val="left" w:pos="767"/>
              </w:tabs>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$166.96/m x length of vessel</w:t>
            </w:r>
          </w:p>
        </w:tc>
      </w:tr>
      <w:tr>
        <w:tc>
          <w:tcPr>
            <w:tcW w:w="3177" w:type="dxa"/>
            <w:gridSpan w:val="2"/>
          </w:tcPr>
          <w:p>
            <w:pPr>
              <w:pStyle w:val="yTable"/>
              <w:tabs>
                <w:tab w:val="left" w:pos="767"/>
              </w:tabs>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$166.96/m x length of vessel</w:t>
            </w:r>
          </w:p>
        </w:tc>
      </w:tr>
      <w:tr>
        <w:tc>
          <w:tcPr>
            <w:tcW w:w="3177" w:type="dxa"/>
            <w:gridSpan w:val="2"/>
          </w:tcPr>
          <w:p>
            <w:pPr>
              <w:pStyle w:val="yTable"/>
              <w:spacing w:before="40"/>
              <w:rPr>
                <w:spacing w:val="-2"/>
                <w:sz w:val="20"/>
              </w:rPr>
            </w:pPr>
            <w:r>
              <w:rPr>
                <w:b/>
                <w:spacing w:val="-2"/>
                <w:sz w:val="20"/>
              </w:rPr>
              <w:t>Part Year Fee – 3 months or more, paid in advance</w:t>
            </w:r>
          </w:p>
        </w:tc>
        <w:tc>
          <w:tcPr>
            <w:tcW w:w="3766" w:type="dxa"/>
            <w:gridSpan w:val="2"/>
          </w:tcPr>
          <w:p>
            <w:pPr>
              <w:pStyle w:val="yTable"/>
              <w:spacing w:before="40"/>
              <w:rPr>
                <w:spacing w:val="-2"/>
                <w:sz w:val="20"/>
              </w:rPr>
            </w:pPr>
          </w:p>
        </w:tc>
      </w:tr>
      <w:tr>
        <w:tc>
          <w:tcPr>
            <w:tcW w:w="3177" w:type="dxa"/>
            <w:gridSpan w:val="2"/>
          </w:tcPr>
          <w:p>
            <w:pPr>
              <w:pStyle w:val="yTable"/>
              <w:tabs>
                <w:tab w:val="left" w:pos="767"/>
              </w:tabs>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$16.70/m x length of vessel, per month</w:t>
            </w:r>
          </w:p>
        </w:tc>
      </w:tr>
      <w:tr>
        <w:tc>
          <w:tcPr>
            <w:tcW w:w="3177" w:type="dxa"/>
            <w:gridSpan w:val="2"/>
          </w:tcPr>
          <w:p>
            <w:pPr>
              <w:pStyle w:val="yTable"/>
              <w:tabs>
                <w:tab w:val="left" w:pos="767"/>
              </w:tabs>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$16.70/m x length of vessel, per month</w:t>
            </w:r>
          </w:p>
        </w:tc>
      </w:tr>
      <w:tr>
        <w:tc>
          <w:tcPr>
            <w:tcW w:w="3177" w:type="dxa"/>
            <w:gridSpan w:val="2"/>
          </w:tcPr>
          <w:p>
            <w:pPr>
              <w:pStyle w:val="yTable"/>
              <w:spacing w:before="40"/>
              <w:rPr>
                <w:spacing w:val="-2"/>
                <w:sz w:val="20"/>
              </w:rPr>
            </w:pPr>
            <w:r>
              <w:rPr>
                <w:b/>
                <w:spacing w:val="-2"/>
                <w:sz w:val="20"/>
              </w:rPr>
              <w:t>Monthly Fee</w:t>
            </w:r>
          </w:p>
        </w:tc>
        <w:tc>
          <w:tcPr>
            <w:tcW w:w="3766" w:type="dxa"/>
            <w:gridSpan w:val="2"/>
          </w:tcPr>
          <w:p>
            <w:pPr>
              <w:pStyle w:val="yTable"/>
              <w:spacing w:before="40"/>
              <w:rPr>
                <w:spacing w:val="-2"/>
                <w:sz w:val="20"/>
              </w:rPr>
            </w:pPr>
          </w:p>
        </w:tc>
      </w:tr>
      <w:tr>
        <w:tc>
          <w:tcPr>
            <w:tcW w:w="3177" w:type="dxa"/>
            <w:gridSpan w:val="2"/>
          </w:tcPr>
          <w:p>
            <w:pPr>
              <w:pStyle w:val="yTable"/>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$33.39/m x length of vessel, per month</w:t>
            </w:r>
          </w:p>
        </w:tc>
      </w:tr>
      <w:tr>
        <w:tc>
          <w:tcPr>
            <w:tcW w:w="3177" w:type="dxa"/>
            <w:gridSpan w:val="2"/>
          </w:tcPr>
          <w:p>
            <w:pPr>
              <w:pStyle w:val="yTable"/>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$33.39/m x length of vessel, per month</w:t>
            </w:r>
          </w:p>
        </w:tc>
      </w:tr>
      <w:tr>
        <w:tc>
          <w:tcPr>
            <w:tcW w:w="3177" w:type="dxa"/>
            <w:gridSpan w:val="2"/>
            <w:tcBorders>
              <w:bottom w:val="single" w:sz="4" w:space="0" w:color="auto"/>
            </w:tcBorders>
          </w:tcPr>
          <w:p>
            <w:pPr>
              <w:pStyle w:val="yTable"/>
              <w:spacing w:before="40" w:after="40"/>
              <w:rPr>
                <w:spacing w:val="-2"/>
                <w:sz w:val="20"/>
              </w:rPr>
            </w:pPr>
            <w:r>
              <w:rPr>
                <w:b/>
                <w:spacing w:val="-2"/>
                <w:sz w:val="20"/>
              </w:rPr>
              <w:t>Weekly Fee</w:t>
            </w:r>
          </w:p>
        </w:tc>
        <w:tc>
          <w:tcPr>
            <w:tcW w:w="3766" w:type="dxa"/>
            <w:gridSpan w:val="2"/>
            <w:tcBorders>
              <w:bottom w:val="single" w:sz="4" w:space="0" w:color="auto"/>
            </w:tcBorders>
          </w:tcPr>
          <w:p>
            <w:pPr>
              <w:pStyle w:val="yTable"/>
              <w:spacing w:before="40" w:after="40"/>
              <w:rPr>
                <w:spacing w:val="-2"/>
                <w:sz w:val="20"/>
              </w:rPr>
            </w:pPr>
          </w:p>
        </w:tc>
      </w:tr>
      <w:tr>
        <w:tc>
          <w:tcPr>
            <w:tcW w:w="3177" w:type="dxa"/>
            <w:gridSpan w:val="2"/>
          </w:tcPr>
          <w:p>
            <w:pPr>
              <w:pStyle w:val="yTable"/>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$29.80/m x length of vessel, per week</w:t>
            </w:r>
          </w:p>
        </w:tc>
      </w:tr>
      <w:tr>
        <w:tc>
          <w:tcPr>
            <w:tcW w:w="3177" w:type="dxa"/>
            <w:gridSpan w:val="2"/>
          </w:tcPr>
          <w:p>
            <w:pPr>
              <w:pStyle w:val="yTable"/>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$19.95/m x length of vessel, per week</w:t>
            </w:r>
          </w:p>
        </w:tc>
      </w:tr>
      <w:tr>
        <w:tc>
          <w:tcPr>
            <w:tcW w:w="3177" w:type="dxa"/>
            <w:gridSpan w:val="2"/>
            <w:tcBorders>
              <w:bottom w:val="single" w:sz="4" w:space="0" w:color="auto"/>
            </w:tcBorders>
          </w:tcPr>
          <w:p>
            <w:pPr>
              <w:pStyle w:val="yTable"/>
              <w:spacing w:before="40"/>
              <w:ind w:left="483" w:hanging="483"/>
              <w:rPr>
                <w:b/>
                <w:spacing w:val="-2"/>
                <w:sz w:val="20"/>
              </w:rPr>
            </w:pPr>
            <w:r>
              <w:rPr>
                <w:b/>
                <w:spacing w:val="-2"/>
                <w:sz w:val="20"/>
              </w:rPr>
              <w:t xml:space="preserve">3 Day Fee </w:t>
            </w:r>
            <w:r>
              <w:rPr>
                <w:bCs/>
                <w:spacing w:val="-2"/>
                <w:sz w:val="20"/>
              </w:rPr>
              <w:t>(recreational vessel)</w:t>
            </w:r>
          </w:p>
        </w:tc>
        <w:tc>
          <w:tcPr>
            <w:tcW w:w="3766" w:type="dxa"/>
            <w:gridSpan w:val="2"/>
            <w:tcBorders>
              <w:bottom w:val="single" w:sz="4" w:space="0" w:color="auto"/>
            </w:tcBorders>
          </w:tcPr>
          <w:p>
            <w:pPr>
              <w:pStyle w:val="yTable"/>
              <w:spacing w:before="40"/>
              <w:rPr>
                <w:spacing w:val="-2"/>
                <w:sz w:val="20"/>
              </w:rPr>
            </w:pPr>
            <w:r>
              <w:rPr>
                <w:spacing w:val="-2"/>
                <w:sz w:val="20"/>
              </w:rPr>
              <w:t>$7.98/m x length of vessel, per 3 day period</w:t>
            </w:r>
          </w:p>
        </w:tc>
      </w:tr>
      <w:tr>
        <w:tc>
          <w:tcPr>
            <w:tcW w:w="3177" w:type="dxa"/>
            <w:gridSpan w:val="2"/>
            <w:tcBorders>
              <w:bottom w:val="single" w:sz="4" w:space="0" w:color="auto"/>
            </w:tcBorders>
          </w:tcPr>
          <w:p>
            <w:pPr>
              <w:pStyle w:val="yTable"/>
              <w:spacing w:before="40"/>
              <w:ind w:left="483" w:hanging="483"/>
              <w:rPr>
                <w:spacing w:val="-2"/>
                <w:sz w:val="20"/>
              </w:rPr>
            </w:pPr>
            <w:r>
              <w:rPr>
                <w:b/>
                <w:spacing w:val="-2"/>
                <w:sz w:val="20"/>
              </w:rPr>
              <w:t>Daily Casual Fee</w:t>
            </w:r>
          </w:p>
        </w:tc>
        <w:tc>
          <w:tcPr>
            <w:tcW w:w="3766" w:type="dxa"/>
            <w:gridSpan w:val="2"/>
            <w:tcBorders>
              <w:bottom w:val="single" w:sz="4" w:space="0" w:color="auto"/>
            </w:tcBorders>
          </w:tcPr>
          <w:p>
            <w:pPr>
              <w:pStyle w:val="yTable"/>
              <w:spacing w:before="40"/>
              <w:rPr>
                <w:spacing w:val="-2"/>
                <w:sz w:val="20"/>
              </w:rPr>
            </w:pPr>
          </w:p>
        </w:tc>
      </w:tr>
      <w:tr>
        <w:tc>
          <w:tcPr>
            <w:tcW w:w="3177" w:type="dxa"/>
            <w:gridSpan w:val="2"/>
          </w:tcPr>
          <w:p>
            <w:pPr>
              <w:pStyle w:val="yTable"/>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$5.96/m x length of vessel, per day</w:t>
            </w:r>
          </w:p>
        </w:tc>
      </w:tr>
      <w:tr>
        <w:tc>
          <w:tcPr>
            <w:tcW w:w="3177" w:type="dxa"/>
            <w:gridSpan w:val="2"/>
          </w:tcPr>
          <w:p>
            <w:pPr>
              <w:pStyle w:val="yTable"/>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$3.99/m x length of vessel, per day</w:t>
            </w:r>
          </w:p>
        </w:tc>
      </w:tr>
      <w:tr>
        <w:tc>
          <w:tcPr>
            <w:tcW w:w="3177" w:type="dxa"/>
            <w:gridSpan w:val="2"/>
            <w:tcBorders>
              <w:top w:val="single" w:sz="4" w:space="0" w:color="auto"/>
              <w:bottom w:val="single" w:sz="4" w:space="0" w:color="auto"/>
            </w:tcBorders>
          </w:tcPr>
          <w:p>
            <w:pPr>
              <w:pStyle w:val="yTable"/>
              <w:pageBreakBefore/>
              <w:spacing w:before="40"/>
              <w:rPr>
                <w:spacing w:val="-2"/>
                <w:sz w:val="20"/>
              </w:rPr>
            </w:pPr>
            <w:r>
              <w:rPr>
                <w:b/>
                <w:bCs/>
                <w:sz w:val="20"/>
              </w:rPr>
              <w:t xml:space="preserve"> Short Term Use Fee</w:t>
            </w:r>
            <w:r>
              <w:rPr>
                <w:spacing w:val="-2"/>
                <w:sz w:val="20"/>
              </w:rPr>
              <w:t xml:space="preserve"> (for use of service jetty by vessels for which mooring, Berthage or Pen fees not paid)</w:t>
            </w:r>
          </w:p>
        </w:tc>
        <w:tc>
          <w:tcPr>
            <w:tcW w:w="3766" w:type="dxa"/>
            <w:gridSpan w:val="2"/>
            <w:tcBorders>
              <w:top w:val="single" w:sz="4" w:space="0" w:color="auto"/>
              <w:bottom w:val="single" w:sz="4" w:space="0" w:color="auto"/>
            </w:tcBorders>
          </w:tcPr>
          <w:p>
            <w:pPr>
              <w:pStyle w:val="yTable"/>
              <w:spacing w:before="40"/>
              <w:rPr>
                <w:spacing w:val="-2"/>
                <w:sz w:val="20"/>
              </w:rPr>
            </w:pPr>
            <w:r>
              <w:rPr>
                <w:spacing w:val="-2"/>
                <w:sz w:val="20"/>
              </w:rPr>
              <w:br/>
            </w:r>
            <w:r>
              <w:rPr>
                <w:spacing w:val="-2"/>
                <w:sz w:val="20"/>
              </w:rPr>
              <w:br/>
            </w:r>
            <w:r>
              <w:rPr>
                <w:spacing w:val="-2"/>
                <w:sz w:val="20"/>
              </w:rPr>
              <w:br/>
              <w:t xml:space="preserve">$2.99/m x length of vessel, per day </w:t>
            </w:r>
          </w:p>
        </w:tc>
      </w:tr>
    </w:tbl>
    <w:p>
      <w:pPr>
        <w:pStyle w:val="yHeading4"/>
      </w:pPr>
      <w:bookmarkStart w:id="945" w:name="_Toc139101867"/>
      <w:bookmarkStart w:id="946" w:name="_Toc139102052"/>
      <w:bookmarkStart w:id="947" w:name="_Toc139443400"/>
      <w:r>
        <w:t>Subdivision 16</w:t>
      </w:r>
      <w:r>
        <w:rPr>
          <w:b w:val="0"/>
        </w:rPr>
        <w:t> — </w:t>
      </w:r>
      <w:r>
        <w:t>Kalbarri Boat Harbour</w:t>
      </w:r>
      <w:bookmarkEnd w:id="945"/>
      <w:bookmarkEnd w:id="946"/>
      <w:bookmarkEnd w:id="947"/>
    </w:p>
    <w:p>
      <w:pPr>
        <w:pStyle w:val="yFootnoteheading"/>
      </w:pPr>
      <w:r>
        <w:tab/>
        <w:t>[Heading inserted in Gazette 24 Jun 2005 p. 2843.]</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43"/>
        <w:gridCol w:w="1134"/>
        <w:gridCol w:w="1134"/>
        <w:gridCol w:w="2632"/>
      </w:tblGrid>
      <w:tr>
        <w:trPr>
          <w:cantSplit/>
        </w:trPr>
        <w:tc>
          <w:tcPr>
            <w:tcW w:w="6943" w:type="dxa"/>
            <w:gridSpan w:val="4"/>
          </w:tcPr>
          <w:p>
            <w:pPr>
              <w:pStyle w:val="yTable"/>
              <w:spacing w:before="40"/>
              <w:ind w:left="1332" w:hanging="1332"/>
              <w:rPr>
                <w:spacing w:val="-2"/>
                <w:sz w:val="20"/>
              </w:rPr>
            </w:pPr>
            <w:r>
              <w:rPr>
                <w:b/>
                <w:sz w:val="20"/>
              </w:rPr>
              <w:t>Standard Fees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00"/>
        </w:trPr>
        <w:tc>
          <w:tcPr>
            <w:tcW w:w="2043" w:type="dxa"/>
            <w:vMerge w:val="restart"/>
          </w:tcPr>
          <w:p>
            <w:pPr>
              <w:pStyle w:val="yTable"/>
              <w:spacing w:before="40"/>
              <w:rPr>
                <w:b/>
                <w:spacing w:val="-2"/>
                <w:sz w:val="20"/>
              </w:rPr>
            </w:pPr>
            <w:r>
              <w:rPr>
                <w:i/>
                <w:spacing w:val="-2"/>
                <w:sz w:val="20"/>
              </w:rPr>
              <w:t>Minimum chargeable length when calculating fee for pens of a particular size</w:t>
            </w:r>
          </w:p>
        </w:tc>
        <w:tc>
          <w:tcPr>
            <w:tcW w:w="2268" w:type="dxa"/>
            <w:gridSpan w:val="2"/>
          </w:tcPr>
          <w:p>
            <w:pPr>
              <w:pStyle w:val="yTable"/>
              <w:spacing w:before="40"/>
              <w:rPr>
                <w:spacing w:val="-2"/>
                <w:sz w:val="20"/>
              </w:rPr>
            </w:pPr>
            <w:r>
              <w:rPr>
                <w:spacing w:val="-2"/>
                <w:sz w:val="20"/>
              </w:rPr>
              <w:t>12 m pen</w:t>
            </w:r>
          </w:p>
        </w:tc>
        <w:tc>
          <w:tcPr>
            <w:tcW w:w="2632" w:type="dxa"/>
          </w:tcPr>
          <w:p>
            <w:pPr>
              <w:pStyle w:val="yTable"/>
              <w:spacing w:before="40"/>
              <w:rPr>
                <w:spacing w:val="-2"/>
                <w:sz w:val="20"/>
              </w:rPr>
            </w:pPr>
            <w:r>
              <w:rPr>
                <w:spacing w:val="-2"/>
                <w:sz w:val="20"/>
              </w:rPr>
              <w:t>at least 9.6 m</w:t>
            </w:r>
          </w:p>
        </w:tc>
      </w:tr>
      <w:tr>
        <w:tblPrEx>
          <w:tblBorders>
            <w:bottom w:val="double" w:sz="4" w:space="0" w:color="auto"/>
          </w:tblBorders>
        </w:tblPrEx>
        <w:trPr>
          <w:cantSplit/>
          <w:trHeight w:val="285"/>
        </w:trPr>
        <w:tc>
          <w:tcPr>
            <w:tcW w:w="2043" w:type="dxa"/>
            <w:vMerge/>
          </w:tcPr>
          <w:p>
            <w:pPr>
              <w:pStyle w:val="yTable"/>
              <w:keepNext/>
              <w:keepLines/>
              <w:spacing w:before="40"/>
              <w:rPr>
                <w:b/>
                <w:spacing w:val="-2"/>
                <w:sz w:val="20"/>
              </w:rPr>
            </w:pPr>
          </w:p>
        </w:tc>
        <w:tc>
          <w:tcPr>
            <w:tcW w:w="2268" w:type="dxa"/>
            <w:gridSpan w:val="2"/>
          </w:tcPr>
          <w:p>
            <w:pPr>
              <w:pStyle w:val="yTable"/>
              <w:spacing w:before="40"/>
              <w:rPr>
                <w:spacing w:val="-2"/>
                <w:sz w:val="20"/>
              </w:rPr>
            </w:pPr>
            <w:r>
              <w:rPr>
                <w:spacing w:val="-2"/>
                <w:sz w:val="20"/>
              </w:rPr>
              <w:t>15 m pen</w:t>
            </w:r>
          </w:p>
        </w:tc>
        <w:tc>
          <w:tcPr>
            <w:tcW w:w="2632" w:type="dxa"/>
          </w:tcPr>
          <w:p>
            <w:pPr>
              <w:pStyle w:val="yTable"/>
              <w:spacing w:before="40"/>
              <w:rPr>
                <w:spacing w:val="-2"/>
                <w:sz w:val="20"/>
              </w:rPr>
            </w:pPr>
            <w:r>
              <w:rPr>
                <w:spacing w:val="-2"/>
                <w:sz w:val="20"/>
              </w:rPr>
              <w:t>at least 12 m</w:t>
            </w:r>
          </w:p>
        </w:tc>
      </w:tr>
      <w:tr>
        <w:tblPrEx>
          <w:tblBorders>
            <w:bottom w:val="double" w:sz="4" w:space="0" w:color="auto"/>
          </w:tblBorders>
        </w:tblPrEx>
        <w:trPr>
          <w:cantSplit/>
          <w:trHeight w:val="285"/>
        </w:trPr>
        <w:tc>
          <w:tcPr>
            <w:tcW w:w="2043" w:type="dxa"/>
            <w:vMerge/>
          </w:tcPr>
          <w:p>
            <w:pPr>
              <w:pStyle w:val="yTable"/>
              <w:keepNext/>
              <w:keepLines/>
              <w:spacing w:before="40"/>
              <w:rPr>
                <w:b/>
                <w:spacing w:val="-2"/>
                <w:sz w:val="20"/>
              </w:rPr>
            </w:pPr>
          </w:p>
        </w:tc>
        <w:tc>
          <w:tcPr>
            <w:tcW w:w="2268" w:type="dxa"/>
            <w:gridSpan w:val="2"/>
          </w:tcPr>
          <w:p>
            <w:pPr>
              <w:pStyle w:val="yTable"/>
              <w:spacing w:before="40"/>
              <w:rPr>
                <w:spacing w:val="-2"/>
                <w:sz w:val="20"/>
              </w:rPr>
            </w:pPr>
            <w:r>
              <w:rPr>
                <w:spacing w:val="-2"/>
                <w:sz w:val="20"/>
              </w:rPr>
              <w:t>18 m pen</w:t>
            </w:r>
          </w:p>
        </w:tc>
        <w:tc>
          <w:tcPr>
            <w:tcW w:w="2632" w:type="dxa"/>
          </w:tcPr>
          <w:p>
            <w:pPr>
              <w:pStyle w:val="yTable"/>
              <w:spacing w:before="40"/>
              <w:rPr>
                <w:spacing w:val="-2"/>
                <w:sz w:val="20"/>
              </w:rPr>
            </w:pPr>
            <w:r>
              <w:rPr>
                <w:spacing w:val="-2"/>
                <w:sz w:val="20"/>
              </w:rPr>
              <w:t>at least 14.4 m</w:t>
            </w:r>
          </w:p>
        </w:tc>
      </w:tr>
      <w:tr>
        <w:trPr>
          <w:cantSplit/>
        </w:trPr>
        <w:tc>
          <w:tcPr>
            <w:tcW w:w="2043" w:type="dxa"/>
            <w:vMerge/>
          </w:tcPr>
          <w:p>
            <w:pPr>
              <w:pStyle w:val="yTable"/>
              <w:spacing w:before="40"/>
              <w:rPr>
                <w:spacing w:val="-2"/>
                <w:sz w:val="20"/>
              </w:rPr>
            </w:pPr>
          </w:p>
        </w:tc>
        <w:tc>
          <w:tcPr>
            <w:tcW w:w="2268" w:type="dxa"/>
            <w:gridSpan w:val="2"/>
          </w:tcPr>
          <w:p>
            <w:pPr>
              <w:pStyle w:val="yTable"/>
              <w:spacing w:before="40"/>
              <w:rPr>
                <w:spacing w:val="-2"/>
                <w:sz w:val="20"/>
              </w:rPr>
            </w:pPr>
            <w:r>
              <w:rPr>
                <w:spacing w:val="-2"/>
                <w:sz w:val="20"/>
              </w:rPr>
              <w:t>20 m pen</w:t>
            </w:r>
          </w:p>
        </w:tc>
        <w:tc>
          <w:tcPr>
            <w:tcW w:w="2632" w:type="dxa"/>
          </w:tcPr>
          <w:p>
            <w:pPr>
              <w:pStyle w:val="yTable"/>
              <w:spacing w:before="40"/>
              <w:rPr>
                <w:spacing w:val="-2"/>
                <w:sz w:val="20"/>
              </w:rPr>
            </w:pPr>
            <w:r>
              <w:rPr>
                <w:spacing w:val="-2"/>
                <w:sz w:val="20"/>
              </w:rPr>
              <w:t>at least 16 m</w:t>
            </w:r>
          </w:p>
        </w:tc>
      </w:tr>
      <w:tr>
        <w:tc>
          <w:tcPr>
            <w:tcW w:w="3177" w:type="dxa"/>
            <w:gridSpan w:val="2"/>
            <w:tcBorders>
              <w:bottom w:val="nil"/>
            </w:tcBorders>
          </w:tcPr>
          <w:p>
            <w:pPr>
              <w:pStyle w:val="yTable"/>
              <w:spacing w:before="40" w:after="40"/>
              <w:ind w:left="84" w:hanging="14"/>
              <w:rPr>
                <w:spacing w:val="-2"/>
                <w:sz w:val="20"/>
              </w:rPr>
            </w:pPr>
            <w:r>
              <w:rPr>
                <w:sz w:val="24"/>
              </w:rPr>
              <w:br w:type="page"/>
            </w:r>
            <w:r>
              <w:rPr>
                <w:b/>
                <w:spacing w:val="-2"/>
                <w:sz w:val="20"/>
              </w:rPr>
              <w:t>Annual Fee</w:t>
            </w:r>
          </w:p>
        </w:tc>
        <w:tc>
          <w:tcPr>
            <w:tcW w:w="3766" w:type="dxa"/>
            <w:gridSpan w:val="2"/>
            <w:tcBorders>
              <w:bottom w:val="nil"/>
            </w:tcBorders>
          </w:tcPr>
          <w:p>
            <w:pPr>
              <w:pStyle w:val="yTable"/>
              <w:spacing w:before="40" w:after="40"/>
              <w:rPr>
                <w:spacing w:val="-2"/>
                <w:sz w:val="20"/>
              </w:rPr>
            </w:pPr>
            <w:r>
              <w:rPr>
                <w:spacing w:val="-2"/>
                <w:sz w:val="20"/>
              </w:rPr>
              <w:t>$194.70/m x length of vessel</w:t>
            </w:r>
          </w:p>
        </w:tc>
      </w:tr>
      <w:tr>
        <w:tc>
          <w:tcPr>
            <w:tcW w:w="3177" w:type="dxa"/>
            <w:gridSpan w:val="2"/>
            <w:tcBorders>
              <w:top w:val="single" w:sz="4" w:space="0" w:color="auto"/>
            </w:tcBorders>
          </w:tcPr>
          <w:p>
            <w:pPr>
              <w:pStyle w:val="yTable"/>
              <w:tabs>
                <w:tab w:val="left" w:pos="392"/>
              </w:tabs>
              <w:spacing w:before="40" w:after="40"/>
              <w:ind w:left="84" w:hanging="14"/>
              <w:rPr>
                <w:spacing w:val="-2"/>
                <w:sz w:val="20"/>
              </w:rPr>
            </w:pPr>
            <w:r>
              <w:rPr>
                <w:b/>
                <w:spacing w:val="-2"/>
                <w:sz w:val="20"/>
              </w:rPr>
              <w:t>Part Year Fee – 3 months or more, paid in advance</w:t>
            </w:r>
          </w:p>
        </w:tc>
        <w:tc>
          <w:tcPr>
            <w:tcW w:w="3766" w:type="dxa"/>
            <w:gridSpan w:val="2"/>
            <w:tcBorders>
              <w:top w:val="single" w:sz="4" w:space="0" w:color="auto"/>
            </w:tcBorders>
          </w:tcPr>
          <w:p>
            <w:pPr>
              <w:pStyle w:val="yTable"/>
              <w:spacing w:before="40" w:after="40"/>
              <w:rPr>
                <w:spacing w:val="-2"/>
                <w:sz w:val="20"/>
              </w:rPr>
            </w:pPr>
            <w:r>
              <w:rPr>
                <w:spacing w:val="-2"/>
                <w:sz w:val="20"/>
              </w:rPr>
              <w:br/>
              <w:t>$19.47/m x length of vessel, per month</w:t>
            </w:r>
          </w:p>
        </w:tc>
      </w:tr>
      <w:tr>
        <w:tc>
          <w:tcPr>
            <w:tcW w:w="3177" w:type="dxa"/>
            <w:gridSpan w:val="2"/>
          </w:tcPr>
          <w:p>
            <w:pPr>
              <w:pStyle w:val="yTable"/>
              <w:spacing w:before="40" w:after="40"/>
              <w:ind w:left="84" w:hanging="14"/>
              <w:rPr>
                <w:spacing w:val="-2"/>
                <w:sz w:val="20"/>
              </w:rPr>
            </w:pPr>
            <w:r>
              <w:rPr>
                <w:b/>
                <w:spacing w:val="-2"/>
                <w:sz w:val="20"/>
              </w:rPr>
              <w:t>Monthly Fee</w:t>
            </w:r>
          </w:p>
        </w:tc>
        <w:tc>
          <w:tcPr>
            <w:tcW w:w="3766" w:type="dxa"/>
            <w:gridSpan w:val="2"/>
          </w:tcPr>
          <w:p>
            <w:pPr>
              <w:pStyle w:val="yTable"/>
              <w:spacing w:before="40" w:after="40"/>
              <w:rPr>
                <w:spacing w:val="-2"/>
                <w:sz w:val="20"/>
              </w:rPr>
            </w:pPr>
            <w:r>
              <w:rPr>
                <w:spacing w:val="-2"/>
                <w:sz w:val="20"/>
              </w:rPr>
              <w:t>$38.94/m x length of vessel, per month</w:t>
            </w:r>
          </w:p>
        </w:tc>
      </w:tr>
      <w:tr>
        <w:tc>
          <w:tcPr>
            <w:tcW w:w="3177" w:type="dxa"/>
            <w:gridSpan w:val="2"/>
            <w:tcBorders>
              <w:bottom w:val="nil"/>
            </w:tcBorders>
          </w:tcPr>
          <w:p>
            <w:pPr>
              <w:pStyle w:val="yTable"/>
              <w:spacing w:before="40" w:after="40"/>
              <w:ind w:left="84" w:hanging="14"/>
              <w:rPr>
                <w:spacing w:val="-2"/>
                <w:sz w:val="20"/>
              </w:rPr>
            </w:pPr>
            <w:r>
              <w:rPr>
                <w:b/>
                <w:spacing w:val="-2"/>
                <w:sz w:val="20"/>
              </w:rPr>
              <w:t>Weekly Fee</w:t>
            </w:r>
          </w:p>
        </w:tc>
        <w:tc>
          <w:tcPr>
            <w:tcW w:w="3766" w:type="dxa"/>
            <w:gridSpan w:val="2"/>
            <w:tcBorders>
              <w:bottom w:val="nil"/>
            </w:tcBorders>
          </w:tcPr>
          <w:p>
            <w:pPr>
              <w:pStyle w:val="yTable"/>
              <w:spacing w:before="40" w:after="40"/>
              <w:rPr>
                <w:spacing w:val="-2"/>
                <w:sz w:val="20"/>
              </w:rPr>
            </w:pPr>
            <w:r>
              <w:rPr>
                <w:spacing w:val="-2"/>
                <w:sz w:val="20"/>
              </w:rPr>
              <w:t>$22.00/m x length of vessel, per week</w:t>
            </w:r>
          </w:p>
        </w:tc>
      </w:tr>
      <w:tr>
        <w:tc>
          <w:tcPr>
            <w:tcW w:w="3177" w:type="dxa"/>
            <w:gridSpan w:val="2"/>
            <w:tcBorders>
              <w:bottom w:val="single" w:sz="4" w:space="0" w:color="auto"/>
            </w:tcBorders>
          </w:tcPr>
          <w:p>
            <w:pPr>
              <w:pStyle w:val="yTable"/>
              <w:spacing w:before="40" w:after="40"/>
              <w:ind w:left="84" w:hanging="14"/>
              <w:rPr>
                <w:spacing w:val="-2"/>
                <w:sz w:val="20"/>
              </w:rPr>
            </w:pPr>
            <w:r>
              <w:rPr>
                <w:b/>
                <w:bCs/>
                <w:sz w:val="20"/>
              </w:rPr>
              <w:t>Daily Casual Fee</w:t>
            </w:r>
          </w:p>
        </w:tc>
        <w:tc>
          <w:tcPr>
            <w:tcW w:w="3766" w:type="dxa"/>
            <w:gridSpan w:val="2"/>
            <w:tcBorders>
              <w:bottom w:val="single" w:sz="4" w:space="0" w:color="auto"/>
            </w:tcBorders>
          </w:tcPr>
          <w:p>
            <w:pPr>
              <w:pStyle w:val="yTable"/>
              <w:spacing w:before="40" w:after="40"/>
              <w:rPr>
                <w:spacing w:val="-2"/>
                <w:sz w:val="20"/>
              </w:rPr>
            </w:pPr>
          </w:p>
        </w:tc>
      </w:tr>
      <w:tr>
        <w:tc>
          <w:tcPr>
            <w:tcW w:w="3177" w:type="dxa"/>
            <w:gridSpan w:val="2"/>
            <w:tcBorders>
              <w:bottom w:val="single" w:sz="4" w:space="0" w:color="auto"/>
            </w:tcBorders>
          </w:tcPr>
          <w:p>
            <w:pPr>
              <w:pStyle w:val="yTable"/>
              <w:spacing w:before="40" w:after="40"/>
              <w:ind w:left="84" w:hanging="14"/>
              <w:rPr>
                <w:b/>
                <w:bCs/>
                <w:sz w:val="20"/>
              </w:rPr>
            </w:pPr>
            <w:r>
              <w:rPr>
                <w:sz w:val="20"/>
              </w:rPr>
              <w:t>Mooring pens</w:t>
            </w:r>
          </w:p>
        </w:tc>
        <w:tc>
          <w:tcPr>
            <w:tcW w:w="3766" w:type="dxa"/>
            <w:gridSpan w:val="2"/>
            <w:tcBorders>
              <w:bottom w:val="single" w:sz="4" w:space="0" w:color="auto"/>
            </w:tcBorders>
          </w:tcPr>
          <w:p>
            <w:pPr>
              <w:pStyle w:val="yTable"/>
              <w:spacing w:before="40" w:after="40"/>
              <w:rPr>
                <w:spacing w:val="-2"/>
                <w:sz w:val="20"/>
              </w:rPr>
            </w:pPr>
            <w:r>
              <w:rPr>
                <w:sz w:val="20"/>
              </w:rPr>
              <w:t>$4.40/m x length of vessel, per day (with a minimum overnight charge of $44.00 per vessel)</w:t>
            </w:r>
          </w:p>
        </w:tc>
      </w:tr>
      <w:tr>
        <w:tc>
          <w:tcPr>
            <w:tcW w:w="3177" w:type="dxa"/>
            <w:gridSpan w:val="2"/>
            <w:tcBorders>
              <w:bottom w:val="single" w:sz="4" w:space="0" w:color="auto"/>
            </w:tcBorders>
          </w:tcPr>
          <w:p>
            <w:pPr>
              <w:pStyle w:val="yTable"/>
              <w:spacing w:before="40" w:after="40"/>
              <w:ind w:left="84" w:hanging="14"/>
              <w:rPr>
                <w:b/>
                <w:bCs/>
                <w:sz w:val="20"/>
              </w:rPr>
            </w:pPr>
            <w:r>
              <w:rPr>
                <w:sz w:val="20"/>
              </w:rPr>
              <w:t>Service jetty (mooring pens available)</w:t>
            </w:r>
          </w:p>
        </w:tc>
        <w:tc>
          <w:tcPr>
            <w:tcW w:w="3766" w:type="dxa"/>
            <w:gridSpan w:val="2"/>
            <w:tcBorders>
              <w:bottom w:val="single" w:sz="4" w:space="0" w:color="auto"/>
            </w:tcBorders>
          </w:tcPr>
          <w:p>
            <w:pPr>
              <w:pStyle w:val="yTable"/>
              <w:spacing w:before="40" w:after="40"/>
              <w:rPr>
                <w:spacing w:val="-2"/>
                <w:sz w:val="20"/>
              </w:rPr>
            </w:pPr>
            <w:r>
              <w:rPr>
                <w:sz w:val="20"/>
              </w:rPr>
              <w:t>$6.60/m x length of vessel, per day (with a minimum overnight charge of $66.00 per vessel)</w:t>
            </w:r>
          </w:p>
        </w:tc>
      </w:tr>
      <w:tr>
        <w:tc>
          <w:tcPr>
            <w:tcW w:w="3177" w:type="dxa"/>
            <w:gridSpan w:val="2"/>
            <w:tcBorders>
              <w:bottom w:val="single" w:sz="4" w:space="0" w:color="auto"/>
            </w:tcBorders>
          </w:tcPr>
          <w:p>
            <w:pPr>
              <w:pStyle w:val="yTable"/>
              <w:spacing w:before="40" w:after="40"/>
              <w:ind w:left="84" w:hanging="14"/>
              <w:rPr>
                <w:b/>
                <w:bCs/>
                <w:sz w:val="20"/>
              </w:rPr>
            </w:pPr>
            <w:r>
              <w:rPr>
                <w:sz w:val="20"/>
              </w:rPr>
              <w:t>Service jetty (no mooring pens available)</w:t>
            </w:r>
          </w:p>
        </w:tc>
        <w:tc>
          <w:tcPr>
            <w:tcW w:w="3766" w:type="dxa"/>
            <w:gridSpan w:val="2"/>
            <w:tcBorders>
              <w:bottom w:val="single" w:sz="4" w:space="0" w:color="auto"/>
            </w:tcBorders>
          </w:tcPr>
          <w:p>
            <w:pPr>
              <w:pStyle w:val="yTable"/>
              <w:spacing w:before="40" w:after="40"/>
              <w:rPr>
                <w:spacing w:val="-2"/>
                <w:sz w:val="20"/>
              </w:rPr>
            </w:pPr>
            <w:r>
              <w:rPr>
                <w:sz w:val="20"/>
              </w:rPr>
              <w:t>$4.40/m x length of vessel, per day (with a minimum overnight charge of $44.00 per vessel)</w:t>
            </w:r>
          </w:p>
        </w:tc>
      </w:tr>
      <w:tr>
        <w:tc>
          <w:tcPr>
            <w:tcW w:w="3177" w:type="dxa"/>
            <w:gridSpan w:val="2"/>
            <w:tcBorders>
              <w:top w:val="single" w:sz="4" w:space="0" w:color="auto"/>
              <w:bottom w:val="single" w:sz="4" w:space="0" w:color="auto"/>
            </w:tcBorders>
          </w:tcPr>
          <w:p>
            <w:pPr>
              <w:pStyle w:val="yTable"/>
              <w:spacing w:before="40" w:after="40"/>
              <w:rPr>
                <w:spacing w:val="-2"/>
                <w:sz w:val="20"/>
              </w:rPr>
            </w:pPr>
            <w:r>
              <w:rPr>
                <w:b/>
                <w:spacing w:val="-2"/>
                <w:sz w:val="20"/>
              </w:rPr>
              <w:t>Short Term Use of Service Jetty f</w:t>
            </w:r>
            <w:r>
              <w:rPr>
                <w:spacing w:val="-2"/>
                <w:sz w:val="20"/>
              </w:rPr>
              <w:t>or loading or unloading (for vessels not paying pen, mooring or berthing fee)</w:t>
            </w:r>
          </w:p>
        </w:tc>
        <w:tc>
          <w:tcPr>
            <w:tcW w:w="3766" w:type="dxa"/>
            <w:gridSpan w:val="2"/>
            <w:tcBorders>
              <w:top w:val="single" w:sz="4" w:space="0" w:color="auto"/>
              <w:bottom w:val="single" w:sz="4" w:space="0" w:color="auto"/>
            </w:tcBorders>
          </w:tcPr>
          <w:p>
            <w:pPr>
              <w:pStyle w:val="yTable"/>
              <w:spacing w:before="40" w:after="40"/>
              <w:rPr>
                <w:spacing w:val="-2"/>
                <w:sz w:val="20"/>
              </w:rPr>
            </w:pPr>
            <w:r>
              <w:rPr>
                <w:spacing w:val="-2"/>
                <w:sz w:val="20"/>
              </w:rPr>
              <w:br/>
            </w:r>
            <w:r>
              <w:rPr>
                <w:spacing w:val="-2"/>
                <w:sz w:val="20"/>
              </w:rPr>
              <w:br/>
              <w:t>$550.00 per vessel per year</w:t>
            </w:r>
          </w:p>
        </w:tc>
      </w:tr>
      <w:tr>
        <w:tc>
          <w:tcPr>
            <w:tcW w:w="3177" w:type="dxa"/>
            <w:gridSpan w:val="2"/>
            <w:tcBorders>
              <w:top w:val="single" w:sz="4" w:space="0" w:color="auto"/>
              <w:bottom w:val="single" w:sz="4" w:space="0" w:color="auto"/>
            </w:tcBorders>
          </w:tcPr>
          <w:p>
            <w:pPr>
              <w:pStyle w:val="yTable"/>
              <w:spacing w:before="40"/>
              <w:rPr>
                <w:b/>
                <w:spacing w:val="-2"/>
                <w:sz w:val="20"/>
              </w:rPr>
            </w:pPr>
            <w:r>
              <w:rPr>
                <w:b/>
                <w:spacing w:val="-2"/>
                <w:sz w:val="20"/>
              </w:rPr>
              <w:t>Electric Power Charge</w:t>
            </w:r>
          </w:p>
          <w:p>
            <w:pPr>
              <w:pStyle w:val="yTable"/>
              <w:spacing w:before="0"/>
              <w:ind w:left="258"/>
              <w:rPr>
                <w:spacing w:val="-2"/>
                <w:sz w:val="20"/>
              </w:rPr>
            </w:pPr>
            <w:r>
              <w:rPr>
                <w:spacing w:val="-2"/>
                <w:sz w:val="20"/>
              </w:rPr>
              <w:t>3</w:t>
            </w:r>
            <w:r>
              <w:rPr>
                <w:spacing w:val="-2"/>
                <w:sz w:val="20"/>
              </w:rPr>
              <w:noBreakHyphen/>
              <w:t>phase (all users)</w:t>
            </w:r>
          </w:p>
          <w:p>
            <w:pPr>
              <w:pStyle w:val="yTable"/>
              <w:spacing w:before="0"/>
              <w:ind w:left="258"/>
              <w:rPr>
                <w:b/>
                <w:spacing w:val="-2"/>
                <w:sz w:val="20"/>
              </w:rPr>
            </w:pPr>
            <w:r>
              <w:rPr>
                <w:spacing w:val="-2"/>
                <w:sz w:val="20"/>
              </w:rPr>
              <w:t>Single phase: (for vessels not paying annual or monthly fee)</w:t>
            </w:r>
          </w:p>
        </w:tc>
        <w:tc>
          <w:tcPr>
            <w:tcW w:w="3766" w:type="dxa"/>
            <w:gridSpan w:val="2"/>
            <w:tcBorders>
              <w:top w:val="single" w:sz="4" w:space="0" w:color="auto"/>
              <w:bottom w:val="single" w:sz="4" w:space="0" w:color="auto"/>
            </w:tcBorders>
          </w:tcPr>
          <w:p>
            <w:pPr>
              <w:pStyle w:val="yTable"/>
              <w:spacing w:before="0"/>
              <w:rPr>
                <w:spacing w:val="-2"/>
                <w:sz w:val="20"/>
              </w:rPr>
            </w:pPr>
          </w:p>
          <w:p>
            <w:pPr>
              <w:pStyle w:val="yTable"/>
              <w:spacing w:before="0"/>
              <w:rPr>
                <w:spacing w:val="-2"/>
                <w:sz w:val="20"/>
              </w:rPr>
            </w:pPr>
            <w:r>
              <w:rPr>
                <w:spacing w:val="-2"/>
                <w:sz w:val="20"/>
              </w:rPr>
              <w:t>$22.00 per day or part of a day</w:t>
            </w:r>
          </w:p>
          <w:p>
            <w:pPr>
              <w:pStyle w:val="yTable"/>
              <w:spacing w:before="0"/>
              <w:rPr>
                <w:spacing w:val="-2"/>
                <w:sz w:val="20"/>
              </w:rPr>
            </w:pPr>
            <w:r>
              <w:rPr>
                <w:spacing w:val="-2"/>
                <w:sz w:val="20"/>
              </w:rPr>
              <w:br/>
              <w:t>$5.50 per day, or if meter indicates power consumption in excess of $5.50 per day, at cost</w:t>
            </w:r>
          </w:p>
        </w:tc>
      </w:tr>
    </w:tbl>
    <w:p>
      <w:pPr>
        <w:pStyle w:val="yHeading4"/>
      </w:pPr>
      <w:bookmarkStart w:id="948" w:name="_Toc139101868"/>
      <w:bookmarkStart w:id="949" w:name="_Toc139102053"/>
      <w:bookmarkStart w:id="950" w:name="_Toc139443401"/>
      <w:r>
        <w:t>Subdivision 17</w:t>
      </w:r>
      <w:r>
        <w:rPr>
          <w:b w:val="0"/>
        </w:rPr>
        <w:t> — </w:t>
      </w:r>
      <w:r>
        <w:t>Lancelin Boat Harbour</w:t>
      </w:r>
      <w:bookmarkEnd w:id="948"/>
      <w:bookmarkEnd w:id="949"/>
      <w:bookmarkEnd w:id="950"/>
    </w:p>
    <w:p>
      <w:pPr>
        <w:pStyle w:val="yFootnoteheading"/>
      </w:pPr>
      <w:r>
        <w:tab/>
        <w:t>[Heading inserted in Gazette 24 Jun 2005 p. 2844.]</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66"/>
      </w:tblGrid>
      <w:tr>
        <w:tc>
          <w:tcPr>
            <w:tcW w:w="3205" w:type="dxa"/>
          </w:tcPr>
          <w:p>
            <w:pPr>
              <w:pStyle w:val="yTable"/>
              <w:spacing w:before="40"/>
              <w:rPr>
                <w:spacing w:val="-2"/>
                <w:sz w:val="20"/>
              </w:rPr>
            </w:pPr>
            <w:r>
              <w:rPr>
                <w:b/>
                <w:spacing w:val="-2"/>
                <w:sz w:val="20"/>
              </w:rPr>
              <w:t>Daily Casual Fee</w:t>
            </w:r>
            <w:r>
              <w:rPr>
                <w:spacing w:val="-2"/>
                <w:sz w:val="20"/>
              </w:rPr>
              <w:t> </w:t>
            </w:r>
            <w:r>
              <w:rPr>
                <w:i/>
                <w:snapToGrid w:val="0"/>
                <w:sz w:val="20"/>
              </w:rPr>
              <w:t>—</w:t>
            </w:r>
            <w:r>
              <w:rPr>
                <w:spacing w:val="-2"/>
                <w:sz w:val="20"/>
              </w:rPr>
              <w:t> </w:t>
            </w:r>
            <w:r>
              <w:rPr>
                <w:spacing w:val="-2"/>
                <w:sz w:val="20"/>
              </w:rPr>
              <w:br/>
              <w:t>(Berthage/Use of Service Jetty, for extended/overnight stay)</w:t>
            </w:r>
          </w:p>
        </w:tc>
        <w:tc>
          <w:tcPr>
            <w:tcW w:w="3766" w:type="dxa"/>
          </w:tcPr>
          <w:p>
            <w:pPr>
              <w:pStyle w:val="yTable"/>
              <w:keepNext/>
              <w:spacing w:before="40"/>
              <w:rPr>
                <w:spacing w:val="-2"/>
                <w:sz w:val="20"/>
              </w:rPr>
            </w:pPr>
            <w:r>
              <w:rPr>
                <w:spacing w:val="-2"/>
                <w:sz w:val="20"/>
              </w:rPr>
              <w:br/>
            </w:r>
            <w:r>
              <w:rPr>
                <w:spacing w:val="-2"/>
                <w:sz w:val="20"/>
              </w:rPr>
              <w:br/>
              <w:t>$5.50/m x length of vessel</w:t>
            </w:r>
          </w:p>
        </w:tc>
      </w:tr>
    </w:tbl>
    <w:p>
      <w:pPr>
        <w:pStyle w:val="yNumberedItem"/>
      </w:pPr>
      <w:r>
        <w:t>Note:</w:t>
      </w:r>
      <w:r>
        <w:tab/>
        <w:t>Vessels undertaking emergency repairs for which special prior Departmental approval has been sought, and obtained, to berth at the jetty for the period in question, are to be exempt from this fee.</w:t>
      </w:r>
    </w:p>
    <w:p>
      <w:pPr>
        <w:pStyle w:val="yHeading4"/>
      </w:pPr>
      <w:bookmarkStart w:id="951" w:name="_Toc139101869"/>
      <w:bookmarkStart w:id="952" w:name="_Toc139102054"/>
      <w:bookmarkStart w:id="953" w:name="_Toc139443402"/>
      <w:r>
        <w:t>Subdivision 18</w:t>
      </w:r>
      <w:r>
        <w:rPr>
          <w:b w:val="0"/>
        </w:rPr>
        <w:t> — </w:t>
      </w:r>
      <w:r>
        <w:t>Leeman</w:t>
      </w:r>
      <w:bookmarkEnd w:id="951"/>
      <w:bookmarkEnd w:id="952"/>
      <w:bookmarkEnd w:id="953"/>
    </w:p>
    <w:p>
      <w:pPr>
        <w:pStyle w:val="yFootnoteheading"/>
      </w:pPr>
      <w:r>
        <w:tab/>
        <w:t>[Heading inserted in Gazette 24 Jun 2005 p. 2844.]</w:t>
      </w:r>
    </w:p>
    <w:tbl>
      <w:tblPr>
        <w:tblW w:w="0" w:type="auto"/>
        <w:tblInd w:w="14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94"/>
      </w:tblGrid>
      <w:tr>
        <w:tc>
          <w:tcPr>
            <w:tcW w:w="3205" w:type="dxa"/>
            <w:tcBorders>
              <w:bottom w:val="nil"/>
            </w:tcBorders>
          </w:tcPr>
          <w:p>
            <w:pPr>
              <w:pStyle w:val="yTable"/>
              <w:spacing w:after="40"/>
              <w:rPr>
                <w:spacing w:val="-2"/>
                <w:sz w:val="20"/>
              </w:rPr>
            </w:pPr>
            <w:r>
              <w:rPr>
                <w:b/>
                <w:spacing w:val="-2"/>
                <w:sz w:val="20"/>
              </w:rPr>
              <w:t>Daily Casual Fee</w:t>
            </w:r>
          </w:p>
        </w:tc>
        <w:tc>
          <w:tcPr>
            <w:tcW w:w="3794" w:type="dxa"/>
            <w:tcBorders>
              <w:bottom w:val="nil"/>
            </w:tcBorders>
          </w:tcPr>
          <w:p>
            <w:pPr>
              <w:pStyle w:val="yTable"/>
              <w:spacing w:after="40"/>
              <w:rPr>
                <w:spacing w:val="-2"/>
                <w:sz w:val="20"/>
              </w:rPr>
            </w:pPr>
            <w:r>
              <w:rPr>
                <w:spacing w:val="-2"/>
                <w:sz w:val="20"/>
              </w:rPr>
              <w:t>$3.30/m x length of vessel</w:t>
            </w:r>
          </w:p>
        </w:tc>
      </w:tr>
      <w:tr>
        <w:tc>
          <w:tcPr>
            <w:tcW w:w="3205" w:type="dxa"/>
            <w:tcBorders>
              <w:bottom w:val="single" w:sz="4" w:space="0" w:color="auto"/>
            </w:tcBorders>
          </w:tcPr>
          <w:p>
            <w:pPr>
              <w:pStyle w:val="yTable"/>
              <w:spacing w:after="40"/>
              <w:rPr>
                <w:b/>
                <w:spacing w:val="-2"/>
                <w:sz w:val="20"/>
              </w:rPr>
            </w:pPr>
            <w:r>
              <w:rPr>
                <w:spacing w:val="-2"/>
                <w:sz w:val="20"/>
              </w:rPr>
              <w:t>Minimum for overnight stay</w:t>
            </w:r>
          </w:p>
        </w:tc>
        <w:tc>
          <w:tcPr>
            <w:tcW w:w="3794" w:type="dxa"/>
            <w:tcBorders>
              <w:bottom w:val="single" w:sz="4" w:space="0" w:color="auto"/>
            </w:tcBorders>
          </w:tcPr>
          <w:p>
            <w:pPr>
              <w:pStyle w:val="yTable"/>
              <w:spacing w:after="40"/>
              <w:rPr>
                <w:spacing w:val="-2"/>
                <w:sz w:val="20"/>
              </w:rPr>
            </w:pPr>
            <w:r>
              <w:rPr>
                <w:spacing w:val="-2"/>
                <w:sz w:val="20"/>
              </w:rPr>
              <w:t xml:space="preserve">$49.50 per vessel </w:t>
            </w:r>
          </w:p>
        </w:tc>
      </w:tr>
    </w:tbl>
    <w:p>
      <w:pPr>
        <w:pStyle w:val="yHeading4"/>
      </w:pPr>
      <w:bookmarkStart w:id="954" w:name="_Toc139101870"/>
      <w:bookmarkStart w:id="955" w:name="_Toc139102055"/>
      <w:bookmarkStart w:id="956" w:name="_Toc139443403"/>
      <w:r>
        <w:t>Subdivision 19</w:t>
      </w:r>
      <w:r>
        <w:rPr>
          <w:b w:val="0"/>
        </w:rPr>
        <w:t> — </w:t>
      </w:r>
      <w:r>
        <w:t>Port Denison</w:t>
      </w:r>
      <w:bookmarkEnd w:id="954"/>
      <w:bookmarkEnd w:id="955"/>
      <w:bookmarkEnd w:id="956"/>
    </w:p>
    <w:p>
      <w:pPr>
        <w:pStyle w:val="yFootnoteheading"/>
      </w:pPr>
      <w:r>
        <w:tab/>
        <w:t>[Heading inserted in Gazette 24 Jun 2005 p. 2844.]</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630"/>
        <w:gridCol w:w="3369"/>
      </w:tblGrid>
      <w:tr>
        <w:trPr>
          <w:cantSplit/>
        </w:trPr>
        <w:tc>
          <w:tcPr>
            <w:tcW w:w="6999" w:type="dxa"/>
            <w:gridSpan w:val="2"/>
          </w:tcPr>
          <w:p>
            <w:pPr>
              <w:pStyle w:val="yTable"/>
              <w:spacing w:after="60"/>
              <w:rPr>
                <w:spacing w:val="-2"/>
                <w:sz w:val="20"/>
              </w:rPr>
            </w:pPr>
            <w:r>
              <w:rPr>
                <w:b/>
                <w:sz w:val="20"/>
              </w:rPr>
              <w:t>Standard Fees</w:t>
            </w:r>
            <w:r>
              <w:rPr>
                <w:sz w:val="20"/>
              </w:rPr>
              <w:t> </w:t>
            </w:r>
            <w:r>
              <w:rPr>
                <w:spacing w:val="-2"/>
                <w:sz w:val="20"/>
              </w:rPr>
              <w:t>(</w:t>
            </w:r>
            <w:r>
              <w:rPr>
                <w:i/>
                <w:spacing w:val="-2"/>
                <w:sz w:val="20"/>
              </w:rPr>
              <w:t>subject to a minimum chargeable length for a 20 m pen of 16 m.)</w:t>
            </w:r>
          </w:p>
        </w:tc>
      </w:tr>
      <w:tr>
        <w:tc>
          <w:tcPr>
            <w:tcW w:w="3630" w:type="dxa"/>
          </w:tcPr>
          <w:p>
            <w:pPr>
              <w:pStyle w:val="yTable"/>
              <w:spacing w:after="60"/>
              <w:ind w:firstLine="2"/>
              <w:rPr>
                <w:spacing w:val="-2"/>
                <w:sz w:val="20"/>
              </w:rPr>
            </w:pPr>
            <w:r>
              <w:rPr>
                <w:b/>
                <w:spacing w:val="-2"/>
                <w:sz w:val="20"/>
              </w:rPr>
              <w:t>Annual Fee</w:t>
            </w:r>
            <w:r>
              <w:rPr>
                <w:spacing w:val="-2"/>
                <w:sz w:val="20"/>
              </w:rPr>
              <w:t> </w:t>
            </w:r>
            <w:r>
              <w:rPr>
                <w:i/>
                <w:snapToGrid w:val="0"/>
                <w:sz w:val="20"/>
              </w:rPr>
              <w:t>—</w:t>
            </w:r>
            <w:r>
              <w:rPr>
                <w:spacing w:val="-2"/>
                <w:sz w:val="20"/>
              </w:rPr>
              <w:t> </w:t>
            </w:r>
          </w:p>
          <w:p>
            <w:pPr>
              <w:pStyle w:val="yTable"/>
              <w:spacing w:after="60"/>
              <w:ind w:firstLine="144"/>
              <w:rPr>
                <w:spacing w:val="-2"/>
                <w:sz w:val="20"/>
              </w:rPr>
            </w:pPr>
            <w:r>
              <w:rPr>
                <w:spacing w:val="-2"/>
                <w:sz w:val="20"/>
              </w:rPr>
              <w:t>Commercial vessels</w:t>
            </w:r>
          </w:p>
        </w:tc>
        <w:tc>
          <w:tcPr>
            <w:tcW w:w="3369" w:type="dxa"/>
          </w:tcPr>
          <w:p>
            <w:pPr>
              <w:pStyle w:val="yTable"/>
              <w:spacing w:after="60"/>
              <w:rPr>
                <w:spacing w:val="-2"/>
                <w:sz w:val="20"/>
              </w:rPr>
            </w:pPr>
          </w:p>
          <w:p>
            <w:pPr>
              <w:pStyle w:val="yTable"/>
              <w:spacing w:after="60"/>
              <w:rPr>
                <w:spacing w:val="-2"/>
                <w:sz w:val="20"/>
              </w:rPr>
            </w:pPr>
            <w:r>
              <w:rPr>
                <w:spacing w:val="-2"/>
                <w:sz w:val="20"/>
              </w:rPr>
              <w:t>$951.50 per vessel</w:t>
            </w:r>
          </w:p>
        </w:tc>
      </w:tr>
      <w:tr>
        <w:tc>
          <w:tcPr>
            <w:tcW w:w="3630" w:type="dxa"/>
          </w:tcPr>
          <w:p>
            <w:pPr>
              <w:pStyle w:val="yTable"/>
              <w:spacing w:after="60"/>
              <w:ind w:left="144"/>
              <w:rPr>
                <w:spacing w:val="-2"/>
                <w:sz w:val="20"/>
              </w:rPr>
            </w:pPr>
            <w:r>
              <w:rPr>
                <w:spacing w:val="-2"/>
                <w:sz w:val="20"/>
              </w:rPr>
              <w:t>Recreational vessels</w:t>
            </w:r>
          </w:p>
        </w:tc>
        <w:tc>
          <w:tcPr>
            <w:tcW w:w="3369" w:type="dxa"/>
          </w:tcPr>
          <w:p>
            <w:pPr>
              <w:pStyle w:val="yTable"/>
              <w:spacing w:after="60"/>
              <w:rPr>
                <w:spacing w:val="-2"/>
                <w:sz w:val="20"/>
              </w:rPr>
            </w:pPr>
            <w:r>
              <w:rPr>
                <w:spacing w:val="-2"/>
                <w:sz w:val="20"/>
              </w:rPr>
              <w:t xml:space="preserve">$55.00 per vessel </w:t>
            </w:r>
          </w:p>
        </w:tc>
      </w:tr>
      <w:tr>
        <w:tc>
          <w:tcPr>
            <w:tcW w:w="3630" w:type="dxa"/>
            <w:tcBorders>
              <w:bottom w:val="nil"/>
            </w:tcBorders>
          </w:tcPr>
          <w:p>
            <w:pPr>
              <w:pStyle w:val="yTable"/>
              <w:spacing w:after="60"/>
              <w:ind w:left="144"/>
              <w:rPr>
                <w:spacing w:val="-2"/>
                <w:sz w:val="20"/>
              </w:rPr>
            </w:pPr>
            <w:r>
              <w:rPr>
                <w:spacing w:val="-2"/>
                <w:sz w:val="20"/>
              </w:rPr>
              <w:t>plus for all vessels</w:t>
            </w:r>
          </w:p>
        </w:tc>
        <w:tc>
          <w:tcPr>
            <w:tcW w:w="3369" w:type="dxa"/>
            <w:tcBorders>
              <w:bottom w:val="nil"/>
            </w:tcBorders>
          </w:tcPr>
          <w:p>
            <w:pPr>
              <w:pStyle w:val="yTable"/>
              <w:spacing w:after="60"/>
              <w:rPr>
                <w:spacing w:val="-2"/>
                <w:sz w:val="20"/>
              </w:rPr>
            </w:pPr>
            <w:r>
              <w:rPr>
                <w:spacing w:val="-2"/>
                <w:sz w:val="20"/>
              </w:rPr>
              <w:t xml:space="preserve">    </w:t>
            </w:r>
            <w:r>
              <w:rPr>
                <w:b/>
                <w:spacing w:val="-2"/>
                <w:sz w:val="20"/>
              </w:rPr>
              <w:t>+</w:t>
            </w:r>
            <w:r>
              <w:rPr>
                <w:spacing w:val="-2"/>
                <w:sz w:val="20"/>
              </w:rPr>
              <w:t xml:space="preserve">      $77.00/m x length of vessel </w:t>
            </w:r>
          </w:p>
        </w:tc>
      </w:tr>
      <w:tr>
        <w:tc>
          <w:tcPr>
            <w:tcW w:w="3630" w:type="dxa"/>
            <w:tcBorders>
              <w:bottom w:val="single" w:sz="4" w:space="0" w:color="auto"/>
            </w:tcBorders>
          </w:tcPr>
          <w:p>
            <w:pPr>
              <w:pStyle w:val="yTable"/>
              <w:tabs>
                <w:tab w:val="left" w:pos="392"/>
              </w:tabs>
              <w:spacing w:after="60"/>
              <w:rPr>
                <w:spacing w:val="-2"/>
                <w:sz w:val="20"/>
              </w:rPr>
            </w:pPr>
            <w:r>
              <w:rPr>
                <w:b/>
                <w:spacing w:val="-2"/>
                <w:sz w:val="20"/>
              </w:rPr>
              <w:t xml:space="preserve">Daily Casual Fee </w:t>
            </w:r>
            <w:r>
              <w:rPr>
                <w:spacing w:val="-2"/>
                <w:sz w:val="20"/>
              </w:rPr>
              <w:t>(all vessels)</w:t>
            </w:r>
          </w:p>
        </w:tc>
        <w:tc>
          <w:tcPr>
            <w:tcW w:w="3369" w:type="dxa"/>
            <w:tcBorders>
              <w:bottom w:val="single" w:sz="4" w:space="0" w:color="auto"/>
            </w:tcBorders>
          </w:tcPr>
          <w:p>
            <w:pPr>
              <w:pStyle w:val="yTable"/>
              <w:spacing w:after="60"/>
              <w:rPr>
                <w:spacing w:val="-2"/>
                <w:sz w:val="20"/>
              </w:rPr>
            </w:pPr>
            <w:r>
              <w:rPr>
                <w:spacing w:val="-2"/>
                <w:sz w:val="20"/>
              </w:rPr>
              <w:t>$5.50/m x length of vessel, per day</w:t>
            </w:r>
          </w:p>
        </w:tc>
      </w:tr>
      <w:tr>
        <w:trPr>
          <w:cantSplit/>
        </w:trPr>
        <w:tc>
          <w:tcPr>
            <w:tcW w:w="3630" w:type="dxa"/>
            <w:tcBorders>
              <w:bottom w:val="single" w:sz="4" w:space="0" w:color="auto"/>
            </w:tcBorders>
          </w:tcPr>
          <w:p>
            <w:pPr>
              <w:pStyle w:val="yTable"/>
              <w:spacing w:after="60"/>
              <w:rPr>
                <w:i/>
                <w:spacing w:val="-2"/>
                <w:sz w:val="20"/>
              </w:rPr>
            </w:pPr>
            <w:r>
              <w:rPr>
                <w:b/>
                <w:spacing w:val="-2"/>
                <w:sz w:val="20"/>
              </w:rPr>
              <w:t>Extended Stay Fee</w:t>
            </w:r>
            <w:r>
              <w:rPr>
                <w:spacing w:val="-2"/>
                <w:sz w:val="20"/>
              </w:rPr>
              <w:t xml:space="preserve"> (for extended or overnight stays at the service jetty for vessels that have paid annual berthing/mooring fees)</w:t>
            </w:r>
          </w:p>
        </w:tc>
        <w:tc>
          <w:tcPr>
            <w:tcW w:w="3369" w:type="dxa"/>
            <w:tcBorders>
              <w:bottom w:val="single" w:sz="4" w:space="0" w:color="auto"/>
            </w:tcBorders>
          </w:tcPr>
          <w:p>
            <w:pPr>
              <w:pStyle w:val="yTable"/>
              <w:keepNext/>
              <w:keepLines/>
              <w:spacing w:after="60"/>
              <w:rPr>
                <w:spacing w:val="-2"/>
                <w:sz w:val="20"/>
              </w:rPr>
            </w:pPr>
            <w:r>
              <w:rPr>
                <w:spacing w:val="-2"/>
                <w:sz w:val="20"/>
              </w:rPr>
              <w:br/>
            </w:r>
            <w:r>
              <w:rPr>
                <w:spacing w:val="-2"/>
                <w:sz w:val="20"/>
              </w:rPr>
              <w:br/>
            </w:r>
            <w:r>
              <w:rPr>
                <w:spacing w:val="-2"/>
                <w:sz w:val="20"/>
              </w:rPr>
              <w:br/>
              <w:t>$44.00 per day</w:t>
            </w:r>
          </w:p>
        </w:tc>
      </w:tr>
      <w:tr>
        <w:trPr>
          <w:cantSplit/>
        </w:trPr>
        <w:tc>
          <w:tcPr>
            <w:tcW w:w="6999" w:type="dxa"/>
            <w:gridSpan w:val="2"/>
            <w:tcBorders>
              <w:top w:val="nil"/>
              <w:left w:val="nil"/>
              <w:bottom w:val="nil"/>
              <w:right w:val="nil"/>
            </w:tcBorders>
          </w:tcPr>
          <w:p>
            <w:pPr>
              <w:pStyle w:val="yNumberedItem"/>
            </w:pPr>
            <w:r>
              <w:t xml:space="preserve">Note: </w:t>
            </w:r>
            <w:r>
              <w:tab/>
              <w:t>A vessel for which a prescribed daily casual fee has been paid for the period in question, and a person who has sought and received specific, prior, Departmental approval to berth at the jetty for the period in question (e.g. for emergency repairs) is exempt from the payment of the extended stay fee.</w:t>
            </w:r>
          </w:p>
        </w:tc>
      </w:tr>
    </w:tbl>
    <w:p>
      <w:pPr>
        <w:pStyle w:val="yHeading4"/>
      </w:pPr>
      <w:bookmarkStart w:id="957" w:name="_Toc139101871"/>
      <w:bookmarkStart w:id="958" w:name="_Toc139102056"/>
      <w:bookmarkStart w:id="959" w:name="_Toc139443404"/>
      <w:r>
        <w:t>Subdivision 20</w:t>
      </w:r>
      <w:r>
        <w:rPr>
          <w:b w:val="0"/>
        </w:rPr>
        <w:t> — </w:t>
      </w:r>
      <w:r>
        <w:t>Port Gregory</w:t>
      </w:r>
      <w:bookmarkEnd w:id="957"/>
      <w:bookmarkEnd w:id="958"/>
      <w:bookmarkEnd w:id="959"/>
    </w:p>
    <w:p>
      <w:pPr>
        <w:pStyle w:val="yFootnoteheading"/>
      </w:pPr>
      <w:r>
        <w:tab/>
        <w:t>[Heading inserted in Gazette 24 Jun 2005 p. 2845.]</w:t>
      </w:r>
    </w:p>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91"/>
        <w:gridCol w:w="3766"/>
      </w:tblGrid>
      <w:tr>
        <w:tc>
          <w:tcPr>
            <w:tcW w:w="3191" w:type="dxa"/>
            <w:tcBorders>
              <w:bottom w:val="nil"/>
            </w:tcBorders>
          </w:tcPr>
          <w:p>
            <w:pPr>
              <w:pStyle w:val="yTable"/>
              <w:keepNext/>
              <w:spacing w:before="40" w:after="60"/>
              <w:rPr>
                <w:spacing w:val="-2"/>
                <w:sz w:val="20"/>
              </w:rPr>
            </w:pPr>
            <w:r>
              <w:rPr>
                <w:b/>
                <w:spacing w:val="-2"/>
                <w:sz w:val="20"/>
              </w:rPr>
              <w:t>Daily Casual Fee</w:t>
            </w:r>
          </w:p>
        </w:tc>
        <w:tc>
          <w:tcPr>
            <w:tcW w:w="3766" w:type="dxa"/>
            <w:tcBorders>
              <w:bottom w:val="nil"/>
            </w:tcBorders>
          </w:tcPr>
          <w:p>
            <w:pPr>
              <w:pStyle w:val="yTable"/>
              <w:keepNext/>
              <w:spacing w:before="40" w:after="60"/>
              <w:rPr>
                <w:spacing w:val="-2"/>
                <w:sz w:val="20"/>
              </w:rPr>
            </w:pPr>
            <w:r>
              <w:rPr>
                <w:spacing w:val="-2"/>
                <w:sz w:val="20"/>
              </w:rPr>
              <w:t>$4.05/m x length of vessel, per day</w:t>
            </w:r>
          </w:p>
        </w:tc>
      </w:tr>
      <w:tr>
        <w:tc>
          <w:tcPr>
            <w:tcW w:w="3191" w:type="dxa"/>
            <w:tcBorders>
              <w:bottom w:val="nil"/>
            </w:tcBorders>
          </w:tcPr>
          <w:p>
            <w:pPr>
              <w:pStyle w:val="yTable"/>
              <w:spacing w:before="40" w:after="60"/>
              <w:ind w:left="342"/>
              <w:rPr>
                <w:spacing w:val="-2"/>
                <w:sz w:val="20"/>
              </w:rPr>
            </w:pPr>
            <w:r>
              <w:rPr>
                <w:spacing w:val="-2"/>
                <w:sz w:val="20"/>
              </w:rPr>
              <w:t>Minimum for overnight stay</w:t>
            </w:r>
          </w:p>
        </w:tc>
        <w:tc>
          <w:tcPr>
            <w:tcW w:w="3766" w:type="dxa"/>
            <w:tcBorders>
              <w:bottom w:val="nil"/>
            </w:tcBorders>
          </w:tcPr>
          <w:p>
            <w:pPr>
              <w:pStyle w:val="yTable"/>
              <w:spacing w:before="40" w:after="60"/>
              <w:rPr>
                <w:spacing w:val="-2"/>
                <w:sz w:val="20"/>
              </w:rPr>
            </w:pPr>
            <w:r>
              <w:rPr>
                <w:spacing w:val="-2"/>
                <w:sz w:val="20"/>
              </w:rPr>
              <w:t>$45.00</w:t>
            </w:r>
          </w:p>
        </w:tc>
      </w:tr>
      <w:tr>
        <w:tc>
          <w:tcPr>
            <w:tcW w:w="3191" w:type="dxa"/>
            <w:tcBorders>
              <w:top w:val="single" w:sz="4" w:space="0" w:color="auto"/>
              <w:bottom w:val="single" w:sz="4" w:space="0" w:color="auto"/>
            </w:tcBorders>
          </w:tcPr>
          <w:p>
            <w:pPr>
              <w:pStyle w:val="yTable"/>
              <w:spacing w:before="40" w:after="60"/>
              <w:rPr>
                <w:spacing w:val="-2"/>
                <w:sz w:val="20"/>
              </w:rPr>
            </w:pPr>
            <w:r>
              <w:rPr>
                <w:b/>
                <w:spacing w:val="-2"/>
                <w:sz w:val="20"/>
              </w:rPr>
              <w:t>Annual Use of Service Jetty</w:t>
            </w:r>
          </w:p>
        </w:tc>
        <w:tc>
          <w:tcPr>
            <w:tcW w:w="3766" w:type="dxa"/>
            <w:tcBorders>
              <w:top w:val="single" w:sz="4" w:space="0" w:color="auto"/>
              <w:bottom w:val="single" w:sz="4" w:space="0" w:color="auto"/>
            </w:tcBorders>
          </w:tcPr>
          <w:p>
            <w:pPr>
              <w:pStyle w:val="yTable"/>
              <w:spacing w:before="40" w:after="60"/>
              <w:rPr>
                <w:spacing w:val="-2"/>
                <w:sz w:val="20"/>
              </w:rPr>
            </w:pPr>
            <w:r>
              <w:rPr>
                <w:spacing w:val="-2"/>
                <w:sz w:val="20"/>
              </w:rPr>
              <w:t>$231.58 per vessel</w:t>
            </w:r>
          </w:p>
        </w:tc>
      </w:tr>
    </w:tbl>
    <w:p>
      <w:pPr>
        <w:pStyle w:val="yNumberedItem"/>
      </w:pPr>
      <w:r>
        <w:t>Note:</w:t>
      </w:r>
      <w:r>
        <w:tab/>
        <w:t>A person not paying the Annual Use of Service Jetty fee for a vessel is to pay the Daily Casual Fee.</w:t>
      </w:r>
    </w:p>
    <w:p>
      <w:pPr>
        <w:pStyle w:val="yFootnotesection"/>
      </w:pPr>
      <w:r>
        <w:tab/>
        <w:t>[Division 1 inserted in Gazette 24 Jun 2005 p. 2829-45; amended in Gazette 23 Jun 2006 p. 2198</w:t>
      </w:r>
      <w:r>
        <w:noBreakHyphen/>
        <w:t>203.]</w:t>
      </w:r>
    </w:p>
    <w:p>
      <w:pPr>
        <w:pStyle w:val="yHeading3"/>
      </w:pPr>
      <w:bookmarkStart w:id="960" w:name="_Toc139101872"/>
      <w:bookmarkStart w:id="961" w:name="_Toc139102057"/>
      <w:bookmarkStart w:id="962" w:name="_Toc139443405"/>
      <w:r>
        <w:rPr>
          <w:rStyle w:val="CharSDivNo"/>
        </w:rPr>
        <w:t>Division 2</w:t>
      </w:r>
      <w:r>
        <w:rPr>
          <w:b w:val="0"/>
        </w:rPr>
        <w:t> — </w:t>
      </w:r>
      <w:r>
        <w:rPr>
          <w:rStyle w:val="CharSDivText"/>
        </w:rPr>
        <w:t>Pile mooring fees</w:t>
      </w:r>
      <w:bookmarkEnd w:id="960"/>
      <w:bookmarkEnd w:id="961"/>
      <w:bookmarkEnd w:id="962"/>
    </w:p>
    <w:p>
      <w:pPr>
        <w:pStyle w:val="yShoulderClause"/>
      </w:pPr>
      <w:r>
        <w:t>[r. 94B]</w:t>
      </w:r>
    </w:p>
    <w:p>
      <w:pPr>
        <w:pStyle w:val="yFootnoteheading"/>
      </w:pPr>
      <w:r>
        <w:tab/>
        <w:t>[Heading inserted in Gazette 24 Jun 2005 p. 2845.]</w:t>
      </w:r>
    </w:p>
    <w:p>
      <w:pPr>
        <w:pStyle w:val="yNumberedItem"/>
      </w:pPr>
      <w:r>
        <w:t>Note:</w:t>
      </w:r>
      <w:r>
        <w:tab/>
        <w:t>Unless otherwise indicated, payment of pile mooring fees entitles the hirer to free use of the service jetty located within the harbour in which the mooring is located, subject to the availability of berth space, and to the direction of authorised officers. This free use may be limited to loading, unloading and fuelling operations.</w:t>
      </w:r>
    </w:p>
    <w:p>
      <w:pPr>
        <w:pStyle w:val="yNumberedItem"/>
      </w:pPr>
      <w:r>
        <w:t xml:space="preserve">Note: </w:t>
      </w:r>
      <w:r>
        <w:tab/>
        <w:t xml:space="preserve">The Beadon Creek Boat Harbour (Onslow) pile mooring fees can be found in Division 1, under the inclusive heading of “Shared use of facilities”, in that harbour’s pen and berthing fees. </w:t>
      </w:r>
    </w:p>
    <w:p>
      <w:pPr>
        <w:pStyle w:val="yHeading4"/>
      </w:pPr>
      <w:bookmarkStart w:id="963" w:name="_Toc139101873"/>
      <w:bookmarkStart w:id="964" w:name="_Toc139102058"/>
      <w:bookmarkStart w:id="965" w:name="_Toc139443406"/>
      <w:r>
        <w:t>Subdivision 1</w:t>
      </w:r>
      <w:r>
        <w:rPr>
          <w:b w:val="0"/>
        </w:rPr>
        <w:t> — </w:t>
      </w:r>
      <w:r>
        <w:t>Carnarvon Boat Harbour</w:t>
      </w:r>
      <w:bookmarkEnd w:id="963"/>
      <w:bookmarkEnd w:id="964"/>
      <w:bookmarkEnd w:id="965"/>
    </w:p>
    <w:p>
      <w:pPr>
        <w:pStyle w:val="yFootnoteheading"/>
      </w:pPr>
      <w:r>
        <w:tab/>
        <w:t>[Heading inserted in Gazette 24 Jun 2005 p. 2845.]</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66"/>
      </w:tblGrid>
      <w:tr>
        <w:tc>
          <w:tcPr>
            <w:tcW w:w="3205" w:type="dxa"/>
          </w:tcPr>
          <w:p>
            <w:pPr>
              <w:pStyle w:val="yTable"/>
              <w:spacing w:before="40" w:after="120"/>
              <w:ind w:left="84" w:hanging="28"/>
              <w:rPr>
                <w:spacing w:val="-2"/>
                <w:sz w:val="20"/>
              </w:rPr>
            </w:pPr>
            <w:r>
              <w:rPr>
                <w:b/>
                <w:spacing w:val="-2"/>
                <w:sz w:val="20"/>
              </w:rPr>
              <w:t>Annual Fee</w:t>
            </w:r>
          </w:p>
        </w:tc>
        <w:tc>
          <w:tcPr>
            <w:tcW w:w="3766" w:type="dxa"/>
          </w:tcPr>
          <w:p>
            <w:pPr>
              <w:pStyle w:val="yTable"/>
              <w:spacing w:before="40" w:after="120"/>
              <w:rPr>
                <w:spacing w:val="-2"/>
                <w:sz w:val="20"/>
              </w:rPr>
            </w:pPr>
            <w:r>
              <w:rPr>
                <w:spacing w:val="-2"/>
                <w:sz w:val="20"/>
              </w:rPr>
              <w:t>$110.36/m x length of vessel</w:t>
            </w:r>
          </w:p>
        </w:tc>
      </w:tr>
      <w:tr>
        <w:tc>
          <w:tcPr>
            <w:tcW w:w="3205" w:type="dxa"/>
          </w:tcPr>
          <w:p>
            <w:pPr>
              <w:pStyle w:val="yTable"/>
              <w:spacing w:before="40" w:after="120"/>
              <w:ind w:left="56" w:hanging="14"/>
              <w:rPr>
                <w:spacing w:val="-2"/>
                <w:sz w:val="20"/>
              </w:rPr>
            </w:pPr>
            <w:r>
              <w:rPr>
                <w:b/>
                <w:spacing w:val="-2"/>
                <w:sz w:val="20"/>
              </w:rPr>
              <w:t>Part Year Fee – 3 months or more, paid in advance</w:t>
            </w:r>
          </w:p>
        </w:tc>
        <w:tc>
          <w:tcPr>
            <w:tcW w:w="3766" w:type="dxa"/>
          </w:tcPr>
          <w:p>
            <w:pPr>
              <w:pStyle w:val="yTable"/>
              <w:spacing w:before="40" w:after="120"/>
              <w:rPr>
                <w:spacing w:val="-2"/>
                <w:sz w:val="20"/>
              </w:rPr>
            </w:pPr>
            <w:r>
              <w:rPr>
                <w:spacing w:val="-2"/>
                <w:sz w:val="20"/>
              </w:rPr>
              <w:br/>
              <w:t>$11.04/m x length of vessel, per month</w:t>
            </w:r>
          </w:p>
        </w:tc>
      </w:tr>
      <w:tr>
        <w:tc>
          <w:tcPr>
            <w:tcW w:w="3205" w:type="dxa"/>
          </w:tcPr>
          <w:p>
            <w:pPr>
              <w:pStyle w:val="yTable"/>
              <w:spacing w:before="40" w:after="120"/>
              <w:ind w:left="56" w:hanging="14"/>
              <w:rPr>
                <w:spacing w:val="-2"/>
                <w:sz w:val="20"/>
              </w:rPr>
            </w:pPr>
            <w:r>
              <w:rPr>
                <w:b/>
                <w:spacing w:val="-2"/>
                <w:sz w:val="20"/>
              </w:rPr>
              <w:t>Monthly Fee</w:t>
            </w:r>
          </w:p>
        </w:tc>
        <w:tc>
          <w:tcPr>
            <w:tcW w:w="3766" w:type="dxa"/>
          </w:tcPr>
          <w:p>
            <w:pPr>
              <w:pStyle w:val="yTable"/>
              <w:spacing w:before="40" w:after="120"/>
              <w:rPr>
                <w:spacing w:val="-2"/>
                <w:sz w:val="20"/>
              </w:rPr>
            </w:pPr>
            <w:r>
              <w:rPr>
                <w:spacing w:val="-2"/>
                <w:sz w:val="20"/>
              </w:rPr>
              <w:t>$22.07/m x length of vessel, per month</w:t>
            </w:r>
          </w:p>
        </w:tc>
      </w:tr>
      <w:tr>
        <w:tc>
          <w:tcPr>
            <w:tcW w:w="3205" w:type="dxa"/>
            <w:tcBorders>
              <w:bottom w:val="nil"/>
            </w:tcBorders>
          </w:tcPr>
          <w:p>
            <w:pPr>
              <w:pStyle w:val="yTable"/>
              <w:spacing w:before="40" w:after="120"/>
              <w:ind w:left="56" w:hanging="14"/>
              <w:rPr>
                <w:spacing w:val="-2"/>
                <w:sz w:val="20"/>
              </w:rPr>
            </w:pPr>
            <w:r>
              <w:rPr>
                <w:b/>
                <w:spacing w:val="-2"/>
                <w:sz w:val="20"/>
              </w:rPr>
              <w:t>Weekly Fee</w:t>
            </w:r>
          </w:p>
        </w:tc>
        <w:tc>
          <w:tcPr>
            <w:tcW w:w="3766" w:type="dxa"/>
            <w:tcBorders>
              <w:bottom w:val="nil"/>
            </w:tcBorders>
          </w:tcPr>
          <w:p>
            <w:pPr>
              <w:pStyle w:val="yTable"/>
              <w:spacing w:before="40" w:after="120"/>
              <w:rPr>
                <w:spacing w:val="-2"/>
                <w:sz w:val="20"/>
              </w:rPr>
            </w:pPr>
            <w:r>
              <w:rPr>
                <w:spacing w:val="-2"/>
                <w:sz w:val="20"/>
              </w:rPr>
              <w:t>$9.35/m x length of vessel, per week</w:t>
            </w:r>
          </w:p>
        </w:tc>
      </w:tr>
      <w:tr>
        <w:tc>
          <w:tcPr>
            <w:tcW w:w="3205" w:type="dxa"/>
            <w:tcBorders>
              <w:bottom w:val="single" w:sz="4" w:space="0" w:color="auto"/>
            </w:tcBorders>
          </w:tcPr>
          <w:p>
            <w:pPr>
              <w:pStyle w:val="yTable"/>
              <w:spacing w:before="40" w:after="120"/>
              <w:ind w:left="56" w:hanging="14"/>
              <w:rPr>
                <w:spacing w:val="-2"/>
                <w:sz w:val="20"/>
              </w:rPr>
            </w:pPr>
            <w:r>
              <w:rPr>
                <w:b/>
                <w:spacing w:val="-2"/>
                <w:sz w:val="20"/>
              </w:rPr>
              <w:t>Daily Casual Fee</w:t>
            </w:r>
          </w:p>
        </w:tc>
        <w:tc>
          <w:tcPr>
            <w:tcW w:w="3766" w:type="dxa"/>
            <w:tcBorders>
              <w:bottom w:val="single" w:sz="4" w:space="0" w:color="auto"/>
            </w:tcBorders>
          </w:tcPr>
          <w:p>
            <w:pPr>
              <w:pStyle w:val="yTable"/>
              <w:spacing w:before="40" w:after="120"/>
              <w:rPr>
                <w:spacing w:val="-2"/>
                <w:sz w:val="20"/>
              </w:rPr>
            </w:pPr>
            <w:r>
              <w:rPr>
                <w:spacing w:val="-2"/>
                <w:sz w:val="20"/>
              </w:rPr>
              <w:t>$1.87/m x length of vessel, per day</w:t>
            </w:r>
          </w:p>
        </w:tc>
      </w:tr>
    </w:tbl>
    <w:p>
      <w:pPr>
        <w:pStyle w:val="yNumberedItem"/>
      </w:pPr>
      <w:r>
        <w:t xml:space="preserve">Note: </w:t>
      </w:r>
      <w:r>
        <w:tab/>
        <w:t>Does not include entitlement to use pens, Land Backed Wharf or T Jetty for other than fuelling purposes for which fuel wharfage is payable.</w:t>
      </w:r>
    </w:p>
    <w:p>
      <w:pPr>
        <w:pStyle w:val="yNumberedItem"/>
      </w:pPr>
      <w:r>
        <w:t xml:space="preserve">Note: </w:t>
      </w:r>
      <w:r>
        <w:tab/>
        <w:t>Vessels requiring use of the Land Backed Wharf, T Jetty or T Jetty pens have the option of paying casual or term fees specified for use of Land Backed Wharf, T Jetty or T Jetty pens.</w:t>
      </w:r>
    </w:p>
    <w:p>
      <w:pPr>
        <w:pStyle w:val="yHeading4"/>
      </w:pPr>
      <w:bookmarkStart w:id="966" w:name="_Toc139101874"/>
      <w:bookmarkStart w:id="967" w:name="_Toc139102059"/>
      <w:bookmarkStart w:id="968" w:name="_Toc139443407"/>
      <w:r>
        <w:t>Subdivision 2</w:t>
      </w:r>
      <w:r>
        <w:rPr>
          <w:b w:val="0"/>
        </w:rPr>
        <w:t> — </w:t>
      </w:r>
      <w:r>
        <w:t>Other harbours and ports generally</w:t>
      </w:r>
      <w:bookmarkEnd w:id="966"/>
      <w:bookmarkEnd w:id="967"/>
      <w:bookmarkEnd w:id="968"/>
    </w:p>
    <w:p>
      <w:pPr>
        <w:pStyle w:val="yFootnoteheading"/>
      </w:pPr>
      <w:r>
        <w:tab/>
        <w:t>[Heading inserted in Gazette 24 Jun 2005 p. 2846.]</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827"/>
      </w:tblGrid>
      <w:tr>
        <w:tc>
          <w:tcPr>
            <w:tcW w:w="3177" w:type="dxa"/>
            <w:tcBorders>
              <w:bottom w:val="nil"/>
            </w:tcBorders>
          </w:tcPr>
          <w:p>
            <w:pPr>
              <w:pStyle w:val="yTable"/>
              <w:keepNext/>
              <w:keepLines/>
              <w:tabs>
                <w:tab w:val="left" w:pos="342"/>
              </w:tabs>
              <w:spacing w:after="40"/>
              <w:rPr>
                <w:spacing w:val="-2"/>
                <w:sz w:val="20"/>
              </w:rPr>
            </w:pPr>
            <w:r>
              <w:rPr>
                <w:b/>
                <w:spacing w:val="-2"/>
                <w:sz w:val="20"/>
              </w:rPr>
              <w:t>Annual Fee</w:t>
            </w:r>
          </w:p>
        </w:tc>
        <w:tc>
          <w:tcPr>
            <w:tcW w:w="3827" w:type="dxa"/>
            <w:tcBorders>
              <w:bottom w:val="nil"/>
            </w:tcBorders>
          </w:tcPr>
          <w:p>
            <w:pPr>
              <w:pStyle w:val="yTable"/>
              <w:keepNext/>
              <w:keepLines/>
              <w:spacing w:after="40"/>
              <w:rPr>
                <w:spacing w:val="-2"/>
                <w:sz w:val="20"/>
              </w:rPr>
            </w:pPr>
            <w:r>
              <w:rPr>
                <w:spacing w:val="-2"/>
                <w:sz w:val="20"/>
              </w:rPr>
              <w:t xml:space="preserve">$122.84/m x length of vessel </w:t>
            </w:r>
          </w:p>
        </w:tc>
      </w:tr>
      <w:tr>
        <w:tc>
          <w:tcPr>
            <w:tcW w:w="3177" w:type="dxa"/>
            <w:tcBorders>
              <w:bottom w:val="single" w:sz="4" w:space="0" w:color="auto"/>
            </w:tcBorders>
          </w:tcPr>
          <w:p>
            <w:pPr>
              <w:pStyle w:val="yTable"/>
              <w:keepNext/>
              <w:keepLines/>
              <w:spacing w:after="40"/>
              <w:rPr>
                <w:spacing w:val="-2"/>
                <w:sz w:val="20"/>
              </w:rPr>
            </w:pPr>
            <w:r>
              <w:rPr>
                <w:b/>
                <w:spacing w:val="-2"/>
                <w:sz w:val="20"/>
              </w:rPr>
              <w:t>Monthly Fee</w:t>
            </w:r>
          </w:p>
        </w:tc>
        <w:tc>
          <w:tcPr>
            <w:tcW w:w="3827" w:type="dxa"/>
            <w:tcBorders>
              <w:bottom w:val="single" w:sz="4" w:space="0" w:color="auto"/>
            </w:tcBorders>
          </w:tcPr>
          <w:p>
            <w:pPr>
              <w:pStyle w:val="yTable"/>
              <w:keepNext/>
              <w:keepLines/>
              <w:spacing w:after="40"/>
              <w:rPr>
                <w:spacing w:val="-2"/>
                <w:sz w:val="20"/>
              </w:rPr>
            </w:pPr>
            <w:r>
              <w:rPr>
                <w:spacing w:val="-2"/>
                <w:sz w:val="20"/>
              </w:rPr>
              <w:t>$24.56/m x length of vessel, per month</w:t>
            </w:r>
          </w:p>
        </w:tc>
      </w:tr>
      <w:tr>
        <w:tc>
          <w:tcPr>
            <w:tcW w:w="3177" w:type="dxa"/>
            <w:tcBorders>
              <w:bottom w:val="single" w:sz="4" w:space="0" w:color="auto"/>
            </w:tcBorders>
          </w:tcPr>
          <w:p>
            <w:pPr>
              <w:pStyle w:val="yTable"/>
              <w:spacing w:after="40"/>
              <w:rPr>
                <w:spacing w:val="-2"/>
                <w:sz w:val="20"/>
              </w:rPr>
            </w:pPr>
            <w:r>
              <w:rPr>
                <w:b/>
                <w:spacing w:val="-2"/>
                <w:sz w:val="20"/>
              </w:rPr>
              <w:t>Daily Fee</w:t>
            </w:r>
          </w:p>
        </w:tc>
        <w:tc>
          <w:tcPr>
            <w:tcW w:w="3827" w:type="dxa"/>
            <w:tcBorders>
              <w:bottom w:val="single" w:sz="4" w:space="0" w:color="auto"/>
            </w:tcBorders>
          </w:tcPr>
          <w:p>
            <w:pPr>
              <w:pStyle w:val="yTable"/>
              <w:spacing w:after="40"/>
              <w:rPr>
                <w:spacing w:val="-2"/>
                <w:sz w:val="20"/>
              </w:rPr>
            </w:pPr>
            <w:r>
              <w:rPr>
                <w:spacing w:val="-2"/>
                <w:sz w:val="20"/>
              </w:rPr>
              <w:t>$2.46/m x length of vessel</w:t>
            </w:r>
          </w:p>
        </w:tc>
      </w:tr>
    </w:tbl>
    <w:p>
      <w:pPr>
        <w:pStyle w:val="yFootnotesection"/>
      </w:pPr>
      <w:r>
        <w:tab/>
        <w:t>[Division 2 inserted in Gazette 24 Jun 2005 p. 2845-6; amended in Gazette 23 Jun 2006 p. 2204.]</w:t>
      </w:r>
    </w:p>
    <w:p>
      <w:pPr>
        <w:pStyle w:val="yHeading3"/>
      </w:pPr>
      <w:bookmarkStart w:id="969" w:name="_Toc139101875"/>
      <w:bookmarkStart w:id="970" w:name="_Toc139102060"/>
      <w:bookmarkStart w:id="971" w:name="_Toc139443408"/>
      <w:r>
        <w:rPr>
          <w:rStyle w:val="CharSDivNo"/>
        </w:rPr>
        <w:t>Division 3</w:t>
      </w:r>
      <w:r>
        <w:rPr>
          <w:b w:val="0"/>
        </w:rPr>
        <w:t> — </w:t>
      </w:r>
      <w:r>
        <w:rPr>
          <w:rStyle w:val="CharSDivText"/>
        </w:rPr>
        <w:t>Miscellaneous fees</w:t>
      </w:r>
      <w:bookmarkEnd w:id="969"/>
      <w:bookmarkEnd w:id="970"/>
      <w:bookmarkEnd w:id="971"/>
    </w:p>
    <w:p>
      <w:pPr>
        <w:pStyle w:val="yShoulderClause"/>
      </w:pPr>
      <w:r>
        <w:t>[r. 94C]</w:t>
      </w:r>
    </w:p>
    <w:p>
      <w:pPr>
        <w:pStyle w:val="yFootnoteheading"/>
      </w:pPr>
      <w:r>
        <w:tab/>
        <w:t>[Heading inserted in Gazette 24 Jun 2005 p. 2846.]</w:t>
      </w:r>
    </w:p>
    <w:p>
      <w:pPr>
        <w:pStyle w:val="yMiscellaneousBody"/>
        <w:spacing w:after="40"/>
        <w:rPr>
          <w:sz w:val="20"/>
        </w:rPr>
      </w:pPr>
      <w:r>
        <w:rPr>
          <w:sz w:val="20"/>
        </w:rPr>
        <w:t xml:space="preserve">Fees payable for any Departmental jetty, wharf or harbour for which no other fee has been prescribed — </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827"/>
      </w:tblGrid>
      <w:tr>
        <w:tc>
          <w:tcPr>
            <w:tcW w:w="3177" w:type="dxa"/>
          </w:tcPr>
          <w:p>
            <w:pPr>
              <w:pStyle w:val="yTable"/>
              <w:tabs>
                <w:tab w:val="left" w:pos="284"/>
              </w:tabs>
              <w:spacing w:after="40"/>
              <w:ind w:left="284" w:hanging="284"/>
              <w:rPr>
                <w:spacing w:val="-2"/>
                <w:sz w:val="20"/>
              </w:rPr>
            </w:pPr>
            <w:r>
              <w:rPr>
                <w:b/>
                <w:spacing w:val="-2"/>
                <w:sz w:val="20"/>
              </w:rPr>
              <w:t>Daily Casual Fee</w:t>
            </w:r>
          </w:p>
        </w:tc>
        <w:tc>
          <w:tcPr>
            <w:tcW w:w="3827" w:type="dxa"/>
          </w:tcPr>
          <w:p>
            <w:pPr>
              <w:pStyle w:val="yTable"/>
              <w:spacing w:after="40"/>
              <w:rPr>
                <w:spacing w:val="-2"/>
                <w:sz w:val="20"/>
              </w:rPr>
            </w:pPr>
            <w:r>
              <w:rPr>
                <w:spacing w:val="-2"/>
                <w:sz w:val="20"/>
              </w:rPr>
              <w:t>$3.68/m x length of vessel, per day</w:t>
            </w:r>
          </w:p>
        </w:tc>
      </w:tr>
      <w:tr>
        <w:tc>
          <w:tcPr>
            <w:tcW w:w="3177" w:type="dxa"/>
          </w:tcPr>
          <w:p>
            <w:pPr>
              <w:pStyle w:val="yTable"/>
              <w:tabs>
                <w:tab w:val="left" w:pos="284"/>
              </w:tabs>
              <w:spacing w:after="40"/>
              <w:ind w:left="284" w:hanging="284"/>
              <w:rPr>
                <w:b/>
                <w:spacing w:val="-2"/>
                <w:sz w:val="20"/>
              </w:rPr>
            </w:pPr>
            <w:r>
              <w:rPr>
                <w:b/>
                <w:spacing w:val="-2"/>
                <w:sz w:val="20"/>
              </w:rPr>
              <w:t>Electric Power Charge</w:t>
            </w:r>
          </w:p>
        </w:tc>
        <w:tc>
          <w:tcPr>
            <w:tcW w:w="3827" w:type="dxa"/>
          </w:tcPr>
          <w:p>
            <w:pPr>
              <w:pStyle w:val="yTable"/>
              <w:spacing w:after="40"/>
              <w:rPr>
                <w:spacing w:val="-2"/>
                <w:sz w:val="20"/>
              </w:rPr>
            </w:pPr>
            <w:r>
              <w:rPr>
                <w:spacing w:val="-2"/>
                <w:sz w:val="20"/>
              </w:rPr>
              <w:t>$24.56/12 hour period</w:t>
            </w:r>
          </w:p>
        </w:tc>
      </w:tr>
      <w:tr>
        <w:tc>
          <w:tcPr>
            <w:tcW w:w="3177" w:type="dxa"/>
          </w:tcPr>
          <w:p>
            <w:pPr>
              <w:pStyle w:val="yTable"/>
              <w:keepNext/>
              <w:keepLines/>
              <w:tabs>
                <w:tab w:val="left" w:pos="284"/>
              </w:tabs>
              <w:spacing w:after="40"/>
              <w:ind w:left="284" w:hanging="284"/>
              <w:rPr>
                <w:b/>
                <w:spacing w:val="-2"/>
                <w:sz w:val="20"/>
              </w:rPr>
            </w:pPr>
            <w:r>
              <w:rPr>
                <w:b/>
                <w:spacing w:val="-2"/>
                <w:sz w:val="20"/>
              </w:rPr>
              <w:t>General Cargo Wharfage</w:t>
            </w:r>
          </w:p>
        </w:tc>
        <w:tc>
          <w:tcPr>
            <w:tcW w:w="3827" w:type="dxa"/>
          </w:tcPr>
          <w:p>
            <w:pPr>
              <w:pStyle w:val="yTable"/>
              <w:keepNext/>
              <w:keepLines/>
              <w:spacing w:after="40"/>
              <w:rPr>
                <w:spacing w:val="-2"/>
                <w:sz w:val="20"/>
              </w:rPr>
            </w:pPr>
          </w:p>
        </w:tc>
      </w:tr>
      <w:tr>
        <w:tc>
          <w:tcPr>
            <w:tcW w:w="3177" w:type="dxa"/>
          </w:tcPr>
          <w:p>
            <w:pPr>
              <w:pStyle w:val="yTable"/>
              <w:keepNext/>
              <w:keepLines/>
              <w:spacing w:after="40"/>
              <w:ind w:left="258"/>
              <w:rPr>
                <w:spacing w:val="-2"/>
                <w:sz w:val="20"/>
              </w:rPr>
            </w:pPr>
            <w:r>
              <w:rPr>
                <w:spacing w:val="-2"/>
                <w:sz w:val="20"/>
              </w:rPr>
              <w:t>for cargo</w:t>
            </w:r>
          </w:p>
        </w:tc>
        <w:tc>
          <w:tcPr>
            <w:tcW w:w="3827" w:type="dxa"/>
          </w:tcPr>
          <w:p>
            <w:pPr>
              <w:pStyle w:val="yTable"/>
              <w:keepNext/>
              <w:keepLines/>
              <w:spacing w:after="40"/>
              <w:rPr>
                <w:spacing w:val="-2"/>
                <w:sz w:val="20"/>
              </w:rPr>
            </w:pPr>
            <w:r>
              <w:rPr>
                <w:spacing w:val="-2"/>
                <w:sz w:val="20"/>
              </w:rPr>
              <w:t>$4.91/t or m</w:t>
            </w:r>
            <w:r>
              <w:rPr>
                <w:spacing w:val="-2"/>
                <w:sz w:val="20"/>
                <w:vertAlign w:val="superscript"/>
              </w:rPr>
              <w:t>3</w:t>
            </w:r>
          </w:p>
        </w:tc>
      </w:tr>
      <w:tr>
        <w:tc>
          <w:tcPr>
            <w:tcW w:w="3177" w:type="dxa"/>
          </w:tcPr>
          <w:p>
            <w:pPr>
              <w:pStyle w:val="yTable"/>
              <w:spacing w:after="40"/>
              <w:ind w:left="258"/>
              <w:rPr>
                <w:spacing w:val="-2"/>
                <w:sz w:val="20"/>
              </w:rPr>
            </w:pPr>
            <w:r>
              <w:rPr>
                <w:spacing w:val="-2"/>
                <w:sz w:val="20"/>
              </w:rPr>
              <w:t>if vessel lifted over service jetty</w:t>
            </w:r>
          </w:p>
        </w:tc>
        <w:tc>
          <w:tcPr>
            <w:tcW w:w="3827" w:type="dxa"/>
          </w:tcPr>
          <w:p>
            <w:pPr>
              <w:pStyle w:val="yTable"/>
              <w:spacing w:after="40"/>
              <w:rPr>
                <w:spacing w:val="-2"/>
                <w:sz w:val="20"/>
              </w:rPr>
            </w:pPr>
            <w:r>
              <w:rPr>
                <w:spacing w:val="-2"/>
                <w:sz w:val="20"/>
              </w:rPr>
              <w:t xml:space="preserve">$11.05/m of vessel lifted </w:t>
            </w:r>
          </w:p>
        </w:tc>
      </w:tr>
      <w:tr>
        <w:tc>
          <w:tcPr>
            <w:tcW w:w="3177" w:type="dxa"/>
          </w:tcPr>
          <w:p>
            <w:pPr>
              <w:pStyle w:val="yTable"/>
              <w:tabs>
                <w:tab w:val="left" w:pos="284"/>
              </w:tabs>
              <w:spacing w:after="40"/>
              <w:ind w:left="284" w:hanging="284"/>
              <w:rPr>
                <w:b/>
                <w:spacing w:val="-2"/>
                <w:sz w:val="20"/>
              </w:rPr>
            </w:pPr>
            <w:r>
              <w:rPr>
                <w:b/>
                <w:spacing w:val="-2"/>
                <w:sz w:val="20"/>
              </w:rPr>
              <w:t>Rubbish Disposal</w:t>
            </w:r>
          </w:p>
        </w:tc>
        <w:tc>
          <w:tcPr>
            <w:tcW w:w="3827" w:type="dxa"/>
          </w:tcPr>
          <w:p>
            <w:pPr>
              <w:pStyle w:val="yTable"/>
              <w:spacing w:after="40"/>
              <w:rPr>
                <w:spacing w:val="-2"/>
                <w:sz w:val="20"/>
              </w:rPr>
            </w:pPr>
          </w:p>
        </w:tc>
      </w:tr>
      <w:tr>
        <w:tc>
          <w:tcPr>
            <w:tcW w:w="3177" w:type="dxa"/>
            <w:tcBorders>
              <w:bottom w:val="nil"/>
            </w:tcBorders>
          </w:tcPr>
          <w:p>
            <w:pPr>
              <w:pStyle w:val="yTable"/>
              <w:spacing w:after="40"/>
              <w:ind w:left="258"/>
              <w:rPr>
                <w:b/>
                <w:spacing w:val="-2"/>
                <w:sz w:val="20"/>
              </w:rPr>
            </w:pPr>
            <w:r>
              <w:rPr>
                <w:spacing w:val="-2"/>
                <w:sz w:val="20"/>
              </w:rPr>
              <w:t>for excess quantities, or if from other than vessels using harbour</w:t>
            </w:r>
          </w:p>
        </w:tc>
        <w:tc>
          <w:tcPr>
            <w:tcW w:w="3827" w:type="dxa"/>
            <w:tcBorders>
              <w:bottom w:val="nil"/>
            </w:tcBorders>
          </w:tcPr>
          <w:p>
            <w:pPr>
              <w:pStyle w:val="yTable"/>
              <w:spacing w:after="40"/>
              <w:rPr>
                <w:spacing w:val="-2"/>
                <w:sz w:val="20"/>
              </w:rPr>
            </w:pPr>
            <w:r>
              <w:rPr>
                <w:spacing w:val="-2"/>
                <w:sz w:val="20"/>
              </w:rPr>
              <w:br/>
            </w:r>
            <w:r>
              <w:rPr>
                <w:spacing w:val="-2"/>
                <w:sz w:val="20"/>
              </w:rPr>
              <w:br/>
              <w:t>$61.42 per service</w:t>
            </w:r>
          </w:p>
        </w:tc>
      </w:tr>
      <w:tr>
        <w:tc>
          <w:tcPr>
            <w:tcW w:w="3177" w:type="dxa"/>
            <w:tcBorders>
              <w:bottom w:val="single" w:sz="4" w:space="0" w:color="auto"/>
            </w:tcBorders>
          </w:tcPr>
          <w:p>
            <w:pPr>
              <w:pStyle w:val="yTable"/>
              <w:spacing w:after="40"/>
              <w:ind w:left="258"/>
              <w:rPr>
                <w:spacing w:val="-2"/>
                <w:sz w:val="20"/>
              </w:rPr>
            </w:pPr>
            <w:r>
              <w:rPr>
                <w:spacing w:val="-2"/>
                <w:sz w:val="20"/>
              </w:rPr>
              <w:t>to clean up rubbish not placed in bins</w:t>
            </w:r>
          </w:p>
        </w:tc>
        <w:tc>
          <w:tcPr>
            <w:tcW w:w="3827" w:type="dxa"/>
            <w:tcBorders>
              <w:bottom w:val="single" w:sz="4" w:space="0" w:color="auto"/>
            </w:tcBorders>
          </w:tcPr>
          <w:p>
            <w:pPr>
              <w:pStyle w:val="yTable"/>
              <w:spacing w:after="40"/>
              <w:rPr>
                <w:spacing w:val="-2"/>
                <w:sz w:val="20"/>
              </w:rPr>
            </w:pPr>
            <w:r>
              <w:rPr>
                <w:spacing w:val="-2"/>
                <w:sz w:val="20"/>
              </w:rPr>
              <w:br/>
              <w:t>At cost</w:t>
            </w:r>
          </w:p>
        </w:tc>
      </w:tr>
    </w:tbl>
    <w:p>
      <w:pPr>
        <w:pStyle w:val="yFootnotesection"/>
      </w:pPr>
      <w:r>
        <w:tab/>
        <w:t>[Division 3 inserted in Gazette 24 Jun 2005 p. 2846; amended in Gazette 23 Jun 2006 p. 2204.]</w:t>
      </w:r>
    </w:p>
    <w:p>
      <w:pPr>
        <w:pStyle w:val="yHeading3"/>
      </w:pPr>
      <w:bookmarkStart w:id="972" w:name="_Toc139101876"/>
      <w:bookmarkStart w:id="973" w:name="_Toc139102061"/>
      <w:bookmarkStart w:id="974" w:name="_Toc139443409"/>
      <w:r>
        <w:rPr>
          <w:rStyle w:val="CharSDivNo"/>
        </w:rPr>
        <w:t>Division 4</w:t>
      </w:r>
      <w:r>
        <w:rPr>
          <w:b w:val="0"/>
        </w:rPr>
        <w:t> — </w:t>
      </w:r>
      <w:r>
        <w:rPr>
          <w:rStyle w:val="CharSDivText"/>
        </w:rPr>
        <w:t>Service jetties: fuel wharfage fees</w:t>
      </w:r>
      <w:bookmarkEnd w:id="972"/>
      <w:bookmarkEnd w:id="973"/>
      <w:bookmarkEnd w:id="974"/>
    </w:p>
    <w:p>
      <w:pPr>
        <w:pStyle w:val="yFootnoteheading"/>
      </w:pPr>
      <w:r>
        <w:tab/>
        <w:t>[Heading inserted in Gazette 24 Jun 2005 p. 2846.]</w:t>
      </w:r>
    </w:p>
    <w:p>
      <w:pPr>
        <w:pStyle w:val="yTable"/>
        <w:spacing w:before="120" w:after="80"/>
        <w:rPr>
          <w:bCs/>
        </w:rPr>
      </w:pPr>
      <w:r>
        <w:rPr>
          <w:bCs/>
        </w:rPr>
        <w:t>Rate per litre of fuel oil used</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021"/>
        <w:gridCol w:w="2371"/>
      </w:tblGrid>
      <w:tr>
        <w:tc>
          <w:tcPr>
            <w:tcW w:w="3021" w:type="dxa"/>
          </w:tcPr>
          <w:p>
            <w:pPr>
              <w:pStyle w:val="yTable"/>
              <w:spacing w:after="40"/>
              <w:rPr>
                <w:spacing w:val="-2"/>
                <w:sz w:val="20"/>
              </w:rPr>
            </w:pPr>
            <w:r>
              <w:rPr>
                <w:spacing w:val="-2"/>
                <w:sz w:val="20"/>
              </w:rPr>
              <w:t>Augusta</w:t>
            </w:r>
          </w:p>
        </w:tc>
        <w:tc>
          <w:tcPr>
            <w:tcW w:w="2371" w:type="dxa"/>
          </w:tcPr>
          <w:p>
            <w:pPr>
              <w:pStyle w:val="yTable"/>
              <w:spacing w:after="40"/>
              <w:rPr>
                <w:spacing w:val="-2"/>
                <w:sz w:val="20"/>
              </w:rPr>
            </w:pPr>
            <w:r>
              <w:rPr>
                <w:spacing w:val="-2"/>
                <w:sz w:val="20"/>
              </w:rPr>
              <w:t>$0.024</w:t>
            </w:r>
          </w:p>
        </w:tc>
      </w:tr>
      <w:tr>
        <w:tc>
          <w:tcPr>
            <w:tcW w:w="3021" w:type="dxa"/>
          </w:tcPr>
          <w:p>
            <w:pPr>
              <w:pStyle w:val="yTable"/>
              <w:spacing w:after="40"/>
              <w:rPr>
                <w:spacing w:val="-2"/>
                <w:sz w:val="20"/>
              </w:rPr>
            </w:pPr>
            <w:r>
              <w:rPr>
                <w:spacing w:val="-2"/>
                <w:sz w:val="20"/>
              </w:rPr>
              <w:t>Beadon Creek (Onslow)</w:t>
            </w:r>
          </w:p>
        </w:tc>
        <w:tc>
          <w:tcPr>
            <w:tcW w:w="2371" w:type="dxa"/>
          </w:tcPr>
          <w:p>
            <w:pPr>
              <w:pStyle w:val="yTable"/>
              <w:spacing w:after="40"/>
              <w:rPr>
                <w:spacing w:val="-2"/>
                <w:sz w:val="20"/>
              </w:rPr>
            </w:pPr>
            <w:r>
              <w:rPr>
                <w:spacing w:val="-2"/>
                <w:sz w:val="20"/>
              </w:rPr>
              <w:t>$0.0563</w:t>
            </w:r>
          </w:p>
        </w:tc>
      </w:tr>
      <w:tr>
        <w:tc>
          <w:tcPr>
            <w:tcW w:w="3021" w:type="dxa"/>
          </w:tcPr>
          <w:p>
            <w:pPr>
              <w:pStyle w:val="yTable"/>
              <w:spacing w:after="40"/>
              <w:rPr>
                <w:spacing w:val="-2"/>
                <w:sz w:val="20"/>
              </w:rPr>
            </w:pPr>
            <w:r>
              <w:rPr>
                <w:spacing w:val="-2"/>
                <w:sz w:val="20"/>
              </w:rPr>
              <w:t>Bremer Bay</w:t>
            </w:r>
          </w:p>
        </w:tc>
        <w:tc>
          <w:tcPr>
            <w:tcW w:w="2371" w:type="dxa"/>
          </w:tcPr>
          <w:p>
            <w:pPr>
              <w:pStyle w:val="yTable"/>
              <w:spacing w:after="40"/>
              <w:rPr>
                <w:spacing w:val="-2"/>
                <w:sz w:val="20"/>
              </w:rPr>
            </w:pPr>
            <w:r>
              <w:rPr>
                <w:spacing w:val="-2"/>
                <w:sz w:val="20"/>
              </w:rPr>
              <w:t>$0.038</w:t>
            </w:r>
          </w:p>
        </w:tc>
      </w:tr>
      <w:tr>
        <w:tc>
          <w:tcPr>
            <w:tcW w:w="3021" w:type="dxa"/>
          </w:tcPr>
          <w:p>
            <w:pPr>
              <w:pStyle w:val="yTable"/>
              <w:spacing w:after="40"/>
              <w:rPr>
                <w:spacing w:val="-2"/>
                <w:sz w:val="20"/>
              </w:rPr>
            </w:pPr>
            <w:r>
              <w:rPr>
                <w:spacing w:val="-2"/>
                <w:sz w:val="20"/>
              </w:rPr>
              <w:t>Carnarvon</w:t>
            </w:r>
          </w:p>
        </w:tc>
        <w:tc>
          <w:tcPr>
            <w:tcW w:w="2371" w:type="dxa"/>
          </w:tcPr>
          <w:p>
            <w:pPr>
              <w:pStyle w:val="yTable"/>
              <w:spacing w:after="40"/>
              <w:rPr>
                <w:spacing w:val="-2"/>
                <w:sz w:val="20"/>
              </w:rPr>
            </w:pPr>
            <w:r>
              <w:rPr>
                <w:spacing w:val="-2"/>
                <w:sz w:val="20"/>
              </w:rPr>
              <w:t>$0.055</w:t>
            </w:r>
          </w:p>
        </w:tc>
      </w:tr>
      <w:tr>
        <w:tc>
          <w:tcPr>
            <w:tcW w:w="3021" w:type="dxa"/>
          </w:tcPr>
          <w:p>
            <w:pPr>
              <w:pStyle w:val="yTable"/>
              <w:spacing w:after="40"/>
              <w:rPr>
                <w:spacing w:val="-2"/>
                <w:sz w:val="20"/>
              </w:rPr>
            </w:pPr>
            <w:r>
              <w:rPr>
                <w:spacing w:val="-2"/>
                <w:sz w:val="20"/>
              </w:rPr>
              <w:t>Casuarina (Bunbury) Boat Harbour</w:t>
            </w:r>
          </w:p>
        </w:tc>
        <w:tc>
          <w:tcPr>
            <w:tcW w:w="2371" w:type="dxa"/>
          </w:tcPr>
          <w:p>
            <w:pPr>
              <w:pStyle w:val="yTable"/>
              <w:spacing w:after="40"/>
              <w:rPr>
                <w:spacing w:val="-2"/>
                <w:sz w:val="20"/>
              </w:rPr>
            </w:pPr>
            <w:r>
              <w:rPr>
                <w:spacing w:val="-2"/>
                <w:sz w:val="20"/>
              </w:rPr>
              <w:t>$0.036</w:t>
            </w:r>
          </w:p>
        </w:tc>
      </w:tr>
      <w:tr>
        <w:tc>
          <w:tcPr>
            <w:tcW w:w="3021" w:type="dxa"/>
          </w:tcPr>
          <w:p>
            <w:pPr>
              <w:pStyle w:val="yTable"/>
              <w:spacing w:after="40"/>
              <w:rPr>
                <w:spacing w:val="-2"/>
                <w:sz w:val="20"/>
              </w:rPr>
            </w:pPr>
            <w:r>
              <w:rPr>
                <w:spacing w:val="-2"/>
                <w:sz w:val="20"/>
              </w:rPr>
              <w:t>Cervantes</w:t>
            </w:r>
          </w:p>
        </w:tc>
        <w:tc>
          <w:tcPr>
            <w:tcW w:w="2371" w:type="dxa"/>
          </w:tcPr>
          <w:p>
            <w:pPr>
              <w:pStyle w:val="yTable"/>
              <w:spacing w:after="40"/>
              <w:rPr>
                <w:spacing w:val="-2"/>
                <w:sz w:val="20"/>
              </w:rPr>
            </w:pPr>
            <w:r>
              <w:rPr>
                <w:spacing w:val="-2"/>
                <w:sz w:val="20"/>
              </w:rPr>
              <w:t>$0.0825</w:t>
            </w:r>
          </w:p>
        </w:tc>
      </w:tr>
      <w:tr>
        <w:tc>
          <w:tcPr>
            <w:tcW w:w="3021" w:type="dxa"/>
          </w:tcPr>
          <w:p>
            <w:pPr>
              <w:pStyle w:val="yTable"/>
              <w:spacing w:after="40"/>
              <w:rPr>
                <w:spacing w:val="-2"/>
                <w:sz w:val="20"/>
              </w:rPr>
            </w:pPr>
            <w:r>
              <w:rPr>
                <w:spacing w:val="-2"/>
                <w:sz w:val="20"/>
              </w:rPr>
              <w:t>Emu Point (Albany)</w:t>
            </w:r>
          </w:p>
        </w:tc>
        <w:tc>
          <w:tcPr>
            <w:tcW w:w="2371" w:type="dxa"/>
          </w:tcPr>
          <w:p>
            <w:pPr>
              <w:pStyle w:val="yTable"/>
              <w:spacing w:after="40"/>
              <w:rPr>
                <w:spacing w:val="-2"/>
                <w:sz w:val="20"/>
              </w:rPr>
            </w:pPr>
            <w:r>
              <w:rPr>
                <w:spacing w:val="-2"/>
                <w:sz w:val="20"/>
              </w:rPr>
              <w:t>$0.049</w:t>
            </w:r>
          </w:p>
        </w:tc>
      </w:tr>
      <w:tr>
        <w:tc>
          <w:tcPr>
            <w:tcW w:w="3021" w:type="dxa"/>
          </w:tcPr>
          <w:p>
            <w:pPr>
              <w:pStyle w:val="yTable"/>
              <w:spacing w:after="40"/>
              <w:rPr>
                <w:spacing w:val="-2"/>
                <w:sz w:val="20"/>
              </w:rPr>
            </w:pPr>
            <w:r>
              <w:rPr>
                <w:spacing w:val="-2"/>
                <w:sz w:val="20"/>
              </w:rPr>
              <w:t>Exmouth</w:t>
            </w:r>
          </w:p>
        </w:tc>
        <w:tc>
          <w:tcPr>
            <w:tcW w:w="2371" w:type="dxa"/>
          </w:tcPr>
          <w:p>
            <w:pPr>
              <w:pStyle w:val="yTable"/>
              <w:spacing w:after="40"/>
              <w:rPr>
                <w:spacing w:val="-2"/>
                <w:sz w:val="20"/>
                <w:lang w:val="en-US"/>
              </w:rPr>
            </w:pPr>
            <w:r>
              <w:rPr>
                <w:spacing w:val="-2"/>
                <w:sz w:val="20"/>
              </w:rPr>
              <w:t xml:space="preserve">$0.0464 </w:t>
            </w:r>
          </w:p>
        </w:tc>
      </w:tr>
      <w:tr>
        <w:tc>
          <w:tcPr>
            <w:tcW w:w="3021" w:type="dxa"/>
          </w:tcPr>
          <w:p>
            <w:pPr>
              <w:pStyle w:val="yTable"/>
              <w:spacing w:after="40"/>
              <w:rPr>
                <w:spacing w:val="-2"/>
                <w:sz w:val="20"/>
              </w:rPr>
            </w:pPr>
            <w:r>
              <w:rPr>
                <w:spacing w:val="-2"/>
                <w:sz w:val="20"/>
              </w:rPr>
              <w:t>Fremantle Fishing Boat Harbour</w:t>
            </w:r>
          </w:p>
        </w:tc>
        <w:tc>
          <w:tcPr>
            <w:tcW w:w="2371" w:type="dxa"/>
          </w:tcPr>
          <w:p>
            <w:pPr>
              <w:pStyle w:val="yTable"/>
              <w:spacing w:after="40"/>
              <w:rPr>
                <w:spacing w:val="-2"/>
                <w:sz w:val="20"/>
              </w:rPr>
            </w:pPr>
            <w:r>
              <w:rPr>
                <w:spacing w:val="-2"/>
                <w:sz w:val="20"/>
              </w:rPr>
              <w:t>$0.0168</w:t>
            </w:r>
          </w:p>
        </w:tc>
      </w:tr>
      <w:tr>
        <w:tc>
          <w:tcPr>
            <w:tcW w:w="3021" w:type="dxa"/>
          </w:tcPr>
          <w:p>
            <w:pPr>
              <w:pStyle w:val="yTable"/>
              <w:spacing w:after="40"/>
              <w:rPr>
                <w:spacing w:val="-2"/>
                <w:sz w:val="20"/>
              </w:rPr>
            </w:pPr>
            <w:r>
              <w:rPr>
                <w:spacing w:val="-2"/>
                <w:sz w:val="20"/>
              </w:rPr>
              <w:t>Green Head</w:t>
            </w:r>
          </w:p>
        </w:tc>
        <w:tc>
          <w:tcPr>
            <w:tcW w:w="2371" w:type="dxa"/>
          </w:tcPr>
          <w:p>
            <w:pPr>
              <w:pStyle w:val="yTable"/>
              <w:spacing w:after="40"/>
              <w:rPr>
                <w:spacing w:val="-2"/>
                <w:sz w:val="20"/>
              </w:rPr>
            </w:pPr>
            <w:r>
              <w:rPr>
                <w:spacing w:val="-2"/>
                <w:sz w:val="20"/>
              </w:rPr>
              <w:t>$0.072</w:t>
            </w:r>
          </w:p>
        </w:tc>
      </w:tr>
      <w:tr>
        <w:tc>
          <w:tcPr>
            <w:tcW w:w="3021" w:type="dxa"/>
          </w:tcPr>
          <w:p>
            <w:pPr>
              <w:pStyle w:val="yTable"/>
              <w:spacing w:after="40"/>
              <w:rPr>
                <w:spacing w:val="-2"/>
                <w:sz w:val="20"/>
              </w:rPr>
            </w:pPr>
            <w:r>
              <w:rPr>
                <w:spacing w:val="-2"/>
                <w:sz w:val="20"/>
              </w:rPr>
              <w:t>Hopetoun</w:t>
            </w:r>
          </w:p>
        </w:tc>
        <w:tc>
          <w:tcPr>
            <w:tcW w:w="2371" w:type="dxa"/>
          </w:tcPr>
          <w:p>
            <w:pPr>
              <w:pStyle w:val="yTable"/>
              <w:spacing w:after="40"/>
              <w:rPr>
                <w:spacing w:val="-2"/>
                <w:sz w:val="20"/>
              </w:rPr>
            </w:pPr>
            <w:r>
              <w:rPr>
                <w:spacing w:val="-2"/>
                <w:sz w:val="20"/>
              </w:rPr>
              <w:t>$0.043</w:t>
            </w:r>
          </w:p>
        </w:tc>
      </w:tr>
      <w:tr>
        <w:tc>
          <w:tcPr>
            <w:tcW w:w="3021" w:type="dxa"/>
          </w:tcPr>
          <w:p>
            <w:pPr>
              <w:pStyle w:val="yTable"/>
              <w:spacing w:after="40"/>
              <w:rPr>
                <w:spacing w:val="-2"/>
                <w:sz w:val="20"/>
              </w:rPr>
            </w:pPr>
            <w:r>
              <w:rPr>
                <w:spacing w:val="-2"/>
                <w:sz w:val="20"/>
              </w:rPr>
              <w:t>Johns Creek (Point Samson)</w:t>
            </w:r>
          </w:p>
        </w:tc>
        <w:tc>
          <w:tcPr>
            <w:tcW w:w="2371" w:type="dxa"/>
          </w:tcPr>
          <w:p>
            <w:pPr>
              <w:pStyle w:val="yTable"/>
              <w:spacing w:after="40"/>
              <w:rPr>
                <w:spacing w:val="-2"/>
                <w:sz w:val="20"/>
              </w:rPr>
            </w:pPr>
            <w:r>
              <w:rPr>
                <w:spacing w:val="-2"/>
                <w:sz w:val="20"/>
              </w:rPr>
              <w:t>$0.04532</w:t>
            </w:r>
          </w:p>
        </w:tc>
      </w:tr>
      <w:tr>
        <w:tc>
          <w:tcPr>
            <w:tcW w:w="3021" w:type="dxa"/>
          </w:tcPr>
          <w:p>
            <w:pPr>
              <w:pStyle w:val="yTable"/>
              <w:spacing w:after="40"/>
              <w:rPr>
                <w:spacing w:val="-2"/>
                <w:sz w:val="20"/>
              </w:rPr>
            </w:pPr>
            <w:r>
              <w:rPr>
                <w:spacing w:val="-2"/>
                <w:sz w:val="20"/>
              </w:rPr>
              <w:t>Jurien</w:t>
            </w:r>
          </w:p>
        </w:tc>
        <w:tc>
          <w:tcPr>
            <w:tcW w:w="2371" w:type="dxa"/>
          </w:tcPr>
          <w:p>
            <w:pPr>
              <w:pStyle w:val="yTable"/>
              <w:spacing w:after="40"/>
              <w:rPr>
                <w:spacing w:val="-2"/>
                <w:sz w:val="20"/>
              </w:rPr>
            </w:pPr>
            <w:r>
              <w:rPr>
                <w:spacing w:val="-2"/>
                <w:sz w:val="20"/>
              </w:rPr>
              <w:t>$0.055</w:t>
            </w:r>
          </w:p>
        </w:tc>
      </w:tr>
      <w:tr>
        <w:tc>
          <w:tcPr>
            <w:tcW w:w="3021" w:type="dxa"/>
          </w:tcPr>
          <w:p>
            <w:pPr>
              <w:pStyle w:val="yTable"/>
              <w:spacing w:after="40"/>
              <w:rPr>
                <w:spacing w:val="-2"/>
                <w:sz w:val="20"/>
              </w:rPr>
            </w:pPr>
            <w:r>
              <w:rPr>
                <w:spacing w:val="-2"/>
                <w:sz w:val="20"/>
              </w:rPr>
              <w:t>Kalbarri</w:t>
            </w:r>
          </w:p>
        </w:tc>
        <w:tc>
          <w:tcPr>
            <w:tcW w:w="2371" w:type="dxa"/>
          </w:tcPr>
          <w:p>
            <w:pPr>
              <w:pStyle w:val="yTable"/>
              <w:spacing w:after="40"/>
              <w:rPr>
                <w:spacing w:val="-2"/>
                <w:sz w:val="20"/>
              </w:rPr>
            </w:pPr>
            <w:r>
              <w:rPr>
                <w:spacing w:val="-2"/>
                <w:sz w:val="20"/>
              </w:rPr>
              <w:t>$0.044</w:t>
            </w:r>
          </w:p>
        </w:tc>
      </w:tr>
      <w:tr>
        <w:tc>
          <w:tcPr>
            <w:tcW w:w="3021" w:type="dxa"/>
          </w:tcPr>
          <w:p>
            <w:pPr>
              <w:pStyle w:val="yTable"/>
              <w:spacing w:after="40"/>
              <w:rPr>
                <w:spacing w:val="-2"/>
                <w:sz w:val="20"/>
              </w:rPr>
            </w:pPr>
            <w:r>
              <w:rPr>
                <w:spacing w:val="-2"/>
                <w:sz w:val="20"/>
              </w:rPr>
              <w:t>Lancelin</w:t>
            </w:r>
          </w:p>
        </w:tc>
        <w:tc>
          <w:tcPr>
            <w:tcW w:w="2371" w:type="dxa"/>
          </w:tcPr>
          <w:p>
            <w:pPr>
              <w:pStyle w:val="yTable"/>
              <w:spacing w:after="40"/>
              <w:rPr>
                <w:spacing w:val="-2"/>
                <w:sz w:val="20"/>
              </w:rPr>
            </w:pPr>
            <w:r>
              <w:rPr>
                <w:spacing w:val="-2"/>
                <w:sz w:val="20"/>
              </w:rPr>
              <w:t>$0.0275</w:t>
            </w:r>
          </w:p>
        </w:tc>
      </w:tr>
      <w:tr>
        <w:tc>
          <w:tcPr>
            <w:tcW w:w="3021" w:type="dxa"/>
            <w:tcBorders>
              <w:bottom w:val="nil"/>
            </w:tcBorders>
          </w:tcPr>
          <w:p>
            <w:pPr>
              <w:pStyle w:val="yTable"/>
              <w:spacing w:after="40"/>
              <w:rPr>
                <w:spacing w:val="-2"/>
                <w:sz w:val="20"/>
              </w:rPr>
            </w:pPr>
            <w:r>
              <w:rPr>
                <w:spacing w:val="-2"/>
                <w:sz w:val="20"/>
              </w:rPr>
              <w:t>Leeman</w:t>
            </w:r>
          </w:p>
        </w:tc>
        <w:tc>
          <w:tcPr>
            <w:tcW w:w="2371" w:type="dxa"/>
            <w:tcBorders>
              <w:bottom w:val="nil"/>
            </w:tcBorders>
          </w:tcPr>
          <w:p>
            <w:pPr>
              <w:pStyle w:val="yTable"/>
              <w:spacing w:after="40"/>
              <w:rPr>
                <w:spacing w:val="-2"/>
                <w:sz w:val="20"/>
              </w:rPr>
            </w:pPr>
            <w:r>
              <w:rPr>
                <w:spacing w:val="-2"/>
                <w:sz w:val="20"/>
              </w:rPr>
              <w:t>$0.044</w:t>
            </w:r>
          </w:p>
        </w:tc>
      </w:tr>
      <w:tr>
        <w:tc>
          <w:tcPr>
            <w:tcW w:w="3021" w:type="dxa"/>
          </w:tcPr>
          <w:p>
            <w:pPr>
              <w:pStyle w:val="yTable"/>
              <w:spacing w:after="40"/>
              <w:rPr>
                <w:spacing w:val="-2"/>
                <w:sz w:val="20"/>
              </w:rPr>
            </w:pPr>
            <w:r>
              <w:rPr>
                <w:spacing w:val="-2"/>
                <w:sz w:val="20"/>
              </w:rPr>
              <w:t>Port Gregory</w:t>
            </w:r>
          </w:p>
        </w:tc>
        <w:tc>
          <w:tcPr>
            <w:tcW w:w="2371" w:type="dxa"/>
          </w:tcPr>
          <w:p>
            <w:pPr>
              <w:pStyle w:val="yTable"/>
              <w:spacing w:after="40"/>
              <w:rPr>
                <w:spacing w:val="-2"/>
                <w:sz w:val="20"/>
              </w:rPr>
            </w:pPr>
            <w:r>
              <w:rPr>
                <w:spacing w:val="-2"/>
                <w:sz w:val="20"/>
              </w:rPr>
              <w:t>$0.0618</w:t>
            </w:r>
          </w:p>
        </w:tc>
      </w:tr>
    </w:tbl>
    <w:p>
      <w:pPr>
        <w:pStyle w:val="yFootnotesection"/>
      </w:pPr>
      <w:bookmarkStart w:id="975" w:name="_Toc81295580"/>
      <w:bookmarkStart w:id="976" w:name="_Toc92097536"/>
      <w:bookmarkStart w:id="977" w:name="_Toc92858989"/>
      <w:bookmarkStart w:id="978" w:name="_Toc94070600"/>
      <w:bookmarkStart w:id="979" w:name="_Toc95554240"/>
      <w:bookmarkStart w:id="980" w:name="_Toc95559452"/>
      <w:bookmarkStart w:id="981" w:name="_Toc97361837"/>
      <w:bookmarkStart w:id="982" w:name="_Toc97362189"/>
      <w:bookmarkStart w:id="983" w:name="_Toc97530842"/>
      <w:r>
        <w:tab/>
        <w:t>[Division 4 inserted in Gazette 24 Jun 2005 p. 2846-7; amended in Gazette 23 Jun 2006 p. 2204.]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984" w:name="_Toc97539314"/>
      <w:bookmarkStart w:id="985" w:name="_Toc98563109"/>
      <w:bookmarkStart w:id="986" w:name="_Toc99266498"/>
      <w:bookmarkStart w:id="987" w:name="_Toc102391019"/>
      <w:bookmarkStart w:id="988" w:name="_Toc139101877"/>
      <w:bookmarkStart w:id="989" w:name="_Toc139102062"/>
      <w:bookmarkStart w:id="990" w:name="_Toc139443410"/>
      <w:r>
        <w:t>Notes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991" w:name="_Toc102391020"/>
      <w:bookmarkStart w:id="992" w:name="_Toc139443411"/>
      <w:r>
        <w:t>Compilation table</w:t>
      </w:r>
      <w:bookmarkEnd w:id="991"/>
      <w:bookmarkEnd w:id="992"/>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4, 5</w:t>
            </w:r>
            <w:r>
              <w:rPr>
                <w:sz w:val="19"/>
              </w:rPr>
              <w:t xml:space="preserve"> </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Borders>
              <w:bottom w:val="single" w:sz="8" w:space="0" w:color="auto"/>
            </w:tcBorders>
          </w:tcPr>
          <w:p>
            <w:pPr>
              <w:pStyle w:val="nTable"/>
              <w:spacing w:after="40"/>
              <w:rPr>
                <w:bCs/>
                <w:i/>
                <w:iCs/>
                <w:sz w:val="19"/>
              </w:rPr>
            </w:pPr>
            <w:r>
              <w:rPr>
                <w:bCs/>
                <w:i/>
                <w:iCs/>
                <w:sz w:val="19"/>
              </w:rPr>
              <w:t>Jetties Amendment Regulations 2006</w:t>
            </w:r>
          </w:p>
        </w:tc>
        <w:tc>
          <w:tcPr>
            <w:tcW w:w="1200" w:type="dxa"/>
            <w:tcBorders>
              <w:bottom w:val="single" w:sz="8" w:space="0" w:color="auto"/>
            </w:tcBorders>
          </w:tcPr>
          <w:p>
            <w:pPr>
              <w:pStyle w:val="nTable"/>
              <w:spacing w:after="40"/>
              <w:rPr>
                <w:bCs/>
                <w:sz w:val="19"/>
              </w:rPr>
            </w:pPr>
            <w:r>
              <w:rPr>
                <w:bCs/>
                <w:sz w:val="19"/>
              </w:rPr>
              <w:t>23 Jun 2006 p. 2193</w:t>
            </w:r>
            <w:r>
              <w:rPr>
                <w:bCs/>
                <w:sz w:val="19"/>
              </w:rPr>
              <w:noBreakHyphen/>
              <w:t>204</w:t>
            </w:r>
          </w:p>
        </w:tc>
        <w:tc>
          <w:tcPr>
            <w:tcW w:w="2739" w:type="dxa"/>
            <w:gridSpan w:val="2"/>
            <w:tcBorders>
              <w:bottom w:val="single" w:sz="8" w:space="0" w:color="auto"/>
            </w:tcBorders>
          </w:tcPr>
          <w:p>
            <w:pPr>
              <w:pStyle w:val="nTable"/>
              <w:spacing w:after="40"/>
              <w:rPr>
                <w:bCs/>
                <w:sz w:val="19"/>
              </w:rPr>
            </w:pPr>
            <w:r>
              <w:rPr>
                <w:bCs/>
                <w:sz w:val="19"/>
              </w:rPr>
              <w:t>1 Jul 2006 (see r. 2)</w:t>
            </w:r>
          </w:p>
        </w:tc>
      </w:tr>
    </w:tbl>
    <w:p>
      <w:pPr>
        <w:pStyle w:val="nSubsection"/>
        <w:rPr>
          <w:snapToGrid w:val="0"/>
        </w:rPr>
      </w:pPr>
      <w:bookmarkStart w:id="993" w:name="UpToHere"/>
      <w:bookmarkEnd w:id="993"/>
      <w:r>
        <w:rPr>
          <w:snapToGrid w:val="0"/>
          <w:vertAlign w:val="superscript"/>
        </w:rPr>
        <w:t>2</w:t>
      </w:r>
      <w:r>
        <w:rPr>
          <w:snapToGrid w:val="0"/>
        </w:rPr>
        <w:tab/>
        <w:t xml:space="preserve">Repealed by the </w:t>
      </w:r>
      <w:r>
        <w:rPr>
          <w:i/>
          <w:snapToGrid w:val="0"/>
        </w:rPr>
        <w:t>Explosives and Dangerous Goods Act 1961</w:t>
      </w:r>
      <w:r>
        <w:rPr>
          <w:snapToGrid w:val="0"/>
        </w:rPr>
        <w:t>.</w:t>
      </w:r>
    </w:p>
    <w:p>
      <w:pPr>
        <w:pStyle w:val="nSubsection"/>
        <w:rPr>
          <w:snapToGrid w:val="0"/>
        </w:rPr>
      </w:pPr>
      <w:r>
        <w:rPr>
          <w:snapToGrid w:val="0"/>
          <w:vertAlign w:val="superscript"/>
        </w:rPr>
        <w:t>3</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4</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5</w:t>
      </w:r>
      <w:r>
        <w:tab/>
      </w:r>
      <w:r>
        <w:rPr>
          <w:snapToGrid w:val="0"/>
        </w:rPr>
        <w:t>Regulation</w:t>
      </w:r>
      <w:r>
        <w:t> 10 disallowed on 19 Oct 1940.</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type w:val="continuous"/>
      <w:pgSz w:w="11906" w:h="16838" w:code="9"/>
      <w:pgMar w:top="2381" w:right="2410" w:bottom="2977" w:left="2410" w:header="720" w:footer="3380" w:gutter="0"/>
      <w:paperSrc w:first="4" w:other="4"/>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28"/>
    <w:docVar w:name="WAFER_20151203163028" w:val="RemoveTrackChanges"/>
    <w:docVar w:name="WAFER_20151203163028_GUID" w:val="bf6634e9-3de8-4654-9111-a5275deb2d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23695</Words>
  <Characters>113264</Characters>
  <Application>Microsoft Office Word</Application>
  <DocSecurity>0</DocSecurity>
  <Lines>3905</Lines>
  <Paragraphs>2584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1940 - 05-c0-03</dc:title>
  <dc:subject/>
  <dc:creator/>
  <cp:keywords/>
  <dc:description/>
  <cp:lastModifiedBy>svcMRProcess</cp:lastModifiedBy>
  <cp:revision>4</cp:revision>
  <cp:lastPrinted>2005-04-18T06:08:00Z</cp:lastPrinted>
  <dcterms:created xsi:type="dcterms:W3CDTF">2019-05-31T07:54:00Z</dcterms:created>
  <dcterms:modified xsi:type="dcterms:W3CDTF">2019-05-31T07:54:00Z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8924</vt:i4>
  </property>
  <property fmtid="{D5CDD505-2E9C-101B-9397-08002B2CF9AE}" pid="6" name="AsAtDate">
    <vt:lpwstr>01 Jul 2006</vt:lpwstr>
  </property>
  <property fmtid="{D5CDD505-2E9C-101B-9397-08002B2CF9AE}" pid="7" name="Suffix">
    <vt:lpwstr>05-c0-03</vt:lpwstr>
  </property>
</Properties>
</file>