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(Noonkanbah Restricted Area)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(Noonkanbah Restricted Area)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_Toc488316717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_Toc488316718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Noonkanbah Aboriginal Community</w:t>
      </w:r>
      <w:r>
        <w:tab/>
      </w:r>
      <w:r>
        <w:fldChar w:fldCharType="begin"/>
      </w:r>
      <w:r>
        <w:instrText xml:space="preserve"> PAGEREF _Toc488316719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w:t>
      </w:r>
      <w:r>
        <w:tab/>
      </w:r>
      <w:r>
        <w:fldChar w:fldCharType="begin"/>
      </w:r>
      <w:r>
        <w:instrText xml:space="preserve"> PAGEREF _Toc488316720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_Toc488316721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_Toc488316722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Noonkanbah Aboriginal Community</w:t>
      </w:r>
      <w:r>
        <w:tab/>
      </w:r>
      <w:r>
        <w:fldChar w:fldCharType="begin"/>
      </w:r>
      <w:r>
        <w:instrText xml:space="preserve"> PAGEREF _Toc488316723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_Toc488316724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_Toc488316725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_Toc488316727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(Noonkanbah Restricted Area) Regulations 2009</w:t>
      </w:r>
    </w:p>
    <w:p>
      <w:pPr>
        <w:pStyle w:val="Heading5"/>
      </w:pPr>
      <w:bookmarkStart w:id="3" w:name="_Toc389742264"/>
      <w:bookmarkStart w:id="4" w:name="_Toc488316717"/>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(Noonkanbah Restricted Area) Regulations 2009</w:t>
      </w:r>
      <w:r>
        <w:t>.</w:t>
      </w:r>
    </w:p>
    <w:p>
      <w:pPr>
        <w:pStyle w:val="Heading5"/>
        <w:rPr>
          <w:spacing w:val="-2"/>
        </w:rPr>
      </w:pPr>
      <w:bookmarkStart w:id="6" w:name="_Toc389742265"/>
      <w:bookmarkStart w:id="7" w:name="_Toc488316718"/>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389742266"/>
      <w:bookmarkStart w:id="9" w:name="_Toc488316719"/>
      <w:r>
        <w:rPr>
          <w:rStyle w:val="CharSectno"/>
        </w:rPr>
        <w:t>3</w:t>
      </w:r>
      <w:r>
        <w:t>.</w:t>
      </w:r>
      <w:r>
        <w:tab/>
        <w:t>Term used: Noonkanbah Aboriginal Community</w:t>
      </w:r>
      <w:bookmarkEnd w:id="8"/>
      <w:bookmarkEnd w:id="9"/>
    </w:p>
    <w:p>
      <w:pPr>
        <w:pStyle w:val="Subsection"/>
      </w:pPr>
      <w:r>
        <w:tab/>
      </w:r>
      <w:r>
        <w:tab/>
        <w:t xml:space="preserve">In these regulations — </w:t>
      </w:r>
    </w:p>
    <w:p>
      <w:pPr>
        <w:pStyle w:val="Defstart"/>
      </w:pPr>
      <w:r>
        <w:tab/>
      </w:r>
      <w:r>
        <w:rPr>
          <w:rStyle w:val="CharDefText"/>
        </w:rPr>
        <w:t>Noonkanbah Aboriginal Community</w:t>
      </w:r>
      <w:r>
        <w:t xml:space="preserve"> means the area of the land the subject of —</w:t>
      </w:r>
    </w:p>
    <w:p>
      <w:pPr>
        <w:pStyle w:val="Defpara"/>
      </w:pPr>
      <w:r>
        <w:tab/>
        <w:t>(a)</w:t>
      </w:r>
      <w:r>
        <w:tab/>
        <w:t>Certificate of Title 2201/905 (Lots 4 and 50); and</w:t>
      </w:r>
    </w:p>
    <w:p>
      <w:pPr>
        <w:pStyle w:val="Defpara"/>
      </w:pPr>
      <w:r>
        <w:tab/>
        <w:t>(b)</w:t>
      </w:r>
      <w:r>
        <w:tab/>
        <w:t>Crown Reserve 26355 (</w:t>
      </w:r>
      <w:smartTag w:uri="urn:schemas-microsoft-com:office:smarttags" w:element="place">
        <w:r>
          <w:t>Lot</w:t>
        </w:r>
      </w:smartTag>
      <w:r>
        <w:t xml:space="preserve"> 37); and</w:t>
      </w:r>
    </w:p>
    <w:p>
      <w:pPr>
        <w:pStyle w:val="Defpara"/>
      </w:pPr>
      <w:r>
        <w:tab/>
        <w:t>(c)</w:t>
      </w:r>
      <w:r>
        <w:tab/>
        <w:t>Crown Lease 3114/576 (</w:t>
      </w:r>
      <w:smartTag w:uri="urn:schemas-microsoft-com:office:smarttags" w:element="place">
        <w:r>
          <w:t>Lot</w:t>
        </w:r>
      </w:smartTag>
      <w:r>
        <w:t xml:space="preserve"> 255),</w:t>
      </w:r>
    </w:p>
    <w:p>
      <w:pPr>
        <w:pStyle w:val="Defstart"/>
      </w:pPr>
      <w:r>
        <w:tab/>
        <w:t>and the portion of Crown Reserve 23226 bounded to the north and south by Crown Lease 3114/576 (</w:t>
      </w:r>
      <w:smartTag w:uri="urn:schemas-microsoft-com:office:smarttags" w:element="place">
        <w:r>
          <w:t>Lot</w:t>
        </w:r>
      </w:smartTag>
      <w:r>
        <w:t> 255).</w:t>
      </w:r>
    </w:p>
    <w:p>
      <w:pPr>
        <w:pStyle w:val="Footnotesection"/>
      </w:pPr>
      <w:r>
        <w:tab/>
        <w:t>[Regulation 3 amended: Gazette 8 Nov 2011 p. 4676.]</w:t>
      </w:r>
    </w:p>
    <w:p>
      <w:pPr>
        <w:pStyle w:val="Heading5"/>
      </w:pPr>
      <w:bookmarkStart w:id="10" w:name="_Toc389742267"/>
      <w:bookmarkStart w:id="11" w:name="_Toc488316720"/>
      <w:r>
        <w:rPr>
          <w:rStyle w:val="CharSectno"/>
        </w:rPr>
        <w:t>4</w:t>
      </w:r>
      <w:r>
        <w:t>.</w:t>
      </w:r>
      <w:r>
        <w:tab/>
        <w:t>Note is not part of regulation</w:t>
      </w:r>
      <w:bookmarkEnd w:id="10"/>
      <w:bookmarkEnd w:id="11"/>
    </w:p>
    <w:p>
      <w:pPr>
        <w:pStyle w:val="Subsection"/>
      </w:pPr>
      <w:r>
        <w:tab/>
      </w:r>
      <w:r>
        <w:tab/>
        <w:t>The note after regulation 9 does not form part of these regulations.</w:t>
      </w:r>
    </w:p>
    <w:p>
      <w:pPr>
        <w:pStyle w:val="Heading5"/>
      </w:pPr>
      <w:bookmarkStart w:id="12" w:name="_Toc389742268"/>
      <w:bookmarkStart w:id="13" w:name="_Toc488316721"/>
      <w:r>
        <w:rPr>
          <w:rStyle w:val="CharSectno"/>
        </w:rPr>
        <w:t>5</w:t>
      </w:r>
      <w:r>
        <w:t>.</w:t>
      </w:r>
      <w:r>
        <w:tab/>
        <w:t>Declaration of restricted area</w:t>
      </w:r>
      <w:bookmarkEnd w:id="12"/>
      <w:bookmarkEnd w:id="13"/>
    </w:p>
    <w:p>
      <w:pPr>
        <w:pStyle w:val="Subsection"/>
      </w:pPr>
      <w:r>
        <w:tab/>
      </w:r>
      <w:r>
        <w:tab/>
        <w:t>The Noonkanbah Aboriginal Community is declared to be a restricted area for the purposes of section 175(1a) of the Act.</w:t>
      </w:r>
    </w:p>
    <w:p>
      <w:pPr>
        <w:pStyle w:val="Heading5"/>
      </w:pPr>
      <w:bookmarkStart w:id="14" w:name="_Toc389742269"/>
      <w:bookmarkStart w:id="15" w:name="_Toc488316722"/>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Noonkanbah Aboriginal Community continues to be a restricted area by operation of regulation 5 to be kept posted, at each place where a customary access route enters the Noonkanbah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389742270"/>
      <w:bookmarkStart w:id="17" w:name="_Toc488316723"/>
      <w:r>
        <w:rPr>
          <w:rStyle w:val="CharSectno"/>
        </w:rPr>
        <w:t>7</w:t>
      </w:r>
      <w:r>
        <w:t>.</w:t>
      </w:r>
      <w:r>
        <w:tab/>
        <w:t>Prohibitions as to liquor in the Noonkanbah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Noonkanbah Aboriginal Community; or</w:t>
      </w:r>
    </w:p>
    <w:p>
      <w:pPr>
        <w:pStyle w:val="Indenta"/>
      </w:pPr>
      <w:r>
        <w:tab/>
        <w:t>(b)</w:t>
      </w:r>
      <w:r>
        <w:tab/>
        <w:t>has liquor in his or her possession in the Noonkanbah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89742271"/>
      <w:bookmarkStart w:id="19" w:name="_Toc488316724"/>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89742272"/>
      <w:bookmarkStart w:id="21" w:name="_Toc488316725"/>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that ends at the close of 25 July 2020.</w:t>
      </w:r>
    </w:p>
    <w:p>
      <w:pPr>
        <w:pStyle w:val="Footnotesection"/>
      </w:pPr>
      <w:r>
        <w:tab/>
        <w:t>[Regulation 9 amended: Gazette 22 Jul 2011 p. 3026; 6 Jun 2014 p. 1792; 21 Jul 2017 p. 4029.]</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389742273"/>
      <w:bookmarkStart w:id="23" w:name="_Toc421007458"/>
      <w:bookmarkStart w:id="24" w:name="_Toc421007469"/>
      <w:bookmarkStart w:id="25" w:name="_Toc488316726"/>
      <w:r>
        <w:t>Notes</w:t>
      </w:r>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rPr>
        <w:t>Liquor Control (Noonkanbah Restricted Area) Regulations 2009</w:t>
      </w:r>
      <w:r>
        <w:rPr>
          <w:vertAlign w:val="superscript"/>
        </w:rPr>
        <w:t> 2</w:t>
      </w:r>
      <w:r>
        <w:rPr>
          <w:snapToGrid w:val="0"/>
        </w:rPr>
        <w:t xml:space="preserve"> and includes the amendments made by the other written laws referred to in the following table</w:t>
      </w:r>
    </w:p>
    <w:p>
      <w:pPr>
        <w:pStyle w:val="nHeading3"/>
      </w:pPr>
      <w:bookmarkStart w:id="26" w:name="_Toc389742274"/>
      <w:bookmarkStart w:id="27" w:name="_Toc488316727"/>
      <w:r>
        <w:t>Compilation table</w:t>
      </w:r>
      <w:bookmarkEnd w:id="26"/>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(Noonkanbah Restricted Area) Regulations 2009</w:t>
            </w:r>
          </w:p>
        </w:tc>
        <w:tc>
          <w:tcPr>
            <w:tcW w:w="1276" w:type="dxa"/>
            <w:tcBorders>
              <w:bottom w:val="nil"/>
            </w:tcBorders>
          </w:tcPr>
          <w:p>
            <w:pPr>
              <w:pStyle w:val="nTable"/>
              <w:spacing w:after="40"/>
            </w:pPr>
            <w:r>
              <w:t>24 Jul 2009 p. 2950-1</w:t>
            </w:r>
          </w:p>
        </w:tc>
        <w:tc>
          <w:tcPr>
            <w:tcW w:w="2693" w:type="dxa"/>
            <w:tcBorders>
              <w:bottom w:val="nil"/>
            </w:tcBorders>
          </w:tcPr>
          <w:p>
            <w:pPr>
              <w:pStyle w:val="nTable"/>
              <w:spacing w:after="40"/>
            </w:pPr>
            <w:r>
              <w:rPr>
                <w:snapToGrid w:val="0"/>
                <w:spacing w:val="-2"/>
              </w:rPr>
              <w:t xml:space="preserve">r. 1 and 2: </w:t>
            </w:r>
            <w:r>
              <w:t>24 Jul 2009</w:t>
            </w:r>
            <w:r>
              <w:rPr>
                <w:snapToGrid w:val="0"/>
                <w:spacing w:val="-2"/>
              </w:rPr>
              <w:t xml:space="preserve"> (see r. 2(a));</w:t>
            </w:r>
            <w:r>
              <w:rPr>
                <w:snapToGrid w:val="0"/>
                <w:spacing w:val="-2"/>
              </w:rPr>
              <w:br/>
              <w:t xml:space="preserve">Regulations other than r. 1 and 2: </w:t>
            </w:r>
            <w:r>
              <w:t>25 Jul 2009</w:t>
            </w:r>
            <w:r>
              <w:rPr>
                <w:snapToGrid w:val="0"/>
                <w:spacing w:val="-2"/>
              </w:rPr>
              <w:t xml:space="preserve"> (see r. 2(b))</w:t>
            </w:r>
          </w:p>
        </w:tc>
      </w:tr>
      <w:tr>
        <w:tc>
          <w:tcPr>
            <w:tcW w:w="3118" w:type="dxa"/>
            <w:tcBorders>
              <w:top w:val="nil"/>
              <w:bottom w:val="nil"/>
              <w:right w:val="nil"/>
            </w:tcBorders>
          </w:tcPr>
          <w:p>
            <w:pPr>
              <w:pStyle w:val="nTable"/>
              <w:rPr>
                <w:i/>
              </w:rPr>
            </w:pPr>
            <w:r>
              <w:rPr>
                <w:i/>
              </w:rPr>
              <w:t>Liquor Control (Noonkanbah Restricted Area) Amendment Regulations 2011</w:t>
            </w:r>
          </w:p>
        </w:tc>
        <w:tc>
          <w:tcPr>
            <w:tcW w:w="1276" w:type="dxa"/>
            <w:tcBorders>
              <w:top w:val="nil"/>
              <w:left w:val="nil"/>
              <w:bottom w:val="nil"/>
              <w:right w:val="nil"/>
            </w:tcBorders>
          </w:tcPr>
          <w:p>
            <w:pPr>
              <w:pStyle w:val="nTable"/>
            </w:pPr>
            <w:r>
              <w:t>22 Jul 2011 p. 3026</w:t>
            </w:r>
          </w:p>
        </w:tc>
        <w:tc>
          <w:tcPr>
            <w:tcW w:w="2693" w:type="dxa"/>
            <w:tcBorders>
              <w:top w:val="nil"/>
              <w:left w:val="nil"/>
              <w:bottom w:val="nil"/>
            </w:tcBorders>
          </w:tcPr>
          <w:p>
            <w:pPr>
              <w:pStyle w:val="nTable"/>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Borders>
              <w:top w:val="nil"/>
              <w:bottom w:val="nil"/>
              <w:right w:val="nil"/>
            </w:tcBorders>
          </w:tcPr>
          <w:p>
            <w:pPr>
              <w:pStyle w:val="nTable"/>
              <w:rPr>
                <w:i/>
              </w:rPr>
            </w:pPr>
            <w:r>
              <w:rPr>
                <w:i/>
              </w:rPr>
              <w:t>Liquor Control (Noonkanbah Restricted Area) Amendment Regulations (No. 2) 2011</w:t>
            </w:r>
          </w:p>
        </w:tc>
        <w:tc>
          <w:tcPr>
            <w:tcW w:w="1276" w:type="dxa"/>
            <w:tcBorders>
              <w:top w:val="nil"/>
              <w:left w:val="nil"/>
              <w:bottom w:val="nil"/>
              <w:right w:val="nil"/>
            </w:tcBorders>
          </w:tcPr>
          <w:p>
            <w:pPr>
              <w:pStyle w:val="nTable"/>
            </w:pPr>
            <w:r>
              <w:t>8 Nov 2011 p. 4675</w:t>
            </w:r>
            <w:r>
              <w:noBreakHyphen/>
              <w:t>6</w:t>
            </w:r>
          </w:p>
        </w:tc>
        <w:tc>
          <w:tcPr>
            <w:tcW w:w="2693" w:type="dxa"/>
            <w:tcBorders>
              <w:top w:val="nil"/>
              <w:left w:val="nil"/>
              <w:bottom w:val="nil"/>
            </w:tcBorders>
          </w:tcPr>
          <w:p>
            <w:pPr>
              <w:pStyle w:val="nTable"/>
              <w:rPr>
                <w:snapToGrid w:val="0"/>
                <w:spacing w:val="-2"/>
              </w:rPr>
            </w:pPr>
            <w:r>
              <w:rPr>
                <w:snapToGrid w:val="0"/>
                <w:spacing w:val="-2"/>
              </w:rPr>
              <w:t>r. 1 and 2: 8 Nov 2011 (see r. 2(a));</w:t>
            </w:r>
            <w:r>
              <w:rPr>
                <w:snapToGrid w:val="0"/>
                <w:spacing w:val="-2"/>
              </w:rPr>
              <w:br/>
              <w:t>Regulations other than r. 1 and 2: 9 Nov 2011 (see r. 2(b))</w:t>
            </w:r>
          </w:p>
        </w:tc>
      </w:tr>
      <w:tr>
        <w:tc>
          <w:tcPr>
            <w:tcW w:w="3118" w:type="dxa"/>
            <w:tcBorders>
              <w:top w:val="nil"/>
              <w:bottom w:val="nil"/>
              <w:right w:val="nil"/>
            </w:tcBorders>
          </w:tcPr>
          <w:p>
            <w:pPr>
              <w:pStyle w:val="nTable"/>
              <w:rPr>
                <w:i/>
              </w:rPr>
            </w:pPr>
            <w:r>
              <w:rPr>
                <w:i/>
              </w:rPr>
              <w:t>Liquor Control (Noonkanbah Restricted Area) Amendment Regulations 2014</w:t>
            </w:r>
          </w:p>
        </w:tc>
        <w:tc>
          <w:tcPr>
            <w:tcW w:w="1276" w:type="dxa"/>
            <w:tcBorders>
              <w:top w:val="nil"/>
              <w:left w:val="nil"/>
              <w:bottom w:val="nil"/>
              <w:right w:val="nil"/>
            </w:tcBorders>
          </w:tcPr>
          <w:p>
            <w:pPr>
              <w:pStyle w:val="nTable"/>
            </w:pPr>
            <w:r>
              <w:t>6 Jun 2014 p. 1791</w:t>
            </w:r>
            <w:r>
              <w:noBreakHyphen/>
              <w:t>2</w:t>
            </w:r>
          </w:p>
        </w:tc>
        <w:tc>
          <w:tcPr>
            <w:tcW w:w="2693" w:type="dxa"/>
            <w:tcBorders>
              <w:top w:val="nil"/>
              <w:left w:val="nil"/>
              <w:bottom w:val="nil"/>
            </w:tcBorders>
          </w:tcPr>
          <w:p>
            <w:pPr>
              <w:pStyle w:val="nTable"/>
              <w:rPr>
                <w:snapToGrid w:val="0"/>
                <w:spacing w:val="-2"/>
              </w:rPr>
            </w:pPr>
            <w:r>
              <w:rPr>
                <w:rFonts w:ascii="Times" w:hAnsi="Times"/>
                <w:bCs/>
                <w:snapToGrid w:val="0"/>
                <w:spacing w:val="-2"/>
              </w:rPr>
              <w:t>r. 1 and 2: 6 Jun 2014 (see r. 2(a));</w:t>
            </w:r>
            <w:r>
              <w:rPr>
                <w:rFonts w:ascii="Times" w:hAnsi="Times"/>
                <w:bCs/>
                <w:snapToGrid w:val="0"/>
                <w:spacing w:val="-2"/>
              </w:rPr>
              <w:br/>
              <w:t>Regulations other than r. 1 and 2: 7 Jun 2014 (see r. 2(b))</w:t>
            </w:r>
          </w:p>
        </w:tc>
      </w:tr>
      <w:tr>
        <w:tc>
          <w:tcPr>
            <w:tcW w:w="3118" w:type="dxa"/>
            <w:tcBorders>
              <w:top w:val="nil"/>
              <w:bottom w:val="single" w:sz="4" w:space="0" w:color="auto"/>
              <w:right w:val="nil"/>
            </w:tcBorders>
          </w:tcPr>
          <w:p>
            <w:pPr>
              <w:pStyle w:val="nTable"/>
              <w:rPr>
                <w:i/>
              </w:rPr>
            </w:pPr>
            <w:r>
              <w:rPr>
                <w:i/>
              </w:rPr>
              <w:t>Liquor Control (Noonkanbah Restricted Area) Amendment Regulations 2017</w:t>
            </w:r>
          </w:p>
        </w:tc>
        <w:tc>
          <w:tcPr>
            <w:tcW w:w="1276" w:type="dxa"/>
            <w:tcBorders>
              <w:top w:val="nil"/>
              <w:left w:val="nil"/>
              <w:bottom w:val="single" w:sz="4" w:space="0" w:color="auto"/>
              <w:right w:val="nil"/>
            </w:tcBorders>
          </w:tcPr>
          <w:p>
            <w:pPr>
              <w:pStyle w:val="nTable"/>
            </w:pPr>
            <w:r>
              <w:t>21 Jul 2017 p. 4029</w:t>
            </w:r>
          </w:p>
        </w:tc>
        <w:tc>
          <w:tcPr>
            <w:tcW w:w="2693" w:type="dxa"/>
            <w:tcBorders>
              <w:top w:val="nil"/>
              <w:left w:val="nil"/>
              <w:bottom w:val="single" w:sz="4" w:space="0" w:color="auto"/>
            </w:tcBorders>
          </w:tcPr>
          <w:p>
            <w:pPr>
              <w:pStyle w:val="nTable"/>
              <w:rPr>
                <w:rFonts w:ascii="Times" w:hAnsi="Times"/>
                <w:bCs/>
                <w:snapToGrid w:val="0"/>
                <w:spacing w:val="-2"/>
              </w:rPr>
            </w:pPr>
            <w:r>
              <w:rPr>
                <w:rFonts w:ascii="Times" w:hAnsi="Times"/>
                <w:bCs/>
                <w:snapToGrid w:val="0"/>
                <w:spacing w:val="-2"/>
              </w:rPr>
              <w:t>r. 1 and 2: 21 Jul 2017 (see r. 2(a));</w:t>
            </w:r>
            <w:r>
              <w:rPr>
                <w:rFonts w:ascii="Times" w:hAnsi="Times"/>
                <w:bCs/>
                <w:snapToGrid w:val="0"/>
                <w:spacing w:val="-2"/>
              </w:rPr>
              <w:br/>
              <w:t>Regulations other than r. 1 and 2: 22 Jul 2017 (see r. 2(b))</w:t>
            </w:r>
          </w:p>
        </w:tc>
      </w:tr>
    </w:tbl>
    <w:p>
      <w:pPr>
        <w:pStyle w:val="nSubsection"/>
      </w:pPr>
      <w:r>
        <w:rPr>
          <w:vertAlign w:val="superscript"/>
        </w:rPr>
        <w:t>2</w:t>
      </w:r>
      <w:r>
        <w:tab/>
        <w:t>These regulations expire 25 Jul 2020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9" w:name="_Toc421007471"/>
      <w:bookmarkStart w:id="30" w:name="_Toc488316728"/>
      <w:r>
        <w:rPr>
          <w:sz w:val="28"/>
        </w:rPr>
        <w:t>Defined terms</w:t>
      </w:r>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Noonkanbah Aboriginal Community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3701"/>
    <w:docVar w:name="WAFER_20140605122941" w:val="RemoveTocBookmarks,RemoveUnusedBookmarks,RemoveLanguageTags,UsedStyles,ResetPageSize,UpdateArrangement"/>
    <w:docVar w:name="WAFER_20140605122941_GUID" w:val="420c2ce8-1c12-4ee0-8c4a-c3464139297c"/>
    <w:docVar w:name="WAFER_20150602105859" w:val="ResetPageSize,UpdateArrangement,UpdateNTable"/>
    <w:docVar w:name="WAFER_20150602105859_GUID" w:val="d6bdd96a-e6cd-4978-8a1e-98358cedfeb3"/>
    <w:docVar w:name="WAFER_20151126102845" w:val="UpdateStyles"/>
    <w:docVar w:name="WAFER_20151126102845_GUID" w:val="9208bff1-396c-4afa-8d0c-9729a74f619c"/>
    <w:docVar w:name="WAFER_20151126103701" w:val="UsedStyles"/>
    <w:docVar w:name="WAFER_20151126103701_GUID" w:val="d9af5dfa-e979-45ff-b318-b32cd1988c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330873">
      <w:bodyDiv w:val="1"/>
      <w:marLeft w:val="0"/>
      <w:marRight w:val="0"/>
      <w:marTop w:val="0"/>
      <w:marBottom w:val="0"/>
      <w:divBdr>
        <w:top w:val="none" w:sz="0" w:space="0" w:color="auto"/>
        <w:left w:val="none" w:sz="0" w:space="0" w:color="auto"/>
        <w:bottom w:val="none" w:sz="0" w:space="0" w:color="auto"/>
        <w:right w:val="none" w:sz="0" w:space="0" w:color="auto"/>
      </w:divBdr>
    </w:div>
    <w:div w:id="208059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973</Words>
  <Characters>4758</Characters>
  <Application>Microsoft Office Word</Application>
  <DocSecurity>0</DocSecurity>
  <Lines>183</Lines>
  <Paragraphs>119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(Noonkanbah Restricted Area) Regulations 2009 - 00-e0-01</dc:title>
  <dc:subject/>
  <dc:creator/>
  <cp:keywords/>
  <dc:description/>
  <cp:lastModifiedBy>svcMRProcess</cp:lastModifiedBy>
  <cp:revision>4</cp:revision>
  <cp:lastPrinted>2009-03-16T03:07:00Z</cp:lastPrinted>
  <dcterms:created xsi:type="dcterms:W3CDTF">2019-01-17T08:24:00Z</dcterms:created>
  <dcterms:modified xsi:type="dcterms:W3CDTF">2019-01-17T08:24:00Z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2950-1</vt:lpwstr>
  </property>
  <property fmtid="{D5CDD505-2E9C-101B-9397-08002B2CF9AE}" pid="3" name="OwlsUID">
    <vt:i4>40293</vt:i4>
  </property>
  <property fmtid="{D5CDD505-2E9C-101B-9397-08002B2CF9AE}" pid="4" name="DocumentType">
    <vt:lpwstr>Reg</vt:lpwstr>
  </property>
  <property fmtid="{D5CDD505-2E9C-101B-9397-08002B2CF9AE}" pid="5" name="CommencementDate">
    <vt:lpwstr>20170722</vt:lpwstr>
  </property>
  <property fmtid="{D5CDD505-2E9C-101B-9397-08002B2CF9AE}" pid="6" name="AsAtDate">
    <vt:lpwstr>22 Jul 2017</vt:lpwstr>
  </property>
  <property fmtid="{D5CDD505-2E9C-101B-9397-08002B2CF9AE}" pid="7" name="Suffix">
    <vt:lpwstr>00-e0-01</vt:lpwstr>
  </property>
</Properties>
</file>