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Wagering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Wagering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_Toc490126920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_Toc490126921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_Toc490126922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_Toc490126923 \h </w:instrText>
      </w:r>
      <w:r>
        <w:fldChar w:fldCharType="separate"/>
      </w:r>
      <w:r>
        <w:t>6</w:t>
      </w:r>
      <w:r>
        <w:fldChar w:fldCharType="end"/>
      </w:r>
    </w:p>
    <w:p>
      <w:pPr>
        <w:pStyle w:val="TOC8"/>
        <w:rPr>
          <w:rFonts w:asciiTheme="minorHAnsi" w:eastAsiaTheme="minorEastAsia" w:hAnsiTheme="minorHAnsi" w:cstheme="minorBidi"/>
          <w:szCs w:val="22"/>
        </w:rPr>
      </w:pPr>
      <w:r>
        <w:t>5.</w:t>
      </w:r>
      <w:r>
        <w:tab/>
        <w:t>Matters not covered by these rules</w:t>
      </w:r>
      <w:r>
        <w:tab/>
      </w:r>
      <w:r>
        <w:fldChar w:fldCharType="begin"/>
      </w:r>
      <w:r>
        <w:instrText xml:space="preserve"> PAGEREF _Toc490126924 \h </w:instrText>
      </w:r>
      <w:r>
        <w:fldChar w:fldCharType="separate"/>
      </w:r>
      <w:r>
        <w:t>7</w:t>
      </w:r>
      <w:r>
        <w:fldChar w:fldCharType="end"/>
      </w:r>
    </w:p>
    <w:p>
      <w:pPr>
        <w:pStyle w:val="TOC8"/>
        <w:rPr>
          <w:rFonts w:asciiTheme="minorHAnsi" w:eastAsiaTheme="minorEastAsia" w:hAnsiTheme="minorHAnsi" w:cstheme="minorBidi"/>
          <w:szCs w:val="22"/>
        </w:rPr>
      </w:pPr>
      <w:r>
        <w:t>6.</w:t>
      </w:r>
      <w:r>
        <w:tab/>
        <w:t>Copy of these rules to be available</w:t>
      </w:r>
      <w:r>
        <w:tab/>
      </w:r>
      <w:r>
        <w:fldChar w:fldCharType="begin"/>
      </w:r>
      <w:r>
        <w:instrText xml:space="preserve"> PAGEREF _Toc490126925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Conduct of totalisator wagering generally</w:t>
      </w:r>
    </w:p>
    <w:p>
      <w:pPr>
        <w:pStyle w:val="TOC8"/>
        <w:rPr>
          <w:rFonts w:asciiTheme="minorHAnsi" w:eastAsiaTheme="minorEastAsia" w:hAnsiTheme="minorHAnsi" w:cstheme="minorBidi"/>
          <w:szCs w:val="22"/>
        </w:rPr>
      </w:pPr>
      <w:r>
        <w:t>7.</w:t>
      </w:r>
      <w:r>
        <w:tab/>
        <w:t>Supervision of wagering by on</w:t>
      </w:r>
      <w:r>
        <w:noBreakHyphen/>
        <w:t>course totalisators</w:t>
      </w:r>
      <w:r>
        <w:tab/>
      </w:r>
      <w:r>
        <w:fldChar w:fldCharType="begin"/>
      </w:r>
      <w:r>
        <w:instrText xml:space="preserve"> PAGEREF _Toc490126927 \h </w:instrText>
      </w:r>
      <w:r>
        <w:fldChar w:fldCharType="separate"/>
      </w:r>
      <w:r>
        <w:t>9</w:t>
      </w:r>
      <w:r>
        <w:fldChar w:fldCharType="end"/>
      </w:r>
    </w:p>
    <w:p>
      <w:pPr>
        <w:pStyle w:val="TOC8"/>
        <w:rPr>
          <w:rFonts w:asciiTheme="minorHAnsi" w:eastAsiaTheme="minorEastAsia" w:hAnsiTheme="minorHAnsi" w:cstheme="minorBidi"/>
          <w:szCs w:val="22"/>
        </w:rPr>
      </w:pPr>
      <w:r>
        <w:t>8.</w:t>
      </w:r>
      <w:r>
        <w:tab/>
        <w:t>Racing club to appoint on</w:t>
      </w:r>
      <w:r>
        <w:noBreakHyphen/>
        <w:t>course totalisator manager</w:t>
      </w:r>
      <w:r>
        <w:tab/>
      </w:r>
      <w:r>
        <w:fldChar w:fldCharType="begin"/>
      </w:r>
      <w:r>
        <w:instrText xml:space="preserve"> PAGEREF _Toc490126928 \h </w:instrText>
      </w:r>
      <w:r>
        <w:fldChar w:fldCharType="separate"/>
      </w:r>
      <w:r>
        <w:t>9</w:t>
      </w:r>
      <w:r>
        <w:fldChar w:fldCharType="end"/>
      </w:r>
    </w:p>
    <w:p>
      <w:pPr>
        <w:pStyle w:val="TOC8"/>
        <w:rPr>
          <w:rFonts w:asciiTheme="minorHAnsi" w:eastAsiaTheme="minorEastAsia" w:hAnsiTheme="minorHAnsi" w:cstheme="minorBidi"/>
          <w:szCs w:val="22"/>
        </w:rPr>
      </w:pPr>
      <w:r>
        <w:t>9.</w:t>
      </w:r>
      <w:r>
        <w:tab/>
        <w:t>Duty to report non</w:t>
      </w:r>
      <w:r>
        <w:noBreakHyphen/>
        <w:t>compliance</w:t>
      </w:r>
      <w:r>
        <w:tab/>
      </w:r>
      <w:r>
        <w:fldChar w:fldCharType="begin"/>
      </w:r>
      <w:r>
        <w:instrText xml:space="preserve"> PAGEREF _Toc490126929 \h </w:instrText>
      </w:r>
      <w:r>
        <w:fldChar w:fldCharType="separate"/>
      </w:r>
      <w:r>
        <w:t>9</w:t>
      </w:r>
      <w:r>
        <w:fldChar w:fldCharType="end"/>
      </w:r>
    </w:p>
    <w:p>
      <w:pPr>
        <w:pStyle w:val="TOC8"/>
        <w:rPr>
          <w:rFonts w:asciiTheme="minorHAnsi" w:eastAsiaTheme="minorEastAsia" w:hAnsiTheme="minorHAnsi" w:cstheme="minorBidi"/>
          <w:szCs w:val="22"/>
        </w:rPr>
      </w:pPr>
      <w:r>
        <w:t>10.</w:t>
      </w:r>
      <w:r>
        <w:tab/>
        <w:t>Changes affecting wagering to be advised</w:t>
      </w:r>
      <w:r>
        <w:tab/>
      </w:r>
      <w:r>
        <w:fldChar w:fldCharType="begin"/>
      </w:r>
      <w:r>
        <w:instrText xml:space="preserve"> PAGEREF _Toc490126930 \h </w:instrText>
      </w:r>
      <w:r>
        <w:fldChar w:fldCharType="separate"/>
      </w:r>
      <w:r>
        <w:t>9</w:t>
      </w:r>
      <w:r>
        <w:fldChar w:fldCharType="end"/>
      </w:r>
    </w:p>
    <w:p>
      <w:pPr>
        <w:pStyle w:val="TOC8"/>
        <w:rPr>
          <w:rFonts w:asciiTheme="minorHAnsi" w:eastAsiaTheme="minorEastAsia" w:hAnsiTheme="minorHAnsi" w:cstheme="minorBidi"/>
          <w:szCs w:val="22"/>
        </w:rPr>
      </w:pPr>
      <w:r>
        <w:t>11.</w:t>
      </w:r>
      <w:r>
        <w:tab/>
        <w:t>Numbering of runner on totalisator</w:t>
      </w:r>
      <w:r>
        <w:tab/>
      </w:r>
      <w:r>
        <w:fldChar w:fldCharType="begin"/>
      </w:r>
      <w:r>
        <w:instrText xml:space="preserve"> PAGEREF _Toc490126931 \h </w:instrText>
      </w:r>
      <w:r>
        <w:fldChar w:fldCharType="separate"/>
      </w:r>
      <w:r>
        <w:t>10</w:t>
      </w:r>
      <w:r>
        <w:fldChar w:fldCharType="end"/>
      </w:r>
    </w:p>
    <w:p>
      <w:pPr>
        <w:pStyle w:val="TOC8"/>
        <w:rPr>
          <w:rFonts w:asciiTheme="minorHAnsi" w:eastAsiaTheme="minorEastAsia" w:hAnsiTheme="minorHAnsi" w:cstheme="minorBidi"/>
          <w:szCs w:val="22"/>
        </w:rPr>
      </w:pPr>
      <w:r>
        <w:t>12.</w:t>
      </w:r>
      <w:r>
        <w:tab/>
        <w:t>Display of anticipated dividends</w:t>
      </w:r>
      <w:r>
        <w:tab/>
      </w:r>
      <w:r>
        <w:fldChar w:fldCharType="begin"/>
      </w:r>
      <w:r>
        <w:instrText xml:space="preserve"> PAGEREF _Toc490126932 \h </w:instrText>
      </w:r>
      <w:r>
        <w:fldChar w:fldCharType="separate"/>
      </w:r>
      <w:r>
        <w:t>10</w:t>
      </w:r>
      <w:r>
        <w:fldChar w:fldCharType="end"/>
      </w:r>
    </w:p>
    <w:p>
      <w:pPr>
        <w:pStyle w:val="TOC8"/>
        <w:rPr>
          <w:rFonts w:asciiTheme="minorHAnsi" w:eastAsiaTheme="minorEastAsia" w:hAnsiTheme="minorHAnsi" w:cstheme="minorBidi"/>
          <w:szCs w:val="22"/>
        </w:rPr>
      </w:pPr>
      <w:r>
        <w:t>13.</w:t>
      </w:r>
      <w:r>
        <w:tab/>
        <w:t>When dividends become payable</w:t>
      </w:r>
      <w:r>
        <w:tab/>
      </w:r>
      <w:r>
        <w:fldChar w:fldCharType="begin"/>
      </w:r>
      <w:r>
        <w:instrText xml:space="preserve"> PAGEREF _Toc490126933 \h </w:instrText>
      </w:r>
      <w:r>
        <w:fldChar w:fldCharType="separate"/>
      </w:r>
      <w:r>
        <w:t>10</w:t>
      </w:r>
      <w:r>
        <w:fldChar w:fldCharType="end"/>
      </w:r>
    </w:p>
    <w:p>
      <w:pPr>
        <w:pStyle w:val="TOC8"/>
        <w:rPr>
          <w:rFonts w:asciiTheme="minorHAnsi" w:eastAsiaTheme="minorEastAsia" w:hAnsiTheme="minorHAnsi" w:cstheme="minorBidi"/>
          <w:szCs w:val="22"/>
        </w:rPr>
      </w:pPr>
      <w:r>
        <w:t>14.</w:t>
      </w:r>
      <w:r>
        <w:tab/>
        <w:t>Exhibiting of dividends</w:t>
      </w:r>
      <w:r>
        <w:tab/>
      </w:r>
      <w:r>
        <w:fldChar w:fldCharType="begin"/>
      </w:r>
      <w:r>
        <w:instrText xml:space="preserve"> PAGEREF _Toc490126934 \h </w:instrText>
      </w:r>
      <w:r>
        <w:fldChar w:fldCharType="separate"/>
      </w:r>
      <w:r>
        <w:t>11</w:t>
      </w:r>
      <w:r>
        <w:fldChar w:fldCharType="end"/>
      </w:r>
    </w:p>
    <w:p>
      <w:pPr>
        <w:pStyle w:val="TOC8"/>
        <w:rPr>
          <w:rFonts w:asciiTheme="minorHAnsi" w:eastAsiaTheme="minorEastAsia" w:hAnsiTheme="minorHAnsi" w:cstheme="minorBidi"/>
          <w:szCs w:val="22"/>
        </w:rPr>
      </w:pPr>
      <w:r>
        <w:t>15.</w:t>
      </w:r>
      <w:r>
        <w:tab/>
        <w:t>Wagers that contravene rules of racing not permitted</w:t>
      </w:r>
      <w:r>
        <w:tab/>
      </w:r>
      <w:r>
        <w:fldChar w:fldCharType="begin"/>
      </w:r>
      <w:r>
        <w:instrText xml:space="preserve"> PAGEREF _Toc490126935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Rules of totalisator wagering</w:t>
      </w:r>
    </w:p>
    <w:p>
      <w:pPr>
        <w:pStyle w:val="TOC8"/>
        <w:rPr>
          <w:rFonts w:asciiTheme="minorHAnsi" w:eastAsiaTheme="minorEastAsia" w:hAnsiTheme="minorHAnsi" w:cstheme="minorBidi"/>
          <w:szCs w:val="22"/>
        </w:rPr>
      </w:pPr>
      <w:r>
        <w:t>16.</w:t>
      </w:r>
      <w:r>
        <w:tab/>
        <w:t>Totalisator pools  — win and place wagers</w:t>
      </w:r>
      <w:r>
        <w:tab/>
      </w:r>
      <w:r>
        <w:fldChar w:fldCharType="begin"/>
      </w:r>
      <w:r>
        <w:instrText xml:space="preserve"> PAGEREF _Toc490126937 \h </w:instrText>
      </w:r>
      <w:r>
        <w:fldChar w:fldCharType="separate"/>
      </w:r>
      <w:r>
        <w:t>12</w:t>
      </w:r>
      <w:r>
        <w:fldChar w:fldCharType="end"/>
      </w:r>
    </w:p>
    <w:p>
      <w:pPr>
        <w:pStyle w:val="TOC8"/>
        <w:rPr>
          <w:rFonts w:asciiTheme="minorHAnsi" w:eastAsiaTheme="minorEastAsia" w:hAnsiTheme="minorHAnsi" w:cstheme="minorBidi"/>
          <w:szCs w:val="22"/>
        </w:rPr>
      </w:pPr>
      <w:r>
        <w:t>17.</w:t>
      </w:r>
      <w:r>
        <w:tab/>
        <w:t>Totalisator pools – novelty wagers on races</w:t>
      </w:r>
      <w:r>
        <w:tab/>
      </w:r>
      <w:r>
        <w:fldChar w:fldCharType="begin"/>
      </w:r>
      <w:r>
        <w:instrText xml:space="preserve"> PAGEREF _Toc490126938 \h </w:instrText>
      </w:r>
      <w:r>
        <w:fldChar w:fldCharType="separate"/>
      </w:r>
      <w:r>
        <w:t>16</w:t>
      </w:r>
      <w:r>
        <w:fldChar w:fldCharType="end"/>
      </w:r>
    </w:p>
    <w:p>
      <w:pPr>
        <w:pStyle w:val="TOC8"/>
        <w:rPr>
          <w:rFonts w:asciiTheme="minorHAnsi" w:eastAsiaTheme="minorEastAsia" w:hAnsiTheme="minorHAnsi" w:cstheme="minorBidi"/>
          <w:szCs w:val="22"/>
        </w:rPr>
      </w:pPr>
      <w:r>
        <w:t>18.</w:t>
      </w:r>
      <w:r>
        <w:tab/>
        <w:t>Dividends on novelty wagers</w:t>
      </w:r>
      <w:r>
        <w:tab/>
      </w:r>
      <w:r>
        <w:fldChar w:fldCharType="begin"/>
      </w:r>
      <w:r>
        <w:instrText xml:space="preserve"> PAGEREF _Toc490126939 \h </w:instrText>
      </w:r>
      <w:r>
        <w:fldChar w:fldCharType="separate"/>
      </w:r>
      <w:r>
        <w:t>17</w:t>
      </w:r>
      <w:r>
        <w:fldChar w:fldCharType="end"/>
      </w:r>
    </w:p>
    <w:p>
      <w:pPr>
        <w:pStyle w:val="TOC8"/>
        <w:rPr>
          <w:rFonts w:asciiTheme="minorHAnsi" w:eastAsiaTheme="minorEastAsia" w:hAnsiTheme="minorHAnsi" w:cstheme="minorBidi"/>
          <w:szCs w:val="22"/>
        </w:rPr>
      </w:pPr>
      <w:r>
        <w:t>18A.</w:t>
      </w:r>
      <w:r>
        <w:tab/>
        <w:t>Dividends on novelty wagers if less than one unit invested on correct selections</w:t>
      </w:r>
      <w:r>
        <w:tab/>
      </w:r>
      <w:r>
        <w:fldChar w:fldCharType="begin"/>
      </w:r>
      <w:r>
        <w:instrText xml:space="preserve"> PAGEREF _Toc490126940 \h </w:instrText>
      </w:r>
      <w:r>
        <w:fldChar w:fldCharType="separate"/>
      </w:r>
      <w:r>
        <w:t>20</w:t>
      </w:r>
      <w:r>
        <w:fldChar w:fldCharType="end"/>
      </w:r>
    </w:p>
    <w:p>
      <w:pPr>
        <w:pStyle w:val="TOC8"/>
        <w:rPr>
          <w:rFonts w:asciiTheme="minorHAnsi" w:eastAsiaTheme="minorEastAsia" w:hAnsiTheme="minorHAnsi" w:cstheme="minorBidi"/>
          <w:szCs w:val="22"/>
        </w:rPr>
      </w:pPr>
      <w:r>
        <w:t>19.</w:t>
      </w:r>
      <w:r>
        <w:tab/>
        <w:t>Double event wagers on races</w:t>
      </w:r>
      <w:r>
        <w:tab/>
      </w:r>
      <w:r>
        <w:fldChar w:fldCharType="begin"/>
      </w:r>
      <w:r>
        <w:instrText xml:space="preserve"> PAGEREF _Toc490126941 \h </w:instrText>
      </w:r>
      <w:r>
        <w:fldChar w:fldCharType="separate"/>
      </w:r>
      <w:r>
        <w:t>21</w:t>
      </w:r>
      <w:r>
        <w:fldChar w:fldCharType="end"/>
      </w:r>
    </w:p>
    <w:p>
      <w:pPr>
        <w:pStyle w:val="TOC8"/>
        <w:rPr>
          <w:rFonts w:asciiTheme="minorHAnsi" w:eastAsiaTheme="minorEastAsia" w:hAnsiTheme="minorHAnsi" w:cstheme="minorBidi"/>
          <w:szCs w:val="22"/>
        </w:rPr>
      </w:pPr>
      <w:r>
        <w:t>20.</w:t>
      </w:r>
      <w:r>
        <w:tab/>
        <w:t>Favourite numbers wagers</w:t>
      </w:r>
      <w:r>
        <w:tab/>
      </w:r>
      <w:r>
        <w:fldChar w:fldCharType="begin"/>
      </w:r>
      <w:r>
        <w:instrText xml:space="preserve"> PAGEREF _Toc490126942 \h </w:instrText>
      </w:r>
      <w:r>
        <w:fldChar w:fldCharType="separate"/>
      </w:r>
      <w:r>
        <w:t>22</w:t>
      </w:r>
      <w:r>
        <w:fldChar w:fldCharType="end"/>
      </w:r>
    </w:p>
    <w:p>
      <w:pPr>
        <w:pStyle w:val="TOC8"/>
        <w:rPr>
          <w:rFonts w:asciiTheme="minorHAnsi" w:eastAsiaTheme="minorEastAsia" w:hAnsiTheme="minorHAnsi" w:cstheme="minorBidi"/>
          <w:szCs w:val="22"/>
        </w:rPr>
      </w:pPr>
      <w:r>
        <w:t>21.</w:t>
      </w:r>
      <w:r>
        <w:tab/>
        <w:t>Determination of totalisator favourite</w:t>
      </w:r>
      <w:r>
        <w:tab/>
      </w:r>
      <w:r>
        <w:fldChar w:fldCharType="begin"/>
      </w:r>
      <w:r>
        <w:instrText xml:space="preserve"> PAGEREF _Toc490126943 \h </w:instrText>
      </w:r>
      <w:r>
        <w:fldChar w:fldCharType="separate"/>
      </w:r>
      <w:r>
        <w:t>23</w:t>
      </w:r>
      <w:r>
        <w:fldChar w:fldCharType="end"/>
      </w:r>
    </w:p>
    <w:p>
      <w:pPr>
        <w:pStyle w:val="TOC8"/>
        <w:rPr>
          <w:rFonts w:asciiTheme="minorHAnsi" w:eastAsiaTheme="minorEastAsia" w:hAnsiTheme="minorHAnsi" w:cstheme="minorBidi"/>
          <w:szCs w:val="22"/>
        </w:rPr>
      </w:pPr>
      <w:r>
        <w:t>22.</w:t>
      </w:r>
      <w:r>
        <w:tab/>
        <w:t>Quaddie wagers</w:t>
      </w:r>
      <w:r>
        <w:tab/>
      </w:r>
      <w:r>
        <w:fldChar w:fldCharType="begin"/>
      </w:r>
      <w:r>
        <w:instrText xml:space="preserve"> PAGEREF _Toc490126944 \h </w:instrText>
      </w:r>
      <w:r>
        <w:fldChar w:fldCharType="separate"/>
      </w:r>
      <w:r>
        <w:t>24</w:t>
      </w:r>
      <w:r>
        <w:fldChar w:fldCharType="end"/>
      </w:r>
    </w:p>
    <w:p>
      <w:pPr>
        <w:pStyle w:val="TOC8"/>
        <w:rPr>
          <w:rFonts w:asciiTheme="minorHAnsi" w:eastAsiaTheme="minorEastAsia" w:hAnsiTheme="minorHAnsi" w:cstheme="minorBidi"/>
          <w:szCs w:val="22"/>
        </w:rPr>
      </w:pPr>
      <w:r>
        <w:t>22A.</w:t>
      </w:r>
      <w:r>
        <w:tab/>
        <w:t>Flexi Bets</w:t>
      </w:r>
      <w:r>
        <w:tab/>
      </w:r>
      <w:r>
        <w:fldChar w:fldCharType="begin"/>
      </w:r>
      <w:r>
        <w:instrText xml:space="preserve"> PAGEREF _Toc490126945 \h </w:instrText>
      </w:r>
      <w:r>
        <w:fldChar w:fldCharType="separate"/>
      </w:r>
      <w:r>
        <w:t>27</w:t>
      </w:r>
      <w:r>
        <w:fldChar w:fldCharType="end"/>
      </w:r>
    </w:p>
    <w:p>
      <w:pPr>
        <w:pStyle w:val="TOC8"/>
        <w:rPr>
          <w:rFonts w:asciiTheme="minorHAnsi" w:eastAsiaTheme="minorEastAsia" w:hAnsiTheme="minorHAnsi" w:cstheme="minorBidi"/>
          <w:szCs w:val="22"/>
        </w:rPr>
      </w:pPr>
      <w:r>
        <w:t>23.</w:t>
      </w:r>
      <w:r>
        <w:tab/>
        <w:t>Totalisator pools – sporting events</w:t>
      </w:r>
      <w:r>
        <w:tab/>
      </w:r>
      <w:r>
        <w:fldChar w:fldCharType="begin"/>
      </w:r>
      <w:r>
        <w:instrText xml:space="preserve"> PAGEREF _Toc490126946 \h </w:instrText>
      </w:r>
      <w:r>
        <w:fldChar w:fldCharType="separate"/>
      </w:r>
      <w:r>
        <w:t>28</w:t>
      </w:r>
      <w:r>
        <w:fldChar w:fldCharType="end"/>
      </w:r>
    </w:p>
    <w:p>
      <w:pPr>
        <w:pStyle w:val="TOC8"/>
        <w:rPr>
          <w:rFonts w:asciiTheme="minorHAnsi" w:eastAsiaTheme="minorEastAsia" w:hAnsiTheme="minorHAnsi" w:cstheme="minorBidi"/>
          <w:szCs w:val="22"/>
        </w:rPr>
      </w:pPr>
      <w:r>
        <w:t>24.</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r>
        <w:tab/>
      </w:r>
      <w:r>
        <w:fldChar w:fldCharType="begin"/>
      </w:r>
      <w:r>
        <w:instrText xml:space="preserve"> PAGEREF _Toc490126947 \h </w:instrText>
      </w:r>
      <w:r>
        <w:fldChar w:fldCharType="separate"/>
      </w:r>
      <w:r>
        <w:t>29</w:t>
      </w:r>
      <w:r>
        <w:fldChar w:fldCharType="end"/>
      </w:r>
    </w:p>
    <w:p>
      <w:pPr>
        <w:pStyle w:val="TOC8"/>
        <w:rPr>
          <w:rFonts w:asciiTheme="minorHAnsi" w:eastAsiaTheme="minorEastAsia" w:hAnsiTheme="minorHAnsi" w:cstheme="minorBidi"/>
          <w:szCs w:val="22"/>
        </w:rPr>
      </w:pPr>
      <w:r>
        <w:t>25.</w:t>
      </w:r>
      <w:r>
        <w:tab/>
        <w:t>Sports tipping wagers</w:t>
      </w:r>
      <w:r>
        <w:tab/>
      </w:r>
      <w:r>
        <w:fldChar w:fldCharType="begin"/>
      </w:r>
      <w:r>
        <w:instrText xml:space="preserve"> PAGEREF _Toc490126948 \h </w:instrText>
      </w:r>
      <w:r>
        <w:fldChar w:fldCharType="separate"/>
      </w:r>
      <w:r>
        <w:t>30</w:t>
      </w:r>
      <w:r>
        <w:fldChar w:fldCharType="end"/>
      </w:r>
    </w:p>
    <w:p>
      <w:pPr>
        <w:pStyle w:val="TOC8"/>
        <w:rPr>
          <w:rFonts w:asciiTheme="minorHAnsi" w:eastAsiaTheme="minorEastAsia" w:hAnsiTheme="minorHAnsi" w:cstheme="minorBidi"/>
          <w:szCs w:val="22"/>
        </w:rPr>
      </w:pPr>
      <w:r>
        <w:t>26.</w:t>
      </w:r>
      <w:r>
        <w:tab/>
        <w:t>Wagers on Australian Rules Football</w:t>
      </w:r>
      <w:r>
        <w:tab/>
      </w:r>
      <w:r>
        <w:fldChar w:fldCharType="begin"/>
      </w:r>
      <w:r>
        <w:instrText xml:space="preserve"> PAGEREF _Toc490126949 \h </w:instrText>
      </w:r>
      <w:r>
        <w:fldChar w:fldCharType="separate"/>
      </w:r>
      <w:r>
        <w:t>31</w:t>
      </w:r>
      <w:r>
        <w:fldChar w:fldCharType="end"/>
      </w:r>
    </w:p>
    <w:p>
      <w:pPr>
        <w:pStyle w:val="TOC8"/>
        <w:rPr>
          <w:rFonts w:asciiTheme="minorHAnsi" w:eastAsiaTheme="minorEastAsia" w:hAnsiTheme="minorHAnsi" w:cstheme="minorBidi"/>
          <w:szCs w:val="22"/>
        </w:rPr>
      </w:pPr>
      <w:r>
        <w:t>27.</w:t>
      </w:r>
      <w:r>
        <w:tab/>
        <w:t>Footo wagers</w:t>
      </w:r>
      <w:r>
        <w:tab/>
      </w:r>
      <w:r>
        <w:fldChar w:fldCharType="begin"/>
      </w:r>
      <w:r>
        <w:instrText xml:space="preserve"> PAGEREF _Toc490126950 \h </w:instrText>
      </w:r>
      <w:r>
        <w:fldChar w:fldCharType="separate"/>
      </w:r>
      <w:r>
        <w:t>32</w:t>
      </w:r>
      <w:r>
        <w:fldChar w:fldCharType="end"/>
      </w:r>
    </w:p>
    <w:p>
      <w:pPr>
        <w:pStyle w:val="TOC8"/>
        <w:rPr>
          <w:rFonts w:asciiTheme="minorHAnsi" w:eastAsiaTheme="minorEastAsia" w:hAnsiTheme="minorHAnsi" w:cstheme="minorBidi"/>
          <w:szCs w:val="22"/>
        </w:rPr>
      </w:pPr>
      <w:r>
        <w:t>28.</w:t>
      </w:r>
      <w:r>
        <w:tab/>
        <w:t>Wagers on cricket</w:t>
      </w:r>
      <w:r>
        <w:tab/>
      </w:r>
      <w:r>
        <w:fldChar w:fldCharType="begin"/>
      </w:r>
      <w:r>
        <w:instrText xml:space="preserve"> PAGEREF _Toc490126951 \h </w:instrText>
      </w:r>
      <w:r>
        <w:fldChar w:fldCharType="separate"/>
      </w:r>
      <w:r>
        <w:t>33</w:t>
      </w:r>
      <w:r>
        <w:fldChar w:fldCharType="end"/>
      </w:r>
    </w:p>
    <w:p>
      <w:pPr>
        <w:pStyle w:val="TOC8"/>
        <w:rPr>
          <w:rFonts w:asciiTheme="minorHAnsi" w:eastAsiaTheme="minorEastAsia" w:hAnsiTheme="minorHAnsi" w:cstheme="minorBidi"/>
          <w:szCs w:val="22"/>
        </w:rPr>
      </w:pPr>
      <w:r>
        <w:t>29.</w:t>
      </w:r>
      <w:r>
        <w:tab/>
        <w:t>Wagers on sporting events</w:t>
      </w:r>
      <w:r>
        <w:tab/>
      </w:r>
      <w:r>
        <w:fldChar w:fldCharType="begin"/>
      </w:r>
      <w:r>
        <w:instrText xml:space="preserve"> PAGEREF _Toc490126952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Conduct of bookmaker wagering generally</w:t>
      </w:r>
    </w:p>
    <w:p>
      <w:pPr>
        <w:pStyle w:val="TOC8"/>
        <w:rPr>
          <w:rFonts w:asciiTheme="minorHAnsi" w:eastAsiaTheme="minorEastAsia" w:hAnsiTheme="minorHAnsi" w:cstheme="minorBidi"/>
          <w:szCs w:val="22"/>
        </w:rPr>
      </w:pPr>
      <w:r>
        <w:t>30.</w:t>
      </w:r>
      <w:r>
        <w:tab/>
        <w:t>Application</w:t>
      </w:r>
      <w:r>
        <w:tab/>
      </w:r>
      <w:r>
        <w:fldChar w:fldCharType="begin"/>
      </w:r>
      <w:r>
        <w:instrText xml:space="preserve"> PAGEREF _Toc490126954 \h </w:instrText>
      </w:r>
      <w:r>
        <w:fldChar w:fldCharType="separate"/>
      </w:r>
      <w:r>
        <w:t>35</w:t>
      </w:r>
      <w:r>
        <w:fldChar w:fldCharType="end"/>
      </w:r>
    </w:p>
    <w:p>
      <w:pPr>
        <w:pStyle w:val="TOC8"/>
        <w:rPr>
          <w:rFonts w:asciiTheme="minorHAnsi" w:eastAsiaTheme="minorEastAsia" w:hAnsiTheme="minorHAnsi" w:cstheme="minorBidi"/>
          <w:szCs w:val="22"/>
        </w:rPr>
      </w:pPr>
      <w:r>
        <w:t>31.</w:t>
      </w:r>
      <w:r>
        <w:tab/>
        <w:t>Bookmakers, bookmaker’s managers and bookmaker’s employees to be licensed</w:t>
      </w:r>
      <w:r>
        <w:tab/>
      </w:r>
      <w:r>
        <w:fldChar w:fldCharType="begin"/>
      </w:r>
      <w:r>
        <w:instrText xml:space="preserve"> PAGEREF _Toc490126955 \h </w:instrText>
      </w:r>
      <w:r>
        <w:fldChar w:fldCharType="separate"/>
      </w:r>
      <w:r>
        <w:t>35</w:t>
      </w:r>
      <w:r>
        <w:fldChar w:fldCharType="end"/>
      </w:r>
    </w:p>
    <w:p>
      <w:pPr>
        <w:pStyle w:val="TOC8"/>
        <w:rPr>
          <w:rFonts w:asciiTheme="minorHAnsi" w:eastAsiaTheme="minorEastAsia" w:hAnsiTheme="minorHAnsi" w:cstheme="minorBidi"/>
          <w:szCs w:val="22"/>
        </w:rPr>
      </w:pPr>
      <w:r>
        <w:t>32.</w:t>
      </w:r>
      <w:r>
        <w:tab/>
        <w:t>Bookmakers to operate in accordance with permit issued by racing club</w:t>
      </w:r>
      <w:r>
        <w:tab/>
      </w:r>
      <w:r>
        <w:fldChar w:fldCharType="begin"/>
      </w:r>
      <w:r>
        <w:instrText xml:space="preserve"> PAGEREF _Toc490126956 \h </w:instrText>
      </w:r>
      <w:r>
        <w:fldChar w:fldCharType="separate"/>
      </w:r>
      <w:r>
        <w:t>35</w:t>
      </w:r>
      <w:r>
        <w:fldChar w:fldCharType="end"/>
      </w:r>
    </w:p>
    <w:p>
      <w:pPr>
        <w:pStyle w:val="TOC8"/>
        <w:rPr>
          <w:rFonts w:asciiTheme="minorHAnsi" w:eastAsiaTheme="minorEastAsia" w:hAnsiTheme="minorHAnsi" w:cstheme="minorBidi"/>
          <w:szCs w:val="22"/>
        </w:rPr>
      </w:pPr>
      <w:r>
        <w:t>33.</w:t>
      </w:r>
      <w:r>
        <w:tab/>
        <w:t>Bookmaker’s agents and substitutes</w:t>
      </w:r>
      <w:r>
        <w:tab/>
      </w:r>
      <w:r>
        <w:fldChar w:fldCharType="begin"/>
      </w:r>
      <w:r>
        <w:instrText xml:space="preserve"> PAGEREF _Toc490126957 \h </w:instrText>
      </w:r>
      <w:r>
        <w:fldChar w:fldCharType="separate"/>
      </w:r>
      <w:r>
        <w:t>36</w:t>
      </w:r>
      <w:r>
        <w:fldChar w:fldCharType="end"/>
      </w:r>
    </w:p>
    <w:p>
      <w:pPr>
        <w:pStyle w:val="TOC8"/>
        <w:rPr>
          <w:rFonts w:asciiTheme="minorHAnsi" w:eastAsiaTheme="minorEastAsia" w:hAnsiTheme="minorHAnsi" w:cstheme="minorBidi"/>
          <w:szCs w:val="22"/>
        </w:rPr>
      </w:pPr>
      <w:r>
        <w:t>34.</w:t>
      </w:r>
      <w:r>
        <w:tab/>
        <w:t>Temporary bookmaker’s employee licence</w:t>
      </w:r>
      <w:r>
        <w:tab/>
      </w:r>
      <w:r>
        <w:fldChar w:fldCharType="begin"/>
      </w:r>
      <w:r>
        <w:instrText xml:space="preserve"> PAGEREF _Toc490126958 \h </w:instrText>
      </w:r>
      <w:r>
        <w:fldChar w:fldCharType="separate"/>
      </w:r>
      <w:r>
        <w:t>37</w:t>
      </w:r>
      <w:r>
        <w:fldChar w:fldCharType="end"/>
      </w:r>
    </w:p>
    <w:p>
      <w:pPr>
        <w:pStyle w:val="TOC8"/>
        <w:rPr>
          <w:rFonts w:asciiTheme="minorHAnsi" w:eastAsiaTheme="minorEastAsia" w:hAnsiTheme="minorHAnsi" w:cstheme="minorBidi"/>
          <w:szCs w:val="22"/>
        </w:rPr>
      </w:pPr>
      <w:r>
        <w:t>35.</w:t>
      </w:r>
      <w:r>
        <w:tab/>
        <w:t>Supervision of wagering by bookmakers</w:t>
      </w:r>
      <w:r>
        <w:tab/>
      </w:r>
      <w:r>
        <w:fldChar w:fldCharType="begin"/>
      </w:r>
      <w:r>
        <w:instrText xml:space="preserve"> PAGEREF _Toc490126959 \h </w:instrText>
      </w:r>
      <w:r>
        <w:fldChar w:fldCharType="separate"/>
      </w:r>
      <w:r>
        <w:t>38</w:t>
      </w:r>
      <w:r>
        <w:fldChar w:fldCharType="end"/>
      </w:r>
    </w:p>
    <w:p>
      <w:pPr>
        <w:pStyle w:val="TOC8"/>
        <w:rPr>
          <w:rFonts w:asciiTheme="minorHAnsi" w:eastAsiaTheme="minorEastAsia" w:hAnsiTheme="minorHAnsi" w:cstheme="minorBidi"/>
          <w:szCs w:val="22"/>
        </w:rPr>
      </w:pPr>
      <w:r>
        <w:t>36.</w:t>
      </w:r>
      <w:r>
        <w:tab/>
        <w:t>Duty to report non</w:t>
      </w:r>
      <w:r>
        <w:noBreakHyphen/>
        <w:t>compliance</w:t>
      </w:r>
      <w:r>
        <w:tab/>
      </w:r>
      <w:r>
        <w:fldChar w:fldCharType="begin"/>
      </w:r>
      <w:r>
        <w:instrText xml:space="preserve"> PAGEREF _Toc490126960 \h </w:instrText>
      </w:r>
      <w:r>
        <w:fldChar w:fldCharType="separate"/>
      </w:r>
      <w:r>
        <w:t>39</w:t>
      </w:r>
      <w:r>
        <w:fldChar w:fldCharType="end"/>
      </w:r>
    </w:p>
    <w:p>
      <w:pPr>
        <w:pStyle w:val="TOC8"/>
        <w:rPr>
          <w:rFonts w:asciiTheme="minorHAnsi" w:eastAsiaTheme="minorEastAsia" w:hAnsiTheme="minorHAnsi" w:cstheme="minorBidi"/>
          <w:szCs w:val="22"/>
        </w:rPr>
      </w:pPr>
      <w:r>
        <w:t>37.</w:t>
      </w:r>
      <w:r>
        <w:tab/>
        <w:t>Record of wagering transactions</w:t>
      </w:r>
      <w:r>
        <w:tab/>
      </w:r>
      <w:r>
        <w:fldChar w:fldCharType="begin"/>
      </w:r>
      <w:r>
        <w:instrText xml:space="preserve"> PAGEREF _Toc490126961 \h </w:instrText>
      </w:r>
      <w:r>
        <w:fldChar w:fldCharType="separate"/>
      </w:r>
      <w:r>
        <w:t>39</w:t>
      </w:r>
      <w:r>
        <w:fldChar w:fldCharType="end"/>
      </w:r>
    </w:p>
    <w:p>
      <w:pPr>
        <w:pStyle w:val="TOC8"/>
        <w:rPr>
          <w:rFonts w:asciiTheme="minorHAnsi" w:eastAsiaTheme="minorEastAsia" w:hAnsiTheme="minorHAnsi" w:cstheme="minorBidi"/>
          <w:szCs w:val="22"/>
        </w:rPr>
      </w:pPr>
      <w:r>
        <w:t>38.</w:t>
      </w:r>
      <w:r>
        <w:tab/>
        <w:t>Tickets</w:t>
      </w:r>
      <w:r>
        <w:tab/>
      </w:r>
      <w:r>
        <w:fldChar w:fldCharType="begin"/>
      </w:r>
      <w:r>
        <w:instrText xml:space="preserve"> PAGEREF _Toc490126962 \h </w:instrText>
      </w:r>
      <w:r>
        <w:fldChar w:fldCharType="separate"/>
      </w:r>
      <w:r>
        <w:t>41</w:t>
      </w:r>
      <w:r>
        <w:fldChar w:fldCharType="end"/>
      </w:r>
    </w:p>
    <w:p>
      <w:pPr>
        <w:pStyle w:val="TOC8"/>
        <w:rPr>
          <w:rFonts w:asciiTheme="minorHAnsi" w:eastAsiaTheme="minorEastAsia" w:hAnsiTheme="minorHAnsi" w:cstheme="minorBidi"/>
          <w:szCs w:val="22"/>
        </w:rPr>
      </w:pPr>
      <w:r>
        <w:t>39.</w:t>
      </w:r>
      <w:r>
        <w:tab/>
        <w:t>Betting stands</w:t>
      </w:r>
      <w:r>
        <w:tab/>
      </w:r>
      <w:r>
        <w:fldChar w:fldCharType="begin"/>
      </w:r>
      <w:r>
        <w:instrText xml:space="preserve"> PAGEREF _Toc490126963 \h </w:instrText>
      </w:r>
      <w:r>
        <w:fldChar w:fldCharType="separate"/>
      </w:r>
      <w:r>
        <w:t>42</w:t>
      </w:r>
      <w:r>
        <w:fldChar w:fldCharType="end"/>
      </w:r>
    </w:p>
    <w:p>
      <w:pPr>
        <w:pStyle w:val="TOC8"/>
        <w:rPr>
          <w:rFonts w:asciiTheme="minorHAnsi" w:eastAsiaTheme="minorEastAsia" w:hAnsiTheme="minorHAnsi" w:cstheme="minorBidi"/>
          <w:szCs w:val="22"/>
        </w:rPr>
      </w:pPr>
      <w:r>
        <w:t>40.</w:t>
      </w:r>
      <w:r>
        <w:tab/>
        <w:t>Betting boards, charts etc.</w:t>
      </w:r>
      <w:r>
        <w:tab/>
      </w:r>
      <w:r>
        <w:fldChar w:fldCharType="begin"/>
      </w:r>
      <w:r>
        <w:instrText xml:space="preserve"> PAGEREF _Toc490126964 \h </w:instrText>
      </w:r>
      <w:r>
        <w:fldChar w:fldCharType="separate"/>
      </w:r>
      <w:r>
        <w:t>43</w:t>
      </w:r>
      <w:r>
        <w:fldChar w:fldCharType="end"/>
      </w:r>
    </w:p>
    <w:p>
      <w:pPr>
        <w:pStyle w:val="TOC8"/>
        <w:rPr>
          <w:rFonts w:asciiTheme="minorHAnsi" w:eastAsiaTheme="minorEastAsia" w:hAnsiTheme="minorHAnsi" w:cstheme="minorBidi"/>
          <w:szCs w:val="22"/>
        </w:rPr>
      </w:pPr>
      <w:r>
        <w:t>41.</w:t>
      </w:r>
      <w:r>
        <w:tab/>
        <w:t>Betting turnover returns</w:t>
      </w:r>
      <w:r>
        <w:tab/>
      </w:r>
      <w:r>
        <w:fldChar w:fldCharType="begin"/>
      </w:r>
      <w:r>
        <w:instrText xml:space="preserve"> PAGEREF _Toc490126965 \h </w:instrText>
      </w:r>
      <w:r>
        <w:fldChar w:fldCharType="separate"/>
      </w:r>
      <w:r>
        <w:t>44</w:t>
      </w:r>
      <w:r>
        <w:fldChar w:fldCharType="end"/>
      </w:r>
    </w:p>
    <w:p>
      <w:pPr>
        <w:pStyle w:val="TOC8"/>
        <w:rPr>
          <w:rFonts w:asciiTheme="minorHAnsi" w:eastAsiaTheme="minorEastAsia" w:hAnsiTheme="minorHAnsi" w:cstheme="minorBidi"/>
          <w:szCs w:val="22"/>
        </w:rPr>
      </w:pPr>
      <w:r>
        <w:t>42.</w:t>
      </w:r>
      <w:r>
        <w:tab/>
        <w:t>Collection of wagering sheets</w:t>
      </w:r>
      <w:r>
        <w:tab/>
      </w:r>
      <w:r>
        <w:fldChar w:fldCharType="begin"/>
      </w:r>
      <w:r>
        <w:instrText xml:space="preserve"> PAGEREF _Toc490126966 \h </w:instrText>
      </w:r>
      <w:r>
        <w:fldChar w:fldCharType="separate"/>
      </w:r>
      <w:r>
        <w:t>44</w:t>
      </w:r>
      <w:r>
        <w:fldChar w:fldCharType="end"/>
      </w:r>
    </w:p>
    <w:p>
      <w:pPr>
        <w:pStyle w:val="TOC8"/>
        <w:rPr>
          <w:rFonts w:asciiTheme="minorHAnsi" w:eastAsiaTheme="minorEastAsia" w:hAnsiTheme="minorHAnsi" w:cstheme="minorBidi"/>
          <w:szCs w:val="22"/>
        </w:rPr>
      </w:pPr>
      <w:r>
        <w:t>43.</w:t>
      </w:r>
      <w:r>
        <w:tab/>
        <w:t>Minimum wager obligations</w:t>
      </w:r>
      <w:r>
        <w:tab/>
      </w:r>
      <w:r>
        <w:fldChar w:fldCharType="begin"/>
      </w:r>
      <w:r>
        <w:instrText xml:space="preserve"> PAGEREF _Toc490126967 \h </w:instrText>
      </w:r>
      <w:r>
        <w:fldChar w:fldCharType="separate"/>
      </w:r>
      <w:r>
        <w:t>45</w:t>
      </w:r>
      <w:r>
        <w:fldChar w:fldCharType="end"/>
      </w:r>
    </w:p>
    <w:p>
      <w:pPr>
        <w:pStyle w:val="TOC8"/>
        <w:rPr>
          <w:rFonts w:asciiTheme="minorHAnsi" w:eastAsiaTheme="minorEastAsia" w:hAnsiTheme="minorHAnsi" w:cstheme="minorBidi"/>
          <w:szCs w:val="22"/>
        </w:rPr>
      </w:pPr>
      <w:r>
        <w:t>44.</w:t>
      </w:r>
      <w:r>
        <w:tab/>
        <w:t>Wagers with domestic betting operators and totalisators</w:t>
      </w:r>
      <w:r>
        <w:tab/>
      </w:r>
      <w:r>
        <w:fldChar w:fldCharType="begin"/>
      </w:r>
      <w:r>
        <w:instrText xml:space="preserve"> PAGEREF _Toc490126968 \h </w:instrText>
      </w:r>
      <w:r>
        <w:fldChar w:fldCharType="separate"/>
      </w:r>
      <w:r>
        <w:t>47</w:t>
      </w:r>
      <w:r>
        <w:fldChar w:fldCharType="end"/>
      </w:r>
    </w:p>
    <w:p>
      <w:pPr>
        <w:pStyle w:val="TOC8"/>
        <w:rPr>
          <w:rFonts w:asciiTheme="minorHAnsi" w:eastAsiaTheme="minorEastAsia" w:hAnsiTheme="minorHAnsi" w:cstheme="minorBidi"/>
          <w:szCs w:val="22"/>
        </w:rPr>
      </w:pPr>
      <w:r>
        <w:t>45A.</w:t>
      </w:r>
      <w:r>
        <w:tab/>
        <w:t>Bet back by means of a betting exchange</w:t>
      </w:r>
      <w:r>
        <w:tab/>
      </w:r>
      <w:r>
        <w:fldChar w:fldCharType="begin"/>
      </w:r>
      <w:r>
        <w:instrText xml:space="preserve"> PAGEREF _Toc490126969 \h </w:instrText>
      </w:r>
      <w:r>
        <w:fldChar w:fldCharType="separate"/>
      </w:r>
      <w:r>
        <w:t>48</w:t>
      </w:r>
      <w:r>
        <w:fldChar w:fldCharType="end"/>
      </w:r>
    </w:p>
    <w:p>
      <w:pPr>
        <w:pStyle w:val="TOC8"/>
        <w:rPr>
          <w:rFonts w:asciiTheme="minorHAnsi" w:eastAsiaTheme="minorEastAsia" w:hAnsiTheme="minorHAnsi" w:cstheme="minorBidi"/>
          <w:szCs w:val="22"/>
        </w:rPr>
      </w:pPr>
      <w:r>
        <w:t>45.</w:t>
      </w:r>
      <w:r>
        <w:tab/>
        <w:t>Telephone wagering</w:t>
      </w:r>
      <w:r>
        <w:tab/>
      </w:r>
      <w:r>
        <w:fldChar w:fldCharType="begin"/>
      </w:r>
      <w:r>
        <w:instrText xml:space="preserve"> PAGEREF _Toc490126970 \h </w:instrText>
      </w:r>
      <w:r>
        <w:fldChar w:fldCharType="separate"/>
      </w:r>
      <w:r>
        <w:t>49</w:t>
      </w:r>
      <w:r>
        <w:fldChar w:fldCharType="end"/>
      </w:r>
    </w:p>
    <w:p>
      <w:pPr>
        <w:pStyle w:val="TOC8"/>
        <w:rPr>
          <w:rFonts w:asciiTheme="minorHAnsi" w:eastAsiaTheme="minorEastAsia" w:hAnsiTheme="minorHAnsi" w:cstheme="minorBidi"/>
          <w:szCs w:val="22"/>
        </w:rPr>
      </w:pPr>
      <w:r>
        <w:t>46.</w:t>
      </w:r>
      <w:r>
        <w:tab/>
        <w:t>Internet wagering</w:t>
      </w:r>
      <w:r>
        <w:tab/>
      </w:r>
      <w:r>
        <w:fldChar w:fldCharType="begin"/>
      </w:r>
      <w:r>
        <w:instrText xml:space="preserve"> PAGEREF _Toc490126971 \h </w:instrText>
      </w:r>
      <w:r>
        <w:fldChar w:fldCharType="separate"/>
      </w:r>
      <w:r>
        <w:t>52</w:t>
      </w:r>
      <w:r>
        <w:fldChar w:fldCharType="end"/>
      </w:r>
    </w:p>
    <w:p>
      <w:pPr>
        <w:pStyle w:val="TOC8"/>
        <w:rPr>
          <w:rFonts w:asciiTheme="minorHAnsi" w:eastAsiaTheme="minorEastAsia" w:hAnsiTheme="minorHAnsi" w:cstheme="minorBidi"/>
          <w:szCs w:val="22"/>
        </w:rPr>
      </w:pPr>
      <w:r>
        <w:t>47.</w:t>
      </w:r>
      <w:r>
        <w:tab/>
        <w:t>Settling generally</w:t>
      </w:r>
      <w:r>
        <w:tab/>
      </w:r>
      <w:r>
        <w:fldChar w:fldCharType="begin"/>
      </w:r>
      <w:r>
        <w:instrText xml:space="preserve"> PAGEREF _Toc490126972 \h </w:instrText>
      </w:r>
      <w:r>
        <w:fldChar w:fldCharType="separate"/>
      </w:r>
      <w:r>
        <w:t>54</w:t>
      </w:r>
      <w:r>
        <w:fldChar w:fldCharType="end"/>
      </w:r>
    </w:p>
    <w:p>
      <w:pPr>
        <w:pStyle w:val="TOC8"/>
        <w:rPr>
          <w:rFonts w:asciiTheme="minorHAnsi" w:eastAsiaTheme="minorEastAsia" w:hAnsiTheme="minorHAnsi" w:cstheme="minorBidi"/>
          <w:szCs w:val="22"/>
        </w:rPr>
      </w:pPr>
      <w:r>
        <w:t>48.</w:t>
      </w:r>
      <w:r>
        <w:tab/>
        <w:t>Defaulters in wagering</w:t>
      </w:r>
      <w:r>
        <w:tab/>
      </w:r>
      <w:r>
        <w:fldChar w:fldCharType="begin"/>
      </w:r>
      <w:r>
        <w:instrText xml:space="preserve"> PAGEREF _Toc490126973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Rules of bookmaker wagering</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_Toc490126975 \h </w:instrText>
      </w:r>
      <w:r>
        <w:fldChar w:fldCharType="separate"/>
      </w:r>
      <w:r>
        <w:t>56</w:t>
      </w:r>
      <w:r>
        <w:fldChar w:fldCharType="end"/>
      </w:r>
    </w:p>
    <w:p>
      <w:pPr>
        <w:pStyle w:val="TOC8"/>
        <w:rPr>
          <w:rFonts w:asciiTheme="minorHAnsi" w:eastAsiaTheme="minorEastAsia" w:hAnsiTheme="minorHAnsi" w:cstheme="minorBidi"/>
          <w:szCs w:val="22"/>
        </w:rPr>
      </w:pPr>
      <w:r>
        <w:t>50.</w:t>
      </w:r>
      <w:r>
        <w:tab/>
        <w:t>Permitted wagers — races</w:t>
      </w:r>
      <w:r>
        <w:tab/>
      </w:r>
      <w:r>
        <w:fldChar w:fldCharType="begin"/>
      </w:r>
      <w:r>
        <w:instrText xml:space="preserve"> PAGEREF _Toc490126976 \h </w:instrText>
      </w:r>
      <w:r>
        <w:fldChar w:fldCharType="separate"/>
      </w:r>
      <w:r>
        <w:t>56</w:t>
      </w:r>
      <w:r>
        <w:fldChar w:fldCharType="end"/>
      </w:r>
    </w:p>
    <w:p>
      <w:pPr>
        <w:pStyle w:val="TOC8"/>
        <w:rPr>
          <w:rFonts w:asciiTheme="minorHAnsi" w:eastAsiaTheme="minorEastAsia" w:hAnsiTheme="minorHAnsi" w:cstheme="minorBidi"/>
          <w:szCs w:val="22"/>
        </w:rPr>
      </w:pPr>
      <w:r>
        <w:t>51A.</w:t>
      </w:r>
      <w:r>
        <w:tab/>
        <w:t>Default odds for starting price guarantee and top fluc wagering</w:t>
      </w:r>
      <w:r>
        <w:tab/>
      </w:r>
      <w:r>
        <w:fldChar w:fldCharType="begin"/>
      </w:r>
      <w:r>
        <w:instrText xml:space="preserve"> PAGEREF _Toc490126977 \h </w:instrText>
      </w:r>
      <w:r>
        <w:fldChar w:fldCharType="separate"/>
      </w:r>
      <w:r>
        <w:t>59</w:t>
      </w:r>
      <w:r>
        <w:fldChar w:fldCharType="end"/>
      </w:r>
    </w:p>
    <w:p>
      <w:pPr>
        <w:pStyle w:val="TOC8"/>
        <w:rPr>
          <w:rFonts w:asciiTheme="minorHAnsi" w:eastAsiaTheme="minorEastAsia" w:hAnsiTheme="minorHAnsi" w:cstheme="minorBidi"/>
          <w:szCs w:val="22"/>
        </w:rPr>
      </w:pPr>
      <w:r>
        <w:t>51.</w:t>
      </w:r>
      <w:r>
        <w:tab/>
        <w:t>Bookmakers not to offer, make or accept certain wagers</w:t>
      </w:r>
      <w:r>
        <w:tab/>
      </w:r>
      <w:r>
        <w:fldChar w:fldCharType="begin"/>
      </w:r>
      <w:r>
        <w:instrText xml:space="preserve"> PAGEREF _Toc490126978 \h </w:instrText>
      </w:r>
      <w:r>
        <w:fldChar w:fldCharType="separate"/>
      </w:r>
      <w:r>
        <w:t>59</w:t>
      </w:r>
      <w:r>
        <w:fldChar w:fldCharType="end"/>
      </w:r>
    </w:p>
    <w:p>
      <w:pPr>
        <w:pStyle w:val="TOC8"/>
        <w:rPr>
          <w:rFonts w:asciiTheme="minorHAnsi" w:eastAsiaTheme="minorEastAsia" w:hAnsiTheme="minorHAnsi" w:cstheme="minorBidi"/>
          <w:szCs w:val="22"/>
        </w:rPr>
      </w:pPr>
      <w:r>
        <w:t>52.</w:t>
      </w:r>
      <w:r>
        <w:tab/>
        <w:t>Provisions as to runners</w:t>
      </w:r>
      <w:r>
        <w:tab/>
      </w:r>
      <w:r>
        <w:fldChar w:fldCharType="begin"/>
      </w:r>
      <w:r>
        <w:instrText xml:space="preserve"> PAGEREF _Toc490126979 \h </w:instrText>
      </w:r>
      <w:r>
        <w:fldChar w:fldCharType="separate"/>
      </w:r>
      <w:r>
        <w:t>60</w:t>
      </w:r>
      <w:r>
        <w:fldChar w:fldCharType="end"/>
      </w:r>
    </w:p>
    <w:p>
      <w:pPr>
        <w:pStyle w:val="TOC8"/>
        <w:rPr>
          <w:rFonts w:asciiTheme="minorHAnsi" w:eastAsiaTheme="minorEastAsia" w:hAnsiTheme="minorHAnsi" w:cstheme="minorBidi"/>
          <w:szCs w:val="22"/>
        </w:rPr>
      </w:pPr>
      <w:r>
        <w:t>53.</w:t>
      </w:r>
      <w:r>
        <w:tab/>
        <w:t>Wagers void in certain circumstances</w:t>
      </w:r>
      <w:r>
        <w:tab/>
      </w:r>
      <w:r>
        <w:fldChar w:fldCharType="begin"/>
      </w:r>
      <w:r>
        <w:instrText xml:space="preserve"> PAGEREF _Toc490126980 \h </w:instrText>
      </w:r>
      <w:r>
        <w:fldChar w:fldCharType="separate"/>
      </w:r>
      <w:r>
        <w:t>60</w:t>
      </w:r>
      <w:r>
        <w:fldChar w:fldCharType="end"/>
      </w:r>
    </w:p>
    <w:p>
      <w:pPr>
        <w:pStyle w:val="TOC8"/>
        <w:rPr>
          <w:rFonts w:asciiTheme="minorHAnsi" w:eastAsiaTheme="minorEastAsia" w:hAnsiTheme="minorHAnsi" w:cstheme="minorBidi"/>
          <w:szCs w:val="22"/>
        </w:rPr>
      </w:pPr>
      <w:r>
        <w:t>54.</w:t>
      </w:r>
      <w:r>
        <w:tab/>
        <w:t>When wagers are off</w:t>
      </w:r>
      <w:r>
        <w:tab/>
      </w:r>
      <w:r>
        <w:fldChar w:fldCharType="begin"/>
      </w:r>
      <w:r>
        <w:instrText xml:space="preserve"> PAGEREF _Toc490126981 \h </w:instrText>
      </w:r>
      <w:r>
        <w:fldChar w:fldCharType="separate"/>
      </w:r>
      <w:r>
        <w:t>61</w:t>
      </w:r>
      <w:r>
        <w:fldChar w:fldCharType="end"/>
      </w:r>
    </w:p>
    <w:p>
      <w:pPr>
        <w:pStyle w:val="TOC8"/>
        <w:rPr>
          <w:rFonts w:asciiTheme="minorHAnsi" w:eastAsiaTheme="minorEastAsia" w:hAnsiTheme="minorHAnsi" w:cstheme="minorBidi"/>
          <w:szCs w:val="22"/>
        </w:rPr>
      </w:pPr>
      <w:r>
        <w:t>55.</w:t>
      </w:r>
      <w:r>
        <w:tab/>
        <w:t>Determination and settlement of wagers</w:t>
      </w:r>
      <w:r>
        <w:tab/>
      </w:r>
      <w:r>
        <w:fldChar w:fldCharType="begin"/>
      </w:r>
      <w:r>
        <w:instrText xml:space="preserve"> PAGEREF _Toc490126982 \h </w:instrText>
      </w:r>
      <w:r>
        <w:fldChar w:fldCharType="separate"/>
      </w:r>
      <w:r>
        <w:t>62</w:t>
      </w:r>
      <w:r>
        <w:fldChar w:fldCharType="end"/>
      </w:r>
    </w:p>
    <w:p>
      <w:pPr>
        <w:pStyle w:val="TOC8"/>
        <w:rPr>
          <w:rFonts w:asciiTheme="minorHAnsi" w:eastAsiaTheme="minorEastAsia" w:hAnsiTheme="minorHAnsi" w:cstheme="minorBidi"/>
          <w:szCs w:val="22"/>
        </w:rPr>
      </w:pPr>
      <w:r>
        <w:t>56.</w:t>
      </w:r>
      <w:r>
        <w:tab/>
        <w:t>Determination of wagers where runner withdrawn</w:t>
      </w:r>
      <w:r>
        <w:tab/>
      </w:r>
      <w:r>
        <w:fldChar w:fldCharType="begin"/>
      </w:r>
      <w:r>
        <w:instrText xml:space="preserve"> PAGEREF _Toc490126983 \h </w:instrText>
      </w:r>
      <w:r>
        <w:fldChar w:fldCharType="separate"/>
      </w:r>
      <w:r>
        <w:t>65</w:t>
      </w:r>
      <w:r>
        <w:fldChar w:fldCharType="end"/>
      </w:r>
    </w:p>
    <w:p>
      <w:pPr>
        <w:pStyle w:val="TOC8"/>
        <w:rPr>
          <w:rFonts w:asciiTheme="minorHAnsi" w:eastAsiaTheme="minorEastAsia" w:hAnsiTheme="minorHAnsi" w:cstheme="minorBidi"/>
          <w:szCs w:val="22"/>
        </w:rPr>
      </w:pPr>
      <w:r>
        <w:t>57.</w:t>
      </w:r>
      <w:r>
        <w:tab/>
        <w:t>Wagers to be pay or play except in certain circumstances</w:t>
      </w:r>
      <w:r>
        <w:tab/>
      </w:r>
      <w:r>
        <w:fldChar w:fldCharType="begin"/>
      </w:r>
      <w:r>
        <w:instrText xml:space="preserve"> PAGEREF _Toc490126984 \h </w:instrText>
      </w:r>
      <w:r>
        <w:fldChar w:fldCharType="separate"/>
      </w:r>
      <w:r>
        <w:t>68</w:t>
      </w:r>
      <w:r>
        <w:fldChar w:fldCharType="end"/>
      </w:r>
    </w:p>
    <w:p>
      <w:pPr>
        <w:pStyle w:val="TOC8"/>
        <w:rPr>
          <w:rFonts w:asciiTheme="minorHAnsi" w:eastAsiaTheme="minorEastAsia" w:hAnsiTheme="minorHAnsi" w:cstheme="minorBidi"/>
          <w:szCs w:val="22"/>
        </w:rPr>
      </w:pPr>
      <w:r>
        <w:t>58.</w:t>
      </w:r>
      <w:r>
        <w:tab/>
        <w:t>Provisions as to settlement of wagers following dead heat</w:t>
      </w:r>
      <w:r>
        <w:tab/>
      </w:r>
      <w:r>
        <w:fldChar w:fldCharType="begin"/>
      </w:r>
      <w:r>
        <w:instrText xml:space="preserve"> PAGEREF _Toc490126985 \h </w:instrText>
      </w:r>
      <w:r>
        <w:fldChar w:fldCharType="separate"/>
      </w:r>
      <w:r>
        <w:t>68</w:t>
      </w:r>
      <w:r>
        <w:fldChar w:fldCharType="end"/>
      </w:r>
    </w:p>
    <w:p>
      <w:pPr>
        <w:pStyle w:val="TOC8"/>
        <w:rPr>
          <w:rFonts w:asciiTheme="minorHAnsi" w:eastAsiaTheme="minorEastAsia" w:hAnsiTheme="minorHAnsi" w:cstheme="minorBidi"/>
          <w:szCs w:val="22"/>
        </w:rPr>
      </w:pPr>
      <w:r>
        <w:t>59.</w:t>
      </w:r>
      <w:r>
        <w:tab/>
        <w:t>Provisions as to races that are re</w:t>
      </w:r>
      <w:r>
        <w:noBreakHyphen/>
        <w:t>run</w:t>
      </w:r>
      <w:r>
        <w:tab/>
      </w:r>
      <w:r>
        <w:fldChar w:fldCharType="begin"/>
      </w:r>
      <w:r>
        <w:instrText xml:space="preserve"> PAGEREF _Toc490126986 \h </w:instrText>
      </w:r>
      <w:r>
        <w:fldChar w:fldCharType="separate"/>
      </w:r>
      <w:r>
        <w:t>70</w:t>
      </w:r>
      <w:r>
        <w:fldChar w:fldCharType="end"/>
      </w:r>
    </w:p>
    <w:p>
      <w:pPr>
        <w:pStyle w:val="TOC8"/>
        <w:rPr>
          <w:rFonts w:asciiTheme="minorHAnsi" w:eastAsiaTheme="minorEastAsia" w:hAnsiTheme="minorHAnsi" w:cstheme="minorBidi"/>
          <w:szCs w:val="22"/>
        </w:rPr>
      </w:pPr>
      <w:r>
        <w:t>60.</w:t>
      </w:r>
      <w:r>
        <w:tab/>
        <w:t>Pre</w:t>
      </w:r>
      <w:r>
        <w:noBreakHyphen/>
        <w:t>post wagering on the final of special event</w:t>
      </w:r>
      <w:r>
        <w:tab/>
      </w:r>
      <w:r>
        <w:fldChar w:fldCharType="begin"/>
      </w:r>
      <w:r>
        <w:instrText xml:space="preserve"> PAGEREF _Toc490126987 \h </w:instrText>
      </w:r>
      <w:r>
        <w:fldChar w:fldCharType="separate"/>
      </w:r>
      <w:r>
        <w:t>70</w:t>
      </w:r>
      <w:r>
        <w:fldChar w:fldCharType="end"/>
      </w:r>
    </w:p>
    <w:p>
      <w:pPr>
        <w:pStyle w:val="TOC8"/>
        <w:rPr>
          <w:rFonts w:asciiTheme="minorHAnsi" w:eastAsiaTheme="minorEastAsia" w:hAnsiTheme="minorHAnsi" w:cstheme="minorBidi"/>
          <w:szCs w:val="22"/>
        </w:rPr>
      </w:pPr>
      <w:r>
        <w:t>61.</w:t>
      </w:r>
      <w:r>
        <w:tab/>
        <w:t>“Favout” wagering</w:t>
      </w:r>
      <w:r>
        <w:tab/>
      </w:r>
      <w:r>
        <w:fldChar w:fldCharType="begin"/>
      </w:r>
      <w:r>
        <w:instrText xml:space="preserve"> PAGEREF _Toc490126988 \h </w:instrText>
      </w:r>
      <w:r>
        <w:fldChar w:fldCharType="separate"/>
      </w:r>
      <w:r>
        <w:t>71</w:t>
      </w:r>
      <w:r>
        <w:fldChar w:fldCharType="end"/>
      </w:r>
    </w:p>
    <w:p>
      <w:pPr>
        <w:pStyle w:val="TOC8"/>
        <w:rPr>
          <w:rFonts w:asciiTheme="minorHAnsi" w:eastAsiaTheme="minorEastAsia" w:hAnsiTheme="minorHAnsi" w:cstheme="minorBidi"/>
          <w:szCs w:val="22"/>
        </w:rPr>
      </w:pPr>
      <w:r>
        <w:t>62.</w:t>
      </w:r>
      <w:r>
        <w:tab/>
        <w:t xml:space="preserve">Wagering on sporting event, or contingency, approved under </w:t>
      </w:r>
      <w:r>
        <w:rPr>
          <w:i/>
          <w:iCs/>
        </w:rPr>
        <w:t>Betting Control Act 1954</w:t>
      </w:r>
      <w:r>
        <w:rPr>
          <w:iCs/>
        </w:rPr>
        <w:t xml:space="preserve"> s. 4B</w:t>
      </w:r>
      <w:r>
        <w:tab/>
      </w:r>
      <w:r>
        <w:fldChar w:fldCharType="begin"/>
      </w:r>
      <w:r>
        <w:instrText xml:space="preserve"> PAGEREF _Toc490126989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Rules as to the operation of totalisator agencies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_Toc490126991 \h </w:instrText>
      </w:r>
      <w:r>
        <w:fldChar w:fldCharType="separate"/>
      </w:r>
      <w:r>
        <w:t>74</w:t>
      </w:r>
      <w:r>
        <w:fldChar w:fldCharType="end"/>
      </w:r>
    </w:p>
    <w:p>
      <w:pPr>
        <w:pStyle w:val="TOC8"/>
        <w:rPr>
          <w:rFonts w:asciiTheme="minorHAnsi" w:eastAsiaTheme="minorEastAsia" w:hAnsiTheme="minorHAnsi" w:cstheme="minorBidi"/>
          <w:szCs w:val="22"/>
        </w:rPr>
      </w:pPr>
      <w:r>
        <w:t>64.</w:t>
      </w:r>
      <w:r>
        <w:tab/>
        <w:t>Obligations of agents and employees while on duty</w:t>
      </w:r>
      <w:r>
        <w:tab/>
      </w:r>
      <w:r>
        <w:fldChar w:fldCharType="begin"/>
      </w:r>
      <w:r>
        <w:instrText xml:space="preserve"> PAGEREF _Toc490126992 \h </w:instrText>
      </w:r>
      <w:r>
        <w:fldChar w:fldCharType="separate"/>
      </w:r>
      <w:r>
        <w:t>74</w:t>
      </w:r>
      <w:r>
        <w:fldChar w:fldCharType="end"/>
      </w:r>
    </w:p>
    <w:p>
      <w:pPr>
        <w:pStyle w:val="TOC8"/>
        <w:rPr>
          <w:rFonts w:asciiTheme="minorHAnsi" w:eastAsiaTheme="minorEastAsia" w:hAnsiTheme="minorHAnsi" w:cstheme="minorBidi"/>
          <w:szCs w:val="22"/>
        </w:rPr>
      </w:pPr>
      <w:r>
        <w:t>65.</w:t>
      </w:r>
      <w:r>
        <w:tab/>
        <w:t>Use of video surveillance</w:t>
      </w:r>
      <w:r>
        <w:tab/>
      </w:r>
      <w:r>
        <w:fldChar w:fldCharType="begin"/>
      </w:r>
      <w:r>
        <w:instrText xml:space="preserve"> PAGEREF _Toc490126993 \h </w:instrText>
      </w:r>
      <w:r>
        <w:fldChar w:fldCharType="separate"/>
      </w:r>
      <w:r>
        <w:t>74</w:t>
      </w:r>
      <w:r>
        <w:fldChar w:fldCharType="end"/>
      </w:r>
    </w:p>
    <w:p>
      <w:pPr>
        <w:pStyle w:val="TOC8"/>
        <w:rPr>
          <w:rFonts w:asciiTheme="minorHAnsi" w:eastAsiaTheme="minorEastAsia" w:hAnsiTheme="minorHAnsi" w:cstheme="minorBidi"/>
          <w:szCs w:val="22"/>
        </w:rPr>
      </w:pPr>
      <w:r>
        <w:t>66.</w:t>
      </w:r>
      <w:r>
        <w:tab/>
        <w:t>Agency bonds</w:t>
      </w:r>
      <w:r>
        <w:tab/>
      </w:r>
      <w:r>
        <w:fldChar w:fldCharType="begin"/>
      </w:r>
      <w:r>
        <w:instrText xml:space="preserve"> PAGEREF _Toc490126994 \h </w:instrText>
      </w:r>
      <w:r>
        <w:fldChar w:fldCharType="separate"/>
      </w:r>
      <w:r>
        <w:t>75</w:t>
      </w:r>
      <w:r>
        <w:fldChar w:fldCharType="end"/>
      </w:r>
    </w:p>
    <w:p>
      <w:pPr>
        <w:pStyle w:val="TOC8"/>
        <w:rPr>
          <w:rFonts w:asciiTheme="minorHAnsi" w:eastAsiaTheme="minorEastAsia" w:hAnsiTheme="minorHAnsi" w:cstheme="minorBidi"/>
          <w:szCs w:val="22"/>
        </w:rPr>
      </w:pPr>
      <w:r>
        <w:t>67.</w:t>
      </w:r>
      <w:r>
        <w:tab/>
        <w:t>Acceptance of cheques</w:t>
      </w:r>
      <w:r>
        <w:tab/>
      </w:r>
      <w:r>
        <w:fldChar w:fldCharType="begin"/>
      </w:r>
      <w:r>
        <w:instrText xml:space="preserve"> PAGEREF _Toc490126995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1 — Scale of Deduction Table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_Toc490126998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spacing w:after="720"/>
      </w:pPr>
      <w:r>
        <w:t>Rules of Wagering 2005</w:t>
      </w:r>
    </w:p>
    <w:p>
      <w:pPr>
        <w:pStyle w:val="Heading2"/>
        <w:keepNext w:val="0"/>
        <w:pageBreakBefore w:val="0"/>
        <w:spacing w:before="240"/>
      </w:pPr>
      <w:bookmarkStart w:id="3" w:name="_Toc377038930"/>
      <w:bookmarkStart w:id="4" w:name="_Toc406507547"/>
      <w:bookmarkStart w:id="5" w:name="_Toc425172583"/>
      <w:bookmarkStart w:id="6" w:name="_Toc435092198"/>
      <w:bookmarkStart w:id="7" w:name="_Toc446331338"/>
      <w:bookmarkStart w:id="8" w:name="_Toc49012691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06507548"/>
      <w:bookmarkStart w:id="10" w:name="_Toc490126920"/>
      <w:r>
        <w:rPr>
          <w:rStyle w:val="CharSectno"/>
        </w:rPr>
        <w:t>1</w:t>
      </w:r>
      <w:r>
        <w:t>.</w:t>
      </w:r>
      <w:r>
        <w:tab/>
        <w:t>Citation</w:t>
      </w:r>
      <w:bookmarkEnd w:id="9"/>
      <w:bookmarkEnd w:id="10"/>
    </w:p>
    <w:p>
      <w:pPr>
        <w:pStyle w:val="Subsection"/>
        <w:rPr>
          <w:i/>
        </w:rPr>
      </w:pPr>
      <w:r>
        <w:tab/>
      </w:r>
      <w:r>
        <w:tab/>
        <w:t xml:space="preserve">These rules may be cited as the </w:t>
      </w:r>
      <w:r>
        <w:rPr>
          <w:i/>
        </w:rPr>
        <w:t>Rules of Wagering 2005</w:t>
      </w:r>
      <w:r>
        <w:rPr>
          <w:vertAlign w:val="superscript"/>
        </w:rPr>
        <w:t> 1</w:t>
      </w:r>
      <w:r>
        <w:t>.</w:t>
      </w:r>
    </w:p>
    <w:p>
      <w:pPr>
        <w:pStyle w:val="Heading5"/>
      </w:pPr>
      <w:bookmarkStart w:id="11" w:name="_Toc406507549"/>
      <w:bookmarkStart w:id="12" w:name="_Toc490126921"/>
      <w:r>
        <w:rPr>
          <w:rStyle w:val="CharSectno"/>
        </w:rPr>
        <w:t>2</w:t>
      </w:r>
      <w:r>
        <w:t>.</w:t>
      </w:r>
      <w:r>
        <w:tab/>
        <w:t>Commencement</w:t>
      </w:r>
      <w:bookmarkEnd w:id="11"/>
      <w:bookmarkEnd w:id="12"/>
    </w:p>
    <w:p>
      <w:pPr>
        <w:pStyle w:val="Subsection"/>
      </w:pPr>
      <w:r>
        <w:tab/>
      </w:r>
      <w:r>
        <w:tab/>
        <w:t>These rules come into operation on 30 January 2005.</w:t>
      </w:r>
    </w:p>
    <w:p>
      <w:pPr>
        <w:pStyle w:val="Heading5"/>
      </w:pPr>
      <w:bookmarkStart w:id="13" w:name="_Toc406507550"/>
      <w:bookmarkStart w:id="14" w:name="_Toc490126922"/>
      <w:r>
        <w:rPr>
          <w:rStyle w:val="CharSectno"/>
        </w:rPr>
        <w:t>3</w:t>
      </w:r>
      <w:r>
        <w:t>.</w:t>
      </w:r>
      <w:r>
        <w:tab/>
        <w:t>Terms used</w:t>
      </w:r>
      <w:bookmarkEnd w:id="13"/>
      <w:bookmarkEnd w:id="14"/>
    </w:p>
    <w:p>
      <w:pPr>
        <w:pStyle w:val="Subsection"/>
      </w:pPr>
      <w:r>
        <w:tab/>
        <w:t>(1)</w:t>
      </w:r>
      <w:r>
        <w:tab/>
        <w:t xml:space="preserve">In these rules — </w:t>
      </w:r>
    </w:p>
    <w:p>
      <w:pPr>
        <w:pStyle w:val="Defstart"/>
      </w:pPr>
      <w:r>
        <w:rPr>
          <w:b/>
        </w:rPr>
        <w:tab/>
      </w:r>
      <w:r>
        <w:rPr>
          <w:rStyle w:val="CharDefText"/>
        </w:rPr>
        <w:t>all</w:t>
      </w:r>
      <w:r>
        <w:rPr>
          <w:rStyle w:val="CharDefText"/>
        </w:rPr>
        <w:noBreakHyphen/>
        <w:t>up</w:t>
      </w:r>
      <w:r>
        <w:t xml:space="preserve"> means a wager in which any subsequent dividends are wagered on the runners named until the contract is completed;</w:t>
      </w:r>
    </w:p>
    <w:p>
      <w:pPr>
        <w:pStyle w:val="Defstart"/>
      </w:pPr>
      <w:r>
        <w:tab/>
      </w:r>
      <w:r>
        <w:rPr>
          <w:rStyle w:val="CharDefText"/>
        </w:rPr>
        <w:t>Australian totalisator</w:t>
      </w:r>
      <w:r>
        <w:t xml:space="preserve"> means a totalisator operated under a licence in New South Wales, Victoria or Queensland;</w:t>
      </w:r>
    </w:p>
    <w:p>
      <w:pPr>
        <w:pStyle w:val="Defstart"/>
      </w:pPr>
      <w:r>
        <w:tab/>
      </w:r>
      <w:r>
        <w:rPr>
          <w:rStyle w:val="CharDefText"/>
        </w:rPr>
        <w:t>bet back</w:t>
      </w:r>
      <w:r>
        <w:t xml:space="preserve"> means a wager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wagers already accepted by the bookmaker on that runner, competitor or contingency;</w:t>
      </w:r>
    </w:p>
    <w:p>
      <w:pPr>
        <w:pStyle w:val="Defstart"/>
      </w:pPr>
      <w:r>
        <w:tab/>
      </w:r>
      <w:r>
        <w:rPr>
          <w:rStyle w:val="CharDefText"/>
        </w:rPr>
        <w:t>betting exchange</w:t>
      </w:r>
      <w:r>
        <w:t xml:space="preserve"> has the meaning given in the </w:t>
      </w:r>
      <w:r>
        <w:rPr>
          <w:i/>
        </w:rPr>
        <w:t>Betting Control Act 1954</w:t>
      </w:r>
      <w:r>
        <w:t xml:space="preserve"> section 4AA;</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t>
      </w:r>
      <w:smartTag w:uri="urn:schemas-microsoft-com:office:smarttags" w:element="State">
        <w:smartTag w:uri="urn:schemas-microsoft-com:office:smarttags" w:element="place">
          <w:r>
            <w:t>Western Australia</w:t>
          </w:r>
        </w:smartTag>
      </w:smartTag>
      <w:r>
        <w:t xml:space="preserve">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rPr>
          <w:b/>
        </w:rPr>
        <w:tab/>
      </w:r>
      <w:r>
        <w:rPr>
          <w:rStyle w:val="CharDefText"/>
        </w:rPr>
        <w:t>controlling authority</w:t>
      </w:r>
      <w:r>
        <w:t xml:space="preserve"> means the body responsible for conducting a sporting event;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section 62 of the RWWA Act;</w:t>
      </w:r>
    </w:p>
    <w:p>
      <w:pPr>
        <w:pStyle w:val="Defstart"/>
      </w:pPr>
      <w:r>
        <w:rPr>
          <w:b/>
        </w:rPr>
        <w:tab/>
      </w:r>
      <w:r>
        <w:rPr>
          <w:rStyle w:val="CharDefText"/>
        </w:rPr>
        <w:t>doubles</w:t>
      </w:r>
      <w:r>
        <w:t xml:space="preserve"> means a wager on the contingency of 2 races or events;</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tab/>
      </w:r>
      <w:r>
        <w:rPr>
          <w:rStyle w:val="CharDefText"/>
        </w:rPr>
        <w:t>investor</w:t>
      </w:r>
      <w:r>
        <w:t xml:space="preserve"> means a person who makes, or offers to make, or attempts to make, a wager on a race or sporting event and includes a bettor;</w:t>
      </w:r>
    </w:p>
    <w:p>
      <w:pPr>
        <w:pStyle w:val="Defstart"/>
      </w:pPr>
      <w:r>
        <w:tab/>
      </w:r>
      <w:r>
        <w:rPr>
          <w:rStyle w:val="CharDefText"/>
        </w:rPr>
        <w:t>middle dividend</w:t>
      </w:r>
      <w:r>
        <w:t xml:space="preserve"> means — </w:t>
      </w:r>
    </w:p>
    <w:p>
      <w:pPr>
        <w:pStyle w:val="Defpara"/>
      </w:pPr>
      <w:r>
        <w:tab/>
        <w:t>(a)</w:t>
      </w:r>
      <w:r>
        <w:tab/>
        <w:t>where there are 3 Australian totalisators paying a dividend, the middle dividend paid; or</w:t>
      </w:r>
    </w:p>
    <w:p>
      <w:pPr>
        <w:pStyle w:val="Defpara"/>
      </w:pPr>
      <w:r>
        <w:tab/>
        <w:t>(b)</w:t>
      </w:r>
      <w:r>
        <w:tab/>
        <w:t>where there are 2 Australian totalisators paying a dividend, the higher of the 2 dividends paid; or</w:t>
      </w:r>
    </w:p>
    <w:p>
      <w:pPr>
        <w:pStyle w:val="Defpara"/>
      </w:pPr>
      <w:r>
        <w:tab/>
        <w:t>(c)</w:t>
      </w:r>
      <w:r>
        <w:tab/>
        <w:t>where there is one Australian totalisator paying a dividend, that dividend;</w:t>
      </w:r>
    </w:p>
    <w:p>
      <w:pPr>
        <w:pStyle w:val="Defstart"/>
      </w:pPr>
      <w:r>
        <w:rPr>
          <w:b/>
        </w:rPr>
        <w:tab/>
      </w:r>
      <w:r>
        <w:rPr>
          <w:rStyle w:val="CharDefText"/>
        </w:rPr>
        <w:t>multiple double</w:t>
      </w:r>
      <w:r>
        <w:t xml:space="preserve"> means a double on 2 races or events scheduled at the time the wager is made to be run on the same day;</w:t>
      </w:r>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rPr>
          <w:b/>
        </w:rPr>
        <w:tab/>
      </w:r>
      <w:r>
        <w:rPr>
          <w:rStyle w:val="CharDefText"/>
        </w:rPr>
        <w:t>official result</w:t>
      </w:r>
      <w:r>
        <w:t xml:space="preserve"> means the result or outcome of a sporting event, as declared by the relevant controlling authority immediately following the end of the event;</w:t>
      </w:r>
    </w:p>
    <w:p>
      <w:pPr>
        <w:pStyle w:val="Defstart"/>
      </w:pPr>
      <w:r>
        <w:rPr>
          <w:b/>
        </w:rPr>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or sporting event;</w:t>
      </w:r>
    </w:p>
    <w:p>
      <w:pPr>
        <w:pStyle w:val="Defstart"/>
      </w:pPr>
      <w:r>
        <w:rPr>
          <w:b/>
        </w:rPr>
        <w:tab/>
      </w:r>
      <w:r>
        <w:rPr>
          <w:rStyle w:val="CharDefText"/>
        </w:rPr>
        <w:t>play or pay</w:t>
      </w:r>
      <w:r>
        <w:t xml:space="preserve"> means a wager that holds good whether or not a runner or participant on which the wager is made runs or participates in the race or sporting event in respect of which the wager is made;</w:t>
      </w:r>
    </w:p>
    <w:p>
      <w:pPr>
        <w:pStyle w:val="Defstart"/>
      </w:pPr>
      <w:r>
        <w:rPr>
          <w:b/>
        </w:rPr>
        <w:tab/>
      </w:r>
      <w:r>
        <w:rPr>
          <w:rStyle w:val="CharDefText"/>
        </w:rPr>
        <w:t>prescribed commission</w:t>
      </w:r>
      <w:r>
        <w:t xml:space="preserve"> means the</w:t>
      </w:r>
      <w:r>
        <w:rPr>
          <w:b/>
          <w:bCs/>
        </w:rPr>
        <w:t xml:space="preserve"> </w:t>
      </w:r>
      <w:r>
        <w:t xml:space="preserve">amount prescribed by regulation 17C or 17D of the </w:t>
      </w:r>
      <w:r>
        <w:rPr>
          <w:i/>
          <w:iCs/>
        </w:rPr>
        <w:t>Betting Control Regulations 1978</w:t>
      </w:r>
      <w:r>
        <w:t>, as the case may be, that may be deducted as commission from a wager included in a totalisator pool;</w:t>
      </w:r>
    </w:p>
    <w:p>
      <w:pPr>
        <w:pStyle w:val="Defstart"/>
      </w:pPr>
      <w:r>
        <w:tab/>
      </w:r>
      <w:r>
        <w:rPr>
          <w:rStyle w:val="CharDefText"/>
        </w:rPr>
        <w:t>pricing information body</w:t>
      </w:r>
      <w:r>
        <w:t xml:space="preserve"> means the body selected from time to time by RWWA to be the body responsible for determining the Australian on-course bookmakers’ pricing information;</w:t>
      </w:r>
    </w:p>
    <w:p>
      <w:pPr>
        <w:pStyle w:val="Defstart"/>
      </w:pPr>
      <w:r>
        <w:rPr>
          <w:b/>
        </w:rPr>
        <w:tab/>
      </w:r>
      <w:r>
        <w:rPr>
          <w:rStyle w:val="CharDefText"/>
        </w:rPr>
        <w:t>race</w:t>
      </w:r>
      <w:r>
        <w:t xml:space="preserve"> means a thoroughbred race, a harness race or a greyhound race, but does not include a trial;</w:t>
      </w:r>
    </w:p>
    <w:p>
      <w:pPr>
        <w:pStyle w:val="Defstart"/>
      </w:pPr>
      <w:r>
        <w:rPr>
          <w:b/>
        </w:rPr>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section 4 of the RWWA Act;</w:t>
      </w:r>
    </w:p>
    <w:p>
      <w:pPr>
        <w:pStyle w:val="Defstart"/>
      </w:pPr>
      <w:r>
        <w:rPr>
          <w:b/>
        </w:rPr>
        <w:tab/>
      </w:r>
      <w:r>
        <w:rPr>
          <w:rStyle w:val="CharDefText"/>
        </w:rPr>
        <w:t>RWWA Act</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Defstart"/>
      </w:pPr>
      <w:r>
        <w:rPr>
          <w:b/>
        </w:rPr>
        <w:tab/>
      </w:r>
      <w:r>
        <w:rPr>
          <w:rStyle w:val="CharDefText"/>
        </w:rPr>
        <w:t>RWWA Regulations</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Regulations 2003</w:t>
      </w:r>
      <w:r>
        <w:t>;</w:t>
      </w:r>
    </w:p>
    <w:p>
      <w:pPr>
        <w:pStyle w:val="Defstart"/>
      </w:pPr>
      <w:r>
        <w:rPr>
          <w:b/>
        </w:rPr>
        <w:tab/>
      </w:r>
      <w:r>
        <w:rPr>
          <w:rStyle w:val="CharDefText"/>
        </w:rPr>
        <w:t>scheduled starting time</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pPr>
      <w:r>
        <w:tab/>
      </w:r>
      <w:r>
        <w:rPr>
          <w:rStyle w:val="CharDefText"/>
        </w:rPr>
        <w:t xml:space="preserve">starting price guarantee wager </w:t>
      </w:r>
      <w:r>
        <w:t>means a win wager where the odds for a runner are the higher of the fixed odds for that runner at the time of the wager and the final on</w:t>
      </w:r>
      <w:r>
        <w:noBreakHyphen/>
        <w:t>course bookmakers’ odds for that runner as determined by the pricing information body or rule 51A(1);</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pPr>
      <w:r>
        <w:tab/>
      </w:r>
      <w:r>
        <w:rPr>
          <w:rStyle w:val="CharDefText"/>
        </w:rPr>
        <w:t>top fluc wager</w:t>
      </w:r>
      <w:r>
        <w:t xml:space="preserve"> means a win wager where the odds for a runner are the highest on</w:t>
      </w:r>
      <w:r>
        <w:noBreakHyphen/>
        <w:t>course bookmakers’ odds for that runner as determined by the pricing information body or rule 51A(2);</w:t>
      </w:r>
    </w:p>
    <w:p>
      <w:pPr>
        <w:pStyle w:val="Defstart"/>
        <w:keepNext/>
        <w:rPr>
          <w:bCs/>
        </w:rPr>
      </w:pPr>
      <w:r>
        <w:rPr>
          <w:b/>
        </w:rPr>
        <w:tab/>
      </w:r>
      <w:r>
        <w:rPr>
          <w:rStyle w:val="CharDefText"/>
        </w:rPr>
        <w:t>totalisator</w:t>
      </w:r>
      <w:r>
        <w:t xml:space="preserve"> means the instrument known as “the totalisator” and</w:t>
      </w:r>
      <w:r>
        <w:rPr>
          <w:bCs/>
        </w:rPr>
        <w:t xml:space="preserve">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tab/>
      </w:r>
      <w:r>
        <w:rPr>
          <w:rStyle w:val="CharDefText"/>
        </w:rPr>
        <w:t>tote bet wager</w:t>
      </w:r>
      <w:r>
        <w:t xml:space="preserve"> means a win wager or a place wager where the odds are based on the final totalisator price as determined by the Australian totalisator;</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section 64 of the RWWA Act;</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or sporting event.</w:t>
      </w:r>
    </w:p>
    <w:p>
      <w:pPr>
        <w:pStyle w:val="Subsection"/>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 Gazette 18 Aug 2006 p. 3370; 18 Sep 2007 p. 4712; 4 Jan 2013 p. 15; 14 Jun 2013 p. 2244; 29 Nov 2013 p. 5468</w:t>
      </w:r>
      <w:r>
        <w:noBreakHyphen/>
        <w:t>9; 11 Aug 2017 p. 4355.]</w:t>
      </w:r>
    </w:p>
    <w:p>
      <w:pPr>
        <w:pStyle w:val="Heading5"/>
        <w:keepNext w:val="0"/>
        <w:keepLines w:val="0"/>
        <w:spacing w:before="180"/>
      </w:pPr>
      <w:bookmarkStart w:id="15" w:name="_Toc406507551"/>
      <w:bookmarkStart w:id="16" w:name="_Toc490126923"/>
      <w:r>
        <w:rPr>
          <w:rStyle w:val="CharSectno"/>
        </w:rPr>
        <w:t>4</w:t>
      </w:r>
      <w:r>
        <w:t>.</w:t>
      </w:r>
      <w:r>
        <w:tab/>
        <w:t>Application</w:t>
      </w:r>
      <w:bookmarkEnd w:id="15"/>
      <w:bookmarkEnd w:id="16"/>
    </w:p>
    <w:p>
      <w:pPr>
        <w:pStyle w:val="Subsection"/>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17" w:name="_Toc406507552"/>
      <w:bookmarkStart w:id="18" w:name="_Toc490126924"/>
      <w:r>
        <w:rPr>
          <w:rStyle w:val="CharSectno"/>
        </w:rPr>
        <w:t>5</w:t>
      </w:r>
      <w:r>
        <w:t>.</w:t>
      </w:r>
      <w:r>
        <w:tab/>
      </w:r>
      <w:r>
        <w:rPr>
          <w:szCs w:val="18"/>
        </w:rPr>
        <w:t>Matters not covered by these rules</w:t>
      </w:r>
      <w:bookmarkEnd w:id="17"/>
      <w:bookmarkEnd w:id="18"/>
    </w:p>
    <w:p>
      <w:pPr>
        <w:pStyle w:val="Subsection"/>
        <w:spacing w:before="120"/>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(ba)</w:t>
      </w:r>
      <w:r>
        <w:tab/>
        <w:t>where the matter relates to wagering conducted by a bookmaker offering odds determined by an Australian totalisator — by the steward in charge of the race meeting or racecourse at which the bookmaker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Footnotesection"/>
      </w:pPr>
      <w:r>
        <w:tab/>
        <w:t>[Rule 5 amended: Gazette 29 Nov 2013 p.</w:t>
      </w:r>
      <w:r>
        <w:rPr>
          <w:sz w:val="19"/>
        </w:rPr>
        <w:t> </w:t>
      </w:r>
      <w:r>
        <w:t>5469.]</w:t>
      </w:r>
    </w:p>
    <w:p>
      <w:pPr>
        <w:pStyle w:val="Heading5"/>
        <w:rPr>
          <w:szCs w:val="18"/>
        </w:rPr>
      </w:pPr>
      <w:bookmarkStart w:id="19" w:name="_Toc406507553"/>
      <w:bookmarkStart w:id="20" w:name="_Toc490126925"/>
      <w:r>
        <w:rPr>
          <w:rStyle w:val="CharSectno"/>
        </w:rPr>
        <w:t>6</w:t>
      </w:r>
      <w:r>
        <w:rPr>
          <w:szCs w:val="18"/>
        </w:rPr>
        <w:t>.</w:t>
      </w:r>
      <w:r>
        <w:rPr>
          <w:szCs w:val="18"/>
        </w:rPr>
        <w:tab/>
        <w:t>Copy of these rules to be available</w:t>
      </w:r>
      <w:bookmarkEnd w:id="19"/>
      <w:bookmarkEnd w:id="20"/>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21" w:name="_Toc377038937"/>
      <w:bookmarkStart w:id="22" w:name="_Toc406507554"/>
      <w:bookmarkStart w:id="23" w:name="_Toc425172590"/>
      <w:bookmarkStart w:id="24" w:name="_Toc435092205"/>
      <w:bookmarkStart w:id="25" w:name="_Toc446331345"/>
      <w:bookmarkStart w:id="26" w:name="_Toc490126926"/>
      <w:r>
        <w:rPr>
          <w:rStyle w:val="CharPartNo"/>
        </w:rPr>
        <w:t>Part 2</w:t>
      </w:r>
      <w:r>
        <w:rPr>
          <w:rStyle w:val="CharDivNo"/>
        </w:rPr>
        <w:t> </w:t>
      </w:r>
      <w:r>
        <w:t>—</w:t>
      </w:r>
      <w:r>
        <w:rPr>
          <w:rStyle w:val="CharDivText"/>
        </w:rPr>
        <w:t> </w:t>
      </w:r>
      <w:r>
        <w:rPr>
          <w:rStyle w:val="CharPartText"/>
        </w:rPr>
        <w:t>Conduct of totalisator wagering generally</w:t>
      </w:r>
      <w:bookmarkEnd w:id="21"/>
      <w:bookmarkEnd w:id="22"/>
      <w:bookmarkEnd w:id="23"/>
      <w:bookmarkEnd w:id="24"/>
      <w:bookmarkEnd w:id="25"/>
      <w:bookmarkEnd w:id="26"/>
    </w:p>
    <w:p>
      <w:pPr>
        <w:pStyle w:val="Heading5"/>
      </w:pPr>
      <w:bookmarkStart w:id="27" w:name="_Toc406507555"/>
      <w:bookmarkStart w:id="28" w:name="_Toc490126927"/>
      <w:r>
        <w:rPr>
          <w:rStyle w:val="CharSectno"/>
        </w:rPr>
        <w:t>7</w:t>
      </w:r>
      <w:r>
        <w:t>.</w:t>
      </w:r>
      <w:r>
        <w:tab/>
        <w:t>Supervision of wagering by on</w:t>
      </w:r>
      <w:r>
        <w:noBreakHyphen/>
        <w:t>course totalisators</w:t>
      </w:r>
      <w:bookmarkEnd w:id="27"/>
      <w:bookmarkEnd w:id="28"/>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29" w:name="_Toc406507556"/>
      <w:bookmarkStart w:id="30" w:name="_Toc490126928"/>
      <w:r>
        <w:rPr>
          <w:rStyle w:val="CharSectno"/>
        </w:rPr>
        <w:t>8</w:t>
      </w:r>
      <w:r>
        <w:t>.</w:t>
      </w:r>
      <w:r>
        <w:tab/>
        <w:t>Racing club to appoint on</w:t>
      </w:r>
      <w:r>
        <w:noBreakHyphen/>
        <w:t>course totalisator manager</w:t>
      </w:r>
      <w:bookmarkEnd w:id="29"/>
      <w:bookmarkEnd w:id="30"/>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31" w:name="_Toc406507557"/>
      <w:bookmarkStart w:id="32" w:name="_Toc490126929"/>
      <w:r>
        <w:rPr>
          <w:rStyle w:val="CharSectno"/>
        </w:rPr>
        <w:t>9</w:t>
      </w:r>
      <w:r>
        <w:t>.</w:t>
      </w:r>
      <w:r>
        <w:tab/>
        <w:t>Duty to report non</w:t>
      </w:r>
      <w:r>
        <w:noBreakHyphen/>
        <w:t>compliance</w:t>
      </w:r>
      <w:bookmarkEnd w:id="31"/>
      <w:bookmarkEnd w:id="32"/>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33" w:name="_Toc406507558"/>
      <w:bookmarkStart w:id="34" w:name="_Toc490126930"/>
      <w:r>
        <w:rPr>
          <w:rStyle w:val="CharSectno"/>
        </w:rPr>
        <w:t>10</w:t>
      </w:r>
      <w:r>
        <w:t>.</w:t>
      </w:r>
      <w:r>
        <w:tab/>
        <w:t>Changes affecting wagering to be advised</w:t>
      </w:r>
      <w:bookmarkEnd w:id="33"/>
      <w:bookmarkEnd w:id="34"/>
    </w:p>
    <w:p>
      <w:pPr>
        <w:pStyle w:val="Subsection"/>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course totalisator manager of that occurrence and 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35" w:name="_Toc406507559"/>
      <w:bookmarkStart w:id="36" w:name="_Toc490126931"/>
      <w:r>
        <w:rPr>
          <w:rStyle w:val="CharSectno"/>
        </w:rPr>
        <w:t>11</w:t>
      </w:r>
      <w:r>
        <w:t>.</w:t>
      </w:r>
      <w:r>
        <w:tab/>
        <w:t>Numbering of runner on totalisator</w:t>
      </w:r>
      <w:bookmarkEnd w:id="35"/>
      <w:bookmarkEnd w:id="36"/>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37" w:name="_Toc406507560"/>
      <w:bookmarkStart w:id="38" w:name="_Toc490126932"/>
      <w:r>
        <w:rPr>
          <w:rStyle w:val="CharSectno"/>
        </w:rPr>
        <w:t>12</w:t>
      </w:r>
      <w:r>
        <w:t>.</w:t>
      </w:r>
      <w:r>
        <w:tab/>
        <w:t>Display of anticipated dividends</w:t>
      </w:r>
      <w:bookmarkEnd w:id="37"/>
      <w:bookmarkEnd w:id="38"/>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39" w:name="_Toc406507561"/>
      <w:bookmarkStart w:id="40" w:name="_Toc490126933"/>
      <w:r>
        <w:rPr>
          <w:rStyle w:val="CharSectno"/>
        </w:rPr>
        <w:t>13</w:t>
      </w:r>
      <w:r>
        <w:t>.</w:t>
      </w:r>
      <w:r>
        <w:tab/>
        <w:t>When dividends become payable</w:t>
      </w:r>
      <w:bookmarkEnd w:id="39"/>
      <w:bookmarkEnd w:id="40"/>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Gazette 18 Aug 2006 p. 3370.]</w:t>
      </w:r>
    </w:p>
    <w:p>
      <w:pPr>
        <w:pStyle w:val="Heading5"/>
      </w:pPr>
      <w:bookmarkStart w:id="41" w:name="_Toc406507562"/>
      <w:bookmarkStart w:id="42" w:name="_Toc490126934"/>
      <w:r>
        <w:rPr>
          <w:rStyle w:val="CharSectno"/>
        </w:rPr>
        <w:t>14</w:t>
      </w:r>
      <w:r>
        <w:t>.</w:t>
      </w:r>
      <w:r>
        <w:tab/>
        <w:t>Exhibiting of dividends</w:t>
      </w:r>
      <w:bookmarkEnd w:id="41"/>
      <w:bookmarkEnd w:id="42"/>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43" w:name="_Toc406507563"/>
      <w:bookmarkStart w:id="44" w:name="_Toc490126935"/>
      <w:r>
        <w:rPr>
          <w:rStyle w:val="CharSectno"/>
        </w:rPr>
        <w:t>15</w:t>
      </w:r>
      <w:r>
        <w:t>.</w:t>
      </w:r>
      <w:r>
        <w:tab/>
        <w:t>Wagers that contravene rules of racing not permitted</w:t>
      </w:r>
      <w:bookmarkEnd w:id="43"/>
      <w:bookmarkEnd w:id="44"/>
    </w:p>
    <w:p>
      <w:pPr>
        <w:pStyle w:val="Subsection"/>
      </w:pPr>
      <w:r>
        <w:tab/>
      </w:r>
      <w:r>
        <w:tab/>
        <w:t>A totalisator operator is not permitted to receive or make a wager that contravenes the rules of racing made under section 45 of the RWWA Act.</w:t>
      </w:r>
    </w:p>
    <w:p>
      <w:pPr>
        <w:pStyle w:val="Heading2"/>
      </w:pPr>
      <w:bookmarkStart w:id="45" w:name="_Toc377038947"/>
      <w:bookmarkStart w:id="46" w:name="_Toc406507564"/>
      <w:bookmarkStart w:id="47" w:name="_Toc425172600"/>
      <w:bookmarkStart w:id="48" w:name="_Toc435092215"/>
      <w:bookmarkStart w:id="49" w:name="_Toc446331355"/>
      <w:bookmarkStart w:id="50" w:name="_Toc490126936"/>
      <w:r>
        <w:rPr>
          <w:rStyle w:val="CharPartNo"/>
        </w:rPr>
        <w:t>Part 3</w:t>
      </w:r>
      <w:r>
        <w:rPr>
          <w:rStyle w:val="CharDivNo"/>
        </w:rPr>
        <w:t> </w:t>
      </w:r>
      <w:r>
        <w:t>—</w:t>
      </w:r>
      <w:r>
        <w:rPr>
          <w:rStyle w:val="CharDivText"/>
        </w:rPr>
        <w:t> </w:t>
      </w:r>
      <w:r>
        <w:rPr>
          <w:rStyle w:val="CharPartText"/>
        </w:rPr>
        <w:t>Rules of totalisator wagering</w:t>
      </w:r>
      <w:bookmarkEnd w:id="45"/>
      <w:bookmarkEnd w:id="46"/>
      <w:bookmarkEnd w:id="47"/>
      <w:bookmarkEnd w:id="48"/>
      <w:bookmarkEnd w:id="49"/>
      <w:bookmarkEnd w:id="50"/>
    </w:p>
    <w:p>
      <w:pPr>
        <w:pStyle w:val="Heading5"/>
        <w:spacing w:before="240"/>
      </w:pPr>
      <w:bookmarkStart w:id="51" w:name="_Toc406507565"/>
      <w:bookmarkStart w:id="52" w:name="_Toc490126937"/>
      <w:r>
        <w:rPr>
          <w:rStyle w:val="CharSectno"/>
        </w:rPr>
        <w:t>16</w:t>
      </w:r>
      <w:r>
        <w:t>.</w:t>
      </w:r>
      <w:r>
        <w:tab/>
        <w:t>Totalisator pools  — win and place wagers</w:t>
      </w:r>
      <w:bookmarkEnd w:id="51"/>
      <w:bookmarkEnd w:id="52"/>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divide and set aside the amount then remaining in the pool in 2 equal parts on behalf of the other 2 placed runners or participants and deduct from each the prescribed commission from the parts (having regard to 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53" w:name="_Toc406507566"/>
      <w:bookmarkStart w:id="54" w:name="_Toc490126938"/>
      <w:r>
        <w:rPr>
          <w:rStyle w:val="CharSectno"/>
        </w:rPr>
        <w:t>17</w:t>
      </w:r>
      <w:r>
        <w:t>.</w:t>
      </w:r>
      <w:r>
        <w:tab/>
        <w:t>Totalisator pools – novelty wagers on races</w:t>
      </w:r>
      <w:bookmarkEnd w:id="53"/>
      <w:bookmarkEnd w:id="54"/>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in a trifecta wager, the person making the wager selects one runner to be first, another runner to be second, and 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55" w:name="_Toc406507567"/>
      <w:bookmarkStart w:id="56" w:name="_Toc490126939"/>
      <w:r>
        <w:rPr>
          <w:rStyle w:val="CharSectno"/>
        </w:rPr>
        <w:t>18</w:t>
      </w:r>
      <w:r>
        <w:t>.</w:t>
      </w:r>
      <w:r>
        <w:tab/>
        <w:t>Dividends on novelty wagers</w:t>
      </w:r>
      <w:bookmarkEnd w:id="55"/>
      <w:bookmarkEnd w:id="56"/>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if, in a case to which subrule (2)(d) applies, there is a winning combination that was not selected by any person making a wager placed in the totalisator pool 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 Gazette 30 Aug 2005 p. 4055; 18 Sep 2007 p. 4712.]</w:t>
      </w:r>
    </w:p>
    <w:p>
      <w:pPr>
        <w:pStyle w:val="Heading5"/>
      </w:pPr>
      <w:bookmarkStart w:id="57" w:name="_Toc406507568"/>
      <w:bookmarkStart w:id="58" w:name="_Toc490126940"/>
      <w:r>
        <w:rPr>
          <w:rStyle w:val="CharSectno"/>
        </w:rPr>
        <w:t>18A</w:t>
      </w:r>
      <w:r>
        <w:t>.</w:t>
      </w:r>
      <w:r>
        <w:tab/>
        <w:t>Dividends on novelty wagers if less than one unit invested on correct selections</w:t>
      </w:r>
      <w:bookmarkEnd w:id="57"/>
      <w:bookmarkEnd w:id="58"/>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pPr>
      <m:oMathPara>
        <m:oMath>
          <m:r>
            <m:rPr>
              <m:sty m:val="p"/>
            </m:rPr>
            <w:rPr>
              <w:rFonts w:ascii="Cambria Math" w:hAnsi="Cambria Math"/>
            </w:rPr>
            <m:t>t =di-da</m:t>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Gazette 4 Jan 2013 p. 20</w:t>
      </w:r>
      <w:r>
        <w:noBreakHyphen/>
        <w:t>1.]</w:t>
      </w:r>
    </w:p>
    <w:p>
      <w:pPr>
        <w:pStyle w:val="Heading5"/>
      </w:pPr>
      <w:bookmarkStart w:id="59" w:name="_Toc406507569"/>
      <w:bookmarkStart w:id="60" w:name="_Toc490126941"/>
      <w:r>
        <w:rPr>
          <w:rStyle w:val="CharSectno"/>
        </w:rPr>
        <w:t>19</w:t>
      </w:r>
      <w:r>
        <w:t>.</w:t>
      </w:r>
      <w:r>
        <w:tab/>
        <w:t>Double event wagers on races</w:t>
      </w:r>
      <w:bookmarkEnd w:id="59"/>
      <w:bookmarkEnd w:id="60"/>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61" w:name="_Toc406507570"/>
      <w:bookmarkStart w:id="62" w:name="_Toc490126942"/>
      <w:r>
        <w:rPr>
          <w:rStyle w:val="CharSectno"/>
        </w:rPr>
        <w:t>20</w:t>
      </w:r>
      <w:r>
        <w:t>.</w:t>
      </w:r>
      <w:r>
        <w:tab/>
        <w:t>Favourite numbers wagers</w:t>
      </w:r>
      <w:bookmarkEnd w:id="61"/>
      <w:bookmarkEnd w:id="62"/>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pPr>
      <w:r>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63" w:name="_Toc406507571"/>
      <w:bookmarkStart w:id="64" w:name="_Toc490126943"/>
      <w:r>
        <w:rPr>
          <w:rStyle w:val="CharSectno"/>
        </w:rPr>
        <w:t>21</w:t>
      </w:r>
      <w:r>
        <w:t>.</w:t>
      </w:r>
      <w:r>
        <w:tab/>
        <w:t>Determination of totalisator favourite</w:t>
      </w:r>
      <w:bookmarkEnd w:id="63"/>
      <w:bookmarkEnd w:id="64"/>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65" w:name="_Toc406507572"/>
      <w:bookmarkStart w:id="66" w:name="_Toc490126944"/>
      <w:r>
        <w:rPr>
          <w:rStyle w:val="CharSectno"/>
        </w:rPr>
        <w:t>22</w:t>
      </w:r>
      <w:r>
        <w:t>.</w:t>
      </w:r>
      <w:r>
        <w:tab/>
        <w:t>Quaddie wagers</w:t>
      </w:r>
      <w:bookmarkEnd w:id="65"/>
      <w:bookmarkEnd w:id="66"/>
    </w:p>
    <w:p>
      <w:pPr>
        <w:pStyle w:val="Subsection"/>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pPr>
      <w:r>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67" w:name="_Toc406507573"/>
      <w:bookmarkStart w:id="68" w:name="_Toc490126945"/>
      <w:r>
        <w:rPr>
          <w:rStyle w:val="CharSectno"/>
        </w:rPr>
        <w:t>22A</w:t>
      </w:r>
      <w:r>
        <w:t>.</w:t>
      </w:r>
      <w:r>
        <w:tab/>
        <w:t>Flexi Bets</w:t>
      </w:r>
      <w:bookmarkEnd w:id="67"/>
      <w:bookmarkEnd w:id="68"/>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Gazette 18 Sep 2007 p. 4713</w:t>
      </w:r>
      <w:r>
        <w:noBreakHyphen/>
        <w:t>14; amended: Gazette 4 Jan 2013 p. 21.]</w:t>
      </w:r>
    </w:p>
    <w:p>
      <w:pPr>
        <w:pStyle w:val="Heading5"/>
      </w:pPr>
      <w:bookmarkStart w:id="69" w:name="_Toc406507574"/>
      <w:bookmarkStart w:id="70" w:name="_Toc490126946"/>
      <w:r>
        <w:rPr>
          <w:rStyle w:val="CharSectno"/>
        </w:rPr>
        <w:t>23</w:t>
      </w:r>
      <w:r>
        <w:t>.</w:t>
      </w:r>
      <w:r>
        <w:tab/>
        <w:t>Totalisator pools – sporting events</w:t>
      </w:r>
      <w:bookmarkEnd w:id="69"/>
      <w:bookmarkEnd w:id="70"/>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THeadingNAm"/>
        <w:ind w:right="860"/>
      </w:pPr>
      <w:r>
        <w:t>Table</w:t>
      </w:r>
    </w:p>
    <w:tbl>
      <w:tblPr>
        <w:tblW w:w="0" w:type="auto"/>
        <w:tblInd w:w="1101" w:type="dxa"/>
        <w:tblLook w:val="0000" w:firstRow="0" w:lastRow="0" w:firstColumn="0" w:lastColumn="0" w:noHBand="0" w:noVBand="0"/>
      </w:tblPr>
      <w:tblGrid>
        <w:gridCol w:w="5244"/>
      </w:tblGrid>
      <w:tr>
        <w:tc>
          <w:tcPr>
            <w:tcW w:w="5244" w:type="dxa"/>
          </w:tcPr>
          <w:p>
            <w:pPr>
              <w:pStyle w:val="TableNAm"/>
            </w:pPr>
            <w:r>
              <w:t>Any game of American football or series of games of American football.</w:t>
            </w:r>
          </w:p>
        </w:tc>
      </w:tr>
      <w:tr>
        <w:tc>
          <w:tcPr>
            <w:tcW w:w="5244" w:type="dxa"/>
          </w:tcPr>
          <w:p>
            <w:pPr>
              <w:pStyle w:val="TableNAm"/>
            </w:pPr>
            <w:r>
              <w:t>Any game of baseball or series of games of baseball.</w:t>
            </w:r>
          </w:p>
        </w:tc>
      </w:tr>
      <w:tr>
        <w:tc>
          <w:tcPr>
            <w:tcW w:w="5244" w:type="dxa"/>
          </w:tcPr>
          <w:p>
            <w:pPr>
              <w:pStyle w:val="TableNAm"/>
            </w:pPr>
            <w:r>
              <w:t>Any game of basketball or series of games of basketball.</w:t>
            </w:r>
          </w:p>
        </w:tc>
      </w:tr>
      <w:tr>
        <w:tc>
          <w:tcPr>
            <w:tcW w:w="5244" w:type="dxa"/>
          </w:tcPr>
          <w:p>
            <w:pPr>
              <w:pStyle w:val="TableNAm"/>
            </w:pPr>
            <w:r>
              <w:t>Any game of ice hockey or series of games of ice hockey.</w:t>
            </w:r>
          </w:p>
        </w:tc>
      </w:tr>
      <w:tr>
        <w:tc>
          <w:tcPr>
            <w:tcW w:w="5244" w:type="dxa"/>
          </w:tcPr>
          <w:p>
            <w:pPr>
              <w:pStyle w:val="TableNAm"/>
            </w:pPr>
            <w:r>
              <w:t>Any game of rugby league or series of games of rugby league.</w:t>
            </w:r>
          </w:p>
        </w:tc>
      </w:tr>
      <w:tr>
        <w:tc>
          <w:tcPr>
            <w:tcW w:w="5244" w:type="dxa"/>
          </w:tcPr>
          <w:p>
            <w:pPr>
              <w:pStyle w:val="TableNAm"/>
            </w:pPr>
            <w:r>
              <w:t>Any game of rugby union or series of games of rugby union.</w:t>
            </w:r>
          </w:p>
        </w:tc>
      </w:tr>
      <w:tr>
        <w:tc>
          <w:tcPr>
            <w:tcW w:w="5244" w:type="dxa"/>
          </w:tcPr>
          <w:p>
            <w:pPr>
              <w:pStyle w:val="TableNAm"/>
            </w:pPr>
            <w:r>
              <w:t>Any game of soccer or series of games of soccer.</w:t>
            </w:r>
          </w:p>
        </w:tc>
      </w:tr>
      <w:tr>
        <w:tc>
          <w:tcPr>
            <w:tcW w:w="5244" w:type="dxa"/>
          </w:tcPr>
          <w:p>
            <w:pPr>
              <w:pStyle w:val="TableNAm"/>
            </w:pPr>
            <w:r>
              <w:t>Any game of tennis or series of games of tennis.</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rPr>
          <w:spacing w:val="-6"/>
        </w:rPr>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Footnotesection"/>
      </w:pPr>
      <w:r>
        <w:tab/>
        <w:t>[Rule 23 amended: Gazette 22 Mar 2016 p. 837.]</w:t>
      </w:r>
    </w:p>
    <w:p>
      <w:pPr>
        <w:pStyle w:val="Heading5"/>
      </w:pPr>
      <w:bookmarkStart w:id="71" w:name="_Toc406507575"/>
      <w:bookmarkStart w:id="72" w:name="_Toc490126947"/>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71"/>
      <w:bookmarkEnd w:id="72"/>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trPr>
        <w:tc>
          <w:tcPr>
            <w:tcW w:w="5980" w:type="dxa"/>
          </w:tcPr>
          <w:p>
            <w:pPr>
              <w:pStyle w:val="Defstart"/>
              <w:ind w:left="0" w:firstLine="0"/>
              <w:rPr>
                <w:szCs w:val="24"/>
              </w:rPr>
            </w:pPr>
            <w:r>
              <w:rPr>
                <w:rStyle w:val="CharDefText"/>
                <w:szCs w:val="24"/>
              </w:rPr>
              <w:t>sports tipping wager</w:t>
            </w:r>
            <w:r>
              <w:rPr>
                <w:szCs w:val="24"/>
              </w:rPr>
              <w:t xml:space="preserve"> means the nomination of an amount of a wager, and the prediction that the results of each event, in a predetermined pool of sporting events, 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 xml:space="preserve">a </w:t>
            </w:r>
            <w:r>
              <w:t>tie (if such an outcome is offered).</w:t>
            </w:r>
          </w:p>
        </w:tc>
      </w:tr>
    </w:tbl>
    <w:p>
      <w:pPr>
        <w:pStyle w:val="Footnotesection"/>
      </w:pPr>
      <w:bookmarkStart w:id="73" w:name="_Toc406507576"/>
      <w:r>
        <w:tab/>
        <w:t>[Rule 24 amended: Gazette 22 Mar 2016 p. 837.]</w:t>
      </w:r>
    </w:p>
    <w:p>
      <w:pPr>
        <w:pStyle w:val="Heading5"/>
      </w:pPr>
      <w:bookmarkStart w:id="74" w:name="_Toc490126948"/>
      <w:r>
        <w:rPr>
          <w:rStyle w:val="CharSectno"/>
        </w:rPr>
        <w:t>25</w:t>
      </w:r>
      <w:r>
        <w:t>.</w:t>
      </w:r>
      <w:r>
        <w:tab/>
        <w:t>Sports tipping wagers</w:t>
      </w:r>
      <w:bookmarkEnd w:id="73"/>
      <w:bookmarkEnd w:id="74"/>
    </w:p>
    <w:p>
      <w:pPr>
        <w:pStyle w:val="Subsection"/>
      </w:pPr>
      <w:r>
        <w:tab/>
        <w:t>(1)</w:t>
      </w:r>
      <w:r>
        <w:tab/>
        <w:t>This rule applies in relation to any totalisator pool conducted by the totalisator operator in respect of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tab/>
        <w:t>(c)</w:t>
      </w:r>
      <w:r>
        <w:tab/>
        <w:t>divide the number of winning units into the amount of the resulting balance, and declare and pay that dividend in respect of each unit to the holder of each winning ticket.</w:t>
      </w:r>
    </w:p>
    <w:p>
      <w:pPr>
        <w:pStyle w:val="Subsection"/>
        <w:spacing w:before="120"/>
      </w:pPr>
      <w:r>
        <w:tab/>
        <w:t>(4)</w:t>
      </w:r>
      <w:r>
        <w:tab/>
        <w:t xml:space="preserve">If no sports tipping wager placed in the totalisator pool concerned is a winning wager (including where the outcome of a tie was not offered in the totalisator pool and one or more of the matches in the game pool resulted in a tie), the totalisator operator is to — </w:t>
      </w:r>
    </w:p>
    <w:p>
      <w:pPr>
        <w:pStyle w:val="Indenta"/>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Footnotesection"/>
      </w:pPr>
      <w:r>
        <w:tab/>
        <w:t>[Rule 25 amended: Gazette 22 Mar 2016 p. 837-8.]</w:t>
      </w:r>
    </w:p>
    <w:p>
      <w:pPr>
        <w:pStyle w:val="Heading5"/>
      </w:pPr>
      <w:bookmarkStart w:id="75" w:name="_Toc406507577"/>
      <w:bookmarkStart w:id="76" w:name="_Toc490126949"/>
      <w:r>
        <w:rPr>
          <w:rStyle w:val="CharSectno"/>
        </w:rPr>
        <w:t>26</w:t>
      </w:r>
      <w:r>
        <w:t>.</w:t>
      </w:r>
      <w:r>
        <w:tab/>
        <w:t>Wagers on Australian Rules Football</w:t>
      </w:r>
      <w:bookmarkEnd w:id="75"/>
      <w:bookmarkEnd w:id="76"/>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sports tipping wagers.</w:t>
      </w:r>
    </w:p>
    <w:p>
      <w:pPr>
        <w:pStyle w:val="Subsection"/>
      </w:pPr>
      <w:r>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Footnotesection"/>
      </w:pPr>
      <w:r>
        <w:tab/>
        <w:t>[Rule 26 amended: Gazette 22 Mar 2016 p. 838.]</w:t>
      </w:r>
    </w:p>
    <w:p>
      <w:pPr>
        <w:pStyle w:val="Heading5"/>
      </w:pPr>
      <w:bookmarkStart w:id="77" w:name="_Toc406507578"/>
      <w:bookmarkStart w:id="78" w:name="_Toc490126950"/>
      <w:r>
        <w:rPr>
          <w:rStyle w:val="CharSectno"/>
        </w:rPr>
        <w:t>27</w:t>
      </w:r>
      <w:r>
        <w:t>.</w:t>
      </w:r>
      <w:r>
        <w:tab/>
        <w:t>Footo wagers</w:t>
      </w:r>
      <w:bookmarkEnd w:id="77"/>
      <w:bookmarkEnd w:id="78"/>
    </w:p>
    <w:p>
      <w:pPr>
        <w:pStyle w:val="Subsection"/>
      </w:pPr>
      <w:r>
        <w:tab/>
        <w:t>(1)</w:t>
      </w:r>
      <w:r>
        <w:tab/>
        <w:t xml:space="preserve">For a Footo wager, the investor making the wager nominates — </w:t>
      </w:r>
    </w:p>
    <w:p>
      <w:pPr>
        <w:pStyle w:val="Indenta"/>
      </w:pPr>
      <w:r>
        <w:tab/>
        <w:t>(a)</w:t>
      </w:r>
      <w:r>
        <w:tab/>
        <w:t>the selected team, on the chance that it will be the winning team or that the match will be a tie;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tie, where a tie is an outcome permitted under the rules governing the conduct of a particular match; or</w:t>
      </w:r>
    </w:p>
    <w:p>
      <w:pPr>
        <w:pStyle w:val="Indenta"/>
      </w:pPr>
      <w:r>
        <w:tab/>
        <w:t>(b)</w:t>
      </w:r>
      <w:r>
        <w:tab/>
        <w:t>from one or more score ranges within brackets of points or goals as determined by the totalisator operator; or</w:t>
      </w:r>
    </w:p>
    <w:p>
      <w:pPr>
        <w:pStyle w:val="Indenta"/>
      </w:pPr>
      <w:r>
        <w:tab/>
        <w:t>(c)</w:t>
      </w:r>
      <w:r>
        <w:tab/>
        <w:t>as a greater score range, any selection for a tie or for a greater score range being taken to be a bracket, and each bracket being a separate wager, but all the brackets selected being required to be consecutive.</w:t>
      </w:r>
    </w:p>
    <w:p>
      <w:pPr>
        <w:pStyle w:val="Subsection"/>
      </w:pPr>
      <w:r>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Footnotesection"/>
        <w:rPr>
          <w:spacing w:val="-2"/>
        </w:rPr>
      </w:pPr>
      <w:r>
        <w:tab/>
        <w:t>[Rule 27 amended: Gazette 22 Mar 2016 p. 838.]</w:t>
      </w:r>
    </w:p>
    <w:p>
      <w:pPr>
        <w:pStyle w:val="Heading5"/>
      </w:pPr>
      <w:bookmarkStart w:id="79" w:name="_Toc406507579"/>
      <w:bookmarkStart w:id="80" w:name="_Toc490126951"/>
      <w:r>
        <w:rPr>
          <w:rStyle w:val="CharSectno"/>
        </w:rPr>
        <w:t>28</w:t>
      </w:r>
      <w:r>
        <w:t>.</w:t>
      </w:r>
      <w:r>
        <w:tab/>
        <w:t>Wagers on cricket</w:t>
      </w:r>
      <w:bookmarkEnd w:id="79"/>
      <w:bookmarkEnd w:id="80"/>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81" w:name="_Toc406507580"/>
      <w:bookmarkStart w:id="82" w:name="_Toc490126952"/>
      <w:r>
        <w:rPr>
          <w:rStyle w:val="CharSectno"/>
        </w:rPr>
        <w:t>29</w:t>
      </w:r>
      <w:r>
        <w:t>.</w:t>
      </w:r>
      <w:r>
        <w:tab/>
        <w:t>Wagers on sporting events</w:t>
      </w:r>
      <w:bookmarkEnd w:id="81"/>
      <w:bookmarkEnd w:id="82"/>
    </w:p>
    <w:p>
      <w:pPr>
        <w:pStyle w:val="Subsection"/>
      </w:pPr>
      <w:r>
        <w:tab/>
        <w:t>(1)</w:t>
      </w:r>
      <w:r>
        <w:tab/>
        <w:t>The totalisator operator may make and accept wagers on a sporting event in accordance with these rules.</w:t>
      </w:r>
    </w:p>
    <w:p>
      <w:pPr>
        <w:pStyle w:val="Subsection"/>
      </w:pPr>
      <w:r>
        <w:tab/>
        <w:t>(2)</w:t>
      </w:r>
      <w:r>
        <w:tab/>
        <w:t>The totalisator operator may accept the following types of wagers on a sporting event —</w:t>
      </w:r>
    </w:p>
    <w:p>
      <w:pPr>
        <w:pStyle w:val="Indenta"/>
      </w:pPr>
      <w:r>
        <w:tab/>
        <w:t>(a)</w:t>
      </w:r>
      <w:r>
        <w:tab/>
        <w:t>win wagers; and</w:t>
      </w:r>
    </w:p>
    <w:p>
      <w:pPr>
        <w:pStyle w:val="Indenta"/>
        <w:rPr>
          <w:sz w:val="20"/>
        </w:rPr>
      </w:pPr>
      <w:r>
        <w:tab/>
        <w:t>(b)</w:t>
      </w:r>
      <w:r>
        <w:tab/>
        <w:t>sports tipping wagers</w:t>
      </w:r>
      <w:r>
        <w:rPr>
          <w:sz w:val="20"/>
        </w:rPr>
        <w:t>.</w:t>
      </w:r>
    </w:p>
    <w:p>
      <w:pPr>
        <w:pStyle w:val="Footnotesection"/>
        <w:rPr>
          <w:sz w:val="20"/>
        </w:rPr>
      </w:pPr>
      <w:r>
        <w:tab/>
        <w:t>[Rule 29 amended: Gazette 22 Mar 2016 p. 838.]</w:t>
      </w:r>
    </w:p>
    <w:p>
      <w:pPr>
        <w:pStyle w:val="Heading2"/>
      </w:pPr>
      <w:bookmarkStart w:id="83" w:name="_Toc377038964"/>
      <w:bookmarkStart w:id="84" w:name="_Toc406507581"/>
      <w:bookmarkStart w:id="85" w:name="_Toc425172617"/>
      <w:bookmarkStart w:id="86" w:name="_Toc435092232"/>
      <w:bookmarkStart w:id="87" w:name="_Toc446331372"/>
      <w:bookmarkStart w:id="88" w:name="_Toc490126953"/>
      <w:r>
        <w:rPr>
          <w:rStyle w:val="CharPartNo"/>
        </w:rPr>
        <w:t>Part 4</w:t>
      </w:r>
      <w:r>
        <w:rPr>
          <w:rStyle w:val="CharDivNo"/>
        </w:rPr>
        <w:t> </w:t>
      </w:r>
      <w:r>
        <w:t>—</w:t>
      </w:r>
      <w:r>
        <w:rPr>
          <w:rStyle w:val="CharDivText"/>
        </w:rPr>
        <w:t> </w:t>
      </w:r>
      <w:r>
        <w:rPr>
          <w:rStyle w:val="CharPartText"/>
        </w:rPr>
        <w:t>Conduct of bookmaker wagering generally</w:t>
      </w:r>
      <w:bookmarkEnd w:id="83"/>
      <w:bookmarkEnd w:id="84"/>
      <w:bookmarkEnd w:id="85"/>
      <w:bookmarkEnd w:id="86"/>
      <w:bookmarkEnd w:id="87"/>
      <w:bookmarkEnd w:id="88"/>
    </w:p>
    <w:p>
      <w:pPr>
        <w:pStyle w:val="Heading5"/>
      </w:pPr>
      <w:bookmarkStart w:id="89" w:name="_Toc406507582"/>
      <w:bookmarkStart w:id="90" w:name="_Toc490126954"/>
      <w:r>
        <w:rPr>
          <w:rStyle w:val="CharSectno"/>
        </w:rPr>
        <w:t>30</w:t>
      </w:r>
      <w:r>
        <w:t>.</w:t>
      </w:r>
      <w:r>
        <w:tab/>
        <w:t>Application</w:t>
      </w:r>
      <w:bookmarkEnd w:id="89"/>
      <w:bookmarkEnd w:id="90"/>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a reference to a race or a race meeting includes a reference to a sporting event;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Heading5"/>
        <w:spacing w:before="180"/>
      </w:pPr>
      <w:bookmarkStart w:id="91" w:name="_Toc406507583"/>
      <w:bookmarkStart w:id="92" w:name="_Toc490126955"/>
      <w:r>
        <w:rPr>
          <w:rStyle w:val="CharSectno"/>
        </w:rPr>
        <w:t>31</w:t>
      </w:r>
      <w:r>
        <w:t>.</w:t>
      </w:r>
      <w:r>
        <w:tab/>
        <w:t>Bookmakers, bookmaker’s managers and bookmaker’s employees to be licensed</w:t>
      </w:r>
      <w:bookmarkEnd w:id="91"/>
      <w:bookmarkEnd w:id="92"/>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93" w:name="_Toc406507584"/>
      <w:bookmarkStart w:id="94" w:name="_Toc490126956"/>
      <w:r>
        <w:rPr>
          <w:rStyle w:val="CharSectno"/>
        </w:rPr>
        <w:t>32</w:t>
      </w:r>
      <w:r>
        <w:t>.</w:t>
      </w:r>
      <w:r>
        <w:tab/>
        <w:t>Bookmakers to operate in accordance with permit issued by racing club</w:t>
      </w:r>
      <w:bookmarkEnd w:id="93"/>
      <w:bookmarkEnd w:id="94"/>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95" w:name="_Toc406507585"/>
      <w:bookmarkStart w:id="96" w:name="_Toc490126957"/>
      <w:r>
        <w:rPr>
          <w:rStyle w:val="CharSectno"/>
        </w:rPr>
        <w:t>33</w:t>
      </w:r>
      <w:r>
        <w:t>.</w:t>
      </w:r>
      <w:r>
        <w:tab/>
        <w:t>Bookmaker’s agents and substitutes</w:t>
      </w:r>
      <w:bookmarkEnd w:id="95"/>
      <w:bookmarkEnd w:id="96"/>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97" w:name="_Toc406507586"/>
      <w:bookmarkStart w:id="98" w:name="_Toc490126958"/>
      <w:r>
        <w:rPr>
          <w:rStyle w:val="CharSectno"/>
        </w:rPr>
        <w:t>34</w:t>
      </w:r>
      <w:r>
        <w:t>.</w:t>
      </w:r>
      <w:r>
        <w:tab/>
        <w:t>Temporary bookmaker’s employee licence</w:t>
      </w:r>
      <w:bookmarkEnd w:id="97"/>
      <w:bookmarkEnd w:id="98"/>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pPr>
      <w:r>
        <w:tab/>
        <w:t>(3)</w:t>
      </w:r>
      <w:r>
        <w:tab/>
        <w:t xml:space="preserve">A steward to whom an application referred to in subrule (1) or (2) is made may, under section 12A(2) of the </w:t>
      </w:r>
      <w:r>
        <w:rPr>
          <w:i/>
          <w:iCs/>
        </w:rPr>
        <w:t>Betting Control Act 1954</w:t>
      </w:r>
      <w:r>
        <w:t xml:space="preserve"> — </w:t>
      </w:r>
    </w:p>
    <w:p>
      <w:pPr>
        <w:pStyle w:val="Indenta"/>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tab/>
        <w:t>(8)</w:t>
      </w:r>
      <w:r>
        <w:tab/>
        <w:t>A person to whom a temporary licence is granted is to be taken to be the holder of a bookmaker’s employee’s licence in relation to the day to which the temporary licence relates.</w:t>
      </w:r>
    </w:p>
    <w:p>
      <w:pPr>
        <w:pStyle w:val="Heading5"/>
      </w:pPr>
      <w:bookmarkStart w:id="99" w:name="_Toc406507587"/>
      <w:bookmarkStart w:id="100" w:name="_Toc490126959"/>
      <w:r>
        <w:rPr>
          <w:rStyle w:val="CharSectno"/>
        </w:rPr>
        <w:t>35</w:t>
      </w:r>
      <w:r>
        <w:t>.</w:t>
      </w:r>
      <w:r>
        <w:tab/>
        <w:t>Supervision of wagering by bookmakers</w:t>
      </w:r>
      <w:bookmarkEnd w:id="99"/>
      <w:bookmarkEnd w:id="100"/>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101" w:name="_Toc406507588"/>
      <w:bookmarkStart w:id="102" w:name="_Toc490126960"/>
      <w:r>
        <w:rPr>
          <w:rStyle w:val="CharSectno"/>
        </w:rPr>
        <w:t>36</w:t>
      </w:r>
      <w:r>
        <w:t>.</w:t>
      </w:r>
      <w:r>
        <w:tab/>
        <w:t>Duty to report non</w:t>
      </w:r>
      <w:r>
        <w:noBreakHyphen/>
        <w:t>compliance</w:t>
      </w:r>
      <w:bookmarkEnd w:id="101"/>
      <w:bookmarkEnd w:id="102"/>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103" w:name="_Toc406507589"/>
      <w:bookmarkStart w:id="104" w:name="_Toc490126961"/>
      <w:r>
        <w:rPr>
          <w:rStyle w:val="CharSectno"/>
        </w:rPr>
        <w:t>37</w:t>
      </w:r>
      <w:r>
        <w:t>.</w:t>
      </w:r>
      <w:r>
        <w:tab/>
        <w:t>Record of wagering transactions</w:t>
      </w:r>
      <w:bookmarkEnd w:id="103"/>
      <w:bookmarkEnd w:id="104"/>
    </w:p>
    <w:p>
      <w:pPr>
        <w:pStyle w:val="Subsection"/>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a sporting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 Gazette 19 Oct 2010 p. 5191</w:t>
      </w:r>
      <w:r>
        <w:noBreakHyphen/>
        <w:t>2.]</w:t>
      </w:r>
    </w:p>
    <w:p>
      <w:pPr>
        <w:pStyle w:val="Heading5"/>
      </w:pPr>
      <w:bookmarkStart w:id="105" w:name="_Toc406507590"/>
      <w:bookmarkStart w:id="106" w:name="_Toc490126962"/>
      <w:r>
        <w:rPr>
          <w:rStyle w:val="CharSectno"/>
        </w:rPr>
        <w:t>38</w:t>
      </w:r>
      <w:r>
        <w:t>.</w:t>
      </w:r>
      <w:r>
        <w:tab/>
        <w:t>Tickets</w:t>
      </w:r>
      <w:bookmarkEnd w:id="105"/>
      <w:bookmarkEnd w:id="106"/>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Heading5"/>
      </w:pPr>
      <w:bookmarkStart w:id="107" w:name="_Toc406507591"/>
      <w:bookmarkStart w:id="108" w:name="_Toc490126963"/>
      <w:r>
        <w:rPr>
          <w:rStyle w:val="CharSectno"/>
        </w:rPr>
        <w:t>39</w:t>
      </w:r>
      <w:r>
        <w:t>.</w:t>
      </w:r>
      <w:r>
        <w:tab/>
        <w:t>Betting stands</w:t>
      </w:r>
      <w:bookmarkEnd w:id="107"/>
      <w:bookmarkEnd w:id="108"/>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109" w:name="_Toc406507592"/>
      <w:bookmarkStart w:id="110" w:name="_Toc490126964"/>
      <w:r>
        <w:rPr>
          <w:rStyle w:val="CharSectno"/>
        </w:rPr>
        <w:t>40</w:t>
      </w:r>
      <w:r>
        <w:t>.</w:t>
      </w:r>
      <w:r>
        <w:tab/>
        <w:t>Betting boards, charts etc.</w:t>
      </w:r>
      <w:bookmarkEnd w:id="109"/>
      <w:bookmarkEnd w:id="110"/>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pPr>
      <w:r>
        <w:tab/>
        <w:t>(iii)</w:t>
      </w:r>
      <w:r>
        <w:tab/>
        <w:t>the amount of the bet and the odds at which it was made or the method by which the odds will be calculated (if the odds are not known),</w:t>
      </w:r>
    </w:p>
    <w:p>
      <w:pPr>
        <w:pStyle w:val="Indenta"/>
      </w:pPr>
      <w:r>
        <w:tab/>
      </w:r>
      <w:r>
        <w:tab/>
        <w:t>in accordance with these rules and the requirements of the stewards supervising the conduct of wagering at the racecourse; and</w:t>
      </w:r>
    </w:p>
    <w:p>
      <w:pPr>
        <w:pStyle w:val="Indenta"/>
      </w:pPr>
      <w:r>
        <w:tab/>
        <w:t>(b)</w:t>
      </w:r>
      <w:r>
        <w:tab/>
        <w:t>is to 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 and</w:t>
      </w:r>
    </w:p>
    <w:p>
      <w:pPr>
        <w:pStyle w:val="Indenta"/>
      </w:pPr>
      <w:r>
        <w:tab/>
        <w:t>(c)</w:t>
      </w:r>
      <w:r>
        <w:tab/>
        <w:t>is to exhibit the odds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Footnotesection"/>
      </w:pPr>
      <w:r>
        <w:tab/>
        <w:t>[Rule 40 amended: Gazette 29 Nov 2013 p.</w:t>
      </w:r>
      <w:r>
        <w:rPr>
          <w:sz w:val="19"/>
        </w:rPr>
        <w:t> </w:t>
      </w:r>
      <w:r>
        <w:t>5469.]</w:t>
      </w:r>
    </w:p>
    <w:p>
      <w:pPr>
        <w:pStyle w:val="Heading5"/>
      </w:pPr>
      <w:bookmarkStart w:id="111" w:name="_Toc406507593"/>
      <w:bookmarkStart w:id="112" w:name="_Toc490126965"/>
      <w:r>
        <w:rPr>
          <w:rStyle w:val="CharSectno"/>
        </w:rPr>
        <w:t>41</w:t>
      </w:r>
      <w:r>
        <w:t>.</w:t>
      </w:r>
      <w:r>
        <w:tab/>
        <w:t>Betting turnover returns</w:t>
      </w:r>
      <w:bookmarkEnd w:id="111"/>
      <w:bookmarkEnd w:id="112"/>
    </w:p>
    <w:p>
      <w:pPr>
        <w:pStyle w:val="Subsection"/>
      </w:pPr>
      <w:r>
        <w:tab/>
      </w:r>
      <w:r>
        <w:tab/>
        <w:t xml:space="preserve">A bookmaker conducting wagering at a race meeting is to ensure that the betting return required to be completed in accordance with sections 14, 15 and 16 of the </w:t>
      </w:r>
      <w:r>
        <w:rPr>
          <w:i/>
          <w:iCs/>
        </w:rPr>
        <w:t>Betting Control Act 1954</w:t>
      </w:r>
      <w:r>
        <w:t>, together with the betting levy payable in respect of the return, is lodged with the host racing club within 7 days of the race meeting.</w:t>
      </w:r>
    </w:p>
    <w:p>
      <w:pPr>
        <w:pStyle w:val="Heading5"/>
      </w:pPr>
      <w:bookmarkStart w:id="113" w:name="_Toc406507594"/>
      <w:bookmarkStart w:id="114" w:name="_Toc490126966"/>
      <w:r>
        <w:rPr>
          <w:rStyle w:val="CharSectno"/>
        </w:rPr>
        <w:t>42</w:t>
      </w:r>
      <w:r>
        <w:t>.</w:t>
      </w:r>
      <w:r>
        <w:tab/>
        <w:t>Collection of wagering sheets</w:t>
      </w:r>
      <w:bookmarkEnd w:id="113"/>
      <w:bookmarkEnd w:id="114"/>
    </w:p>
    <w:p>
      <w:pPr>
        <w:pStyle w:val="Subsection"/>
      </w:pPr>
      <w:r>
        <w:tab/>
      </w:r>
      <w:r>
        <w:tab/>
        <w:t xml:space="preserve">A bookmaker conducting wagering at a racecourse is to, in accordance with section 15(3) of the </w:t>
      </w:r>
      <w:r>
        <w:rPr>
          <w:i/>
          <w:iCs/>
        </w:rPr>
        <w:t>Betting Control Act 1954,</w:t>
      </w:r>
      <w:r>
        <w:t xml:space="preserve">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tab/>
        <w:t>(c)</w:t>
      </w:r>
      <w:r>
        <w:tab/>
        <w:t>each race held or to be held otherwise than at that racecourse and on a day other than a day on which a race meeting is conducted at the racecourse, at the conclusion of the race meeting in respect of which the wager was made.</w:t>
      </w:r>
    </w:p>
    <w:p>
      <w:pPr>
        <w:pStyle w:val="Heading5"/>
        <w:rPr>
          <w:b w:val="0"/>
          <w:bCs/>
          <w:sz w:val="20"/>
        </w:rPr>
      </w:pPr>
      <w:bookmarkStart w:id="115" w:name="_Toc406507595"/>
      <w:bookmarkStart w:id="116" w:name="_Toc490126967"/>
      <w:r>
        <w:rPr>
          <w:rStyle w:val="CharSectno"/>
        </w:rPr>
        <w:t>43</w:t>
      </w:r>
      <w:r>
        <w:t>.</w:t>
      </w:r>
      <w:r>
        <w:tab/>
        <w:t>Minimum wager obligations</w:t>
      </w:r>
      <w:bookmarkEnd w:id="115"/>
      <w:bookmarkEnd w:id="116"/>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at a time before the horses enter onto the track and more than $1 500 once the horses have entered onto the track;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at a time before the horses enter onto the track and more than $1 500 once the horses have entered onto the track; and</w:t>
      </w:r>
    </w:p>
    <w:p>
      <w:pPr>
        <w:pStyle w:val="Indenti"/>
      </w:pPr>
      <w:r>
        <w:tab/>
        <w:t>(iv)</w:t>
      </w:r>
      <w:r>
        <w:tab/>
        <w:t>held at a metropolitan race meeting classified as a midweek meeting — more than $1 500 at a time before the horses enter onto the track and more than $1 000 once the horses have entered onto the track; and</w:t>
      </w:r>
    </w:p>
    <w:p>
      <w:pPr>
        <w:pStyle w:val="Indenti"/>
      </w:pPr>
      <w:r>
        <w:tab/>
        <w:t>(v)</w:t>
      </w:r>
      <w:r>
        <w:tab/>
        <w:t xml:space="preserve">held at racecourses located at </w:t>
      </w:r>
      <w:smartTag w:uri="urn:schemas-microsoft-com:office:smarttags" w:element="City">
        <w:r>
          <w:t>Albany</w:t>
        </w:r>
      </w:smartTag>
      <w:r>
        <w:t xml:space="preserve">, Bunbury, Geraldton, </w:t>
      </w:r>
      <w:smartTag w:uri="urn:schemas-microsoft-com:office:smarttags" w:element="City">
        <w:r>
          <w:t>Kalgoorlie</w:t>
        </w:r>
      </w:smartTag>
      <w:r>
        <w:t xml:space="preserve">, </w:t>
      </w:r>
      <w:smartTag w:uri="urn:schemas-microsoft-com:office:smarttags" w:element="PlaceType">
        <w:r>
          <w:t>Mt.</w:t>
        </w:r>
      </w:smartTag>
      <w:r>
        <w:t xml:space="preserve"> Barker, Northam, Pinjarra and York — more than $1 000; and</w:t>
      </w:r>
    </w:p>
    <w:p>
      <w:pPr>
        <w:pStyle w:val="Indenti"/>
      </w:pPr>
      <w:r>
        <w:tab/>
        <w:t>(vi)</w:t>
      </w:r>
      <w:r>
        <w:tab/>
        <w:t>held at racecourses located at Broome, Carnarvon, Collie, Derby, Dongara, Esperance, Exmouth, Kununurra, Marble Bar, Mingenew, Moora, Narrogin, Norseman, Port Hedland, Roebourne and Wyndham — more than $1 000 at a time before the horses enter onto the track and more than $500 once the horses have entered onto the track;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provided that, on application by the bookmaker to the steward supervising the conduct of wagering at the racecourse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Gazette 20 Jul 2007 p. 3630; 4 Jan 2013 p. 21</w:t>
      </w:r>
      <w:r>
        <w:noBreakHyphen/>
        <w:t>2; 16 Dec 2014 p. 4764.]</w:t>
      </w:r>
    </w:p>
    <w:p>
      <w:pPr>
        <w:pStyle w:val="Heading5"/>
      </w:pPr>
      <w:bookmarkStart w:id="117" w:name="_Toc406507596"/>
      <w:bookmarkStart w:id="118" w:name="_Toc490126968"/>
      <w:r>
        <w:rPr>
          <w:rStyle w:val="CharSectno"/>
        </w:rPr>
        <w:t>44</w:t>
      </w:r>
      <w:r>
        <w:t>.</w:t>
      </w:r>
      <w:r>
        <w:tab/>
        <w:t>Wagers with domestic betting operators and totalisators</w:t>
      </w:r>
      <w:bookmarkEnd w:id="117"/>
      <w:bookmarkEnd w:id="118"/>
    </w:p>
    <w:p>
      <w:pPr>
        <w:pStyle w:val="Subsection"/>
      </w:pPr>
      <w:r>
        <w:tab/>
        <w:t>(1A)</w:t>
      </w:r>
      <w:r>
        <w:tab/>
        <w:t xml:space="preserve">In this rule — </w:t>
      </w:r>
    </w:p>
    <w:p>
      <w:pPr>
        <w:pStyle w:val="Defstart"/>
      </w:pPr>
      <w:r>
        <w:tab/>
      </w:r>
      <w:r>
        <w:rPr>
          <w:rStyle w:val="CharDefText"/>
        </w:rPr>
        <w:t>domestic betting operator</w:t>
      </w:r>
      <w:r>
        <w:t xml:space="preserve"> has the meaning given in the </w:t>
      </w:r>
      <w:r>
        <w:rPr>
          <w:i/>
        </w:rPr>
        <w:t>Betting Control Act 1954</w:t>
      </w:r>
      <w:r>
        <w:t xml:space="preserve"> section 4(1);</w:t>
      </w:r>
    </w:p>
    <w:p>
      <w:pPr>
        <w:pStyle w:val="Defstart"/>
      </w:pPr>
      <w:r>
        <w:tab/>
      </w:r>
      <w:r>
        <w:rPr>
          <w:rStyle w:val="CharDefText"/>
        </w:rPr>
        <w:t>totalisator</w:t>
      </w:r>
      <w:r>
        <w:t xml:space="preserve"> includes a totalisator (however described) operated in another State or a Territory.</w:t>
      </w:r>
    </w:p>
    <w:p>
      <w:pPr>
        <w:pStyle w:val="Subsection"/>
      </w:pPr>
      <w:r>
        <w:tab/>
        <w:t>(1)</w:t>
      </w:r>
      <w:r>
        <w:tab/>
        <w:t>A bookmaker is not compelled to accept a wager from another bookmaker, or from any person on behalf of a bookmaker.</w:t>
      </w:r>
    </w:p>
    <w:p>
      <w:pPr>
        <w:pStyle w:val="Ednotesubsection"/>
      </w:pPr>
      <w:r>
        <w:tab/>
        <w:t>[(2)</w:t>
      </w:r>
      <w:r>
        <w:tab/>
        <w:t>deleted]</w:t>
      </w:r>
    </w:p>
    <w:p>
      <w:pPr>
        <w:pStyle w:val="Subsection"/>
        <w:keepNext/>
      </w:pPr>
      <w:r>
        <w:tab/>
        <w:t>(3)</w:t>
      </w:r>
      <w:r>
        <w:tab/>
        <w:t>Where a wager is made by or on behalf of a bookmaker with a domestic betting operator —</w:t>
      </w:r>
    </w:p>
    <w:p>
      <w:pPr>
        <w:pStyle w:val="Indenta"/>
      </w:pPr>
      <w:r>
        <w:tab/>
        <w:t>(a)</w:t>
      </w:r>
      <w:r>
        <w:tab/>
        <w:t>if the domestic betting operator is another bookmaker, 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 and</w:t>
      </w:r>
    </w:p>
    <w:p>
      <w:pPr>
        <w:pStyle w:val="Indenti"/>
      </w:pPr>
      <w:r>
        <w:tab/>
        <w:t>(ii)</w:t>
      </w:r>
      <w:r>
        <w:tab/>
        <w:t>the wager as a bet back; and</w:t>
      </w:r>
    </w:p>
    <w:p>
      <w:pPr>
        <w:pStyle w:val="Indenti"/>
      </w:pPr>
      <w:r>
        <w:tab/>
        <w:t>(iii)</w:t>
      </w:r>
      <w:r>
        <w:tab/>
        <w:t>the number of the betting ticket.</w:t>
      </w:r>
    </w:p>
    <w:p>
      <w:pPr>
        <w:pStyle w:val="Subsection"/>
      </w:pPr>
      <w:r>
        <w:tab/>
        <w:t>(4)</w:t>
      </w:r>
      <w:r>
        <w:tab/>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pPr>
      <w:r>
        <w:tab/>
        <w:t>(5)</w:t>
      </w:r>
      <w:r>
        <w:tab/>
        <w:t xml:space="preserve">A bookmaker who makes a bet back, or on whose behalf a bet back is made, with a domestic betting operator or a totalisator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44 amended: Gazette 14 Jun 2013 p. 2244-5.]</w:t>
      </w:r>
    </w:p>
    <w:p>
      <w:pPr>
        <w:pStyle w:val="Heading5"/>
      </w:pPr>
      <w:bookmarkStart w:id="119" w:name="_Toc406507597"/>
      <w:bookmarkStart w:id="120" w:name="_Toc490126969"/>
      <w:r>
        <w:rPr>
          <w:rStyle w:val="CharSectno"/>
        </w:rPr>
        <w:t>45A</w:t>
      </w:r>
      <w:r>
        <w:t>.</w:t>
      </w:r>
      <w:r>
        <w:tab/>
        <w:t>Bet back by means of a betting exchange</w:t>
      </w:r>
      <w:bookmarkEnd w:id="119"/>
      <w:bookmarkEnd w:id="120"/>
    </w:p>
    <w:p>
      <w:pPr>
        <w:pStyle w:val="Subsection"/>
      </w:pPr>
      <w:r>
        <w:tab/>
        <w:t>(1)</w:t>
      </w:r>
      <w:r>
        <w:tab/>
        <w:t>This rule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wager; and</w:t>
      </w:r>
    </w:p>
    <w:p>
      <w:pPr>
        <w:pStyle w:val="Indenta"/>
      </w:pPr>
      <w:r>
        <w:tab/>
        <w:t>(b)</w:t>
      </w:r>
      <w:r>
        <w:tab/>
        <w:t>the wager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45A inserted: Gazette 14 Jun 2013 p. 2245-6.]</w:t>
      </w:r>
    </w:p>
    <w:p>
      <w:pPr>
        <w:pStyle w:val="Heading5"/>
      </w:pPr>
      <w:bookmarkStart w:id="121" w:name="_Toc406507598"/>
      <w:bookmarkStart w:id="122" w:name="_Toc490126970"/>
      <w:r>
        <w:rPr>
          <w:rStyle w:val="CharSectno"/>
        </w:rPr>
        <w:t>45</w:t>
      </w:r>
      <w:r>
        <w:t>.</w:t>
      </w:r>
      <w:r>
        <w:tab/>
        <w:t>Telephone wagering</w:t>
      </w:r>
      <w:bookmarkEnd w:id="121"/>
      <w:bookmarkEnd w:id="122"/>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by telephone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tab/>
        <w:t>(b)</w:t>
      </w:r>
      <w:r>
        <w:tab/>
        <w:t>all inward and outward telephone lines used for wagering purposes are to have attached securable voice logging equipment of a type approved by the Commission; and</w:t>
      </w:r>
    </w:p>
    <w:p>
      <w:pPr>
        <w:pStyle w:val="Indenta"/>
      </w:pPr>
      <w:r>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the full details of each wager received, including the ticket number (if it is available) and account number, are to be confirmed with the investor by the bookmaker, or 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123" w:name="_Toc406507599"/>
      <w:bookmarkStart w:id="124" w:name="_Toc490126971"/>
      <w:r>
        <w:rPr>
          <w:rStyle w:val="CharSectno"/>
        </w:rPr>
        <w:t>46</w:t>
      </w:r>
      <w:r>
        <w:t>.</w:t>
      </w:r>
      <w:r>
        <w:tab/>
        <w:t>Internet wagering</w:t>
      </w:r>
      <w:bookmarkEnd w:id="123"/>
      <w:bookmarkEnd w:id="124"/>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via the internet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w:t>
      </w:r>
      <w:smartTag w:uri="urn:schemas-microsoft-com:office:smarttags" w:element="place">
        <w:smartTag w:uri="urn:schemas-microsoft-com:office:smarttags" w:element="country-region">
          <w:r>
            <w:t>Australia</w:t>
          </w:r>
        </w:smartTag>
      </w:smartTag>
      <w:r>
        <w:t>.</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tab/>
        <w:t>(e)</w:t>
      </w:r>
      <w:r>
        <w:tab/>
        <w:t>an internet wager using an approved internet wagering system is to be confirmed in a manner, and within a time, approved by the Commission;</w:t>
      </w:r>
    </w:p>
    <w:p>
      <w:pPr>
        <w:pStyle w:val="Indenta"/>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w:t>
      </w:r>
      <w:r>
        <w:noBreakHyphen/>
        <w:t>line system access.</w:t>
      </w:r>
    </w:p>
    <w:p>
      <w:pPr>
        <w:pStyle w:val="Subsection"/>
      </w:pPr>
      <w:r>
        <w:tab/>
        <w:t>(5)</w:t>
      </w:r>
      <w:r>
        <w:tab/>
        <w:t>A failure to confirm the details of an internet wager in the manner required by the procedures established by the Commission does not invalidate the wager.</w:t>
      </w:r>
    </w:p>
    <w:p>
      <w:pPr>
        <w:pStyle w:val="Subsection"/>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Heading5"/>
      </w:pPr>
      <w:bookmarkStart w:id="125" w:name="_Toc406507600"/>
      <w:bookmarkStart w:id="126" w:name="_Toc490126972"/>
      <w:r>
        <w:rPr>
          <w:rStyle w:val="CharSectno"/>
        </w:rPr>
        <w:t>47</w:t>
      </w:r>
      <w:r>
        <w:t>.</w:t>
      </w:r>
      <w:r>
        <w:tab/>
        <w:t>Settling generally</w:t>
      </w:r>
      <w:bookmarkEnd w:id="125"/>
      <w:bookmarkEnd w:id="126"/>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 Gazette 7 Apr 2006 p. 1490.]</w:t>
      </w:r>
    </w:p>
    <w:p>
      <w:pPr>
        <w:pStyle w:val="Heading5"/>
      </w:pPr>
      <w:bookmarkStart w:id="127" w:name="_Toc406507601"/>
      <w:bookmarkStart w:id="128" w:name="_Toc490126973"/>
      <w:r>
        <w:rPr>
          <w:rStyle w:val="CharSectno"/>
        </w:rPr>
        <w:t>48</w:t>
      </w:r>
      <w:r>
        <w:t>.</w:t>
      </w:r>
      <w:r>
        <w:tab/>
        <w:t>Defaulters in wagering</w:t>
      </w:r>
      <w:bookmarkEnd w:id="127"/>
      <w:bookmarkEnd w:id="128"/>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129" w:name="_Toc377038985"/>
      <w:bookmarkStart w:id="130" w:name="_Toc406507602"/>
      <w:bookmarkStart w:id="131" w:name="_Toc425172638"/>
      <w:bookmarkStart w:id="132" w:name="_Toc435092253"/>
      <w:bookmarkStart w:id="133" w:name="_Toc446331393"/>
      <w:bookmarkStart w:id="134" w:name="_Toc490126974"/>
      <w:r>
        <w:rPr>
          <w:rStyle w:val="CharPartNo"/>
        </w:rPr>
        <w:t>Part 5</w:t>
      </w:r>
      <w:r>
        <w:rPr>
          <w:rStyle w:val="CharDivNo"/>
        </w:rPr>
        <w:t> </w:t>
      </w:r>
      <w:r>
        <w:t>—</w:t>
      </w:r>
      <w:r>
        <w:rPr>
          <w:rStyle w:val="CharDivText"/>
        </w:rPr>
        <w:t> </w:t>
      </w:r>
      <w:r>
        <w:rPr>
          <w:rStyle w:val="CharPartText"/>
        </w:rPr>
        <w:t>Rules of bookmaker wagering</w:t>
      </w:r>
      <w:bookmarkEnd w:id="129"/>
      <w:bookmarkEnd w:id="130"/>
      <w:bookmarkEnd w:id="131"/>
      <w:bookmarkEnd w:id="132"/>
      <w:bookmarkEnd w:id="133"/>
      <w:bookmarkEnd w:id="134"/>
    </w:p>
    <w:p>
      <w:pPr>
        <w:pStyle w:val="Heading5"/>
        <w:spacing w:before="180"/>
      </w:pPr>
      <w:bookmarkStart w:id="135" w:name="_Toc406507603"/>
      <w:bookmarkStart w:id="136" w:name="_Toc490126975"/>
      <w:r>
        <w:rPr>
          <w:rStyle w:val="CharSectno"/>
        </w:rPr>
        <w:t>49</w:t>
      </w:r>
      <w:r>
        <w:t>.</w:t>
      </w:r>
      <w:r>
        <w:tab/>
        <w:t>Terms used</w:t>
      </w:r>
      <w:bookmarkEnd w:id="135"/>
      <w:bookmarkEnd w:id="136"/>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b/>
          <w:i/>
        </w:rPr>
        <w:t xml:space="preserve"> </w:t>
      </w:r>
      <w:r>
        <w:rPr>
          <w:rStyle w:val="CharDefText"/>
        </w:rPr>
        <w:t>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 wager is made there are 8 or more starters listed to start in the race, there are 3 places payable and a runner achieves a place if it finishes first, second or third; and</w:t>
      </w:r>
    </w:p>
    <w:p>
      <w:pPr>
        <w:pStyle w:val="Indenti"/>
      </w:pPr>
      <w:r>
        <w:tab/>
        <w:t>(ii)</w:t>
      </w:r>
      <w:r>
        <w:tab/>
        <w:t>at the time the wager is made, there are 5, 6 or 7 starters listed to start in the race there are 2 places payable and a runner achieves a place if it finishes first or second.</w:t>
      </w:r>
    </w:p>
    <w:p>
      <w:pPr>
        <w:pStyle w:val="Heading5"/>
        <w:spacing w:before="180"/>
      </w:pPr>
      <w:bookmarkStart w:id="137" w:name="_Toc406507604"/>
      <w:bookmarkStart w:id="138" w:name="_Toc490126976"/>
      <w:r>
        <w:rPr>
          <w:rStyle w:val="CharSectno"/>
        </w:rPr>
        <w:t>50</w:t>
      </w:r>
      <w:r>
        <w:t>.</w:t>
      </w:r>
      <w:r>
        <w:tab/>
        <w:t>Permitted wagers — races</w:t>
      </w:r>
      <w:bookmarkEnd w:id="137"/>
      <w:bookmarkEnd w:id="138"/>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tab/>
        <w:t>(c)</w:t>
      </w:r>
      <w:r>
        <w:tab/>
        <w:t>each way wagers;</w:t>
      </w:r>
    </w:p>
    <w:p>
      <w:pPr>
        <w:pStyle w:val="Indenta"/>
      </w:pPr>
      <w:r>
        <w:tab/>
        <w:t>(d)</w:t>
      </w:r>
      <w:r>
        <w:tab/>
        <w:t>concession wagers;</w:t>
      </w:r>
    </w:p>
    <w:p>
      <w:pPr>
        <w:pStyle w:val="Indenta"/>
      </w:pPr>
      <w:r>
        <w:tab/>
        <w:t>(e)</w:t>
      </w:r>
      <w:r>
        <w:tab/>
        <w:t>doubles wagers;</w:t>
      </w:r>
    </w:p>
    <w:p>
      <w:pPr>
        <w:pStyle w:val="Indenta"/>
      </w:pPr>
      <w:r>
        <w:tab/>
        <w:t>(f)</w:t>
      </w:r>
      <w:r>
        <w:tab/>
        <w:t xml:space="preserve">starting price guarantee wagers; </w:t>
      </w:r>
    </w:p>
    <w:p>
      <w:pPr>
        <w:pStyle w:val="Indenta"/>
      </w:pPr>
      <w:r>
        <w:tab/>
        <w:t>(g)</w:t>
      </w:r>
      <w:r>
        <w:tab/>
        <w:t xml:space="preserve">top fluc wagers; </w:t>
      </w:r>
    </w:p>
    <w:p>
      <w:pPr>
        <w:pStyle w:val="Indenta"/>
      </w:pPr>
      <w:r>
        <w:tab/>
        <w:t>(h)</w:t>
      </w:r>
      <w:r>
        <w:tab/>
        <w:t>tote bet wagers.</w:t>
      </w:r>
    </w:p>
    <w:p>
      <w:pPr>
        <w:pStyle w:val="Subsection"/>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Indenta"/>
      </w:pPr>
      <w:r>
        <w:tab/>
        <w:t>(f)</w:t>
      </w:r>
      <w:r>
        <w:tab/>
        <w:t xml:space="preserve">subject to rule 51A, in a starting price guarantee wager the bookmaker offers odds against a runner winning a particular race by taking the higher of — </w:t>
      </w:r>
    </w:p>
    <w:p>
      <w:pPr>
        <w:pStyle w:val="Indenti"/>
      </w:pPr>
      <w:r>
        <w:tab/>
        <w:t>(i)</w:t>
      </w:r>
      <w:r>
        <w:tab/>
        <w:t>the fixed odds for that runner as at the time of the wager; or</w:t>
      </w:r>
    </w:p>
    <w:p>
      <w:pPr>
        <w:pStyle w:val="Indenti"/>
      </w:pPr>
      <w:r>
        <w:tab/>
        <w:t>(ii)</w:t>
      </w:r>
      <w:r>
        <w:tab/>
        <w:t>the final odds for that runner offered by on</w:t>
      </w:r>
      <w:r>
        <w:noBreakHyphen/>
        <w:t>course bookmakers as determined by the pricing information body;</w:t>
      </w:r>
    </w:p>
    <w:p>
      <w:pPr>
        <w:pStyle w:val="Indenta"/>
      </w:pPr>
      <w:r>
        <w:tab/>
        <w:t>(g)</w:t>
      </w:r>
      <w:r>
        <w:tab/>
        <w:t>subject to rule 51A, in a top fluc wager the bookmaker offers odds against a runner winning a particular race with those odds being the highest odds offered by on</w:t>
      </w:r>
      <w:r>
        <w:noBreakHyphen/>
        <w:t>course bookmakers as determined by the pricing information body;</w:t>
      </w:r>
    </w:p>
    <w:p>
      <w:pPr>
        <w:pStyle w:val="Indenta"/>
      </w:pPr>
      <w:r>
        <w:tab/>
        <w:t>(h)</w:t>
      </w:r>
      <w:r>
        <w:tab/>
        <w:t xml:space="preserve">in a tote bet win wager the bookmaker offers odds against a runner winning a particular race based on the — </w:t>
      </w:r>
    </w:p>
    <w:p>
      <w:pPr>
        <w:pStyle w:val="Indenti"/>
      </w:pPr>
      <w:r>
        <w:tab/>
        <w:t>(i)</w:t>
      </w:r>
      <w:r>
        <w:tab/>
        <w:t>highest dividend paid for the win by an Australian totalisator; or</w:t>
      </w:r>
    </w:p>
    <w:p>
      <w:pPr>
        <w:pStyle w:val="Indenti"/>
      </w:pPr>
      <w:r>
        <w:tab/>
        <w:t>(ii)</w:t>
      </w:r>
      <w:r>
        <w:tab/>
        <w:t>middle dividend paid for the win by an Australian totalisator;</w:t>
      </w:r>
    </w:p>
    <w:p>
      <w:pPr>
        <w:pStyle w:val="Indenta"/>
      </w:pPr>
      <w:r>
        <w:tab/>
        <w:t>(i)</w:t>
      </w:r>
      <w:r>
        <w:tab/>
        <w:t xml:space="preserve">in a tote bet place wager the bookmaker offers odds against a runner achieving a place in a particular race based on the — </w:t>
      </w:r>
    </w:p>
    <w:p>
      <w:pPr>
        <w:pStyle w:val="Indenti"/>
      </w:pPr>
      <w:r>
        <w:tab/>
        <w:t>(i)</w:t>
      </w:r>
      <w:r>
        <w:tab/>
        <w:t>highest dividend paid for the place by an Australian totalisator; or</w:t>
      </w:r>
    </w:p>
    <w:p>
      <w:pPr>
        <w:pStyle w:val="Indenti"/>
      </w:pPr>
      <w:r>
        <w:tab/>
        <w:t>(ii)</w:t>
      </w:r>
      <w:r>
        <w:tab/>
        <w:t>middle dividend paid for the place by an Australian totalisator.</w:t>
      </w:r>
    </w:p>
    <w:p>
      <w:pPr>
        <w:pStyle w:val="Subsection"/>
        <w:spacing w:before="120"/>
      </w:pPr>
      <w:r>
        <w:tab/>
        <w:t>(3)</w:t>
      </w:r>
      <w:r>
        <w:tab/>
        <w:t>Place wagers, each way wagers and concession wagers are not permitted where 4 or less runners are listed to start a race at the time wagering is opened on that race.</w:t>
      </w:r>
    </w:p>
    <w:p>
      <w:pPr>
        <w:pStyle w:val="Subsection"/>
      </w:pPr>
      <w:r>
        <w:tab/>
        <w:t>(4)</w:t>
      </w:r>
      <w:r>
        <w:tab/>
        <w:t xml:space="preserve">A bookmaker must not negotiate and accept a starting price guarantee wager, a top fluc wager or a tote bet wager unless the wager is communicated to the bookmaker by — </w:t>
      </w:r>
    </w:p>
    <w:p>
      <w:pPr>
        <w:pStyle w:val="Indenta"/>
      </w:pPr>
      <w:r>
        <w:tab/>
        <w:t>(a)</w:t>
      </w:r>
      <w:r>
        <w:tab/>
        <w:t>a telephone in accordance with rule 45; or</w:t>
      </w:r>
    </w:p>
    <w:p>
      <w:pPr>
        <w:pStyle w:val="Indenta"/>
      </w:pPr>
      <w:r>
        <w:tab/>
        <w:t>(b)</w:t>
      </w:r>
      <w:r>
        <w:tab/>
        <w:t>the internet in accordance with rule 46.</w:t>
      </w:r>
    </w:p>
    <w:p>
      <w:pPr>
        <w:pStyle w:val="Subsection"/>
      </w:pPr>
      <w:r>
        <w:tab/>
        <w:t>(5)</w:t>
      </w:r>
      <w:r>
        <w:tab/>
        <w:t xml:space="preserve">For the purposes of subregulation (4), a bookmaker cannot — </w:t>
      </w:r>
    </w:p>
    <w:p>
      <w:pPr>
        <w:pStyle w:val="Indenta"/>
      </w:pPr>
      <w:r>
        <w:tab/>
        <w:t>(a)</w:t>
      </w:r>
      <w:r>
        <w:tab/>
        <w:t xml:space="preserve">negotiate and accept a wager communicated by a telephone unless the bookmaker is authorised by endorsement under the </w:t>
      </w:r>
      <w:r>
        <w:rPr>
          <w:i/>
        </w:rPr>
        <w:t>Betting Control Regulations 1978</w:t>
      </w:r>
      <w:r>
        <w:t xml:space="preserve"> regulation 72(1); and</w:t>
      </w:r>
    </w:p>
    <w:p>
      <w:pPr>
        <w:pStyle w:val="Indenta"/>
      </w:pPr>
      <w:r>
        <w:tab/>
        <w:t>(b)</w:t>
      </w:r>
      <w:r>
        <w:tab/>
        <w:t xml:space="preserve">negotiate and accept a wager communicated by the internet unless the bookmaker is authorised by endorsement under the </w:t>
      </w:r>
      <w:r>
        <w:rPr>
          <w:i/>
        </w:rPr>
        <w:t>Betting Control Regulations 1978</w:t>
      </w:r>
      <w:r>
        <w:t xml:space="preserve"> regulation 75.</w:t>
      </w:r>
    </w:p>
    <w:p>
      <w:pPr>
        <w:pStyle w:val="Subsection"/>
      </w:pPr>
      <w:r>
        <w:tab/>
        <w:t>(6)</w:t>
      </w:r>
      <w:r>
        <w:tab/>
        <w:t xml:space="preserve">In a tote bet win wager or a tote bet place wager the parties must agree to the dividend to be paid (the highest dividend or the middle dividend) at the time the bet is made. </w:t>
      </w:r>
    </w:p>
    <w:p>
      <w:pPr>
        <w:pStyle w:val="Footnotesection"/>
        <w:spacing w:before="80"/>
        <w:ind w:left="890" w:hanging="890"/>
      </w:pPr>
      <w:r>
        <w:tab/>
        <w:t>[Rule 50 amended: Gazette 7 Apr 2006 p. 1490; 29 Nov 2013 p. 5469</w:t>
      </w:r>
      <w:r>
        <w:noBreakHyphen/>
        <w:t>71; 11 Aug 2017 p. 4355.]</w:t>
      </w:r>
    </w:p>
    <w:p>
      <w:pPr>
        <w:pStyle w:val="Heading5"/>
      </w:pPr>
      <w:bookmarkStart w:id="139" w:name="_Toc406507605"/>
      <w:bookmarkStart w:id="140" w:name="_Toc490126977"/>
      <w:r>
        <w:rPr>
          <w:rStyle w:val="CharSectno"/>
        </w:rPr>
        <w:t>51A</w:t>
      </w:r>
      <w:r>
        <w:t>.</w:t>
      </w:r>
      <w:r>
        <w:tab/>
        <w:t>Default odds for starting price guarantee and top fluc wagering</w:t>
      </w:r>
      <w:bookmarkEnd w:id="139"/>
      <w:bookmarkEnd w:id="140"/>
    </w:p>
    <w:p>
      <w:pPr>
        <w:pStyle w:val="Subsection"/>
      </w:pPr>
      <w:r>
        <w:tab/>
        <w:t>(1)</w:t>
      </w:r>
      <w:r>
        <w:tab/>
        <w:t>If a bookmaker accepts a starting price guarantee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Subsection"/>
      </w:pPr>
      <w:r>
        <w:tab/>
        <w:t>(2)</w:t>
      </w:r>
      <w:r>
        <w:tab/>
        <w:t>If a bookmaker accepts a top fluc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Footnotesection"/>
      </w:pPr>
      <w:r>
        <w:tab/>
        <w:t>[Rule 51A inserted: Gazette 29 Nov 2013 p.</w:t>
      </w:r>
      <w:r>
        <w:rPr>
          <w:sz w:val="19"/>
        </w:rPr>
        <w:t> </w:t>
      </w:r>
      <w:r>
        <w:t>5471; amended: Gazette 11 Aug 2017 p. 4355.]</w:t>
      </w:r>
    </w:p>
    <w:p>
      <w:pPr>
        <w:pStyle w:val="Heading5"/>
        <w:keepNext w:val="0"/>
        <w:spacing w:before="180"/>
      </w:pPr>
      <w:bookmarkStart w:id="141" w:name="_Toc406507606"/>
      <w:bookmarkStart w:id="142" w:name="_Toc490126978"/>
      <w:r>
        <w:rPr>
          <w:rStyle w:val="CharSectno"/>
        </w:rPr>
        <w:t>51</w:t>
      </w:r>
      <w:r>
        <w:t>.</w:t>
      </w:r>
      <w:r>
        <w:tab/>
        <w:t>Bookmakers not to offer, make or accept certain wagers</w:t>
      </w:r>
      <w:bookmarkEnd w:id="141"/>
      <w:bookmarkEnd w:id="142"/>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w:t>
      </w:r>
    </w:p>
    <w:p>
      <w:pPr>
        <w:pStyle w:val="Ednotepara"/>
      </w:pPr>
      <w:r>
        <w:tab/>
        <w:t>[(c), (d)</w:t>
      </w:r>
      <w:r>
        <w:tab/>
        <w:t>deleted]</w:t>
      </w:r>
    </w:p>
    <w:p>
      <w:pPr>
        <w:pStyle w:val="Footnotesection"/>
      </w:pPr>
      <w:r>
        <w:tab/>
        <w:t>[Rule 51 amended: Gazette 14 Jun 2013 p. 2246; 29 Nov 2013 p. 5471.]</w:t>
      </w:r>
    </w:p>
    <w:p>
      <w:pPr>
        <w:pStyle w:val="Heading5"/>
      </w:pPr>
      <w:bookmarkStart w:id="143" w:name="_Toc406507607"/>
      <w:bookmarkStart w:id="144" w:name="_Toc490126979"/>
      <w:r>
        <w:rPr>
          <w:rStyle w:val="CharSectno"/>
        </w:rPr>
        <w:t>52</w:t>
      </w:r>
      <w:r>
        <w:t>.</w:t>
      </w:r>
      <w:r>
        <w:tab/>
        <w:t>Provisions as to runners</w:t>
      </w:r>
      <w:bookmarkEnd w:id="143"/>
      <w:bookmarkEnd w:id="144"/>
    </w:p>
    <w:p>
      <w:pPr>
        <w:pStyle w:val="Subsection"/>
      </w:pPr>
      <w:r>
        <w:tab/>
      </w:r>
      <w:r>
        <w:tab/>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145" w:name="_Toc406507608"/>
      <w:bookmarkStart w:id="146" w:name="_Toc490126980"/>
      <w:r>
        <w:rPr>
          <w:rStyle w:val="CharSectno"/>
        </w:rPr>
        <w:t>53</w:t>
      </w:r>
      <w:r>
        <w:t>.</w:t>
      </w:r>
      <w:r>
        <w:tab/>
        <w:t>Wagers void in certain circumstances</w:t>
      </w:r>
      <w:bookmarkEnd w:id="145"/>
      <w:bookmarkEnd w:id="146"/>
    </w:p>
    <w:p>
      <w:pPr>
        <w:pStyle w:val="Subsection"/>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spacing w:before="120"/>
      </w:pPr>
      <w:r>
        <w:tab/>
        <w:t>(2)</w:t>
      </w:r>
      <w:r>
        <w:tab/>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spacing w:before="180"/>
      </w:pPr>
      <w:bookmarkStart w:id="147" w:name="_Toc406507609"/>
      <w:bookmarkStart w:id="148" w:name="_Toc490126981"/>
      <w:r>
        <w:rPr>
          <w:rStyle w:val="CharSectno"/>
        </w:rPr>
        <w:t>54</w:t>
      </w:r>
      <w:r>
        <w:t>.</w:t>
      </w:r>
      <w:r>
        <w:tab/>
        <w:t>When wagers are off</w:t>
      </w:r>
      <w:bookmarkEnd w:id="147"/>
      <w:bookmarkEnd w:id="148"/>
    </w:p>
    <w:p>
      <w:pPr>
        <w:pStyle w:val="Subsection"/>
        <w:spacing w:before="120"/>
      </w:pPr>
      <w:r>
        <w:tab/>
      </w:r>
      <w:r>
        <w:tab/>
        <w:t xml:space="preserve">No wager can be declared off except by mutual consent or in the following circumstances — </w:t>
      </w:r>
    </w:p>
    <w:p>
      <w:pPr>
        <w:pStyle w:val="Indenta"/>
        <w:spacing w:before="60"/>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are to be covered or sufficient security given in default of which the wagers are off; and</w:t>
      </w:r>
    </w:p>
    <w:p>
      <w:pPr>
        <w:pStyle w:val="Indenta"/>
        <w:spacing w:before="60"/>
      </w:pPr>
      <w:r>
        <w:tab/>
        <w:t>(b)</w:t>
      </w:r>
      <w:r>
        <w:tab/>
        <w:t>in the event of a race being divided, all wagers made on the race at fixed prices before the announcement that the race is divided are off; and</w:t>
      </w:r>
    </w:p>
    <w:p>
      <w:pPr>
        <w:pStyle w:val="Indenta"/>
        <w:spacing w:before="60"/>
      </w:pPr>
      <w:r>
        <w:tab/>
        <w:t>(c)</w:t>
      </w:r>
      <w:r>
        <w:tab/>
        <w:t>all wagers with any person who after the making of the wagers has been declared a defaulter, are off; and</w:t>
      </w:r>
    </w:p>
    <w:p>
      <w:pPr>
        <w:pStyle w:val="Indenta"/>
        <w:spacing w:before="60"/>
      </w:pPr>
      <w:r>
        <w:tab/>
        <w:t>(d)</w:t>
      </w:r>
      <w:r>
        <w:tab/>
        <w:t>a fixed price wager not being a doubles wager that is laid on the day on which the race meeting is held is off if the runner on which the wager is laid does not run in the race to which the wager relates; and</w:t>
      </w:r>
    </w:p>
    <w:p>
      <w:pPr>
        <w:pStyle w:val="Indenta"/>
        <w:spacing w:before="60"/>
      </w:pPr>
      <w:r>
        <w:tab/>
        <w:t>(e)</w:t>
      </w:r>
      <w:r>
        <w:tab/>
        <w:t>if a race meeting, or a race at a race meeting, is postponed from one day to another, all wagers made on that race or race meeting on the day of the postponement but before the postponement is announced are off.</w:t>
      </w:r>
    </w:p>
    <w:p>
      <w:pPr>
        <w:pStyle w:val="Footnotesection"/>
      </w:pPr>
      <w:r>
        <w:tab/>
        <w:t>[Rule 54 amended: Gazette 29 Nov 2013 p.</w:t>
      </w:r>
      <w:r>
        <w:rPr>
          <w:sz w:val="19"/>
        </w:rPr>
        <w:t> </w:t>
      </w:r>
      <w:r>
        <w:t>5471.]</w:t>
      </w:r>
    </w:p>
    <w:p>
      <w:pPr>
        <w:pStyle w:val="Heading5"/>
      </w:pPr>
      <w:bookmarkStart w:id="149" w:name="_Toc406507610"/>
      <w:bookmarkStart w:id="150" w:name="_Toc490126982"/>
      <w:r>
        <w:rPr>
          <w:rStyle w:val="CharSectno"/>
        </w:rPr>
        <w:t>55</w:t>
      </w:r>
      <w:r>
        <w:t>.</w:t>
      </w:r>
      <w:r>
        <w:tab/>
        <w:t>Determination and settlement of wagers</w:t>
      </w:r>
      <w:bookmarkEnd w:id="149"/>
      <w:bookmarkEnd w:id="150"/>
    </w:p>
    <w:p>
      <w:pPr>
        <w:pStyle w:val="Subsection"/>
        <w:spacing w:before="120"/>
      </w:pPr>
      <w:r>
        <w:tab/>
        <w:t>(1)</w:t>
      </w:r>
      <w:r>
        <w:tab/>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spacing w:before="120"/>
      </w:pPr>
      <w:r>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pPr>
      <w:r>
        <w:tab/>
        <w:t>(b)</w:t>
      </w:r>
      <w:r>
        <w:tab/>
        <w:t>the place component is to be determined and settled  —</w:t>
      </w:r>
    </w:p>
    <w:p>
      <w:pPr>
        <w:pStyle w:val="Indenti"/>
      </w:pPr>
      <w:r>
        <w:tab/>
        <w:t>(i)</w:t>
      </w:r>
      <w:r>
        <w:tab/>
        <w:t xml:space="preserve">where there are 3 places payable as described in rule 49(2)(b), at one-fourth of the odds agreed at the time of the wager; </w:t>
      </w:r>
    </w:p>
    <w:p>
      <w:pPr>
        <w:pStyle w:val="Indenti"/>
      </w:pPr>
      <w:r>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w:t>
      </w:r>
      <w:r>
        <w:noBreakHyphen/>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151" w:name="_Toc406507611"/>
      <w:bookmarkStart w:id="152" w:name="_Toc490126983"/>
      <w:r>
        <w:rPr>
          <w:rStyle w:val="CharSectno"/>
        </w:rPr>
        <w:t>56</w:t>
      </w:r>
      <w:r>
        <w:t>.</w:t>
      </w:r>
      <w:r>
        <w:tab/>
        <w:t>Determination of wagers where runner withdrawn</w:t>
      </w:r>
      <w:bookmarkEnd w:id="151"/>
      <w:bookmarkEnd w:id="152"/>
    </w:p>
    <w:p>
      <w:pPr>
        <w:pStyle w:val="Subsection"/>
      </w:pPr>
      <w:r>
        <w:tab/>
        <w:t>(1)</w:t>
      </w:r>
      <w:r>
        <w:tab/>
        <w:t xml:space="preserve">In this rule — </w:t>
      </w:r>
    </w:p>
    <w:p>
      <w:pPr>
        <w:pStyle w:val="Defstar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rPr>
          <w:b/>
        </w:rPr>
        <w:tab/>
      </w:r>
      <w:r>
        <w:rPr>
          <w:rStyle w:val="CharDefText"/>
        </w:rPr>
        <w:t>play or pay wager</w:t>
      </w:r>
      <w:r>
        <w:t xml:space="preserve"> means a wager that holds good whether the runner to which the bet relates runs in the race in respect of which the wager is made or not;</w:t>
      </w:r>
    </w:p>
    <w:p>
      <w:pPr>
        <w:pStyle w:val="Defstart"/>
      </w:pPr>
      <w:r>
        <w:tab/>
      </w:r>
      <w:r>
        <w:rPr>
          <w:rStyle w:val="CharDefText"/>
        </w:rPr>
        <w:t>sum percentage</w:t>
      </w:r>
      <w:r>
        <w:t>, for runners in a race, means the sum of the percentages for the runners;</w:t>
      </w:r>
    </w:p>
    <w:p>
      <w:pPr>
        <w:pStyle w:val="Defstart"/>
      </w:pPr>
      <w:r>
        <w:tab/>
      </w:r>
      <w:r>
        <w:rPr>
          <w:rStyle w:val="CharDefText"/>
        </w:rPr>
        <w:t>wager</w:t>
      </w:r>
      <w:r>
        <w:t xml:space="preserve"> means a wager, other than a play or pay wager,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pPr>
      <w:r>
        <w:tab/>
        <w:t>(3)</w:t>
      </w:r>
      <w:r>
        <w:tab/>
        <w:t xml:space="preserve">The stewards may — </w:t>
      </w:r>
    </w:p>
    <w:p>
      <w:pPr>
        <w:pStyle w:val="Indenta"/>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tab/>
      </w:r>
      <w:r>
        <w:rPr>
          <w:b/>
        </w:rPr>
        <w:t>d</w:t>
      </w:r>
      <w:r>
        <w:tab/>
        <w:t xml:space="preserve">is calculated in accordance with the following formula — </w:t>
      </w:r>
    </w:p>
    <w:p>
      <w:pPr>
        <w:pStyle w:val="Indenta"/>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pPr>
      <w:r>
        <w:tab/>
        <w:t>(5)</w:t>
      </w:r>
      <w:r>
        <w:tab/>
        <w:t xml:space="preserve">The amount paid in relation to a wager must — </w:t>
      </w:r>
    </w:p>
    <w:p>
      <w:pPr>
        <w:pStyle w:val="Indenta"/>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pPr>
      <w:r>
        <w:tab/>
        <w:t>(b)</w:t>
      </w:r>
      <w:r>
        <w:tab/>
        <w:t>any rule to the contrary,</w:t>
      </w:r>
    </w:p>
    <w:p>
      <w:pPr>
        <w:pStyle w:val="Subsection"/>
      </w:pPr>
      <w:r>
        <w:tab/>
      </w:r>
      <w:r>
        <w:tab/>
        <w:t>unless the bookmaker is specifically directed to do so by the stewards.</w:t>
      </w:r>
    </w:p>
    <w:p>
      <w:pPr>
        <w:pStyle w:val="Subsection"/>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Gazette 4 Jan 2013 p. 16</w:t>
      </w:r>
      <w:r>
        <w:noBreakHyphen/>
        <w:t>18.]</w:t>
      </w:r>
    </w:p>
    <w:p>
      <w:pPr>
        <w:pStyle w:val="Heading5"/>
      </w:pPr>
      <w:bookmarkStart w:id="153" w:name="_Toc406507612"/>
      <w:bookmarkStart w:id="154" w:name="_Toc490126984"/>
      <w:r>
        <w:rPr>
          <w:rStyle w:val="CharSectno"/>
        </w:rPr>
        <w:t>57</w:t>
      </w:r>
      <w:r>
        <w:t>.</w:t>
      </w:r>
      <w:r>
        <w:tab/>
        <w:t>Wagers to be pay or play except in certain circumstances</w:t>
      </w:r>
      <w:bookmarkEnd w:id="153"/>
      <w:bookmarkEnd w:id="154"/>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155" w:name="_Toc406507613"/>
      <w:bookmarkStart w:id="156" w:name="_Toc490126985"/>
      <w:r>
        <w:rPr>
          <w:rStyle w:val="CharSectno"/>
        </w:rPr>
        <w:t>58</w:t>
      </w:r>
      <w:r>
        <w:t>.</w:t>
      </w:r>
      <w:r>
        <w:tab/>
        <w:t>Provisions as to settlement of wagers following dead heat</w:t>
      </w:r>
      <w:bookmarkEnd w:id="155"/>
      <w:bookmarkEnd w:id="156"/>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pPr>
      <w:r>
        <w:tab/>
        <w:t>(3)</w:t>
      </w:r>
      <w:r>
        <w:tab/>
        <w:t>In a place wager where, in accordance with rule 49(2)(b), there are only 2 places payable and the selected runner finishes in a 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one-half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pPr>
      <w:r>
        <w:tab/>
        <w:t>(d)</w:t>
      </w:r>
      <w:r>
        <w:tab/>
        <w:t xml:space="preserve">where a runner selected by the investor finishes in a dead heat for second place with 2 other runners the amount payable to the investor in respect of the wager is to be — </w:t>
      </w:r>
    </w:p>
    <w:p>
      <w:pPr>
        <w:pStyle w:val="Indenti"/>
      </w:pPr>
      <w:r>
        <w:tab/>
        <w:t>(i)</w:t>
      </w:r>
      <w:r>
        <w:tab/>
        <w:t>where, in accordance with rule 49(2)(b), there are 3 places payable  — two-thirds of the investor’s stake; and</w:t>
      </w:r>
    </w:p>
    <w:p>
      <w:pPr>
        <w:pStyle w:val="Indenti"/>
      </w:pPr>
      <w:r>
        <w:tab/>
        <w:t>(ii)</w:t>
      </w:r>
      <w:r>
        <w:tab/>
        <w:t>where, in accordance with rule 49(2)(b), there are 2 places payable  — one-third of the investor’s stake;</w:t>
      </w:r>
    </w:p>
    <w:p>
      <w:pPr>
        <w:pStyle w:val="Indenta"/>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Next w:val="0"/>
        <w:keepLines w:val="0"/>
      </w:pPr>
      <w:bookmarkStart w:id="157" w:name="_Toc406507614"/>
      <w:bookmarkStart w:id="158" w:name="_Toc490126986"/>
      <w:r>
        <w:rPr>
          <w:rStyle w:val="CharSectno"/>
        </w:rPr>
        <w:t>59</w:t>
      </w:r>
      <w:r>
        <w:t>.</w:t>
      </w:r>
      <w:r>
        <w:tab/>
        <w:t>Provisions as to races that are re</w:t>
      </w:r>
      <w:r>
        <w:noBreakHyphen/>
        <w:t>run</w:t>
      </w:r>
      <w:bookmarkEnd w:id="157"/>
      <w:bookmarkEnd w:id="158"/>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159" w:name="_Toc406507615"/>
      <w:bookmarkStart w:id="160" w:name="_Toc490126987"/>
      <w:r>
        <w:rPr>
          <w:rStyle w:val="CharSectno"/>
        </w:rPr>
        <w:t>60</w:t>
      </w:r>
      <w:r>
        <w:t>.</w:t>
      </w:r>
      <w:r>
        <w:tab/>
        <w:t>Pre</w:t>
      </w:r>
      <w:r>
        <w:noBreakHyphen/>
        <w:t>post wagering on the final of special event</w:t>
      </w:r>
      <w:bookmarkEnd w:id="159"/>
      <w:bookmarkEnd w:id="160"/>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161" w:name="_Toc406507616"/>
      <w:bookmarkStart w:id="162" w:name="_Toc490126988"/>
      <w:r>
        <w:rPr>
          <w:rStyle w:val="CharSectno"/>
        </w:rPr>
        <w:t>61</w:t>
      </w:r>
      <w:r>
        <w:t>.</w:t>
      </w:r>
      <w:r>
        <w:tab/>
        <w:t>“Favout” wagering</w:t>
      </w:r>
      <w:bookmarkEnd w:id="161"/>
      <w:bookmarkEnd w:id="162"/>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163" w:name="_Toc406507617"/>
      <w:bookmarkStart w:id="164" w:name="_Toc490126989"/>
      <w:r>
        <w:rPr>
          <w:rStyle w:val="CharSectno"/>
        </w:rPr>
        <w:t>62</w:t>
      </w:r>
      <w:r>
        <w:t>.</w:t>
      </w:r>
      <w:r>
        <w:tab/>
        <w:t xml:space="preserve">Wagering on sporting event, or contingency, approved under </w:t>
      </w:r>
      <w:r>
        <w:rPr>
          <w:i/>
          <w:iCs/>
        </w:rPr>
        <w:t>Betting Control Act 1954</w:t>
      </w:r>
      <w:r>
        <w:rPr>
          <w:iCs/>
        </w:rPr>
        <w:t xml:space="preserve"> s. 4B</w:t>
      </w:r>
      <w:bookmarkEnd w:id="163"/>
      <w:bookmarkEnd w:id="164"/>
    </w:p>
    <w:p>
      <w:pPr>
        <w:pStyle w:val="Subsection"/>
      </w:pPr>
      <w:r>
        <w:tab/>
        <w:t>(1)</w:t>
      </w:r>
      <w:r>
        <w:tab/>
        <w:t>Wagers are to be determined on the official results as declared by the controlling authority responsible for conducting the sporting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pPr>
      <w:r>
        <w:tab/>
        <w:t>(4)</w:t>
      </w:r>
      <w:r>
        <w:tab/>
        <w:t>Where a sporting event or contingency results in a tie, draw or dead heat, and odds are offered for that tie, draw or dead heat, any wager for a win is lost.</w:t>
      </w:r>
    </w:p>
    <w:p>
      <w:pPr>
        <w:pStyle w:val="Subsection"/>
      </w:pPr>
      <w:r>
        <w:tab/>
        <w:t>(5)</w:t>
      </w:r>
      <w:r>
        <w:tab/>
        <w:t>If no odds are offered for a tie, draw or dead heat and the event or contingency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spacing w:before="120"/>
      </w:pPr>
      <w:r>
        <w:tab/>
        <w:t>(6)</w:t>
      </w:r>
      <w:r>
        <w:tab/>
        <w:t xml:space="preserve">In wagers involving more than one contingency of, or relating to, the same sporting event — </w:t>
      </w:r>
    </w:p>
    <w:p>
      <w:pPr>
        <w:pStyle w:val="Indenta"/>
      </w:pPr>
      <w:r>
        <w:tab/>
        <w:t>(a)</w:t>
      </w:r>
      <w:r>
        <w:tab/>
        <w:t>if the first contingency is not decided in the investor’s favour, the wager is lost; and</w:t>
      </w:r>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 and</w:t>
      </w:r>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 sporting event is abandoned, all wagers are to be refunded except those made in respect of contingencies that have been decided totally or in part.</w:t>
      </w:r>
    </w:p>
    <w:p>
      <w:pPr>
        <w:pStyle w:val="Subsection"/>
      </w:pPr>
      <w:r>
        <w:tab/>
        <w:t>(8)</w:t>
      </w:r>
      <w:r>
        <w:tab/>
        <w:t>Where a sporting event is postponed to a later date, all wagers on the event or contingent on the event are to stand.</w:t>
      </w:r>
    </w:p>
    <w:p>
      <w:pPr>
        <w:pStyle w:val="Subsection"/>
        <w:keepNext/>
      </w:pPr>
      <w:r>
        <w:tab/>
        <w:t>(9)</w:t>
      </w:r>
      <w:r>
        <w:tab/>
        <w:t>All wagers in relation to sporting contingencies are to be “play or pay”, unless the parties mutually agree to the contrary.</w:t>
      </w:r>
    </w:p>
    <w:p>
      <w:pPr>
        <w:pStyle w:val="Footnotesection"/>
      </w:pPr>
      <w:r>
        <w:tab/>
        <w:t>[Rule 62 amended: Gazette 7 Apr 2006 p. 1490; 19 Oct 2010 p. 5192.]</w:t>
      </w:r>
    </w:p>
    <w:p>
      <w:pPr>
        <w:pStyle w:val="Heading2"/>
      </w:pPr>
      <w:bookmarkStart w:id="165" w:name="_Toc377039001"/>
      <w:bookmarkStart w:id="166" w:name="_Toc406507618"/>
      <w:bookmarkStart w:id="167" w:name="_Toc425172654"/>
      <w:bookmarkStart w:id="168" w:name="_Toc435092269"/>
      <w:bookmarkStart w:id="169" w:name="_Toc446331409"/>
      <w:bookmarkStart w:id="170" w:name="_Toc490126990"/>
      <w:r>
        <w:rPr>
          <w:rStyle w:val="CharPartNo"/>
        </w:rPr>
        <w:t>Part 6</w:t>
      </w:r>
      <w:r>
        <w:rPr>
          <w:rStyle w:val="CharDivNo"/>
        </w:rPr>
        <w:t> </w:t>
      </w:r>
      <w:r>
        <w:t>—</w:t>
      </w:r>
      <w:r>
        <w:rPr>
          <w:rStyle w:val="CharDivText"/>
        </w:rPr>
        <w:t> </w:t>
      </w:r>
      <w:r>
        <w:rPr>
          <w:rStyle w:val="CharPartText"/>
        </w:rPr>
        <w:t>Rules as to the operation of totalisator agencies</w:t>
      </w:r>
      <w:bookmarkEnd w:id="165"/>
      <w:bookmarkEnd w:id="166"/>
      <w:bookmarkEnd w:id="167"/>
      <w:bookmarkEnd w:id="168"/>
      <w:bookmarkEnd w:id="169"/>
      <w:bookmarkEnd w:id="170"/>
    </w:p>
    <w:p>
      <w:pPr>
        <w:pStyle w:val="Heading5"/>
      </w:pPr>
      <w:bookmarkStart w:id="171" w:name="_Toc406507619"/>
      <w:bookmarkStart w:id="172" w:name="_Toc490126991"/>
      <w:r>
        <w:rPr>
          <w:rStyle w:val="CharSectno"/>
        </w:rPr>
        <w:t>63</w:t>
      </w:r>
      <w:r>
        <w:t>.</w:t>
      </w:r>
      <w:r>
        <w:tab/>
        <w:t>Terms used</w:t>
      </w:r>
      <w:bookmarkEnd w:id="171"/>
      <w:bookmarkEnd w:id="172"/>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173" w:name="_Toc406507620"/>
      <w:bookmarkStart w:id="174" w:name="_Toc490126992"/>
      <w:r>
        <w:rPr>
          <w:rStyle w:val="CharSectno"/>
        </w:rPr>
        <w:t>64</w:t>
      </w:r>
      <w:r>
        <w:t>.</w:t>
      </w:r>
      <w:r>
        <w:tab/>
        <w:t>Obligations of agents and employees while on duty</w:t>
      </w:r>
      <w:bookmarkEnd w:id="173"/>
      <w:bookmarkEnd w:id="174"/>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175" w:name="_Toc406507621"/>
      <w:bookmarkStart w:id="176" w:name="_Toc490126993"/>
      <w:r>
        <w:rPr>
          <w:rStyle w:val="CharSectno"/>
        </w:rPr>
        <w:t>65</w:t>
      </w:r>
      <w:r>
        <w:t>.</w:t>
      </w:r>
      <w:r>
        <w:tab/>
        <w:t>Use of video surveillance</w:t>
      </w:r>
      <w:bookmarkEnd w:id="175"/>
      <w:bookmarkEnd w:id="176"/>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177" w:name="_Toc406507622"/>
      <w:bookmarkStart w:id="178" w:name="_Toc490126994"/>
      <w:r>
        <w:rPr>
          <w:rStyle w:val="CharSectno"/>
        </w:rPr>
        <w:t>66</w:t>
      </w:r>
      <w:r>
        <w:t>.</w:t>
      </w:r>
      <w:r>
        <w:tab/>
        <w:t>Agency bonds</w:t>
      </w:r>
      <w:bookmarkEnd w:id="177"/>
      <w:bookmarkEnd w:id="178"/>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179" w:name="_Toc406507623"/>
      <w:bookmarkStart w:id="180" w:name="_Toc490126995"/>
      <w:r>
        <w:rPr>
          <w:rStyle w:val="CharSectno"/>
        </w:rPr>
        <w:t>67</w:t>
      </w:r>
      <w:r>
        <w:t>.</w:t>
      </w:r>
      <w:r>
        <w:tab/>
        <w:t>Acceptance of cheques</w:t>
      </w:r>
      <w:bookmarkEnd w:id="179"/>
      <w:bookmarkEnd w:id="180"/>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1" w:name="_Toc377039007"/>
      <w:bookmarkStart w:id="182" w:name="_Toc406507624"/>
      <w:bookmarkStart w:id="183" w:name="_Toc425172660"/>
      <w:bookmarkStart w:id="184" w:name="_Toc435092275"/>
      <w:bookmarkStart w:id="185" w:name="_Toc446331415"/>
      <w:bookmarkStart w:id="186" w:name="_Toc490126996"/>
      <w:r>
        <w:rPr>
          <w:rStyle w:val="CharSchNo"/>
        </w:rPr>
        <w:t>Schedule 1</w:t>
      </w:r>
      <w:r>
        <w:t xml:space="preserve"> — </w:t>
      </w:r>
      <w:r>
        <w:rPr>
          <w:rStyle w:val="CharSchText"/>
        </w:rPr>
        <w:t>Scale of Deduction Table</w:t>
      </w:r>
      <w:bookmarkEnd w:id="181"/>
      <w:bookmarkEnd w:id="182"/>
      <w:bookmarkEnd w:id="183"/>
      <w:bookmarkEnd w:id="184"/>
      <w:bookmarkEnd w:id="185"/>
      <w:bookmarkEnd w:id="186"/>
    </w:p>
    <w:p>
      <w:pPr>
        <w:pStyle w:val="yShoulderClause"/>
      </w:pPr>
      <w:r>
        <w:t>[r. 56]</w:t>
      </w:r>
    </w:p>
    <w:p>
      <w:pPr>
        <w:pStyle w:val="yNumberedItem"/>
        <w:tabs>
          <w:tab w:val="left" w:pos="560"/>
        </w:tabs>
        <w:ind w:left="574" w:hanging="574"/>
      </w:pPr>
      <w:r>
        <w:t>1.</w:t>
      </w:r>
      <w:r>
        <w:tab/>
        <w:t>The following Table is the table referred to in rule 56 and is to be used to determine the rate % of deduction in situations where it is not possible for the stewards to declare a deduction in accordance with rule 56(3). In that case the stewards may declare a deduction for the purposes of rule 56(2)(b) in accordance with this Scale of Deduction Table. Calculations can be made in respect of win, place, each way, concession and doubles wagers. Rate % of deduction (cent in $) from the dividend payable in respect of the wager. (Note: For the purpose of this Table, the win component of an each way wager is to be taken as win wager and the place component a place wager).</w:t>
      </w:r>
    </w:p>
    <w:p>
      <w:pPr>
        <w:pStyle w:val="yNumberedItem"/>
        <w:tabs>
          <w:tab w:val="left" w:pos="560"/>
        </w:tabs>
        <w:ind w:left="574" w:hanging="574"/>
      </w:pPr>
      <w:r>
        <w:t>2.</w:t>
      </w:r>
      <w:r>
        <w:tab/>
        <w:t>Generally, the deduction is applied to the face value of a bet made prior to the time it became known that a runner was a late scratched runner.</w:t>
      </w:r>
    </w:p>
    <w:p>
      <w:pPr>
        <w:pStyle w:val="yNumberedItem"/>
        <w:tabs>
          <w:tab w:val="left" w:pos="560"/>
        </w:tabs>
        <w:ind w:left="574" w:hanging="574"/>
      </w:pPr>
      <w:r>
        <w:t>3.</w:t>
      </w:r>
      <w:r>
        <w:tab/>
        <w:t xml:space="preserve">In relation to concession bets, the deduction is applied only — </w:t>
      </w:r>
    </w:p>
    <w:p>
      <w:pPr>
        <w:pStyle w:val="yMiscellaneousBody"/>
        <w:tabs>
          <w:tab w:val="left" w:pos="560"/>
          <w:tab w:val="left" w:pos="1080"/>
        </w:tabs>
        <w:spacing w:before="80"/>
        <w:ind w:left="1106" w:hanging="1106"/>
      </w:pPr>
      <w:r>
        <w:tab/>
        <w:t>(a)</w:t>
      </w:r>
      <w:r>
        <w:tab/>
        <w:t>in respect of a runner that comes first; and</w:t>
      </w:r>
    </w:p>
    <w:p>
      <w:pPr>
        <w:pStyle w:val="yMiscellaneousBody"/>
        <w:tabs>
          <w:tab w:val="left" w:pos="560"/>
          <w:tab w:val="left" w:pos="1080"/>
        </w:tabs>
        <w:spacing w:before="80"/>
        <w:ind w:left="1106" w:hanging="1106"/>
      </w:pPr>
      <w:r>
        <w:tab/>
        <w:t>(b)</w:t>
      </w:r>
      <w:r>
        <w:tab/>
        <w:t>to the amount of winnings payable.</w:t>
      </w:r>
    </w:p>
    <w:p>
      <w:pPr>
        <w:pStyle w:val="yNumberedItem"/>
        <w:tabs>
          <w:tab w:val="left" w:pos="560"/>
        </w:tabs>
        <w:ind w:left="574" w:hanging="574"/>
      </w:pPr>
      <w:r>
        <w:t>4.</w:t>
      </w:r>
      <w:r>
        <w:tab/>
        <w:t>With regard to all successful win, place, each 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left" w:pos="560"/>
        </w:tabs>
        <w:ind w:left="574" w:hanging="574"/>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left" w:pos="560"/>
        </w:tabs>
        <w:ind w:left="574" w:hanging="574"/>
      </w:pPr>
      <w:r>
        <w:t>6.</w:t>
      </w:r>
      <w:r>
        <w:tab/>
        <w:t xml:space="preserve">Where withdrawals occur at different times during wagering on a race, successful wagers placed prior to the last withdrawal are to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to be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NumberedItem"/>
        <w:tabs>
          <w:tab w:val="left" w:pos="560"/>
        </w:tabs>
        <w:ind w:left="574" w:hanging="574"/>
      </w:pPr>
      <w:r>
        <w:t>7.</w:t>
      </w:r>
      <w:r>
        <w:tab/>
        <w:t>Where the runner ordered or permitted to be withdrawn, or declared a non</w:t>
      </w:r>
      <w:r>
        <w:noBreakHyphen/>
        <w:t xml:space="preserve">starter, is shorter than the range of dividends set out in the Scale of Deduction Table, the stewards may — </w:t>
      </w:r>
    </w:p>
    <w:p>
      <w:pPr>
        <w:pStyle w:val="yMiscellaneousBody"/>
        <w:tabs>
          <w:tab w:val="left" w:pos="560"/>
          <w:tab w:val="left" w:pos="1080"/>
        </w:tabs>
        <w:spacing w:before="80"/>
        <w:ind w:left="1106" w:hanging="1106"/>
      </w:pPr>
      <w:r>
        <w:tab/>
        <w:t>(a)</w:t>
      </w:r>
      <w:r>
        <w:tab/>
        <w:t>if there is sufficient time, declare all wagers made on the remaining runners to be void and order that wagering on the race be re</w:t>
      </w:r>
      <w:r>
        <w:noBreakHyphen/>
        <w:t>opened; or</w:t>
      </w:r>
    </w:p>
    <w:p>
      <w:pPr>
        <w:pStyle w:val="yMiscellaneousBody"/>
        <w:tabs>
          <w:tab w:val="left" w:pos="560"/>
          <w:tab w:val="left" w:pos="1080"/>
        </w:tabs>
        <w:spacing w:before="80"/>
        <w:ind w:left="1106" w:hanging="1106"/>
      </w:pPr>
      <w:r>
        <w:tab/>
        <w:t>(b)</w:t>
      </w:r>
      <w:r>
        <w:tab/>
        <w:t>if there is insufficient time to re open wagering, declare a deduction assessed from the Scale of Deduction Table.</w:t>
      </w:r>
    </w:p>
    <w:p>
      <w:pPr>
        <w:pStyle w:val="yMiscellaneousHeading"/>
        <w:rPr>
          <w:b/>
          <w:bCs/>
          <w:sz w:val="20"/>
        </w:rPr>
      </w:pPr>
      <w:r>
        <w:rPr>
          <w:b/>
          <w:bCs/>
        </w:rPr>
        <w:t>Table</w:t>
      </w:r>
    </w:p>
    <w:tbl>
      <w:tblPr>
        <w:tblW w:w="7075" w:type="dxa"/>
        <w:jc w:val="center"/>
        <w:tblInd w:w="8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2"/>
        <w:gridCol w:w="1181"/>
        <w:gridCol w:w="1418"/>
        <w:gridCol w:w="1417"/>
        <w:gridCol w:w="1407"/>
      </w:tblGrid>
      <w:tr>
        <w:trPr>
          <w:tblHeader/>
          <w:jc w:val="center"/>
        </w:trPr>
        <w:tc>
          <w:tcPr>
            <w:tcW w:w="1652" w:type="dxa"/>
          </w:tcPr>
          <w:p>
            <w:pPr>
              <w:pStyle w:val="yTableNAm"/>
              <w:rPr>
                <w:b/>
              </w:rPr>
            </w:pPr>
            <w:r>
              <w:rPr>
                <w:b/>
              </w:rPr>
              <w:t>Dividend of withdrawn runner (for wager of $1)</w:t>
            </w:r>
          </w:p>
        </w:tc>
        <w:tc>
          <w:tcPr>
            <w:tcW w:w="1181" w:type="dxa"/>
          </w:tcPr>
          <w:p>
            <w:pPr>
              <w:pStyle w:val="yTableNAm"/>
              <w:rPr>
                <w:b/>
              </w:rPr>
            </w:pPr>
            <w:r>
              <w:rPr>
                <w:b/>
              </w:rPr>
              <w:t>Win, Doubles, Trebles deduction</w:t>
            </w:r>
          </w:p>
          <w:p>
            <w:pPr>
              <w:pStyle w:val="yTableNAm"/>
              <w:rPr>
                <w:b/>
              </w:rPr>
            </w:pPr>
            <w:r>
              <w:rPr>
                <w:b/>
              </w:rPr>
              <w:br/>
              <w:t>Cents</w:t>
            </w:r>
          </w:p>
        </w:tc>
        <w:tc>
          <w:tcPr>
            <w:tcW w:w="1418" w:type="dxa"/>
          </w:tcPr>
          <w:p>
            <w:pPr>
              <w:pStyle w:val="yTableNAm"/>
              <w:rPr>
                <w:b/>
              </w:rPr>
            </w:pPr>
            <w:r>
              <w:rPr>
                <w:b/>
              </w:rPr>
              <w:t>Place deduction where 8 or more runners</w:t>
            </w:r>
          </w:p>
          <w:p>
            <w:pPr>
              <w:pStyle w:val="yTableNAm"/>
              <w:rPr>
                <w:b/>
              </w:rPr>
            </w:pPr>
            <w:r>
              <w:rPr>
                <w:b/>
              </w:rPr>
              <w:t>Cents</w:t>
            </w:r>
          </w:p>
        </w:tc>
        <w:tc>
          <w:tcPr>
            <w:tcW w:w="1417" w:type="dxa"/>
          </w:tcPr>
          <w:p>
            <w:pPr>
              <w:pStyle w:val="yTableNAm"/>
              <w:rPr>
                <w:b/>
              </w:rPr>
            </w:pPr>
            <w:r>
              <w:rPr>
                <w:b/>
              </w:rPr>
              <w:t>Place deduction where less than 8 runners</w:t>
            </w:r>
          </w:p>
          <w:p>
            <w:pPr>
              <w:pStyle w:val="yTableNAm"/>
              <w:rPr>
                <w:b/>
              </w:rPr>
            </w:pPr>
            <w:r>
              <w:rPr>
                <w:b/>
              </w:rPr>
              <w:t>Cents</w:t>
            </w:r>
          </w:p>
        </w:tc>
        <w:tc>
          <w:tcPr>
            <w:tcW w:w="1407" w:type="dxa"/>
          </w:tcPr>
          <w:p>
            <w:pPr>
              <w:pStyle w:val="yTableNAm"/>
              <w:rPr>
                <w:b/>
              </w:rPr>
            </w:pPr>
            <w:r>
              <w:rPr>
                <w:b/>
              </w:rPr>
              <w:t>Concession deduction</w:t>
            </w:r>
          </w:p>
          <w:p>
            <w:pPr>
              <w:pStyle w:val="yTableNAm"/>
              <w:rPr>
                <w:b/>
              </w:rPr>
            </w:pPr>
            <w:r>
              <w:rPr>
                <w:b/>
              </w:rPr>
              <w:br/>
            </w:r>
            <w:r>
              <w:rPr>
                <w:b/>
              </w:rPr>
              <w:br/>
            </w:r>
            <w:r>
              <w:rPr>
                <w:b/>
              </w:rPr>
              <w:br/>
              <w:t>Cents</w:t>
            </w:r>
          </w:p>
        </w:tc>
      </w:tr>
      <w:tr>
        <w:trPr>
          <w:jc w:val="center"/>
        </w:trPr>
        <w:tc>
          <w:tcPr>
            <w:tcW w:w="1652" w:type="dxa"/>
          </w:tcPr>
          <w:p>
            <w:pPr>
              <w:pStyle w:val="yTableNAm"/>
            </w:pPr>
            <w:r>
              <w:t>1.05</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1.07</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1.08</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1.09</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1.10</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1.12</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1.14</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1.18</w:t>
            </w:r>
          </w:p>
        </w:tc>
        <w:tc>
          <w:tcPr>
            <w:tcW w:w="1181" w:type="dxa"/>
          </w:tcPr>
          <w:p>
            <w:pPr>
              <w:pStyle w:val="yTableNAm"/>
            </w:pPr>
            <w:r>
              <w:t>0.79</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1.20</w:t>
            </w:r>
          </w:p>
        </w:tc>
        <w:tc>
          <w:tcPr>
            <w:tcW w:w="1181" w:type="dxa"/>
          </w:tcPr>
          <w:p>
            <w:pPr>
              <w:pStyle w:val="yTableNAm"/>
            </w:pPr>
            <w:r>
              <w:t>0.78</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1.22</w:t>
            </w:r>
          </w:p>
        </w:tc>
        <w:tc>
          <w:tcPr>
            <w:tcW w:w="1181" w:type="dxa"/>
          </w:tcPr>
          <w:p>
            <w:pPr>
              <w:pStyle w:val="yTableNAm"/>
            </w:pPr>
            <w:r>
              <w:t>0.77</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1.24</w:t>
            </w:r>
          </w:p>
        </w:tc>
        <w:tc>
          <w:tcPr>
            <w:tcW w:w="1181" w:type="dxa"/>
          </w:tcPr>
          <w:p>
            <w:pPr>
              <w:pStyle w:val="yTableNAm"/>
            </w:pPr>
            <w:r>
              <w:t>0.75</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1.26</w:t>
            </w:r>
          </w:p>
        </w:tc>
        <w:tc>
          <w:tcPr>
            <w:tcW w:w="1181" w:type="dxa"/>
          </w:tcPr>
          <w:p>
            <w:pPr>
              <w:pStyle w:val="yTableNAm"/>
            </w:pPr>
            <w:r>
              <w:t>0.74</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1.28</w:t>
            </w:r>
          </w:p>
        </w:tc>
        <w:tc>
          <w:tcPr>
            <w:tcW w:w="1181" w:type="dxa"/>
          </w:tcPr>
          <w:p>
            <w:pPr>
              <w:pStyle w:val="yTableNAm"/>
            </w:pPr>
            <w:r>
              <w:t>0.73</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1.30</w:t>
            </w:r>
          </w:p>
        </w:tc>
        <w:tc>
          <w:tcPr>
            <w:tcW w:w="1181" w:type="dxa"/>
          </w:tcPr>
          <w:p>
            <w:pPr>
              <w:pStyle w:val="yTableNAm"/>
            </w:pPr>
            <w:r>
              <w:t>0.72</w:t>
            </w:r>
          </w:p>
        </w:tc>
        <w:tc>
          <w:tcPr>
            <w:tcW w:w="1418" w:type="dxa"/>
          </w:tcPr>
          <w:p>
            <w:pPr>
              <w:pStyle w:val="yTableNAm"/>
            </w:pPr>
            <w:r>
              <w:t>0.29</w:t>
            </w:r>
          </w:p>
        </w:tc>
        <w:tc>
          <w:tcPr>
            <w:tcW w:w="1417" w:type="dxa"/>
          </w:tcPr>
          <w:p>
            <w:pPr>
              <w:pStyle w:val="yTableNAm"/>
            </w:pPr>
            <w:r>
              <w:t>0.42</w:t>
            </w:r>
          </w:p>
        </w:tc>
        <w:tc>
          <w:tcPr>
            <w:tcW w:w="1407" w:type="dxa"/>
          </w:tcPr>
          <w:p>
            <w:pPr>
              <w:pStyle w:val="yTableNAm"/>
            </w:pPr>
            <w:r>
              <w:t>0.67</w:t>
            </w:r>
          </w:p>
        </w:tc>
      </w:tr>
      <w:tr>
        <w:trPr>
          <w:jc w:val="center"/>
        </w:trPr>
        <w:tc>
          <w:tcPr>
            <w:tcW w:w="1652" w:type="dxa"/>
          </w:tcPr>
          <w:p>
            <w:pPr>
              <w:pStyle w:val="yTableNAm"/>
            </w:pPr>
            <w:r>
              <w:t>1.35</w:t>
            </w:r>
          </w:p>
        </w:tc>
        <w:tc>
          <w:tcPr>
            <w:tcW w:w="1181" w:type="dxa"/>
          </w:tcPr>
          <w:p>
            <w:pPr>
              <w:pStyle w:val="yTableNAm"/>
            </w:pPr>
            <w:r>
              <w:t>0.69</w:t>
            </w:r>
          </w:p>
        </w:tc>
        <w:tc>
          <w:tcPr>
            <w:tcW w:w="1418" w:type="dxa"/>
          </w:tcPr>
          <w:p>
            <w:pPr>
              <w:pStyle w:val="yTableNAm"/>
            </w:pPr>
            <w:r>
              <w:t>0.29</w:t>
            </w:r>
          </w:p>
        </w:tc>
        <w:tc>
          <w:tcPr>
            <w:tcW w:w="1417" w:type="dxa"/>
          </w:tcPr>
          <w:p>
            <w:pPr>
              <w:pStyle w:val="yTableNAm"/>
            </w:pPr>
            <w:r>
              <w:t>0.42</w:t>
            </w:r>
          </w:p>
        </w:tc>
        <w:tc>
          <w:tcPr>
            <w:tcW w:w="1407" w:type="dxa"/>
          </w:tcPr>
          <w:p>
            <w:pPr>
              <w:pStyle w:val="yTableNAm"/>
            </w:pPr>
            <w:r>
              <w:t>0.64</w:t>
            </w:r>
          </w:p>
        </w:tc>
      </w:tr>
      <w:tr>
        <w:trPr>
          <w:jc w:val="center"/>
        </w:trPr>
        <w:tc>
          <w:tcPr>
            <w:tcW w:w="1652" w:type="dxa"/>
          </w:tcPr>
          <w:p>
            <w:pPr>
              <w:pStyle w:val="yTableNAm"/>
            </w:pPr>
            <w:r>
              <w:t>1.40</w:t>
            </w:r>
          </w:p>
        </w:tc>
        <w:tc>
          <w:tcPr>
            <w:tcW w:w="1181" w:type="dxa"/>
          </w:tcPr>
          <w:p>
            <w:pPr>
              <w:pStyle w:val="yTableNAm"/>
            </w:pPr>
            <w:r>
              <w:t>0.67</w:t>
            </w:r>
          </w:p>
        </w:tc>
        <w:tc>
          <w:tcPr>
            <w:tcW w:w="1418" w:type="dxa"/>
          </w:tcPr>
          <w:p>
            <w:pPr>
              <w:pStyle w:val="yTableNAm"/>
            </w:pPr>
            <w:r>
              <w:t>0.28</w:t>
            </w:r>
          </w:p>
        </w:tc>
        <w:tc>
          <w:tcPr>
            <w:tcW w:w="1417" w:type="dxa"/>
          </w:tcPr>
          <w:p>
            <w:pPr>
              <w:pStyle w:val="yTableNAm"/>
            </w:pPr>
            <w:r>
              <w:t>0.41</w:t>
            </w:r>
          </w:p>
        </w:tc>
        <w:tc>
          <w:tcPr>
            <w:tcW w:w="1407" w:type="dxa"/>
          </w:tcPr>
          <w:p>
            <w:pPr>
              <w:pStyle w:val="yTableNAm"/>
            </w:pPr>
            <w:r>
              <w:t>0.62</w:t>
            </w:r>
          </w:p>
        </w:tc>
      </w:tr>
      <w:tr>
        <w:trPr>
          <w:jc w:val="center"/>
        </w:trPr>
        <w:tc>
          <w:tcPr>
            <w:tcW w:w="1652" w:type="dxa"/>
          </w:tcPr>
          <w:p>
            <w:pPr>
              <w:pStyle w:val="yTableNAm"/>
            </w:pPr>
            <w:r>
              <w:t>1.45</w:t>
            </w:r>
          </w:p>
        </w:tc>
        <w:tc>
          <w:tcPr>
            <w:tcW w:w="1181" w:type="dxa"/>
          </w:tcPr>
          <w:p>
            <w:pPr>
              <w:pStyle w:val="yTableNAm"/>
            </w:pPr>
            <w:r>
              <w:t>0.64</w:t>
            </w:r>
          </w:p>
        </w:tc>
        <w:tc>
          <w:tcPr>
            <w:tcW w:w="1418" w:type="dxa"/>
          </w:tcPr>
          <w:p>
            <w:pPr>
              <w:pStyle w:val="yTableNAm"/>
            </w:pPr>
            <w:r>
              <w:t>0.28</w:t>
            </w:r>
          </w:p>
        </w:tc>
        <w:tc>
          <w:tcPr>
            <w:tcW w:w="1417" w:type="dxa"/>
          </w:tcPr>
          <w:p>
            <w:pPr>
              <w:pStyle w:val="yTableNAm"/>
            </w:pPr>
            <w:r>
              <w:t>0.41</w:t>
            </w:r>
          </w:p>
        </w:tc>
        <w:tc>
          <w:tcPr>
            <w:tcW w:w="1407" w:type="dxa"/>
          </w:tcPr>
          <w:p>
            <w:pPr>
              <w:pStyle w:val="yTableNAm"/>
            </w:pPr>
            <w:r>
              <w:t>0.59</w:t>
            </w:r>
          </w:p>
        </w:tc>
      </w:tr>
      <w:tr>
        <w:trPr>
          <w:jc w:val="center"/>
        </w:trPr>
        <w:tc>
          <w:tcPr>
            <w:tcW w:w="1652" w:type="dxa"/>
          </w:tcPr>
          <w:p>
            <w:pPr>
              <w:pStyle w:val="yTableNAm"/>
            </w:pPr>
            <w:r>
              <w:t>1.50</w:t>
            </w:r>
          </w:p>
        </w:tc>
        <w:tc>
          <w:tcPr>
            <w:tcW w:w="1181" w:type="dxa"/>
          </w:tcPr>
          <w:p>
            <w:pPr>
              <w:pStyle w:val="yTableNAm"/>
            </w:pPr>
            <w:r>
              <w:t>0.62</w:t>
            </w:r>
          </w:p>
        </w:tc>
        <w:tc>
          <w:tcPr>
            <w:tcW w:w="1418" w:type="dxa"/>
          </w:tcPr>
          <w:p>
            <w:pPr>
              <w:pStyle w:val="yTableNAm"/>
            </w:pPr>
            <w:r>
              <w:t>0.28</w:t>
            </w:r>
          </w:p>
        </w:tc>
        <w:tc>
          <w:tcPr>
            <w:tcW w:w="1417" w:type="dxa"/>
          </w:tcPr>
          <w:p>
            <w:pPr>
              <w:pStyle w:val="yTableNAm"/>
            </w:pPr>
            <w:r>
              <w:t>0.40</w:t>
            </w:r>
          </w:p>
        </w:tc>
        <w:tc>
          <w:tcPr>
            <w:tcW w:w="1407" w:type="dxa"/>
          </w:tcPr>
          <w:p>
            <w:pPr>
              <w:pStyle w:val="yTableNAm"/>
            </w:pPr>
            <w:r>
              <w:t>0.57</w:t>
            </w:r>
          </w:p>
        </w:tc>
      </w:tr>
      <w:tr>
        <w:trPr>
          <w:jc w:val="center"/>
        </w:trPr>
        <w:tc>
          <w:tcPr>
            <w:tcW w:w="1652" w:type="dxa"/>
          </w:tcPr>
          <w:p>
            <w:pPr>
              <w:pStyle w:val="yTableNAm"/>
            </w:pPr>
            <w:r>
              <w:t>1.55</w:t>
            </w:r>
          </w:p>
        </w:tc>
        <w:tc>
          <w:tcPr>
            <w:tcW w:w="1181" w:type="dxa"/>
          </w:tcPr>
          <w:p>
            <w:pPr>
              <w:pStyle w:val="yTableNAm"/>
            </w:pPr>
            <w:r>
              <w:t>0.60</w:t>
            </w:r>
          </w:p>
        </w:tc>
        <w:tc>
          <w:tcPr>
            <w:tcW w:w="1418" w:type="dxa"/>
          </w:tcPr>
          <w:p>
            <w:pPr>
              <w:pStyle w:val="yTableNAm"/>
            </w:pPr>
            <w:r>
              <w:t>0.27</w:t>
            </w:r>
          </w:p>
        </w:tc>
        <w:tc>
          <w:tcPr>
            <w:tcW w:w="1417" w:type="dxa"/>
          </w:tcPr>
          <w:p>
            <w:pPr>
              <w:pStyle w:val="yTableNAm"/>
            </w:pPr>
            <w:r>
              <w:t>0.39</w:t>
            </w:r>
          </w:p>
        </w:tc>
        <w:tc>
          <w:tcPr>
            <w:tcW w:w="1407" w:type="dxa"/>
          </w:tcPr>
          <w:p>
            <w:pPr>
              <w:pStyle w:val="yTableNAm"/>
            </w:pPr>
            <w:r>
              <w:t>0.55</w:t>
            </w:r>
          </w:p>
        </w:tc>
      </w:tr>
      <w:tr>
        <w:trPr>
          <w:jc w:val="center"/>
        </w:trPr>
        <w:tc>
          <w:tcPr>
            <w:tcW w:w="1652" w:type="dxa"/>
          </w:tcPr>
          <w:p>
            <w:pPr>
              <w:pStyle w:val="yTableNAm"/>
            </w:pPr>
            <w:r>
              <w:t>1.60</w:t>
            </w:r>
          </w:p>
        </w:tc>
        <w:tc>
          <w:tcPr>
            <w:tcW w:w="1181" w:type="dxa"/>
          </w:tcPr>
          <w:p>
            <w:pPr>
              <w:pStyle w:val="yTableNAm"/>
            </w:pPr>
            <w:r>
              <w:t>0.58</w:t>
            </w:r>
          </w:p>
        </w:tc>
        <w:tc>
          <w:tcPr>
            <w:tcW w:w="1418" w:type="dxa"/>
          </w:tcPr>
          <w:p>
            <w:pPr>
              <w:pStyle w:val="yTableNAm"/>
            </w:pPr>
            <w:r>
              <w:t>0.27</w:t>
            </w:r>
          </w:p>
        </w:tc>
        <w:tc>
          <w:tcPr>
            <w:tcW w:w="1417" w:type="dxa"/>
          </w:tcPr>
          <w:p>
            <w:pPr>
              <w:pStyle w:val="yTableNAm"/>
            </w:pPr>
            <w:r>
              <w:t>0.39</w:t>
            </w:r>
          </w:p>
        </w:tc>
        <w:tc>
          <w:tcPr>
            <w:tcW w:w="1407" w:type="dxa"/>
          </w:tcPr>
          <w:p>
            <w:pPr>
              <w:pStyle w:val="yTableNAm"/>
            </w:pPr>
            <w:r>
              <w:t>0.53</w:t>
            </w:r>
          </w:p>
        </w:tc>
      </w:tr>
      <w:tr>
        <w:trPr>
          <w:jc w:val="center"/>
        </w:trPr>
        <w:tc>
          <w:tcPr>
            <w:tcW w:w="1652" w:type="dxa"/>
          </w:tcPr>
          <w:p>
            <w:pPr>
              <w:pStyle w:val="yTableNAm"/>
            </w:pPr>
            <w:r>
              <w:t>1.65</w:t>
            </w:r>
          </w:p>
        </w:tc>
        <w:tc>
          <w:tcPr>
            <w:tcW w:w="1181" w:type="dxa"/>
          </w:tcPr>
          <w:p>
            <w:pPr>
              <w:pStyle w:val="yTableNAm"/>
            </w:pPr>
            <w:r>
              <w:t>0.57</w:t>
            </w:r>
          </w:p>
        </w:tc>
        <w:tc>
          <w:tcPr>
            <w:tcW w:w="1418" w:type="dxa"/>
          </w:tcPr>
          <w:p>
            <w:pPr>
              <w:pStyle w:val="yTableNAm"/>
            </w:pPr>
            <w:r>
              <w:t>0.27</w:t>
            </w:r>
          </w:p>
        </w:tc>
        <w:tc>
          <w:tcPr>
            <w:tcW w:w="1417" w:type="dxa"/>
          </w:tcPr>
          <w:p>
            <w:pPr>
              <w:pStyle w:val="yTableNAm"/>
            </w:pPr>
            <w:r>
              <w:t>0.38</w:t>
            </w:r>
          </w:p>
        </w:tc>
        <w:tc>
          <w:tcPr>
            <w:tcW w:w="1407" w:type="dxa"/>
          </w:tcPr>
          <w:p>
            <w:pPr>
              <w:pStyle w:val="yTableNAm"/>
            </w:pPr>
            <w:r>
              <w:t>0.53</w:t>
            </w:r>
          </w:p>
        </w:tc>
      </w:tr>
      <w:tr>
        <w:trPr>
          <w:jc w:val="center"/>
        </w:trPr>
        <w:tc>
          <w:tcPr>
            <w:tcW w:w="1652" w:type="dxa"/>
          </w:tcPr>
          <w:p>
            <w:pPr>
              <w:pStyle w:val="yTableNAm"/>
            </w:pPr>
            <w:r>
              <w:t>1.70</w:t>
            </w:r>
          </w:p>
        </w:tc>
        <w:tc>
          <w:tcPr>
            <w:tcW w:w="1181" w:type="dxa"/>
          </w:tcPr>
          <w:p>
            <w:pPr>
              <w:pStyle w:val="yTableNAm"/>
            </w:pPr>
            <w:r>
              <w:t>0.55</w:t>
            </w:r>
          </w:p>
        </w:tc>
        <w:tc>
          <w:tcPr>
            <w:tcW w:w="1418" w:type="dxa"/>
          </w:tcPr>
          <w:p>
            <w:pPr>
              <w:pStyle w:val="yTableNAm"/>
            </w:pPr>
            <w:r>
              <w:t>0.27</w:t>
            </w:r>
          </w:p>
        </w:tc>
        <w:tc>
          <w:tcPr>
            <w:tcW w:w="1417" w:type="dxa"/>
          </w:tcPr>
          <w:p>
            <w:pPr>
              <w:pStyle w:val="yTableNAm"/>
            </w:pPr>
            <w:r>
              <w:t>0.38</w:t>
            </w:r>
          </w:p>
        </w:tc>
        <w:tc>
          <w:tcPr>
            <w:tcW w:w="1407" w:type="dxa"/>
          </w:tcPr>
          <w:p>
            <w:pPr>
              <w:pStyle w:val="yTableNAm"/>
            </w:pPr>
            <w:r>
              <w:t>0.51</w:t>
            </w:r>
          </w:p>
        </w:tc>
      </w:tr>
      <w:tr>
        <w:trPr>
          <w:jc w:val="center"/>
        </w:trPr>
        <w:tc>
          <w:tcPr>
            <w:tcW w:w="1652" w:type="dxa"/>
          </w:tcPr>
          <w:p>
            <w:pPr>
              <w:pStyle w:val="yTableNAm"/>
            </w:pPr>
            <w:r>
              <w:t>1.75</w:t>
            </w:r>
          </w:p>
        </w:tc>
        <w:tc>
          <w:tcPr>
            <w:tcW w:w="1181" w:type="dxa"/>
          </w:tcPr>
          <w:p>
            <w:pPr>
              <w:pStyle w:val="yTableNAm"/>
            </w:pPr>
            <w:r>
              <w:t>0.53</w:t>
            </w:r>
          </w:p>
        </w:tc>
        <w:tc>
          <w:tcPr>
            <w:tcW w:w="1418" w:type="dxa"/>
          </w:tcPr>
          <w:p>
            <w:pPr>
              <w:pStyle w:val="yTableNAm"/>
            </w:pPr>
            <w:r>
              <w:t>0.26</w:t>
            </w:r>
          </w:p>
        </w:tc>
        <w:tc>
          <w:tcPr>
            <w:tcW w:w="1417" w:type="dxa"/>
          </w:tcPr>
          <w:p>
            <w:pPr>
              <w:pStyle w:val="yTableNAm"/>
            </w:pPr>
            <w:r>
              <w:t>0.37</w:t>
            </w:r>
          </w:p>
        </w:tc>
        <w:tc>
          <w:tcPr>
            <w:tcW w:w="1407" w:type="dxa"/>
          </w:tcPr>
          <w:p>
            <w:pPr>
              <w:pStyle w:val="yTableNAm"/>
            </w:pPr>
            <w:r>
              <w:t>0.49</w:t>
            </w:r>
          </w:p>
        </w:tc>
      </w:tr>
      <w:tr>
        <w:trPr>
          <w:jc w:val="center"/>
        </w:trPr>
        <w:tc>
          <w:tcPr>
            <w:tcW w:w="1652" w:type="dxa"/>
          </w:tcPr>
          <w:p>
            <w:pPr>
              <w:pStyle w:val="yTableNAm"/>
            </w:pPr>
            <w:r>
              <w:t>1.80</w:t>
            </w:r>
          </w:p>
        </w:tc>
        <w:tc>
          <w:tcPr>
            <w:tcW w:w="1181" w:type="dxa"/>
          </w:tcPr>
          <w:p>
            <w:pPr>
              <w:pStyle w:val="yTableNAm"/>
            </w:pPr>
            <w:r>
              <w:t>0.52</w:t>
            </w:r>
          </w:p>
        </w:tc>
        <w:tc>
          <w:tcPr>
            <w:tcW w:w="1418" w:type="dxa"/>
          </w:tcPr>
          <w:p>
            <w:pPr>
              <w:pStyle w:val="yTableNAm"/>
            </w:pPr>
            <w:r>
              <w:t>0.26</w:t>
            </w:r>
          </w:p>
        </w:tc>
        <w:tc>
          <w:tcPr>
            <w:tcW w:w="1417" w:type="dxa"/>
          </w:tcPr>
          <w:p>
            <w:pPr>
              <w:pStyle w:val="yTableNAm"/>
            </w:pPr>
            <w:r>
              <w:t>0.37</w:t>
            </w:r>
          </w:p>
        </w:tc>
        <w:tc>
          <w:tcPr>
            <w:tcW w:w="1407" w:type="dxa"/>
          </w:tcPr>
          <w:p>
            <w:pPr>
              <w:pStyle w:val="yTableNAm"/>
            </w:pPr>
            <w:r>
              <w:t>0.48</w:t>
            </w:r>
          </w:p>
        </w:tc>
      </w:tr>
      <w:tr>
        <w:trPr>
          <w:jc w:val="center"/>
        </w:trPr>
        <w:tc>
          <w:tcPr>
            <w:tcW w:w="1652" w:type="dxa"/>
          </w:tcPr>
          <w:p>
            <w:pPr>
              <w:pStyle w:val="yTableNAm"/>
            </w:pPr>
            <w:r>
              <w:t>1.85</w:t>
            </w:r>
          </w:p>
        </w:tc>
        <w:tc>
          <w:tcPr>
            <w:tcW w:w="1181" w:type="dxa"/>
          </w:tcPr>
          <w:p>
            <w:pPr>
              <w:pStyle w:val="yTableNAm"/>
            </w:pPr>
            <w:r>
              <w:t>0.51</w:t>
            </w:r>
          </w:p>
        </w:tc>
        <w:tc>
          <w:tcPr>
            <w:tcW w:w="1418" w:type="dxa"/>
          </w:tcPr>
          <w:p>
            <w:pPr>
              <w:pStyle w:val="yTableNAm"/>
            </w:pPr>
            <w:r>
              <w:t>0.26</w:t>
            </w:r>
          </w:p>
        </w:tc>
        <w:tc>
          <w:tcPr>
            <w:tcW w:w="1417" w:type="dxa"/>
          </w:tcPr>
          <w:p>
            <w:pPr>
              <w:pStyle w:val="yTableNAm"/>
            </w:pPr>
            <w:r>
              <w:t>0.36</w:t>
            </w:r>
          </w:p>
        </w:tc>
        <w:tc>
          <w:tcPr>
            <w:tcW w:w="1407" w:type="dxa"/>
          </w:tcPr>
          <w:p>
            <w:pPr>
              <w:pStyle w:val="yTableNAm"/>
            </w:pPr>
            <w:r>
              <w:t>0.47</w:t>
            </w:r>
          </w:p>
        </w:tc>
      </w:tr>
      <w:tr>
        <w:trPr>
          <w:jc w:val="center"/>
        </w:trPr>
        <w:tc>
          <w:tcPr>
            <w:tcW w:w="1652" w:type="dxa"/>
          </w:tcPr>
          <w:p>
            <w:pPr>
              <w:pStyle w:val="yTableNAm"/>
            </w:pPr>
            <w:r>
              <w:t>1.90</w:t>
            </w:r>
          </w:p>
        </w:tc>
        <w:tc>
          <w:tcPr>
            <w:tcW w:w="1181" w:type="dxa"/>
          </w:tcPr>
          <w:p>
            <w:pPr>
              <w:pStyle w:val="yTableNAm"/>
            </w:pPr>
            <w:r>
              <w:t>0.49</w:t>
            </w:r>
          </w:p>
        </w:tc>
        <w:tc>
          <w:tcPr>
            <w:tcW w:w="1418" w:type="dxa"/>
          </w:tcPr>
          <w:p>
            <w:pPr>
              <w:pStyle w:val="yTableNAm"/>
            </w:pPr>
            <w:r>
              <w:t>0.25</w:t>
            </w:r>
          </w:p>
        </w:tc>
        <w:tc>
          <w:tcPr>
            <w:tcW w:w="1417" w:type="dxa"/>
          </w:tcPr>
          <w:p>
            <w:pPr>
              <w:pStyle w:val="yTableNAm"/>
            </w:pPr>
            <w:r>
              <w:t>0.36</w:t>
            </w:r>
          </w:p>
        </w:tc>
        <w:tc>
          <w:tcPr>
            <w:tcW w:w="1407" w:type="dxa"/>
          </w:tcPr>
          <w:p>
            <w:pPr>
              <w:pStyle w:val="yTableNAm"/>
            </w:pPr>
            <w:r>
              <w:t>0.45</w:t>
            </w:r>
          </w:p>
        </w:tc>
      </w:tr>
      <w:tr>
        <w:trPr>
          <w:jc w:val="center"/>
        </w:trPr>
        <w:tc>
          <w:tcPr>
            <w:tcW w:w="1652" w:type="dxa"/>
          </w:tcPr>
          <w:p>
            <w:pPr>
              <w:pStyle w:val="yTableNAm"/>
            </w:pPr>
            <w:r>
              <w:t>1.95</w:t>
            </w:r>
          </w:p>
        </w:tc>
        <w:tc>
          <w:tcPr>
            <w:tcW w:w="1181" w:type="dxa"/>
          </w:tcPr>
          <w:p>
            <w:pPr>
              <w:pStyle w:val="yTableNAm"/>
            </w:pPr>
            <w:r>
              <w:t>0.48</w:t>
            </w:r>
          </w:p>
        </w:tc>
        <w:tc>
          <w:tcPr>
            <w:tcW w:w="1418" w:type="dxa"/>
          </w:tcPr>
          <w:p>
            <w:pPr>
              <w:pStyle w:val="yTableNAm"/>
            </w:pPr>
            <w:r>
              <w:t>0.25</w:t>
            </w:r>
          </w:p>
        </w:tc>
        <w:tc>
          <w:tcPr>
            <w:tcW w:w="1417" w:type="dxa"/>
          </w:tcPr>
          <w:p>
            <w:pPr>
              <w:pStyle w:val="yTableNAm"/>
            </w:pPr>
            <w:r>
              <w:t>0.35</w:t>
            </w:r>
          </w:p>
        </w:tc>
        <w:tc>
          <w:tcPr>
            <w:tcW w:w="1407" w:type="dxa"/>
          </w:tcPr>
          <w:p>
            <w:pPr>
              <w:pStyle w:val="yTableNAm"/>
            </w:pPr>
            <w:r>
              <w:t>0.44</w:t>
            </w:r>
          </w:p>
        </w:tc>
      </w:tr>
      <w:tr>
        <w:trPr>
          <w:jc w:val="center"/>
        </w:trPr>
        <w:tc>
          <w:tcPr>
            <w:tcW w:w="1652" w:type="dxa"/>
          </w:tcPr>
          <w:p>
            <w:pPr>
              <w:pStyle w:val="yTableNAm"/>
            </w:pPr>
            <w:r>
              <w:t>2.00</w:t>
            </w:r>
          </w:p>
        </w:tc>
        <w:tc>
          <w:tcPr>
            <w:tcW w:w="1181" w:type="dxa"/>
          </w:tcPr>
          <w:p>
            <w:pPr>
              <w:pStyle w:val="yTableNAm"/>
            </w:pPr>
            <w:r>
              <w:t>0.47</w:t>
            </w:r>
          </w:p>
        </w:tc>
        <w:tc>
          <w:tcPr>
            <w:tcW w:w="1418" w:type="dxa"/>
          </w:tcPr>
          <w:p>
            <w:pPr>
              <w:pStyle w:val="yTableNAm"/>
            </w:pPr>
            <w:r>
              <w:t>0.25</w:t>
            </w:r>
          </w:p>
        </w:tc>
        <w:tc>
          <w:tcPr>
            <w:tcW w:w="1417" w:type="dxa"/>
          </w:tcPr>
          <w:p>
            <w:pPr>
              <w:pStyle w:val="yTableNAm"/>
            </w:pPr>
            <w:r>
              <w:t>0.35</w:t>
            </w:r>
          </w:p>
        </w:tc>
        <w:tc>
          <w:tcPr>
            <w:tcW w:w="1407" w:type="dxa"/>
          </w:tcPr>
          <w:p>
            <w:pPr>
              <w:pStyle w:val="yTableNAm"/>
            </w:pPr>
            <w:r>
              <w:t>0.43</w:t>
            </w:r>
          </w:p>
        </w:tc>
      </w:tr>
      <w:tr>
        <w:trPr>
          <w:jc w:val="center"/>
        </w:trPr>
        <w:tc>
          <w:tcPr>
            <w:tcW w:w="1652" w:type="dxa"/>
          </w:tcPr>
          <w:p>
            <w:pPr>
              <w:pStyle w:val="yTableNAm"/>
            </w:pPr>
            <w:r>
              <w:t>2.05</w:t>
            </w:r>
          </w:p>
        </w:tc>
        <w:tc>
          <w:tcPr>
            <w:tcW w:w="1181" w:type="dxa"/>
          </w:tcPr>
          <w:p>
            <w:pPr>
              <w:pStyle w:val="yTableNAm"/>
            </w:pPr>
            <w:r>
              <w:t>0.46</w:t>
            </w:r>
          </w:p>
        </w:tc>
        <w:tc>
          <w:tcPr>
            <w:tcW w:w="1418" w:type="dxa"/>
          </w:tcPr>
          <w:p>
            <w:pPr>
              <w:pStyle w:val="yTableNAm"/>
            </w:pPr>
            <w:r>
              <w:t>0.25</w:t>
            </w:r>
          </w:p>
        </w:tc>
        <w:tc>
          <w:tcPr>
            <w:tcW w:w="1417" w:type="dxa"/>
          </w:tcPr>
          <w:p>
            <w:pPr>
              <w:pStyle w:val="yTableNAm"/>
            </w:pPr>
            <w:r>
              <w:t>0.35</w:t>
            </w:r>
          </w:p>
        </w:tc>
        <w:tc>
          <w:tcPr>
            <w:tcW w:w="1407" w:type="dxa"/>
          </w:tcPr>
          <w:p>
            <w:pPr>
              <w:pStyle w:val="yTableNAm"/>
            </w:pPr>
            <w:r>
              <w:t>0.42</w:t>
            </w:r>
          </w:p>
        </w:tc>
      </w:tr>
      <w:tr>
        <w:trPr>
          <w:jc w:val="center"/>
        </w:trPr>
        <w:tc>
          <w:tcPr>
            <w:tcW w:w="1652" w:type="dxa"/>
          </w:tcPr>
          <w:p>
            <w:pPr>
              <w:pStyle w:val="yTableNAm"/>
            </w:pPr>
            <w:r>
              <w:t>2.10</w:t>
            </w:r>
          </w:p>
        </w:tc>
        <w:tc>
          <w:tcPr>
            <w:tcW w:w="1181" w:type="dxa"/>
          </w:tcPr>
          <w:p>
            <w:pPr>
              <w:pStyle w:val="yTableNAm"/>
            </w:pPr>
            <w:r>
              <w:t>0.45</w:t>
            </w:r>
          </w:p>
        </w:tc>
        <w:tc>
          <w:tcPr>
            <w:tcW w:w="1418" w:type="dxa"/>
          </w:tcPr>
          <w:p>
            <w:pPr>
              <w:pStyle w:val="yTableNAm"/>
            </w:pPr>
            <w:r>
              <w:t>0.24</w:t>
            </w:r>
          </w:p>
        </w:tc>
        <w:tc>
          <w:tcPr>
            <w:tcW w:w="1417" w:type="dxa"/>
          </w:tcPr>
          <w:p>
            <w:pPr>
              <w:pStyle w:val="yTableNAm"/>
            </w:pPr>
            <w:r>
              <w:t>0.34</w:t>
            </w:r>
          </w:p>
        </w:tc>
        <w:tc>
          <w:tcPr>
            <w:tcW w:w="1407" w:type="dxa"/>
          </w:tcPr>
          <w:p>
            <w:pPr>
              <w:pStyle w:val="yTableNAm"/>
            </w:pPr>
            <w:r>
              <w:t>0.41</w:t>
            </w:r>
          </w:p>
        </w:tc>
      </w:tr>
      <w:tr>
        <w:trPr>
          <w:jc w:val="center"/>
        </w:trPr>
        <w:tc>
          <w:tcPr>
            <w:tcW w:w="1652" w:type="dxa"/>
          </w:tcPr>
          <w:p>
            <w:pPr>
              <w:pStyle w:val="yTableNAm"/>
            </w:pPr>
            <w:r>
              <w:t>2.15</w:t>
            </w:r>
          </w:p>
        </w:tc>
        <w:tc>
          <w:tcPr>
            <w:tcW w:w="1181" w:type="dxa"/>
          </w:tcPr>
          <w:p>
            <w:pPr>
              <w:pStyle w:val="yTableNAm"/>
            </w:pPr>
            <w:r>
              <w:t>0.43</w:t>
            </w:r>
          </w:p>
        </w:tc>
        <w:tc>
          <w:tcPr>
            <w:tcW w:w="1418" w:type="dxa"/>
          </w:tcPr>
          <w:p>
            <w:pPr>
              <w:pStyle w:val="yTableNAm"/>
            </w:pPr>
            <w:r>
              <w:t>0.24</w:t>
            </w:r>
          </w:p>
        </w:tc>
        <w:tc>
          <w:tcPr>
            <w:tcW w:w="1417" w:type="dxa"/>
          </w:tcPr>
          <w:p>
            <w:pPr>
              <w:pStyle w:val="yTableNAm"/>
            </w:pPr>
            <w:r>
              <w:t>0.34</w:t>
            </w:r>
          </w:p>
        </w:tc>
        <w:tc>
          <w:tcPr>
            <w:tcW w:w="1407" w:type="dxa"/>
          </w:tcPr>
          <w:p>
            <w:pPr>
              <w:pStyle w:val="yTableNAm"/>
            </w:pPr>
            <w:r>
              <w:t>0.40</w:t>
            </w:r>
          </w:p>
        </w:tc>
      </w:tr>
      <w:tr>
        <w:trPr>
          <w:jc w:val="center"/>
        </w:trPr>
        <w:tc>
          <w:tcPr>
            <w:tcW w:w="1652" w:type="dxa"/>
          </w:tcPr>
          <w:p>
            <w:pPr>
              <w:pStyle w:val="yTableNAm"/>
            </w:pPr>
            <w:r>
              <w:t>2.20</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2.25</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2.30</w:t>
            </w:r>
          </w:p>
        </w:tc>
        <w:tc>
          <w:tcPr>
            <w:tcW w:w="1181" w:type="dxa"/>
          </w:tcPr>
          <w:p>
            <w:pPr>
              <w:pStyle w:val="yTableNAm"/>
            </w:pPr>
            <w:r>
              <w:t>0.41</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2.35</w:t>
            </w:r>
          </w:p>
        </w:tc>
        <w:tc>
          <w:tcPr>
            <w:tcW w:w="1181" w:type="dxa"/>
          </w:tcPr>
          <w:p>
            <w:pPr>
              <w:pStyle w:val="yTableNAm"/>
            </w:pPr>
            <w:r>
              <w:t>0.40</w:t>
            </w:r>
          </w:p>
        </w:tc>
        <w:tc>
          <w:tcPr>
            <w:tcW w:w="1418" w:type="dxa"/>
          </w:tcPr>
          <w:p>
            <w:pPr>
              <w:pStyle w:val="yTableNAm"/>
            </w:pPr>
            <w:r>
              <w:t>0.23</w:t>
            </w:r>
          </w:p>
        </w:tc>
        <w:tc>
          <w:tcPr>
            <w:tcW w:w="1417" w:type="dxa"/>
          </w:tcPr>
          <w:p>
            <w:pPr>
              <w:pStyle w:val="yTableNAm"/>
            </w:pPr>
            <w:r>
              <w:t>0.32</w:t>
            </w:r>
          </w:p>
        </w:tc>
        <w:tc>
          <w:tcPr>
            <w:tcW w:w="1407" w:type="dxa"/>
          </w:tcPr>
          <w:p>
            <w:pPr>
              <w:pStyle w:val="yTableNAm"/>
            </w:pPr>
            <w:r>
              <w:t>0.38</w:t>
            </w:r>
          </w:p>
        </w:tc>
      </w:tr>
      <w:tr>
        <w:trPr>
          <w:jc w:val="center"/>
        </w:trPr>
        <w:tc>
          <w:tcPr>
            <w:tcW w:w="1652" w:type="dxa"/>
          </w:tcPr>
          <w:p>
            <w:pPr>
              <w:pStyle w:val="yTableNAm"/>
            </w:pPr>
            <w:r>
              <w:t>2.40</w:t>
            </w:r>
          </w:p>
        </w:tc>
        <w:tc>
          <w:tcPr>
            <w:tcW w:w="1181" w:type="dxa"/>
          </w:tcPr>
          <w:p>
            <w:pPr>
              <w:pStyle w:val="yTableNAm"/>
            </w:pPr>
            <w:r>
              <w:t>0.39</w:t>
            </w:r>
          </w:p>
        </w:tc>
        <w:tc>
          <w:tcPr>
            <w:tcW w:w="1418" w:type="dxa"/>
          </w:tcPr>
          <w:p>
            <w:pPr>
              <w:pStyle w:val="yTableNAm"/>
            </w:pPr>
            <w:r>
              <w:t>0.23</w:t>
            </w:r>
          </w:p>
        </w:tc>
        <w:tc>
          <w:tcPr>
            <w:tcW w:w="1417" w:type="dxa"/>
          </w:tcPr>
          <w:p>
            <w:pPr>
              <w:pStyle w:val="yTableNAm"/>
            </w:pPr>
            <w:r>
              <w:t>0.32</w:t>
            </w:r>
          </w:p>
        </w:tc>
        <w:tc>
          <w:tcPr>
            <w:tcW w:w="1407" w:type="dxa"/>
          </w:tcPr>
          <w:p>
            <w:pPr>
              <w:pStyle w:val="yTableNAm"/>
            </w:pPr>
            <w:r>
              <w:t>0.37</w:t>
            </w:r>
          </w:p>
        </w:tc>
      </w:tr>
      <w:tr>
        <w:trPr>
          <w:jc w:val="center"/>
        </w:trPr>
        <w:tc>
          <w:tcPr>
            <w:tcW w:w="1652" w:type="dxa"/>
          </w:tcPr>
          <w:p>
            <w:pPr>
              <w:pStyle w:val="yTableNAm"/>
            </w:pPr>
            <w:r>
              <w:t>2.45</w:t>
            </w:r>
          </w:p>
        </w:tc>
        <w:tc>
          <w:tcPr>
            <w:tcW w:w="1181" w:type="dxa"/>
          </w:tcPr>
          <w:p>
            <w:pPr>
              <w:pStyle w:val="yTableNAm"/>
            </w:pPr>
            <w:r>
              <w:t>0.38</w:t>
            </w:r>
          </w:p>
        </w:tc>
        <w:tc>
          <w:tcPr>
            <w:tcW w:w="1418" w:type="dxa"/>
          </w:tcPr>
          <w:p>
            <w:pPr>
              <w:pStyle w:val="yTableNAm"/>
            </w:pPr>
            <w:r>
              <w:t>0.23</w:t>
            </w:r>
          </w:p>
        </w:tc>
        <w:tc>
          <w:tcPr>
            <w:tcW w:w="1417" w:type="dxa"/>
          </w:tcPr>
          <w:p>
            <w:pPr>
              <w:pStyle w:val="yTableNAm"/>
            </w:pPr>
            <w:r>
              <w:t>0.32</w:t>
            </w:r>
          </w:p>
        </w:tc>
        <w:tc>
          <w:tcPr>
            <w:tcW w:w="1407" w:type="dxa"/>
          </w:tcPr>
          <w:p>
            <w:pPr>
              <w:pStyle w:val="yTableNAm"/>
            </w:pPr>
            <w:r>
              <w:t>0.36</w:t>
            </w:r>
          </w:p>
        </w:tc>
      </w:tr>
      <w:tr>
        <w:trPr>
          <w:jc w:val="center"/>
        </w:trPr>
        <w:tc>
          <w:tcPr>
            <w:tcW w:w="1652" w:type="dxa"/>
          </w:tcPr>
          <w:p>
            <w:pPr>
              <w:pStyle w:val="yTableNAm"/>
            </w:pPr>
            <w:r>
              <w:t>2.50</w:t>
            </w:r>
          </w:p>
        </w:tc>
        <w:tc>
          <w:tcPr>
            <w:tcW w:w="1181" w:type="dxa"/>
          </w:tcPr>
          <w:p>
            <w:pPr>
              <w:pStyle w:val="yTableNAm"/>
            </w:pPr>
            <w:r>
              <w:t>0.37</w:t>
            </w:r>
          </w:p>
        </w:tc>
        <w:tc>
          <w:tcPr>
            <w:tcW w:w="1418" w:type="dxa"/>
          </w:tcPr>
          <w:p>
            <w:pPr>
              <w:pStyle w:val="yTableNAm"/>
            </w:pPr>
            <w:r>
              <w:t>0.23</w:t>
            </w:r>
          </w:p>
        </w:tc>
        <w:tc>
          <w:tcPr>
            <w:tcW w:w="1417" w:type="dxa"/>
          </w:tcPr>
          <w:p>
            <w:pPr>
              <w:pStyle w:val="yTableNAm"/>
            </w:pPr>
            <w:r>
              <w:t>0.31</w:t>
            </w:r>
          </w:p>
        </w:tc>
        <w:tc>
          <w:tcPr>
            <w:tcW w:w="1407" w:type="dxa"/>
          </w:tcPr>
          <w:p>
            <w:pPr>
              <w:pStyle w:val="yTableNAm"/>
            </w:pPr>
            <w:r>
              <w:t>0.35</w:t>
            </w:r>
          </w:p>
        </w:tc>
      </w:tr>
      <w:tr>
        <w:trPr>
          <w:jc w:val="center"/>
        </w:trPr>
        <w:tc>
          <w:tcPr>
            <w:tcW w:w="1652" w:type="dxa"/>
          </w:tcPr>
          <w:p>
            <w:pPr>
              <w:pStyle w:val="yTableNAm"/>
            </w:pPr>
            <w:r>
              <w:t>2.60</w:t>
            </w:r>
          </w:p>
        </w:tc>
        <w:tc>
          <w:tcPr>
            <w:tcW w:w="1181" w:type="dxa"/>
          </w:tcPr>
          <w:p>
            <w:pPr>
              <w:pStyle w:val="yTableNAm"/>
            </w:pPr>
            <w:r>
              <w:t>0.36</w:t>
            </w:r>
          </w:p>
        </w:tc>
        <w:tc>
          <w:tcPr>
            <w:tcW w:w="1418" w:type="dxa"/>
          </w:tcPr>
          <w:p>
            <w:pPr>
              <w:pStyle w:val="yTableNAm"/>
            </w:pPr>
            <w:r>
              <w:t>0.22</w:t>
            </w:r>
          </w:p>
        </w:tc>
        <w:tc>
          <w:tcPr>
            <w:tcW w:w="1417" w:type="dxa"/>
          </w:tcPr>
          <w:p>
            <w:pPr>
              <w:pStyle w:val="yTableNAm"/>
            </w:pPr>
            <w:r>
              <w:t>0.30</w:t>
            </w:r>
          </w:p>
        </w:tc>
        <w:tc>
          <w:tcPr>
            <w:tcW w:w="1407" w:type="dxa"/>
          </w:tcPr>
          <w:p>
            <w:pPr>
              <w:pStyle w:val="yTableNAm"/>
            </w:pPr>
            <w:r>
              <w:t>0.34</w:t>
            </w:r>
          </w:p>
        </w:tc>
      </w:tr>
      <w:tr>
        <w:trPr>
          <w:jc w:val="center"/>
        </w:trPr>
        <w:tc>
          <w:tcPr>
            <w:tcW w:w="1652" w:type="dxa"/>
          </w:tcPr>
          <w:p>
            <w:pPr>
              <w:pStyle w:val="yTableNAm"/>
            </w:pPr>
            <w:r>
              <w:t>2.70</w:t>
            </w:r>
          </w:p>
        </w:tc>
        <w:tc>
          <w:tcPr>
            <w:tcW w:w="1181" w:type="dxa"/>
          </w:tcPr>
          <w:p>
            <w:pPr>
              <w:pStyle w:val="yTableNAm"/>
            </w:pPr>
            <w:r>
              <w:t>0.35</w:t>
            </w:r>
          </w:p>
        </w:tc>
        <w:tc>
          <w:tcPr>
            <w:tcW w:w="1418" w:type="dxa"/>
          </w:tcPr>
          <w:p>
            <w:pPr>
              <w:pStyle w:val="yTableNAm"/>
            </w:pPr>
            <w:r>
              <w:t>0.22</w:t>
            </w:r>
          </w:p>
        </w:tc>
        <w:tc>
          <w:tcPr>
            <w:tcW w:w="1417" w:type="dxa"/>
          </w:tcPr>
          <w:p>
            <w:pPr>
              <w:pStyle w:val="yTableNAm"/>
            </w:pPr>
            <w:r>
              <w:t>0.30</w:t>
            </w:r>
          </w:p>
        </w:tc>
        <w:tc>
          <w:tcPr>
            <w:tcW w:w="1407" w:type="dxa"/>
          </w:tcPr>
          <w:p>
            <w:pPr>
              <w:pStyle w:val="yTableNAm"/>
            </w:pPr>
            <w:r>
              <w:t>0.33</w:t>
            </w:r>
          </w:p>
        </w:tc>
      </w:tr>
      <w:tr>
        <w:trPr>
          <w:jc w:val="center"/>
        </w:trPr>
        <w:tc>
          <w:tcPr>
            <w:tcW w:w="1652" w:type="dxa"/>
          </w:tcPr>
          <w:p>
            <w:pPr>
              <w:pStyle w:val="yTableNAm"/>
            </w:pPr>
            <w:r>
              <w:t>2.80</w:t>
            </w:r>
          </w:p>
        </w:tc>
        <w:tc>
          <w:tcPr>
            <w:tcW w:w="1181" w:type="dxa"/>
          </w:tcPr>
          <w:p>
            <w:pPr>
              <w:pStyle w:val="yTableNAm"/>
            </w:pPr>
            <w:r>
              <w:t>0.33</w:t>
            </w:r>
          </w:p>
        </w:tc>
        <w:tc>
          <w:tcPr>
            <w:tcW w:w="1418" w:type="dxa"/>
          </w:tcPr>
          <w:p>
            <w:pPr>
              <w:pStyle w:val="yTableNAm"/>
            </w:pPr>
            <w:r>
              <w:t>0.21</w:t>
            </w:r>
          </w:p>
        </w:tc>
        <w:tc>
          <w:tcPr>
            <w:tcW w:w="1417" w:type="dxa"/>
          </w:tcPr>
          <w:p>
            <w:pPr>
              <w:pStyle w:val="yTableNAm"/>
            </w:pPr>
            <w:r>
              <w:t>0.29</w:t>
            </w:r>
          </w:p>
        </w:tc>
        <w:tc>
          <w:tcPr>
            <w:tcW w:w="1407" w:type="dxa"/>
          </w:tcPr>
          <w:p>
            <w:pPr>
              <w:pStyle w:val="yTableNAm"/>
            </w:pPr>
            <w:r>
              <w:t>0.31</w:t>
            </w:r>
          </w:p>
        </w:tc>
      </w:tr>
      <w:tr>
        <w:trPr>
          <w:jc w:val="center"/>
        </w:trPr>
        <w:tc>
          <w:tcPr>
            <w:tcW w:w="1652" w:type="dxa"/>
          </w:tcPr>
          <w:p>
            <w:pPr>
              <w:pStyle w:val="yTableNAm"/>
            </w:pPr>
            <w:r>
              <w:t>2.90</w:t>
            </w:r>
          </w:p>
        </w:tc>
        <w:tc>
          <w:tcPr>
            <w:tcW w:w="1181" w:type="dxa"/>
          </w:tcPr>
          <w:p>
            <w:pPr>
              <w:pStyle w:val="yTableNAm"/>
            </w:pPr>
            <w:r>
              <w:t>0.32</w:t>
            </w:r>
          </w:p>
        </w:tc>
        <w:tc>
          <w:tcPr>
            <w:tcW w:w="1418" w:type="dxa"/>
          </w:tcPr>
          <w:p>
            <w:pPr>
              <w:pStyle w:val="yTableNAm"/>
            </w:pPr>
            <w:r>
              <w:t>0.21</w:t>
            </w:r>
          </w:p>
        </w:tc>
        <w:tc>
          <w:tcPr>
            <w:tcW w:w="1417" w:type="dxa"/>
          </w:tcPr>
          <w:p>
            <w:pPr>
              <w:pStyle w:val="yTableNAm"/>
            </w:pPr>
            <w:r>
              <w:t>0.29</w:t>
            </w:r>
          </w:p>
        </w:tc>
        <w:tc>
          <w:tcPr>
            <w:tcW w:w="1407" w:type="dxa"/>
          </w:tcPr>
          <w:p>
            <w:pPr>
              <w:pStyle w:val="yTableNAm"/>
            </w:pPr>
            <w:r>
              <w:t>0.30</w:t>
            </w:r>
          </w:p>
        </w:tc>
      </w:tr>
      <w:tr>
        <w:trPr>
          <w:jc w:val="center"/>
        </w:trPr>
        <w:tc>
          <w:tcPr>
            <w:tcW w:w="1652" w:type="dxa"/>
          </w:tcPr>
          <w:p>
            <w:pPr>
              <w:pStyle w:val="yTableNAm"/>
            </w:pPr>
            <w:r>
              <w:t>3.00</w:t>
            </w:r>
          </w:p>
        </w:tc>
        <w:tc>
          <w:tcPr>
            <w:tcW w:w="1181" w:type="dxa"/>
          </w:tcPr>
          <w:p>
            <w:pPr>
              <w:pStyle w:val="yTableNAm"/>
            </w:pPr>
            <w:r>
              <w:t>0.31</w:t>
            </w:r>
          </w:p>
        </w:tc>
        <w:tc>
          <w:tcPr>
            <w:tcW w:w="1418" w:type="dxa"/>
          </w:tcPr>
          <w:p>
            <w:pPr>
              <w:pStyle w:val="yTableNAm"/>
            </w:pPr>
            <w:r>
              <w:t>0.21</w:t>
            </w:r>
          </w:p>
        </w:tc>
        <w:tc>
          <w:tcPr>
            <w:tcW w:w="1417" w:type="dxa"/>
          </w:tcPr>
          <w:p>
            <w:pPr>
              <w:pStyle w:val="yTableNAm"/>
            </w:pPr>
            <w:r>
              <w:t>0.28</w:t>
            </w:r>
          </w:p>
        </w:tc>
        <w:tc>
          <w:tcPr>
            <w:tcW w:w="1407" w:type="dxa"/>
          </w:tcPr>
          <w:p>
            <w:pPr>
              <w:pStyle w:val="yTableNAm"/>
            </w:pPr>
            <w:r>
              <w:t>0.29</w:t>
            </w:r>
          </w:p>
        </w:tc>
      </w:tr>
      <w:tr>
        <w:trPr>
          <w:jc w:val="center"/>
        </w:trPr>
        <w:tc>
          <w:tcPr>
            <w:tcW w:w="1652" w:type="dxa"/>
          </w:tcPr>
          <w:p>
            <w:pPr>
              <w:pStyle w:val="yTableNAm"/>
            </w:pPr>
            <w:r>
              <w:t>3.10</w:t>
            </w:r>
          </w:p>
        </w:tc>
        <w:tc>
          <w:tcPr>
            <w:tcW w:w="1181" w:type="dxa"/>
          </w:tcPr>
          <w:p>
            <w:pPr>
              <w:pStyle w:val="yTableNAm"/>
            </w:pPr>
            <w:r>
              <w:t>0.30</w:t>
            </w:r>
          </w:p>
        </w:tc>
        <w:tc>
          <w:tcPr>
            <w:tcW w:w="1418" w:type="dxa"/>
          </w:tcPr>
          <w:p>
            <w:pPr>
              <w:pStyle w:val="yTableNAm"/>
            </w:pPr>
            <w:r>
              <w:t>0.20</w:t>
            </w:r>
          </w:p>
        </w:tc>
        <w:tc>
          <w:tcPr>
            <w:tcW w:w="1417" w:type="dxa"/>
          </w:tcPr>
          <w:p>
            <w:pPr>
              <w:pStyle w:val="yTableNAm"/>
            </w:pPr>
            <w:r>
              <w:t>0.27</w:t>
            </w:r>
          </w:p>
        </w:tc>
        <w:tc>
          <w:tcPr>
            <w:tcW w:w="1407" w:type="dxa"/>
          </w:tcPr>
          <w:p>
            <w:pPr>
              <w:pStyle w:val="yTableNAm"/>
            </w:pPr>
            <w:r>
              <w:t>0.28</w:t>
            </w:r>
          </w:p>
        </w:tc>
      </w:tr>
      <w:tr>
        <w:trPr>
          <w:jc w:val="center"/>
        </w:trPr>
        <w:tc>
          <w:tcPr>
            <w:tcW w:w="1652" w:type="dxa"/>
          </w:tcPr>
          <w:p>
            <w:pPr>
              <w:pStyle w:val="yTableNAm"/>
            </w:pPr>
            <w:r>
              <w:t>3.20</w:t>
            </w:r>
          </w:p>
        </w:tc>
        <w:tc>
          <w:tcPr>
            <w:tcW w:w="1181" w:type="dxa"/>
          </w:tcPr>
          <w:p>
            <w:pPr>
              <w:pStyle w:val="yTableNAm"/>
            </w:pPr>
            <w:r>
              <w:t>0.29</w:t>
            </w:r>
          </w:p>
        </w:tc>
        <w:tc>
          <w:tcPr>
            <w:tcW w:w="1418" w:type="dxa"/>
          </w:tcPr>
          <w:p>
            <w:pPr>
              <w:pStyle w:val="yTableNAm"/>
            </w:pPr>
            <w:r>
              <w:t>0.20</w:t>
            </w:r>
          </w:p>
        </w:tc>
        <w:tc>
          <w:tcPr>
            <w:tcW w:w="1417" w:type="dxa"/>
          </w:tcPr>
          <w:p>
            <w:pPr>
              <w:pStyle w:val="yTableNAm"/>
            </w:pPr>
            <w:r>
              <w:t>0.27</w:t>
            </w:r>
          </w:p>
        </w:tc>
        <w:tc>
          <w:tcPr>
            <w:tcW w:w="1407" w:type="dxa"/>
          </w:tcPr>
          <w:p>
            <w:pPr>
              <w:pStyle w:val="yTableNAm"/>
            </w:pPr>
            <w:r>
              <w:t>0.27</w:t>
            </w:r>
          </w:p>
        </w:tc>
      </w:tr>
      <w:tr>
        <w:trPr>
          <w:jc w:val="center"/>
        </w:trPr>
        <w:tc>
          <w:tcPr>
            <w:tcW w:w="1652" w:type="dxa"/>
          </w:tcPr>
          <w:p>
            <w:pPr>
              <w:pStyle w:val="yTableNAm"/>
            </w:pPr>
            <w:r>
              <w:t>3.30</w:t>
            </w:r>
          </w:p>
        </w:tc>
        <w:tc>
          <w:tcPr>
            <w:tcW w:w="1181" w:type="dxa"/>
          </w:tcPr>
          <w:p>
            <w:pPr>
              <w:pStyle w:val="yTableNAm"/>
            </w:pPr>
            <w:r>
              <w:t>0.28</w:t>
            </w:r>
          </w:p>
        </w:tc>
        <w:tc>
          <w:tcPr>
            <w:tcW w:w="1418" w:type="dxa"/>
          </w:tcPr>
          <w:p>
            <w:pPr>
              <w:pStyle w:val="yTableNAm"/>
            </w:pPr>
            <w:r>
              <w:t>0.20</w:t>
            </w:r>
          </w:p>
        </w:tc>
        <w:tc>
          <w:tcPr>
            <w:tcW w:w="1417" w:type="dxa"/>
          </w:tcPr>
          <w:p>
            <w:pPr>
              <w:pStyle w:val="yTableNAm"/>
            </w:pPr>
            <w:r>
              <w:t>0.26</w:t>
            </w:r>
          </w:p>
        </w:tc>
        <w:tc>
          <w:tcPr>
            <w:tcW w:w="1407" w:type="dxa"/>
          </w:tcPr>
          <w:p>
            <w:pPr>
              <w:pStyle w:val="yTableNAm"/>
            </w:pPr>
            <w:r>
              <w:t>0.26</w:t>
            </w:r>
          </w:p>
        </w:tc>
      </w:tr>
      <w:tr>
        <w:trPr>
          <w:jc w:val="center"/>
        </w:trPr>
        <w:tc>
          <w:tcPr>
            <w:tcW w:w="1652" w:type="dxa"/>
          </w:tcPr>
          <w:p>
            <w:pPr>
              <w:pStyle w:val="yTableNAm"/>
            </w:pPr>
            <w:r>
              <w:t>3.40</w:t>
            </w:r>
          </w:p>
        </w:tc>
        <w:tc>
          <w:tcPr>
            <w:tcW w:w="1181" w:type="dxa"/>
          </w:tcPr>
          <w:p>
            <w:pPr>
              <w:pStyle w:val="yTableNAm"/>
            </w:pPr>
            <w:r>
              <w:t>0.27</w:t>
            </w:r>
          </w:p>
        </w:tc>
        <w:tc>
          <w:tcPr>
            <w:tcW w:w="1418" w:type="dxa"/>
          </w:tcPr>
          <w:p>
            <w:pPr>
              <w:pStyle w:val="yTableNAm"/>
            </w:pPr>
            <w:r>
              <w:t>0.19</w:t>
            </w:r>
          </w:p>
        </w:tc>
        <w:tc>
          <w:tcPr>
            <w:tcW w:w="1417" w:type="dxa"/>
          </w:tcPr>
          <w:p>
            <w:pPr>
              <w:pStyle w:val="yTableNAm"/>
            </w:pPr>
            <w:r>
              <w:t>0.26</w:t>
            </w:r>
          </w:p>
        </w:tc>
        <w:tc>
          <w:tcPr>
            <w:tcW w:w="1407" w:type="dxa"/>
          </w:tcPr>
          <w:p>
            <w:pPr>
              <w:pStyle w:val="yTableNAm"/>
            </w:pPr>
            <w:r>
              <w:t>0.25</w:t>
            </w:r>
          </w:p>
        </w:tc>
      </w:tr>
      <w:tr>
        <w:trPr>
          <w:jc w:val="center"/>
        </w:trPr>
        <w:tc>
          <w:tcPr>
            <w:tcW w:w="1652" w:type="dxa"/>
          </w:tcPr>
          <w:p>
            <w:pPr>
              <w:pStyle w:val="yTableNAm"/>
            </w:pPr>
            <w:r>
              <w:t>3.50</w:t>
            </w:r>
          </w:p>
        </w:tc>
        <w:tc>
          <w:tcPr>
            <w:tcW w:w="1181" w:type="dxa"/>
          </w:tcPr>
          <w:p>
            <w:pPr>
              <w:pStyle w:val="yTableNAm"/>
            </w:pPr>
            <w:r>
              <w:t>0.27</w:t>
            </w:r>
          </w:p>
        </w:tc>
        <w:tc>
          <w:tcPr>
            <w:tcW w:w="1418" w:type="dxa"/>
          </w:tcPr>
          <w:p>
            <w:pPr>
              <w:pStyle w:val="yTableNAm"/>
            </w:pPr>
            <w:r>
              <w:t>0.19</w:t>
            </w:r>
          </w:p>
        </w:tc>
        <w:tc>
          <w:tcPr>
            <w:tcW w:w="1417" w:type="dxa"/>
          </w:tcPr>
          <w:p>
            <w:pPr>
              <w:pStyle w:val="yTableNAm"/>
            </w:pPr>
            <w:r>
              <w:t>0.25</w:t>
            </w:r>
          </w:p>
        </w:tc>
        <w:tc>
          <w:tcPr>
            <w:tcW w:w="1407" w:type="dxa"/>
          </w:tcPr>
          <w:p>
            <w:pPr>
              <w:pStyle w:val="yTableNAm"/>
            </w:pPr>
            <w:r>
              <w:t>0.25</w:t>
            </w:r>
          </w:p>
        </w:tc>
      </w:tr>
      <w:tr>
        <w:trPr>
          <w:jc w:val="center"/>
        </w:trPr>
        <w:tc>
          <w:tcPr>
            <w:tcW w:w="1652" w:type="dxa"/>
          </w:tcPr>
          <w:p>
            <w:pPr>
              <w:pStyle w:val="yTableNAm"/>
            </w:pPr>
            <w:r>
              <w:t>3.60</w:t>
            </w:r>
          </w:p>
        </w:tc>
        <w:tc>
          <w:tcPr>
            <w:tcW w:w="1181" w:type="dxa"/>
          </w:tcPr>
          <w:p>
            <w:pPr>
              <w:pStyle w:val="yTableNAm"/>
            </w:pPr>
            <w:r>
              <w:t>0.26</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3.70</w:t>
            </w:r>
          </w:p>
        </w:tc>
        <w:tc>
          <w:tcPr>
            <w:tcW w:w="1181" w:type="dxa"/>
          </w:tcPr>
          <w:p>
            <w:pPr>
              <w:pStyle w:val="yTableNAm"/>
            </w:pPr>
            <w:r>
              <w:t>0.25</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3.80</w:t>
            </w:r>
          </w:p>
        </w:tc>
        <w:tc>
          <w:tcPr>
            <w:tcW w:w="1181" w:type="dxa"/>
          </w:tcPr>
          <w:p>
            <w:pPr>
              <w:pStyle w:val="yTableNAm"/>
            </w:pPr>
            <w:r>
              <w:t>0.25</w:t>
            </w:r>
          </w:p>
        </w:tc>
        <w:tc>
          <w:tcPr>
            <w:tcW w:w="1418" w:type="dxa"/>
          </w:tcPr>
          <w:p>
            <w:pPr>
              <w:pStyle w:val="yTableNAm"/>
            </w:pPr>
            <w:r>
              <w:t>0.18</w:t>
            </w:r>
          </w:p>
        </w:tc>
        <w:tc>
          <w:tcPr>
            <w:tcW w:w="1417" w:type="dxa"/>
          </w:tcPr>
          <w:p>
            <w:pPr>
              <w:pStyle w:val="yTableNAm"/>
            </w:pPr>
            <w:r>
              <w:t>0.24</w:t>
            </w:r>
          </w:p>
        </w:tc>
        <w:tc>
          <w:tcPr>
            <w:tcW w:w="1407" w:type="dxa"/>
          </w:tcPr>
          <w:p>
            <w:pPr>
              <w:pStyle w:val="yTableNAm"/>
            </w:pPr>
            <w:r>
              <w:t>0.24</w:t>
            </w:r>
          </w:p>
        </w:tc>
      </w:tr>
      <w:tr>
        <w:trPr>
          <w:jc w:val="center"/>
        </w:trPr>
        <w:tc>
          <w:tcPr>
            <w:tcW w:w="1652" w:type="dxa"/>
          </w:tcPr>
          <w:p>
            <w:pPr>
              <w:pStyle w:val="yTableNAm"/>
            </w:pPr>
            <w:r>
              <w:t>3.90</w:t>
            </w:r>
          </w:p>
        </w:tc>
        <w:tc>
          <w:tcPr>
            <w:tcW w:w="1181" w:type="dxa"/>
          </w:tcPr>
          <w:p>
            <w:pPr>
              <w:pStyle w:val="yTableNAm"/>
            </w:pPr>
            <w:r>
              <w:t>0.24</w:t>
            </w:r>
          </w:p>
        </w:tc>
        <w:tc>
          <w:tcPr>
            <w:tcW w:w="1418" w:type="dxa"/>
          </w:tcPr>
          <w:p>
            <w:pPr>
              <w:pStyle w:val="yTableNAm"/>
            </w:pPr>
            <w:r>
              <w:t>0.18</w:t>
            </w:r>
          </w:p>
        </w:tc>
        <w:tc>
          <w:tcPr>
            <w:tcW w:w="1417" w:type="dxa"/>
          </w:tcPr>
          <w:p>
            <w:pPr>
              <w:pStyle w:val="yTableNAm"/>
            </w:pPr>
            <w:r>
              <w:t>0.24</w:t>
            </w:r>
          </w:p>
        </w:tc>
        <w:tc>
          <w:tcPr>
            <w:tcW w:w="1407" w:type="dxa"/>
          </w:tcPr>
          <w:p>
            <w:pPr>
              <w:pStyle w:val="yTableNAm"/>
            </w:pPr>
            <w:r>
              <w:t>0.23</w:t>
            </w:r>
          </w:p>
        </w:tc>
      </w:tr>
      <w:tr>
        <w:trPr>
          <w:jc w:val="center"/>
        </w:trPr>
        <w:tc>
          <w:tcPr>
            <w:tcW w:w="1652" w:type="dxa"/>
          </w:tcPr>
          <w:p>
            <w:pPr>
              <w:pStyle w:val="yTableNAm"/>
            </w:pPr>
            <w:r>
              <w:t>4.00</w:t>
            </w:r>
          </w:p>
        </w:tc>
        <w:tc>
          <w:tcPr>
            <w:tcW w:w="1181" w:type="dxa"/>
          </w:tcPr>
          <w:p>
            <w:pPr>
              <w:pStyle w:val="yTableNAm"/>
            </w:pPr>
            <w:r>
              <w:t>0.23</w:t>
            </w:r>
          </w:p>
        </w:tc>
        <w:tc>
          <w:tcPr>
            <w:tcW w:w="1418" w:type="dxa"/>
          </w:tcPr>
          <w:p>
            <w:pPr>
              <w:pStyle w:val="yTableNAm"/>
            </w:pPr>
            <w:r>
              <w:t>0.18</w:t>
            </w:r>
          </w:p>
        </w:tc>
        <w:tc>
          <w:tcPr>
            <w:tcW w:w="1417" w:type="dxa"/>
          </w:tcPr>
          <w:p>
            <w:pPr>
              <w:pStyle w:val="yTableNAm"/>
            </w:pPr>
            <w:r>
              <w:t>0.23</w:t>
            </w:r>
          </w:p>
        </w:tc>
        <w:tc>
          <w:tcPr>
            <w:tcW w:w="1407" w:type="dxa"/>
          </w:tcPr>
          <w:p>
            <w:pPr>
              <w:pStyle w:val="yTableNAm"/>
            </w:pPr>
            <w:r>
              <w:t>0.22</w:t>
            </w:r>
          </w:p>
        </w:tc>
      </w:tr>
      <w:tr>
        <w:trPr>
          <w:jc w:val="center"/>
        </w:trPr>
        <w:tc>
          <w:tcPr>
            <w:tcW w:w="1652" w:type="dxa"/>
          </w:tcPr>
          <w:p>
            <w:pPr>
              <w:pStyle w:val="yTableNAm"/>
            </w:pPr>
            <w:r>
              <w:t>4.20</w:t>
            </w:r>
          </w:p>
        </w:tc>
        <w:tc>
          <w:tcPr>
            <w:tcW w:w="1181" w:type="dxa"/>
          </w:tcPr>
          <w:p>
            <w:pPr>
              <w:pStyle w:val="yTableNAm"/>
            </w:pPr>
            <w:r>
              <w:t>0.22</w:t>
            </w:r>
          </w:p>
        </w:tc>
        <w:tc>
          <w:tcPr>
            <w:tcW w:w="1418" w:type="dxa"/>
          </w:tcPr>
          <w:p>
            <w:pPr>
              <w:pStyle w:val="yTableNAm"/>
            </w:pPr>
            <w:r>
              <w:t>0.17</w:t>
            </w:r>
          </w:p>
        </w:tc>
        <w:tc>
          <w:tcPr>
            <w:tcW w:w="1417" w:type="dxa"/>
          </w:tcPr>
          <w:p>
            <w:pPr>
              <w:pStyle w:val="yTableNAm"/>
            </w:pPr>
            <w:r>
              <w:t>0.23</w:t>
            </w:r>
          </w:p>
        </w:tc>
        <w:tc>
          <w:tcPr>
            <w:tcW w:w="1407" w:type="dxa"/>
          </w:tcPr>
          <w:p>
            <w:pPr>
              <w:pStyle w:val="yTableNAm"/>
            </w:pPr>
            <w:r>
              <w:t>0.21</w:t>
            </w:r>
          </w:p>
        </w:tc>
      </w:tr>
      <w:tr>
        <w:trPr>
          <w:jc w:val="center"/>
        </w:trPr>
        <w:tc>
          <w:tcPr>
            <w:tcW w:w="1652" w:type="dxa"/>
          </w:tcPr>
          <w:p>
            <w:pPr>
              <w:pStyle w:val="yTableNAm"/>
            </w:pPr>
            <w:r>
              <w:t>4.40</w:t>
            </w:r>
          </w:p>
        </w:tc>
        <w:tc>
          <w:tcPr>
            <w:tcW w:w="1181" w:type="dxa"/>
          </w:tcPr>
          <w:p>
            <w:pPr>
              <w:pStyle w:val="yTableNAm"/>
            </w:pPr>
            <w:r>
              <w:t>0.21</w:t>
            </w:r>
          </w:p>
        </w:tc>
        <w:tc>
          <w:tcPr>
            <w:tcW w:w="1418" w:type="dxa"/>
          </w:tcPr>
          <w:p>
            <w:pPr>
              <w:pStyle w:val="yTableNAm"/>
            </w:pPr>
            <w:r>
              <w:t>0.17</w:t>
            </w:r>
          </w:p>
        </w:tc>
        <w:tc>
          <w:tcPr>
            <w:tcW w:w="1417" w:type="dxa"/>
          </w:tcPr>
          <w:p>
            <w:pPr>
              <w:pStyle w:val="yTableNAm"/>
            </w:pPr>
            <w:r>
              <w:t>0.22</w:t>
            </w:r>
          </w:p>
        </w:tc>
        <w:tc>
          <w:tcPr>
            <w:tcW w:w="1407" w:type="dxa"/>
          </w:tcPr>
          <w:p>
            <w:pPr>
              <w:pStyle w:val="yTableNAm"/>
            </w:pPr>
            <w:r>
              <w:t>0.20</w:t>
            </w:r>
          </w:p>
        </w:tc>
      </w:tr>
      <w:tr>
        <w:trPr>
          <w:jc w:val="center"/>
        </w:trPr>
        <w:tc>
          <w:tcPr>
            <w:tcW w:w="1652" w:type="dxa"/>
          </w:tcPr>
          <w:p>
            <w:pPr>
              <w:pStyle w:val="yTableNAm"/>
            </w:pPr>
            <w:r>
              <w:t>4.60</w:t>
            </w:r>
          </w:p>
        </w:tc>
        <w:tc>
          <w:tcPr>
            <w:tcW w:w="1181" w:type="dxa"/>
          </w:tcPr>
          <w:p>
            <w:pPr>
              <w:pStyle w:val="yTableNAm"/>
            </w:pPr>
            <w:r>
              <w:t>0.20</w:t>
            </w:r>
          </w:p>
        </w:tc>
        <w:tc>
          <w:tcPr>
            <w:tcW w:w="1418" w:type="dxa"/>
          </w:tcPr>
          <w:p>
            <w:pPr>
              <w:pStyle w:val="yTableNAm"/>
            </w:pPr>
            <w:r>
              <w:t>0.16</w:t>
            </w:r>
          </w:p>
        </w:tc>
        <w:tc>
          <w:tcPr>
            <w:tcW w:w="1417" w:type="dxa"/>
          </w:tcPr>
          <w:p>
            <w:pPr>
              <w:pStyle w:val="yTableNAm"/>
            </w:pPr>
            <w:r>
              <w:t>0.21</w:t>
            </w:r>
          </w:p>
        </w:tc>
        <w:tc>
          <w:tcPr>
            <w:tcW w:w="1407" w:type="dxa"/>
          </w:tcPr>
          <w:p>
            <w:pPr>
              <w:pStyle w:val="yTableNAm"/>
            </w:pPr>
            <w:r>
              <w:t>0.19</w:t>
            </w:r>
          </w:p>
        </w:tc>
      </w:tr>
      <w:tr>
        <w:trPr>
          <w:jc w:val="center"/>
        </w:trPr>
        <w:tc>
          <w:tcPr>
            <w:tcW w:w="1652" w:type="dxa"/>
          </w:tcPr>
          <w:p>
            <w:pPr>
              <w:pStyle w:val="yTableNAm"/>
            </w:pPr>
            <w:r>
              <w:t>4.80</w:t>
            </w:r>
          </w:p>
        </w:tc>
        <w:tc>
          <w:tcPr>
            <w:tcW w:w="1181" w:type="dxa"/>
          </w:tcPr>
          <w:p>
            <w:pPr>
              <w:pStyle w:val="yTableNAm"/>
            </w:pPr>
            <w:r>
              <w:t>0.19</w:t>
            </w:r>
          </w:p>
        </w:tc>
        <w:tc>
          <w:tcPr>
            <w:tcW w:w="1418" w:type="dxa"/>
          </w:tcPr>
          <w:p>
            <w:pPr>
              <w:pStyle w:val="yTableNAm"/>
            </w:pPr>
            <w:r>
              <w:t>0.16</w:t>
            </w:r>
          </w:p>
        </w:tc>
        <w:tc>
          <w:tcPr>
            <w:tcW w:w="1417" w:type="dxa"/>
          </w:tcPr>
          <w:p>
            <w:pPr>
              <w:pStyle w:val="yTableNAm"/>
            </w:pPr>
            <w:r>
              <w:t>0.21</w:t>
            </w:r>
          </w:p>
        </w:tc>
        <w:tc>
          <w:tcPr>
            <w:tcW w:w="1407" w:type="dxa"/>
          </w:tcPr>
          <w:p>
            <w:pPr>
              <w:pStyle w:val="yTableNAm"/>
            </w:pPr>
            <w:r>
              <w:t>0.18</w:t>
            </w:r>
          </w:p>
        </w:tc>
      </w:tr>
      <w:tr>
        <w:trPr>
          <w:jc w:val="center"/>
        </w:trPr>
        <w:tc>
          <w:tcPr>
            <w:tcW w:w="1652" w:type="dxa"/>
          </w:tcPr>
          <w:p>
            <w:pPr>
              <w:pStyle w:val="yTableNAm"/>
            </w:pPr>
            <w:r>
              <w:t>5.00</w:t>
            </w:r>
          </w:p>
        </w:tc>
        <w:tc>
          <w:tcPr>
            <w:tcW w:w="1181" w:type="dxa"/>
          </w:tcPr>
          <w:p>
            <w:pPr>
              <w:pStyle w:val="yTableNAm"/>
            </w:pPr>
            <w:r>
              <w:t>0.19</w:t>
            </w:r>
          </w:p>
        </w:tc>
        <w:tc>
          <w:tcPr>
            <w:tcW w:w="1418" w:type="dxa"/>
          </w:tcPr>
          <w:p>
            <w:pPr>
              <w:pStyle w:val="yTableNAm"/>
            </w:pPr>
            <w:r>
              <w:t>0.16</w:t>
            </w:r>
          </w:p>
        </w:tc>
        <w:tc>
          <w:tcPr>
            <w:tcW w:w="1417" w:type="dxa"/>
          </w:tcPr>
          <w:p>
            <w:pPr>
              <w:pStyle w:val="yTableNAm"/>
            </w:pPr>
            <w:r>
              <w:t>0.20</w:t>
            </w:r>
          </w:p>
        </w:tc>
        <w:tc>
          <w:tcPr>
            <w:tcW w:w="1407" w:type="dxa"/>
          </w:tcPr>
          <w:p>
            <w:pPr>
              <w:pStyle w:val="yTableNAm"/>
            </w:pPr>
            <w:r>
              <w:t>0.18</w:t>
            </w:r>
          </w:p>
        </w:tc>
      </w:tr>
      <w:tr>
        <w:trPr>
          <w:jc w:val="center"/>
        </w:trPr>
        <w:tc>
          <w:tcPr>
            <w:tcW w:w="1652" w:type="dxa"/>
          </w:tcPr>
          <w:p>
            <w:pPr>
              <w:pStyle w:val="yTableNAm"/>
            </w:pPr>
            <w:r>
              <w:t>5.50</w:t>
            </w:r>
          </w:p>
        </w:tc>
        <w:tc>
          <w:tcPr>
            <w:tcW w:w="1181" w:type="dxa"/>
          </w:tcPr>
          <w:p>
            <w:pPr>
              <w:pStyle w:val="yTableNAm"/>
            </w:pPr>
            <w:r>
              <w:t>0.17</w:t>
            </w:r>
          </w:p>
        </w:tc>
        <w:tc>
          <w:tcPr>
            <w:tcW w:w="1418" w:type="dxa"/>
          </w:tcPr>
          <w:p>
            <w:pPr>
              <w:pStyle w:val="yTableNAm"/>
            </w:pPr>
            <w:r>
              <w:t>0.15</w:t>
            </w:r>
          </w:p>
        </w:tc>
        <w:tc>
          <w:tcPr>
            <w:tcW w:w="1417" w:type="dxa"/>
          </w:tcPr>
          <w:p>
            <w:pPr>
              <w:pStyle w:val="yTableNAm"/>
            </w:pPr>
            <w:r>
              <w:t>0.19</w:t>
            </w:r>
          </w:p>
        </w:tc>
        <w:tc>
          <w:tcPr>
            <w:tcW w:w="1407" w:type="dxa"/>
          </w:tcPr>
          <w:p>
            <w:pPr>
              <w:pStyle w:val="yTableNAm"/>
            </w:pPr>
            <w:r>
              <w:t>0.17</w:t>
            </w:r>
          </w:p>
        </w:tc>
      </w:tr>
      <w:tr>
        <w:trPr>
          <w:jc w:val="center"/>
        </w:trPr>
        <w:tc>
          <w:tcPr>
            <w:tcW w:w="1652" w:type="dxa"/>
          </w:tcPr>
          <w:p>
            <w:pPr>
              <w:pStyle w:val="yTableNAm"/>
            </w:pPr>
            <w:r>
              <w:t>6.00</w:t>
            </w:r>
          </w:p>
        </w:tc>
        <w:tc>
          <w:tcPr>
            <w:tcW w:w="1181" w:type="dxa"/>
          </w:tcPr>
          <w:p>
            <w:pPr>
              <w:pStyle w:val="yTableNAm"/>
            </w:pPr>
            <w:r>
              <w:t>0.16</w:t>
            </w:r>
          </w:p>
        </w:tc>
        <w:tc>
          <w:tcPr>
            <w:tcW w:w="1418" w:type="dxa"/>
          </w:tcPr>
          <w:p>
            <w:pPr>
              <w:pStyle w:val="yTableNAm"/>
            </w:pPr>
            <w:r>
              <w:t>0.14</w:t>
            </w:r>
          </w:p>
        </w:tc>
        <w:tc>
          <w:tcPr>
            <w:tcW w:w="1417" w:type="dxa"/>
          </w:tcPr>
          <w:p>
            <w:pPr>
              <w:pStyle w:val="yTableNAm"/>
            </w:pPr>
            <w:r>
              <w:t>0.18</w:t>
            </w:r>
          </w:p>
        </w:tc>
        <w:tc>
          <w:tcPr>
            <w:tcW w:w="1407" w:type="dxa"/>
          </w:tcPr>
          <w:p>
            <w:pPr>
              <w:pStyle w:val="yTableNAm"/>
            </w:pPr>
            <w:r>
              <w:t>0.16</w:t>
            </w:r>
          </w:p>
        </w:tc>
      </w:tr>
      <w:tr>
        <w:trPr>
          <w:jc w:val="center"/>
        </w:trPr>
        <w:tc>
          <w:tcPr>
            <w:tcW w:w="1652" w:type="dxa"/>
          </w:tcPr>
          <w:p>
            <w:pPr>
              <w:pStyle w:val="yTableNAm"/>
            </w:pPr>
            <w:r>
              <w:t>6.50</w:t>
            </w:r>
          </w:p>
        </w:tc>
        <w:tc>
          <w:tcPr>
            <w:tcW w:w="1181" w:type="dxa"/>
          </w:tcPr>
          <w:p>
            <w:pPr>
              <w:pStyle w:val="yTableNAm"/>
            </w:pPr>
            <w:r>
              <w:t>0.14</w:t>
            </w:r>
          </w:p>
        </w:tc>
        <w:tc>
          <w:tcPr>
            <w:tcW w:w="1418" w:type="dxa"/>
          </w:tcPr>
          <w:p>
            <w:pPr>
              <w:pStyle w:val="yTableNAm"/>
            </w:pPr>
            <w:r>
              <w:t>0.13</w:t>
            </w:r>
          </w:p>
        </w:tc>
        <w:tc>
          <w:tcPr>
            <w:tcW w:w="1417" w:type="dxa"/>
          </w:tcPr>
          <w:p>
            <w:pPr>
              <w:pStyle w:val="yTableNAm"/>
            </w:pPr>
            <w:r>
              <w:t>0.16</w:t>
            </w:r>
          </w:p>
        </w:tc>
        <w:tc>
          <w:tcPr>
            <w:tcW w:w="1407" w:type="dxa"/>
          </w:tcPr>
          <w:p>
            <w:pPr>
              <w:pStyle w:val="yTableNAm"/>
            </w:pPr>
            <w:r>
              <w:t>0.14</w:t>
            </w:r>
          </w:p>
        </w:tc>
      </w:tr>
      <w:tr>
        <w:trPr>
          <w:jc w:val="center"/>
        </w:trPr>
        <w:tc>
          <w:tcPr>
            <w:tcW w:w="1652" w:type="dxa"/>
          </w:tcPr>
          <w:p>
            <w:pPr>
              <w:pStyle w:val="yTableNAm"/>
            </w:pPr>
            <w:r>
              <w:t>7.00</w:t>
            </w:r>
          </w:p>
        </w:tc>
        <w:tc>
          <w:tcPr>
            <w:tcW w:w="1181" w:type="dxa"/>
          </w:tcPr>
          <w:p>
            <w:pPr>
              <w:pStyle w:val="yTableNAm"/>
            </w:pPr>
            <w:r>
              <w:t>0.13</w:t>
            </w:r>
          </w:p>
        </w:tc>
        <w:tc>
          <w:tcPr>
            <w:tcW w:w="1418" w:type="dxa"/>
          </w:tcPr>
          <w:p>
            <w:pPr>
              <w:pStyle w:val="yTableNAm"/>
            </w:pPr>
            <w:r>
              <w:t>0.12</w:t>
            </w:r>
          </w:p>
        </w:tc>
        <w:tc>
          <w:tcPr>
            <w:tcW w:w="1417" w:type="dxa"/>
          </w:tcPr>
          <w:p>
            <w:pPr>
              <w:pStyle w:val="yTableNAm"/>
            </w:pPr>
            <w:r>
              <w:t>0.16</w:t>
            </w:r>
          </w:p>
        </w:tc>
        <w:tc>
          <w:tcPr>
            <w:tcW w:w="1407" w:type="dxa"/>
          </w:tcPr>
          <w:p>
            <w:pPr>
              <w:pStyle w:val="yTableNAm"/>
            </w:pPr>
            <w:r>
              <w:t>0.13</w:t>
            </w:r>
          </w:p>
        </w:tc>
      </w:tr>
      <w:tr>
        <w:trPr>
          <w:jc w:val="center"/>
        </w:trPr>
        <w:tc>
          <w:tcPr>
            <w:tcW w:w="1652" w:type="dxa"/>
          </w:tcPr>
          <w:p>
            <w:pPr>
              <w:pStyle w:val="yTableNAm"/>
            </w:pPr>
            <w:r>
              <w:t>7.50</w:t>
            </w:r>
          </w:p>
        </w:tc>
        <w:tc>
          <w:tcPr>
            <w:tcW w:w="1181" w:type="dxa"/>
          </w:tcPr>
          <w:p>
            <w:pPr>
              <w:pStyle w:val="yTableNAm"/>
            </w:pPr>
            <w:r>
              <w:t>0.12</w:t>
            </w:r>
          </w:p>
        </w:tc>
        <w:tc>
          <w:tcPr>
            <w:tcW w:w="1418" w:type="dxa"/>
          </w:tcPr>
          <w:p>
            <w:pPr>
              <w:pStyle w:val="yTableNAm"/>
            </w:pPr>
            <w:r>
              <w:t>0.12</w:t>
            </w:r>
          </w:p>
        </w:tc>
        <w:tc>
          <w:tcPr>
            <w:tcW w:w="1417" w:type="dxa"/>
          </w:tcPr>
          <w:p>
            <w:pPr>
              <w:pStyle w:val="yTableNAm"/>
            </w:pPr>
            <w:r>
              <w:t>0.15</w:t>
            </w:r>
          </w:p>
        </w:tc>
        <w:tc>
          <w:tcPr>
            <w:tcW w:w="1407" w:type="dxa"/>
          </w:tcPr>
          <w:p>
            <w:pPr>
              <w:pStyle w:val="yTableNAm"/>
            </w:pPr>
            <w:r>
              <w:t>0.12</w:t>
            </w:r>
          </w:p>
        </w:tc>
      </w:tr>
      <w:tr>
        <w:trPr>
          <w:jc w:val="center"/>
        </w:trPr>
        <w:tc>
          <w:tcPr>
            <w:tcW w:w="1652" w:type="dxa"/>
          </w:tcPr>
          <w:p>
            <w:pPr>
              <w:pStyle w:val="yTableNAm"/>
            </w:pPr>
            <w:r>
              <w:t>8.00</w:t>
            </w:r>
          </w:p>
        </w:tc>
        <w:tc>
          <w:tcPr>
            <w:tcW w:w="1181" w:type="dxa"/>
          </w:tcPr>
          <w:p>
            <w:pPr>
              <w:pStyle w:val="yTableNAm"/>
            </w:pPr>
            <w:r>
              <w:t>0.12</w:t>
            </w:r>
          </w:p>
        </w:tc>
        <w:tc>
          <w:tcPr>
            <w:tcW w:w="1418" w:type="dxa"/>
          </w:tcPr>
          <w:p>
            <w:pPr>
              <w:pStyle w:val="yTableNAm"/>
            </w:pPr>
            <w:r>
              <w:t>0.11</w:t>
            </w:r>
          </w:p>
        </w:tc>
        <w:tc>
          <w:tcPr>
            <w:tcW w:w="1417" w:type="dxa"/>
          </w:tcPr>
          <w:p>
            <w:pPr>
              <w:pStyle w:val="yTableNAm"/>
            </w:pPr>
            <w:r>
              <w:t>0.14</w:t>
            </w:r>
          </w:p>
        </w:tc>
        <w:tc>
          <w:tcPr>
            <w:tcW w:w="1407" w:type="dxa"/>
          </w:tcPr>
          <w:p>
            <w:pPr>
              <w:pStyle w:val="yTableNAm"/>
            </w:pPr>
            <w:r>
              <w:t>0.12</w:t>
            </w:r>
          </w:p>
        </w:tc>
      </w:tr>
      <w:tr>
        <w:trPr>
          <w:jc w:val="center"/>
        </w:trPr>
        <w:tc>
          <w:tcPr>
            <w:tcW w:w="1652" w:type="dxa"/>
          </w:tcPr>
          <w:p>
            <w:pPr>
              <w:pStyle w:val="yTableNAm"/>
            </w:pPr>
            <w:r>
              <w:t>8.50</w:t>
            </w:r>
          </w:p>
        </w:tc>
        <w:tc>
          <w:tcPr>
            <w:tcW w:w="1181" w:type="dxa"/>
          </w:tcPr>
          <w:p>
            <w:pPr>
              <w:pStyle w:val="yTableNAm"/>
            </w:pPr>
            <w:r>
              <w:t>0.11</w:t>
            </w:r>
          </w:p>
        </w:tc>
        <w:tc>
          <w:tcPr>
            <w:tcW w:w="1418" w:type="dxa"/>
          </w:tcPr>
          <w:p>
            <w:pPr>
              <w:pStyle w:val="yTableNAm"/>
            </w:pPr>
            <w:r>
              <w:t>0.11</w:t>
            </w:r>
          </w:p>
        </w:tc>
        <w:tc>
          <w:tcPr>
            <w:tcW w:w="1417" w:type="dxa"/>
          </w:tcPr>
          <w:p>
            <w:pPr>
              <w:pStyle w:val="yTableNAm"/>
            </w:pPr>
            <w:r>
              <w:t>0.13</w:t>
            </w:r>
          </w:p>
        </w:tc>
        <w:tc>
          <w:tcPr>
            <w:tcW w:w="1407" w:type="dxa"/>
          </w:tcPr>
          <w:p>
            <w:pPr>
              <w:pStyle w:val="yTableNAm"/>
            </w:pPr>
            <w:r>
              <w:t>0.11</w:t>
            </w:r>
          </w:p>
        </w:tc>
      </w:tr>
      <w:tr>
        <w:trPr>
          <w:jc w:val="center"/>
        </w:trPr>
        <w:tc>
          <w:tcPr>
            <w:tcW w:w="1652" w:type="dxa"/>
          </w:tcPr>
          <w:p>
            <w:pPr>
              <w:pStyle w:val="yTableNAm"/>
            </w:pPr>
            <w:r>
              <w:t>9.00</w:t>
            </w:r>
          </w:p>
        </w:tc>
        <w:tc>
          <w:tcPr>
            <w:tcW w:w="1181" w:type="dxa"/>
          </w:tcPr>
          <w:p>
            <w:pPr>
              <w:pStyle w:val="yTableNAm"/>
            </w:pPr>
            <w:r>
              <w:t>0.10</w:t>
            </w:r>
          </w:p>
        </w:tc>
        <w:tc>
          <w:tcPr>
            <w:tcW w:w="1418" w:type="dxa"/>
          </w:tcPr>
          <w:p>
            <w:pPr>
              <w:pStyle w:val="yTableNAm"/>
            </w:pPr>
            <w:r>
              <w:t>0.10</w:t>
            </w:r>
          </w:p>
        </w:tc>
        <w:tc>
          <w:tcPr>
            <w:tcW w:w="1417" w:type="dxa"/>
          </w:tcPr>
          <w:p>
            <w:pPr>
              <w:pStyle w:val="yTableNAm"/>
            </w:pPr>
            <w:r>
              <w:t>0.13</w:t>
            </w:r>
          </w:p>
        </w:tc>
        <w:tc>
          <w:tcPr>
            <w:tcW w:w="1407" w:type="dxa"/>
          </w:tcPr>
          <w:p>
            <w:pPr>
              <w:pStyle w:val="yTableNAm"/>
            </w:pPr>
            <w:r>
              <w:t>0.10</w:t>
            </w:r>
          </w:p>
        </w:tc>
      </w:tr>
      <w:tr>
        <w:trPr>
          <w:jc w:val="center"/>
        </w:trPr>
        <w:tc>
          <w:tcPr>
            <w:tcW w:w="1652" w:type="dxa"/>
          </w:tcPr>
          <w:p>
            <w:pPr>
              <w:pStyle w:val="yTableNAm"/>
            </w:pPr>
            <w:r>
              <w:t>9.50</w:t>
            </w:r>
          </w:p>
        </w:tc>
        <w:tc>
          <w:tcPr>
            <w:tcW w:w="1181" w:type="dxa"/>
          </w:tcPr>
          <w:p>
            <w:pPr>
              <w:pStyle w:val="yTableNAm"/>
            </w:pPr>
            <w:r>
              <w:t>0.10</w:t>
            </w:r>
          </w:p>
        </w:tc>
        <w:tc>
          <w:tcPr>
            <w:tcW w:w="1418" w:type="dxa"/>
          </w:tcPr>
          <w:p>
            <w:pPr>
              <w:pStyle w:val="yTableNAm"/>
            </w:pPr>
            <w:r>
              <w:t>0.10</w:t>
            </w:r>
          </w:p>
        </w:tc>
        <w:tc>
          <w:tcPr>
            <w:tcW w:w="1417" w:type="dxa"/>
          </w:tcPr>
          <w:p>
            <w:pPr>
              <w:pStyle w:val="yTableNAm"/>
            </w:pPr>
            <w:r>
              <w:t>0.12</w:t>
            </w:r>
          </w:p>
        </w:tc>
        <w:tc>
          <w:tcPr>
            <w:tcW w:w="1407" w:type="dxa"/>
          </w:tcPr>
          <w:p>
            <w:pPr>
              <w:pStyle w:val="yTableNAm"/>
            </w:pPr>
            <w:r>
              <w:t>0.10</w:t>
            </w:r>
          </w:p>
        </w:tc>
      </w:tr>
      <w:tr>
        <w:trPr>
          <w:jc w:val="center"/>
        </w:trPr>
        <w:tc>
          <w:tcPr>
            <w:tcW w:w="1652" w:type="dxa"/>
          </w:tcPr>
          <w:p>
            <w:pPr>
              <w:pStyle w:val="yTableNAm"/>
            </w:pPr>
            <w:r>
              <w:t>10.00</w:t>
            </w:r>
          </w:p>
        </w:tc>
        <w:tc>
          <w:tcPr>
            <w:tcW w:w="1181" w:type="dxa"/>
          </w:tcPr>
          <w:p>
            <w:pPr>
              <w:pStyle w:val="yTableNAm"/>
            </w:pPr>
            <w:r>
              <w:t>0.09</w:t>
            </w:r>
          </w:p>
        </w:tc>
        <w:tc>
          <w:tcPr>
            <w:tcW w:w="1418" w:type="dxa"/>
          </w:tcPr>
          <w:p>
            <w:pPr>
              <w:pStyle w:val="yTableNAm"/>
            </w:pPr>
            <w:r>
              <w:t>0.10</w:t>
            </w:r>
          </w:p>
        </w:tc>
        <w:tc>
          <w:tcPr>
            <w:tcW w:w="1417" w:type="dxa"/>
          </w:tcPr>
          <w:p>
            <w:pPr>
              <w:pStyle w:val="yTableNAm"/>
            </w:pPr>
            <w:r>
              <w:t>0.12</w:t>
            </w:r>
          </w:p>
        </w:tc>
        <w:tc>
          <w:tcPr>
            <w:tcW w:w="1407" w:type="dxa"/>
          </w:tcPr>
          <w:p>
            <w:pPr>
              <w:pStyle w:val="yTableNAm"/>
            </w:pPr>
            <w:r>
              <w:t>0.09</w:t>
            </w:r>
          </w:p>
        </w:tc>
      </w:tr>
      <w:tr>
        <w:trPr>
          <w:jc w:val="center"/>
        </w:trPr>
        <w:tc>
          <w:tcPr>
            <w:tcW w:w="1652" w:type="dxa"/>
          </w:tcPr>
          <w:p>
            <w:pPr>
              <w:pStyle w:val="yTableNAm"/>
            </w:pPr>
            <w:r>
              <w:t>11.00</w:t>
            </w:r>
          </w:p>
        </w:tc>
        <w:tc>
          <w:tcPr>
            <w:tcW w:w="1181" w:type="dxa"/>
          </w:tcPr>
          <w:p>
            <w:pPr>
              <w:pStyle w:val="yTableNAm"/>
            </w:pPr>
            <w:r>
              <w:t>0.08</w:t>
            </w:r>
          </w:p>
        </w:tc>
        <w:tc>
          <w:tcPr>
            <w:tcW w:w="1418" w:type="dxa"/>
          </w:tcPr>
          <w:p>
            <w:pPr>
              <w:pStyle w:val="yTableNAm"/>
            </w:pPr>
            <w:r>
              <w:t>0.09</w:t>
            </w:r>
          </w:p>
        </w:tc>
        <w:tc>
          <w:tcPr>
            <w:tcW w:w="1417" w:type="dxa"/>
          </w:tcPr>
          <w:p>
            <w:pPr>
              <w:pStyle w:val="yTableNAm"/>
            </w:pPr>
            <w:r>
              <w:t>0.11</w:t>
            </w:r>
          </w:p>
        </w:tc>
        <w:tc>
          <w:tcPr>
            <w:tcW w:w="1407" w:type="dxa"/>
          </w:tcPr>
          <w:p>
            <w:pPr>
              <w:pStyle w:val="yTableNAm"/>
            </w:pPr>
            <w:r>
              <w:t>0.08</w:t>
            </w:r>
          </w:p>
        </w:tc>
      </w:tr>
      <w:tr>
        <w:trPr>
          <w:jc w:val="center"/>
        </w:trPr>
        <w:tc>
          <w:tcPr>
            <w:tcW w:w="1652" w:type="dxa"/>
          </w:tcPr>
          <w:p>
            <w:pPr>
              <w:pStyle w:val="yTableNAm"/>
            </w:pPr>
            <w:r>
              <w:t>12.00</w:t>
            </w:r>
          </w:p>
        </w:tc>
        <w:tc>
          <w:tcPr>
            <w:tcW w:w="1181" w:type="dxa"/>
          </w:tcPr>
          <w:p>
            <w:pPr>
              <w:pStyle w:val="yTableNAm"/>
            </w:pPr>
            <w:r>
              <w:t>0.08</w:t>
            </w:r>
          </w:p>
        </w:tc>
        <w:tc>
          <w:tcPr>
            <w:tcW w:w="1418" w:type="dxa"/>
          </w:tcPr>
          <w:p>
            <w:pPr>
              <w:pStyle w:val="yTableNAm"/>
            </w:pPr>
            <w:r>
              <w:t>0.08</w:t>
            </w:r>
          </w:p>
        </w:tc>
        <w:tc>
          <w:tcPr>
            <w:tcW w:w="1417" w:type="dxa"/>
          </w:tcPr>
          <w:p>
            <w:pPr>
              <w:pStyle w:val="yTableNAm"/>
            </w:pPr>
            <w:r>
              <w:t>0.10</w:t>
            </w:r>
          </w:p>
        </w:tc>
        <w:tc>
          <w:tcPr>
            <w:tcW w:w="1407" w:type="dxa"/>
          </w:tcPr>
          <w:p>
            <w:pPr>
              <w:pStyle w:val="yTableNAm"/>
            </w:pPr>
            <w:r>
              <w:t>0.08</w:t>
            </w:r>
          </w:p>
        </w:tc>
      </w:tr>
      <w:tr>
        <w:trPr>
          <w:jc w:val="center"/>
        </w:trPr>
        <w:tc>
          <w:tcPr>
            <w:tcW w:w="1652" w:type="dxa"/>
          </w:tcPr>
          <w:p>
            <w:pPr>
              <w:pStyle w:val="yTableNAm"/>
            </w:pPr>
            <w:r>
              <w:t>13.00</w:t>
            </w:r>
          </w:p>
        </w:tc>
        <w:tc>
          <w:tcPr>
            <w:tcW w:w="1181" w:type="dxa"/>
          </w:tcPr>
          <w:p>
            <w:pPr>
              <w:pStyle w:val="yTableNAm"/>
            </w:pPr>
            <w:r>
              <w:t>0.07</w:t>
            </w:r>
          </w:p>
        </w:tc>
        <w:tc>
          <w:tcPr>
            <w:tcW w:w="1418" w:type="dxa"/>
          </w:tcPr>
          <w:p>
            <w:pPr>
              <w:pStyle w:val="yTableNAm"/>
            </w:pPr>
            <w:r>
              <w:t>0.08</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14.00</w:t>
            </w:r>
          </w:p>
        </w:tc>
        <w:tc>
          <w:tcPr>
            <w:tcW w:w="1181" w:type="dxa"/>
          </w:tcPr>
          <w:p>
            <w:pPr>
              <w:pStyle w:val="yTableNAm"/>
            </w:pPr>
            <w:r>
              <w:t>0.07</w:t>
            </w:r>
          </w:p>
        </w:tc>
        <w:tc>
          <w:tcPr>
            <w:tcW w:w="1418" w:type="dxa"/>
          </w:tcPr>
          <w:p>
            <w:pPr>
              <w:pStyle w:val="yTableNAm"/>
            </w:pPr>
            <w:r>
              <w:t>0.07</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15.00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16.00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17.00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18.00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19.00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20.00</w:t>
            </w:r>
          </w:p>
        </w:tc>
        <w:tc>
          <w:tcPr>
            <w:tcW w:w="1181" w:type="dxa"/>
          </w:tcPr>
          <w:p>
            <w:pPr>
              <w:pStyle w:val="yTableNAm"/>
            </w:pPr>
            <w:r>
              <w:t>0.05</w:t>
            </w:r>
          </w:p>
        </w:tc>
        <w:tc>
          <w:tcPr>
            <w:tcW w:w="1418" w:type="dxa"/>
          </w:tcPr>
          <w:p>
            <w:pPr>
              <w:pStyle w:val="yTableNAm"/>
            </w:pPr>
            <w:r>
              <w:t>0.05</w:t>
            </w:r>
          </w:p>
        </w:tc>
        <w:tc>
          <w:tcPr>
            <w:tcW w:w="1417" w:type="dxa"/>
          </w:tcPr>
          <w:p>
            <w:pPr>
              <w:pStyle w:val="yTableNAm"/>
            </w:pPr>
            <w:r>
              <w:t>0.06</w:t>
            </w:r>
          </w:p>
        </w:tc>
        <w:tc>
          <w:tcPr>
            <w:tcW w:w="1407" w:type="dxa"/>
          </w:tcPr>
          <w:p>
            <w:pPr>
              <w:pStyle w:val="yTableNAm"/>
            </w:pPr>
            <w:r>
              <w:t>0.05</w:t>
            </w:r>
          </w:p>
        </w:tc>
      </w:tr>
      <w:tr>
        <w:trPr>
          <w:jc w:val="center"/>
        </w:trPr>
        <w:tc>
          <w:tcPr>
            <w:tcW w:w="1652" w:type="dxa"/>
          </w:tcPr>
          <w:p>
            <w:pPr>
              <w:pStyle w:val="yTableNAm"/>
            </w:pPr>
            <w:r>
              <w:t>21.00</w:t>
            </w:r>
          </w:p>
        </w:tc>
        <w:tc>
          <w:tcPr>
            <w:tcW w:w="1181" w:type="dxa"/>
          </w:tcPr>
          <w:p>
            <w:pPr>
              <w:pStyle w:val="yTableNAm"/>
            </w:pPr>
            <w:r>
              <w:t>0.04</w:t>
            </w:r>
          </w:p>
        </w:tc>
        <w:tc>
          <w:tcPr>
            <w:tcW w:w="1418" w:type="dxa"/>
          </w:tcPr>
          <w:p>
            <w:pPr>
              <w:pStyle w:val="yTableNAm"/>
            </w:pPr>
            <w:r>
              <w:t>0.05</w:t>
            </w:r>
          </w:p>
        </w:tc>
        <w:tc>
          <w:tcPr>
            <w:tcW w:w="1417" w:type="dxa"/>
          </w:tcPr>
          <w:p>
            <w:pPr>
              <w:pStyle w:val="yTableNAm"/>
            </w:pPr>
            <w:r>
              <w:t>0.06</w:t>
            </w:r>
          </w:p>
        </w:tc>
        <w:tc>
          <w:tcPr>
            <w:tcW w:w="1407" w:type="dxa"/>
          </w:tcPr>
          <w:p>
            <w:pPr>
              <w:pStyle w:val="yTableNAm"/>
            </w:pPr>
            <w:r>
              <w:t>0.04</w:t>
            </w:r>
          </w:p>
        </w:tc>
      </w:tr>
      <w:tr>
        <w:trPr>
          <w:jc w:val="center"/>
        </w:trPr>
        <w:tc>
          <w:tcPr>
            <w:tcW w:w="1652" w:type="dxa"/>
          </w:tcPr>
          <w:p>
            <w:pPr>
              <w:pStyle w:val="yTableNAm"/>
            </w:pPr>
            <w:r>
              <w:t>26.00</w:t>
            </w:r>
          </w:p>
        </w:tc>
        <w:tc>
          <w:tcPr>
            <w:tcW w:w="1181" w:type="dxa"/>
          </w:tcPr>
          <w:p>
            <w:pPr>
              <w:pStyle w:val="yTableNAm"/>
            </w:pPr>
            <w:r>
              <w:t>0.03</w:t>
            </w:r>
          </w:p>
        </w:tc>
        <w:tc>
          <w:tcPr>
            <w:tcW w:w="1418" w:type="dxa"/>
          </w:tcPr>
          <w:p>
            <w:pPr>
              <w:pStyle w:val="yTableNAm"/>
            </w:pPr>
            <w:r>
              <w:t>0.04</w:t>
            </w:r>
          </w:p>
        </w:tc>
        <w:tc>
          <w:tcPr>
            <w:tcW w:w="1417" w:type="dxa"/>
          </w:tcPr>
          <w:p>
            <w:pPr>
              <w:pStyle w:val="yTableNAm"/>
            </w:pPr>
            <w:r>
              <w:t>0.05</w:t>
            </w:r>
          </w:p>
        </w:tc>
        <w:tc>
          <w:tcPr>
            <w:tcW w:w="1407" w:type="dxa"/>
          </w:tcPr>
          <w:p>
            <w:pPr>
              <w:pStyle w:val="yTableNAm"/>
            </w:pPr>
            <w:r>
              <w:t>0.03</w:t>
            </w:r>
          </w:p>
        </w:tc>
      </w:tr>
      <w:tr>
        <w:trPr>
          <w:jc w:val="center"/>
        </w:trPr>
        <w:tc>
          <w:tcPr>
            <w:tcW w:w="1652" w:type="dxa"/>
          </w:tcPr>
          <w:p>
            <w:pPr>
              <w:pStyle w:val="yTableNAm"/>
            </w:pPr>
            <w:r>
              <w:t>31.00</w:t>
            </w:r>
          </w:p>
        </w:tc>
        <w:tc>
          <w:tcPr>
            <w:tcW w:w="1181" w:type="dxa"/>
          </w:tcPr>
          <w:p>
            <w:pPr>
              <w:pStyle w:val="yTableNAm"/>
            </w:pPr>
            <w:r>
              <w:t>0.03</w:t>
            </w:r>
          </w:p>
        </w:tc>
        <w:tc>
          <w:tcPr>
            <w:tcW w:w="1418" w:type="dxa"/>
          </w:tcPr>
          <w:p>
            <w:pPr>
              <w:pStyle w:val="yTableNAm"/>
            </w:pPr>
            <w:r>
              <w:t>0.03</w:t>
            </w:r>
          </w:p>
        </w:tc>
        <w:tc>
          <w:tcPr>
            <w:tcW w:w="1417" w:type="dxa"/>
          </w:tcPr>
          <w:p>
            <w:pPr>
              <w:pStyle w:val="yTableNAm"/>
            </w:pPr>
            <w:r>
              <w:t>0.04</w:t>
            </w:r>
          </w:p>
        </w:tc>
        <w:tc>
          <w:tcPr>
            <w:tcW w:w="1407" w:type="dxa"/>
          </w:tcPr>
          <w:p>
            <w:pPr>
              <w:pStyle w:val="yTableNAm"/>
            </w:pPr>
            <w:r>
              <w:t>0.03</w:t>
            </w:r>
          </w:p>
        </w:tc>
      </w:tr>
      <w:tr>
        <w:trPr>
          <w:jc w:val="center"/>
        </w:trPr>
        <w:tc>
          <w:tcPr>
            <w:tcW w:w="1652" w:type="dxa"/>
          </w:tcPr>
          <w:p>
            <w:pPr>
              <w:pStyle w:val="yTableNAm"/>
            </w:pPr>
            <w:r>
              <w:t>41.00</w:t>
            </w:r>
          </w:p>
        </w:tc>
        <w:tc>
          <w:tcPr>
            <w:tcW w:w="1181" w:type="dxa"/>
          </w:tcPr>
          <w:p>
            <w:pPr>
              <w:pStyle w:val="yTableNAm"/>
            </w:pPr>
            <w:r>
              <w:t>0.02</w:t>
            </w:r>
          </w:p>
        </w:tc>
        <w:tc>
          <w:tcPr>
            <w:tcW w:w="1418" w:type="dxa"/>
          </w:tcPr>
          <w:p>
            <w:pPr>
              <w:pStyle w:val="yTableNAm"/>
            </w:pPr>
            <w:r>
              <w:t>0.03</w:t>
            </w:r>
          </w:p>
        </w:tc>
        <w:tc>
          <w:tcPr>
            <w:tcW w:w="1417" w:type="dxa"/>
          </w:tcPr>
          <w:p>
            <w:pPr>
              <w:pStyle w:val="yTableNAm"/>
            </w:pPr>
            <w:r>
              <w:t>0.03</w:t>
            </w:r>
          </w:p>
        </w:tc>
        <w:tc>
          <w:tcPr>
            <w:tcW w:w="1407" w:type="dxa"/>
          </w:tcPr>
          <w:p>
            <w:pPr>
              <w:pStyle w:val="yTableNAm"/>
            </w:pPr>
            <w:r>
              <w:t>0.02</w:t>
            </w:r>
          </w:p>
        </w:tc>
      </w:tr>
      <w:tr>
        <w:trPr>
          <w:jc w:val="center"/>
        </w:trPr>
        <w:tc>
          <w:tcPr>
            <w:tcW w:w="1652" w:type="dxa"/>
          </w:tcPr>
          <w:p>
            <w:pPr>
              <w:pStyle w:val="yTableNAm"/>
            </w:pPr>
            <w:r>
              <w:t>51.00</w:t>
            </w:r>
          </w:p>
        </w:tc>
        <w:tc>
          <w:tcPr>
            <w:tcW w:w="1181" w:type="dxa"/>
          </w:tcPr>
          <w:p>
            <w:pPr>
              <w:pStyle w:val="yTableNAm"/>
            </w:pPr>
            <w:r>
              <w:t>0.02</w:t>
            </w:r>
          </w:p>
        </w:tc>
        <w:tc>
          <w:tcPr>
            <w:tcW w:w="1418" w:type="dxa"/>
          </w:tcPr>
          <w:p>
            <w:pPr>
              <w:pStyle w:val="yTableNAm"/>
            </w:pPr>
            <w:r>
              <w:t>0.02</w:t>
            </w:r>
          </w:p>
        </w:tc>
        <w:tc>
          <w:tcPr>
            <w:tcW w:w="1417" w:type="dxa"/>
          </w:tcPr>
          <w:p>
            <w:pPr>
              <w:pStyle w:val="yTableNAm"/>
            </w:pPr>
            <w:r>
              <w:t>0.02</w:t>
            </w:r>
          </w:p>
        </w:tc>
        <w:tc>
          <w:tcPr>
            <w:tcW w:w="1407" w:type="dxa"/>
          </w:tcPr>
          <w:p>
            <w:pPr>
              <w:pStyle w:val="yTableNAm"/>
            </w:pPr>
            <w:r>
              <w:t>002</w:t>
            </w:r>
          </w:p>
        </w:tc>
      </w:tr>
    </w:tbl>
    <w:p>
      <w:pPr>
        <w:pStyle w:val="yFootnotesection"/>
      </w:pPr>
      <w:r>
        <w:tab/>
        <w:t>[Schedule 1 amended: Gazette 4 Jan 2013 p. 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88" w:name="_Toc377039008"/>
      <w:bookmarkStart w:id="189" w:name="_Toc406507625"/>
      <w:bookmarkStart w:id="190" w:name="_Toc425172661"/>
      <w:bookmarkStart w:id="191" w:name="_Toc435092276"/>
      <w:bookmarkStart w:id="192" w:name="_Toc446331416"/>
      <w:bookmarkStart w:id="193" w:name="_Toc490126997"/>
      <w:r>
        <w:t>Notes</w:t>
      </w:r>
      <w:bookmarkEnd w:id="188"/>
      <w:bookmarkEnd w:id="189"/>
      <w:bookmarkEnd w:id="190"/>
      <w:bookmarkEnd w:id="191"/>
      <w:bookmarkEnd w:id="192"/>
      <w:bookmarkEnd w:id="193"/>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rPr>
          <w:snapToGrid w:val="0"/>
        </w:rPr>
        <w:t xml:space="preserve"> and includes the amendments made by the other written laws referred to in the following table.  The table also contains information about any reprint.</w:t>
      </w:r>
    </w:p>
    <w:p>
      <w:pPr>
        <w:pStyle w:val="nHeading3"/>
      </w:pPr>
      <w:bookmarkStart w:id="194" w:name="_Toc406507626"/>
      <w:bookmarkStart w:id="195" w:name="_Toc490126998"/>
      <w:r>
        <w:t>Compilation table</w:t>
      </w:r>
      <w:bookmarkEnd w:id="194"/>
      <w:bookmarkEnd w:id="19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Rules of Wagering 2005</w:t>
            </w:r>
          </w:p>
        </w:tc>
        <w:tc>
          <w:tcPr>
            <w:tcW w:w="1276" w:type="dxa"/>
            <w:tcBorders>
              <w:top w:val="single" w:sz="8" w:space="0" w:color="auto"/>
            </w:tcBorders>
          </w:tcPr>
          <w:p>
            <w:pPr>
              <w:pStyle w:val="nTable"/>
              <w:spacing w:after="40"/>
            </w:pPr>
            <w:r>
              <w:t>28 Jan 2005 p. 401</w:t>
            </w:r>
            <w:r>
              <w:noBreakHyphen/>
              <w:t>79</w:t>
            </w:r>
          </w:p>
        </w:tc>
        <w:tc>
          <w:tcPr>
            <w:tcW w:w="2693" w:type="dxa"/>
            <w:tcBorders>
              <w:top w:val="single" w:sz="8" w:space="0" w:color="auto"/>
            </w:tcBorders>
          </w:tcPr>
          <w:p>
            <w:pPr>
              <w:pStyle w:val="nTable"/>
              <w:spacing w:after="40"/>
            </w:pPr>
            <w:r>
              <w:t>30 Jan 2005 (see r. 2)</w:t>
            </w:r>
          </w:p>
        </w:tc>
      </w:tr>
      <w:tr>
        <w:tc>
          <w:tcPr>
            <w:tcW w:w="3118" w:type="dxa"/>
          </w:tcPr>
          <w:p>
            <w:pPr>
              <w:pStyle w:val="nTable"/>
              <w:spacing w:after="40"/>
              <w:rPr>
                <w:i/>
                <w:noProof/>
                <w:snapToGrid w:val="0"/>
              </w:rPr>
            </w:pPr>
            <w:r>
              <w:rPr>
                <w:i/>
                <w:noProof/>
                <w:snapToGrid w:val="0"/>
              </w:rPr>
              <w:t>Rules of Wagering Amendment Rules 2005</w:t>
            </w:r>
          </w:p>
        </w:tc>
        <w:tc>
          <w:tcPr>
            <w:tcW w:w="1276" w:type="dxa"/>
          </w:tcPr>
          <w:p>
            <w:pPr>
              <w:pStyle w:val="nTable"/>
              <w:spacing w:after="40"/>
            </w:pPr>
            <w:r>
              <w:t>30 Aug 2005 p. 4055</w:t>
            </w:r>
          </w:p>
        </w:tc>
        <w:tc>
          <w:tcPr>
            <w:tcW w:w="2693" w:type="dxa"/>
          </w:tcPr>
          <w:p>
            <w:pPr>
              <w:pStyle w:val="nTable"/>
              <w:spacing w:after="40"/>
            </w:pPr>
            <w:r>
              <w:t>30 Aug 2005</w:t>
            </w:r>
          </w:p>
        </w:tc>
      </w:tr>
      <w:tr>
        <w:tc>
          <w:tcPr>
            <w:tcW w:w="3118" w:type="dxa"/>
          </w:tcPr>
          <w:p>
            <w:pPr>
              <w:pStyle w:val="nTable"/>
              <w:spacing w:after="40"/>
              <w:rPr>
                <w:i/>
                <w:noProof/>
                <w:snapToGrid w:val="0"/>
              </w:rPr>
            </w:pPr>
            <w:r>
              <w:rPr>
                <w:i/>
                <w:noProof/>
                <w:snapToGrid w:val="0"/>
              </w:rPr>
              <w:t>Rules of Wagering Amendment Rules 2006</w:t>
            </w:r>
          </w:p>
        </w:tc>
        <w:tc>
          <w:tcPr>
            <w:tcW w:w="1276" w:type="dxa"/>
          </w:tcPr>
          <w:p>
            <w:pPr>
              <w:pStyle w:val="nTable"/>
              <w:spacing w:after="40"/>
            </w:pPr>
            <w:r>
              <w:t>7 Apr 2006 p. 1489</w:t>
            </w:r>
            <w:r>
              <w:noBreakHyphen/>
              <w:t>90</w:t>
            </w:r>
          </w:p>
        </w:tc>
        <w:tc>
          <w:tcPr>
            <w:tcW w:w="2693" w:type="dxa"/>
          </w:tcPr>
          <w:p>
            <w:pPr>
              <w:pStyle w:val="nTable"/>
              <w:spacing w:after="40"/>
            </w:pPr>
            <w:r>
              <w:t>7 Apr 2006</w:t>
            </w:r>
          </w:p>
        </w:tc>
      </w:tr>
      <w:tr>
        <w:tc>
          <w:tcPr>
            <w:tcW w:w="3118" w:type="dxa"/>
          </w:tcPr>
          <w:p>
            <w:pPr>
              <w:pStyle w:val="nTable"/>
              <w:spacing w:after="40"/>
              <w:rPr>
                <w:i/>
                <w:noProof/>
                <w:snapToGrid w:val="0"/>
              </w:rPr>
            </w:pPr>
            <w:r>
              <w:rPr>
                <w:i/>
                <w:noProof/>
                <w:snapToGrid w:val="0"/>
              </w:rPr>
              <w:t>Rules of Wagering Amendment Rules (No. 2) 2006</w:t>
            </w:r>
          </w:p>
        </w:tc>
        <w:tc>
          <w:tcPr>
            <w:tcW w:w="1276" w:type="dxa"/>
          </w:tcPr>
          <w:p>
            <w:pPr>
              <w:pStyle w:val="nTable"/>
              <w:spacing w:after="40"/>
            </w:pPr>
            <w:r>
              <w:t>18 Aug 2006 p. 3369</w:t>
            </w:r>
            <w:r>
              <w:noBreakHyphen/>
              <w:t>70</w:t>
            </w:r>
          </w:p>
        </w:tc>
        <w:tc>
          <w:tcPr>
            <w:tcW w:w="2693" w:type="dxa"/>
          </w:tcPr>
          <w:p>
            <w:pPr>
              <w:pStyle w:val="nTable"/>
              <w:spacing w:after="40"/>
            </w:pPr>
            <w:r>
              <w:t>18 Aug 2006</w:t>
            </w:r>
          </w:p>
        </w:tc>
      </w:tr>
      <w:tr>
        <w:tc>
          <w:tcPr>
            <w:tcW w:w="3118" w:type="dxa"/>
          </w:tcPr>
          <w:p>
            <w:pPr>
              <w:pStyle w:val="nTable"/>
              <w:spacing w:after="40"/>
              <w:rPr>
                <w:i/>
                <w:noProof/>
                <w:snapToGrid w:val="0"/>
              </w:rPr>
            </w:pPr>
            <w:r>
              <w:rPr>
                <w:i/>
                <w:noProof/>
                <w:snapToGrid w:val="0"/>
              </w:rPr>
              <w:t>Rules of Wagering Amendment Rules (No. 2) 2007</w:t>
            </w:r>
          </w:p>
        </w:tc>
        <w:tc>
          <w:tcPr>
            <w:tcW w:w="1276" w:type="dxa"/>
          </w:tcPr>
          <w:p>
            <w:pPr>
              <w:pStyle w:val="nTable"/>
              <w:spacing w:after="40"/>
            </w:pPr>
            <w:r>
              <w:t>20 Jul 2007 p. 3629</w:t>
            </w:r>
            <w:r>
              <w:noBreakHyphen/>
              <w:t>30</w:t>
            </w:r>
          </w:p>
        </w:tc>
        <w:tc>
          <w:tcPr>
            <w:tcW w:w="2693" w:type="dxa"/>
          </w:tcPr>
          <w:p>
            <w:pPr>
              <w:pStyle w:val="nTable"/>
              <w:spacing w:after="40"/>
            </w:pPr>
            <w:r>
              <w:t>20 Jul 2007</w:t>
            </w:r>
          </w:p>
        </w:tc>
      </w:tr>
      <w:tr>
        <w:tc>
          <w:tcPr>
            <w:tcW w:w="3118" w:type="dxa"/>
          </w:tcPr>
          <w:p>
            <w:pPr>
              <w:pStyle w:val="nTable"/>
              <w:spacing w:after="40"/>
              <w:rPr>
                <w:i/>
                <w:noProof/>
                <w:snapToGrid w:val="0"/>
              </w:rPr>
            </w:pPr>
            <w:r>
              <w:rPr>
                <w:i/>
                <w:noProof/>
                <w:snapToGrid w:val="0"/>
              </w:rPr>
              <w:t>Rules of Wagering Amendment Rules 2007</w:t>
            </w:r>
          </w:p>
        </w:tc>
        <w:tc>
          <w:tcPr>
            <w:tcW w:w="1276" w:type="dxa"/>
          </w:tcPr>
          <w:p>
            <w:pPr>
              <w:pStyle w:val="nTable"/>
              <w:spacing w:after="40"/>
            </w:pPr>
            <w:r>
              <w:t>18 Sep 2007 p. 4711</w:t>
            </w:r>
            <w:r>
              <w:noBreakHyphen/>
              <w:t>14</w:t>
            </w:r>
          </w:p>
        </w:tc>
        <w:tc>
          <w:tcPr>
            <w:tcW w:w="2693" w:type="dxa"/>
          </w:tcPr>
          <w:p>
            <w:pPr>
              <w:pStyle w:val="nTable"/>
              <w:spacing w:after="40"/>
            </w:pPr>
            <w:r>
              <w:rPr>
                <w:snapToGrid w:val="0"/>
              </w:rPr>
              <w:t>r. 1 and 2: 18 Sep 2007 (see r. 2(a));</w:t>
            </w:r>
            <w:r>
              <w:rPr>
                <w:snapToGrid w:val="0"/>
              </w:rPr>
              <w:br/>
              <w:t>Rules other than r. 1 and 2: 19 Sep 2007 (see r. 2(b))</w:t>
            </w:r>
          </w:p>
        </w:tc>
      </w:tr>
      <w:tr>
        <w:tc>
          <w:tcPr>
            <w:tcW w:w="3118" w:type="dxa"/>
          </w:tcPr>
          <w:p>
            <w:pPr>
              <w:pStyle w:val="nTable"/>
              <w:spacing w:after="40"/>
              <w:rPr>
                <w:i/>
                <w:noProof/>
                <w:snapToGrid w:val="0"/>
              </w:rPr>
            </w:pPr>
            <w:r>
              <w:rPr>
                <w:i/>
                <w:noProof/>
                <w:snapToGrid w:val="0"/>
              </w:rPr>
              <w:t>Rules of Wagering Amendment Rules (No. 2) 2010</w:t>
            </w:r>
          </w:p>
        </w:tc>
        <w:tc>
          <w:tcPr>
            <w:tcW w:w="1276" w:type="dxa"/>
          </w:tcPr>
          <w:p>
            <w:pPr>
              <w:pStyle w:val="nTable"/>
              <w:spacing w:after="40"/>
            </w:pPr>
            <w:r>
              <w:t>19 Oct 2010 p. 5191</w:t>
            </w:r>
            <w:r>
              <w:noBreakHyphen/>
              <w:t>2</w:t>
            </w:r>
          </w:p>
        </w:tc>
        <w:tc>
          <w:tcPr>
            <w:tcW w:w="2693" w:type="dxa"/>
          </w:tcPr>
          <w:p>
            <w:pPr>
              <w:pStyle w:val="nTable"/>
              <w:spacing w:after="40"/>
              <w:rPr>
                <w:snapToGrid w:val="0"/>
              </w:rPr>
            </w:pPr>
            <w:r>
              <w:rPr>
                <w:snapToGrid w:val="0"/>
              </w:rPr>
              <w:t>r. 1 and 2: 19 Oct 2010 (see r. 2(a));</w:t>
            </w:r>
            <w:r>
              <w:rPr>
                <w:snapToGrid w:val="0"/>
              </w:rPr>
              <w:br/>
              <w:t>Rules other than r. 1 and 2: 20 Oct 2010 (see r. 2(b))</w:t>
            </w:r>
          </w:p>
        </w:tc>
      </w:tr>
      <w:tr>
        <w:tc>
          <w:tcPr>
            <w:tcW w:w="3118" w:type="dxa"/>
          </w:tcPr>
          <w:p>
            <w:pPr>
              <w:pStyle w:val="nTable"/>
              <w:spacing w:after="40"/>
              <w:rPr>
                <w:i/>
                <w:noProof/>
                <w:snapToGrid w:val="0"/>
              </w:rPr>
            </w:pPr>
            <w:r>
              <w:rPr>
                <w:i/>
                <w:noProof/>
                <w:snapToGrid w:val="0"/>
              </w:rPr>
              <w:t>Rules of Wagering Amendment Rules 2012</w:t>
            </w:r>
          </w:p>
        </w:tc>
        <w:tc>
          <w:tcPr>
            <w:tcW w:w="1276" w:type="dxa"/>
          </w:tcPr>
          <w:p>
            <w:pPr>
              <w:pStyle w:val="nTable"/>
              <w:spacing w:after="40"/>
            </w:pPr>
            <w:r>
              <w:t>4 Jan 2013 p. 15</w:t>
            </w:r>
            <w:r>
              <w:noBreakHyphen/>
              <w:t>19</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c>
          <w:tcPr>
            <w:tcW w:w="3118" w:type="dxa"/>
          </w:tcPr>
          <w:p>
            <w:pPr>
              <w:pStyle w:val="nTable"/>
              <w:spacing w:after="40"/>
              <w:rPr>
                <w:i/>
                <w:noProof/>
                <w:snapToGrid w:val="0"/>
              </w:rPr>
            </w:pPr>
            <w:r>
              <w:rPr>
                <w:i/>
                <w:noProof/>
                <w:snapToGrid w:val="0"/>
              </w:rPr>
              <w:t>Rules of Wagering Amendment Rules (No. 2) 2012</w:t>
            </w:r>
          </w:p>
        </w:tc>
        <w:tc>
          <w:tcPr>
            <w:tcW w:w="1276" w:type="dxa"/>
          </w:tcPr>
          <w:p>
            <w:pPr>
              <w:pStyle w:val="nTable"/>
              <w:spacing w:after="40"/>
            </w:pPr>
            <w:r>
              <w:t>4 Jan 2013 p. 20</w:t>
            </w:r>
            <w:r>
              <w:noBreakHyphen/>
              <w:t>2</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c>
          <w:tcPr>
            <w:tcW w:w="7087" w:type="dxa"/>
            <w:gridSpan w:val="3"/>
            <w:shd w:val="clear" w:color="auto" w:fill="auto"/>
          </w:tcPr>
          <w:p>
            <w:pPr>
              <w:pStyle w:val="nTable"/>
              <w:spacing w:after="40"/>
              <w:rPr>
                <w:snapToGrid w:val="0"/>
              </w:rPr>
            </w:pPr>
            <w:r>
              <w:rPr>
                <w:b/>
                <w:snapToGrid w:val="0"/>
              </w:rPr>
              <w:t xml:space="preserve">Reprint 1:  The </w:t>
            </w:r>
            <w:r>
              <w:rPr>
                <w:b/>
                <w:i/>
                <w:snapToGrid w:val="0"/>
              </w:rPr>
              <w:t>Rules of Wagering 2005</w:t>
            </w:r>
            <w:r>
              <w:rPr>
                <w:b/>
                <w:snapToGrid w:val="0"/>
              </w:rPr>
              <w:t xml:space="preserve"> as at 12 Apr 2013</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Rules of Wagering Amendment Rules 2013</w:t>
            </w:r>
          </w:p>
        </w:tc>
        <w:tc>
          <w:tcPr>
            <w:tcW w:w="1276" w:type="dxa"/>
          </w:tcPr>
          <w:p>
            <w:pPr>
              <w:pStyle w:val="nTable"/>
              <w:spacing w:after="40"/>
            </w:pPr>
            <w:r>
              <w:t>14 Jun 2013 p. 2243-6</w:t>
            </w:r>
          </w:p>
        </w:tc>
        <w:tc>
          <w:tcPr>
            <w:tcW w:w="2693" w:type="dxa"/>
          </w:tcPr>
          <w:p>
            <w:pPr>
              <w:pStyle w:val="nTable"/>
              <w:spacing w:after="40"/>
              <w:rPr>
                <w:snapToGrid w:val="0"/>
              </w:rPr>
            </w:pPr>
            <w:r>
              <w:rPr>
                <w:snapToGrid w:val="0"/>
              </w:rPr>
              <w:t>r. 1 and 2: 14 Jun 2013 (see r. 2(a));</w:t>
            </w:r>
            <w:r>
              <w:rPr>
                <w:snapToGrid w:val="0"/>
              </w:rPr>
              <w:br/>
              <w:t>Rules other than r. 1 and 2: 15 Jun 2013 (see r. 2(b))</w:t>
            </w:r>
          </w:p>
        </w:tc>
      </w:tr>
      <w:tr>
        <w:tc>
          <w:tcPr>
            <w:tcW w:w="3118" w:type="dxa"/>
          </w:tcPr>
          <w:p>
            <w:pPr>
              <w:pStyle w:val="nTable"/>
              <w:keepNext/>
              <w:spacing w:after="40"/>
              <w:rPr>
                <w:i/>
                <w:noProof/>
                <w:snapToGrid w:val="0"/>
              </w:rPr>
            </w:pPr>
            <w:r>
              <w:rPr>
                <w:i/>
                <w:noProof/>
                <w:snapToGrid w:val="0"/>
              </w:rPr>
              <w:t>Rules of Wagering Amendment Rules (No. 2) 2013</w:t>
            </w:r>
          </w:p>
        </w:tc>
        <w:tc>
          <w:tcPr>
            <w:tcW w:w="1276" w:type="dxa"/>
          </w:tcPr>
          <w:p>
            <w:pPr>
              <w:pStyle w:val="nTable"/>
              <w:keepNext/>
              <w:spacing w:after="40"/>
            </w:pPr>
            <w:r>
              <w:t>29 Nov 2013 p. 5468</w:t>
            </w:r>
            <w:r>
              <w:noBreakHyphen/>
              <w:t>72</w:t>
            </w:r>
          </w:p>
        </w:tc>
        <w:tc>
          <w:tcPr>
            <w:tcW w:w="2693" w:type="dxa"/>
          </w:tcPr>
          <w:p>
            <w:pPr>
              <w:pStyle w:val="nTable"/>
              <w:keepNext/>
              <w:spacing w:after="40"/>
              <w:rPr>
                <w:snapToGrid w:val="0"/>
              </w:rPr>
            </w:pPr>
            <w:r>
              <w:rPr>
                <w:bCs/>
                <w:snapToGrid w:val="0"/>
              </w:rPr>
              <w:t>r. 1 and 2: 29 Nov 2013 (see r. 2(a));</w:t>
            </w:r>
            <w:r>
              <w:rPr>
                <w:bCs/>
                <w:snapToGrid w:val="0"/>
              </w:rPr>
              <w:br/>
              <w:t>Rules other than r. 1 and 2: 30 Nov 2013 (see r. 2(b))</w:t>
            </w:r>
          </w:p>
        </w:tc>
      </w:tr>
      <w:tr>
        <w:tc>
          <w:tcPr>
            <w:tcW w:w="3118" w:type="dxa"/>
          </w:tcPr>
          <w:p>
            <w:pPr>
              <w:pStyle w:val="nTable"/>
              <w:keepNext/>
              <w:spacing w:after="40"/>
              <w:rPr>
                <w:i/>
                <w:noProof/>
                <w:snapToGrid w:val="0"/>
              </w:rPr>
            </w:pPr>
            <w:r>
              <w:rPr>
                <w:i/>
                <w:noProof/>
                <w:snapToGrid w:val="0"/>
              </w:rPr>
              <w:t>Rules of Wagering Amendment Rules 2014</w:t>
            </w:r>
          </w:p>
        </w:tc>
        <w:tc>
          <w:tcPr>
            <w:tcW w:w="1276" w:type="dxa"/>
          </w:tcPr>
          <w:p>
            <w:pPr>
              <w:pStyle w:val="nTable"/>
              <w:keepNext/>
              <w:spacing w:after="40"/>
            </w:pPr>
            <w:r>
              <w:t>16 Dec 2014 p. 4764</w:t>
            </w:r>
          </w:p>
        </w:tc>
        <w:tc>
          <w:tcPr>
            <w:tcW w:w="2693" w:type="dxa"/>
          </w:tcPr>
          <w:p>
            <w:pPr>
              <w:pStyle w:val="nTable"/>
              <w:keepNext/>
              <w:spacing w:after="40"/>
              <w:rPr>
                <w:bCs/>
                <w:snapToGrid w:val="0"/>
              </w:rPr>
            </w:pPr>
            <w:r>
              <w:rPr>
                <w:rFonts w:ascii="Times" w:hAnsi="Times"/>
                <w:bCs/>
                <w:snapToGrid w:val="0"/>
                <w:spacing w:val="-2"/>
              </w:rPr>
              <w:t>r. 1 and 2: 16 Dec 2014 (see r. 2(a));</w:t>
            </w:r>
            <w:r>
              <w:rPr>
                <w:rFonts w:ascii="Times" w:hAnsi="Times"/>
                <w:bCs/>
                <w:snapToGrid w:val="0"/>
                <w:spacing w:val="-2"/>
              </w:rPr>
              <w:br/>
              <w:t>Rules other than r. 1 and 2: 17 Dec 2014 (see r. 2(b))</w:t>
            </w:r>
          </w:p>
        </w:tc>
      </w:tr>
      <w:tr>
        <w:tc>
          <w:tcPr>
            <w:tcW w:w="3118" w:type="dxa"/>
          </w:tcPr>
          <w:p>
            <w:pPr>
              <w:pStyle w:val="nTable"/>
              <w:keepNext/>
              <w:spacing w:after="40"/>
              <w:rPr>
                <w:i/>
                <w:noProof/>
                <w:snapToGrid w:val="0"/>
              </w:rPr>
            </w:pPr>
            <w:r>
              <w:rPr>
                <w:i/>
                <w:noProof/>
                <w:snapToGrid w:val="0"/>
              </w:rPr>
              <w:t>Rules of Wagering Amendment Rules 2016</w:t>
            </w:r>
          </w:p>
        </w:tc>
        <w:tc>
          <w:tcPr>
            <w:tcW w:w="1276" w:type="dxa"/>
          </w:tcPr>
          <w:p>
            <w:pPr>
              <w:pStyle w:val="nTable"/>
              <w:keepNext/>
              <w:spacing w:after="40"/>
            </w:pPr>
            <w:r>
              <w:t>22 Mar 2016 p. 836</w:t>
            </w:r>
            <w:r>
              <w:noBreakHyphen/>
              <w:t>9</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22 Mar 2016 (see r. 2(a));</w:t>
            </w:r>
            <w:r>
              <w:rPr>
                <w:rFonts w:ascii="Times" w:hAnsi="Times"/>
                <w:bCs/>
                <w:snapToGrid w:val="0"/>
                <w:spacing w:val="-2"/>
              </w:rPr>
              <w:br/>
              <w:t>Rules other than r. 1 and 2: 23 Mar 2016 (see r. 2(b))</w:t>
            </w:r>
          </w:p>
        </w:tc>
      </w:tr>
      <w:tr>
        <w:tc>
          <w:tcPr>
            <w:tcW w:w="3118" w:type="dxa"/>
            <w:tcBorders>
              <w:bottom w:val="single" w:sz="4" w:space="0" w:color="auto"/>
            </w:tcBorders>
          </w:tcPr>
          <w:p>
            <w:pPr>
              <w:pStyle w:val="nTable"/>
              <w:keepNext/>
              <w:spacing w:after="40"/>
              <w:rPr>
                <w:i/>
                <w:noProof/>
                <w:snapToGrid w:val="0"/>
              </w:rPr>
            </w:pPr>
            <w:r>
              <w:rPr>
                <w:i/>
              </w:rPr>
              <w:t>Rules of Wagering Amendment Rules 2017</w:t>
            </w:r>
          </w:p>
        </w:tc>
        <w:tc>
          <w:tcPr>
            <w:tcW w:w="1276" w:type="dxa"/>
            <w:tcBorders>
              <w:bottom w:val="single" w:sz="4" w:space="0" w:color="auto"/>
            </w:tcBorders>
          </w:tcPr>
          <w:p>
            <w:pPr>
              <w:pStyle w:val="nTable"/>
              <w:keepNext/>
              <w:spacing w:after="40"/>
            </w:pPr>
            <w:r>
              <w:t>11 Aug 2017 p. 4354</w:t>
            </w:r>
            <w:r>
              <w:noBreakHyphen/>
              <w:t>5</w:t>
            </w:r>
          </w:p>
        </w:tc>
        <w:tc>
          <w:tcPr>
            <w:tcW w:w="2693" w:type="dxa"/>
            <w:tcBorders>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r. 1 and 2: 11 Aug 2017 (see r. 2(a));</w:t>
            </w:r>
            <w:r>
              <w:rPr>
                <w:rFonts w:ascii="Times" w:hAnsi="Times"/>
                <w:bCs/>
                <w:snapToGrid w:val="0"/>
                <w:spacing w:val="-2"/>
              </w:rPr>
              <w:br/>
              <w:t>Rules other than r. 1 and 2: 12 Aug 2017 (see r. 2(b))</w:t>
            </w:r>
          </w:p>
        </w:tc>
      </w:tr>
    </w:tbl>
    <w:p/>
    <w:p>
      <w:pPr>
        <w:sectPr>
          <w:headerReference w:type="even" r:id="rId29"/>
          <w:headerReference w:type="defaul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97" w:name="_Toc490126999"/>
      <w:r>
        <w:rPr>
          <w:sz w:val="28"/>
        </w:rPr>
        <w:t>Defined terms</w:t>
      </w:r>
      <w:bookmarkEnd w:id="1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 manual</w:t>
      </w:r>
      <w:r>
        <w:tab/>
        <w:t>63</w:t>
      </w:r>
    </w:p>
    <w:p>
      <w:pPr>
        <w:pStyle w:val="DefinedTerms"/>
      </w:pPr>
      <w:r>
        <w:t>agency settlement</w:t>
      </w:r>
      <w:r>
        <w:tab/>
        <w:t>63</w:t>
      </w:r>
    </w:p>
    <w:p>
      <w:pPr>
        <w:pStyle w:val="DefinedTerms"/>
      </w:pPr>
      <w:r>
        <w:t>all</w:t>
      </w:r>
      <w:r>
        <w:noBreakHyphen/>
        <w:t>up</w:t>
      </w:r>
      <w:r>
        <w:tab/>
        <w:t>3(1)</w:t>
      </w:r>
    </w:p>
    <w:p>
      <w:pPr>
        <w:pStyle w:val="DefinedTerms"/>
      </w:pPr>
      <w:r>
        <w:t>Australian totalisator</w:t>
      </w:r>
      <w:r>
        <w:tab/>
        <w:t>3(1)</w:t>
      </w:r>
    </w:p>
    <w:p>
      <w:pPr>
        <w:pStyle w:val="DefinedTerms"/>
      </w:pPr>
      <w:r>
        <w:t>bet</w:t>
      </w:r>
      <w:r>
        <w:tab/>
        <w:t>3(2)</w:t>
      </w:r>
    </w:p>
    <w:p>
      <w:pPr>
        <w:pStyle w:val="DefinedTerms"/>
      </w:pPr>
      <w:r>
        <w:t>bet back</w:t>
      </w:r>
      <w:r>
        <w:tab/>
        <w:t>3(1)</w:t>
      </w:r>
    </w:p>
    <w:p>
      <w:pPr>
        <w:pStyle w:val="DefinedTerms"/>
      </w:pPr>
      <w:r>
        <w:t>betting exchange</w:t>
      </w:r>
      <w:r>
        <w:tab/>
        <w:t>3(1)</w:t>
      </w:r>
    </w:p>
    <w:p>
      <w:pPr>
        <w:pStyle w:val="DefinedTerms"/>
      </w:pPr>
      <w:r>
        <w:t>bookmaker</w:t>
      </w:r>
      <w:r>
        <w:tab/>
        <w:t>3(1)</w:t>
      </w:r>
    </w:p>
    <w:p>
      <w:pPr>
        <w:pStyle w:val="DefinedTerms"/>
      </w:pPr>
      <w:r>
        <w:t>bookmaker’s manager</w:t>
      </w:r>
      <w:r>
        <w:tab/>
        <w:t>3(1)</w:t>
      </w:r>
    </w:p>
    <w:p>
      <w:pPr>
        <w:pStyle w:val="DefinedTerms"/>
      </w:pPr>
      <w:r>
        <w:t>cash</w:t>
      </w:r>
      <w:r>
        <w:tab/>
        <w:t>3(1)</w:t>
      </w:r>
    </w:p>
    <w:p>
      <w:pPr>
        <w:pStyle w:val="DefinedTerms"/>
      </w:pPr>
      <w:r>
        <w:t>Commission</w:t>
      </w:r>
      <w:r>
        <w:tab/>
        <w:t>3(1)</w:t>
      </w:r>
    </w:p>
    <w:p>
      <w:pPr>
        <w:pStyle w:val="DefinedTerms"/>
      </w:pPr>
      <w:r>
        <w:t>concession wager</w:t>
      </w:r>
      <w:r>
        <w:tab/>
        <w:t>3(1)</w:t>
      </w:r>
    </w:p>
    <w:p>
      <w:pPr>
        <w:pStyle w:val="DefinedTerms"/>
      </w:pPr>
      <w:r>
        <w:t>controlling authority</w:t>
      </w:r>
      <w:r>
        <w:tab/>
        <w:t>3(1)</w:t>
      </w:r>
    </w:p>
    <w:p>
      <w:pPr>
        <w:pStyle w:val="DefinedTerms"/>
      </w:pPr>
      <w:r>
        <w:t>depositor</w:t>
      </w:r>
      <w:r>
        <w:tab/>
        <w:t>3(1)</w:t>
      </w:r>
    </w:p>
    <w:p>
      <w:pPr>
        <w:pStyle w:val="DefinedTerms"/>
      </w:pPr>
      <w:r>
        <w:t>dividend</w:t>
      </w:r>
      <w:r>
        <w:tab/>
        <w:t>3(1)</w:t>
      </w:r>
    </w:p>
    <w:p>
      <w:pPr>
        <w:pStyle w:val="DefinedTerms"/>
      </w:pPr>
      <w:r>
        <w:t>domestic betting operator</w:t>
      </w:r>
      <w:r>
        <w:tab/>
        <w:t>44(1A)</w:t>
      </w:r>
    </w:p>
    <w:p>
      <w:pPr>
        <w:pStyle w:val="DefinedTerms"/>
      </w:pPr>
      <w:r>
        <w:t>doubles</w:t>
      </w:r>
      <w:r>
        <w:tab/>
        <w:t>3(1)</w:t>
      </w:r>
    </w:p>
    <w:p>
      <w:pPr>
        <w:pStyle w:val="DefinedTerms"/>
      </w:pPr>
      <w:r>
        <w:t>draw</w:t>
      </w:r>
      <w:r>
        <w:tab/>
        <w:t>28(2)</w:t>
      </w:r>
    </w:p>
    <w:p>
      <w:pPr>
        <w:pStyle w:val="DefinedTerms"/>
      </w:pPr>
      <w:r>
        <w:t>fixed odds wager</w:t>
      </w:r>
      <w:r>
        <w:tab/>
        <w:t>3(1)</w:t>
      </w:r>
    </w:p>
    <w:p>
      <w:pPr>
        <w:pStyle w:val="DefinedTerms"/>
      </w:pPr>
      <w:r>
        <w:t>flat commission method</w:t>
      </w:r>
      <w:r>
        <w:tab/>
        <w:t>16(2)</w:t>
      </w:r>
    </w:p>
    <w:p>
      <w:pPr>
        <w:pStyle w:val="DefinedTerms"/>
      </w:pPr>
      <w:r>
        <w:t>Flexi Bet</w:t>
      </w:r>
      <w:r>
        <w:tab/>
        <w:t>3(1)</w:t>
      </w:r>
    </w:p>
    <w:p>
      <w:pPr>
        <w:pStyle w:val="DefinedTerms"/>
      </w:pPr>
      <w:r>
        <w:t>footo</w:t>
      </w:r>
      <w:r>
        <w:tab/>
        <w:t>24</w:t>
      </w:r>
    </w:p>
    <w:p>
      <w:pPr>
        <w:pStyle w:val="DefinedTerms"/>
      </w:pPr>
      <w:r>
        <w:t>game pool</w:t>
      </w:r>
      <w:r>
        <w:tab/>
        <w:t>25(2)</w:t>
      </w:r>
    </w:p>
    <w:p>
      <w:pPr>
        <w:pStyle w:val="DefinedTerms"/>
      </w:pPr>
      <w:r>
        <w:t>internet wagering</w:t>
      </w:r>
      <w:r>
        <w:tab/>
        <w:t>3(1)</w:t>
      </w:r>
    </w:p>
    <w:p>
      <w:pPr>
        <w:pStyle w:val="DefinedTerms"/>
      </w:pPr>
      <w:r>
        <w:t>investor</w:t>
      </w:r>
      <w:r>
        <w:tab/>
        <w:t>3(1)</w:t>
      </w:r>
    </w:p>
    <w:p>
      <w:pPr>
        <w:pStyle w:val="DefinedTerms"/>
      </w:pPr>
      <w:r>
        <w:t>late scratched runner</w:t>
      </w:r>
      <w:r>
        <w:tab/>
        <w:t>56(1)</w:t>
      </w:r>
    </w:p>
    <w:p>
      <w:pPr>
        <w:pStyle w:val="DefinedTerms"/>
      </w:pPr>
      <w:r>
        <w:t>losing wagers method</w:t>
      </w:r>
      <w:r>
        <w:tab/>
        <w:t>16(2)</w:t>
      </w:r>
    </w:p>
    <w:p>
      <w:pPr>
        <w:pStyle w:val="DefinedTerms"/>
      </w:pPr>
      <w:r>
        <w:t>middle dividend</w:t>
      </w:r>
      <w:r>
        <w:tab/>
        <w:t>3(1)</w:t>
      </w:r>
    </w:p>
    <w:p>
      <w:pPr>
        <w:pStyle w:val="DefinedTerms"/>
      </w:pPr>
      <w:r>
        <w:t>multiple double</w:t>
      </w:r>
      <w:r>
        <w:tab/>
        <w:t>3(1)</w:t>
      </w:r>
    </w:p>
    <w:p>
      <w:pPr>
        <w:pStyle w:val="DefinedTerms"/>
      </w:pPr>
      <w:r>
        <w:t>no race</w:t>
      </w:r>
      <w:r>
        <w:tab/>
        <w:t>3(1)</w:t>
      </w:r>
    </w:p>
    <w:p>
      <w:pPr>
        <w:pStyle w:val="DefinedTerms"/>
      </w:pPr>
      <w:r>
        <w:t>novelty wager</w:t>
      </w:r>
      <w:r>
        <w:tab/>
        <w:t>3(1)</w:t>
      </w:r>
    </w:p>
    <w:p>
      <w:pPr>
        <w:pStyle w:val="DefinedTerms"/>
      </w:pPr>
      <w:r>
        <w:t>novelty wagers</w:t>
      </w:r>
      <w:r>
        <w:tab/>
        <w:t>17(1)</w:t>
      </w:r>
    </w:p>
    <w:p>
      <w:pPr>
        <w:pStyle w:val="DefinedTerms"/>
      </w:pPr>
      <w:r>
        <w:t>objection</w:t>
      </w:r>
      <w:r>
        <w:tab/>
        <w:t>3(1)</w:t>
      </w:r>
    </w:p>
    <w:p>
      <w:pPr>
        <w:pStyle w:val="DefinedTerms"/>
      </w:pPr>
      <w:r>
        <w:t>odds</w:t>
      </w:r>
      <w:r>
        <w:tab/>
        <w:t>49(1), 56(1)</w:t>
      </w:r>
    </w:p>
    <w:p>
      <w:pPr>
        <w:pStyle w:val="DefinedTerms"/>
      </w:pPr>
      <w:r>
        <w:t>odds portion</w:t>
      </w:r>
      <w:r>
        <w:tab/>
        <w:t>49(1)</w:t>
      </w:r>
    </w:p>
    <w:p>
      <w:pPr>
        <w:pStyle w:val="DefinedTerms"/>
      </w:pPr>
      <w:r>
        <w:t>official result</w:t>
      </w:r>
      <w:r>
        <w:tab/>
        <w:t>3(1)</w:t>
      </w:r>
    </w:p>
    <w:p>
      <w:pPr>
        <w:pStyle w:val="DefinedTerms"/>
      </w:pPr>
      <w:r>
        <w:t>on</w:t>
      </w:r>
      <w:r>
        <w:noBreakHyphen/>
        <w:t>course totalisator</w:t>
      </w:r>
      <w:r>
        <w:tab/>
        <w:t>3(1)</w:t>
      </w:r>
    </w:p>
    <w:p>
      <w:pPr>
        <w:pStyle w:val="DefinedTerms"/>
      </w:pPr>
      <w:r>
        <w:t>on</w:t>
      </w:r>
      <w:r>
        <w:noBreakHyphen/>
        <w:t>course totalisator manager</w:t>
      </w:r>
      <w:r>
        <w:tab/>
        <w:t>3(1)</w:t>
      </w:r>
    </w:p>
    <w:p>
      <w:pPr>
        <w:pStyle w:val="DefinedTerms"/>
      </w:pPr>
      <w:r>
        <w:t>participant</w:t>
      </w:r>
      <w:r>
        <w:tab/>
        <w:t>3(1)</w:t>
      </w:r>
    </w:p>
    <w:p>
      <w:pPr>
        <w:pStyle w:val="DefinedTerms"/>
      </w:pPr>
      <w:r>
        <w:t>percentage</w:t>
      </w:r>
      <w:r>
        <w:tab/>
        <w:t>56(1)</w:t>
      </w:r>
    </w:p>
    <w:p>
      <w:pPr>
        <w:pStyle w:val="DefinedTerms"/>
      </w:pPr>
      <w:r>
        <w:t>place wager</w:t>
      </w:r>
      <w:r>
        <w:tab/>
        <w:t>3(1)</w:t>
      </w:r>
    </w:p>
    <w:p>
      <w:pPr>
        <w:pStyle w:val="DefinedTerms"/>
      </w:pPr>
      <w:r>
        <w:t>play or pay</w:t>
      </w:r>
      <w:r>
        <w:tab/>
        <w:t>3(1)</w:t>
      </w:r>
    </w:p>
    <w:p>
      <w:pPr>
        <w:pStyle w:val="DefinedTerms"/>
      </w:pPr>
      <w:r>
        <w:t>play or pay wager</w:t>
      </w:r>
      <w:r>
        <w:tab/>
        <w:t>56(1)</w:t>
      </w:r>
    </w:p>
    <w:p>
      <w:pPr>
        <w:pStyle w:val="DefinedTerms"/>
      </w:pPr>
      <w:r>
        <w:t>prescribed commission</w:t>
      </w:r>
      <w:r>
        <w:tab/>
        <w:t>3(1)</w:t>
      </w:r>
    </w:p>
    <w:p>
      <w:pPr>
        <w:pStyle w:val="DefinedTerms"/>
      </w:pPr>
      <w:r>
        <w:t>pricing information body</w:t>
      </w:r>
      <w:r>
        <w:tab/>
        <w:t>3(1)</w:t>
      </w:r>
    </w:p>
    <w:p>
      <w:pPr>
        <w:pStyle w:val="DefinedTerms"/>
      </w:pPr>
      <w:r>
        <w:t>principal</w:t>
      </w:r>
      <w:r>
        <w:tab/>
        <w:t>37(2A)</w:t>
      </w:r>
    </w:p>
    <w:p>
      <w:pPr>
        <w:pStyle w:val="DefinedTerms"/>
      </w:pPr>
      <w:r>
        <w:t>PubTAB agreement</w:t>
      </w:r>
      <w:r>
        <w:tab/>
        <w:t>63</w:t>
      </w:r>
    </w:p>
    <w:p>
      <w:pPr>
        <w:pStyle w:val="DefinedTerms"/>
      </w:pPr>
      <w:r>
        <w:t>race</w:t>
      </w:r>
      <w:r>
        <w:tab/>
        <w:t>3(1)</w:t>
      </w:r>
    </w:p>
    <w:p>
      <w:pPr>
        <w:pStyle w:val="DefinedTerms"/>
      </w:pPr>
      <w:r>
        <w:t>relevant novelty wager</w:t>
      </w:r>
      <w:r>
        <w:tab/>
        <w:t>18A</w:t>
      </w:r>
    </w:p>
    <w:p>
      <w:pPr>
        <w:pStyle w:val="DefinedTerms"/>
      </w:pPr>
      <w:r>
        <w:t>relevant period</w:t>
      </w:r>
      <w:r>
        <w:tab/>
        <w:t>63</w:t>
      </w:r>
    </w:p>
    <w:p>
      <w:pPr>
        <w:pStyle w:val="DefinedTerms"/>
      </w:pPr>
      <w:r>
        <w:t>runner</w:t>
      </w:r>
      <w:r>
        <w:tab/>
        <w:t>3(1)</w:t>
      </w:r>
    </w:p>
    <w:p>
      <w:pPr>
        <w:pStyle w:val="DefinedTerms"/>
      </w:pPr>
      <w:r>
        <w:t>runs</w:t>
      </w:r>
      <w:r>
        <w:tab/>
        <w:t>28(2), 28(2)</w:t>
      </w:r>
    </w:p>
    <w:p>
      <w:pPr>
        <w:pStyle w:val="DefinedTerms"/>
      </w:pPr>
      <w:r>
        <w:t>RWWA</w:t>
      </w:r>
      <w:r>
        <w:tab/>
        <w:t>3(1)</w:t>
      </w:r>
    </w:p>
    <w:p>
      <w:pPr>
        <w:pStyle w:val="DefinedTerms"/>
      </w:pPr>
      <w:r>
        <w:t>RWWA Act</w:t>
      </w:r>
      <w:r>
        <w:tab/>
        <w:t>3(1)</w:t>
      </w:r>
    </w:p>
    <w:p>
      <w:pPr>
        <w:pStyle w:val="DefinedTerms"/>
      </w:pPr>
      <w:r>
        <w:t>RWWA Regulations</w:t>
      </w:r>
      <w:r>
        <w:tab/>
        <w:t>3(1)</w:t>
      </w:r>
    </w:p>
    <w:p>
      <w:pPr>
        <w:pStyle w:val="DefinedTerms"/>
      </w:pPr>
      <w:r>
        <w:t>scheduled starting time</w:t>
      </w:r>
      <w:r>
        <w:tab/>
        <w:t>3(1)</w:t>
      </w:r>
    </w:p>
    <w:p>
      <w:pPr>
        <w:pStyle w:val="DefinedTerms"/>
      </w:pPr>
      <w:r>
        <w:t>secondary winning wager</w:t>
      </w:r>
      <w:r>
        <w:tab/>
        <w:t>25(2)</w:t>
      </w:r>
    </w:p>
    <w:p>
      <w:pPr>
        <w:pStyle w:val="DefinedTerms"/>
      </w:pPr>
      <w:r>
        <w:t>sporting event</w:t>
      </w:r>
      <w:r>
        <w:tab/>
        <w:t>3(1)</w:t>
      </w:r>
    </w:p>
    <w:p>
      <w:pPr>
        <w:pStyle w:val="DefinedTerms"/>
      </w:pPr>
      <w:r>
        <w:t>sports tipping wager</w:t>
      </w:r>
      <w:r>
        <w:tab/>
        <w:t>24</w:t>
      </w:r>
    </w:p>
    <w:p>
      <w:pPr>
        <w:pStyle w:val="DefinedTerms"/>
      </w:pPr>
      <w:r>
        <w:t>stake</w:t>
      </w:r>
      <w:r>
        <w:tab/>
        <w:t>3(1)</w:t>
      </w:r>
    </w:p>
    <w:p>
      <w:pPr>
        <w:pStyle w:val="DefinedTerms"/>
      </w:pPr>
      <w:r>
        <w:t xml:space="preserve">starting price guarantee wager </w:t>
      </w:r>
      <w:r>
        <w:tab/>
        <w:t>3(1)</w:t>
      </w:r>
    </w:p>
    <w:p>
      <w:pPr>
        <w:pStyle w:val="DefinedTerms"/>
      </w:pPr>
      <w:r>
        <w:t>successful numbers</w:t>
      </w:r>
      <w:r>
        <w:tab/>
        <w:t>17(2)</w:t>
      </w:r>
    </w:p>
    <w:p>
      <w:pPr>
        <w:pStyle w:val="DefinedTerms"/>
      </w:pPr>
      <w:r>
        <w:t>sum percentage</w:t>
      </w:r>
      <w:r>
        <w:tab/>
        <w:t>56(1)</w:t>
      </w:r>
    </w:p>
    <w:p>
      <w:pPr>
        <w:pStyle w:val="DefinedTerms"/>
      </w:pPr>
      <w:r>
        <w:t>ticket</w:t>
      </w:r>
      <w:r>
        <w:tab/>
        <w:t>3(1)</w:t>
      </w:r>
    </w:p>
    <w:p>
      <w:pPr>
        <w:pStyle w:val="DefinedTerms"/>
      </w:pPr>
      <w:r>
        <w:t>tie</w:t>
      </w:r>
      <w:r>
        <w:tab/>
        <w:t>28(2)</w:t>
      </w:r>
    </w:p>
    <w:p>
      <w:pPr>
        <w:pStyle w:val="DefinedTerms"/>
      </w:pPr>
      <w:r>
        <w:t>top fluc wager</w:t>
      </w:r>
      <w:r>
        <w:tab/>
        <w:t>3(1)</w:t>
      </w:r>
    </w:p>
    <w:p>
      <w:pPr>
        <w:pStyle w:val="DefinedTerms"/>
      </w:pPr>
      <w:r>
        <w:t>totalisator</w:t>
      </w:r>
      <w:r>
        <w:tab/>
        <w:t>3(1), 44(1A)</w:t>
      </w:r>
    </w:p>
    <w:p>
      <w:pPr>
        <w:pStyle w:val="DefinedTerms"/>
      </w:pPr>
      <w:r>
        <w:t>totalisator agency</w:t>
      </w:r>
      <w:r>
        <w:tab/>
        <w:t>3(1)</w:t>
      </w:r>
    </w:p>
    <w:p>
      <w:pPr>
        <w:pStyle w:val="DefinedTerms"/>
      </w:pPr>
      <w:r>
        <w:t>totalisator operator</w:t>
      </w:r>
      <w:r>
        <w:tab/>
        <w:t>3(1), 16(1)</w:t>
      </w:r>
    </w:p>
    <w:p>
      <w:pPr>
        <w:pStyle w:val="DefinedTerms"/>
      </w:pPr>
      <w:r>
        <w:t>tote bet wager</w:t>
      </w:r>
      <w:r>
        <w:tab/>
        <w:t>3(1)</w:t>
      </w:r>
    </w:p>
    <w:p>
      <w:pPr>
        <w:pStyle w:val="DefinedTerms"/>
      </w:pPr>
      <w:r>
        <w:t>uncleared cheque</w:t>
      </w:r>
      <w:r>
        <w:tab/>
        <w:t>63</w:t>
      </w:r>
    </w:p>
    <w:p>
      <w:pPr>
        <w:pStyle w:val="DefinedTerms"/>
      </w:pPr>
      <w:r>
        <w:t>unit</w:t>
      </w:r>
      <w:r>
        <w:tab/>
        <w:t>3(1)</w:t>
      </w:r>
    </w:p>
    <w:p>
      <w:pPr>
        <w:pStyle w:val="DefinedTerms"/>
      </w:pPr>
      <w:r>
        <w:t>wager</w:t>
      </w:r>
      <w:r>
        <w:tab/>
        <w:t>3(2), 56(1)</w:t>
      </w:r>
    </w:p>
    <w:p>
      <w:pPr>
        <w:pStyle w:val="DefinedTerms"/>
      </w:pPr>
      <w:r>
        <w:t>wagering account</w:t>
      </w:r>
      <w:r>
        <w:tab/>
        <w:t>3(1)</w:t>
      </w:r>
    </w:p>
    <w:p>
      <w:pPr>
        <w:pStyle w:val="DefinedTerms"/>
      </w:pPr>
      <w:r>
        <w:t>walk</w:t>
      </w:r>
      <w:r>
        <w:noBreakHyphen/>
        <w:t>over</w:t>
      </w:r>
      <w:r>
        <w:tab/>
        <w:t>3(1)</w:t>
      </w:r>
    </w:p>
    <w:p>
      <w:pPr>
        <w:pStyle w:val="DefinedTerms"/>
      </w:pPr>
      <w:r>
        <w:t>win wager</w:t>
      </w:r>
      <w:r>
        <w:tab/>
        <w:t>3(1)</w:t>
      </w:r>
    </w:p>
    <w:p>
      <w:pPr>
        <w:pStyle w:val="DefinedTerms"/>
      </w:pPr>
      <w:r>
        <w:t>winning combinations</w:t>
      </w:r>
      <w:r>
        <w:tab/>
        <w:t>18(2)</w:t>
      </w:r>
    </w:p>
    <w:p>
      <w:pPr>
        <w:pStyle w:val="DefinedTerms"/>
      </w:pPr>
      <w:r>
        <w:t>winning relevant novelty wager combination</w:t>
      </w:r>
      <w:r>
        <w:tab/>
        <w:t>18A</w:t>
      </w:r>
    </w:p>
    <w:p>
      <w:pPr>
        <w:pStyle w:val="DefinedTerms"/>
      </w:pPr>
      <w:r>
        <w:t>winning wager</w:t>
      </w:r>
      <w:r>
        <w:tab/>
        <w:t>25(2)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7" w:name="Schedule"/>
    <w:bookmarkEnd w:id="1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bookmarkStart w:id="196" w:name="Compilation"/>
    <w:bookmarkEnd w:id="19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8" w:name="DefinedTerms"/>
    <w:bookmarkEnd w:id="19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9" w:name="Coversheet"/>
    <w:bookmarkEnd w:id="1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7D401A8"/>
    <w:multiLevelType w:val="singleLevel"/>
    <w:tmpl w:val="88F20B84"/>
    <w:lvl w:ilvl="0">
      <w:start w:val="1"/>
      <w:numFmt w:val="decimal"/>
      <w:lvlText w:val="%1."/>
      <w:lvlJc w:val="left"/>
      <w:pPr>
        <w:tabs>
          <w:tab w:val="num" w:pos="360"/>
        </w:tabs>
        <w:ind w:left="36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9084849"/>
    <w:docVar w:name="WAFER_20140109134525" w:val="RemoveTocBookmarks,RemoveUnusedBookmarks,RemoveLanguageTags,UsedStyles,ResetPageSize,UpdateArrangement"/>
    <w:docVar w:name="WAFER_20140109134525_GUID" w:val="8d5ed73a-c72f-4b4e-a926-36ab0e7a6412"/>
    <w:docVar w:name="WAFER_20140109135049" w:val="RemoveTocBookmarks,RunningHeaders"/>
    <w:docVar w:name="WAFER_20140109135049_GUID" w:val="f77621c1-4b4f-4e2d-ab32-98d966d86996"/>
    <w:docVar w:name="WAFER_20150720160857" w:val="ResetPageSize,UpdateArrangement,UpdateNTable"/>
    <w:docVar w:name="WAFER_20150720160857_GUID" w:val="622217ab-eae1-49d9-9190-ca122ea54e72"/>
    <w:docVar w:name="WAFER_20151112113630" w:val="UpdateStyles,UsedStyles"/>
    <w:docVar w:name="WAFER_20151112113630_GUID" w:val="b67d11dd-67da-4742-aa8d-dea23afda507"/>
    <w:docVar w:name="WAFER_20160419084849" w:val="UsedStyles"/>
    <w:docVar w:name="WAFER_20160419084849_GUID" w:val="66006baf-a83e-4a54-ab01-d9b8bb8373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1CC20B-AAA4-4963-AA61-956FBDE0F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92</Pages>
  <Words>23020</Words>
  <Characters>106583</Characters>
  <Application>Microsoft Office Word</Application>
  <DocSecurity>0</DocSecurity>
  <Lines>3229</Lines>
  <Paragraphs>1878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127725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2005 - 01-f0-01</dc:title>
  <dc:subject/>
  <dc:creator/>
  <cp:keywords/>
  <dc:description/>
  <cp:lastModifiedBy>svcMRProcess</cp:lastModifiedBy>
  <cp:revision>4</cp:revision>
  <cp:lastPrinted>2014-11-19T03:51:00Z</cp:lastPrinted>
  <dcterms:created xsi:type="dcterms:W3CDTF">2020-02-29T04:01:00Z</dcterms:created>
  <dcterms:modified xsi:type="dcterms:W3CDTF">2020-02-29T04:01:00Z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OwlsUID">
    <vt:i4>37424</vt:i4>
  </property>
  <property fmtid="{D5CDD505-2E9C-101B-9397-08002B2CF9AE}" pid="4" name="ReprintNo">
    <vt:lpwstr>1</vt:lpwstr>
  </property>
  <property fmtid="{D5CDD505-2E9C-101B-9397-08002B2CF9AE}" pid="5" name="ReprintedAsAt">
    <vt:filetime>2013-04-11T16:00:00Z</vt:filetime>
  </property>
  <property fmtid="{D5CDD505-2E9C-101B-9397-08002B2CF9AE}" pid="6" name="DocumentType">
    <vt:lpwstr>Reg</vt:lpwstr>
  </property>
  <property fmtid="{D5CDD505-2E9C-101B-9397-08002B2CF9AE}" pid="7" name="CommencementDate">
    <vt:lpwstr>20170812</vt:lpwstr>
  </property>
  <property fmtid="{D5CDD505-2E9C-101B-9397-08002B2CF9AE}" pid="8" name="AsAtDate">
    <vt:lpwstr>12 Aug 2017</vt:lpwstr>
  </property>
  <property fmtid="{D5CDD505-2E9C-101B-9397-08002B2CF9AE}" pid="9" name="Suffix">
    <vt:lpwstr>01-f0-01</vt:lpwstr>
  </property>
</Properties>
</file>