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(Bungardi Restricted Area)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_Toc490746150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_Toc490746151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w:t>
      </w:r>
      <w:r>
        <w:t>: Bungardi Aboriginal Community</w:t>
      </w:r>
      <w:r>
        <w:tab/>
      </w:r>
      <w:r>
        <w:fldChar w:fldCharType="begin"/>
      </w:r>
      <w:r>
        <w:instrText xml:space="preserve"> PAGEREF _Toc490746152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_Toc490746153 \h </w:instrText>
      </w:r>
      <w:r>
        <w:fldChar w:fldCharType="separate"/>
      </w:r>
      <w:r>
        <w:t>2</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_Toc490746154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_Toc490746155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Bungardi Aboriginal Community</w:t>
      </w:r>
      <w:r>
        <w:tab/>
      </w:r>
      <w:r>
        <w:fldChar w:fldCharType="begin"/>
      </w:r>
      <w:r>
        <w:instrText xml:space="preserve"> PAGEREF _Toc490746156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_Toc490746157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_Toc490746158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_Toc490746160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Liquor Control Act 1988</w:t>
      </w:r>
    </w:p>
    <w:p>
      <w:pPr>
        <w:pStyle w:val="NameofActReg"/>
      </w:pPr>
      <w:r>
        <w:t>Liquor Control (Bungardi Restricted Area) Regulations 2017</w:t>
      </w:r>
    </w:p>
    <w:p>
      <w:pPr>
        <w:pStyle w:val="Heading5"/>
      </w:pPr>
      <w:bookmarkStart w:id="3" w:name="_Toc484765818"/>
      <w:bookmarkStart w:id="4" w:name="_Toc484765831"/>
      <w:bookmarkStart w:id="5" w:name="_Toc490746150"/>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7" w:name="_Toc484765819"/>
      <w:bookmarkStart w:id="8" w:name="_Toc484765832"/>
      <w:bookmarkStart w:id="9" w:name="_Toc490746151"/>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10" w:name="_Toc484765820"/>
      <w:bookmarkStart w:id="11" w:name="_Toc484765833"/>
      <w:bookmarkStart w:id="12" w:name="_Toc490746152"/>
      <w:r>
        <w:rPr>
          <w:rStyle w:val="CharSectno"/>
        </w:rPr>
        <w:t>3</w:t>
      </w:r>
      <w:r>
        <w:rPr>
          <w:snapToGrid w:val="0"/>
        </w:rPr>
        <w:t>.</w:t>
      </w:r>
      <w:r>
        <w:rPr>
          <w:snapToGrid w:val="0"/>
        </w:rPr>
        <w:tab/>
        <w:t>Term used</w:t>
      </w:r>
      <w:r>
        <w:t>: Bungardi Aboriginal Community</w:t>
      </w:r>
      <w:bookmarkEnd w:id="10"/>
      <w:bookmarkEnd w:id="11"/>
      <w:bookmarkEnd w:id="12"/>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pPr>
      <w:r>
        <w:tab/>
        <w:t>(b)</w:t>
      </w:r>
      <w:r>
        <w:tab/>
        <w:t>being part of Lot 289 Crown Reserve 45608, part of Lot 277 Crown Reserve 45046 and part of Lot 290 Crown Reserve 45609.</w:t>
      </w:r>
    </w:p>
    <w:p>
      <w:pPr>
        <w:pStyle w:val="Heading5"/>
      </w:pPr>
      <w:bookmarkStart w:id="13" w:name="_Toc484765821"/>
      <w:bookmarkStart w:id="14" w:name="_Toc484765834"/>
      <w:bookmarkStart w:id="15" w:name="_Toc490746153"/>
      <w:r>
        <w:rPr>
          <w:rStyle w:val="CharSectno"/>
        </w:rPr>
        <w:t>4</w:t>
      </w:r>
      <w:r>
        <w:t>.</w:t>
      </w:r>
      <w:r>
        <w:tab/>
        <w:t>Note is not part of regulation</w:t>
      </w:r>
      <w:bookmarkEnd w:id="13"/>
      <w:bookmarkEnd w:id="14"/>
      <w:bookmarkEnd w:id="15"/>
    </w:p>
    <w:p>
      <w:pPr>
        <w:pStyle w:val="Subsection"/>
      </w:pPr>
      <w:r>
        <w:tab/>
      </w:r>
      <w:r>
        <w:tab/>
        <w:t>The note after regulation 9 does not form part of these regulations.</w:t>
      </w:r>
    </w:p>
    <w:p>
      <w:pPr>
        <w:pStyle w:val="Heading5"/>
      </w:pPr>
      <w:bookmarkStart w:id="16" w:name="_Toc484765822"/>
      <w:bookmarkStart w:id="17" w:name="_Toc484765835"/>
      <w:bookmarkStart w:id="18" w:name="_Toc490746154"/>
      <w:r>
        <w:rPr>
          <w:rStyle w:val="CharSectno"/>
        </w:rPr>
        <w:t>5</w:t>
      </w:r>
      <w:r>
        <w:t>.</w:t>
      </w:r>
      <w:r>
        <w:tab/>
        <w:t>Declaration of restricted area</w:t>
      </w:r>
      <w:bookmarkEnd w:id="16"/>
      <w:bookmarkEnd w:id="17"/>
      <w:bookmarkEnd w:id="18"/>
    </w:p>
    <w:p>
      <w:pPr>
        <w:pStyle w:val="Subsection"/>
      </w:pPr>
      <w:r>
        <w:tab/>
      </w:r>
      <w:r>
        <w:tab/>
        <w:t>The Bungardi Aboriginal Community is declared to be a restricted area for the purposes of section 175(1a) of the Act.</w:t>
      </w:r>
    </w:p>
    <w:p>
      <w:pPr>
        <w:pStyle w:val="Heading5"/>
      </w:pPr>
      <w:bookmarkStart w:id="19" w:name="_Toc484765823"/>
      <w:bookmarkStart w:id="20" w:name="_Toc484765836"/>
      <w:bookmarkStart w:id="21" w:name="_Toc490746155"/>
      <w:r>
        <w:rPr>
          <w:rStyle w:val="CharSectno"/>
        </w:rPr>
        <w:t>6</w:t>
      </w:r>
      <w:r>
        <w:t>.</w:t>
      </w:r>
      <w:r>
        <w:tab/>
        <w:t>Notice of restricted area</w:t>
      </w:r>
      <w:bookmarkEnd w:id="19"/>
      <w:bookmarkEnd w:id="20"/>
      <w:bookmarkEnd w:id="21"/>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2" w:name="_Toc484765824"/>
      <w:bookmarkStart w:id="23" w:name="_Toc484765837"/>
      <w:bookmarkStart w:id="24" w:name="_Toc490746156"/>
      <w:r>
        <w:rPr>
          <w:rStyle w:val="CharSectno"/>
        </w:rPr>
        <w:t>7</w:t>
      </w:r>
      <w:r>
        <w:t>.</w:t>
      </w:r>
      <w:r>
        <w:tab/>
        <w:t>Prohibitions as to liquor in the Bungardi Aboriginal Community</w:t>
      </w:r>
      <w:bookmarkEnd w:id="22"/>
      <w:bookmarkEnd w:id="23"/>
      <w:bookmarkEnd w:id="24"/>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5" w:name="_Toc484765825"/>
      <w:bookmarkStart w:id="26" w:name="_Toc484765838"/>
      <w:bookmarkStart w:id="27" w:name="_Toc490746157"/>
      <w:r>
        <w:rPr>
          <w:rStyle w:val="CharSectno"/>
        </w:rPr>
        <w:t>8</w:t>
      </w:r>
      <w:r>
        <w:t>.</w:t>
      </w:r>
      <w:r>
        <w:tab/>
        <w:t>Seizure and disposal of containers of liquor</w:t>
      </w:r>
      <w:bookmarkEnd w:id="25"/>
      <w:bookmarkEnd w:id="26"/>
      <w:bookmarkEnd w:id="2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8" w:name="_Toc484765826"/>
      <w:bookmarkStart w:id="29" w:name="_Toc484765839"/>
      <w:bookmarkStart w:id="30" w:name="_Toc490746158"/>
      <w:r>
        <w:rPr>
          <w:rStyle w:val="CharSectno"/>
        </w:rPr>
        <w:t>9</w:t>
      </w:r>
      <w:r>
        <w:t>.</w:t>
      </w:r>
      <w:r>
        <w:tab/>
        <w:t>Period during which these regulations have effect</w:t>
      </w:r>
      <w:bookmarkEnd w:id="28"/>
      <w:bookmarkEnd w:id="29"/>
      <w:bookmarkEnd w:id="30"/>
    </w:p>
    <w:p>
      <w:pPr>
        <w:pStyle w:val="Subsection"/>
      </w:pPr>
      <w:r>
        <w:tab/>
      </w:r>
      <w:r>
        <w:tab/>
        <w:t>Unless sooner repealed, these regulations have effect for the period that ends at the close of 19 August 2020.</w:t>
      </w:r>
    </w:p>
    <w:p>
      <w:pPr>
        <w:pStyle w:val="PermNoteHeading"/>
      </w:pPr>
      <w:r>
        <w:tab/>
        <w:t>Note for this regulation:</w:t>
      </w:r>
    </w:p>
    <w:p>
      <w:pPr>
        <w:pStyle w:val="PermNoteHeading"/>
        <w:ind w:left="1134" w:hanging="1134"/>
      </w:pPr>
      <w:r>
        <w:tab/>
        <w:t xml:space="preserve">Under the </w:t>
      </w:r>
      <w:r>
        <w:rPr>
          <w:i/>
        </w:rPr>
        <w:t>Liquor Control Act 1988</w:t>
      </w:r>
      <w:r>
        <w:t xml:space="preserve"> section 175(1d), these regulations expire at the end of the period referred to in regulation 9.</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31" w:name="_Toc435536039"/>
      <w:bookmarkStart w:id="32" w:name="_Toc436040061"/>
      <w:bookmarkStart w:id="33" w:name="_Toc436316037"/>
      <w:bookmarkStart w:id="34" w:name="_Toc436318590"/>
      <w:bookmarkStart w:id="35" w:name="_Toc455069195"/>
      <w:bookmarkStart w:id="36" w:name="_Toc455069219"/>
      <w:bookmarkStart w:id="37" w:name="_Toc455142181"/>
      <w:bookmarkStart w:id="38" w:name="_Toc456867013"/>
      <w:bookmarkStart w:id="39" w:name="_Toc490736309"/>
      <w:bookmarkStart w:id="40" w:name="_Toc490736376"/>
      <w:bookmarkStart w:id="41" w:name="_Toc490746017"/>
      <w:bookmarkStart w:id="42" w:name="_Toc490746159"/>
      <w:r>
        <w:t>Notes</w:t>
      </w:r>
      <w:bookmarkEnd w:id="31"/>
      <w:bookmarkEnd w:id="32"/>
      <w:bookmarkEnd w:id="33"/>
      <w:bookmarkEnd w:id="34"/>
      <w:bookmarkEnd w:id="35"/>
      <w:bookmarkEnd w:id="36"/>
      <w:bookmarkEnd w:id="37"/>
      <w:bookmarkEnd w:id="38"/>
      <w:bookmarkEnd w:id="39"/>
      <w:bookmarkEnd w:id="40"/>
      <w:bookmarkEnd w:id="41"/>
      <w:bookmarkEnd w:id="42"/>
    </w:p>
    <w:p>
      <w:pPr>
        <w:pStyle w:val="nSubsection"/>
      </w:pPr>
      <w:r>
        <w:rPr>
          <w:vertAlign w:val="superscript"/>
        </w:rPr>
        <w:t>1</w:t>
      </w:r>
      <w:r>
        <w:tab/>
        <w:t xml:space="preserve">This is a compilation of the </w:t>
      </w:r>
      <w:r>
        <w:rPr>
          <w:i/>
        </w:rPr>
        <w:t>Liquor Control (Bungardi Restricted Area) Regulations 2017</w:t>
      </w:r>
      <w:r>
        <w:rPr>
          <w:vertAlign w:val="superscript"/>
        </w:rPr>
        <w:t> 2</w:t>
      </w:r>
      <w:r>
        <w:t>.</w:t>
      </w:r>
    </w:p>
    <w:p>
      <w:pPr>
        <w:pStyle w:val="nHeading3"/>
      </w:pPr>
      <w:bookmarkStart w:id="43" w:name="_Toc456867014"/>
      <w:bookmarkStart w:id="44" w:name="_Toc490746160"/>
      <w:r>
        <w:t>Compilation table</w:t>
      </w:r>
      <w:bookmarkEnd w:id="43"/>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8" w:space="0" w:color="auto"/>
            </w:tcBorders>
          </w:tcPr>
          <w:p>
            <w:pPr>
              <w:pStyle w:val="nTable"/>
              <w:spacing w:after="40"/>
            </w:pPr>
            <w:r>
              <w:rPr>
                <w:i/>
              </w:rPr>
              <w:t>Liquor Control (Bungardi Restricted Area) Regulations 2017</w:t>
            </w:r>
          </w:p>
        </w:tc>
        <w:tc>
          <w:tcPr>
            <w:tcW w:w="1276" w:type="dxa"/>
            <w:tcBorders>
              <w:bottom w:val="single" w:sz="8" w:space="0" w:color="auto"/>
            </w:tcBorders>
          </w:tcPr>
          <w:p>
            <w:pPr>
              <w:pStyle w:val="nTable"/>
              <w:spacing w:after="40"/>
            </w:pPr>
            <w:r>
              <w:t>18 Aug 2017 p. 4448</w:t>
            </w:r>
            <w:r>
              <w:noBreakHyphen/>
              <w:t>50</w:t>
            </w:r>
          </w:p>
        </w:tc>
        <w:tc>
          <w:tcPr>
            <w:tcW w:w="2693" w:type="dxa"/>
            <w:tcBorders>
              <w:bottom w:val="single" w:sz="8" w:space="0" w:color="auto"/>
            </w:tcBorders>
          </w:tcPr>
          <w:p>
            <w:pPr>
              <w:pStyle w:val="nTable"/>
              <w:spacing w:after="40"/>
            </w:pPr>
            <w:r>
              <w:t>r. 1 and 2: 18 Aug 2017 (see r. 2(a));</w:t>
            </w:r>
            <w:r>
              <w:br/>
              <w:t>Regulations other than r. 1 and 2: 19 Aug 2017 (see r. 2(b))</w:t>
            </w:r>
          </w:p>
        </w:tc>
      </w:tr>
    </w:tbl>
    <w:p>
      <w:pPr>
        <w:pStyle w:val="nSubsection"/>
      </w:pPr>
      <w:r>
        <w:rPr>
          <w:vertAlign w:val="superscript"/>
        </w:rPr>
        <w:t>2</w:t>
      </w:r>
      <w:r>
        <w:tab/>
        <w:t>These regulations expire 19 Aug 2020 (see r. 9).</w:t>
      </w:r>
    </w:p>
    <w:p/>
    <w:p>
      <w:pPr>
        <w:sectPr>
          <w:headerReference w:type="even" r:id="rId24"/>
          <w:headerReference w:type="default" r:id="rId25"/>
          <w:pgSz w:w="11907" w:h="16840" w:code="9"/>
          <w:pgMar w:top="2376" w:right="2404" w:bottom="3544" w:left="2404" w:header="720" w:footer="3379" w:gutter="0"/>
          <w:cols w:space="720"/>
          <w:noEndnote/>
          <w:docGrid w:linePitch="326"/>
        </w:sectPr>
      </w:pPr>
    </w:p>
    <w:p>
      <w:pPr>
        <w:pStyle w:val="nHeading2"/>
        <w:rPr>
          <w:sz w:val="28"/>
        </w:rPr>
      </w:pPr>
      <w:bookmarkStart w:id="46" w:name="_Toc490736311"/>
      <w:bookmarkStart w:id="47" w:name="_Toc490736378"/>
      <w:bookmarkStart w:id="48" w:name="_Toc490746019"/>
      <w:bookmarkStart w:id="49" w:name="_Toc490746161"/>
      <w:r>
        <w:rPr>
          <w:sz w:val="28"/>
        </w:rPr>
        <w:t>Defined terms</w:t>
      </w:r>
      <w:bookmarkEnd w:id="46"/>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Bungardi Aboriginal Community</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090955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50DB9-88C9-404B-B1B6-336573FBF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796</Words>
  <Characters>3968</Characters>
  <Application>Microsoft Office Word</Application>
  <DocSecurity>0</DocSecurity>
  <Lines>141</Lines>
  <Paragraphs>103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2017 - 00-a0-02</dc:title>
  <dc:subject/>
  <dc:creator/>
  <cp:keywords/>
  <dc:description/>
  <cp:lastModifiedBy>svcMRProcess</cp:lastModifiedBy>
  <cp:revision>4</cp:revision>
  <cp:lastPrinted>2017-08-17T07:26:00Z</cp:lastPrinted>
  <dcterms:created xsi:type="dcterms:W3CDTF">2019-01-17T06:32:00Z</dcterms:created>
  <dcterms:modified xsi:type="dcterms:W3CDTF">2019-01-17T06:32:00Z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20170819</vt:lpwstr>
  </property>
  <property fmtid="{D5CDD505-2E9C-101B-9397-08002B2CF9AE}" pid="8" name="AsAtDate">
    <vt:lpwstr>19 Aug 2017</vt:lpwstr>
  </property>
  <property fmtid="{D5CDD505-2E9C-101B-9397-08002B2CF9AE}" pid="9" name="Suffix">
    <vt:lpwstr>00-a0-02</vt:lpwstr>
  </property>
</Properties>
</file>