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_Toc491867697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_Toc491867698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_Toc491867699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_Toc491867700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_Toc491867701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Hearings by telephone</w:t>
      </w:r>
      <w:r>
        <w:tab/>
      </w:r>
      <w:r>
        <w:fldChar w:fldCharType="begin"/>
      </w:r>
      <w:r>
        <w:instrText xml:space="preserve"> PAGEREF _Toc491867704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_Toc491867706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_Toc491867708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_Toc491867709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_Toc491867711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appeal to single judge</w:t>
      </w:r>
      <w:r>
        <w:tab/>
      </w:r>
      <w:r>
        <w:fldChar w:fldCharType="begin"/>
      </w:r>
      <w:r>
        <w:instrText xml:space="preserve"> PAGEREF _Toc491867712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_Toc491867713 \h </w:instrText>
      </w:r>
      <w:r>
        <w:fldChar w:fldCharType="separate"/>
      </w:r>
      <w:r>
        <w:t>9</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_Toc491867714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the registrar</w:t>
      </w:r>
    </w:p>
    <w:p>
      <w:pPr>
        <w:pStyle w:val="TOC8"/>
        <w:rPr>
          <w:rFonts w:asciiTheme="minorHAnsi" w:eastAsiaTheme="minorEastAsia" w:hAnsiTheme="minorHAnsi" w:cstheme="minorBidi"/>
          <w:szCs w:val="22"/>
        </w:rPr>
      </w:pPr>
      <w:r>
        <w:t>14.</w:t>
      </w:r>
      <w:r>
        <w:tab/>
        <w:t>Interpretation</w:t>
      </w:r>
      <w:r>
        <w:tab/>
      </w:r>
      <w:r>
        <w:fldChar w:fldCharType="begin"/>
      </w:r>
      <w:r>
        <w:instrText xml:space="preserve"> PAGEREF _Toc491867716 \h </w:instrText>
      </w:r>
      <w:r>
        <w:fldChar w:fldCharType="separate"/>
      </w:r>
      <w:r>
        <w:t>10</w:t>
      </w:r>
      <w:r>
        <w:fldChar w:fldCharType="end"/>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_Toc491867717 \h </w:instrText>
      </w:r>
      <w:r>
        <w:fldChar w:fldCharType="separate"/>
      </w:r>
      <w:r>
        <w:t>10</w:t>
      </w:r>
      <w:r>
        <w:fldChar w:fldCharType="end"/>
      </w:r>
    </w:p>
    <w:p>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_Toc491867718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Non-attendance by party, consequences of</w:t>
      </w:r>
      <w:r>
        <w:tab/>
      </w:r>
      <w:r>
        <w:fldChar w:fldCharType="begin"/>
      </w:r>
      <w:r>
        <w:instrText xml:space="preserve"> PAGEREF _Toc491867720 \h </w:instrText>
      </w:r>
      <w:r>
        <w:fldChar w:fldCharType="separate"/>
      </w:r>
      <w:r>
        <w:t>11</w:t>
      </w:r>
      <w:r>
        <w:fldChar w:fldCharType="end"/>
      </w:r>
    </w:p>
    <w:p>
      <w:pPr>
        <w:pStyle w:val="TOC8"/>
        <w:rPr>
          <w:rFonts w:asciiTheme="minorHAnsi" w:eastAsiaTheme="minorEastAsia" w:hAnsiTheme="minorHAnsi" w:cstheme="minorBidi"/>
          <w:szCs w:val="22"/>
        </w:rPr>
      </w:pPr>
      <w:r>
        <w:t>18.</w:t>
      </w:r>
      <w:r>
        <w:tab/>
        <w:t>Decisions made in absence of a party</w:t>
      </w:r>
      <w:r>
        <w:tab/>
      </w:r>
      <w:r>
        <w:fldChar w:fldCharType="begin"/>
      </w:r>
      <w:r>
        <w:instrText xml:space="preserve"> PAGEREF _Toc491867721 \h </w:instrText>
      </w:r>
      <w:r>
        <w:fldChar w:fldCharType="separate"/>
      </w:r>
      <w:r>
        <w:t>11</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_Toc491867722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Forms, completion of</w:t>
      </w:r>
      <w:r>
        <w:tab/>
      </w:r>
      <w:r>
        <w:fldChar w:fldCharType="begin"/>
      </w:r>
      <w:r>
        <w:instrText xml:space="preserve"> PAGEREF _Toc491867724 \h </w:instrText>
      </w:r>
      <w:r>
        <w:fldChar w:fldCharType="separate"/>
      </w:r>
      <w:r>
        <w:t>13</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_Toc491867725 \h </w:instrText>
      </w:r>
      <w:r>
        <w:fldChar w:fldCharType="separate"/>
      </w:r>
      <w:r>
        <w:t>14</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_Toc491867726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lawyers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_Toc491867728 \h </w:instrText>
      </w:r>
      <w:r>
        <w:fldChar w:fldCharType="separate"/>
      </w:r>
      <w:r>
        <w:t>16</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_Toc491867729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_Toc491867732 \h </w:instrText>
      </w:r>
      <w:r>
        <w:fldChar w:fldCharType="separate"/>
      </w:r>
      <w:r>
        <w:t>17</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_Toc491867733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_Toc491867735 \h </w:instrText>
      </w:r>
      <w:r>
        <w:fldChar w:fldCharType="separate"/>
      </w:r>
      <w:r>
        <w:t>17</w:t>
      </w:r>
      <w:r>
        <w:fldChar w:fldCharType="end"/>
      </w:r>
    </w:p>
    <w:p>
      <w:pPr>
        <w:pStyle w:val="TOC8"/>
        <w:rPr>
          <w:rFonts w:asciiTheme="minorHAnsi" w:eastAsiaTheme="minorEastAsia" w:hAnsiTheme="minorHAnsi" w:cstheme="minorBidi"/>
          <w:szCs w:val="22"/>
        </w:rPr>
      </w:pPr>
      <w:r>
        <w:t>28.</w:t>
      </w:r>
      <w:r>
        <w:tab/>
        <w:t>Criminal appeal, how to commence</w:t>
      </w:r>
      <w:r>
        <w:tab/>
      </w:r>
      <w:r>
        <w:fldChar w:fldCharType="begin"/>
      </w:r>
      <w:r>
        <w:instrText xml:space="preserve"> PAGEREF _Toc491867736 \h </w:instrText>
      </w:r>
      <w:r>
        <w:fldChar w:fldCharType="separate"/>
      </w:r>
      <w:r>
        <w:t>17</w:t>
      </w:r>
      <w:r>
        <w:fldChar w:fldCharType="end"/>
      </w:r>
    </w:p>
    <w:p>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_Toc491867737 \h </w:instrText>
      </w:r>
      <w:r>
        <w:fldChar w:fldCharType="separate"/>
      </w:r>
      <w:r>
        <w:t>18</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_Toc491867738 \h </w:instrText>
      </w:r>
      <w:r>
        <w:fldChar w:fldCharType="separate"/>
      </w:r>
      <w:r>
        <w:t>19</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_Toc491867739 \h </w:instrText>
      </w:r>
      <w:r>
        <w:fldChar w:fldCharType="separate"/>
      </w:r>
      <w:r>
        <w:t>20</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_Toc491867740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_Toc491867741 \h </w:instrText>
      </w:r>
      <w:r>
        <w:fldChar w:fldCharType="separate"/>
      </w:r>
      <w:r>
        <w:t>24</w:t>
      </w:r>
      <w:r>
        <w:fldChar w:fldCharType="end"/>
      </w:r>
    </w:p>
    <w:p>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_Toc491867742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_Toc491867744 \h </w:instrText>
      </w:r>
      <w:r>
        <w:fldChar w:fldCharType="separate"/>
      </w:r>
      <w:r>
        <w:t>27</w:t>
      </w:r>
      <w:r>
        <w:fldChar w:fldCharType="end"/>
      </w:r>
    </w:p>
    <w:p>
      <w:pPr>
        <w:pStyle w:val="TOC8"/>
        <w:rPr>
          <w:rFonts w:asciiTheme="minorHAnsi" w:eastAsiaTheme="minorEastAsia" w:hAnsiTheme="minorHAnsi" w:cstheme="minorBidi"/>
          <w:szCs w:val="22"/>
        </w:rPr>
      </w:pPr>
      <w:r>
        <w:t>36.</w:t>
      </w:r>
      <w:r>
        <w:tab/>
        <w:t>Indexes, settling of</w:t>
      </w:r>
      <w:r>
        <w:tab/>
      </w:r>
      <w:r>
        <w:fldChar w:fldCharType="begin"/>
      </w:r>
      <w:r>
        <w:instrText xml:space="preserve"> PAGEREF _Toc491867745 \h </w:instrText>
      </w:r>
      <w:r>
        <w:fldChar w:fldCharType="separate"/>
      </w:r>
      <w:r>
        <w:t>27</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_Toc491867746 \h </w:instrText>
      </w:r>
      <w:r>
        <w:fldChar w:fldCharType="separate"/>
      </w:r>
      <w:r>
        <w:t>28</w:t>
      </w:r>
      <w:r>
        <w:fldChar w:fldCharType="end"/>
      </w:r>
    </w:p>
    <w:p>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_Toc491867747 \h </w:instrText>
      </w:r>
      <w:r>
        <w:fldChar w:fldCharType="separate"/>
      </w:r>
      <w:r>
        <w:t>29</w:t>
      </w:r>
      <w:r>
        <w:fldChar w:fldCharType="end"/>
      </w:r>
    </w:p>
    <w:p>
      <w:pPr>
        <w:pStyle w:val="TOC8"/>
        <w:rPr>
          <w:rFonts w:asciiTheme="minorHAnsi" w:eastAsiaTheme="minorEastAsia" w:hAnsiTheme="minorHAnsi" w:cstheme="minorBidi"/>
          <w:szCs w:val="22"/>
        </w:rPr>
      </w:pPr>
      <w:r>
        <w:t>39.</w:t>
      </w:r>
      <w:r>
        <w:tab/>
        <w:t>Appeal book, technical requirements</w:t>
      </w:r>
      <w:r>
        <w:tab/>
      </w:r>
      <w:r>
        <w:fldChar w:fldCharType="begin"/>
      </w:r>
      <w:r>
        <w:instrText xml:space="preserve"> PAGEREF _Toc491867748 \h </w:instrText>
      </w:r>
      <w:r>
        <w:fldChar w:fldCharType="separate"/>
      </w:r>
      <w:r>
        <w:t>32</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_Toc491867749 \h </w:instrText>
      </w:r>
      <w:r>
        <w:fldChar w:fldCharType="separate"/>
      </w:r>
      <w:r>
        <w:t>33</w:t>
      </w:r>
      <w:r>
        <w:fldChar w:fldCharType="end"/>
      </w:r>
    </w:p>
    <w:p>
      <w:pPr>
        <w:pStyle w:val="TOC8"/>
        <w:rPr>
          <w:rFonts w:asciiTheme="minorHAnsi" w:eastAsiaTheme="minorEastAsia" w:hAnsiTheme="minorHAnsi" w:cstheme="minorBidi"/>
          <w:szCs w:val="22"/>
        </w:rPr>
      </w:pPr>
      <w:r>
        <w:t>41.</w:t>
      </w:r>
      <w:r>
        <w:tab/>
        <w:t>Appeal books to be prepared etc. by appellant</w:t>
      </w:r>
      <w:r>
        <w:tab/>
      </w:r>
      <w:r>
        <w:fldChar w:fldCharType="begin"/>
      </w:r>
      <w:r>
        <w:instrText xml:space="preserve"> PAGEREF _Toc491867750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_Toc491867752 \h </w:instrText>
      </w:r>
      <w:r>
        <w:fldChar w:fldCharType="separate"/>
      </w:r>
      <w:r>
        <w:t>34</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_Toc491867753 \h </w:instrText>
      </w:r>
      <w:r>
        <w:fldChar w:fldCharType="separate"/>
      </w:r>
      <w:r>
        <w:t>34</w:t>
      </w:r>
      <w:r>
        <w:fldChar w:fldCharType="end"/>
      </w:r>
    </w:p>
    <w:p>
      <w:pPr>
        <w:pStyle w:val="TOC8"/>
        <w:rPr>
          <w:rFonts w:asciiTheme="minorHAnsi" w:eastAsiaTheme="minorEastAsia" w:hAnsiTheme="minorHAnsi" w:cstheme="minorBidi"/>
          <w:szCs w:val="22"/>
        </w:rPr>
      </w:pPr>
      <w:r>
        <w:t>44.</w:t>
      </w:r>
      <w:r>
        <w:tab/>
        <w:t>Interim order, applying for</w:t>
      </w:r>
      <w:r>
        <w:tab/>
      </w:r>
      <w:r>
        <w:fldChar w:fldCharType="begin"/>
      </w:r>
      <w:r>
        <w:instrText xml:space="preserve"> PAGEREF _Toc491867754 \h </w:instrText>
      </w:r>
      <w:r>
        <w:fldChar w:fldCharType="separate"/>
      </w:r>
      <w:r>
        <w:t>35</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_Toc491867755 \h </w:instrText>
      </w:r>
      <w:r>
        <w:fldChar w:fldCharType="separate"/>
      </w:r>
      <w:r>
        <w:t>36</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_Toc491867756 \h </w:instrText>
      </w:r>
      <w:r>
        <w:fldChar w:fldCharType="separate"/>
      </w:r>
      <w:r>
        <w:t>36</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_Toc491867757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_Toc491867758 \h </w:instrText>
      </w:r>
      <w:r>
        <w:fldChar w:fldCharType="separate"/>
      </w:r>
      <w:r>
        <w:t>38</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_Toc491867759 \h </w:instrText>
      </w:r>
      <w:r>
        <w:fldChar w:fldCharType="separate"/>
      </w:r>
      <w:r>
        <w:t>38</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_Toc491867760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_Toc491867762 \h </w:instrText>
      </w:r>
      <w:r>
        <w:fldChar w:fldCharType="separate"/>
      </w:r>
      <w:r>
        <w:t>39</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_Toc491867763 \h </w:instrText>
      </w:r>
      <w:r>
        <w:fldChar w:fldCharType="separate"/>
      </w:r>
      <w:r>
        <w:t>39</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_Toc491867764 \h </w:instrText>
      </w:r>
      <w:r>
        <w:fldChar w:fldCharType="separate"/>
      </w:r>
      <w:r>
        <w:t>39</w:t>
      </w:r>
      <w:r>
        <w:fldChar w:fldCharType="end"/>
      </w:r>
    </w:p>
    <w:p>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_Toc491867765 \h </w:instrText>
      </w:r>
      <w:r>
        <w:fldChar w:fldCharType="separate"/>
      </w:r>
      <w:r>
        <w:t>39</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_Toc491867766 \h </w:instrText>
      </w:r>
      <w:r>
        <w:fldChar w:fldCharType="separate"/>
      </w:r>
      <w:r>
        <w:t>39</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_Toc491867767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_Toc491867769 \h </w:instrText>
      </w:r>
      <w:r>
        <w:fldChar w:fldCharType="separate"/>
      </w:r>
      <w:r>
        <w:t>41</w:t>
      </w:r>
      <w:r>
        <w:fldChar w:fldCharType="end"/>
      </w:r>
    </w:p>
    <w:p>
      <w:pPr>
        <w:pStyle w:val="TOC8"/>
        <w:rPr>
          <w:rFonts w:asciiTheme="minorHAnsi" w:eastAsiaTheme="minorEastAsia" w:hAnsiTheme="minorHAnsi" w:cstheme="minorBidi"/>
          <w:szCs w:val="22"/>
        </w:rPr>
      </w:pPr>
      <w:r>
        <w:t>58.</w:t>
      </w:r>
      <w:r>
        <w:tab/>
        <w:t>Unreported judgments to be provided</w:t>
      </w:r>
      <w:r>
        <w:tab/>
      </w:r>
      <w:r>
        <w:fldChar w:fldCharType="begin"/>
      </w:r>
      <w:r>
        <w:instrText xml:space="preserve"> PAGEREF _Toc491867770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_Toc491867772 \h </w:instrText>
      </w:r>
      <w:r>
        <w:fldChar w:fldCharType="separate"/>
      </w:r>
      <w:r>
        <w:t>42</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_Toc491867773 \h </w:instrText>
      </w:r>
      <w:r>
        <w:fldChar w:fldCharType="separate"/>
      </w:r>
      <w:r>
        <w:t>42</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_Toc491867774 \h </w:instrText>
      </w:r>
      <w:r>
        <w:fldChar w:fldCharType="separate"/>
      </w:r>
      <w:r>
        <w:t>43</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_Toc491867775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_Toc491867776 \h </w:instrText>
      </w:r>
      <w:r>
        <w:fldChar w:fldCharType="separate"/>
      </w:r>
      <w:r>
        <w:t>44</w:t>
      </w:r>
      <w:r>
        <w:fldChar w:fldCharType="end"/>
      </w:r>
    </w:p>
    <w:p>
      <w:pPr>
        <w:pStyle w:val="TOC8"/>
        <w:rPr>
          <w:rFonts w:asciiTheme="minorHAnsi" w:eastAsiaTheme="minorEastAsia" w:hAnsiTheme="minorHAnsi" w:cstheme="minorBidi"/>
          <w:szCs w:val="22"/>
        </w:rPr>
      </w:pPr>
      <w:r>
        <w:t>64.</w:t>
      </w:r>
      <w:r>
        <w:tab/>
        <w:t>Return of exhibits</w:t>
      </w:r>
      <w:r>
        <w:tab/>
      </w:r>
      <w:r>
        <w:fldChar w:fldCharType="begin"/>
      </w:r>
      <w:r>
        <w:instrText xml:space="preserve"> PAGEREF _Toc491867777 \h </w:instrText>
      </w:r>
      <w:r>
        <w:fldChar w:fldCharType="separate"/>
      </w:r>
      <w:r>
        <w:t>44</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_Toc491867778 \h </w:instrText>
      </w:r>
      <w:r>
        <w:fldChar w:fldCharType="separate"/>
      </w:r>
      <w:r>
        <w:t>45</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_Toc491867779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_Toc491867781 \h </w:instrText>
      </w:r>
      <w:r>
        <w:fldChar w:fldCharType="separate"/>
      </w:r>
      <w:r>
        <w:t>47</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_Toc491867782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_Toc491867784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_Toc491867786 \h </w:instrText>
      </w:r>
      <w:r>
        <w:fldChar w:fldCharType="separate"/>
      </w:r>
      <w:r>
        <w:t>51</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_Toc491867787 \h </w:instrText>
      </w:r>
      <w:r>
        <w:fldChar w:fldCharType="separate"/>
      </w:r>
      <w:r>
        <w:t>53</w:t>
      </w:r>
      <w:r>
        <w:fldChar w:fldCharType="end"/>
      </w:r>
    </w:p>
    <w:p>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_Toc491867788 \h </w:instrText>
      </w:r>
      <w:r>
        <w:fldChar w:fldCharType="separate"/>
      </w:r>
      <w:r>
        <w:t>54</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_Toc491867789 \h </w:instrText>
      </w:r>
      <w:r>
        <w:fldChar w:fldCharType="separate"/>
      </w:r>
      <w:r>
        <w:t>55</w:t>
      </w:r>
      <w:r>
        <w:fldChar w:fldCharType="end"/>
      </w:r>
    </w:p>
    <w:p>
      <w:pPr>
        <w:pStyle w:val="TOC8"/>
        <w:rPr>
          <w:rFonts w:asciiTheme="minorHAnsi" w:eastAsiaTheme="minorEastAsia" w:hAnsiTheme="minorHAnsi" w:cstheme="minorBidi"/>
          <w:szCs w:val="22"/>
        </w:rPr>
      </w:pPr>
      <w:r>
        <w:t>5.</w:t>
      </w:r>
      <w:r>
        <w:tab/>
        <w:t>Lawyer’s notice of acting (Part 4)</w:t>
      </w:r>
      <w:r>
        <w:tab/>
      </w:r>
      <w:r>
        <w:fldChar w:fldCharType="begin"/>
      </w:r>
      <w:r>
        <w:instrText xml:space="preserve"> PAGEREF _Toc491867790 \h </w:instrText>
      </w:r>
      <w:r>
        <w:fldChar w:fldCharType="separate"/>
      </w:r>
      <w:r>
        <w:t>56</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_Toc491867791 \h </w:instrText>
      </w:r>
      <w:r>
        <w:fldChar w:fldCharType="separate"/>
      </w:r>
      <w:r>
        <w:t>57</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_Toc491867792 \h </w:instrText>
      </w:r>
      <w:r>
        <w:fldChar w:fldCharType="separate"/>
      </w:r>
      <w:r>
        <w:t>58</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_Toc491867793 \h </w:instrText>
      </w:r>
      <w:r>
        <w:fldChar w:fldCharType="separate"/>
      </w:r>
      <w:r>
        <w:t>59</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_Toc491867794 \h </w:instrText>
      </w:r>
      <w:r>
        <w:fldChar w:fldCharType="separate"/>
      </w:r>
      <w:r>
        <w:t>60</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_Toc491867795 \h </w:instrText>
      </w:r>
      <w:r>
        <w:fldChar w:fldCharType="separate"/>
      </w:r>
      <w:r>
        <w:t>60</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_Toc491867796 \h </w:instrText>
      </w:r>
      <w:r>
        <w:fldChar w:fldCharType="separate"/>
      </w:r>
      <w:r>
        <w:t>61</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_Toc491867797 \h </w:instrText>
      </w:r>
      <w:r>
        <w:fldChar w:fldCharType="separate"/>
      </w:r>
      <w:r>
        <w:t>61</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_Toc491867798 \h </w:instrText>
      </w:r>
      <w:r>
        <w:fldChar w:fldCharType="separate"/>
      </w:r>
      <w:r>
        <w:t>62</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_Toc491867799 \h </w:instrText>
      </w:r>
      <w:r>
        <w:fldChar w:fldCharType="separate"/>
      </w:r>
      <w:r>
        <w:t>63</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_Toc491867800 \h </w:instrText>
      </w:r>
      <w:r>
        <w:fldChar w:fldCharType="separate"/>
      </w:r>
      <w:r>
        <w:t>64</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_Toc491867801 \h </w:instrText>
      </w:r>
      <w:r>
        <w:fldChar w:fldCharType="separate"/>
      </w:r>
      <w:r>
        <w:t>64</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_Toc491867802 \h </w:instrText>
      </w:r>
      <w:r>
        <w:fldChar w:fldCharType="separate"/>
      </w:r>
      <w:r>
        <w:t>65</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_Toc491867803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_Toc491867805 \h </w:instrText>
      </w:r>
      <w:r>
        <w:fldChar w:fldCharType="separate"/>
      </w:r>
      <w:r>
        <w:t>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_Toc491867806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Supreme Court Act 1935</w:t>
      </w:r>
    </w:p>
    <w:p>
      <w:pPr>
        <w:pStyle w:val="NameofActReg"/>
      </w:pPr>
      <w:r>
        <w:t>Supreme Court (Court of Appeal) Rules 2005</w:t>
      </w:r>
    </w:p>
    <w:p>
      <w:pPr>
        <w:pStyle w:val="Heading2"/>
        <w:pageBreakBefore w:val="0"/>
      </w:pPr>
      <w:bookmarkStart w:id="3" w:name="_Toc379203814"/>
      <w:bookmarkStart w:id="4" w:name="_Toc379203924"/>
      <w:bookmarkStart w:id="5" w:name="_Toc425243268"/>
      <w:bookmarkStart w:id="6" w:name="_Toc490564784"/>
      <w:bookmarkStart w:id="7" w:name="_Toc491160499"/>
      <w:bookmarkStart w:id="8" w:name="_Toc491160611"/>
      <w:bookmarkStart w:id="9" w:name="_Toc4918676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9203925"/>
      <w:bookmarkStart w:id="11" w:name="_Toc491867697"/>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2" w:name="_Toc379203926"/>
      <w:bookmarkStart w:id="13" w:name="_Toc491867698"/>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4" w:name="_Toc379203927"/>
      <w:bookmarkStart w:id="15" w:name="_Toc491867699"/>
      <w:r>
        <w:rPr>
          <w:rStyle w:val="CharSectno"/>
        </w:rPr>
        <w:t>3</w:t>
      </w:r>
      <w:r>
        <w:t>.</w:t>
      </w:r>
      <w:r>
        <w:tab/>
        <w:t>Interpretation</w:t>
      </w:r>
      <w:bookmarkEnd w:id="14"/>
      <w:bookmarkEnd w:id="15"/>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rPr>
          <w:b/>
        </w:rPr>
        <w:tab/>
      </w:r>
      <w:r>
        <w:rPr>
          <w:rStyle w:val="CharDefText"/>
        </w:rPr>
        <w:t>decision</w:t>
      </w:r>
      <w:r>
        <w:t xml:space="preserve"> includes judgment, order and verdict;</w:t>
      </w:r>
    </w:p>
    <w:p>
      <w:pPr>
        <w:pStyle w:val="Defstart"/>
      </w:pPr>
      <w:r>
        <w:rPr>
          <w:b/>
        </w:rPr>
        <w:tab/>
      </w:r>
      <w:r>
        <w:rPr>
          <w:rStyle w:val="CharDefText"/>
        </w:rPr>
        <w:t>file</w:t>
      </w:r>
      <w:r>
        <w:t xml:space="preserve"> a document, means to file it at the Court of Appeal Office in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ind w:left="0" w:firstLine="0"/>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extending or shortening the time for obeying a requirement of these rules, other than the time for commencing an appeal;</w:t>
      </w:r>
    </w:p>
    <w:p>
      <w:pPr>
        <w:pStyle w:val="Defpara"/>
      </w:pPr>
      <w:r>
        <w:tab/>
        <w:t>(h)</w:t>
      </w:r>
      <w:r>
        <w:tab/>
        <w:t>any other order that the Court of Appeal may make before the appeal is concluded, other than an order giving or refusing to give leave to appeal;</w:t>
      </w:r>
    </w:p>
    <w:p>
      <w:pPr>
        <w:pStyle w:val="Defstart"/>
      </w:pPr>
      <w:r>
        <w:rPr>
          <w:b/>
        </w:rPr>
        <w:tab/>
      </w:r>
      <w:r>
        <w:rPr>
          <w:rStyle w:val="CharDefText"/>
        </w:rPr>
        <w:t>interlocutory civil appeal</w:t>
      </w:r>
      <w:r>
        <w:t xml:space="preserve"> means an appeal from an interlocutory decision made in civil proceedings in the General Division by a judge or master;</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rPr>
          <w:b/>
        </w:rPr>
        <w:t xml:space="preserve"> </w:t>
      </w:r>
      <w:r>
        <w:t>means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Heading5"/>
      </w:pPr>
      <w:bookmarkStart w:id="16" w:name="_Toc379203928"/>
      <w:bookmarkStart w:id="17" w:name="_Toc491867700"/>
      <w:r>
        <w:rPr>
          <w:rStyle w:val="CharSectno"/>
        </w:rPr>
        <w:t>4</w:t>
      </w:r>
      <w:r>
        <w:t>.</w:t>
      </w:r>
      <w:r>
        <w:tab/>
        <w:t>Application of these rules</w:t>
      </w:r>
      <w:bookmarkEnd w:id="16"/>
      <w:bookmarkEnd w:id="17"/>
    </w:p>
    <w:p>
      <w:pPr>
        <w:pStyle w:val="Subsection"/>
      </w:pPr>
      <w:r>
        <w:tab/>
        <w:t>(1)</w:t>
      </w:r>
      <w:r>
        <w:tab/>
        <w:t>These rules apply to and in respect of any CA matter.</w:t>
      </w:r>
    </w:p>
    <w:p>
      <w:pPr>
        <w:pStyle w:val="Subsection"/>
      </w:pPr>
      <w:r>
        <w:tab/>
        <w:t>(2)</w:t>
      </w:r>
      <w:r>
        <w:tab/>
        <w:t xml:space="preserve">If when these rules commence a CA matter is pending before the Court of Appeal, the RSC, or the </w:t>
      </w:r>
      <w:r>
        <w:rPr>
          <w:i/>
        </w:rPr>
        <w:t>Criminal Procedure Rules 2000</w:t>
      </w:r>
      <w:r>
        <w:t xml:space="preserve"> Part 12, as the case may be, as in force immediately before these rules commence, continue to apply to and in respect of the matter unless — </w:t>
      </w:r>
    </w:p>
    <w:p>
      <w:pPr>
        <w:pStyle w:val="Indenta"/>
      </w:pPr>
      <w:r>
        <w:tab/>
        <w:t>(a)</w:t>
      </w:r>
      <w:r>
        <w:tab/>
        <w:t>under a direction given under subrule (3), any of these rules apply to and in respect of the matter; or</w:t>
      </w:r>
    </w:p>
    <w:p>
      <w:pPr>
        <w:pStyle w:val="Indenta"/>
      </w:pPr>
      <w:r>
        <w:tab/>
        <w:t>(b)</w:t>
      </w:r>
      <w:r>
        <w:tab/>
        <w:t>a single judge orders that any or all of these rules shall apply to and in respect of the matter.</w:t>
      </w:r>
    </w:p>
    <w:p>
      <w:pPr>
        <w:pStyle w:val="Subsection"/>
      </w:pPr>
      <w:r>
        <w:tab/>
        <w:t>(3)</w:t>
      </w:r>
      <w:r>
        <w:tab/>
        <w:t>The President may direct that some of these rules (specified in the direction) apply to and in respect of a class of CA matters (specified in the direction).</w:t>
      </w:r>
    </w:p>
    <w:p>
      <w:pPr>
        <w:pStyle w:val="Heading5"/>
        <w:rPr>
          <w:i/>
        </w:rPr>
      </w:pPr>
      <w:bookmarkStart w:id="18" w:name="_Toc379203929"/>
      <w:bookmarkStart w:id="19" w:name="_Toc491867701"/>
      <w:r>
        <w:rPr>
          <w:rStyle w:val="CharSectno"/>
        </w:rPr>
        <w:t>5</w:t>
      </w:r>
      <w:r>
        <w:t>.</w:t>
      </w:r>
      <w:r>
        <w:tab/>
        <w:t xml:space="preserve">Application of the </w:t>
      </w:r>
      <w:r>
        <w:rPr>
          <w:i/>
        </w:rPr>
        <w:t>Rules of the Supreme Court 1971</w:t>
      </w:r>
      <w:bookmarkEnd w:id="18"/>
      <w:bookmarkEnd w:id="19"/>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20" w:name="_Toc379203820"/>
      <w:bookmarkStart w:id="21" w:name="_Toc379203930"/>
      <w:bookmarkStart w:id="22" w:name="_Toc425243274"/>
      <w:bookmarkStart w:id="23" w:name="_Toc490564790"/>
      <w:bookmarkStart w:id="24" w:name="_Toc491160505"/>
      <w:bookmarkStart w:id="25" w:name="_Toc491160617"/>
      <w:bookmarkStart w:id="26" w:name="_Toc491867702"/>
      <w:r>
        <w:rPr>
          <w:rStyle w:val="CharPartNo"/>
        </w:rPr>
        <w:t>Part 2</w:t>
      </w:r>
      <w:r>
        <w:t> — </w:t>
      </w:r>
      <w:r>
        <w:rPr>
          <w:rStyle w:val="CharPartText"/>
        </w:rPr>
        <w:t>Delegated jurisdiction</w:t>
      </w:r>
      <w:bookmarkEnd w:id="20"/>
      <w:bookmarkEnd w:id="21"/>
      <w:bookmarkEnd w:id="22"/>
      <w:bookmarkEnd w:id="23"/>
      <w:bookmarkEnd w:id="24"/>
      <w:bookmarkEnd w:id="25"/>
      <w:bookmarkEnd w:id="26"/>
    </w:p>
    <w:p>
      <w:pPr>
        <w:pStyle w:val="Heading3"/>
      </w:pPr>
      <w:bookmarkStart w:id="27" w:name="_Toc379203821"/>
      <w:bookmarkStart w:id="28" w:name="_Toc379203931"/>
      <w:bookmarkStart w:id="29" w:name="_Toc425243275"/>
      <w:bookmarkStart w:id="30" w:name="_Toc490564791"/>
      <w:bookmarkStart w:id="31" w:name="_Toc491160506"/>
      <w:bookmarkStart w:id="32" w:name="_Toc491160618"/>
      <w:bookmarkStart w:id="33" w:name="_Toc491867703"/>
      <w:r>
        <w:rPr>
          <w:rStyle w:val="CharDivNo"/>
        </w:rPr>
        <w:t>Division 1</w:t>
      </w:r>
      <w:r>
        <w:t> — </w:t>
      </w:r>
      <w:r>
        <w:rPr>
          <w:rStyle w:val="CharDivText"/>
        </w:rPr>
        <w:t>General</w:t>
      </w:r>
      <w:bookmarkEnd w:id="27"/>
      <w:bookmarkEnd w:id="28"/>
      <w:bookmarkEnd w:id="29"/>
      <w:bookmarkEnd w:id="30"/>
      <w:bookmarkEnd w:id="31"/>
      <w:bookmarkEnd w:id="32"/>
      <w:bookmarkEnd w:id="33"/>
    </w:p>
    <w:p>
      <w:pPr>
        <w:pStyle w:val="Heading5"/>
      </w:pPr>
      <w:bookmarkStart w:id="34" w:name="_Toc379203932"/>
      <w:bookmarkStart w:id="35" w:name="_Toc491867704"/>
      <w:r>
        <w:rPr>
          <w:rStyle w:val="CharSectno"/>
        </w:rPr>
        <w:t>6</w:t>
      </w:r>
      <w:r>
        <w:t>.</w:t>
      </w:r>
      <w:r>
        <w:tab/>
        <w:t>Hearings by telephone</w:t>
      </w:r>
      <w:bookmarkEnd w:id="34"/>
      <w:bookmarkEnd w:id="35"/>
    </w:p>
    <w:p>
      <w:pPr>
        <w:pStyle w:val="Subsection"/>
      </w:pPr>
      <w:r>
        <w:tab/>
        <w:t>(1)</w:t>
      </w:r>
      <w:r>
        <w:tab/>
        <w:t>A single judge or the registrar may conduct a hearing with one or more of the parties to a CA matter by telephone.</w:t>
      </w:r>
    </w:p>
    <w:p>
      <w:pPr>
        <w:pStyle w:val="Subsection"/>
      </w:pPr>
      <w:r>
        <w:tab/>
        <w:t>(2)</w:t>
      </w:r>
      <w:r>
        <w:tab/>
        <w:t>A hearing conducted by telephone is to be taken to be a hearing in the presence of the judge or registrar.</w:t>
      </w:r>
    </w:p>
    <w:p>
      <w:pPr>
        <w:pStyle w:val="Subsection"/>
      </w:pPr>
      <w:r>
        <w:tab/>
        <w:t>(3)</w:t>
      </w:r>
      <w:r>
        <w:tab/>
        <w:t>The registrar must confirm in writing any order made at such a hearing.</w:t>
      </w:r>
    </w:p>
    <w:p>
      <w:pPr>
        <w:pStyle w:val="Heading3"/>
        <w:rPr>
          <w:rStyle w:val="CharDivText"/>
        </w:rPr>
      </w:pPr>
      <w:bookmarkStart w:id="36" w:name="_Toc379203823"/>
      <w:bookmarkStart w:id="37" w:name="_Toc379203933"/>
      <w:bookmarkStart w:id="38" w:name="_Toc425243277"/>
      <w:bookmarkStart w:id="39" w:name="_Toc490564793"/>
      <w:bookmarkStart w:id="40" w:name="_Toc491160508"/>
      <w:bookmarkStart w:id="41" w:name="_Toc491160620"/>
      <w:bookmarkStart w:id="42" w:name="_Toc491867705"/>
      <w:r>
        <w:rPr>
          <w:rStyle w:val="CharDivNo"/>
        </w:rPr>
        <w:t>Division 2</w:t>
      </w:r>
      <w:r>
        <w:t> — </w:t>
      </w:r>
      <w:r>
        <w:rPr>
          <w:rStyle w:val="CharDivText"/>
        </w:rPr>
        <w:t>Single judge’s jurisdiction</w:t>
      </w:r>
      <w:bookmarkEnd w:id="36"/>
      <w:bookmarkEnd w:id="37"/>
      <w:bookmarkEnd w:id="38"/>
      <w:bookmarkEnd w:id="39"/>
      <w:bookmarkEnd w:id="40"/>
      <w:bookmarkEnd w:id="41"/>
      <w:bookmarkEnd w:id="42"/>
    </w:p>
    <w:p>
      <w:pPr>
        <w:pStyle w:val="Heading5"/>
      </w:pPr>
      <w:bookmarkStart w:id="43" w:name="_Toc379203934"/>
      <w:bookmarkStart w:id="44" w:name="_Toc491867706"/>
      <w:r>
        <w:rPr>
          <w:rStyle w:val="CharSectno"/>
        </w:rPr>
        <w:t>7</w:t>
      </w:r>
      <w:r>
        <w:t>.</w:t>
      </w:r>
      <w:r>
        <w:tab/>
        <w:t>General jurisdiction</w:t>
      </w:r>
      <w:bookmarkEnd w:id="43"/>
      <w:bookmarkEnd w:id="44"/>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 before a single judge.</w:t>
      </w:r>
    </w:p>
    <w:p>
      <w:pPr>
        <w:pStyle w:val="Subsection"/>
      </w:pPr>
      <w:r>
        <w:tab/>
        <w:t>(2)</w:t>
      </w:r>
      <w:r>
        <w:tab/>
        <w:t>If a single judge makes a decision on the basis of the documents filed without requiring the parties to attend a hearing, rule 19 applies.</w:t>
      </w:r>
    </w:p>
    <w:p>
      <w:pPr>
        <w:pStyle w:val="Heading3"/>
      </w:pPr>
      <w:bookmarkStart w:id="45" w:name="_Toc379203825"/>
      <w:bookmarkStart w:id="46" w:name="_Toc379203935"/>
      <w:bookmarkStart w:id="47" w:name="_Toc425243279"/>
      <w:bookmarkStart w:id="48" w:name="_Toc490564795"/>
      <w:bookmarkStart w:id="49" w:name="_Toc491160510"/>
      <w:bookmarkStart w:id="50" w:name="_Toc491160622"/>
      <w:bookmarkStart w:id="51" w:name="_Toc491867707"/>
      <w:r>
        <w:rPr>
          <w:rStyle w:val="CharDivNo"/>
        </w:rPr>
        <w:t>Division 3</w:t>
      </w:r>
      <w:r>
        <w:t> — </w:t>
      </w:r>
      <w:r>
        <w:rPr>
          <w:rStyle w:val="CharDivText"/>
        </w:rPr>
        <w:t>Reviewing decisions by a single judge</w:t>
      </w:r>
      <w:bookmarkEnd w:id="45"/>
      <w:bookmarkEnd w:id="46"/>
      <w:bookmarkEnd w:id="47"/>
      <w:bookmarkEnd w:id="48"/>
      <w:bookmarkEnd w:id="49"/>
      <w:bookmarkEnd w:id="50"/>
      <w:bookmarkEnd w:id="51"/>
    </w:p>
    <w:p>
      <w:pPr>
        <w:pStyle w:val="Heading5"/>
      </w:pPr>
      <w:bookmarkStart w:id="52" w:name="_Toc379203936"/>
      <w:bookmarkStart w:id="53" w:name="_Toc491867708"/>
      <w:r>
        <w:rPr>
          <w:rStyle w:val="CharSectno"/>
        </w:rPr>
        <w:t>8</w:t>
      </w:r>
      <w:r>
        <w:t>.</w:t>
      </w:r>
      <w:r>
        <w:tab/>
        <w:t>Application for review by Court of Appeal</w:t>
      </w:r>
      <w:bookmarkEnd w:id="52"/>
      <w:bookmarkEnd w:id="53"/>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Heading5"/>
      </w:pPr>
      <w:bookmarkStart w:id="54" w:name="_Toc379203937"/>
      <w:bookmarkStart w:id="55" w:name="_Toc491867709"/>
      <w:r>
        <w:rPr>
          <w:rStyle w:val="CharSectno"/>
        </w:rPr>
        <w:t>9</w:t>
      </w:r>
      <w:r>
        <w:t>.</w:t>
      </w:r>
      <w:r>
        <w:tab/>
        <w:t>Dealing with the application</w:t>
      </w:r>
      <w:bookmarkEnd w:id="54"/>
      <w:bookmarkEnd w:id="55"/>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56" w:name="_Toc379203828"/>
      <w:bookmarkStart w:id="57" w:name="_Toc379203938"/>
      <w:bookmarkStart w:id="58" w:name="_Toc425243282"/>
      <w:bookmarkStart w:id="59" w:name="_Toc490564798"/>
      <w:bookmarkStart w:id="60" w:name="_Toc491160513"/>
      <w:bookmarkStart w:id="61" w:name="_Toc491160625"/>
      <w:bookmarkStart w:id="62" w:name="_Toc491867710"/>
      <w:r>
        <w:rPr>
          <w:rStyle w:val="CharDivNo"/>
        </w:rPr>
        <w:t>Division 4</w:t>
      </w:r>
      <w:r>
        <w:t> — </w:t>
      </w:r>
      <w:r>
        <w:rPr>
          <w:rStyle w:val="CharDivText"/>
        </w:rPr>
        <w:t>Registrar’s jurisdiction</w:t>
      </w:r>
      <w:bookmarkEnd w:id="56"/>
      <w:bookmarkEnd w:id="57"/>
      <w:bookmarkEnd w:id="58"/>
      <w:bookmarkEnd w:id="59"/>
      <w:bookmarkEnd w:id="60"/>
      <w:bookmarkEnd w:id="61"/>
      <w:bookmarkEnd w:id="62"/>
    </w:p>
    <w:p>
      <w:pPr>
        <w:pStyle w:val="Heading5"/>
      </w:pPr>
      <w:bookmarkStart w:id="63" w:name="_Toc379203939"/>
      <w:bookmarkStart w:id="64" w:name="_Toc491867711"/>
      <w:r>
        <w:rPr>
          <w:rStyle w:val="CharSectno"/>
        </w:rPr>
        <w:t>10</w:t>
      </w:r>
      <w:r>
        <w:t>.</w:t>
      </w:r>
      <w:r>
        <w:tab/>
        <w:t>General jurisdiction</w:t>
      </w:r>
      <w:bookmarkEnd w:id="63"/>
      <w:bookmarkEnd w:id="64"/>
    </w:p>
    <w:p>
      <w:pPr>
        <w:pStyle w:val="Subsection"/>
      </w:pPr>
      <w:r>
        <w:tab/>
        <w:t>(1)</w:t>
      </w:r>
      <w:r>
        <w:tab/>
        <w:t>The registrar may refuse to accept for filing any document that is required or permitted by these rules if it does not obey these rules or any order made under these rules.</w:t>
      </w:r>
    </w:p>
    <w:p>
      <w:pPr>
        <w:pStyle w:val="Subsection"/>
      </w:pPr>
      <w:r>
        <w:tab/>
        <w:t>(2)</w:t>
      </w:r>
      <w:r>
        <w:tab/>
        <w:t>The registrar has the same jurisdiction in respect of a CA matter as a single judge has under these rules, but does not have jurisdiction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 or</w:t>
      </w:r>
    </w:p>
    <w:p>
      <w:pPr>
        <w:pStyle w:val="Indenta"/>
      </w:pPr>
      <w:r>
        <w:tab/>
        <w:t>(h)</w:t>
      </w:r>
      <w:r>
        <w:tab/>
        <w:t>to exercise the jurisdiction conferred on a single judge by rule 49(2) or 64(5).</w:t>
      </w:r>
    </w:p>
    <w:p>
      <w:pPr>
        <w:pStyle w:val="Subsection"/>
      </w:pPr>
      <w:r>
        <w:tab/>
        <w:t>(3)</w:t>
      </w:r>
      <w:r>
        <w:tab/>
        <w:t>For the purposes of exercising the jurisdiction conferred on the registrar, the registrar has the same jurisdiction as a single judge has under rule 7(1).</w:t>
      </w:r>
    </w:p>
    <w:p>
      <w:pPr>
        <w:pStyle w:val="Heading5"/>
      </w:pPr>
      <w:bookmarkStart w:id="65" w:name="_Toc379203940"/>
      <w:bookmarkStart w:id="66" w:name="_Toc491867712"/>
      <w:r>
        <w:rPr>
          <w:rStyle w:val="CharSectno"/>
        </w:rPr>
        <w:t>11</w:t>
      </w:r>
      <w:r>
        <w:t>.</w:t>
      </w:r>
      <w:r>
        <w:tab/>
        <w:t>Registrar may refer appeal to single judge</w:t>
      </w:r>
      <w:bookmarkEnd w:id="65"/>
      <w:bookmarkEnd w:id="66"/>
    </w:p>
    <w:p>
      <w:pPr>
        <w:pStyle w:val="Subsection"/>
        <w:keepNext/>
      </w:pPr>
      <w:r>
        <w:tab/>
        <w:t>(1)</w:t>
      </w:r>
      <w:r>
        <w:tab/>
        <w:t xml:space="preserve">The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the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Heading5"/>
      </w:pPr>
      <w:bookmarkStart w:id="67" w:name="_Toc379203941"/>
      <w:bookmarkStart w:id="68" w:name="_Toc491867713"/>
      <w:r>
        <w:rPr>
          <w:rStyle w:val="CharSectno"/>
        </w:rPr>
        <w:t>12</w:t>
      </w:r>
      <w:r>
        <w:t>.</w:t>
      </w:r>
      <w:r>
        <w:tab/>
        <w:t>Hearing before single judge or registrar, parties to be notified</w:t>
      </w:r>
      <w:bookmarkEnd w:id="67"/>
      <w:bookmarkEnd w:id="68"/>
    </w:p>
    <w:p>
      <w:pPr>
        <w:pStyle w:val="Subsection"/>
      </w:pPr>
      <w:r>
        <w:tab/>
        <w:t>(1)</w:t>
      </w:r>
      <w:r>
        <w:tab/>
        <w:t>If a single judge or the registrar decides that a hearing of any matter within, respectively, a single judge’s or the registrar’s jurisdiction is necessary, the registrar must notify the parties of the hearing.</w:t>
      </w:r>
    </w:p>
    <w:p>
      <w:pPr>
        <w:pStyle w:val="Subsection"/>
        <w:keepNext/>
      </w:pPr>
      <w:r>
        <w:tab/>
        <w:t>(2)</w:t>
      </w:r>
      <w:r>
        <w:tab/>
        <w:t xml:space="preserve">The notice issued by the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Subsection"/>
        <w:keepNext/>
      </w:pPr>
      <w:r>
        <w:tab/>
        <w:t>(4)</w:t>
      </w:r>
      <w:r>
        <w:tab/>
        <w:t>The notice to a party may be served —</w:t>
      </w:r>
    </w:p>
    <w:p>
      <w:pPr>
        <w:pStyle w:val="Indenta"/>
      </w:pPr>
      <w:r>
        <w:tab/>
        <w:t>(a)</w:t>
      </w:r>
      <w:r>
        <w:tab/>
        <w:t>by posting it to the party’s address for service;</w:t>
      </w:r>
    </w:p>
    <w:p>
      <w:pPr>
        <w:pStyle w:val="Indenta"/>
      </w:pPr>
      <w:r>
        <w:tab/>
        <w:t>(b)</w:t>
      </w:r>
      <w:r>
        <w:tab/>
        <w:t>if the party has given a fax number for service, by sending the notice to the party by fax at that number;</w:t>
      </w:r>
    </w:p>
    <w:p>
      <w:pPr>
        <w:pStyle w:val="Indenta"/>
      </w:pPr>
      <w:r>
        <w:tab/>
        <w:t>(c)</w:t>
      </w:r>
      <w:r>
        <w:tab/>
        <w:t>if the party has given an email address for service, by sending the notice to the party as an attachment to an email sent to that address.</w:t>
      </w:r>
    </w:p>
    <w:p>
      <w:pPr>
        <w:pStyle w:val="Heading5"/>
      </w:pPr>
      <w:bookmarkStart w:id="69" w:name="_Toc379203942"/>
      <w:bookmarkStart w:id="70" w:name="_Toc491867714"/>
      <w:r>
        <w:rPr>
          <w:rStyle w:val="CharSectno"/>
        </w:rPr>
        <w:t>13</w:t>
      </w:r>
      <w:r>
        <w:t>.</w:t>
      </w:r>
      <w:r>
        <w:tab/>
        <w:t>Written order by registrar, issue and service of</w:t>
      </w:r>
      <w:bookmarkEnd w:id="69"/>
      <w:bookmarkEnd w:id="70"/>
    </w:p>
    <w:p>
      <w:pPr>
        <w:pStyle w:val="Subsection"/>
      </w:pPr>
      <w:r>
        <w:tab/>
        <w:t>(1)</w:t>
      </w:r>
      <w:r>
        <w:tab/>
        <w:t>The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Subsection"/>
      </w:pPr>
      <w:r>
        <w:tab/>
        <w:t>(3)</w:t>
      </w:r>
      <w:r>
        <w:tab/>
        <w:t>Rule 12(4), with any necessary changes, applies to the service of such an order.</w:t>
      </w:r>
    </w:p>
    <w:p>
      <w:pPr>
        <w:pStyle w:val="Subsection"/>
      </w:pPr>
      <w:r>
        <w:tab/>
        <w:t>(4)</w:t>
      </w:r>
      <w:r>
        <w:tab/>
        <w:t>This rule does not limit the registrar’s other powers under these rules to make orders at a hearing.</w:t>
      </w:r>
    </w:p>
    <w:p>
      <w:pPr>
        <w:pStyle w:val="Heading3"/>
      </w:pPr>
      <w:bookmarkStart w:id="71" w:name="_Toc379203833"/>
      <w:bookmarkStart w:id="72" w:name="_Toc379203943"/>
      <w:bookmarkStart w:id="73" w:name="_Toc425243287"/>
      <w:bookmarkStart w:id="74" w:name="_Toc490564803"/>
      <w:bookmarkStart w:id="75" w:name="_Toc491160518"/>
      <w:bookmarkStart w:id="76" w:name="_Toc491160630"/>
      <w:bookmarkStart w:id="77" w:name="_Toc491867715"/>
      <w:r>
        <w:rPr>
          <w:rStyle w:val="CharDivNo"/>
        </w:rPr>
        <w:t>Division 5</w:t>
      </w:r>
      <w:r>
        <w:t> — </w:t>
      </w:r>
      <w:r>
        <w:rPr>
          <w:rStyle w:val="CharDivText"/>
        </w:rPr>
        <w:t>Reviewing decisions by the registrar</w:t>
      </w:r>
      <w:bookmarkEnd w:id="71"/>
      <w:bookmarkEnd w:id="72"/>
      <w:bookmarkEnd w:id="73"/>
      <w:bookmarkEnd w:id="74"/>
      <w:bookmarkEnd w:id="75"/>
      <w:bookmarkEnd w:id="76"/>
      <w:bookmarkEnd w:id="77"/>
    </w:p>
    <w:p>
      <w:pPr>
        <w:pStyle w:val="Heading5"/>
      </w:pPr>
      <w:bookmarkStart w:id="78" w:name="_Toc379203944"/>
      <w:bookmarkStart w:id="79" w:name="_Toc491867716"/>
      <w:r>
        <w:rPr>
          <w:rStyle w:val="CharSectno"/>
        </w:rPr>
        <w:t>14</w:t>
      </w:r>
      <w:r>
        <w:t>.</w:t>
      </w:r>
      <w:r>
        <w:tab/>
        <w:t>Interpretation</w:t>
      </w:r>
      <w:bookmarkEnd w:id="78"/>
      <w:bookmarkEnd w:id="79"/>
    </w:p>
    <w:p>
      <w:pPr>
        <w:pStyle w:val="Subsection"/>
        <w:keepNext/>
      </w:pPr>
      <w:r>
        <w:tab/>
      </w:r>
      <w:r>
        <w:tab/>
        <w:t xml:space="preserve">In this Division, unless the contrary intention appears — </w:t>
      </w:r>
    </w:p>
    <w:p>
      <w:pPr>
        <w:pStyle w:val="Defstart"/>
      </w:pPr>
      <w:r>
        <w:rPr>
          <w:b/>
        </w:rPr>
        <w:tab/>
      </w:r>
      <w:r>
        <w:rPr>
          <w:rStyle w:val="CharDefText"/>
        </w:rPr>
        <w:t>reviewable decision</w:t>
      </w:r>
      <w:r>
        <w:t xml:space="preserve"> means a decision by the registrar under these rules, other than a decision made as a Taxing Officer.</w:t>
      </w:r>
    </w:p>
    <w:p>
      <w:pPr>
        <w:pStyle w:val="Heading5"/>
      </w:pPr>
      <w:bookmarkStart w:id="80" w:name="_Toc379203945"/>
      <w:bookmarkStart w:id="81" w:name="_Toc491867717"/>
      <w:r>
        <w:rPr>
          <w:rStyle w:val="CharSectno"/>
        </w:rPr>
        <w:t>15</w:t>
      </w:r>
      <w:r>
        <w:t>.</w:t>
      </w:r>
      <w:r>
        <w:tab/>
        <w:t>Application for review by single judge</w:t>
      </w:r>
      <w:bookmarkEnd w:id="80"/>
      <w:bookmarkEnd w:id="81"/>
      <w:r>
        <w:t xml:space="preserve"> </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Heading5"/>
      </w:pPr>
      <w:bookmarkStart w:id="82" w:name="_Toc379203946"/>
      <w:bookmarkStart w:id="83" w:name="_Toc491867718"/>
      <w:r>
        <w:rPr>
          <w:rStyle w:val="CharSectno"/>
        </w:rPr>
        <w:t>16</w:t>
      </w:r>
      <w:r>
        <w:t>.</w:t>
      </w:r>
      <w:r>
        <w:tab/>
        <w:t>Dealing with the application</w:t>
      </w:r>
      <w:bookmarkEnd w:id="82"/>
      <w:bookmarkEnd w:id="83"/>
    </w:p>
    <w:p>
      <w:pPr>
        <w:pStyle w:val="Subsection"/>
      </w:pPr>
      <w:r>
        <w:tab/>
      </w:r>
      <w:r>
        <w:tab/>
        <w:t>A single judge has jurisdiction to decide an application made under rule 15 and in doing so must consider afresh the matter that was decided by the registrar.</w:t>
      </w:r>
    </w:p>
    <w:p>
      <w:pPr>
        <w:pStyle w:val="Heading3"/>
      </w:pPr>
      <w:bookmarkStart w:id="84" w:name="_Toc379203837"/>
      <w:bookmarkStart w:id="85" w:name="_Toc379203947"/>
      <w:bookmarkStart w:id="86" w:name="_Toc425243291"/>
      <w:bookmarkStart w:id="87" w:name="_Toc490564807"/>
      <w:bookmarkStart w:id="88" w:name="_Toc491160522"/>
      <w:bookmarkStart w:id="89" w:name="_Toc491160634"/>
      <w:bookmarkStart w:id="90" w:name="_Toc491867719"/>
      <w:r>
        <w:rPr>
          <w:rStyle w:val="CharDivNo"/>
        </w:rPr>
        <w:t>Division 6</w:t>
      </w:r>
      <w:r>
        <w:t> — </w:t>
      </w:r>
      <w:r>
        <w:rPr>
          <w:rStyle w:val="CharDivText"/>
        </w:rPr>
        <w:t>Miscellaneous</w:t>
      </w:r>
      <w:bookmarkEnd w:id="84"/>
      <w:bookmarkEnd w:id="85"/>
      <w:bookmarkEnd w:id="86"/>
      <w:bookmarkEnd w:id="87"/>
      <w:bookmarkEnd w:id="88"/>
      <w:bookmarkEnd w:id="89"/>
      <w:bookmarkEnd w:id="90"/>
    </w:p>
    <w:p>
      <w:pPr>
        <w:pStyle w:val="Heading5"/>
      </w:pPr>
      <w:bookmarkStart w:id="91" w:name="_Toc379203948"/>
      <w:bookmarkStart w:id="92" w:name="_Toc491867720"/>
      <w:r>
        <w:rPr>
          <w:rStyle w:val="CharSectno"/>
        </w:rPr>
        <w:t>17</w:t>
      </w:r>
      <w:r>
        <w:t>.</w:t>
      </w:r>
      <w:r>
        <w:tab/>
        <w:t>Non-attendance by party, consequences of</w:t>
      </w:r>
      <w:bookmarkEnd w:id="91"/>
      <w:bookmarkEnd w:id="92"/>
    </w:p>
    <w:p>
      <w:pPr>
        <w:pStyle w:val="Subsection"/>
      </w:pPr>
      <w:r>
        <w:tab/>
        <w:t>(1)</w:t>
      </w:r>
      <w:r>
        <w:tab/>
        <w:t xml:space="preserve">Subject to the </w:t>
      </w:r>
      <w:r>
        <w:rPr>
          <w:i/>
        </w:rPr>
        <w:t xml:space="preserve">Criminal Appeals Act 2004 </w:t>
      </w:r>
      <w:r>
        <w:t>section 35, if a hearing before a single judge or the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the registrar, the judge or registrar may proceed in the party’s absence.</w:t>
      </w:r>
    </w:p>
    <w:p>
      <w:pPr>
        <w:pStyle w:val="Heading5"/>
      </w:pPr>
      <w:bookmarkStart w:id="93" w:name="_Toc379203949"/>
      <w:bookmarkStart w:id="94" w:name="_Toc491867721"/>
      <w:r>
        <w:rPr>
          <w:rStyle w:val="CharSectno"/>
        </w:rPr>
        <w:t>18</w:t>
      </w:r>
      <w:r>
        <w:t>.</w:t>
      </w:r>
      <w:r>
        <w:tab/>
        <w:t>Decisions made in absence of a party</w:t>
      </w:r>
      <w:bookmarkEnd w:id="93"/>
      <w:bookmarkEnd w:id="94"/>
    </w:p>
    <w:p>
      <w:pPr>
        <w:pStyle w:val="Subsection"/>
      </w:pPr>
      <w:r>
        <w:tab/>
        <w:t>(1)</w:t>
      </w:r>
      <w:r>
        <w:tab/>
        <w:t>If a single judge or the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the registrar makes a decision in a CA matter, whether or not at a hearing, the registrar must notify the party of the decision.</w:t>
      </w:r>
    </w:p>
    <w:p>
      <w:pPr>
        <w:pStyle w:val="Heading5"/>
      </w:pPr>
      <w:bookmarkStart w:id="95" w:name="_Toc379203950"/>
      <w:bookmarkStart w:id="96" w:name="_Toc491867722"/>
      <w:r>
        <w:rPr>
          <w:rStyle w:val="CharSectno"/>
        </w:rPr>
        <w:t>19</w:t>
      </w:r>
      <w:r>
        <w:t>.</w:t>
      </w:r>
      <w:r>
        <w:tab/>
        <w:t>Decisions made on the papers</w:t>
      </w:r>
      <w:bookmarkEnd w:id="95"/>
      <w:bookmarkEnd w:id="96"/>
    </w:p>
    <w:p>
      <w:pPr>
        <w:pStyle w:val="Subsection"/>
      </w:pPr>
      <w:r>
        <w:tab/>
        <w:t>(1)</w:t>
      </w:r>
      <w:r>
        <w:tab/>
        <w:t>This rules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the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Heading2"/>
      </w:pPr>
      <w:bookmarkStart w:id="97" w:name="_Toc379203841"/>
      <w:bookmarkStart w:id="98" w:name="_Toc379203951"/>
      <w:bookmarkStart w:id="99" w:name="_Toc425243295"/>
      <w:bookmarkStart w:id="100" w:name="_Toc490564811"/>
      <w:bookmarkStart w:id="101" w:name="_Toc491160526"/>
      <w:bookmarkStart w:id="102" w:name="_Toc491160638"/>
      <w:bookmarkStart w:id="103" w:name="_Toc491867723"/>
      <w:r>
        <w:rPr>
          <w:rStyle w:val="CharPartNo"/>
        </w:rPr>
        <w:t>Part 3</w:t>
      </w:r>
      <w:r>
        <w:t> — </w:t>
      </w:r>
      <w:r>
        <w:rPr>
          <w:rStyle w:val="CharPartText"/>
        </w:rPr>
        <w:t>Administrative matters</w:t>
      </w:r>
      <w:bookmarkEnd w:id="97"/>
      <w:bookmarkEnd w:id="98"/>
      <w:bookmarkEnd w:id="99"/>
      <w:bookmarkEnd w:id="100"/>
      <w:bookmarkEnd w:id="101"/>
      <w:bookmarkEnd w:id="102"/>
      <w:bookmarkEnd w:id="103"/>
    </w:p>
    <w:p>
      <w:pPr>
        <w:pStyle w:val="Heading5"/>
      </w:pPr>
      <w:bookmarkStart w:id="104" w:name="_Toc379203952"/>
      <w:bookmarkStart w:id="105" w:name="_Toc491867724"/>
      <w:r>
        <w:rPr>
          <w:rStyle w:val="CharSectno"/>
        </w:rPr>
        <w:t>20</w:t>
      </w:r>
      <w:r>
        <w:t>.</w:t>
      </w:r>
      <w:r>
        <w:tab/>
        <w:t>Forms, completion of</w:t>
      </w:r>
      <w:bookmarkEnd w:id="104"/>
      <w:bookmarkEnd w:id="105"/>
    </w:p>
    <w:p>
      <w:pPr>
        <w:pStyle w:val="Subsection"/>
      </w:pPr>
      <w:r>
        <w:tab/>
        <w:t>(1)</w:t>
      </w:r>
      <w:r>
        <w:tab/>
        <w:t>This rule is in addition to the RSC Order 69.</w:t>
      </w:r>
    </w:p>
    <w:p>
      <w:pPr>
        <w:pStyle w:val="Subsection"/>
      </w:pPr>
      <w:r>
        <w:tab/>
        <w:t>(2)</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MiscellaneousBody"/>
        <w:tabs>
          <w:tab w:val="left" w:pos="1134"/>
        </w:tabs>
        <w:rPr>
          <w:rFonts w:ascii="Arial" w:hAnsi="Arial" w:cs="Arial"/>
          <w:sz w:val="16"/>
          <w:szCs w:val="16"/>
        </w:rPr>
      </w:pPr>
      <w:r>
        <w:rPr>
          <w:rFonts w:ascii="Arial" w:hAnsi="Arial" w:cs="Arial"/>
          <w:sz w:val="16"/>
          <w:szCs w:val="16"/>
        </w:rPr>
        <w:tab/>
        <w:t xml:space="preserve">[Examples: Vincent </w:t>
      </w:r>
      <w:r>
        <w:rPr>
          <w:rFonts w:ascii="Arial" w:hAnsi="Arial" w:cs="Arial"/>
          <w:sz w:val="16"/>
          <w:szCs w:val="16"/>
          <w:u w:val="single"/>
        </w:rPr>
        <w:t>van Gogh</w:t>
      </w:r>
      <w:r>
        <w:rPr>
          <w:rFonts w:ascii="Arial" w:hAnsi="Arial" w:cs="Arial"/>
          <w:sz w:val="16"/>
          <w:szCs w:val="16"/>
        </w:rPr>
        <w:t xml:space="preserve">; </w:t>
      </w:r>
      <w:r>
        <w:rPr>
          <w:rFonts w:ascii="Arial" w:hAnsi="Arial" w:cs="Arial"/>
          <w:sz w:val="16"/>
          <w:szCs w:val="16"/>
          <w:u w:val="single"/>
        </w:rPr>
        <w:t>Wong</w:t>
      </w:r>
      <w:r>
        <w:rPr>
          <w:rFonts w:ascii="Arial" w:hAnsi="Arial" w:cs="Arial"/>
          <w:sz w:val="16"/>
          <w:szCs w:val="16"/>
        </w:rPr>
        <w:t xml:space="preserve"> Hei; Mary Jane </w:t>
      </w:r>
      <w:r>
        <w:rPr>
          <w:rFonts w:ascii="Arial" w:hAnsi="Arial" w:cs="Arial"/>
          <w:sz w:val="16"/>
          <w:szCs w:val="16"/>
          <w:u w:val="single"/>
        </w:rPr>
        <w:t>Citizen</w:t>
      </w:r>
      <w:r>
        <w:rPr>
          <w:rFonts w:ascii="Arial" w:hAnsi="Arial" w:cs="Arial"/>
          <w:sz w:val="16"/>
          <w:szCs w:val="16"/>
        </w:rPr>
        <w:t>.]</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Heading5"/>
      </w:pPr>
      <w:bookmarkStart w:id="106" w:name="_Toc379203953"/>
      <w:bookmarkStart w:id="107" w:name="_Toc491867725"/>
      <w:r>
        <w:rPr>
          <w:rStyle w:val="CharSectno"/>
        </w:rPr>
        <w:t>21</w:t>
      </w:r>
      <w:r>
        <w:t>.</w:t>
      </w:r>
      <w:r>
        <w:tab/>
        <w:t>Filed documents, technical requirements</w:t>
      </w:r>
      <w:bookmarkEnd w:id="106"/>
      <w:bookmarkEnd w:id="107"/>
    </w:p>
    <w:p>
      <w:pPr>
        <w:pStyle w:val="Subsection"/>
      </w:pPr>
      <w:r>
        <w:tab/>
        <w:t>(1)</w:t>
      </w:r>
      <w:r>
        <w:tab/>
        <w:t>Unless these rules provide otherwise or a single judge orders otherwise, any document that is filed —</w:t>
      </w:r>
    </w:p>
    <w:p>
      <w:pPr>
        <w:pStyle w:val="Indenta"/>
      </w:pPr>
      <w:r>
        <w:tab/>
        <w:t>(a)</w:t>
      </w:r>
      <w:r>
        <w:tab/>
        <w:t>must use durable white A4 paper;</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w:t>
      </w:r>
    </w:p>
    <w:p>
      <w:pPr>
        <w:pStyle w:val="Indenta"/>
      </w:pPr>
      <w:r>
        <w:tab/>
        <w:t>(c)</w:t>
      </w:r>
      <w:r>
        <w:tab/>
        <w:t>must be typed in at least the size of type used for these rules (12 point Times New Roman);</w:t>
      </w:r>
    </w:p>
    <w:p>
      <w:pPr>
        <w:pStyle w:val="Indenta"/>
      </w:pPr>
      <w:r>
        <w:tab/>
        <w:t>(d)</w:t>
      </w:r>
      <w:r>
        <w:tab/>
        <w:t>must be typed using single line spacing or more;</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(2)</w:t>
      </w:r>
      <w:r>
        <w:tab/>
        <w:t>Subrule (1) does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Heading5"/>
      </w:pPr>
      <w:bookmarkStart w:id="108" w:name="_Toc379203954"/>
      <w:bookmarkStart w:id="109" w:name="_Toc491867726"/>
      <w:r>
        <w:rPr>
          <w:rStyle w:val="CharSectno"/>
        </w:rPr>
        <w:t>22</w:t>
      </w:r>
      <w:r>
        <w:t>.</w:t>
      </w:r>
      <w:r>
        <w:tab/>
        <w:t>Filed documents to be served</w:t>
      </w:r>
      <w:bookmarkEnd w:id="108"/>
      <w:bookmarkEnd w:id="109"/>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2"/>
      </w:pPr>
      <w:bookmarkStart w:id="110" w:name="_Toc379203845"/>
      <w:bookmarkStart w:id="111" w:name="_Toc379203955"/>
      <w:bookmarkStart w:id="112" w:name="_Toc425243299"/>
      <w:bookmarkStart w:id="113" w:name="_Toc490564815"/>
      <w:bookmarkStart w:id="114" w:name="_Toc491160530"/>
      <w:bookmarkStart w:id="115" w:name="_Toc491160642"/>
      <w:bookmarkStart w:id="116" w:name="_Toc491867727"/>
      <w:r>
        <w:rPr>
          <w:rStyle w:val="CharPartNo"/>
        </w:rPr>
        <w:t>Part 4</w:t>
      </w:r>
      <w:r>
        <w:rPr>
          <w:rStyle w:val="CharDivNo"/>
        </w:rPr>
        <w:t> </w:t>
      </w:r>
      <w:r>
        <w:t>—</w:t>
      </w:r>
      <w:r>
        <w:rPr>
          <w:rStyle w:val="CharDivText"/>
        </w:rPr>
        <w:t> </w:t>
      </w:r>
      <w:r>
        <w:rPr>
          <w:rStyle w:val="CharPartText"/>
        </w:rPr>
        <w:t>Duties of lawyers who act for parties</w:t>
      </w:r>
      <w:bookmarkEnd w:id="110"/>
      <w:bookmarkEnd w:id="111"/>
      <w:bookmarkEnd w:id="112"/>
      <w:bookmarkEnd w:id="113"/>
      <w:bookmarkEnd w:id="114"/>
      <w:bookmarkEnd w:id="115"/>
      <w:bookmarkEnd w:id="116"/>
    </w:p>
    <w:p>
      <w:pPr>
        <w:pStyle w:val="Heading5"/>
      </w:pPr>
      <w:bookmarkStart w:id="117" w:name="_Toc379203956"/>
      <w:bookmarkStart w:id="118" w:name="_Toc491867728"/>
      <w:r>
        <w:rPr>
          <w:rStyle w:val="CharSectno"/>
        </w:rPr>
        <w:t>23</w:t>
      </w:r>
      <w:r>
        <w:t>.</w:t>
      </w:r>
      <w:r>
        <w:tab/>
        <w:t>Duty to notify when acting for a party</w:t>
      </w:r>
      <w:bookmarkEnd w:id="117"/>
      <w:bookmarkEnd w:id="118"/>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119" w:name="_Toc379203957"/>
      <w:bookmarkStart w:id="120" w:name="_Toc491867729"/>
      <w:r>
        <w:rPr>
          <w:rStyle w:val="CharSectno"/>
        </w:rPr>
        <w:t>24</w:t>
      </w:r>
      <w:r>
        <w:t>.</w:t>
      </w:r>
      <w:r>
        <w:tab/>
        <w:t>Presumptions as to who is acting for a party</w:t>
      </w:r>
      <w:bookmarkEnd w:id="119"/>
      <w:bookmarkEnd w:id="120"/>
    </w:p>
    <w:p>
      <w:pPr>
        <w:pStyle w:val="Subsection"/>
      </w:pPr>
      <w:r>
        <w:tab/>
      </w:r>
      <w:r>
        <w:tab/>
        <w:t xml:space="preserve">A lawyer who is said to be acting for a party by reason of a Form 1, 2, 4 or 5 that has been filed is to be taken to be acting for the party until — </w:t>
      </w:r>
    </w:p>
    <w:p>
      <w:pPr>
        <w:pStyle w:val="Indenta"/>
      </w:pPr>
      <w:r>
        <w:tab/>
        <w:t>(a)</w:t>
      </w:r>
      <w:r>
        <w:tab/>
        <w:t>another lawyer files a Form 5 under rule 23;</w:t>
      </w:r>
    </w:p>
    <w:p>
      <w:pPr>
        <w:pStyle w:val="Indenta"/>
      </w:pPr>
      <w:r>
        <w:tab/>
        <w:t>(b)</w:t>
      </w:r>
      <w:r>
        <w:tab/>
        <w:t>the party files a Form 6 notifying the court that the party is self-represented; or</w:t>
      </w:r>
    </w:p>
    <w:p>
      <w:pPr>
        <w:pStyle w:val="Indenta"/>
      </w:pPr>
      <w:r>
        <w:tab/>
        <w:t>(c)</w:t>
      </w:r>
      <w:r>
        <w:tab/>
        <w:t>the court gives leave for the lawyer to cease to act.</w:t>
      </w:r>
    </w:p>
    <w:p>
      <w:pPr>
        <w:pStyle w:val="Heading2"/>
      </w:pPr>
      <w:bookmarkStart w:id="121" w:name="_Toc379203848"/>
      <w:bookmarkStart w:id="122" w:name="_Toc379203958"/>
      <w:bookmarkStart w:id="123" w:name="_Toc425243302"/>
      <w:bookmarkStart w:id="124" w:name="_Toc490564818"/>
      <w:bookmarkStart w:id="125" w:name="_Toc491160533"/>
      <w:bookmarkStart w:id="126" w:name="_Toc491160645"/>
      <w:bookmarkStart w:id="127" w:name="_Toc491867730"/>
      <w:r>
        <w:rPr>
          <w:rStyle w:val="CharPartNo"/>
        </w:rPr>
        <w:t>Part 5</w:t>
      </w:r>
      <w:r>
        <w:t> — </w:t>
      </w:r>
      <w:r>
        <w:rPr>
          <w:rStyle w:val="CharPartText"/>
        </w:rPr>
        <w:t>Procedure for appeals</w:t>
      </w:r>
      <w:bookmarkEnd w:id="121"/>
      <w:bookmarkEnd w:id="122"/>
      <w:bookmarkEnd w:id="123"/>
      <w:bookmarkEnd w:id="124"/>
      <w:bookmarkEnd w:id="125"/>
      <w:bookmarkEnd w:id="126"/>
      <w:bookmarkEnd w:id="127"/>
    </w:p>
    <w:p>
      <w:pPr>
        <w:pStyle w:val="Heading3"/>
      </w:pPr>
      <w:bookmarkStart w:id="128" w:name="_Toc379203849"/>
      <w:bookmarkStart w:id="129" w:name="_Toc379203959"/>
      <w:bookmarkStart w:id="130" w:name="_Toc425243303"/>
      <w:bookmarkStart w:id="131" w:name="_Toc490564819"/>
      <w:bookmarkStart w:id="132" w:name="_Toc491160534"/>
      <w:bookmarkStart w:id="133" w:name="_Toc491160646"/>
      <w:bookmarkStart w:id="134" w:name="_Toc491867731"/>
      <w:r>
        <w:rPr>
          <w:rStyle w:val="CharDivNo"/>
        </w:rPr>
        <w:t>Division 1</w:t>
      </w:r>
      <w:r>
        <w:t> — </w:t>
      </w:r>
      <w:r>
        <w:rPr>
          <w:rStyle w:val="CharDivText"/>
        </w:rPr>
        <w:t>General</w:t>
      </w:r>
      <w:bookmarkEnd w:id="128"/>
      <w:bookmarkEnd w:id="129"/>
      <w:bookmarkEnd w:id="130"/>
      <w:bookmarkEnd w:id="131"/>
      <w:bookmarkEnd w:id="132"/>
      <w:bookmarkEnd w:id="133"/>
      <w:bookmarkEnd w:id="134"/>
    </w:p>
    <w:p>
      <w:pPr>
        <w:pStyle w:val="Heading5"/>
      </w:pPr>
      <w:bookmarkStart w:id="135" w:name="_Toc379203960"/>
      <w:bookmarkStart w:id="136" w:name="_Toc491867732"/>
      <w:r>
        <w:rPr>
          <w:rStyle w:val="CharSectno"/>
        </w:rPr>
        <w:t>25</w:t>
      </w:r>
      <w:r>
        <w:t>.</w:t>
      </w:r>
      <w:r>
        <w:tab/>
        <w:t>Nature of appeals</w:t>
      </w:r>
      <w:bookmarkEnd w:id="135"/>
      <w:bookmarkEnd w:id="136"/>
    </w:p>
    <w:p>
      <w:pPr>
        <w:pStyle w:val="Subsection"/>
      </w:pPr>
      <w:r>
        <w:tab/>
      </w:r>
      <w:r>
        <w:tab/>
        <w:t>An appeal to the Court of Appeal will be by way of a rehearing unless another written law provides otherwise.</w:t>
      </w:r>
    </w:p>
    <w:p>
      <w:pPr>
        <w:pStyle w:val="Heading5"/>
      </w:pPr>
      <w:bookmarkStart w:id="137" w:name="_Toc379203961"/>
      <w:bookmarkStart w:id="138" w:name="_Toc491867733"/>
      <w:r>
        <w:rPr>
          <w:rStyle w:val="CharSectno"/>
        </w:rPr>
        <w:t>26</w:t>
      </w:r>
      <w:r>
        <w:t>.</w:t>
      </w:r>
      <w:r>
        <w:tab/>
        <w:t>Time for appealing</w:t>
      </w:r>
      <w:bookmarkEnd w:id="137"/>
      <w:bookmarkEnd w:id="138"/>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3"/>
      </w:pPr>
      <w:bookmarkStart w:id="139" w:name="_Toc379203852"/>
      <w:bookmarkStart w:id="140" w:name="_Toc379203962"/>
      <w:bookmarkStart w:id="141" w:name="_Toc425243306"/>
      <w:bookmarkStart w:id="142" w:name="_Toc490564822"/>
      <w:bookmarkStart w:id="143" w:name="_Toc491160537"/>
      <w:bookmarkStart w:id="144" w:name="_Toc491160649"/>
      <w:bookmarkStart w:id="145" w:name="_Toc491867734"/>
      <w:r>
        <w:rPr>
          <w:rStyle w:val="CharDivNo"/>
        </w:rPr>
        <w:t>Division 2</w:t>
      </w:r>
      <w:r>
        <w:t> — </w:t>
      </w:r>
      <w:r>
        <w:rPr>
          <w:rStyle w:val="CharDivText"/>
        </w:rPr>
        <w:t>Commencing an appeal</w:t>
      </w:r>
      <w:bookmarkEnd w:id="139"/>
      <w:bookmarkEnd w:id="140"/>
      <w:bookmarkEnd w:id="141"/>
      <w:bookmarkEnd w:id="142"/>
      <w:bookmarkEnd w:id="143"/>
      <w:bookmarkEnd w:id="144"/>
      <w:bookmarkEnd w:id="145"/>
    </w:p>
    <w:p>
      <w:pPr>
        <w:pStyle w:val="Heading5"/>
      </w:pPr>
      <w:bookmarkStart w:id="146" w:name="_Toc379203963"/>
      <w:bookmarkStart w:id="147" w:name="_Toc491867735"/>
      <w:r>
        <w:rPr>
          <w:rStyle w:val="CharSectno"/>
        </w:rPr>
        <w:t>27</w:t>
      </w:r>
      <w:r>
        <w:t>.</w:t>
      </w:r>
      <w:r>
        <w:tab/>
        <w:t>When an appeal is taken to be commenced</w:t>
      </w:r>
      <w:bookmarkEnd w:id="146"/>
      <w:bookmarkEnd w:id="147"/>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148" w:name="_Toc379203964"/>
      <w:bookmarkStart w:id="149" w:name="_Toc491867736"/>
      <w:r>
        <w:rPr>
          <w:rStyle w:val="CharSectno"/>
        </w:rPr>
        <w:t>28</w:t>
      </w:r>
      <w:r>
        <w:t>.</w:t>
      </w:r>
      <w:r>
        <w:tab/>
        <w:t>Criminal appeal, how to commence</w:t>
      </w:r>
      <w:bookmarkEnd w:id="148"/>
      <w:bookmarkEnd w:id="149"/>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w:t>
      </w:r>
    </w:p>
    <w:p>
      <w:pPr>
        <w:pStyle w:val="Subsection"/>
      </w:pPr>
      <w:r>
        <w:tab/>
        <w:t>(7)</w:t>
      </w:r>
      <w:r>
        <w:tab/>
        <w:t>As soon as practicable after serving the respondent the appellant must file a Form 3 (Service certificate).</w:t>
      </w:r>
    </w:p>
    <w:p>
      <w:pPr>
        <w:pStyle w:val="Subsection"/>
      </w:pPr>
      <w:r>
        <w:tab/>
        <w:t>(8)</w:t>
      </w:r>
      <w:r>
        <w:tab/>
        <w:t xml:space="preserve">This rule does not affect the operation of the </w:t>
      </w:r>
      <w:r>
        <w:rPr>
          <w:i/>
        </w:rPr>
        <w:t>Criminal Appeals Act 2004</w:t>
      </w:r>
      <w:r>
        <w:t xml:space="preserve"> section 28.</w:t>
      </w:r>
    </w:p>
    <w:p>
      <w:pPr>
        <w:pStyle w:val="Heading5"/>
      </w:pPr>
      <w:bookmarkStart w:id="150" w:name="_Toc379203965"/>
      <w:bookmarkStart w:id="151" w:name="_Toc491867737"/>
      <w:r>
        <w:rPr>
          <w:rStyle w:val="CharSectno"/>
        </w:rPr>
        <w:t>29</w:t>
      </w:r>
      <w:r>
        <w:t>.</w:t>
      </w:r>
      <w:r>
        <w:tab/>
        <w:t>Civil appeal, how to commence</w:t>
      </w:r>
      <w:bookmarkEnd w:id="150"/>
      <w:bookmarkEnd w:id="151"/>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w:t>
      </w:r>
    </w:p>
    <w:p>
      <w:pPr>
        <w:pStyle w:val="Heading5"/>
      </w:pPr>
      <w:bookmarkStart w:id="152" w:name="_Toc379203966"/>
      <w:bookmarkStart w:id="153" w:name="_Toc491867738"/>
      <w:r>
        <w:rPr>
          <w:rStyle w:val="CharSectno"/>
        </w:rPr>
        <w:t>30</w:t>
      </w:r>
      <w:r>
        <w:t>.</w:t>
      </w:r>
      <w:r>
        <w:tab/>
        <w:t>Primary court to be notified and to supply records</w:t>
      </w:r>
      <w:bookmarkEnd w:id="152"/>
      <w:bookmarkEnd w:id="153"/>
    </w:p>
    <w:p>
      <w:pPr>
        <w:pStyle w:val="Subsection"/>
        <w:keepNext/>
      </w:pPr>
      <w:r>
        <w:tab/>
        <w:t>(1)</w:t>
      </w:r>
      <w:r>
        <w:tab/>
        <w:t xml:space="preserve">In this rule — </w:t>
      </w:r>
    </w:p>
    <w:p>
      <w:pPr>
        <w:pStyle w:val="Defstart"/>
      </w:pPr>
      <w:r>
        <w:rPr>
          <w:b/>
        </w:rPr>
        <w:tab/>
      </w:r>
      <w:r>
        <w:rPr>
          <w:rStyle w:val="CharDefText"/>
        </w:rPr>
        <w:t>primary court case</w:t>
      </w:r>
      <w:r>
        <w:t xml:space="preserve"> means the action, case, matter or proceedings in the primary court in which the decision being appealed was made.</w:t>
      </w:r>
    </w:p>
    <w:p>
      <w:pPr>
        <w:pStyle w:val="Subsection"/>
      </w:pPr>
      <w:r>
        <w:tab/>
        <w:t>(2)</w:t>
      </w:r>
      <w:r>
        <w:tab/>
        <w:t xml:space="preserve">As soon as practicable after an appeal notice is filed, the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Heading5"/>
      </w:pPr>
      <w:bookmarkStart w:id="154" w:name="_Toc379203967"/>
      <w:bookmarkStart w:id="155" w:name="_Toc491867739"/>
      <w:r>
        <w:rPr>
          <w:rStyle w:val="CharSectno"/>
        </w:rPr>
        <w:t>31</w:t>
      </w:r>
      <w:r>
        <w:t>.</w:t>
      </w:r>
      <w:r>
        <w:tab/>
        <w:t>Respondent’s options</w:t>
      </w:r>
      <w:bookmarkEnd w:id="154"/>
      <w:bookmarkEnd w:id="155"/>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pPr>
      <w:r>
        <w:tab/>
        <w:t>(4)</w:t>
      </w:r>
      <w:r>
        <w:tab/>
        <w:t>If a respondent does not file a Form 4, the respondent is not entitled to take part or be heard in the appeal and is not a party to the appeal for the purposes of these rules.</w:t>
      </w:r>
    </w:p>
    <w:p>
      <w:pPr>
        <w:pStyle w:val="Subsection"/>
      </w:pPr>
      <w:r>
        <w:tab/>
        <w:t>(5)</w:t>
      </w:r>
      <w:r>
        <w:tab/>
        <w:t xml:space="preserve">If a respondent files a Form 4 in which the respondent also appeals against the decision specified in the appellant’s appeal notice, the registrar may order — </w:t>
      </w:r>
    </w:p>
    <w:p>
      <w:pPr>
        <w:pStyle w:val="Indenta"/>
      </w:pPr>
      <w:r>
        <w:tab/>
        <w:t>(a)</w:t>
      </w:r>
      <w:r>
        <w:tab/>
        <w:t>the respondent to file documents in respect of the respondent’s appeal that correspond to the “Appellant’s case” referred to in rule 32; and</w:t>
      </w:r>
    </w:p>
    <w:p>
      <w:pPr>
        <w:pStyle w:val="Indenta"/>
      </w:pPr>
      <w:r>
        <w:tab/>
        <w:t>(b)</w:t>
      </w:r>
      <w:r>
        <w:tab/>
        <w:t>the appellant to file documents in respect of the respondent’s appeal that correspond to the “Respondent’s answer” referred to in rule 33,</w:t>
      </w:r>
    </w:p>
    <w:p>
      <w:pPr>
        <w:pStyle w:val="Subsection"/>
      </w:pPr>
      <w:r>
        <w:tab/>
      </w:r>
      <w:r>
        <w:tab/>
        <w:t>within such periods as the registrar may order.</w:t>
      </w:r>
    </w:p>
    <w:p>
      <w:pPr>
        <w:pStyle w:val="Heading5"/>
      </w:pPr>
      <w:bookmarkStart w:id="156" w:name="_Toc379203968"/>
      <w:bookmarkStart w:id="157" w:name="_Toc491867740"/>
      <w:r>
        <w:rPr>
          <w:rStyle w:val="CharSectno"/>
        </w:rPr>
        <w:t>32</w:t>
      </w:r>
      <w:r>
        <w:t>.</w:t>
      </w:r>
      <w:r>
        <w:tab/>
        <w:t>“Appellant’s case” to be filed</w:t>
      </w:r>
      <w:bookmarkEnd w:id="156"/>
      <w:bookmarkEnd w:id="157"/>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7 days after the date on which the appeal notice is filed;</w:t>
      </w:r>
    </w:p>
    <w:p>
      <w:pPr>
        <w:pStyle w:val="Indenta"/>
      </w:pPr>
      <w:r>
        <w:tab/>
        <w:t>(b)</w:t>
      </w:r>
      <w:r>
        <w:tab/>
        <w:t>in any other appeal, within 35 days after the date on which the appeal notice is filed.</w:t>
      </w:r>
    </w:p>
    <w:p>
      <w:pPr>
        <w:pStyle w:val="Subsection"/>
      </w:pPr>
      <w:r>
        <w:tab/>
        <w:t>(3)</w:t>
      </w:r>
      <w:r>
        <w:tab/>
        <w:t xml:space="preserve">The appellant’s case consists of a Form 7 to which is attached — </w:t>
      </w:r>
    </w:p>
    <w:p>
      <w:pPr>
        <w:pStyle w:val="Indenta"/>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w:t>
      </w:r>
    </w:p>
    <w:p>
      <w:pPr>
        <w:pStyle w:val="Indenti"/>
      </w:pPr>
      <w:r>
        <w:tab/>
        <w:t>(ii)</w:t>
      </w:r>
      <w:r>
        <w:tab/>
        <w:t>that the primary court’s decision is against the evidence or the weight of evidence or is unreasonable and cannot be supported having regard to the evidence;</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w:t>
      </w:r>
    </w:p>
    <w:p>
      <w:pPr>
        <w:pStyle w:val="Indenti"/>
      </w:pPr>
      <w:r>
        <w:tab/>
        <w:t>(ii)</w:t>
      </w:r>
      <w:r>
        <w:tab/>
        <w:t>an error of law; or</w:t>
      </w:r>
    </w:p>
    <w:p>
      <w:pPr>
        <w:pStyle w:val="Indenti"/>
      </w:pPr>
      <w:r>
        <w:tab/>
        <w:t>(iii)</w:t>
      </w:r>
      <w:r>
        <w:tab/>
        <w:t>an error of mixed fact and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w:t>
      </w:r>
    </w:p>
    <w:p>
      <w:pPr>
        <w:pStyle w:val="Indenta"/>
      </w:pPr>
      <w:r>
        <w:tab/>
        <w:t>(b)</w:t>
      </w:r>
      <w:r>
        <w:tab/>
        <w:t>must set out the submissions about the ground in numbered paragraphs;</w:t>
      </w:r>
    </w:p>
    <w:p>
      <w:pPr>
        <w:pStyle w:val="Indenta"/>
      </w:pPr>
      <w:r>
        <w:tab/>
        <w:t>(c)</w:t>
      </w:r>
      <w:r>
        <w:tab/>
        <w:t>must include references to —</w:t>
      </w:r>
    </w:p>
    <w:p>
      <w:pPr>
        <w:pStyle w:val="Indenti"/>
      </w:pPr>
      <w:r>
        <w:tab/>
        <w:t>(i)</w:t>
      </w:r>
      <w:r>
        <w:tab/>
        <w:t>each page number of the primary court’s transcript on which relevant material appears;</w:t>
      </w:r>
    </w:p>
    <w:p>
      <w:pPr>
        <w:pStyle w:val="Indenti"/>
      </w:pPr>
      <w:r>
        <w:tab/>
        <w:t>(ii)</w:t>
      </w:r>
      <w:r>
        <w:tab/>
        <w:t>the number of each exhibit in the primary court that is relevant; and</w:t>
      </w:r>
    </w:p>
    <w:p>
      <w:pPr>
        <w:pStyle w:val="Indenti"/>
      </w:pPr>
      <w:r>
        <w:tab/>
        <w:t>(iii)</w:t>
      </w:r>
      <w:r>
        <w:tab/>
        <w:t>each principal legal authority on which the appellant relies in support of the ground;</w:t>
      </w:r>
    </w:p>
    <w:p>
      <w:pPr>
        <w:pStyle w:val="Indenta"/>
      </w:pPr>
      <w:r>
        <w:tab/>
        <w:t>(d)</w:t>
      </w:r>
      <w:r>
        <w:tab/>
        <w:t>must not be more than 20 pages long; and</w:t>
      </w:r>
    </w:p>
    <w:p>
      <w:pPr>
        <w:pStyle w:val="Indenta"/>
      </w:pPr>
      <w:r>
        <w:tab/>
        <w:t>(e)</w:t>
      </w:r>
      <w:r>
        <w:tab/>
        <w:t>must be signed by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t>(b)</w:t>
      </w:r>
      <w:r>
        <w:tab/>
        <w:t>must mark with an asterisk any legal authority from which it is intended to read any text to the court at the hearing;</w:t>
      </w:r>
    </w:p>
    <w:p>
      <w:pPr>
        <w:pStyle w:val="Indenta"/>
      </w:pPr>
      <w:r>
        <w:tab/>
        <w:t>(c)</w:t>
      </w:r>
      <w:r>
        <w:tab/>
        <w:t>for each written law listed, include its short title, its jurisdiction and each relevant section or provision of it;</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first, its citation in an authorised law report (if any) and any page of it on which is a relevant passage; and</w:t>
      </w:r>
    </w:p>
    <w:p>
      <w:pPr>
        <w:pStyle w:val="Indenti"/>
      </w:pPr>
      <w:r>
        <w:tab/>
        <w:t>(ii)</w:t>
      </w:r>
      <w:r>
        <w:tab/>
        <w:t>second, its media neutral citation (if any).</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23 WAR 254 at 274; [2000] WASCA 413 at [106].</w:t>
      </w:r>
      <w:r>
        <w:rPr>
          <w:rFonts w:ascii="Arial" w:hAnsi="Arial" w:cs="Arial"/>
          <w:sz w:val="18"/>
          <w:szCs w:val="18"/>
        </w:rPr>
        <w:br/>
        <w:t>4. Talbot v Lane (1994) 14 WAR 120.]</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Heading5"/>
      </w:pPr>
      <w:bookmarkStart w:id="158" w:name="_Toc379203969"/>
      <w:bookmarkStart w:id="159" w:name="_Toc491867741"/>
      <w:r>
        <w:rPr>
          <w:rStyle w:val="CharSectno"/>
        </w:rPr>
        <w:t>33</w:t>
      </w:r>
      <w:r>
        <w:t>.</w:t>
      </w:r>
      <w:r>
        <w:tab/>
        <w:t>“Respondent’s answer” to be filed</w:t>
      </w:r>
      <w:bookmarkEnd w:id="158"/>
      <w:bookmarkEnd w:id="159"/>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7 days after;</w:t>
      </w:r>
    </w:p>
    <w:p>
      <w:pPr>
        <w:pStyle w:val="Indenta"/>
      </w:pPr>
      <w:r>
        <w:tab/>
        <w:t>(b)</w:t>
      </w:r>
      <w:r>
        <w:tab/>
        <w:t>in any other appeal within 21 days after,</w:t>
      </w:r>
    </w:p>
    <w:p>
      <w:pPr>
        <w:pStyle w:val="Subsection"/>
      </w:pPr>
      <w:r>
        <w:tab/>
      </w:r>
      <w:r>
        <w:tab/>
        <w:t>the date the respondent is served with a notice issued by the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w:t>
      </w:r>
    </w:p>
    <w:p>
      <w:pPr>
        <w:pStyle w:val="Indenti"/>
      </w:pPr>
      <w:r>
        <w:tab/>
        <w:t>(ii)</w:t>
      </w:r>
      <w:r>
        <w:tab/>
        <w:t>the number of each exhibit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Heading5"/>
      </w:pPr>
      <w:bookmarkStart w:id="160" w:name="_Toc379203970"/>
      <w:bookmarkStart w:id="161" w:name="_Toc491867742"/>
      <w:r>
        <w:rPr>
          <w:rStyle w:val="CharSectno"/>
        </w:rPr>
        <w:t>34</w:t>
      </w:r>
      <w:r>
        <w:t>.</w:t>
      </w:r>
      <w:r>
        <w:tab/>
        <w:t>Appellant’s reply to notice of contention, when required</w:t>
      </w:r>
      <w:bookmarkEnd w:id="160"/>
      <w:bookmarkEnd w:id="161"/>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Heading3"/>
      </w:pPr>
      <w:bookmarkStart w:id="162" w:name="_Toc379203861"/>
      <w:bookmarkStart w:id="163" w:name="_Toc379203971"/>
      <w:bookmarkStart w:id="164" w:name="_Toc425243315"/>
      <w:bookmarkStart w:id="165" w:name="_Toc490564831"/>
      <w:bookmarkStart w:id="166" w:name="_Toc491160546"/>
      <w:bookmarkStart w:id="167" w:name="_Toc491160658"/>
      <w:bookmarkStart w:id="168" w:name="_Toc491867743"/>
      <w:r>
        <w:rPr>
          <w:rStyle w:val="CharDivNo"/>
        </w:rPr>
        <w:t>Division 3</w:t>
      </w:r>
      <w:r>
        <w:t> — </w:t>
      </w:r>
      <w:r>
        <w:rPr>
          <w:rStyle w:val="CharDivText"/>
        </w:rPr>
        <w:t>Appeal books</w:t>
      </w:r>
      <w:bookmarkEnd w:id="162"/>
      <w:bookmarkEnd w:id="163"/>
      <w:bookmarkEnd w:id="164"/>
      <w:bookmarkEnd w:id="165"/>
      <w:bookmarkEnd w:id="166"/>
      <w:bookmarkEnd w:id="167"/>
      <w:bookmarkEnd w:id="168"/>
    </w:p>
    <w:p>
      <w:pPr>
        <w:pStyle w:val="Heading5"/>
      </w:pPr>
      <w:bookmarkStart w:id="169" w:name="_Toc379203972"/>
      <w:bookmarkStart w:id="170" w:name="_Toc491867744"/>
      <w:r>
        <w:rPr>
          <w:rStyle w:val="CharSectno"/>
        </w:rPr>
        <w:t>35</w:t>
      </w:r>
      <w:r>
        <w:t>.</w:t>
      </w:r>
      <w:r>
        <w:tab/>
        <w:t>Appeal book, when required</w:t>
      </w:r>
      <w:bookmarkEnd w:id="169"/>
      <w:bookmarkEnd w:id="170"/>
    </w:p>
    <w:p>
      <w:pPr>
        <w:pStyle w:val="Subsection"/>
      </w:pPr>
      <w:r>
        <w:tab/>
      </w:r>
      <w:r>
        <w:tab/>
        <w:t>An appeal book, containing the documents required for the hearing of the appeal, is required for every appeal except an interlocutory civil appeal, unless a single judge orders otherwise in a particular appeal.</w:t>
      </w:r>
    </w:p>
    <w:p>
      <w:pPr>
        <w:pStyle w:val="Heading5"/>
      </w:pPr>
      <w:bookmarkStart w:id="171" w:name="_Toc379203973"/>
      <w:bookmarkStart w:id="172" w:name="_Toc491867745"/>
      <w:r>
        <w:rPr>
          <w:rStyle w:val="CharSectno"/>
        </w:rPr>
        <w:t>36</w:t>
      </w:r>
      <w:r>
        <w:t>.</w:t>
      </w:r>
      <w:r>
        <w:tab/>
        <w:t>Indexes, settling of</w:t>
      </w:r>
      <w:bookmarkEnd w:id="171"/>
      <w:bookmarkEnd w:id="172"/>
    </w:p>
    <w:p>
      <w:pPr>
        <w:pStyle w:val="Subsection"/>
      </w:pPr>
      <w:r>
        <w:tab/>
        <w:t>(1)</w:t>
      </w:r>
      <w:r>
        <w:tab/>
        <w:t>If draft appeal book indexes are filed in an appeal, the registrar must settle the indexes as soon as practicable after the respondent’s case is filed.</w:t>
      </w:r>
    </w:p>
    <w:p>
      <w:pPr>
        <w:pStyle w:val="Subsection"/>
        <w:keepNext/>
      </w:pPr>
      <w:r>
        <w:tab/>
        <w:t>(2)</w:t>
      </w:r>
      <w:r>
        <w:tab/>
        <w:t xml:space="preserve">When settling the appeal book indexes the registrar must — </w:t>
      </w:r>
    </w:p>
    <w:p>
      <w:pPr>
        <w:pStyle w:val="Indenta"/>
      </w:pPr>
      <w:r>
        <w:tab/>
        <w:t>(a)</w:t>
      </w:r>
      <w:r>
        <w:tab/>
        <w:t>ensure rule 37(2) is obeyed;</w:t>
      </w:r>
    </w:p>
    <w:p>
      <w:pPr>
        <w:pStyle w:val="Indenta"/>
      </w:pPr>
      <w:r>
        <w:tab/>
        <w:t>(b)</w:t>
      </w:r>
      <w:r>
        <w:tab/>
        <w:t>reduce as far as possible the number and length of the documents to be included in the appeal book;</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The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one or more parts of an appeal book be amalgamated in one part.</w:t>
      </w:r>
    </w:p>
    <w:p>
      <w:pPr>
        <w:pStyle w:val="Subsection"/>
      </w:pPr>
      <w:r>
        <w:tab/>
        <w:t>(4)</w:t>
      </w:r>
      <w:r>
        <w:tab/>
        <w:t>If the registrar settles the appeal book indexes in the absence of a party the registrar must give the party a copy of them and may do so by fax or email.</w:t>
      </w:r>
    </w:p>
    <w:p>
      <w:pPr>
        <w:pStyle w:val="Subsection"/>
      </w:pPr>
      <w:r>
        <w:tab/>
        <w:t>(5)</w:t>
      </w:r>
      <w:r>
        <w:tab/>
        <w:t>The appellant must file a clean copy of the settled appeal book indexes on or before the date set by the registrar when settling them.</w:t>
      </w:r>
    </w:p>
    <w:p>
      <w:pPr>
        <w:pStyle w:val="Heading5"/>
      </w:pPr>
      <w:bookmarkStart w:id="173" w:name="_Toc379203974"/>
      <w:bookmarkStart w:id="174" w:name="_Toc491867746"/>
      <w:r>
        <w:rPr>
          <w:rStyle w:val="CharSectno"/>
        </w:rPr>
        <w:t>37</w:t>
      </w:r>
      <w:r>
        <w:t>.</w:t>
      </w:r>
      <w:r>
        <w:tab/>
        <w:t>Appeal book, general provisions</w:t>
      </w:r>
      <w:bookmarkEnd w:id="173"/>
      <w:bookmarkEnd w:id="174"/>
    </w:p>
    <w:p>
      <w:pPr>
        <w:pStyle w:val="Subsection"/>
      </w:pPr>
      <w:r>
        <w:tab/>
        <w:t>(1)</w:t>
      </w:r>
      <w:r>
        <w:tab/>
        <w:t>The appeal book for an appeal must conform to this rule and rules 38 and 39 except to the extent that rule 40 provides otherwise or a single judge orders otherwise.</w:t>
      </w:r>
    </w:p>
    <w:p>
      <w:pPr>
        <w:pStyle w:val="Subsection"/>
      </w:pPr>
      <w:r>
        <w:tab/>
        <w:t>(2)</w:t>
      </w:r>
      <w:r>
        <w:tab/>
        <w:t>The documents required for the hearing of an appeal must be only those, or those parts of those, that are needed to consider and decide the issues in the appeal specified in the documents filed by the parties.</w:t>
      </w:r>
    </w:p>
    <w:p>
      <w:pPr>
        <w:pStyle w:val="Subsection"/>
      </w:pPr>
      <w:r>
        <w:tab/>
        <w:t>(3)</w:t>
      </w:r>
      <w:r>
        <w:tab/>
        <w:t>A single judge has jurisdiction to order that a document which is to be included in an appeal book and which is not clearly legible be typed or retyped, checked against the original, and certified as correct, before it is included.</w:t>
      </w:r>
    </w:p>
    <w:p>
      <w:pPr>
        <w:pStyle w:val="Heading5"/>
      </w:pPr>
      <w:bookmarkStart w:id="175" w:name="_Toc379203975"/>
      <w:bookmarkStart w:id="176" w:name="_Toc491867747"/>
      <w:r>
        <w:rPr>
          <w:rStyle w:val="CharSectno"/>
        </w:rPr>
        <w:t>38</w:t>
      </w:r>
      <w:r>
        <w:t>.</w:t>
      </w:r>
      <w:r>
        <w:tab/>
        <w:t>Appeal book, contents of</w:t>
      </w:r>
      <w:bookmarkEnd w:id="175"/>
      <w:bookmarkEnd w:id="176"/>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(d)</w:t>
      </w:r>
      <w:r>
        <w:tab/>
        <w:t>any order extending the time within which to appeal;</w:t>
      </w:r>
    </w:p>
    <w:p>
      <w:pPr>
        <w:pStyle w:val="Indenta"/>
      </w:pPr>
      <w:r>
        <w:tab/>
        <w:t>(e)</w:t>
      </w:r>
      <w:r>
        <w:tab/>
        <w:t>any order giving leave to appeal;</w:t>
      </w:r>
    </w:p>
    <w:p>
      <w:pPr>
        <w:pStyle w:val="Indenta"/>
      </w:pPr>
      <w:r>
        <w:tab/>
        <w:t>(f)</w:t>
      </w:r>
      <w:r>
        <w:tab/>
        <w:t>any notice of the respondent’s intention (Form 4);</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certificate, required by rule 41(c), as to the correctness of the appeal book;</w:t>
      </w:r>
    </w:p>
    <w:p>
      <w:pPr>
        <w:pStyle w:val="Indenta"/>
      </w:pPr>
      <w:r>
        <w:tab/>
        <w:t>(l)</w:t>
      </w:r>
      <w:r>
        <w:tab/>
        <w:t>any other document filed in the Court of Appeal that the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the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relevant parts of the primary court’s transcript;</w:t>
      </w:r>
    </w:p>
    <w:p>
      <w:pPr>
        <w:pStyle w:val="Indenta"/>
      </w:pPr>
      <w:r>
        <w:tab/>
        <w:t>(d)</w:t>
      </w:r>
      <w:r>
        <w:tab/>
        <w:t>a copy of any relevant documentary exhibit in the primary court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the registrar orders to be included.</w:t>
      </w:r>
    </w:p>
    <w:p>
      <w:pPr>
        <w:pStyle w:val="Subsection"/>
      </w:pPr>
      <w:r>
        <w:tab/>
        <w:t>(5)</w:t>
      </w:r>
      <w:r>
        <w:tab/>
        <w:t xml:space="preserve">The documentary exhibits in the primary court must be arranged in the Green Appeal Book as follows — </w:t>
      </w:r>
    </w:p>
    <w:p>
      <w:pPr>
        <w:pStyle w:val="Indenta"/>
      </w:pPr>
      <w:r>
        <w:tab/>
        <w:t>(a)</w:t>
      </w:r>
      <w:r>
        <w:tab/>
        <w:t>they must not be in the order in which they are lettered or numbered as exhibits in the primary court;</w:t>
      </w:r>
    </w:p>
    <w:p>
      <w:pPr>
        <w:pStyle w:val="Indenta"/>
      </w:pPr>
      <w:r>
        <w:tab/>
        <w:t>(b)</w:t>
      </w:r>
      <w:r>
        <w:tab/>
        <w:t>they must be in chronological order according to the dates borne by each document or if a document is manifestly or admittedly misdated, its known date;</w:t>
      </w:r>
    </w:p>
    <w:p>
      <w:pPr>
        <w:pStyle w:val="Indenta"/>
      </w:pPr>
      <w:r>
        <w:tab/>
        <w:t>(c)</w:t>
      </w:r>
      <w:r>
        <w:tab/>
        <w:t xml:space="preserve">if a document is undated — </w:t>
      </w:r>
    </w:p>
    <w:p>
      <w:pPr>
        <w:pStyle w:val="Indenti"/>
      </w:pPr>
      <w:r>
        <w:tab/>
        <w:t>(i)</w:t>
      </w:r>
      <w:r>
        <w:tab/>
        <w:t>it must be put among the other documents in the place contended for by the appellant;</w:t>
      </w:r>
    </w:p>
    <w:p>
      <w:pPr>
        <w:pStyle w:val="Indenti"/>
      </w:pPr>
      <w:r>
        <w:tab/>
        <w:t>(ii)</w:t>
      </w:r>
      <w:r>
        <w:tab/>
        <w:t>the appellant must notify the respondent of the proposed place; and</w:t>
      </w:r>
    </w:p>
    <w:p>
      <w:pPr>
        <w:pStyle w:val="Indenti"/>
      </w:pPr>
      <w:r>
        <w:tab/>
        <w:t>(iii)</w:t>
      </w:r>
      <w:r>
        <w:tab/>
        <w:t>the respondent may require the appellant to insert “Date unknown, chronological position disputed” at the head of the document in the appeal book;</w:t>
      </w:r>
    </w:p>
    <w:p>
      <w:pPr>
        <w:pStyle w:val="Indenta"/>
      </w:pPr>
      <w:r>
        <w:tab/>
        <w:t>(d)</w:t>
      </w:r>
      <w:r>
        <w:tab/>
        <w:t>if there is correspondence between or among 2 or more people which should be read consecutively and not interspersed among the other documents, the correspondence may be arranged chronologically and placed together among the other documents at a convenient place in relation to the other documents.</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Heading5"/>
      </w:pPr>
      <w:bookmarkStart w:id="177" w:name="_Toc379203976"/>
      <w:bookmarkStart w:id="178" w:name="_Toc491867748"/>
      <w:r>
        <w:rPr>
          <w:rStyle w:val="CharSectno"/>
        </w:rPr>
        <w:t>39</w:t>
      </w:r>
      <w:r>
        <w:t>.</w:t>
      </w:r>
      <w:r>
        <w:tab/>
        <w:t>Appeal book, technical requirements</w:t>
      </w:r>
      <w:bookmarkEnd w:id="177"/>
      <w:bookmarkEnd w:id="178"/>
    </w:p>
    <w:p>
      <w:pPr>
        <w:pStyle w:val="Subsection"/>
      </w:pPr>
      <w:r>
        <w:tab/>
        <w:t>(1)</w:t>
      </w:r>
      <w:r>
        <w:tab/>
        <w:t>Each document in an appeal book must be clearly legible.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w:t>
      </w:r>
    </w:p>
    <w:p>
      <w:pPr>
        <w:pStyle w:val="Indenta"/>
      </w:pPr>
      <w:r>
        <w:tab/>
        <w:t>(b)</w:t>
      </w:r>
      <w:r>
        <w:tab/>
        <w:t>must start with the cover page for that part and volume;</w:t>
      </w:r>
    </w:p>
    <w:p>
      <w:pPr>
        <w:pStyle w:val="Indenta"/>
      </w:pPr>
      <w:r>
        <w:tab/>
        <w:t>(c)</w:t>
      </w:r>
      <w:r>
        <w:tab/>
        <w:t>must contain the index for that part;</w:t>
      </w:r>
    </w:p>
    <w:p>
      <w:pPr>
        <w:pStyle w:val="Indenta"/>
      </w:pPr>
      <w:r>
        <w:tab/>
        <w:t>(d)</w:t>
      </w:r>
      <w:r>
        <w:tab/>
        <w:t>must not comprise more than more than 500 pages (which is to say 250 sheets of paper);</w:t>
      </w:r>
    </w:p>
    <w:p>
      <w:pPr>
        <w:pStyle w:val="Indenta"/>
      </w:pPr>
      <w:r>
        <w:tab/>
        <w:t>(e)</w:t>
      </w:r>
      <w:r>
        <w:tab/>
        <w:t>must have a back sheet of the colour required for that part; and</w:t>
      </w:r>
    </w:p>
    <w:p>
      <w:pPr>
        <w:pStyle w:val="Indenta"/>
      </w:pPr>
      <w:r>
        <w:tab/>
        <w:t>(f)</w:t>
      </w:r>
      <w:r>
        <w:tab/>
        <w:t>must be bound so that when it is opened at a page, both sides of the volume lie flat and open at the page.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Heading5"/>
      </w:pPr>
      <w:bookmarkStart w:id="179" w:name="_Toc379203977"/>
      <w:bookmarkStart w:id="180" w:name="_Toc491867749"/>
      <w:r>
        <w:rPr>
          <w:rStyle w:val="CharSectno"/>
        </w:rPr>
        <w:t>40</w:t>
      </w:r>
      <w:r>
        <w:t>.</w:t>
      </w:r>
      <w:r>
        <w:tab/>
        <w:t>Sentence appeal, appeal book for</w:t>
      </w:r>
      <w:bookmarkEnd w:id="179"/>
      <w:bookmarkEnd w:id="180"/>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181" w:name="_Toc379203978"/>
      <w:bookmarkStart w:id="182" w:name="_Toc491867750"/>
      <w:r>
        <w:rPr>
          <w:rStyle w:val="CharSectno"/>
        </w:rPr>
        <w:t>41</w:t>
      </w:r>
      <w:r>
        <w:t>.</w:t>
      </w:r>
      <w:r>
        <w:tab/>
        <w:t>Appeal books to be prepared etc. by appellant</w:t>
      </w:r>
      <w:bookmarkEnd w:id="181"/>
      <w:bookmarkEnd w:id="182"/>
    </w:p>
    <w:p>
      <w:pPr>
        <w:pStyle w:val="Subsection"/>
        <w:keepNext/>
      </w:pPr>
      <w:r>
        <w:tab/>
      </w:r>
      <w:r>
        <w:tab/>
        <w:t>The appellant must —</w:t>
      </w:r>
    </w:p>
    <w:p>
      <w:pPr>
        <w:pStyle w:val="Indenta"/>
      </w:pPr>
      <w:r>
        <w:tab/>
        <w:t>(a)</w:t>
      </w:r>
      <w:r>
        <w:tab/>
        <w:t>prepare the parts of the appeal book in accordance with the settled indexes for it and this Division;</w:t>
      </w:r>
    </w:p>
    <w:p>
      <w:pPr>
        <w:pStyle w:val="Indenta"/>
      </w:pPr>
      <w:r>
        <w:tab/>
        <w:t>(b)</w:t>
      </w:r>
      <w:r>
        <w:tab/>
        <w:t>prepare as many copies of the appeal book as the registrar orders when settling the indexes for it;</w:t>
      </w:r>
    </w:p>
    <w:p>
      <w:pPr>
        <w:pStyle w:val="Indenta"/>
      </w:pPr>
      <w:r>
        <w:tab/>
        <w:t>(c)</w:t>
      </w:r>
      <w:r>
        <w:tab/>
        <w:t>ensure that each party to the appeal, or its lawyer, checks the appeal book and signs a certificate that it is correct before it is filed; and</w:t>
      </w:r>
    </w:p>
    <w:p>
      <w:pPr>
        <w:pStyle w:val="Indenta"/>
      </w:pPr>
      <w:r>
        <w:tab/>
        <w:t>(d)</w:t>
      </w:r>
      <w:r>
        <w:tab/>
        <w:t>file the appeal book on or before the date set by the registrar when settling the indexes for it.</w:t>
      </w:r>
    </w:p>
    <w:p>
      <w:pPr>
        <w:pStyle w:val="Heading3"/>
      </w:pPr>
      <w:bookmarkStart w:id="183" w:name="_Toc379203869"/>
      <w:bookmarkStart w:id="184" w:name="_Toc379203979"/>
      <w:bookmarkStart w:id="185" w:name="_Toc425243323"/>
      <w:bookmarkStart w:id="186" w:name="_Toc490564839"/>
      <w:bookmarkStart w:id="187" w:name="_Toc491160554"/>
      <w:bookmarkStart w:id="188" w:name="_Toc491160666"/>
      <w:bookmarkStart w:id="189" w:name="_Toc491867751"/>
      <w:r>
        <w:rPr>
          <w:rStyle w:val="CharDivNo"/>
        </w:rPr>
        <w:t>Division 4</w:t>
      </w:r>
      <w:r>
        <w:t> — </w:t>
      </w:r>
      <w:r>
        <w:rPr>
          <w:rStyle w:val="CharDivText"/>
        </w:rPr>
        <w:t>Matters prior to the hearing of any appeal</w:t>
      </w:r>
      <w:bookmarkEnd w:id="183"/>
      <w:bookmarkEnd w:id="184"/>
      <w:bookmarkEnd w:id="185"/>
      <w:bookmarkEnd w:id="186"/>
      <w:bookmarkEnd w:id="187"/>
      <w:bookmarkEnd w:id="188"/>
      <w:bookmarkEnd w:id="189"/>
    </w:p>
    <w:p>
      <w:pPr>
        <w:pStyle w:val="Heading5"/>
      </w:pPr>
      <w:bookmarkStart w:id="190" w:name="_Toc379203980"/>
      <w:bookmarkStart w:id="191" w:name="_Toc491867752"/>
      <w:r>
        <w:rPr>
          <w:rStyle w:val="CharSectno"/>
        </w:rPr>
        <w:t>42</w:t>
      </w:r>
      <w:r>
        <w:t>.</w:t>
      </w:r>
      <w:r>
        <w:tab/>
        <w:t>Application of Division</w:t>
      </w:r>
      <w:bookmarkEnd w:id="190"/>
      <w:bookmarkEnd w:id="191"/>
    </w:p>
    <w:p>
      <w:pPr>
        <w:pStyle w:val="Subsection"/>
      </w:pPr>
      <w:r>
        <w:tab/>
      </w:r>
      <w:r>
        <w:tab/>
        <w:t>This Division applies to any appeal, civil or criminal, unless the contrary intention appears.</w:t>
      </w:r>
    </w:p>
    <w:p>
      <w:pPr>
        <w:pStyle w:val="Heading5"/>
      </w:pPr>
      <w:bookmarkStart w:id="192" w:name="_Toc379203981"/>
      <w:bookmarkStart w:id="193" w:name="_Toc491867753"/>
      <w:r>
        <w:rPr>
          <w:rStyle w:val="CharSectno"/>
        </w:rPr>
        <w:t>43</w:t>
      </w:r>
      <w:r>
        <w:t>.</w:t>
      </w:r>
      <w:r>
        <w:tab/>
        <w:t>Single judge’s jurisdiction</w:t>
      </w:r>
      <w:bookmarkEnd w:id="192"/>
      <w:bookmarkEnd w:id="193"/>
    </w:p>
    <w:p>
      <w:pPr>
        <w:pStyle w:val="Subsection"/>
      </w:pPr>
      <w:r>
        <w:tab/>
        <w:t>(1)</w:t>
      </w:r>
      <w:r>
        <w:tab/>
        <w:t>In this rule a reference to making an interim order includes a reference to amending or cancelling an interim order.</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adjourn the question to the hearing of the appeal;</w:t>
      </w:r>
    </w:p>
    <w:p>
      <w:pPr>
        <w:pStyle w:val="Indenta"/>
      </w:pPr>
      <w:r>
        <w:tab/>
        <w:t>(b)</w:t>
      </w:r>
      <w:r>
        <w:tab/>
        <w:t>to give or to refuse to give leave to appeal or to adjourn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(l)</w:t>
      </w:r>
      <w:r>
        <w:tab/>
        <w:t>to make any order that it is necessary or convenient to make as a result of an order made under any of the above paragraphs.</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Heading5"/>
      </w:pPr>
      <w:bookmarkStart w:id="194" w:name="_Toc379203982"/>
      <w:bookmarkStart w:id="195" w:name="_Toc491867754"/>
      <w:r>
        <w:rPr>
          <w:rStyle w:val="CharSectno"/>
        </w:rPr>
        <w:t>44</w:t>
      </w:r>
      <w:r>
        <w:t>.</w:t>
      </w:r>
      <w:r>
        <w:tab/>
        <w:t>Interim order, applying for</w:t>
      </w:r>
      <w:bookmarkEnd w:id="194"/>
      <w:bookmarkEnd w:id="19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 xml:space="preserve">To make such an application, the party must file a Form 9 with —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 xml:space="preserve">unless — </w:t>
      </w:r>
    </w:p>
    <w:p>
      <w:pPr>
        <w:pStyle w:val="Indenta"/>
      </w:pPr>
      <w:r>
        <w:tab/>
        <w:t>(c)</w:t>
      </w:r>
      <w:r>
        <w:tab/>
        <w:t>these rules (other than the RSC) provide otherwise;</w:t>
      </w:r>
    </w:p>
    <w:p>
      <w:pPr>
        <w:pStyle w:val="Indenta"/>
      </w:pPr>
      <w:r>
        <w:tab/>
        <w:t>(d)</w:t>
      </w:r>
      <w:r>
        <w:tab/>
        <w:t>another written law provides otherwise; or</w:t>
      </w:r>
    </w:p>
    <w:p>
      <w:pPr>
        <w:pStyle w:val="Indenta"/>
      </w:pPr>
      <w:r>
        <w:tab/>
        <w:t>(e)</w:t>
      </w:r>
      <w:r>
        <w:tab/>
        <w:t>a single judge orders otherwise.</w:t>
      </w:r>
    </w:p>
    <w:p>
      <w:pPr>
        <w:pStyle w:val="Heading5"/>
      </w:pPr>
      <w:bookmarkStart w:id="196" w:name="_Toc379203983"/>
      <w:bookmarkStart w:id="197" w:name="_Toc491867755"/>
      <w:r>
        <w:rPr>
          <w:rStyle w:val="CharSectno"/>
        </w:rPr>
        <w:t>45</w:t>
      </w:r>
      <w:r>
        <w:t>.</w:t>
      </w:r>
      <w:r>
        <w:tab/>
        <w:t>Consenting to orders</w:t>
      </w:r>
      <w:bookmarkEnd w:id="196"/>
      <w:bookmarkEnd w:id="197"/>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the registrar can make, the registrar must refer the Form 10 to a single judge who may make the order if it is just to do so.</w:t>
      </w:r>
    </w:p>
    <w:p>
      <w:pPr>
        <w:pStyle w:val="Subsection"/>
      </w:pPr>
      <w:r>
        <w:tab/>
        <w:t>(3)</w:t>
      </w:r>
      <w:r>
        <w:tab/>
        <w:t>If the order is one the registrar can make, the registrar may make the order if it is just to do so.</w:t>
      </w:r>
    </w:p>
    <w:p>
      <w:pPr>
        <w:pStyle w:val="Heading5"/>
      </w:pPr>
      <w:bookmarkStart w:id="198" w:name="_Toc379203984"/>
      <w:bookmarkStart w:id="199" w:name="_Toc491867756"/>
      <w:r>
        <w:rPr>
          <w:rStyle w:val="CharSectno"/>
        </w:rPr>
        <w:t>46</w:t>
      </w:r>
      <w:r>
        <w:t>.</w:t>
      </w:r>
      <w:r>
        <w:tab/>
        <w:t>Urgent appeal order, nature of</w:t>
      </w:r>
      <w:bookmarkEnd w:id="198"/>
      <w:bookmarkEnd w:id="19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200" w:name="_Toc379203985"/>
      <w:bookmarkStart w:id="201" w:name="_Toc491867757"/>
      <w:r>
        <w:rPr>
          <w:rStyle w:val="CharSectno"/>
        </w:rPr>
        <w:t>47</w:t>
      </w:r>
      <w:r>
        <w:t>.</w:t>
      </w:r>
      <w:r>
        <w:tab/>
        <w:t>Case management</w:t>
      </w:r>
      <w:bookmarkEnd w:id="200"/>
      <w:bookmarkEnd w:id="201"/>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 xml:space="preserve">the Court of Appeal Registrar; or </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in Gazette 16 Aug 2017 p. 4427.]</w:t>
      </w:r>
    </w:p>
    <w:p>
      <w:pPr>
        <w:pStyle w:val="Heading5"/>
      </w:pPr>
      <w:bookmarkStart w:id="202" w:name="_Toc379203986"/>
      <w:bookmarkStart w:id="203" w:name="_Toc491867758"/>
      <w:r>
        <w:rPr>
          <w:rStyle w:val="CharSectno"/>
        </w:rPr>
        <w:t>48</w:t>
      </w:r>
      <w:r>
        <w:t>.</w:t>
      </w:r>
      <w:r>
        <w:tab/>
        <w:t>Applications for adjournments to be made promptly</w:t>
      </w:r>
      <w:bookmarkEnd w:id="202"/>
      <w:bookmarkEnd w:id="203"/>
    </w:p>
    <w:p>
      <w:pPr>
        <w:pStyle w:val="Subsection"/>
      </w:pPr>
      <w:r>
        <w:tab/>
      </w:r>
      <w:r>
        <w:tab/>
        <w:t>An application for an adjournment of the hearing of an appeal must be made immediately it is known that an adjournment is wanted.</w:t>
      </w:r>
    </w:p>
    <w:p>
      <w:pPr>
        <w:pStyle w:val="Heading5"/>
      </w:pPr>
      <w:bookmarkStart w:id="204" w:name="_Toc379203987"/>
      <w:bookmarkStart w:id="205" w:name="_Toc491867759"/>
      <w:r>
        <w:rPr>
          <w:rStyle w:val="CharSectno"/>
        </w:rPr>
        <w:t>49</w:t>
      </w:r>
      <w:r>
        <w:t>.</w:t>
      </w:r>
      <w:r>
        <w:tab/>
        <w:t>Offers of compromise</w:t>
      </w:r>
      <w:bookmarkEnd w:id="204"/>
      <w:bookmarkEnd w:id="205"/>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206" w:name="_Toc379203988"/>
      <w:bookmarkStart w:id="207" w:name="_Toc491867760"/>
      <w:r>
        <w:rPr>
          <w:rStyle w:val="CharSectno"/>
        </w:rPr>
        <w:t>50</w:t>
      </w:r>
      <w:r>
        <w:t>.</w:t>
      </w:r>
      <w:r>
        <w:tab/>
        <w:t>Court to be advised immediately of settlement etc.</w:t>
      </w:r>
      <w:bookmarkEnd w:id="206"/>
      <w:bookmarkEnd w:id="207"/>
    </w:p>
    <w:p>
      <w:pPr>
        <w:pStyle w:val="Subsection"/>
      </w:pPr>
      <w:r>
        <w:tab/>
      </w:r>
      <w:r>
        <w:tab/>
        <w:t>If the parties to an appeal agree to settle the whole or any part of an appeal, they must notify the Court of Appeal Office immediately.</w:t>
      </w:r>
    </w:p>
    <w:p>
      <w:pPr>
        <w:pStyle w:val="Heading3"/>
      </w:pPr>
      <w:bookmarkStart w:id="208" w:name="_Toc379203879"/>
      <w:bookmarkStart w:id="209" w:name="_Toc379203989"/>
      <w:bookmarkStart w:id="210" w:name="_Toc425243333"/>
      <w:bookmarkStart w:id="211" w:name="_Toc490564849"/>
      <w:bookmarkStart w:id="212" w:name="_Toc491160564"/>
      <w:bookmarkStart w:id="213" w:name="_Toc491160676"/>
      <w:bookmarkStart w:id="214" w:name="_Toc491867761"/>
      <w:r>
        <w:rPr>
          <w:rStyle w:val="CharDivNo"/>
        </w:rPr>
        <w:t>Division 5</w:t>
      </w:r>
      <w:r>
        <w:t> — </w:t>
      </w:r>
      <w:r>
        <w:rPr>
          <w:rStyle w:val="CharDivText"/>
        </w:rPr>
        <w:t>Matters prior to the hearing of a criminal appeal</w:t>
      </w:r>
      <w:bookmarkEnd w:id="208"/>
      <w:bookmarkEnd w:id="209"/>
      <w:bookmarkEnd w:id="210"/>
      <w:bookmarkEnd w:id="211"/>
      <w:bookmarkEnd w:id="212"/>
      <w:bookmarkEnd w:id="213"/>
      <w:bookmarkEnd w:id="214"/>
    </w:p>
    <w:p>
      <w:pPr>
        <w:pStyle w:val="Heading5"/>
      </w:pPr>
      <w:bookmarkStart w:id="215" w:name="_Toc379203990"/>
      <w:bookmarkStart w:id="216" w:name="_Toc491867762"/>
      <w:r>
        <w:rPr>
          <w:rStyle w:val="CharSectno"/>
        </w:rPr>
        <w:t>51</w:t>
      </w:r>
      <w:r>
        <w:t>.</w:t>
      </w:r>
      <w:r>
        <w:tab/>
        <w:t>Application of Division</w:t>
      </w:r>
      <w:bookmarkEnd w:id="215"/>
      <w:bookmarkEnd w:id="216"/>
    </w:p>
    <w:p>
      <w:pPr>
        <w:pStyle w:val="Subsection"/>
      </w:pPr>
      <w:r>
        <w:tab/>
      </w:r>
      <w:r>
        <w:tab/>
        <w:t>This Division applies to criminal appeals.</w:t>
      </w:r>
    </w:p>
    <w:p>
      <w:pPr>
        <w:pStyle w:val="Heading5"/>
      </w:pPr>
      <w:bookmarkStart w:id="217" w:name="_Toc379203991"/>
      <w:bookmarkStart w:id="218" w:name="_Toc491867763"/>
      <w:r>
        <w:rPr>
          <w:rStyle w:val="CharSectno"/>
        </w:rPr>
        <w:t>52</w:t>
      </w:r>
      <w:r>
        <w:t>.</w:t>
      </w:r>
      <w:r>
        <w:tab/>
        <w:t>Applications for certain orders under CAA s. 40(1)</w:t>
      </w:r>
      <w:bookmarkEnd w:id="217"/>
      <w:bookmarkEnd w:id="218"/>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219" w:name="_Toc379203992"/>
      <w:bookmarkStart w:id="220" w:name="_Toc491867764"/>
      <w:r>
        <w:rPr>
          <w:rStyle w:val="CharSectno"/>
        </w:rPr>
        <w:t>53</w:t>
      </w:r>
      <w:r>
        <w:t>.</w:t>
      </w:r>
      <w:r>
        <w:tab/>
        <w:t>Single judge’s jurisdiction</w:t>
      </w:r>
      <w:bookmarkEnd w:id="219"/>
      <w:bookmarkEnd w:id="220"/>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221" w:name="_Toc379203993"/>
      <w:bookmarkStart w:id="222" w:name="_Toc491867765"/>
      <w:r>
        <w:rPr>
          <w:rStyle w:val="CharSectno"/>
        </w:rPr>
        <w:t>54</w:t>
      </w:r>
      <w:r>
        <w:t>.</w:t>
      </w:r>
      <w:r>
        <w:tab/>
        <w:t>Witnesses required by the Court of Appeal</w:t>
      </w:r>
      <w:bookmarkEnd w:id="221"/>
      <w:bookmarkEnd w:id="222"/>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223" w:name="_Toc379203994"/>
      <w:bookmarkStart w:id="224" w:name="_Toc491867766"/>
      <w:r>
        <w:rPr>
          <w:rStyle w:val="CharSectno"/>
        </w:rPr>
        <w:t>55</w:t>
      </w:r>
      <w:r>
        <w:t>.</w:t>
      </w:r>
      <w:r>
        <w:tab/>
        <w:t>Proceedings before an examiner</w:t>
      </w:r>
      <w:bookmarkEnd w:id="223"/>
      <w:bookmarkEnd w:id="224"/>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the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the registrar the certified recorded version and any record or thing referred to by the witness.</w:t>
      </w:r>
    </w:p>
    <w:p>
      <w:pPr>
        <w:pStyle w:val="Subsection"/>
      </w:pPr>
      <w:r>
        <w:tab/>
        <w:t>(6)</w:t>
      </w:r>
      <w:r>
        <w:tab/>
        <w:t>The registrar must keep the material supplied by the examiner in safe custody and deal with it in accordance with the directions of the Court of Appeal.</w:t>
      </w:r>
    </w:p>
    <w:p>
      <w:pPr>
        <w:pStyle w:val="Heading5"/>
      </w:pPr>
      <w:bookmarkStart w:id="225" w:name="_Toc379203995"/>
      <w:bookmarkStart w:id="226" w:name="_Toc491867767"/>
      <w:r>
        <w:rPr>
          <w:rStyle w:val="CharSectno"/>
        </w:rPr>
        <w:t>56</w:t>
      </w:r>
      <w:r>
        <w:t>.</w:t>
      </w:r>
      <w:r>
        <w:tab/>
        <w:t>Special commissioners and assessors (CAA s. 40(1))</w:t>
      </w:r>
      <w:bookmarkEnd w:id="225"/>
      <w:bookmarkEnd w:id="226"/>
    </w:p>
    <w:p>
      <w:pPr>
        <w:pStyle w:val="Subsection"/>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The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the registrar who must deal with it in accordance with the court’s orders.</w:t>
      </w:r>
    </w:p>
    <w:p>
      <w:pPr>
        <w:pStyle w:val="Heading3"/>
      </w:pPr>
      <w:bookmarkStart w:id="227" w:name="_Toc379203886"/>
      <w:bookmarkStart w:id="228" w:name="_Toc379203996"/>
      <w:bookmarkStart w:id="229" w:name="_Toc425243340"/>
      <w:bookmarkStart w:id="230" w:name="_Toc490564856"/>
      <w:bookmarkStart w:id="231" w:name="_Toc491160571"/>
      <w:bookmarkStart w:id="232" w:name="_Toc491160683"/>
      <w:bookmarkStart w:id="233" w:name="_Toc491867768"/>
      <w:r>
        <w:rPr>
          <w:rStyle w:val="CharDivNo"/>
        </w:rPr>
        <w:t>Division 6</w:t>
      </w:r>
      <w:r>
        <w:t> — </w:t>
      </w:r>
      <w:r>
        <w:rPr>
          <w:rStyle w:val="CharDivText"/>
        </w:rPr>
        <w:t>Hearing an appeal</w:t>
      </w:r>
      <w:bookmarkEnd w:id="227"/>
      <w:bookmarkEnd w:id="228"/>
      <w:bookmarkEnd w:id="229"/>
      <w:bookmarkEnd w:id="230"/>
      <w:bookmarkEnd w:id="231"/>
      <w:bookmarkEnd w:id="232"/>
      <w:bookmarkEnd w:id="233"/>
    </w:p>
    <w:p>
      <w:pPr>
        <w:pStyle w:val="Heading5"/>
      </w:pPr>
      <w:bookmarkStart w:id="234" w:name="_Toc379203997"/>
      <w:bookmarkStart w:id="235" w:name="_Toc491867769"/>
      <w:r>
        <w:rPr>
          <w:rStyle w:val="CharSectno"/>
        </w:rPr>
        <w:t>57</w:t>
      </w:r>
      <w:r>
        <w:t>.</w:t>
      </w:r>
      <w:r>
        <w:tab/>
        <w:t>Hearing date to be set</w:t>
      </w:r>
      <w:bookmarkEnd w:id="234"/>
      <w:bookmarkEnd w:id="235"/>
    </w:p>
    <w:p>
      <w:pPr>
        <w:pStyle w:val="Subsection"/>
      </w:pPr>
      <w:r>
        <w:tab/>
      </w:r>
      <w:r>
        <w:tab/>
        <w:t>When a date for hearing an appeal is set, the registrar must send each party a Form 15.</w:t>
      </w:r>
    </w:p>
    <w:p>
      <w:pPr>
        <w:pStyle w:val="Heading5"/>
      </w:pPr>
      <w:bookmarkStart w:id="236" w:name="_Toc379203998"/>
      <w:bookmarkStart w:id="237" w:name="_Toc491867770"/>
      <w:r>
        <w:rPr>
          <w:rStyle w:val="CharSectno"/>
        </w:rPr>
        <w:t>58</w:t>
      </w:r>
      <w:r>
        <w:t>.</w:t>
      </w:r>
      <w:r>
        <w:tab/>
        <w:t>Unreported judgments to be provided</w:t>
      </w:r>
      <w:bookmarkEnd w:id="236"/>
      <w:bookmarkEnd w:id="237"/>
    </w:p>
    <w:p>
      <w:pPr>
        <w:pStyle w:val="Subsection"/>
      </w:pPr>
      <w:r>
        <w:tab/>
      </w:r>
      <w:r>
        <w:tab/>
        <w:t>At least 7 days before the date on which the hearing of an appeal is to begin, each party must file 3 copies of any unreported judgment referred to in any document filed by the party under rule 32 or 33 or an order made by the registrar.</w:t>
      </w:r>
    </w:p>
    <w:p>
      <w:pPr>
        <w:pStyle w:val="Heading3"/>
      </w:pPr>
      <w:bookmarkStart w:id="238" w:name="_Toc379203889"/>
      <w:bookmarkStart w:id="239" w:name="_Toc379203999"/>
      <w:bookmarkStart w:id="240" w:name="_Toc425243343"/>
      <w:bookmarkStart w:id="241" w:name="_Toc490564859"/>
      <w:bookmarkStart w:id="242" w:name="_Toc491160574"/>
      <w:bookmarkStart w:id="243" w:name="_Toc491160686"/>
      <w:bookmarkStart w:id="244" w:name="_Toc491867771"/>
      <w:r>
        <w:rPr>
          <w:rStyle w:val="CharDivNo"/>
        </w:rPr>
        <w:t>Division 7</w:t>
      </w:r>
      <w:r>
        <w:t> — </w:t>
      </w:r>
      <w:r>
        <w:rPr>
          <w:rStyle w:val="CharDivText"/>
        </w:rPr>
        <w:t>Concluding an appeal</w:t>
      </w:r>
      <w:bookmarkEnd w:id="238"/>
      <w:bookmarkEnd w:id="239"/>
      <w:bookmarkEnd w:id="240"/>
      <w:bookmarkEnd w:id="241"/>
      <w:bookmarkEnd w:id="242"/>
      <w:bookmarkEnd w:id="243"/>
      <w:bookmarkEnd w:id="244"/>
    </w:p>
    <w:p>
      <w:pPr>
        <w:pStyle w:val="Heading5"/>
      </w:pPr>
      <w:bookmarkStart w:id="245" w:name="_Toc379204000"/>
      <w:bookmarkStart w:id="246" w:name="_Toc491867772"/>
      <w:r>
        <w:rPr>
          <w:rStyle w:val="CharSectno"/>
        </w:rPr>
        <w:t>59</w:t>
      </w:r>
      <w:r>
        <w:t>.</w:t>
      </w:r>
      <w:r>
        <w:tab/>
        <w:t>Discontinuing an appeal</w:t>
      </w:r>
      <w:bookmarkEnd w:id="245"/>
      <w:bookmarkEnd w:id="246"/>
    </w:p>
    <w:p>
      <w:pPr>
        <w:pStyle w:val="Subsection"/>
      </w:pPr>
      <w:r>
        <w:tab/>
        <w:t>(1)</w:t>
      </w:r>
      <w:r>
        <w:tab/>
        <w:t>The appellant may discontinue an appeal by filing and serving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Heading5"/>
      </w:pPr>
      <w:bookmarkStart w:id="247" w:name="_Toc379204001"/>
      <w:bookmarkStart w:id="248" w:name="_Toc491867773"/>
      <w:r>
        <w:rPr>
          <w:rStyle w:val="CharSectno"/>
        </w:rPr>
        <w:t>60</w:t>
      </w:r>
      <w:r>
        <w:t>.</w:t>
      </w:r>
      <w:r>
        <w:tab/>
        <w:t>Settling an appeal</w:t>
      </w:r>
      <w:bookmarkEnd w:id="247"/>
      <w:bookmarkEnd w:id="248"/>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the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Heading5"/>
      </w:pPr>
      <w:bookmarkStart w:id="249" w:name="_Toc379204002"/>
      <w:bookmarkStart w:id="250" w:name="_Toc491867774"/>
      <w:r>
        <w:rPr>
          <w:rStyle w:val="CharSectno"/>
        </w:rPr>
        <w:t>61</w:t>
      </w:r>
      <w:r>
        <w:t>.</w:t>
      </w:r>
      <w:r>
        <w:tab/>
        <w:t>Guideline judgments</w:t>
      </w:r>
      <w:bookmarkEnd w:id="249"/>
      <w:bookmarkEnd w:id="250"/>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251" w:name="_Toc379204003"/>
      <w:bookmarkStart w:id="252" w:name="_Toc491867775"/>
      <w:r>
        <w:rPr>
          <w:rStyle w:val="CharSectno"/>
        </w:rPr>
        <w:t>62</w:t>
      </w:r>
      <w:r>
        <w:t>.</w:t>
      </w:r>
      <w:r>
        <w:tab/>
        <w:t>Criminal appeals, certificate of conclusion of</w:t>
      </w:r>
      <w:bookmarkEnd w:id="251"/>
      <w:bookmarkEnd w:id="252"/>
    </w:p>
    <w:p>
      <w:pPr>
        <w:pStyle w:val="Subsection"/>
      </w:pPr>
      <w:r>
        <w:tab/>
        <w:t>(1)</w:t>
      </w:r>
      <w:r>
        <w:tab/>
        <w:t>This rule applies to any criminal appeal.</w:t>
      </w:r>
    </w:p>
    <w:p>
      <w:pPr>
        <w:pStyle w:val="Subsection"/>
      </w:pPr>
      <w:r>
        <w:tab/>
        <w:t>(2)</w:t>
      </w:r>
      <w:r>
        <w:tab/>
        <w:t>When the appeal is concluded, the registrar must issue a Form 17.</w:t>
      </w:r>
    </w:p>
    <w:p>
      <w:pPr>
        <w:pStyle w:val="Subsection"/>
      </w:pPr>
      <w:r>
        <w:tab/>
        <w:t>(3)</w:t>
      </w:r>
      <w:r>
        <w:tab/>
        <w:t>The Form 17 is the formal record of the Court of Appeal and forms part of the Supreme Court’s record.</w:t>
      </w:r>
    </w:p>
    <w:p>
      <w:pPr>
        <w:pStyle w:val="Subsection"/>
      </w:pPr>
      <w:r>
        <w:tab/>
        <w:t>(4)</w:t>
      </w:r>
      <w:r>
        <w:tab/>
        <w:t>The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Heading5"/>
      </w:pPr>
      <w:bookmarkStart w:id="253" w:name="_Toc379204004"/>
      <w:bookmarkStart w:id="254" w:name="_Toc491867776"/>
      <w:r>
        <w:rPr>
          <w:rStyle w:val="CharSectno"/>
        </w:rPr>
        <w:t>63</w:t>
      </w:r>
      <w:r>
        <w:t>.</w:t>
      </w:r>
      <w:r>
        <w:tab/>
        <w:t>Other appeals, final orders on</w:t>
      </w:r>
      <w:bookmarkEnd w:id="253"/>
      <w:bookmarkEnd w:id="254"/>
    </w:p>
    <w:p>
      <w:pPr>
        <w:pStyle w:val="Subsection"/>
      </w:pPr>
      <w:r>
        <w:tab/>
        <w:t>(1)</w:t>
      </w:r>
      <w:r>
        <w:tab/>
        <w:t>This rule applies to any appeal that is not a criminal appeal.</w:t>
      </w:r>
    </w:p>
    <w:p>
      <w:pPr>
        <w:pStyle w:val="Subsection"/>
      </w:pPr>
      <w:r>
        <w:tab/>
        <w:t>(2)</w:t>
      </w:r>
      <w:r>
        <w:tab/>
        <w:t>When the appeal is concluded, the RSC Order 43 (other than rule 16) applies subject to this rule.</w:t>
      </w:r>
    </w:p>
    <w:p>
      <w:pPr>
        <w:pStyle w:val="Subsection"/>
      </w:pPr>
      <w:r>
        <w:tab/>
        <w:t>(3)</w:t>
      </w:r>
      <w:r>
        <w:tab/>
        <w:t>The party lodging the draft judgment or order under the RSC Order 43 rule 6 may lodge it by sending it to the Court of Appeal as an attachment to an email.</w:t>
      </w:r>
    </w:p>
    <w:p>
      <w:pPr>
        <w:pStyle w:val="Subsection"/>
      </w:pPr>
      <w:r>
        <w:tab/>
        <w:t>(4)</w:t>
      </w:r>
      <w:r>
        <w:tab/>
        <w:t>The registrar must send a copy of the Court of Appeal’s judgment or order to the primary court, unless it is the Supreme Court.</w:t>
      </w:r>
    </w:p>
    <w:p>
      <w:pPr>
        <w:pStyle w:val="Heading5"/>
      </w:pPr>
      <w:bookmarkStart w:id="255" w:name="_Toc379204005"/>
      <w:bookmarkStart w:id="256" w:name="_Toc491867777"/>
      <w:r>
        <w:rPr>
          <w:rStyle w:val="CharSectno"/>
        </w:rPr>
        <w:t>64</w:t>
      </w:r>
      <w:r>
        <w:t>.</w:t>
      </w:r>
      <w:r>
        <w:tab/>
        <w:t>Return of exhibits</w:t>
      </w:r>
      <w:bookmarkEnd w:id="255"/>
      <w:bookmarkEnd w:id="256"/>
    </w:p>
    <w:p>
      <w:pPr>
        <w:pStyle w:val="Subsection"/>
      </w:pPr>
      <w:r>
        <w:tab/>
        <w:t>(1)</w:t>
      </w:r>
      <w:r>
        <w:tab/>
        <w:t>After an appeal is concluded, the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The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the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the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the registrar to destroy it or dispose of it in some other way.</w:t>
      </w:r>
    </w:p>
    <w:p>
      <w:pPr>
        <w:pStyle w:val="Heading5"/>
      </w:pPr>
      <w:bookmarkStart w:id="257" w:name="_Toc379204006"/>
      <w:bookmarkStart w:id="258" w:name="_Toc491867778"/>
      <w:r>
        <w:rPr>
          <w:rStyle w:val="CharSectno"/>
        </w:rPr>
        <w:t>65</w:t>
      </w:r>
      <w:r>
        <w:t>.</w:t>
      </w:r>
      <w:r>
        <w:tab/>
        <w:t>Enforcing judgments and orders</w:t>
      </w:r>
      <w:bookmarkEnd w:id="257"/>
      <w:bookmarkEnd w:id="258"/>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259" w:name="_Toc379204007"/>
      <w:bookmarkStart w:id="260" w:name="_Toc491867779"/>
      <w:r>
        <w:rPr>
          <w:rStyle w:val="CharSectno"/>
        </w:rPr>
        <w:t>66</w:t>
      </w:r>
      <w:r>
        <w:t>.</w:t>
      </w:r>
      <w:r>
        <w:tab/>
        <w:t>Costs</w:t>
      </w:r>
      <w:bookmarkEnd w:id="259"/>
      <w:bookmarkEnd w:id="260"/>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A party who does not file a document required by these rules within the time specified in or under these rules for doing so is not entitled to the costs of preparing and filing the document unless the Court of Appeal orders otherwise.</w:t>
      </w:r>
    </w:p>
    <w:p>
      <w:pPr>
        <w:pStyle w:val="Subsection"/>
      </w:pPr>
      <w:r>
        <w:tab/>
        <w:t>(3)</w:t>
      </w:r>
      <w:r>
        <w:tab/>
        <w:t>Subrule (2) does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cause unless the Court of Appeal orders otherwise.</w:t>
      </w:r>
    </w:p>
    <w:p>
      <w:pPr>
        <w:pStyle w:val="Subsection"/>
      </w:pPr>
      <w:r>
        <w:tab/>
        <w:t>(5)</w:t>
      </w:r>
      <w:r>
        <w:tab/>
        <w:t>The costs of copies of unnecessary documents or of copies of unnecessary parts of documents will not be allowed.</w:t>
      </w:r>
    </w:p>
    <w:p>
      <w:pPr>
        <w:pStyle w:val="Heading2"/>
      </w:pPr>
      <w:bookmarkStart w:id="261" w:name="_Toc379203898"/>
      <w:bookmarkStart w:id="262" w:name="_Toc379204008"/>
      <w:bookmarkStart w:id="263" w:name="_Toc425243352"/>
      <w:bookmarkStart w:id="264" w:name="_Toc490564868"/>
      <w:bookmarkStart w:id="265" w:name="_Toc491160583"/>
      <w:bookmarkStart w:id="266" w:name="_Toc491160695"/>
      <w:bookmarkStart w:id="267" w:name="_Toc491867780"/>
      <w:r>
        <w:rPr>
          <w:rStyle w:val="CharPartNo"/>
        </w:rPr>
        <w:t>Part 6</w:t>
      </w:r>
      <w:r>
        <w:rPr>
          <w:rStyle w:val="CharDivNo"/>
        </w:rPr>
        <w:t> </w:t>
      </w:r>
      <w:r>
        <w:t>—</w:t>
      </w:r>
      <w:r>
        <w:rPr>
          <w:rStyle w:val="CharDivText"/>
        </w:rPr>
        <w:t> </w:t>
      </w:r>
      <w:r>
        <w:rPr>
          <w:rStyle w:val="CharPartText"/>
        </w:rPr>
        <w:t>Referred and other CA matters</w:t>
      </w:r>
      <w:bookmarkEnd w:id="261"/>
      <w:bookmarkEnd w:id="262"/>
      <w:bookmarkEnd w:id="263"/>
      <w:bookmarkEnd w:id="264"/>
      <w:bookmarkEnd w:id="265"/>
      <w:bookmarkEnd w:id="266"/>
      <w:bookmarkEnd w:id="267"/>
    </w:p>
    <w:p>
      <w:pPr>
        <w:pStyle w:val="Heading5"/>
      </w:pPr>
      <w:bookmarkStart w:id="268" w:name="_Toc379204009"/>
      <w:bookmarkStart w:id="269" w:name="_Toc491867781"/>
      <w:r>
        <w:rPr>
          <w:rStyle w:val="CharSectno"/>
        </w:rPr>
        <w:t>67</w:t>
      </w:r>
      <w:r>
        <w:t>.</w:t>
      </w:r>
      <w:r>
        <w:tab/>
        <w:t>Referring a legal issue to the Court of Appeal</w:t>
      </w:r>
      <w:bookmarkEnd w:id="268"/>
      <w:bookmarkEnd w:id="269"/>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w:t>
      </w:r>
    </w:p>
    <w:p>
      <w:pPr>
        <w:pStyle w:val="Indenta"/>
      </w:pPr>
      <w:r>
        <w:tab/>
        <w:t>(b)</w:t>
      </w:r>
      <w:r>
        <w:tab/>
        <w:t>the circumstances out of which the legal issue being referred arose must refer to all the facts out of which the issue arose;</w:t>
      </w:r>
    </w:p>
    <w:p>
      <w:pPr>
        <w:pStyle w:val="Indenta"/>
      </w:pPr>
      <w:r>
        <w:tab/>
        <w:t>(c)</w:t>
      </w:r>
      <w:r>
        <w:tab/>
        <w:t>the circumstances out of which the legal issue being referred arose must be set out in numbered paragraphs;</w:t>
      </w:r>
    </w:p>
    <w:p>
      <w:pPr>
        <w:pStyle w:val="Indenta"/>
      </w:pPr>
      <w:r>
        <w:tab/>
        <w:t>(d)</w:t>
      </w:r>
      <w:r>
        <w:tab/>
        <w:t>the list of materials to be considered must include any document to which the Court of Appeal may need to refer to decide the legal issue;</w:t>
      </w:r>
    </w:p>
    <w:p>
      <w:pPr>
        <w:pStyle w:val="Indenta"/>
      </w:pPr>
      <w:r>
        <w:tab/>
        <w:t>(e)</w:t>
      </w:r>
      <w:r>
        <w:tab/>
        <w:t>all the documents to which the Court of Appeal may need to refer to decide the legal issue must be attached to the form.</w:t>
      </w:r>
    </w:p>
    <w:p>
      <w:pPr>
        <w:pStyle w:val="Heading5"/>
      </w:pPr>
      <w:bookmarkStart w:id="270" w:name="_Toc379204010"/>
      <w:bookmarkStart w:id="271" w:name="_Toc491867782"/>
      <w:r>
        <w:rPr>
          <w:rStyle w:val="CharSectno"/>
        </w:rPr>
        <w:t>68</w:t>
      </w:r>
      <w:r>
        <w:t>.</w:t>
      </w:r>
      <w:r>
        <w:tab/>
        <w:t>Dealing with referred and other CA matters</w:t>
      </w:r>
      <w:bookmarkEnd w:id="270"/>
      <w:bookmarkEnd w:id="271"/>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272" w:name="_Toc379203901"/>
      <w:bookmarkStart w:id="273" w:name="_Toc379204011"/>
      <w:bookmarkStart w:id="274" w:name="_Toc425243355"/>
      <w:bookmarkStart w:id="275" w:name="_Toc490564871"/>
      <w:bookmarkStart w:id="276" w:name="_Toc491160586"/>
      <w:bookmarkStart w:id="277" w:name="_Toc491160698"/>
      <w:bookmarkStart w:id="278" w:name="_Toc491867783"/>
      <w:r>
        <w:rPr>
          <w:rStyle w:val="CharPartNo"/>
        </w:rPr>
        <w:t>Part 7</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p>
    <w:p>
      <w:pPr>
        <w:pStyle w:val="Heading5"/>
      </w:pPr>
      <w:bookmarkStart w:id="279" w:name="_Toc379204012"/>
      <w:bookmarkStart w:id="280" w:name="_Toc491867784"/>
      <w:r>
        <w:rPr>
          <w:rStyle w:val="CharSectno"/>
        </w:rPr>
        <w:t>69</w:t>
      </w:r>
      <w:r>
        <w:t>.</w:t>
      </w:r>
      <w:r>
        <w:tab/>
        <w:t>Removal of District Court appeal into Court of Appeal</w:t>
      </w:r>
      <w:bookmarkEnd w:id="279"/>
      <w:bookmarkEnd w:id="280"/>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281" w:name="_Toc379203903"/>
      <w:bookmarkStart w:id="282" w:name="_Toc379204013"/>
      <w:bookmarkStart w:id="283" w:name="_Toc425243357"/>
      <w:bookmarkStart w:id="284" w:name="_Toc490564873"/>
      <w:bookmarkStart w:id="285" w:name="_Toc491160588"/>
      <w:bookmarkStart w:id="286" w:name="_Toc491160700"/>
      <w:bookmarkStart w:id="287" w:name="_Toc491867785"/>
      <w:r>
        <w:rPr>
          <w:rStyle w:val="CharSchNo"/>
        </w:rPr>
        <w:t>Schedule 1</w:t>
      </w:r>
      <w:r>
        <w:rPr>
          <w:rStyle w:val="CharSDivNo"/>
        </w:rPr>
        <w:t> </w:t>
      </w:r>
      <w:r>
        <w:t>—</w:t>
      </w:r>
      <w:r>
        <w:rPr>
          <w:rStyle w:val="CharSDivText"/>
        </w:rPr>
        <w:t> </w:t>
      </w:r>
      <w:r>
        <w:rPr>
          <w:rStyle w:val="CharSchText"/>
        </w:rPr>
        <w:t>Forms</w:t>
      </w:r>
      <w:bookmarkEnd w:id="281"/>
      <w:bookmarkEnd w:id="282"/>
      <w:bookmarkEnd w:id="283"/>
      <w:bookmarkEnd w:id="284"/>
      <w:bookmarkEnd w:id="285"/>
      <w:bookmarkEnd w:id="286"/>
      <w:bookmarkEnd w:id="287"/>
    </w:p>
    <w:p>
      <w:pPr>
        <w:pStyle w:val="yShoulderClause"/>
      </w:pPr>
      <w:r>
        <w:t>[r. 3]</w:t>
      </w:r>
    </w:p>
    <w:p>
      <w:pPr>
        <w:pStyle w:val="yHeading5"/>
        <w:spacing w:after="240"/>
      </w:pPr>
      <w:bookmarkStart w:id="288" w:name="_Toc379204014"/>
      <w:bookmarkStart w:id="289" w:name="_Toc491867786"/>
      <w:r>
        <w:rPr>
          <w:rStyle w:val="CharSClsNo"/>
        </w:rPr>
        <w:t>1</w:t>
      </w:r>
      <w:r>
        <w:t>.</w:t>
      </w:r>
      <w:r>
        <w:tab/>
        <w:t>Appeal notice (criminal) (r. 28)</w:t>
      </w:r>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r>
              <w:rPr>
                <w:sz w:val="20"/>
                <w:vertAlign w:val="superscript"/>
              </w:rPr>
              <w:t>7</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r>
              <w:rPr>
                <w:sz w:val="20"/>
                <w:vertAlign w:val="superscript"/>
              </w:rPr>
              <w:t>9</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 —</w:t>
      </w:r>
    </w:p>
    <w:p>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pPr>
        <w:pStyle w:val="yMiscellaneousFootnotes"/>
        <w:spacing w:before="0"/>
        <w:ind w:left="425" w:hanging="425"/>
      </w:pPr>
      <w:r>
        <w:t>3.</w:t>
      </w:r>
      <w:r>
        <w:tab/>
        <w:t>State the sentence. E.g. Imprisonment for 18 months with a parol eligibility order cumulative on the sentence for robbery.</w:t>
      </w:r>
    </w:p>
    <w:p>
      <w:pPr>
        <w:pStyle w:val="yMiscellaneousFootnotes"/>
        <w:spacing w:before="0"/>
        <w:ind w:left="425" w:hanging="425"/>
      </w:pPr>
      <w:r>
        <w:t>4.</w:t>
      </w:r>
      <w:r>
        <w:tab/>
        <w:t>State any other order made. E.g. Disqualified from holding or obtaining a driver’s licence for 4 years.</w:t>
      </w:r>
    </w:p>
    <w:p>
      <w:pPr>
        <w:pStyle w:val="yMiscellaneousFootnotes"/>
        <w:spacing w:before="0"/>
        <w:ind w:left="425" w:hanging="425"/>
      </w:pPr>
      <w:r>
        <w:t>5.</w:t>
      </w:r>
      <w:r>
        <w:tab/>
        <w:t>Tick this box if the appeal is against a decision other than a conviction or sentence or other order made as a result of a conviction. See note 1.</w:t>
      </w:r>
    </w:p>
    <w:p>
      <w:pPr>
        <w:pStyle w:val="yMiscellaneousFootnotes"/>
        <w:spacing w:before="0"/>
        <w:ind w:left="425" w:hanging="425"/>
      </w:pPr>
      <w:r>
        <w:t>6.</w:t>
      </w:r>
      <w:r>
        <w:tab/>
        <w:t>Set out the draft grounds in numbered paragraphs.</w:t>
      </w:r>
    </w:p>
    <w:p>
      <w:pPr>
        <w:pStyle w:val="yMiscellaneousFootnotes"/>
        <w:spacing w:before="0"/>
        <w:ind w:left="425" w:hanging="425"/>
      </w:pPr>
      <w:r>
        <w:t>7.</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pPr>
      <w:r>
        <w:t>8.</w:t>
      </w:r>
      <w:r>
        <w:tab/>
        <w:t>Leave this line blank if the appellant is self-represented.</w:t>
      </w:r>
    </w:p>
    <w:p>
      <w:pPr>
        <w:pStyle w:val="yHeading5"/>
        <w:pageBreakBefore/>
        <w:spacing w:after="240"/>
      </w:pPr>
      <w:bookmarkStart w:id="290" w:name="_Toc379204015"/>
      <w:bookmarkStart w:id="291" w:name="_Toc491867787"/>
      <w:r>
        <w:rPr>
          <w:rStyle w:val="CharSClsNo"/>
        </w:rPr>
        <w:t>2</w:t>
      </w:r>
      <w:r>
        <w:t>.</w:t>
      </w:r>
      <w:r>
        <w:tab/>
        <w:t>Appeal notice (civil) (r. 29)</w:t>
      </w:r>
      <w:bookmarkEnd w:id="290"/>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r>
              <w:rPr>
                <w:sz w:val="20"/>
                <w:vertAlign w:val="superscript"/>
              </w:rPr>
              <w:t>4</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2 —</w:t>
      </w:r>
    </w:p>
    <w:p>
      <w:pPr>
        <w:pStyle w:val="yMiscellaneousFootnotes"/>
        <w:spacing w:before="0"/>
        <w:ind w:left="425" w:hanging="425"/>
      </w:pPr>
      <w:r>
        <w:t>1.</w:t>
      </w:r>
      <w:r>
        <w:tab/>
        <w:t>Examples:</w:t>
      </w:r>
    </w:p>
    <w:p>
      <w:pPr>
        <w:pStyle w:val="yMiscellaneousFootnotes"/>
        <w:numPr>
          <w:ilvl w:val="0"/>
          <w:numId w:val="1"/>
        </w:numPr>
        <w:tabs>
          <w:tab w:val="clear" w:pos="1644"/>
        </w:tabs>
        <w:spacing w:before="0"/>
        <w:ind w:left="822"/>
      </w:pPr>
      <w:r>
        <w:t>Judgment against the defendant for $70 000.</w:t>
      </w:r>
    </w:p>
    <w:p>
      <w:pPr>
        <w:pStyle w:val="yMiscellaneousFootnotes"/>
        <w:numPr>
          <w:ilvl w:val="0"/>
          <w:numId w:val="1"/>
        </w:numPr>
        <w:tabs>
          <w:tab w:val="clear" w:pos="1644"/>
        </w:tabs>
        <w:spacing w:before="0"/>
        <w:ind w:left="822"/>
      </w:pPr>
      <w:r>
        <w:t>Dismissal of negligence action.</w:t>
      </w:r>
    </w:p>
    <w:p>
      <w:pPr>
        <w:pStyle w:val="yMiscellaneousFootnotes"/>
        <w:spacing w:before="0"/>
        <w:ind w:left="425" w:hanging="425"/>
      </w:pPr>
      <w:r>
        <w:t>2.</w:t>
      </w:r>
      <w:r>
        <w:tab/>
        <w:t>State the short title of the Act under which the appeal is being made.</w:t>
      </w:r>
    </w:p>
    <w:p>
      <w:pPr>
        <w:pStyle w:val="yMiscellaneousFootnotes"/>
        <w:spacing w:before="0"/>
        <w:ind w:left="425" w:hanging="425"/>
      </w:pPr>
      <w:r>
        <w:t>3.</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pPr>
      <w:r>
        <w:t>4.</w:t>
      </w:r>
      <w:r>
        <w:tab/>
        <w:t>Leave this line blank if the appellant is self-represented.</w:t>
      </w:r>
    </w:p>
    <w:p>
      <w:pPr>
        <w:pStyle w:val="yHeading5"/>
        <w:spacing w:after="240"/>
      </w:pPr>
      <w:bookmarkStart w:id="292" w:name="_Toc379204016"/>
      <w:bookmarkStart w:id="293" w:name="_Toc491867788"/>
      <w:r>
        <w:rPr>
          <w:rStyle w:val="CharSClsNo"/>
        </w:rPr>
        <w:t>3</w:t>
      </w:r>
      <w:r>
        <w:t>.</w:t>
      </w:r>
      <w:r>
        <w:tab/>
        <w:t>Service certificate (r. 28(7) &amp; 29(5))</w:t>
      </w:r>
      <w:bookmarkEnd w:id="292"/>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filed with the appeal notice.</w:t>
            </w:r>
          </w:p>
          <w:p>
            <w:pPr>
              <w:pStyle w:val="yTable"/>
              <w:spacing w:before="0"/>
              <w:rPr>
                <w:sz w:val="20"/>
              </w:rPr>
            </w:pPr>
            <w:r>
              <w:rPr>
                <w:sz w:val="20"/>
              </w:rPr>
              <w:t>I undertake to file an affidavit of service if the Court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3 —</w:t>
      </w:r>
    </w:p>
    <w:p>
      <w:pPr>
        <w:pStyle w:val="yMiscellaneousFootnotes"/>
        <w:spacing w:before="0"/>
        <w:ind w:left="425" w:hanging="425"/>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pPr>
        <w:pStyle w:val="yHeading5"/>
        <w:pageBreakBefore/>
        <w:spacing w:after="240"/>
      </w:pPr>
      <w:bookmarkStart w:id="294" w:name="_Toc379204017"/>
      <w:bookmarkStart w:id="295" w:name="_Toc491867789"/>
      <w:r>
        <w:rPr>
          <w:rStyle w:val="CharSClsNo"/>
        </w:rPr>
        <w:t>4</w:t>
      </w:r>
      <w:r>
        <w:t>.</w:t>
      </w:r>
      <w:r>
        <w:tab/>
        <w:t>Notice of respondent’s intention (r. 31)</w:t>
      </w:r>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respondent’s intention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670" w:type="dxa"/>
            <w:gridSpan w:val="3"/>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418" w:type="dxa"/>
          </w:tcPr>
          <w:p>
            <w:pPr>
              <w:pStyle w:val="yTable"/>
              <w:spacing w:before="0"/>
              <w:rPr>
                <w:sz w:val="20"/>
              </w:rPr>
            </w:pPr>
            <w:r>
              <w:rPr>
                <w:sz w:val="20"/>
              </w:rPr>
              <w:t>Cross appeal</w:t>
            </w:r>
          </w:p>
          <w:p>
            <w:pPr>
              <w:pStyle w:val="yTable"/>
              <w:spacing w:before="0"/>
              <w:rPr>
                <w:sz w:val="20"/>
              </w:rPr>
            </w:pPr>
            <w:r>
              <w:rPr>
                <w:sz w:val="18"/>
              </w:rPr>
              <w:t>[Tick one box]</w:t>
            </w:r>
          </w:p>
        </w:tc>
        <w:tc>
          <w:tcPr>
            <w:tcW w:w="5670" w:type="dxa"/>
            <w:gridSpan w:val="3"/>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418" w:type="dxa"/>
            <w:tcBorders>
              <w:bottom w:val="nil"/>
            </w:tcBorders>
          </w:tcPr>
          <w:p>
            <w:pPr>
              <w:pStyle w:val="yTable"/>
              <w:spacing w:before="0"/>
              <w:rPr>
                <w:sz w:val="20"/>
              </w:rPr>
            </w:pPr>
            <w:r>
              <w:rPr>
                <w:sz w:val="20"/>
              </w:rPr>
              <w:t>Last date for appealing</w:t>
            </w:r>
            <w:r>
              <w:rPr>
                <w:sz w:val="20"/>
                <w:vertAlign w:val="superscript"/>
              </w:rPr>
              <w:t>1</w:t>
            </w:r>
          </w:p>
        </w:tc>
        <w:tc>
          <w:tcPr>
            <w:tcW w:w="567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418" w:type="dxa"/>
            <w:tcBorders>
              <w:bottom w:val="nil"/>
            </w:tcBorders>
          </w:tcPr>
          <w:p>
            <w:pPr>
              <w:pStyle w:val="yTable"/>
              <w:spacing w:before="0"/>
              <w:rPr>
                <w:sz w:val="20"/>
              </w:rPr>
            </w:pPr>
            <w:r>
              <w:rPr>
                <w:sz w:val="20"/>
              </w:rPr>
              <w:t>Leave to appeal</w:t>
            </w:r>
            <w:r>
              <w:rPr>
                <w:sz w:val="20"/>
                <w:vertAlign w:val="superscript"/>
              </w:rPr>
              <w:t>1</w:t>
            </w:r>
          </w:p>
        </w:tc>
        <w:tc>
          <w:tcPr>
            <w:tcW w:w="567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418" w:type="dxa"/>
            <w:tcBorders>
              <w:bottom w:val="nil"/>
            </w:tcBorders>
          </w:tcPr>
          <w:p>
            <w:pPr>
              <w:pStyle w:val="yTable"/>
              <w:spacing w:before="0"/>
              <w:rPr>
                <w:sz w:val="20"/>
              </w:rPr>
            </w:pPr>
            <w:r>
              <w:rPr>
                <w:sz w:val="20"/>
              </w:rPr>
              <w:t>Legal representation</w:t>
            </w:r>
          </w:p>
        </w:tc>
        <w:tc>
          <w:tcPr>
            <w:tcW w:w="5670" w:type="dxa"/>
            <w:gridSpan w:val="3"/>
            <w:tcBorders>
              <w:bottom w:val="nil"/>
            </w:tcBorders>
          </w:tcPr>
          <w:p>
            <w:pPr>
              <w:pStyle w:val="yTable"/>
              <w:tabs>
                <w:tab w:val="left" w:pos="4196"/>
              </w:tabs>
              <w:spacing w:before="0"/>
              <w:rPr>
                <w:sz w:val="20"/>
              </w:rPr>
            </w:pPr>
            <w:r>
              <w:rPr>
                <w:sz w:val="20"/>
              </w:rPr>
              <w:t>Is the respondent legally represented in this appeal? Yes/No</w:t>
            </w:r>
            <w:r>
              <w:rPr>
                <w:sz w:val="20"/>
                <w:vertAlign w:val="superscript"/>
              </w:rPr>
              <w:t>2</w:t>
            </w:r>
          </w:p>
          <w:p>
            <w:pPr>
              <w:pStyle w:val="yTable"/>
              <w:tabs>
                <w:tab w:val="left" w:pos="4196"/>
              </w:tabs>
              <w:spacing w:before="0"/>
              <w:rPr>
                <w:sz w:val="20"/>
              </w:rPr>
            </w:pPr>
            <w:r>
              <w:rPr>
                <w:sz w:val="20"/>
              </w:rPr>
              <w:t>Is the respondent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nil"/>
            </w:tcBorders>
          </w:tcPr>
          <w:p>
            <w:pPr>
              <w:pStyle w:val="yTable"/>
              <w:spacing w:before="0"/>
              <w:rPr>
                <w:sz w:val="20"/>
              </w:rPr>
            </w:pPr>
            <w:r>
              <w:rPr>
                <w:sz w:val="20"/>
              </w:rPr>
              <w:t>Name</w:t>
            </w:r>
            <w:r>
              <w:rPr>
                <w:sz w:val="20"/>
                <w:vertAlign w:val="superscript"/>
              </w:rPr>
              <w:t>3</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4 —</w:t>
      </w:r>
    </w:p>
    <w:p>
      <w:pPr>
        <w:pStyle w:val="yMiscellaneousFootnotes"/>
        <w:spacing w:before="0"/>
        <w:ind w:left="425" w:hanging="425"/>
      </w:pPr>
      <w:r>
        <w:t>1.</w:t>
      </w:r>
      <w:r>
        <w:tab/>
        <w:t>Complete this only if the respondent also appeals against the primary court’s decision.</w:t>
      </w:r>
    </w:p>
    <w:p>
      <w:pPr>
        <w:pStyle w:val="yMiscellaneousFootnotes"/>
        <w:spacing w:before="0"/>
        <w:ind w:left="425" w:hanging="425"/>
      </w:pPr>
      <w:r>
        <w:t>2.</w:t>
      </w:r>
      <w:r>
        <w:tab/>
        <w:t>If the respondent is represented by a lawyer, the respondent’s details below must be the lawyer’s. If the respondent is self-represented, the details must be the respondent’s personal details.</w:t>
      </w:r>
    </w:p>
    <w:p>
      <w:pPr>
        <w:pStyle w:val="yMiscellaneousFootnotes"/>
        <w:spacing w:before="0"/>
        <w:ind w:left="425" w:hanging="425"/>
      </w:pPr>
      <w:r>
        <w:t>3.</w:t>
      </w:r>
      <w:r>
        <w:tab/>
        <w:t>Leave this line blank if the respondent is self-represented.</w:t>
      </w:r>
    </w:p>
    <w:p>
      <w:pPr>
        <w:pStyle w:val="yHeading5"/>
        <w:pageBreakBefore/>
        <w:spacing w:after="240"/>
      </w:pPr>
      <w:bookmarkStart w:id="296" w:name="_Toc379204018"/>
      <w:bookmarkStart w:id="297" w:name="_Toc491867790"/>
      <w:r>
        <w:rPr>
          <w:rStyle w:val="CharSClsNo"/>
        </w:rPr>
        <w:t>5</w:t>
      </w:r>
      <w:r>
        <w:t>.</w:t>
      </w:r>
      <w:r>
        <w:tab/>
        <w:t>Lawyer’s notice of acting (Part 4)</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nil"/>
            </w:tcBorders>
          </w:tcPr>
          <w:p>
            <w:pPr>
              <w:pStyle w:val="yTable"/>
              <w:spacing w:before="0"/>
              <w:rPr>
                <w:sz w:val="20"/>
              </w:rPr>
            </w:pPr>
            <w:r>
              <w:rPr>
                <w:sz w:val="20"/>
              </w:rPr>
              <w:t>Client</w:t>
            </w:r>
          </w:p>
        </w:tc>
        <w:tc>
          <w:tcPr>
            <w:tcW w:w="5670" w:type="dxa"/>
            <w:gridSpan w:val="3"/>
            <w:tcBorders>
              <w:bottom w:val="nil"/>
            </w:tcBorders>
          </w:tcPr>
          <w:p>
            <w:pPr>
              <w:pStyle w:val="yTable"/>
              <w:tabs>
                <w:tab w:val="left" w:pos="3771"/>
              </w:tabs>
              <w:spacing w:before="0"/>
              <w:rPr>
                <w:sz w:val="20"/>
              </w:rPr>
            </w:pPr>
            <w:r>
              <w:rPr>
                <w:sz w:val="20"/>
              </w:rPr>
              <w:t>Appellant/Respondent</w:t>
            </w:r>
          </w:p>
        </w:tc>
      </w:tr>
      <w:tr>
        <w:trPr>
          <w:cantSplit/>
        </w:trPr>
        <w:tc>
          <w:tcPr>
            <w:tcW w:w="1418" w:type="dxa"/>
          </w:tcPr>
          <w:p>
            <w:pPr>
              <w:pStyle w:val="yTable"/>
              <w:spacing w:before="0"/>
              <w:rPr>
                <w:sz w:val="20"/>
              </w:rPr>
            </w:pPr>
            <w:r>
              <w:rPr>
                <w:sz w:val="20"/>
              </w:rPr>
              <w:t>Notice</w:t>
            </w:r>
          </w:p>
          <w:p>
            <w:pPr>
              <w:pStyle w:val="yTable"/>
              <w:spacing w:before="0"/>
              <w:rPr>
                <w:sz w:val="20"/>
              </w:rPr>
            </w:pPr>
          </w:p>
          <w:p>
            <w:pPr>
              <w:pStyle w:val="yTable"/>
              <w:spacing w:before="0"/>
              <w:rPr>
                <w:sz w:val="18"/>
              </w:rPr>
            </w:pPr>
            <w:r>
              <w:rPr>
                <w:sz w:val="18"/>
              </w:rPr>
              <w:t>[Tick one box]</w:t>
            </w:r>
          </w:p>
        </w:tc>
        <w:tc>
          <w:tcPr>
            <w:tcW w:w="5670" w:type="dxa"/>
            <w:gridSpan w:val="3"/>
          </w:tcPr>
          <w:p>
            <w:pPr>
              <w:pStyle w:val="yTable"/>
              <w:spacing w:before="0"/>
              <w:rPr>
                <w:sz w:val="20"/>
              </w:rPr>
            </w:pPr>
            <w:r>
              <w:rPr>
                <w:sz w:val="20"/>
              </w:rPr>
              <w:t xml:space="preserve">The lawyer or firm of practitioners named below — </w:t>
            </w:r>
          </w:p>
          <w:p>
            <w:pPr>
              <w:pStyle w:val="yTable"/>
              <w:spacing w:before="0"/>
              <w:ind w:left="227" w:hanging="227"/>
              <w:rPr>
                <w:sz w:val="20"/>
              </w:rPr>
            </w:pPr>
            <w:r>
              <w:rPr>
                <w:sz w:val="20"/>
              </w:rPr>
              <w:tab/>
              <w:t>is acting for the above client in this appeal.</w:t>
            </w:r>
          </w:p>
          <w:p>
            <w:pPr>
              <w:pStyle w:val="yTable"/>
              <w:spacing w:before="0"/>
              <w:ind w:left="227" w:hanging="227"/>
              <w:rPr>
                <w:sz w:val="20"/>
              </w:rPr>
            </w:pPr>
            <w:r>
              <w:rPr>
                <w:sz w:val="20"/>
              </w:rPr>
              <w:tab/>
              <w:t>has ceased to act for the above client in this appeal and the client’s address for service now is:</w:t>
            </w:r>
          </w:p>
          <w:p>
            <w:pPr>
              <w:pStyle w:val="yTable"/>
              <w:spacing w:before="0"/>
              <w:ind w:left="227" w:hanging="227"/>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pageBreakBefore/>
        <w:spacing w:after="240"/>
      </w:pPr>
      <w:bookmarkStart w:id="298" w:name="_Toc379204019"/>
      <w:bookmarkStart w:id="299" w:name="_Toc491867791"/>
      <w:r>
        <w:rPr>
          <w:rStyle w:val="CharSClsNo"/>
        </w:rPr>
        <w:t>6</w:t>
      </w:r>
      <w:r>
        <w:t>.</w:t>
      </w:r>
      <w:r>
        <w:tab/>
        <w:t>Notice of self-representation (r. 24)</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pageBreakBefore/>
        <w:spacing w:after="240"/>
      </w:pPr>
      <w:bookmarkStart w:id="300" w:name="_Toc379204020"/>
      <w:bookmarkStart w:id="301" w:name="_Toc491867792"/>
      <w:r>
        <w:rPr>
          <w:rStyle w:val="CharSClsNo"/>
        </w:rPr>
        <w:t>7</w:t>
      </w:r>
      <w:r>
        <w:t>.</w:t>
      </w:r>
      <w:r>
        <w:tab/>
        <w:t>Appellant’s case (r. 32)</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rFonts w:ascii="Times" w:hAnsi="Times"/>
                <w:sz w:val="20"/>
                <w:vertAlign w:val="superscript"/>
              </w:rPr>
              <w:t xml:space="preserve">1 </w:t>
            </w:r>
            <w:r>
              <w:rPr>
                <w:sz w:val="20"/>
              </w:rPr>
              <w:t>Draft appeal book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7 —</w:t>
      </w:r>
    </w:p>
    <w:p>
      <w:pPr>
        <w:pStyle w:val="yMiscellaneousFootnotes"/>
        <w:spacing w:before="0"/>
        <w:ind w:left="425" w:hanging="425"/>
      </w:pPr>
      <w:r>
        <w:t>1.</w:t>
      </w:r>
      <w:r>
        <w:tab/>
        <w:t>Delete this if the appeal is an interlocutory civil appeal or a sentence appeal.</w:t>
      </w:r>
    </w:p>
    <w:p>
      <w:pPr>
        <w:pStyle w:val="yHeading5"/>
        <w:pageBreakBefore/>
        <w:spacing w:after="240"/>
      </w:pPr>
      <w:bookmarkStart w:id="302" w:name="_Toc379204021"/>
      <w:bookmarkStart w:id="303" w:name="_Toc491867793"/>
      <w:r>
        <w:rPr>
          <w:rStyle w:val="CharSClsNo"/>
        </w:rPr>
        <w:t>8</w:t>
      </w:r>
      <w:r>
        <w:t>.</w:t>
      </w:r>
      <w:r>
        <w:tab/>
        <w:t>Respondent’s answer (r. 33)</w:t>
      </w:r>
      <w:bookmarkEnd w:id="302"/>
      <w:bookmarkEnd w:id="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8 —</w:t>
      </w:r>
    </w:p>
    <w:p>
      <w:pPr>
        <w:pStyle w:val="yMiscellaneousFootnotes"/>
        <w:spacing w:before="0"/>
        <w:ind w:left="425" w:hanging="425"/>
      </w:pPr>
      <w:r>
        <w:t>1.</w:t>
      </w:r>
      <w:r>
        <w:tab/>
        <w:t>Delete this if the appeal is an interlocutory civil appeal or a sentence appeal.</w:t>
      </w:r>
    </w:p>
    <w:p>
      <w:pPr>
        <w:pStyle w:val="yHeading5"/>
        <w:pageBreakBefore/>
        <w:spacing w:after="240"/>
      </w:pPr>
      <w:bookmarkStart w:id="304" w:name="_Toc379204022"/>
      <w:bookmarkStart w:id="305" w:name="_Toc491867794"/>
      <w:r>
        <w:rPr>
          <w:rStyle w:val="CharSClsNo"/>
        </w:rPr>
        <w:t>9</w:t>
      </w:r>
      <w:r>
        <w:t>.</w:t>
      </w:r>
      <w:r>
        <w:tab/>
        <w:t>Application in an appeal (r. 44)</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
              <w:spacing w:before="0"/>
              <w:rPr>
                <w:sz w:val="20"/>
              </w:rPr>
            </w:pPr>
            <w:r>
              <w:rPr>
                <w:sz w:val="20"/>
              </w:rPr>
              <w:t>Conference between parties</w:t>
            </w:r>
          </w:p>
          <w:p>
            <w:pPr>
              <w:pStyle w:val="yTable"/>
              <w:spacing w:before="0"/>
              <w:rPr>
                <w:sz w:val="20"/>
              </w:rPr>
            </w:pPr>
            <w:r>
              <w:rPr>
                <w:sz w:val="18"/>
              </w:rPr>
              <w:t>[Tick one box]</w:t>
            </w:r>
          </w:p>
        </w:tc>
        <w:tc>
          <w:tcPr>
            <w:tcW w:w="5670" w:type="dxa"/>
            <w:gridSpan w:val="3"/>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Footnotes"/>
      </w:pPr>
      <w:r>
        <w:t>Notes to Form 9 —</w:t>
      </w:r>
    </w:p>
    <w:p>
      <w:pPr>
        <w:pStyle w:val="yMiscellaneousFootnotes"/>
        <w:spacing w:before="0"/>
        <w:ind w:left="425" w:hanging="425"/>
      </w:pPr>
      <w:r>
        <w:t>1.</w:t>
      </w:r>
      <w:r>
        <w:tab/>
        <w:t>State —</w:t>
      </w:r>
    </w:p>
    <w:p>
      <w:pPr>
        <w:pStyle w:val="yMiscellaneousFootnotes"/>
        <w:numPr>
          <w:ilvl w:val="0"/>
          <w:numId w:val="1"/>
        </w:numPr>
        <w:tabs>
          <w:tab w:val="clear" w:pos="1644"/>
        </w:tabs>
        <w:spacing w:before="0"/>
        <w:ind w:left="822"/>
      </w:pPr>
      <w:r>
        <w:t>the order or orders sought; and</w:t>
      </w:r>
    </w:p>
    <w:p>
      <w:pPr>
        <w:pStyle w:val="yMiscellaneousFootnotes"/>
        <w:numPr>
          <w:ilvl w:val="0"/>
          <w:numId w:val="1"/>
        </w:numPr>
        <w:tabs>
          <w:tab w:val="clear" w:pos="1644"/>
        </w:tabs>
        <w:spacing w:before="0"/>
        <w:ind w:left="822"/>
      </w:pPr>
      <w:r>
        <w:t>the written law and provision under which the application is made.</w:t>
      </w:r>
    </w:p>
    <w:p>
      <w:pPr>
        <w:pStyle w:val="yMiscellaneousFootnotes"/>
        <w:spacing w:before="0"/>
        <w:ind w:left="425" w:hanging="425"/>
      </w:pPr>
      <w:r>
        <w:t>2.</w:t>
      </w:r>
      <w:r>
        <w:tab/>
        <w:t>State the reasons why the parties have not conferred.</w:t>
      </w:r>
    </w:p>
    <w:p>
      <w:pPr>
        <w:pStyle w:val="yHeading5"/>
        <w:spacing w:after="240"/>
      </w:pPr>
      <w:bookmarkStart w:id="306" w:name="_Toc379204023"/>
      <w:bookmarkStart w:id="307" w:name="_Toc491867795"/>
      <w:r>
        <w:rPr>
          <w:rStyle w:val="CharSClsNo"/>
        </w:rPr>
        <w:t>10</w:t>
      </w:r>
      <w:r>
        <w:t>.</w:t>
      </w:r>
      <w:r>
        <w:tab/>
        <w:t>Consent notice (r. 45 &amp; 60)</w:t>
      </w:r>
      <w:bookmarkEnd w:id="306"/>
      <w:bookmarkEnd w:id="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308" w:name="_Toc379204024"/>
      <w:bookmarkStart w:id="309" w:name="_Toc491867796"/>
      <w:r>
        <w:rPr>
          <w:rStyle w:val="CharSClsNo"/>
        </w:rPr>
        <w:t>11</w:t>
      </w:r>
      <w:r>
        <w:t>.</w:t>
      </w:r>
      <w:r>
        <w:tab/>
        <w:t>Affidavit cover sheet (r. 21(3))</w:t>
      </w:r>
      <w:bookmarkEnd w:id="308"/>
      <w:bookmarkEnd w:id="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Footnotes"/>
      </w:pPr>
      <w:r>
        <w:t>Notes to Form 11 —</w:t>
      </w:r>
    </w:p>
    <w:p>
      <w:pPr>
        <w:pStyle w:val="yMiscellaneousFootnotes"/>
        <w:spacing w:before="0"/>
        <w:ind w:left="425" w:hanging="425"/>
      </w:pPr>
      <w:r>
        <w:t>1.</w:t>
      </w:r>
      <w:r>
        <w:tab/>
        <w:t>The affidavit must comply with the RSC Order 37.</w:t>
      </w:r>
    </w:p>
    <w:p>
      <w:pPr>
        <w:pStyle w:val="yMiscellaneousFootnotes"/>
        <w:spacing w:before="0"/>
        <w:ind w:left="425" w:hanging="425"/>
      </w:pPr>
      <w:r>
        <w:t>2.</w:t>
      </w:r>
      <w:r>
        <w:tab/>
        <w:t>The index must comply with the RSC Order 37 Rule 2(7). The above form contains in italics an example of an index.</w:t>
      </w:r>
    </w:p>
    <w:p>
      <w:pPr>
        <w:pStyle w:val="yHeading5"/>
        <w:spacing w:after="240"/>
      </w:pPr>
      <w:bookmarkStart w:id="310" w:name="_Toc379204025"/>
      <w:bookmarkStart w:id="311" w:name="_Toc491867797"/>
      <w:r>
        <w:rPr>
          <w:rStyle w:val="CharSClsNo"/>
        </w:rPr>
        <w:t>12</w:t>
      </w:r>
      <w:r>
        <w:t>.</w:t>
      </w:r>
      <w:r>
        <w:tab/>
        <w:t>Request for hearing (r. 19)</w:t>
      </w:r>
      <w:bookmarkEnd w:id="310"/>
      <w:bookmarkEnd w:id="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pageBreakBefore/>
        <w:spacing w:after="240"/>
      </w:pPr>
      <w:bookmarkStart w:id="312" w:name="_Toc379204026"/>
      <w:bookmarkStart w:id="313" w:name="_Toc491867798"/>
      <w:r>
        <w:rPr>
          <w:rStyle w:val="CharSClsNo"/>
        </w:rPr>
        <w:t>13</w:t>
      </w:r>
      <w:r>
        <w:t>.</w:t>
      </w:r>
      <w:r>
        <w:tab/>
        <w:t>Application for review of single judge’s or registrar’s decision (r. 8 &amp; 15)</w:t>
      </w:r>
      <w:bookmarkEnd w:id="312"/>
      <w:bookmarkEnd w:id="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13 —</w:t>
      </w:r>
    </w:p>
    <w:p>
      <w:pPr>
        <w:pStyle w:val="yMiscellaneousFootnotes"/>
        <w:spacing w:before="0"/>
        <w:ind w:left="425" w:hanging="425"/>
      </w:pPr>
      <w:r>
        <w:t>1.</w:t>
      </w:r>
      <w:r>
        <w:tab/>
        <w:t>Set out the grounds in numbered paragraphs.</w:t>
      </w:r>
    </w:p>
    <w:p>
      <w:pPr>
        <w:pStyle w:val="yHeading5"/>
        <w:pageBreakBefore/>
        <w:spacing w:after="240"/>
      </w:pPr>
      <w:bookmarkStart w:id="314" w:name="_Toc379204027"/>
      <w:bookmarkStart w:id="315" w:name="_Toc491867799"/>
      <w:r>
        <w:rPr>
          <w:rStyle w:val="CharSClsNo"/>
        </w:rPr>
        <w:t>14</w:t>
      </w:r>
      <w:r>
        <w:t>.</w:t>
      </w:r>
      <w:r>
        <w:tab/>
        <w:t>Appeal book, cover page (r. 39(5))</w:t>
      </w:r>
      <w:bookmarkEnd w:id="314"/>
      <w:bookmarkEnd w:id="3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Footnotes"/>
        <w:keepNext/>
      </w:pPr>
      <w:r>
        <w:t>Notes to Form 14 —</w:t>
      </w:r>
    </w:p>
    <w:p>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Footnotes"/>
        <w:spacing w:before="0"/>
        <w:ind w:left="425" w:hanging="425"/>
      </w:pPr>
      <w:r>
        <w:t>2.</w:t>
      </w:r>
      <w:r>
        <w:tab/>
        <w:t>If the party is represented by a lawyer, these details must be the lawyer’s. If the party is self-represented, these details must be the party’s personal details.</w:t>
      </w:r>
    </w:p>
    <w:p>
      <w:pPr>
        <w:pStyle w:val="yHeading5"/>
        <w:pageBreakBefore/>
        <w:spacing w:after="240"/>
      </w:pPr>
      <w:bookmarkStart w:id="316" w:name="_Toc379204028"/>
      <w:bookmarkStart w:id="317" w:name="_Toc491867800"/>
      <w:r>
        <w:rPr>
          <w:rStyle w:val="CharSClsNo"/>
        </w:rPr>
        <w:t>15.</w:t>
      </w:r>
      <w:r>
        <w:tab/>
        <w:t>Notice of hearing date (r. 57)</w:t>
      </w:r>
      <w:bookmarkEnd w:id="316"/>
      <w:bookmarkEnd w:id="3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318" w:name="_Toc379204029"/>
      <w:bookmarkStart w:id="319" w:name="_Toc491867801"/>
      <w:r>
        <w:rPr>
          <w:rStyle w:val="CharSClsNo"/>
        </w:rPr>
        <w:t>16</w:t>
      </w:r>
      <w:r>
        <w:t>.</w:t>
      </w:r>
      <w:r>
        <w:tab/>
        <w:t>Discontinuance notice (r. 59)</w:t>
      </w:r>
      <w:bookmarkEnd w:id="318"/>
      <w:bookmarkEnd w:id="3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Discontinuance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The appellant discontinues this appeal.</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Heading5"/>
        <w:pageBreakBefore/>
        <w:spacing w:after="240"/>
      </w:pPr>
      <w:bookmarkStart w:id="320" w:name="_Toc379204030"/>
      <w:bookmarkStart w:id="321" w:name="_Toc491867802"/>
      <w:r>
        <w:rPr>
          <w:rStyle w:val="CharSClsNo"/>
        </w:rPr>
        <w:t>17</w:t>
      </w:r>
      <w:r>
        <w:t>.</w:t>
      </w:r>
      <w:r>
        <w:tab/>
        <w:t>Certificate of conclusion of criminal appeal (r. 62)</w:t>
      </w:r>
      <w:bookmarkEnd w:id="320"/>
      <w:bookmarkEnd w:id="3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pPr>
      <w:r>
        <w:t>Notes to Form 17 —</w:t>
      </w:r>
    </w:p>
    <w:p>
      <w:pPr>
        <w:pStyle w:val="yMiscellaneousFootnotes"/>
        <w:spacing w:before="0"/>
        <w:ind w:left="425" w:hanging="425"/>
      </w:pPr>
      <w:r>
        <w:t>1.</w:t>
      </w:r>
      <w:r>
        <w:tab/>
        <w:t>Do not complete if appeal is discontinued.</w:t>
      </w:r>
    </w:p>
    <w:p>
      <w:pPr>
        <w:pStyle w:val="yMiscellaneousFootnotes"/>
        <w:spacing w:before="0"/>
        <w:ind w:left="425" w:hanging="425"/>
      </w:pPr>
      <w:r>
        <w:t>2.</w:t>
      </w:r>
      <w:r>
        <w:tab/>
        <w:t>Set out the Court of Appeal’s judgment and any consequential orders made or, if the appeal was discontinued, that it was discontinued.</w:t>
      </w:r>
    </w:p>
    <w:p>
      <w:pPr>
        <w:pStyle w:val="yHeading5"/>
        <w:pageBreakBefore/>
        <w:spacing w:after="240"/>
      </w:pPr>
      <w:bookmarkStart w:id="322" w:name="_Toc379204031"/>
      <w:bookmarkStart w:id="323" w:name="_Toc491867803"/>
      <w:r>
        <w:rPr>
          <w:rStyle w:val="CharSClsNo"/>
        </w:rPr>
        <w:t>18</w:t>
      </w:r>
      <w:r>
        <w:t>.</w:t>
      </w:r>
      <w:r>
        <w:tab/>
        <w:t>Referral of legal issue to Court of Appeal (r. 67)</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18 —</w:t>
      </w:r>
    </w:p>
    <w:p>
      <w:pPr>
        <w:pStyle w:val="yMiscellaneousFootnotes"/>
        <w:spacing w:before="0"/>
        <w:ind w:left="425" w:hanging="425"/>
      </w:pPr>
      <w:r>
        <w:t>1.</w:t>
      </w:r>
      <w:r>
        <w:tab/>
        <w:t>Set out the nature of the primary court case. Examples:</w:t>
      </w:r>
    </w:p>
    <w:p>
      <w:pPr>
        <w:pStyle w:val="yMiscellaneousFootnotes"/>
        <w:numPr>
          <w:ilvl w:val="0"/>
          <w:numId w:val="1"/>
        </w:numPr>
        <w:tabs>
          <w:tab w:val="clear" w:pos="1644"/>
        </w:tabs>
        <w:spacing w:before="0"/>
        <w:ind w:left="822"/>
      </w:pPr>
      <w:r>
        <w:t>… the accused was indicted on the attached indictment …</w:t>
      </w:r>
    </w:p>
    <w:p>
      <w:pPr>
        <w:pStyle w:val="yMiscellaneousFootnotes"/>
        <w:numPr>
          <w:ilvl w:val="0"/>
          <w:numId w:val="1"/>
        </w:numPr>
        <w:tabs>
          <w:tab w:val="clear" w:pos="1644"/>
        </w:tabs>
        <w:spacing w:before="0"/>
        <w:ind w:left="822"/>
      </w:pPr>
      <w:r>
        <w:t>… the plaintiff sued the defendant in negligence …</w:t>
      </w:r>
    </w:p>
    <w:p>
      <w:pPr>
        <w:pStyle w:val="yMiscellaneousFootnotes"/>
        <w:spacing w:before="0"/>
        <w:ind w:left="425" w:hanging="425"/>
      </w:pPr>
      <w:r>
        <w:t>2.</w:t>
      </w:r>
      <w:r>
        <w:tab/>
        <w:t>State the short title and section of the Act under which the referral is being made.</w:t>
      </w:r>
    </w:p>
    <w:p>
      <w:pPr>
        <w:pStyle w:val="yMiscellaneousFootnotes"/>
        <w:spacing w:before="0"/>
        <w:ind w:left="425" w:hanging="425"/>
      </w:pPr>
      <w:r>
        <w:t>3.</w:t>
      </w:r>
      <w:r>
        <w:tab/>
        <w:t>List the records, documents, transcripts and exhibits to be considered by the Court of Appeal.</w:t>
      </w:r>
    </w:p>
    <w:p>
      <w:pPr>
        <w:pStyle w:val="yScheduleHeading"/>
        <w:sectPr>
          <w:headerReference w:type="even" r:id="rId24"/>
          <w:headerReference w:type="default" r:id="rId25"/>
          <w:foot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25" w:name="_Toc379203922"/>
      <w:bookmarkStart w:id="326" w:name="_Toc379204032"/>
      <w:bookmarkStart w:id="327" w:name="_Toc425243376"/>
      <w:bookmarkStart w:id="328" w:name="_Toc490564892"/>
      <w:bookmarkStart w:id="329" w:name="_Toc491160607"/>
      <w:bookmarkStart w:id="330" w:name="_Toc491160719"/>
      <w:bookmarkStart w:id="331" w:name="_Toc491867804"/>
      <w:r>
        <w:t>Notes</w:t>
      </w:r>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rPr>
        <w:t>Supreme Court (Court of Appeal) Rules 2005.</w:t>
      </w:r>
      <w:r>
        <w:t xml:space="preserve">  </w:t>
      </w:r>
      <w:r>
        <w:rPr>
          <w:snapToGrid w:val="0"/>
        </w:rPr>
        <w:t>The following table contains information about those rules</w:t>
      </w:r>
      <w:r>
        <w:rPr>
          <w:snapToGrid w:val="0"/>
          <w:vertAlign w:val="superscript"/>
        </w:rPr>
        <w:t> 1a</w:t>
      </w:r>
      <w:r>
        <w:rPr>
          <w:snapToGrid w:val="0"/>
        </w:rPr>
        <w:t>.</w:t>
      </w:r>
    </w:p>
    <w:p>
      <w:pPr>
        <w:pStyle w:val="nHeading3"/>
      </w:pPr>
      <w:bookmarkStart w:id="332" w:name="_Toc379204033"/>
      <w:bookmarkStart w:id="333" w:name="_Toc491867805"/>
      <w:r>
        <w:t>Compilation table</w:t>
      </w:r>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c>
          <w:tcPr>
            <w:tcW w:w="3118" w:type="dxa"/>
            <w:tcBorders>
              <w:bottom w:val="single" w:sz="4" w:space="0" w:color="auto"/>
            </w:tcBorders>
          </w:tcPr>
          <w:p>
            <w:pPr>
              <w:pStyle w:val="nTable"/>
            </w:pPr>
            <w:r>
              <w:rPr>
                <w:i/>
              </w:rPr>
              <w:t>Supreme Court Rules Amendment Rules 2017</w:t>
            </w:r>
            <w:r>
              <w:t xml:space="preserve"> Pt. 3</w:t>
            </w:r>
          </w:p>
        </w:tc>
        <w:tc>
          <w:tcPr>
            <w:tcW w:w="1276" w:type="dxa"/>
            <w:tcBorders>
              <w:bottom w:val="single" w:sz="4" w:space="0" w:color="auto"/>
            </w:tcBorders>
          </w:tcPr>
          <w:p>
            <w:pPr>
              <w:pStyle w:val="nTable"/>
            </w:pPr>
            <w:r>
              <w:t>16 Aug 2017 p. 4391</w:t>
            </w:r>
            <w:r>
              <w:noBreakHyphen/>
              <w:t>427</w:t>
            </w:r>
          </w:p>
        </w:tc>
        <w:tc>
          <w:tcPr>
            <w:tcW w:w="2693" w:type="dxa"/>
            <w:tcBorders>
              <w:bottom w:val="single" w:sz="4" w:space="0" w:color="auto"/>
            </w:tcBorders>
          </w:tcPr>
          <w:p>
            <w:pPr>
              <w:pStyle w:val="nTable"/>
            </w:pPr>
            <w:r>
              <w:t>30 Aug 2017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4" w:name="_Toc491867806"/>
      <w:r>
        <w:t>Provisions that have not come into operation</w:t>
      </w:r>
      <w:bookmarkEnd w:id="3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Supreme Court (Court of Appeal) Amendment Rules 2017</w:t>
            </w:r>
            <w:r>
              <w:t xml:space="preserve"> r. 3</w:t>
            </w:r>
            <w:r>
              <w:noBreakHyphen/>
              <w:t>35</w:t>
            </w:r>
            <w:r>
              <w:rPr>
                <w:vertAlign w:val="superscript"/>
              </w:rPr>
              <w:t> 3</w:t>
            </w:r>
          </w:p>
        </w:tc>
        <w:tc>
          <w:tcPr>
            <w:tcW w:w="1276" w:type="dxa"/>
            <w:tcBorders>
              <w:top w:val="nil"/>
              <w:bottom w:val="single" w:sz="4" w:space="0" w:color="auto"/>
            </w:tcBorders>
          </w:tcPr>
          <w:p>
            <w:pPr>
              <w:pStyle w:val="nTable"/>
              <w:spacing w:after="40"/>
            </w:pPr>
            <w:r>
              <w:t>22 Aug 2017 p. 4517</w:t>
            </w:r>
            <w:r>
              <w:noBreakHyphen/>
              <w:t>44</w:t>
            </w:r>
          </w:p>
        </w:tc>
        <w:tc>
          <w:tcPr>
            <w:tcW w:w="2693" w:type="dxa"/>
            <w:tcBorders>
              <w:top w:val="nil"/>
              <w:bottom w:val="single" w:sz="4" w:space="0" w:color="auto"/>
            </w:tcBorders>
          </w:tcPr>
          <w:p>
            <w:pPr>
              <w:pStyle w:val="nTable"/>
              <w:spacing w:after="40"/>
            </w:pPr>
            <w:r>
              <w:t>5 Sep 2017 (see r. 2(b))</w:t>
            </w:r>
          </w:p>
        </w:tc>
      </w:tr>
    </w:tbl>
    <w:p>
      <w:pPr>
        <w:pStyle w:val="nSubsection"/>
      </w:pPr>
      <w:r>
        <w:rPr>
          <w:vertAlign w:val="superscript"/>
        </w:rPr>
        <w:t>2</w:t>
      </w:r>
      <w:r>
        <w:tab/>
        <w:t>Footnote no longer applicable.</w:t>
      </w:r>
    </w:p>
    <w:p>
      <w:pPr>
        <w:pStyle w:val="nSubsection"/>
      </w:pPr>
      <w:r>
        <w:rPr>
          <w:vertAlign w:val="superscript"/>
        </w:rPr>
        <w:t>3</w:t>
      </w:r>
      <w:r>
        <w:tab/>
        <w:t xml:space="preserve">On the date as at which this compilation was prepared, the </w:t>
      </w:r>
      <w:r>
        <w:rPr>
          <w:i/>
        </w:rPr>
        <w:t>Supreme Court (Court of Appeal) Amendment Rules 2017</w:t>
      </w:r>
      <w:r>
        <w:t xml:space="preserve"> r. 3</w:t>
      </w:r>
      <w:r>
        <w:noBreakHyphen/>
        <w:t>35 had not come into operation. They read as follows:</w:t>
      </w:r>
    </w:p>
    <w:p>
      <w:pPr>
        <w:pStyle w:val="BlankOpen"/>
      </w:pPr>
    </w:p>
    <w:p>
      <w:pPr>
        <w:pStyle w:val="nzHeading5"/>
        <w:rPr>
          <w:snapToGrid w:val="0"/>
        </w:rPr>
      </w:pPr>
      <w:bookmarkStart w:id="335" w:name="_Toc489358538"/>
      <w:bookmarkStart w:id="336" w:name="_Toc489448527"/>
      <w:r>
        <w:rPr>
          <w:rStyle w:val="CharSectno"/>
        </w:rPr>
        <w:t>3</w:t>
      </w:r>
      <w:r>
        <w:rPr>
          <w:snapToGrid w:val="0"/>
        </w:rPr>
        <w:t>.</w:t>
      </w:r>
      <w:r>
        <w:rPr>
          <w:snapToGrid w:val="0"/>
        </w:rPr>
        <w:tab/>
        <w:t>Rules amended</w:t>
      </w:r>
      <w:bookmarkEnd w:id="335"/>
      <w:bookmarkEnd w:id="336"/>
    </w:p>
    <w:p>
      <w:pPr>
        <w:pStyle w:val="nzSubsection"/>
      </w:pPr>
      <w:r>
        <w:tab/>
      </w:r>
      <w:r>
        <w:tab/>
        <w:t xml:space="preserve">These rules amend the </w:t>
      </w:r>
      <w:r>
        <w:rPr>
          <w:i/>
        </w:rPr>
        <w:t>Supreme Court (Court of Appeal) Rules 2005</w:t>
      </w:r>
      <w:r>
        <w:t>.</w:t>
      </w:r>
    </w:p>
    <w:p>
      <w:pPr>
        <w:pStyle w:val="nzHeading5"/>
      </w:pPr>
      <w:bookmarkStart w:id="337" w:name="_Toc489358539"/>
      <w:bookmarkStart w:id="338" w:name="_Toc489448528"/>
      <w:r>
        <w:rPr>
          <w:rStyle w:val="CharSectno"/>
        </w:rPr>
        <w:t>4</w:t>
      </w:r>
      <w:r>
        <w:t>.</w:t>
      </w:r>
      <w:r>
        <w:tab/>
        <w:t>Rule 3 amended</w:t>
      </w:r>
      <w:bookmarkEnd w:id="337"/>
      <w:bookmarkEnd w:id="338"/>
    </w:p>
    <w:p>
      <w:pPr>
        <w:pStyle w:val="nzSubsection"/>
      </w:pPr>
      <w:r>
        <w:tab/>
        <w:t>(1)</w:t>
      </w:r>
      <w:r>
        <w:tab/>
        <w:t>In rule 3(1) delete the definitions of:</w:t>
      </w:r>
    </w:p>
    <w:p>
      <w:pPr>
        <w:pStyle w:val="nzDeleteListSub"/>
      </w:pPr>
      <w:r>
        <w:rPr>
          <w:b/>
          <w:i/>
        </w:rPr>
        <w:t>decision</w:t>
      </w:r>
    </w:p>
    <w:p>
      <w:pPr>
        <w:pStyle w:val="nzDeleteListSub"/>
      </w:pPr>
      <w:r>
        <w:t>registrar</w:t>
      </w:r>
    </w:p>
    <w:p>
      <w:pPr>
        <w:pStyle w:val="nzSubsection"/>
      </w:pPr>
      <w:r>
        <w:tab/>
        <w:t>(2)</w:t>
      </w:r>
      <w:r>
        <w:tab/>
        <w:t>In rule 3(1) insert in alphabetical order:</w:t>
      </w:r>
    </w:p>
    <w:p>
      <w:pPr>
        <w:pStyle w:val="BlankOpen"/>
      </w:pPr>
    </w:p>
    <w:p>
      <w:pPr>
        <w:pStyle w:val="nzDefstart"/>
      </w:pPr>
      <w:r>
        <w:tab/>
      </w:r>
      <w:r>
        <w:rPr>
          <w:rStyle w:val="CharDefText"/>
        </w:rPr>
        <w:t>decision</w:t>
      </w:r>
      <w:r>
        <w:t xml:space="preserve"> includes decree, determination, direction, judgment and order;</w:t>
      </w:r>
    </w:p>
    <w:p>
      <w:pPr>
        <w:pStyle w:val="nzDefstart"/>
      </w:pPr>
      <w:r>
        <w:tab/>
      </w:r>
      <w:r>
        <w:rPr>
          <w:rStyle w:val="CharDefText"/>
        </w:rPr>
        <w:t>registrar</w:t>
      </w:r>
      <w:r>
        <w:t xml:space="preserve"> means —</w:t>
      </w:r>
    </w:p>
    <w:p>
      <w:pPr>
        <w:pStyle w:val="nzDefpara"/>
      </w:pPr>
      <w:r>
        <w:tab/>
        <w:t>(a)</w:t>
      </w:r>
      <w:r>
        <w:tab/>
        <w:t>the Court of Appeal Registrar;</w:t>
      </w:r>
    </w:p>
    <w:p>
      <w:pPr>
        <w:pStyle w:val="nzDefpara"/>
      </w:pPr>
      <w:r>
        <w:tab/>
        <w:t>(b)</w:t>
      </w:r>
      <w:r>
        <w:tab/>
        <w:t>a registrar directed under section 155(4) of the Act to assist the Court of Appeal Registrar;</w:t>
      </w:r>
    </w:p>
    <w:p>
      <w:pPr>
        <w:pStyle w:val="BlankClose"/>
      </w:pPr>
    </w:p>
    <w:p>
      <w:pPr>
        <w:pStyle w:val="nzSubsection"/>
      </w:pPr>
      <w:r>
        <w:tab/>
        <w:t>(3)</w:t>
      </w:r>
      <w:r>
        <w:tab/>
        <w:t xml:space="preserve">In rule 3(1) in the definition of </w:t>
      </w:r>
      <w:r>
        <w:rPr>
          <w:b/>
          <w:i/>
        </w:rPr>
        <w:t>interim order</w:t>
      </w:r>
      <w:r>
        <w:t xml:space="preserve"> delete paragraph (g) and insert:</w:t>
      </w:r>
    </w:p>
    <w:p>
      <w:pPr>
        <w:pStyle w:val="BlankOpen"/>
      </w:pPr>
    </w:p>
    <w:p>
      <w:pPr>
        <w:pStyle w:val="nzDefpara"/>
      </w:pPr>
      <w:r>
        <w:tab/>
        <w:t>(g)</w:t>
      </w:r>
      <w:r>
        <w:tab/>
        <w:t>an order that extends or shortens the time for obeying —</w:t>
      </w:r>
    </w:p>
    <w:p>
      <w:pPr>
        <w:pStyle w:val="nzDefsubpara"/>
      </w:pPr>
      <w:r>
        <w:tab/>
        <w:t>(i)</w:t>
      </w:r>
      <w:r>
        <w:tab/>
        <w:t>a requirement of these rules, other than the time for commencing an appeal; or</w:t>
      </w:r>
    </w:p>
    <w:p>
      <w:pPr>
        <w:pStyle w:val="nzDefsubpara"/>
      </w:pPr>
      <w:r>
        <w:tab/>
        <w:t>(ii)</w:t>
      </w:r>
      <w:r>
        <w:tab/>
        <w:t>an order made under these rules;</w:t>
      </w:r>
    </w:p>
    <w:p>
      <w:pPr>
        <w:pStyle w:val="nzDefpara"/>
      </w:pPr>
      <w:r>
        <w:tab/>
        <w:t>(ga)</w:t>
      </w:r>
      <w:r>
        <w:tab/>
        <w:t>an order granting leave for any matter for which leave is required under rule 42A;</w:t>
      </w:r>
    </w:p>
    <w:p>
      <w:pPr>
        <w:pStyle w:val="BlankClose"/>
      </w:pPr>
    </w:p>
    <w:p>
      <w:pPr>
        <w:pStyle w:val="nzHeading5"/>
      </w:pPr>
      <w:bookmarkStart w:id="339" w:name="_Toc489358540"/>
      <w:bookmarkStart w:id="340" w:name="_Toc489448529"/>
      <w:r>
        <w:rPr>
          <w:rStyle w:val="CharSectno"/>
        </w:rPr>
        <w:t>5</w:t>
      </w:r>
      <w:r>
        <w:t>.</w:t>
      </w:r>
      <w:r>
        <w:tab/>
        <w:t>Rule 4 amended</w:t>
      </w:r>
      <w:bookmarkEnd w:id="339"/>
      <w:bookmarkEnd w:id="340"/>
    </w:p>
    <w:p>
      <w:pPr>
        <w:pStyle w:val="nzSubsection"/>
      </w:pPr>
      <w:r>
        <w:tab/>
      </w:r>
      <w:r>
        <w:tab/>
        <w:t>Delete rule 4(2).</w:t>
      </w:r>
    </w:p>
    <w:p>
      <w:pPr>
        <w:pStyle w:val="nzHeading5"/>
      </w:pPr>
      <w:bookmarkStart w:id="341" w:name="_Toc489358541"/>
      <w:bookmarkStart w:id="342" w:name="_Toc489448530"/>
      <w:r>
        <w:rPr>
          <w:rStyle w:val="CharSectno"/>
        </w:rPr>
        <w:t>6</w:t>
      </w:r>
      <w:r>
        <w:t>.</w:t>
      </w:r>
      <w:r>
        <w:tab/>
        <w:t>Rule 5A inserted</w:t>
      </w:r>
      <w:bookmarkEnd w:id="341"/>
      <w:bookmarkEnd w:id="342"/>
    </w:p>
    <w:p>
      <w:pPr>
        <w:pStyle w:val="nzSubsection"/>
      </w:pPr>
      <w:r>
        <w:tab/>
      </w:r>
      <w:r>
        <w:tab/>
        <w:t>At the beginning of Part 2 Division 1 insert:</w:t>
      </w:r>
    </w:p>
    <w:p>
      <w:pPr>
        <w:pStyle w:val="BlankOpen"/>
      </w:pPr>
    </w:p>
    <w:p>
      <w:pPr>
        <w:pStyle w:val="nzHeading5"/>
      </w:pPr>
      <w:bookmarkStart w:id="343" w:name="_Toc489358542"/>
      <w:bookmarkStart w:id="344" w:name="_Toc489448531"/>
      <w:r>
        <w:t>5A.</w:t>
      </w:r>
      <w:r>
        <w:tab/>
        <w:t>Delegated jurisdiction may be exercised by Court of Appeal</w:t>
      </w:r>
      <w:bookmarkEnd w:id="343"/>
      <w:bookmarkEnd w:id="344"/>
    </w:p>
    <w:p>
      <w:pPr>
        <w:pStyle w:val="nzSubsection"/>
      </w:pPr>
      <w:r>
        <w:tab/>
      </w:r>
      <w:r>
        <w:tab/>
        <w:t xml:space="preserve">A delegation by these rules of jurisdiction to a single judge or a registrar does not — </w:t>
      </w:r>
    </w:p>
    <w:p>
      <w:pPr>
        <w:pStyle w:val="nzIndenta"/>
      </w:pPr>
      <w:r>
        <w:tab/>
        <w:t>(a)</w:t>
      </w:r>
      <w:r>
        <w:tab/>
        <w:t>limit the jurisdiction of the Court of Appeal; or</w:t>
      </w:r>
    </w:p>
    <w:p>
      <w:pPr>
        <w:pStyle w:val="nzIndenta"/>
      </w:pPr>
      <w:r>
        <w:tab/>
        <w:t>(b)</w:t>
      </w:r>
      <w:r>
        <w:tab/>
        <w:t>prevent the Court of Appeal from exercising the jurisdiction.</w:t>
      </w:r>
    </w:p>
    <w:p>
      <w:pPr>
        <w:pStyle w:val="BlankClose"/>
      </w:pPr>
    </w:p>
    <w:p>
      <w:pPr>
        <w:pStyle w:val="nzHeading5"/>
      </w:pPr>
      <w:bookmarkStart w:id="345" w:name="_Toc489358543"/>
      <w:bookmarkStart w:id="346" w:name="_Toc489448532"/>
      <w:r>
        <w:rPr>
          <w:rStyle w:val="CharSectno"/>
        </w:rPr>
        <w:t>7</w:t>
      </w:r>
      <w:r>
        <w:t>.</w:t>
      </w:r>
      <w:r>
        <w:tab/>
        <w:t>Rule 7 amended</w:t>
      </w:r>
      <w:bookmarkEnd w:id="345"/>
      <w:bookmarkEnd w:id="346"/>
    </w:p>
    <w:p>
      <w:pPr>
        <w:pStyle w:val="nzSubsection"/>
      </w:pPr>
      <w:r>
        <w:tab/>
      </w:r>
      <w:r>
        <w:tab/>
        <w:t>Delete rule 7(1)(f) and insert:</w:t>
      </w:r>
    </w:p>
    <w:p>
      <w:pPr>
        <w:pStyle w:val="BlankOpen"/>
      </w:pPr>
    </w:p>
    <w:p>
      <w:pPr>
        <w:pStyle w:val="nzIndenta"/>
      </w:pPr>
      <w:r>
        <w:tab/>
        <w:t>(f)</w:t>
      </w:r>
      <w:r>
        <w:tab/>
        <w:t>to limit the time a party has to make oral submissions at a hearing;</w:t>
      </w:r>
    </w:p>
    <w:p>
      <w:pPr>
        <w:pStyle w:val="nzIndenta"/>
      </w:pPr>
      <w:r>
        <w:tab/>
        <w:t>(g)</w:t>
      </w:r>
      <w:r>
        <w:tab/>
        <w:t>to order some or all of the parties to an appeal to attend a hearing.</w:t>
      </w:r>
    </w:p>
    <w:p>
      <w:pPr>
        <w:pStyle w:val="BlankClose"/>
      </w:pPr>
    </w:p>
    <w:p>
      <w:pPr>
        <w:pStyle w:val="nzHeading5"/>
      </w:pPr>
      <w:bookmarkStart w:id="347" w:name="_Toc489358544"/>
      <w:bookmarkStart w:id="348" w:name="_Toc489448533"/>
      <w:r>
        <w:rPr>
          <w:rStyle w:val="CharSectno"/>
        </w:rPr>
        <w:t>8</w:t>
      </w:r>
      <w:r>
        <w:t>.</w:t>
      </w:r>
      <w:r>
        <w:tab/>
        <w:t>Rule 10 amended</w:t>
      </w:r>
      <w:bookmarkEnd w:id="347"/>
      <w:bookmarkEnd w:id="348"/>
    </w:p>
    <w:p>
      <w:pPr>
        <w:pStyle w:val="nzSubsection"/>
      </w:pPr>
      <w:r>
        <w:tab/>
        <w:t>(1)</w:t>
      </w:r>
      <w:r>
        <w:tab/>
        <w:t>Delete rule 10(1) and insert:</w:t>
      </w:r>
    </w:p>
    <w:p>
      <w:pPr>
        <w:pStyle w:val="BlankOpen"/>
      </w:pPr>
    </w:p>
    <w:p>
      <w:pPr>
        <w:pStyle w:val="nzSubsection"/>
      </w:pPr>
      <w:r>
        <w:tab/>
        <w:t>(1)</w:t>
      </w:r>
      <w:r>
        <w:tab/>
        <w:t>A registrar may refuse to accept for filing any document that is required or permitted by these rules, or an order made under these rules, if it does not obey these rules or any order made under these rules.</w:t>
      </w:r>
    </w:p>
    <w:p>
      <w:pPr>
        <w:pStyle w:val="BlankClose"/>
      </w:pPr>
    </w:p>
    <w:p>
      <w:pPr>
        <w:pStyle w:val="nzSubsection"/>
      </w:pPr>
      <w:r>
        <w:tab/>
        <w:t>(2)</w:t>
      </w:r>
      <w:r>
        <w:tab/>
        <w:t>In rule 10(2):</w:t>
      </w:r>
    </w:p>
    <w:p>
      <w:pPr>
        <w:pStyle w:val="nzIndenta"/>
      </w:pPr>
      <w:r>
        <w:tab/>
        <w:t>(a)</w:t>
      </w:r>
      <w:r>
        <w:tab/>
        <w:t>delete “The registrar” and insert:</w:t>
      </w:r>
    </w:p>
    <w:p>
      <w:pPr>
        <w:pStyle w:val="BlankOpen"/>
      </w:pPr>
    </w:p>
    <w:p>
      <w:pPr>
        <w:pStyle w:val="nzIndenta"/>
      </w:pPr>
      <w:r>
        <w:tab/>
      </w:r>
      <w:r>
        <w:tab/>
        <w:t>A registrar</w:t>
      </w:r>
    </w:p>
    <w:p>
      <w:pPr>
        <w:pStyle w:val="BlankClose"/>
      </w:pPr>
    </w:p>
    <w:p>
      <w:pPr>
        <w:pStyle w:val="nzIndenta"/>
      </w:pPr>
      <w:r>
        <w:tab/>
        <w:t>(b)</w:t>
      </w:r>
      <w:r>
        <w:tab/>
        <w:t>delete “jurisdiction —” and insert:</w:t>
      </w:r>
    </w:p>
    <w:p>
      <w:pPr>
        <w:pStyle w:val="BlankOpen"/>
      </w:pPr>
    </w:p>
    <w:p>
      <w:pPr>
        <w:pStyle w:val="nzIndenta"/>
      </w:pPr>
      <w:r>
        <w:tab/>
      </w:r>
      <w:r>
        <w:tab/>
        <w:t>jurisdiction to do any of the following —</w:t>
      </w:r>
    </w:p>
    <w:p>
      <w:pPr>
        <w:pStyle w:val="BlankClose"/>
      </w:pPr>
    </w:p>
    <w:p>
      <w:pPr>
        <w:pStyle w:val="nzIndenta"/>
      </w:pPr>
      <w:r>
        <w:tab/>
        <w:t>(c)</w:t>
      </w:r>
      <w:r>
        <w:tab/>
        <w:t>in paragraph (g) delete “</w:t>
      </w:r>
      <w:r>
        <w:rPr>
          <w:i/>
        </w:rPr>
        <w:t>1982</w:t>
      </w:r>
      <w:r>
        <w:t>; or” and insert:</w:t>
      </w:r>
    </w:p>
    <w:p>
      <w:pPr>
        <w:pStyle w:val="BlankOpen"/>
      </w:pPr>
    </w:p>
    <w:p>
      <w:pPr>
        <w:pStyle w:val="nzIndenta"/>
      </w:pPr>
      <w:r>
        <w:tab/>
      </w:r>
      <w:r>
        <w:tab/>
      </w:r>
      <w:r>
        <w:rPr>
          <w:i/>
        </w:rPr>
        <w:t>1982</w:t>
      </w:r>
      <w:r>
        <w:t>;</w:t>
      </w:r>
    </w:p>
    <w:p>
      <w:pPr>
        <w:pStyle w:val="BlankClose"/>
      </w:pPr>
    </w:p>
    <w:p>
      <w:pPr>
        <w:pStyle w:val="nzHeading5"/>
      </w:pPr>
      <w:bookmarkStart w:id="349" w:name="_Toc489358545"/>
      <w:bookmarkStart w:id="350" w:name="_Toc489448534"/>
      <w:r>
        <w:rPr>
          <w:rStyle w:val="CharSectno"/>
        </w:rPr>
        <w:t>9</w:t>
      </w:r>
      <w:r>
        <w:t>.</w:t>
      </w:r>
      <w:r>
        <w:tab/>
        <w:t>Rule 11 amended</w:t>
      </w:r>
      <w:bookmarkEnd w:id="349"/>
      <w:bookmarkEnd w:id="350"/>
    </w:p>
    <w:p>
      <w:pPr>
        <w:pStyle w:val="nzSubsection"/>
      </w:pPr>
      <w:r>
        <w:tab/>
      </w:r>
      <w:r>
        <w:tab/>
        <w:t>After rule 11(2) insert:</w:t>
      </w:r>
    </w:p>
    <w:p>
      <w:pPr>
        <w:pStyle w:val="BlankOpen"/>
      </w:pPr>
    </w:p>
    <w:p>
      <w:pPr>
        <w:pStyle w:val="nzSubsection"/>
      </w:pPr>
      <w:r>
        <w:tab/>
        <w:t>(3)</w:t>
      </w:r>
      <w:r>
        <w:tab/>
        <w:t>If under these rules a registrar may refer any question or other matter to a single judge, the registrar may instead refer it to the Court of Appeal and may make an order pending the Court of Appeal’s decision.</w:t>
      </w:r>
    </w:p>
    <w:p>
      <w:pPr>
        <w:pStyle w:val="BlankClose"/>
      </w:pPr>
    </w:p>
    <w:p>
      <w:pPr>
        <w:pStyle w:val="nzSectAltNote"/>
      </w:pPr>
      <w:r>
        <w:tab/>
        <w:t>Note:</w:t>
      </w:r>
      <w:r>
        <w:tab/>
        <w:t>The heading to amended rule 11 is to read:</w:t>
      </w:r>
    </w:p>
    <w:p>
      <w:pPr>
        <w:pStyle w:val="nzSectAltHeading"/>
      </w:pPr>
      <w:r>
        <w:rPr>
          <w:b w:val="0"/>
        </w:rPr>
        <w:tab/>
      </w:r>
      <w:r>
        <w:rPr>
          <w:b w:val="0"/>
        </w:rPr>
        <w:tab/>
      </w:r>
      <w:r>
        <w:t>Registrar may refer questions to single judge or Court of Appeal</w:t>
      </w:r>
    </w:p>
    <w:p>
      <w:pPr>
        <w:pStyle w:val="nzHeading5"/>
      </w:pPr>
      <w:bookmarkStart w:id="351" w:name="_Toc489358546"/>
      <w:bookmarkStart w:id="352" w:name="_Toc489448535"/>
      <w:r>
        <w:rPr>
          <w:rStyle w:val="CharSectno"/>
        </w:rPr>
        <w:t>10</w:t>
      </w:r>
      <w:r>
        <w:t>.</w:t>
      </w:r>
      <w:r>
        <w:tab/>
        <w:t>Rule 14 amended</w:t>
      </w:r>
      <w:bookmarkEnd w:id="351"/>
      <w:bookmarkEnd w:id="352"/>
    </w:p>
    <w:p>
      <w:pPr>
        <w:pStyle w:val="nzSubsection"/>
      </w:pPr>
      <w:r>
        <w:tab/>
      </w:r>
      <w:r>
        <w:tab/>
        <w:t xml:space="preserve">In rule 14 delete the definition of </w:t>
      </w:r>
      <w:r>
        <w:rPr>
          <w:b/>
          <w:i/>
        </w:rPr>
        <w:t>reviewable decision</w:t>
      </w:r>
      <w:r>
        <w:t xml:space="preserve"> and insert:</w:t>
      </w:r>
    </w:p>
    <w:p>
      <w:pPr>
        <w:pStyle w:val="BlankOpen"/>
      </w:pPr>
    </w:p>
    <w:p>
      <w:pPr>
        <w:pStyle w:val="nzDefstart"/>
      </w:pPr>
      <w:r>
        <w:tab/>
      </w:r>
      <w:r>
        <w:rPr>
          <w:rStyle w:val="CharDefText"/>
        </w:rPr>
        <w:t>reviewable decision</w:t>
      </w:r>
      <w:r>
        <w:t xml:space="preserve"> means a decision made by a registrar under these rules, other than these —</w:t>
      </w:r>
    </w:p>
    <w:p>
      <w:pPr>
        <w:pStyle w:val="nzDefpara"/>
      </w:pPr>
      <w:r>
        <w:tab/>
        <w:t>(a)</w:t>
      </w:r>
      <w:r>
        <w:tab/>
        <w:t>a decision made under rule 11;</w:t>
      </w:r>
    </w:p>
    <w:p>
      <w:pPr>
        <w:pStyle w:val="nzDefpara"/>
      </w:pPr>
      <w:r>
        <w:tab/>
        <w:t>(b)</w:t>
      </w:r>
      <w:r>
        <w:tab/>
        <w:t>a decision to list a CA matter;</w:t>
      </w:r>
    </w:p>
    <w:p>
      <w:pPr>
        <w:pStyle w:val="nzDefpara"/>
      </w:pPr>
      <w:r>
        <w:tab/>
        <w:t>(c)</w:t>
      </w:r>
      <w:r>
        <w:tab/>
        <w:t>a decision made as a Taxing Officer.</w:t>
      </w:r>
    </w:p>
    <w:p>
      <w:pPr>
        <w:pStyle w:val="BlankClose"/>
      </w:pPr>
    </w:p>
    <w:p>
      <w:pPr>
        <w:pStyle w:val="nzHeading5"/>
      </w:pPr>
      <w:bookmarkStart w:id="353" w:name="_Toc489358547"/>
      <w:bookmarkStart w:id="354" w:name="_Toc489448536"/>
      <w:r>
        <w:rPr>
          <w:rStyle w:val="CharSectno"/>
        </w:rPr>
        <w:t>11</w:t>
      </w:r>
      <w:r>
        <w:t>.</w:t>
      </w:r>
      <w:r>
        <w:tab/>
        <w:t>Rule 20 amended</w:t>
      </w:r>
      <w:bookmarkEnd w:id="353"/>
      <w:bookmarkEnd w:id="354"/>
    </w:p>
    <w:p>
      <w:pPr>
        <w:pStyle w:val="nzSubsection"/>
      </w:pPr>
      <w:r>
        <w:tab/>
        <w:t>(1)</w:t>
      </w:r>
      <w:r>
        <w:tab/>
        <w:t>After rule 20(5) insert:</w:t>
      </w:r>
    </w:p>
    <w:p>
      <w:pPr>
        <w:pStyle w:val="BlankOpen"/>
      </w:pPr>
    </w:p>
    <w:p>
      <w:pPr>
        <w:pStyle w:val="nzSubsection"/>
      </w:pPr>
      <w:r>
        <w:tab/>
        <w:t>(6)</w:t>
      </w:r>
      <w:r>
        <w:tab/>
        <w:t>A person, other than a registrar, who signs a form in Schedule 1 must print their full name below their signature.</w:t>
      </w:r>
    </w:p>
    <w:p>
      <w:pPr>
        <w:pStyle w:val="BlankClose"/>
      </w:pPr>
    </w:p>
    <w:p>
      <w:pPr>
        <w:pStyle w:val="nzSubsection"/>
      </w:pPr>
      <w:r>
        <w:tab/>
        <w:t>(2)</w:t>
      </w:r>
      <w:r>
        <w:tab/>
        <w:t>In rule 20(5) after paragraph (a) insert:</w:t>
      </w:r>
    </w:p>
    <w:p>
      <w:pPr>
        <w:pStyle w:val="BlankOpen"/>
      </w:pPr>
    </w:p>
    <w:p>
      <w:pPr>
        <w:pStyle w:val="nzSubsection"/>
      </w:pPr>
      <w:r>
        <w:tab/>
      </w:r>
      <w:r>
        <w:tab/>
        <w:t>and</w:t>
      </w:r>
    </w:p>
    <w:p>
      <w:pPr>
        <w:pStyle w:val="BlankClose"/>
      </w:pPr>
    </w:p>
    <w:p>
      <w:pPr>
        <w:pStyle w:val="nzHeading5"/>
      </w:pPr>
      <w:bookmarkStart w:id="355" w:name="_Toc489358548"/>
      <w:bookmarkStart w:id="356" w:name="_Toc489448537"/>
      <w:r>
        <w:rPr>
          <w:rStyle w:val="CharSectno"/>
        </w:rPr>
        <w:t>12</w:t>
      </w:r>
      <w:r>
        <w:t>.</w:t>
      </w:r>
      <w:r>
        <w:tab/>
        <w:t>Rule 21 amended</w:t>
      </w:r>
      <w:bookmarkEnd w:id="355"/>
      <w:bookmarkEnd w:id="356"/>
    </w:p>
    <w:p>
      <w:pPr>
        <w:pStyle w:val="nzSubsection"/>
      </w:pPr>
      <w:r>
        <w:tab/>
        <w:t>(1)</w:t>
      </w:r>
      <w:r>
        <w:tab/>
        <w:t>Delete rule 21(1)(c) and (d) and insert:</w:t>
      </w:r>
    </w:p>
    <w:p>
      <w:pPr>
        <w:pStyle w:val="BlankOpen"/>
      </w:pPr>
    </w:p>
    <w:p>
      <w:pPr>
        <w:pStyle w:val="nzIndenta"/>
      </w:pPr>
      <w:r>
        <w:tab/>
        <w:t>(c)</w:t>
      </w:r>
      <w:r>
        <w:tab/>
        <w:t>must comply with subrule (1A); and</w:t>
      </w:r>
    </w:p>
    <w:p>
      <w:pPr>
        <w:pStyle w:val="BlankClose"/>
      </w:pPr>
    </w:p>
    <w:p>
      <w:pPr>
        <w:pStyle w:val="nzSubsection"/>
      </w:pPr>
      <w:r>
        <w:tab/>
        <w:t>(2)</w:t>
      </w:r>
      <w:r>
        <w:tab/>
        <w:t>After rule 21(1) insert:</w:t>
      </w:r>
    </w:p>
    <w:p>
      <w:pPr>
        <w:pStyle w:val="BlankOpen"/>
      </w:pPr>
    </w:p>
    <w:p>
      <w:pPr>
        <w:pStyle w:val="nzSubsection"/>
      </w:pPr>
      <w:r>
        <w:tab/>
        <w:t>(1A)</w:t>
      </w:r>
      <w:r>
        <w:tab/>
        <w:t>The textual content of any document that is filed, including any endnotes, footnotes and quotations, must be typed using —</w:t>
      </w:r>
    </w:p>
    <w:p>
      <w:pPr>
        <w:pStyle w:val="nzIndenta"/>
      </w:pPr>
      <w:r>
        <w:tab/>
        <w:t>(a)</w:t>
      </w:r>
      <w:r>
        <w:tab/>
        <w:t>at least the size of type used for these rules (12 point Times New Roman); and</w:t>
      </w:r>
    </w:p>
    <w:p>
      <w:pPr>
        <w:pStyle w:val="nzIndenta"/>
      </w:pPr>
      <w:r>
        <w:tab/>
        <w:t>(b)</w:t>
      </w:r>
      <w:r>
        <w:tab/>
        <w:t>a line spacing of at least 1.5.</w:t>
      </w:r>
    </w:p>
    <w:p>
      <w:pPr>
        <w:pStyle w:val="BlankClose"/>
      </w:pPr>
    </w:p>
    <w:p>
      <w:pPr>
        <w:pStyle w:val="nzSubsection"/>
      </w:pPr>
      <w:r>
        <w:tab/>
        <w:t>(3)</w:t>
      </w:r>
      <w:r>
        <w:tab/>
        <w:t>In rule 21(2) delete “Subrule (1) does” and insert:</w:t>
      </w:r>
    </w:p>
    <w:p>
      <w:pPr>
        <w:pStyle w:val="BlankOpen"/>
      </w:pPr>
    </w:p>
    <w:p>
      <w:pPr>
        <w:pStyle w:val="nzSubsection"/>
      </w:pPr>
      <w:r>
        <w:tab/>
      </w:r>
      <w:r>
        <w:tab/>
        <w:t>Subrules (1) and (1A) do</w:t>
      </w:r>
    </w:p>
    <w:p>
      <w:pPr>
        <w:pStyle w:val="BlankClose"/>
      </w:pPr>
    </w:p>
    <w:p>
      <w:pPr>
        <w:pStyle w:val="nzSubsection"/>
      </w:pPr>
      <w:r>
        <w:tab/>
        <w:t>(4)</w:t>
      </w:r>
      <w:r>
        <w:tab/>
        <w:t>In rule 21(1) after each of paragraphs (a) and (b) insert:</w:t>
      </w:r>
    </w:p>
    <w:p>
      <w:pPr>
        <w:pStyle w:val="BlankOpen"/>
      </w:pPr>
    </w:p>
    <w:p>
      <w:pPr>
        <w:pStyle w:val="nzSubsection"/>
      </w:pPr>
      <w:r>
        <w:tab/>
      </w:r>
      <w:r>
        <w:tab/>
        <w:t>and</w:t>
      </w:r>
    </w:p>
    <w:p>
      <w:pPr>
        <w:pStyle w:val="BlankClose"/>
      </w:pPr>
    </w:p>
    <w:p>
      <w:pPr>
        <w:pStyle w:val="nzHeading5"/>
      </w:pPr>
      <w:bookmarkStart w:id="357" w:name="_Toc489358549"/>
      <w:bookmarkStart w:id="358" w:name="_Toc489448538"/>
      <w:r>
        <w:rPr>
          <w:rStyle w:val="CharSectno"/>
        </w:rPr>
        <w:t>13</w:t>
      </w:r>
      <w:r>
        <w:t>.</w:t>
      </w:r>
      <w:r>
        <w:tab/>
        <w:t>Rule 24 amended</w:t>
      </w:r>
      <w:bookmarkEnd w:id="357"/>
      <w:bookmarkEnd w:id="358"/>
    </w:p>
    <w:p>
      <w:pPr>
        <w:pStyle w:val="nzSubsection"/>
      </w:pPr>
      <w:r>
        <w:tab/>
        <w:t>(1)</w:t>
      </w:r>
      <w:r>
        <w:tab/>
        <w:t>In rule 24:</w:t>
      </w:r>
    </w:p>
    <w:p>
      <w:pPr>
        <w:pStyle w:val="nzIndenta"/>
      </w:pPr>
      <w:r>
        <w:tab/>
        <w:t>(a)</w:t>
      </w:r>
      <w:r>
        <w:tab/>
        <w:t>delete “A lawyer” and insert:</w:t>
      </w:r>
    </w:p>
    <w:p>
      <w:pPr>
        <w:pStyle w:val="BlankOpen"/>
      </w:pPr>
    </w:p>
    <w:p>
      <w:pPr>
        <w:pStyle w:val="nzSubsection"/>
      </w:pPr>
      <w:r>
        <w:tab/>
        <w:t>(1)</w:t>
      </w:r>
      <w:r>
        <w:tab/>
        <w:t>A lawyer</w:t>
      </w:r>
    </w:p>
    <w:p>
      <w:pPr>
        <w:pStyle w:val="BlankClose"/>
      </w:pPr>
    </w:p>
    <w:p>
      <w:pPr>
        <w:pStyle w:val="nzIndenta"/>
      </w:pPr>
      <w:r>
        <w:tab/>
        <w:t>(b)</w:t>
      </w:r>
      <w:r>
        <w:tab/>
        <w:t>in paragraph (a) delete “rule 23;” and insert:</w:t>
      </w:r>
    </w:p>
    <w:p>
      <w:pPr>
        <w:pStyle w:val="BlankOpen"/>
      </w:pPr>
    </w:p>
    <w:p>
      <w:pPr>
        <w:pStyle w:val="nzIndenta"/>
      </w:pPr>
      <w:r>
        <w:tab/>
      </w:r>
      <w:r>
        <w:tab/>
        <w:t>rule 23; or</w:t>
      </w:r>
    </w:p>
    <w:p>
      <w:pPr>
        <w:pStyle w:val="BlankClose"/>
      </w:pPr>
    </w:p>
    <w:p>
      <w:pPr>
        <w:pStyle w:val="nzIndenta"/>
      </w:pPr>
      <w:r>
        <w:tab/>
        <w:t>(c)</w:t>
      </w:r>
      <w:r>
        <w:tab/>
        <w:t>in paragraphs (b) and (c) delete “court” and insert:</w:t>
      </w:r>
    </w:p>
    <w:p>
      <w:pPr>
        <w:pStyle w:val="BlankOpen"/>
      </w:pPr>
    </w:p>
    <w:p>
      <w:pPr>
        <w:pStyle w:val="nzIndenta"/>
      </w:pPr>
      <w:r>
        <w:tab/>
      </w:r>
      <w:r>
        <w:tab/>
        <w:t>Court of Appeal</w:t>
      </w:r>
    </w:p>
    <w:p>
      <w:pPr>
        <w:pStyle w:val="BlankClose"/>
      </w:pPr>
    </w:p>
    <w:p>
      <w:pPr>
        <w:pStyle w:val="nzSubsection"/>
      </w:pPr>
      <w:r>
        <w:tab/>
        <w:t>(2)</w:t>
      </w:r>
      <w:r>
        <w:tab/>
        <w:t>At the end of rule 24 insert:</w:t>
      </w:r>
    </w:p>
    <w:p>
      <w:pPr>
        <w:pStyle w:val="BlankOpen"/>
      </w:pPr>
    </w:p>
    <w:p>
      <w:pPr>
        <w:pStyle w:val="nzSubsection"/>
      </w:pPr>
      <w:r>
        <w:tab/>
        <w:t>(2)</w:t>
      </w:r>
      <w:r>
        <w:tab/>
        <w:t>If the Court of Appeal gives leave for a lawyer to cease to act for a party, the lawyer is taken to be continuing to act for the party until the lawyer has complied with subrule (3).</w:t>
      </w:r>
    </w:p>
    <w:p>
      <w:pPr>
        <w:pStyle w:val="nzSubsection"/>
      </w:pPr>
      <w:r>
        <w:tab/>
        <w:t>(3)</w:t>
      </w:r>
      <w:r>
        <w:tab/>
        <w:t>The lawyer must —</w:t>
      </w:r>
    </w:p>
    <w:p>
      <w:pPr>
        <w:pStyle w:val="nzIndenta"/>
      </w:pPr>
      <w:r>
        <w:tab/>
        <w:t>(a)</w:t>
      </w:r>
      <w:r>
        <w:tab/>
        <w:t>serve the order giving leave on the party; and</w:t>
      </w:r>
    </w:p>
    <w:p>
      <w:pPr>
        <w:pStyle w:val="nzIndenta"/>
      </w:pPr>
      <w:r>
        <w:tab/>
        <w:t>(b)</w:t>
      </w:r>
      <w:r>
        <w:tab/>
        <w:t>file a Form 5A (Service certificate by lawyer ceasing to act) that —</w:t>
      </w:r>
    </w:p>
    <w:p>
      <w:pPr>
        <w:pStyle w:val="nzIndenti"/>
      </w:pPr>
      <w:r>
        <w:tab/>
        <w:t>(i)</w:t>
      </w:r>
      <w:r>
        <w:tab/>
        <w:t>certifies the party has been served; and</w:t>
      </w:r>
    </w:p>
    <w:p>
      <w:pPr>
        <w:pStyle w:val="nzIndenti"/>
      </w:pPr>
      <w:r>
        <w:tab/>
        <w:t>(ii)</w:t>
      </w:r>
      <w:r>
        <w:tab/>
        <w:t>states the party’s last known geographical address in accordance with Order 71A rule 2 of the RSC.</w:t>
      </w:r>
    </w:p>
    <w:p>
      <w:pPr>
        <w:pStyle w:val="nzSubsection"/>
      </w:pPr>
      <w:r>
        <w:tab/>
        <w:t>(4)</w:t>
      </w:r>
      <w:r>
        <w:tab/>
        <w:t>The last known geographical address of the party stated in Form 5A is taken to be the party’s service details until —</w:t>
      </w:r>
    </w:p>
    <w:p>
      <w:pPr>
        <w:pStyle w:val="nzIndenta"/>
      </w:pPr>
      <w:r>
        <w:tab/>
        <w:t>(a)</w:t>
      </w:r>
      <w:r>
        <w:tab/>
        <w:t>another lawyer files a Form 5 under rule 23; or</w:t>
      </w:r>
    </w:p>
    <w:p>
      <w:pPr>
        <w:pStyle w:val="nzIndenta"/>
      </w:pPr>
      <w:r>
        <w:tab/>
        <w:t>(b)</w:t>
      </w:r>
      <w:r>
        <w:tab/>
        <w:t>the party notifies the Court of Appeal of a change of the party’s service details.</w:t>
      </w:r>
    </w:p>
    <w:p>
      <w:pPr>
        <w:pStyle w:val="BlankClose"/>
      </w:pPr>
    </w:p>
    <w:p>
      <w:pPr>
        <w:pStyle w:val="nzHeading5"/>
      </w:pPr>
      <w:bookmarkStart w:id="359" w:name="_Toc489358550"/>
      <w:bookmarkStart w:id="360" w:name="_Toc489448539"/>
      <w:r>
        <w:rPr>
          <w:rStyle w:val="CharSectno"/>
        </w:rPr>
        <w:t>14</w:t>
      </w:r>
      <w:r>
        <w:t>.</w:t>
      </w:r>
      <w:r>
        <w:tab/>
        <w:t>Rule 26A inserted</w:t>
      </w:r>
      <w:bookmarkEnd w:id="359"/>
      <w:bookmarkEnd w:id="360"/>
    </w:p>
    <w:p>
      <w:pPr>
        <w:pStyle w:val="nzSubsection"/>
      </w:pPr>
      <w:r>
        <w:tab/>
      </w:r>
      <w:r>
        <w:tab/>
        <w:t>At the end of Part 5 Division 1 insert:</w:t>
      </w:r>
    </w:p>
    <w:p>
      <w:pPr>
        <w:pStyle w:val="BlankOpen"/>
      </w:pPr>
    </w:p>
    <w:p>
      <w:pPr>
        <w:pStyle w:val="nzHeading5"/>
      </w:pPr>
      <w:bookmarkStart w:id="361" w:name="_Toc489358551"/>
      <w:bookmarkStart w:id="362" w:name="_Toc489448540"/>
      <w:r>
        <w:t>26A.</w:t>
      </w:r>
      <w:r>
        <w:tab/>
        <w:t>Parties to appeals</w:t>
      </w:r>
      <w:bookmarkEnd w:id="361"/>
      <w:bookmarkEnd w:id="362"/>
    </w:p>
    <w:p>
      <w:pPr>
        <w:pStyle w:val="nzSubsection"/>
      </w:pPr>
      <w:r>
        <w:tab/>
        <w:t>(1)</w:t>
      </w:r>
      <w:r>
        <w:tab/>
        <w:t>Each person who would be directly affected by the relief sought in an appeal must be made a respondent to the appeal.</w:t>
      </w:r>
    </w:p>
    <w:p>
      <w:pPr>
        <w:pStyle w:val="nzSubsection"/>
      </w:pPr>
      <w:r>
        <w:tab/>
        <w:t>(2)</w:t>
      </w:r>
      <w:r>
        <w:tab/>
        <w:t>In an appeal, the primary court must not be made a respondent unless the Court of Appeal orders otherwise.</w:t>
      </w:r>
    </w:p>
    <w:p>
      <w:pPr>
        <w:pStyle w:val="nzSubsection"/>
      </w:pPr>
      <w:r>
        <w:tab/>
        <w:t>(3)</w:t>
      </w:r>
      <w:r>
        <w:tab/>
        <w:t>A person cannot be made an appellant in an appeal without their consent.</w:t>
      </w:r>
    </w:p>
    <w:p>
      <w:pPr>
        <w:pStyle w:val="nzSubsection"/>
      </w:pPr>
      <w:r>
        <w:tab/>
        <w:t>(4)</w:t>
      </w:r>
      <w:r>
        <w:tab/>
        <w:t>Subject to subrule (3), the Court of Appeal may order that a person be added as a party and may order a party to be removed.</w:t>
      </w:r>
    </w:p>
    <w:p>
      <w:pPr>
        <w:pStyle w:val="BlankClose"/>
      </w:pPr>
    </w:p>
    <w:p>
      <w:pPr>
        <w:pStyle w:val="nzHeading5"/>
      </w:pPr>
      <w:bookmarkStart w:id="363" w:name="_Toc489358552"/>
      <w:bookmarkStart w:id="364" w:name="_Toc489448541"/>
      <w:r>
        <w:rPr>
          <w:rStyle w:val="CharSectno"/>
        </w:rPr>
        <w:t>15</w:t>
      </w:r>
      <w:r>
        <w:t>.</w:t>
      </w:r>
      <w:r>
        <w:tab/>
        <w:t>Rule 29 amended</w:t>
      </w:r>
      <w:bookmarkEnd w:id="363"/>
      <w:bookmarkEnd w:id="364"/>
    </w:p>
    <w:p>
      <w:pPr>
        <w:pStyle w:val="nzSubsection"/>
      </w:pPr>
      <w:r>
        <w:tab/>
      </w:r>
      <w:r>
        <w:tab/>
        <w:t>In rule 29(5) delete “Form 3.” and insert:</w:t>
      </w:r>
    </w:p>
    <w:p>
      <w:pPr>
        <w:pStyle w:val="BlankOpen"/>
      </w:pPr>
    </w:p>
    <w:p>
      <w:pPr>
        <w:pStyle w:val="nzSubsection"/>
      </w:pPr>
      <w:r>
        <w:tab/>
      </w:r>
      <w:r>
        <w:tab/>
        <w:t>Form 3 (Service certificate).</w:t>
      </w:r>
    </w:p>
    <w:p>
      <w:pPr>
        <w:pStyle w:val="BlankClose"/>
      </w:pPr>
    </w:p>
    <w:p>
      <w:pPr>
        <w:pStyle w:val="nzHeading5"/>
      </w:pPr>
      <w:bookmarkStart w:id="365" w:name="_Toc489358553"/>
      <w:bookmarkStart w:id="366" w:name="_Toc489448542"/>
      <w:r>
        <w:rPr>
          <w:rStyle w:val="CharSectno"/>
        </w:rPr>
        <w:t>16</w:t>
      </w:r>
      <w:r>
        <w:t>.</w:t>
      </w:r>
      <w:r>
        <w:tab/>
        <w:t>Rule 31 amended</w:t>
      </w:r>
      <w:bookmarkEnd w:id="365"/>
      <w:bookmarkEnd w:id="366"/>
    </w:p>
    <w:p>
      <w:pPr>
        <w:pStyle w:val="nzSubsection"/>
      </w:pPr>
      <w:r>
        <w:tab/>
      </w:r>
      <w:r>
        <w:tab/>
        <w:t>Delete rule 31(4) and (5) and insert:</w:t>
      </w:r>
    </w:p>
    <w:p>
      <w:pPr>
        <w:pStyle w:val="BlankOpen"/>
      </w:pPr>
    </w:p>
    <w:p>
      <w:pPr>
        <w:pStyle w:val="nzSubsection"/>
      </w:pPr>
      <w:r>
        <w:tab/>
        <w:t>(4)</w:t>
      </w:r>
      <w:r>
        <w:tab/>
        <w:t>If a respondent does not file a Form 4, the respondent —</w:t>
      </w:r>
    </w:p>
    <w:p>
      <w:pPr>
        <w:pStyle w:val="nzIndenta"/>
      </w:pPr>
      <w:r>
        <w:tab/>
        <w:t>(a)</w:t>
      </w:r>
      <w:r>
        <w:tab/>
        <w:t>is not entitled to receive or be served with any document filed for the purposes of the appeal, unless a single judge orders otherwise; and</w:t>
      </w:r>
    </w:p>
    <w:p>
      <w:pPr>
        <w:pStyle w:val="nzIndenta"/>
      </w:pPr>
      <w:r>
        <w:tab/>
        <w:t>(b)</w:t>
      </w:r>
      <w:r>
        <w:tab/>
        <w:t>is not entitled to take part or be heard in the appeal; and</w:t>
      </w:r>
    </w:p>
    <w:p>
      <w:pPr>
        <w:pStyle w:val="nzIndenta"/>
      </w:pPr>
      <w:r>
        <w:tab/>
        <w:t>(c)</w:t>
      </w:r>
      <w:r>
        <w:tab/>
        <w:t>is not a party to the appeal for the purposes of these rules.</w:t>
      </w:r>
    </w:p>
    <w:p>
      <w:pPr>
        <w:pStyle w:val="BlankClose"/>
      </w:pPr>
    </w:p>
    <w:p>
      <w:pPr>
        <w:pStyle w:val="nzHeading5"/>
      </w:pPr>
      <w:bookmarkStart w:id="367" w:name="_Toc489358554"/>
      <w:bookmarkStart w:id="368" w:name="_Toc489448543"/>
      <w:r>
        <w:rPr>
          <w:rStyle w:val="CharSectno"/>
        </w:rPr>
        <w:t>17</w:t>
      </w:r>
      <w:r>
        <w:t>.</w:t>
      </w:r>
      <w:r>
        <w:tab/>
        <w:t>Rule 31A inserted</w:t>
      </w:r>
      <w:bookmarkEnd w:id="367"/>
      <w:bookmarkEnd w:id="368"/>
    </w:p>
    <w:p>
      <w:pPr>
        <w:pStyle w:val="nzSubsection"/>
      </w:pPr>
      <w:r>
        <w:tab/>
      </w:r>
      <w:r>
        <w:tab/>
        <w:t>After rule 31 insert:</w:t>
      </w:r>
    </w:p>
    <w:p>
      <w:pPr>
        <w:pStyle w:val="BlankOpen"/>
      </w:pPr>
    </w:p>
    <w:p>
      <w:pPr>
        <w:pStyle w:val="nzHeading5"/>
      </w:pPr>
      <w:bookmarkStart w:id="369" w:name="_Toc489358555"/>
      <w:bookmarkStart w:id="370" w:name="_Toc489448544"/>
      <w:r>
        <w:t>31A.</w:t>
      </w:r>
      <w:r>
        <w:tab/>
        <w:t>Cross appeals</w:t>
      </w:r>
      <w:bookmarkEnd w:id="369"/>
      <w:bookmarkEnd w:id="370"/>
    </w:p>
    <w:p>
      <w:pPr>
        <w:pStyle w:val="nzSubsection"/>
      </w:pPr>
      <w:r>
        <w:tab/>
        <w:t>(1)</w:t>
      </w:r>
      <w:r>
        <w:tab/>
        <w:t>If under rule 31 a respondent files a Form 4, the respondent may also appeal (</w:t>
      </w:r>
      <w:r>
        <w:rPr>
          <w:rStyle w:val="CharDefText"/>
        </w:rPr>
        <w:t>cross appeal</w:t>
      </w:r>
      <w:r>
        <w:t>) against the decision specified in the appellant’s appeal notice.</w:t>
      </w:r>
    </w:p>
    <w:p>
      <w:pPr>
        <w:pStyle w:val="nzSubsection"/>
      </w:pPr>
      <w:r>
        <w:tab/>
        <w:t>(2)</w:t>
      </w:r>
      <w:r>
        <w:tab/>
        <w:t>To commence a cross appeal, a respondent must file a Form 4A within 7 days after the date on which the respondent is served with the appeal notice.</w:t>
      </w:r>
    </w:p>
    <w:p>
      <w:pPr>
        <w:pStyle w:val="nzSubsection"/>
      </w:pPr>
      <w:r>
        <w:tab/>
        <w:t>(3)</w:t>
      </w:r>
      <w:r>
        <w:tab/>
        <w:t>These rules apply to a cross appeal to the same extent as they apply to an appeal, unless a single judge orders otherwise in a particular case.</w:t>
      </w:r>
    </w:p>
    <w:p>
      <w:pPr>
        <w:pStyle w:val="nzSubsection"/>
      </w:pPr>
      <w:r>
        <w:tab/>
        <w:t>(4)</w:t>
      </w:r>
      <w:r>
        <w:tab/>
        <w:t>After a respondent cross appeals, a registrar must —</w:t>
      </w:r>
    </w:p>
    <w:p>
      <w:pPr>
        <w:pStyle w:val="nzIndenta"/>
      </w:pPr>
      <w:r>
        <w:tab/>
        <w:t>(a)</w:t>
      </w:r>
      <w:r>
        <w:tab/>
        <w:t>set the time within which the respondent must file documents in respect of the cross appeal that correspond to the “Appellant’s case” referred to in rule 32; and</w:t>
      </w:r>
    </w:p>
    <w:p>
      <w:pPr>
        <w:pStyle w:val="nzIndenta"/>
      </w:pPr>
      <w:r>
        <w:tab/>
        <w:t>(b)</w:t>
      </w:r>
      <w:r>
        <w:tab/>
        <w:t>set the time within which the appellant must file documents in respect of the cross appeal that correspond to the “Respondent’s answer” referred to in rule 33.</w:t>
      </w:r>
    </w:p>
    <w:p>
      <w:pPr>
        <w:pStyle w:val="BlankClose"/>
      </w:pPr>
    </w:p>
    <w:p>
      <w:pPr>
        <w:pStyle w:val="nzHeading5"/>
      </w:pPr>
      <w:bookmarkStart w:id="371" w:name="_Toc489358556"/>
      <w:bookmarkStart w:id="372" w:name="_Toc489448545"/>
      <w:r>
        <w:rPr>
          <w:rStyle w:val="CharSectno"/>
        </w:rPr>
        <w:t>18</w:t>
      </w:r>
      <w:r>
        <w:t>.</w:t>
      </w:r>
      <w:r>
        <w:tab/>
        <w:t>Rule 32 amended</w:t>
      </w:r>
      <w:bookmarkEnd w:id="371"/>
      <w:bookmarkEnd w:id="372"/>
    </w:p>
    <w:p>
      <w:pPr>
        <w:pStyle w:val="nzSubsection"/>
      </w:pPr>
      <w:r>
        <w:tab/>
        <w:t>(1)</w:t>
      </w:r>
      <w:r>
        <w:tab/>
        <w:t>In rule 32(2)(a) delete “7 days” and insert:</w:t>
      </w:r>
    </w:p>
    <w:p>
      <w:pPr>
        <w:pStyle w:val="BlankOpen"/>
      </w:pPr>
    </w:p>
    <w:p>
      <w:pPr>
        <w:pStyle w:val="nzSubsection"/>
      </w:pPr>
      <w:r>
        <w:tab/>
      </w:r>
      <w:r>
        <w:tab/>
        <w:t>14 days</w:t>
      </w:r>
    </w:p>
    <w:p>
      <w:pPr>
        <w:pStyle w:val="BlankClose"/>
      </w:pPr>
    </w:p>
    <w:p>
      <w:pPr>
        <w:pStyle w:val="nzSubsection"/>
      </w:pPr>
      <w:r>
        <w:tab/>
        <w:t>(2)</w:t>
      </w:r>
      <w:r>
        <w:tab/>
        <w:t>After rule 32(3)(a)(iv) insert:</w:t>
      </w:r>
    </w:p>
    <w:p>
      <w:pPr>
        <w:pStyle w:val="BlankOpen"/>
      </w:pPr>
    </w:p>
    <w:p>
      <w:pPr>
        <w:pStyle w:val="nzIndenti"/>
      </w:pPr>
      <w:r>
        <w:tab/>
        <w:t>(v)</w:t>
      </w:r>
      <w:r>
        <w:tab/>
        <w:t>a document titled “Draft appeal book indexes”;</w:t>
      </w:r>
    </w:p>
    <w:p>
      <w:pPr>
        <w:pStyle w:val="BlankClose"/>
      </w:pPr>
    </w:p>
    <w:p>
      <w:pPr>
        <w:pStyle w:val="nzSubsection"/>
      </w:pPr>
      <w:r>
        <w:tab/>
        <w:t>(3)</w:t>
      </w:r>
      <w:r>
        <w:tab/>
        <w:t>In rule 32(4):</w:t>
      </w:r>
    </w:p>
    <w:p>
      <w:pPr>
        <w:pStyle w:val="nzIndenta"/>
      </w:pPr>
      <w:r>
        <w:tab/>
        <w:t>(a)</w:t>
      </w:r>
      <w:r>
        <w:tab/>
        <w:t>in paragraph (c)(iii) delete “law.” and insert:</w:t>
      </w:r>
    </w:p>
    <w:p>
      <w:pPr>
        <w:pStyle w:val="BlankOpen"/>
      </w:pPr>
    </w:p>
    <w:p>
      <w:pPr>
        <w:pStyle w:val="nzIndenta"/>
      </w:pPr>
      <w:r>
        <w:tab/>
      </w:r>
      <w:r>
        <w:tab/>
        <w:t>law;</w:t>
      </w:r>
    </w:p>
    <w:p>
      <w:pPr>
        <w:pStyle w:val="BlankClose"/>
      </w:pPr>
    </w:p>
    <w:p>
      <w:pPr>
        <w:pStyle w:val="nzIndenta"/>
      </w:pPr>
      <w:r>
        <w:tab/>
        <w:t>(b)</w:t>
      </w:r>
      <w:r>
        <w:tab/>
        <w:t>after paragraph (c) insert:</w:t>
      </w:r>
    </w:p>
    <w:p>
      <w:pPr>
        <w:pStyle w:val="BlankOpen"/>
        <w:widowControl w:val="0"/>
      </w:pPr>
    </w:p>
    <w:p>
      <w:pPr>
        <w:pStyle w:val="nzIndenta"/>
      </w:pPr>
      <w:r>
        <w:tab/>
      </w:r>
      <w:r>
        <w:tab/>
        <w:t>and</w:t>
      </w:r>
    </w:p>
    <w:p>
      <w:pPr>
        <w:pStyle w:val="nzIndenta"/>
      </w:pPr>
      <w:r>
        <w:tab/>
        <w:t>(d)</w:t>
      </w:r>
      <w:r>
        <w:tab/>
        <w:t>must identify, by reference to the paragraph number or page number of the reasons for the primary court’s decision, each passage where each such error is alleged to occur; and</w:t>
      </w:r>
    </w:p>
    <w:p>
      <w:pPr>
        <w:pStyle w:val="nzIndenta"/>
      </w:pPr>
      <w:r>
        <w:tab/>
        <w:t>(e)</w:t>
      </w:r>
      <w:r>
        <w:tab/>
        <w:t>if, under the written law under which the appeal is made, an appeal lies only if it is on or involves a question of law, must state the question of law.</w:t>
      </w:r>
    </w:p>
    <w:p>
      <w:pPr>
        <w:pStyle w:val="BlankClose"/>
      </w:pPr>
    </w:p>
    <w:p>
      <w:pPr>
        <w:pStyle w:val="nzSubsection"/>
      </w:pPr>
      <w:r>
        <w:tab/>
        <w:t>(4)</w:t>
      </w:r>
      <w:r>
        <w:tab/>
        <w:t>In rule 32(5):</w:t>
      </w:r>
    </w:p>
    <w:p>
      <w:pPr>
        <w:pStyle w:val="nzIndenta"/>
      </w:pPr>
      <w:r>
        <w:tab/>
        <w:t>(a)</w:t>
      </w:r>
      <w:r>
        <w:tab/>
        <w:t>delete paragraph (c)(ii) and insert:</w:t>
      </w:r>
    </w:p>
    <w:p>
      <w:pPr>
        <w:pStyle w:val="BlankOpen"/>
      </w:pPr>
    </w:p>
    <w:p>
      <w:pPr>
        <w:pStyle w:val="nzIndenti"/>
      </w:pPr>
      <w:r>
        <w:tab/>
        <w:t>(ii)</w:t>
      </w:r>
      <w:r>
        <w:tab/>
        <w:t>the number of each exhibit, and a description of any other piece of documentary evidence, in the primary court that is relevant; and</w:t>
      </w:r>
    </w:p>
    <w:p>
      <w:pPr>
        <w:pStyle w:val="BlankClose"/>
      </w:pPr>
    </w:p>
    <w:p>
      <w:pPr>
        <w:pStyle w:val="nzIndenta"/>
      </w:pPr>
      <w:r>
        <w:tab/>
        <w:t>(b)</w:t>
      </w:r>
      <w:r>
        <w:tab/>
        <w:t>delete paragraph (e) and insert:</w:t>
      </w:r>
    </w:p>
    <w:p>
      <w:pPr>
        <w:pStyle w:val="BlankOpen"/>
      </w:pPr>
    </w:p>
    <w:p>
      <w:pPr>
        <w:pStyle w:val="nzIndenta"/>
      </w:pPr>
      <w:r>
        <w:tab/>
        <w:t>(e)</w:t>
      </w:r>
      <w:r>
        <w:tab/>
        <w:t>must include the signature and below it the printed name of the person who prepared it.</w:t>
      </w:r>
    </w:p>
    <w:p>
      <w:pPr>
        <w:pStyle w:val="BlankClose"/>
      </w:pPr>
    </w:p>
    <w:p>
      <w:pPr>
        <w:pStyle w:val="nzSubsection"/>
      </w:pPr>
      <w:r>
        <w:tab/>
        <w:t>(5)</w:t>
      </w:r>
      <w:r>
        <w:tab/>
        <w:t>In rule 32(6)(a) and (b) delete “court” and insert:</w:t>
      </w:r>
    </w:p>
    <w:p>
      <w:pPr>
        <w:pStyle w:val="BlankOpen"/>
      </w:pPr>
    </w:p>
    <w:p>
      <w:pPr>
        <w:pStyle w:val="nzSubsection"/>
      </w:pPr>
      <w:r>
        <w:tab/>
      </w:r>
      <w:r>
        <w:tab/>
        <w:t>Court of Appeal</w:t>
      </w:r>
    </w:p>
    <w:p>
      <w:pPr>
        <w:pStyle w:val="BlankClose"/>
      </w:pPr>
    </w:p>
    <w:p>
      <w:pPr>
        <w:pStyle w:val="nzSubsection"/>
      </w:pPr>
      <w:r>
        <w:tab/>
        <w:t>(6)</w:t>
      </w:r>
      <w:r>
        <w:tab/>
        <w:t>In rule 32:</w:t>
      </w:r>
    </w:p>
    <w:p>
      <w:pPr>
        <w:pStyle w:val="nzIndenta"/>
      </w:pPr>
      <w:r>
        <w:tab/>
        <w:t>(a)</w:t>
      </w:r>
      <w:r>
        <w:tab/>
        <w:t>in subrule (4) after paragraph (a) insert:</w:t>
      </w:r>
    </w:p>
    <w:p>
      <w:pPr>
        <w:pStyle w:val="BlankOpen"/>
        <w:widowControl w:val="0"/>
      </w:pPr>
    </w:p>
    <w:p>
      <w:pPr>
        <w:pStyle w:val="nzIndenta"/>
      </w:pPr>
      <w:r>
        <w:tab/>
      </w:r>
      <w:r>
        <w:tab/>
        <w:t>and</w:t>
      </w:r>
    </w:p>
    <w:p>
      <w:pPr>
        <w:pStyle w:val="BlankClose"/>
        <w:keepNext/>
        <w:widowControl w:val="0"/>
      </w:pPr>
    </w:p>
    <w:p>
      <w:pPr>
        <w:pStyle w:val="nzIndenta"/>
      </w:pPr>
      <w:r>
        <w:tab/>
        <w:t>(b)</w:t>
      </w:r>
      <w:r>
        <w:tab/>
        <w:t>in subrule (4) after each of paragraphs (b)(i) and (ii) and (c)(i) insert:</w:t>
      </w:r>
    </w:p>
    <w:p>
      <w:pPr>
        <w:pStyle w:val="BlankOpen"/>
      </w:pPr>
    </w:p>
    <w:p>
      <w:pPr>
        <w:pStyle w:val="nzIndenta"/>
      </w:pPr>
      <w:r>
        <w:tab/>
      </w:r>
      <w:r>
        <w:tab/>
        <w:t>or</w:t>
      </w:r>
    </w:p>
    <w:p>
      <w:pPr>
        <w:pStyle w:val="BlankClose"/>
      </w:pPr>
    </w:p>
    <w:p>
      <w:pPr>
        <w:pStyle w:val="nzIndenta"/>
      </w:pPr>
      <w:r>
        <w:tab/>
        <w:t>(c)</w:t>
      </w:r>
      <w:r>
        <w:tab/>
        <w:t>in subrule (5) after each of paragraphs (a), (b), (c)(i) and (c) insert:</w:t>
      </w:r>
    </w:p>
    <w:p>
      <w:pPr>
        <w:pStyle w:val="BlankOpen"/>
      </w:pPr>
    </w:p>
    <w:p>
      <w:pPr>
        <w:pStyle w:val="nzIndenta"/>
      </w:pPr>
      <w:r>
        <w:tab/>
      </w:r>
      <w:r>
        <w:tab/>
        <w:t>and</w:t>
      </w:r>
    </w:p>
    <w:p>
      <w:pPr>
        <w:pStyle w:val="BlankClose"/>
      </w:pPr>
    </w:p>
    <w:p>
      <w:pPr>
        <w:pStyle w:val="nzIndenta"/>
      </w:pPr>
      <w:r>
        <w:tab/>
        <w:t>(d)</w:t>
      </w:r>
      <w:r>
        <w:tab/>
        <w:t>in subrule (6) after each of paragraphs (a), (b) and (c) insert:</w:t>
      </w:r>
    </w:p>
    <w:p>
      <w:pPr>
        <w:pStyle w:val="BlankOpen"/>
      </w:pPr>
    </w:p>
    <w:p>
      <w:pPr>
        <w:pStyle w:val="nzIndenta"/>
      </w:pPr>
      <w:r>
        <w:tab/>
      </w:r>
      <w:r>
        <w:tab/>
        <w:t>and</w:t>
      </w:r>
    </w:p>
    <w:p>
      <w:pPr>
        <w:pStyle w:val="BlankClose"/>
      </w:pPr>
    </w:p>
    <w:p>
      <w:pPr>
        <w:pStyle w:val="nzHeading5"/>
      </w:pPr>
      <w:bookmarkStart w:id="373" w:name="_Toc489358557"/>
      <w:bookmarkStart w:id="374" w:name="_Toc489448546"/>
      <w:r>
        <w:rPr>
          <w:rStyle w:val="CharSectno"/>
        </w:rPr>
        <w:t>19</w:t>
      </w:r>
      <w:r>
        <w:t>.</w:t>
      </w:r>
      <w:r>
        <w:tab/>
        <w:t>Rule 33 amended</w:t>
      </w:r>
      <w:bookmarkEnd w:id="373"/>
      <w:bookmarkEnd w:id="374"/>
    </w:p>
    <w:p>
      <w:pPr>
        <w:pStyle w:val="nzSubsection"/>
      </w:pPr>
      <w:r>
        <w:tab/>
        <w:t>(1)</w:t>
      </w:r>
      <w:r>
        <w:tab/>
        <w:t>In rule 33(3):</w:t>
      </w:r>
    </w:p>
    <w:p>
      <w:pPr>
        <w:pStyle w:val="nzIndenta"/>
      </w:pPr>
      <w:r>
        <w:tab/>
        <w:t>(a)</w:t>
      </w:r>
      <w:r>
        <w:tab/>
        <w:t>in paragraph (a) delete “7 days” and insert:</w:t>
      </w:r>
    </w:p>
    <w:p>
      <w:pPr>
        <w:pStyle w:val="BlankOpen"/>
      </w:pPr>
    </w:p>
    <w:p>
      <w:pPr>
        <w:pStyle w:val="nzIndenta"/>
      </w:pPr>
      <w:r>
        <w:tab/>
      </w:r>
      <w:r>
        <w:tab/>
        <w:t>14 days</w:t>
      </w:r>
    </w:p>
    <w:p>
      <w:pPr>
        <w:pStyle w:val="BlankClose"/>
      </w:pPr>
    </w:p>
    <w:p>
      <w:pPr>
        <w:pStyle w:val="nzIndenta"/>
      </w:pPr>
      <w:r>
        <w:tab/>
        <w:t>(b)</w:t>
      </w:r>
      <w:r>
        <w:tab/>
        <w:t>delete “the registrar” and insert:</w:t>
      </w:r>
    </w:p>
    <w:p>
      <w:pPr>
        <w:pStyle w:val="BlankOpen"/>
      </w:pPr>
    </w:p>
    <w:p>
      <w:pPr>
        <w:pStyle w:val="nzIndenta"/>
      </w:pPr>
      <w:r>
        <w:tab/>
      </w:r>
      <w:r>
        <w:tab/>
        <w:t>a registrar</w:t>
      </w:r>
    </w:p>
    <w:p>
      <w:pPr>
        <w:pStyle w:val="BlankClose"/>
      </w:pPr>
    </w:p>
    <w:p>
      <w:pPr>
        <w:pStyle w:val="nzSubsection"/>
      </w:pPr>
      <w:r>
        <w:tab/>
        <w:t>(2)</w:t>
      </w:r>
      <w:r>
        <w:tab/>
        <w:t>In rule 33(4):</w:t>
      </w:r>
    </w:p>
    <w:p>
      <w:pPr>
        <w:pStyle w:val="nzIndenta"/>
      </w:pPr>
      <w:r>
        <w:tab/>
        <w:t>(a)</w:t>
      </w:r>
      <w:r>
        <w:tab/>
        <w:t>after paragraph (a)(iii) insert:</w:t>
      </w:r>
    </w:p>
    <w:p>
      <w:pPr>
        <w:pStyle w:val="BlankOpen"/>
      </w:pPr>
    </w:p>
    <w:p>
      <w:pPr>
        <w:pStyle w:val="nzIndenti"/>
      </w:pPr>
      <w:r>
        <w:tab/>
        <w:t>(iv)</w:t>
      </w:r>
      <w:r>
        <w:tab/>
        <w:t>a document titled “Reply to the appellant’s draft indexes”;</w:t>
      </w:r>
    </w:p>
    <w:p>
      <w:pPr>
        <w:pStyle w:val="BlankClose"/>
      </w:pPr>
    </w:p>
    <w:p>
      <w:pPr>
        <w:pStyle w:val="nzIndenta"/>
      </w:pPr>
      <w:r>
        <w:tab/>
        <w:t>(b)</w:t>
      </w:r>
      <w:r>
        <w:tab/>
        <w:t>after paragraph (b)(ii) insert:</w:t>
      </w:r>
    </w:p>
    <w:p>
      <w:pPr>
        <w:pStyle w:val="BlankOpen"/>
      </w:pPr>
    </w:p>
    <w:p>
      <w:pPr>
        <w:pStyle w:val="nzIndenti"/>
      </w:pPr>
      <w:r>
        <w:tab/>
        <w:t>(iii)</w:t>
      </w:r>
      <w:r>
        <w:tab/>
        <w:t>a document titled “Reply to the appellant’s draft indexes”;</w:t>
      </w:r>
    </w:p>
    <w:p>
      <w:pPr>
        <w:pStyle w:val="BlankClose"/>
      </w:pPr>
    </w:p>
    <w:p>
      <w:pPr>
        <w:pStyle w:val="nzSubsection"/>
      </w:pPr>
      <w:r>
        <w:tab/>
        <w:t>(3)</w:t>
      </w:r>
      <w:r>
        <w:tab/>
        <w:t>Delete rule 33(5)(b)(ii) and insert:</w:t>
      </w:r>
    </w:p>
    <w:p>
      <w:pPr>
        <w:pStyle w:val="BlankOpen"/>
      </w:pPr>
    </w:p>
    <w:p>
      <w:pPr>
        <w:pStyle w:val="nzIndenti"/>
      </w:pPr>
      <w:r>
        <w:tab/>
        <w:t>(ii)</w:t>
      </w:r>
      <w:r>
        <w:tab/>
        <w:t>the number of each exhibit, and a description of any other piece of documentary evidence, in the primary court that is relevant; and</w:t>
      </w:r>
    </w:p>
    <w:p>
      <w:pPr>
        <w:pStyle w:val="BlankClose"/>
      </w:pPr>
    </w:p>
    <w:p>
      <w:pPr>
        <w:pStyle w:val="nzSubsection"/>
      </w:pPr>
      <w:r>
        <w:tab/>
        <w:t>(4)</w:t>
      </w:r>
      <w:r>
        <w:tab/>
        <w:t>After rule 33(7) insert:</w:t>
      </w:r>
    </w:p>
    <w:p>
      <w:pPr>
        <w:pStyle w:val="BlankOpen"/>
      </w:pPr>
    </w:p>
    <w:p>
      <w:pPr>
        <w:pStyle w:val="nzSubsection"/>
      </w:pPr>
      <w:r>
        <w:tab/>
        <w:t>(7A)</w:t>
      </w:r>
      <w:r>
        <w:tab/>
        <w:t>Rule 32(5), with any necessary changes, applies to the document titled “Respondent’s notice of contention”.</w:t>
      </w:r>
    </w:p>
    <w:p>
      <w:pPr>
        <w:pStyle w:val="BlankClose"/>
      </w:pPr>
    </w:p>
    <w:p>
      <w:pPr>
        <w:pStyle w:val="nzSubsection"/>
      </w:pPr>
      <w:r>
        <w:tab/>
        <w:t>(5)</w:t>
      </w:r>
      <w:r>
        <w:tab/>
        <w:t>In rule 33:</w:t>
      </w:r>
    </w:p>
    <w:p>
      <w:pPr>
        <w:pStyle w:val="nzIndenta"/>
      </w:pPr>
      <w:r>
        <w:tab/>
        <w:t>(a)</w:t>
      </w:r>
      <w:r>
        <w:tab/>
        <w:t>in subrule (5) after paragraph (b)(i) insert:</w:t>
      </w:r>
    </w:p>
    <w:p>
      <w:pPr>
        <w:pStyle w:val="BlankOpen"/>
      </w:pPr>
    </w:p>
    <w:p>
      <w:pPr>
        <w:pStyle w:val="nzIndenta"/>
      </w:pPr>
      <w:r>
        <w:tab/>
      </w:r>
      <w:r>
        <w:tab/>
        <w:t>and</w:t>
      </w:r>
    </w:p>
    <w:p>
      <w:pPr>
        <w:pStyle w:val="BlankClose"/>
      </w:pPr>
    </w:p>
    <w:p>
      <w:pPr>
        <w:pStyle w:val="nzIndenta"/>
      </w:pPr>
      <w:r>
        <w:tab/>
        <w:t>(b)</w:t>
      </w:r>
      <w:r>
        <w:tab/>
        <w:t>in subrule (7) after paragraph (b)(i) insert:</w:t>
      </w:r>
    </w:p>
    <w:p>
      <w:pPr>
        <w:pStyle w:val="BlankOpen"/>
      </w:pPr>
    </w:p>
    <w:p>
      <w:pPr>
        <w:pStyle w:val="nzIndenta"/>
      </w:pPr>
      <w:r>
        <w:tab/>
      </w:r>
      <w:r>
        <w:tab/>
        <w:t>and</w:t>
      </w:r>
    </w:p>
    <w:p>
      <w:pPr>
        <w:pStyle w:val="BlankClose"/>
      </w:pPr>
    </w:p>
    <w:p>
      <w:pPr>
        <w:pStyle w:val="nzHeading5"/>
      </w:pPr>
      <w:bookmarkStart w:id="375" w:name="_Toc489358558"/>
      <w:bookmarkStart w:id="376" w:name="_Toc489448547"/>
      <w:r>
        <w:rPr>
          <w:rStyle w:val="CharSectno"/>
        </w:rPr>
        <w:t>20</w:t>
      </w:r>
      <w:r>
        <w:t>.</w:t>
      </w:r>
      <w:r>
        <w:tab/>
        <w:t>Rule 34 amended</w:t>
      </w:r>
      <w:bookmarkEnd w:id="375"/>
      <w:bookmarkEnd w:id="376"/>
    </w:p>
    <w:p>
      <w:pPr>
        <w:pStyle w:val="nzSubsection"/>
      </w:pPr>
      <w:r>
        <w:tab/>
        <w:t>(1)</w:t>
      </w:r>
      <w:r>
        <w:tab/>
        <w:t>After rule 34(2) insert:</w:t>
      </w:r>
    </w:p>
    <w:p>
      <w:pPr>
        <w:pStyle w:val="BlankOpen"/>
      </w:pPr>
    </w:p>
    <w:p>
      <w:pPr>
        <w:pStyle w:val="nzSubsection"/>
      </w:pPr>
      <w:r>
        <w:tab/>
        <w:t>(3)</w:t>
      </w:r>
      <w:r>
        <w:tab/>
        <w:t>Rule 32(5), with any necessary changes, applies to the document titled “Appellant’s reply to respondent’s notice of contention”.</w:t>
      </w:r>
    </w:p>
    <w:p>
      <w:pPr>
        <w:pStyle w:val="BlankClose"/>
      </w:pPr>
    </w:p>
    <w:p>
      <w:pPr>
        <w:pStyle w:val="nzSubsection"/>
      </w:pPr>
      <w:r>
        <w:tab/>
        <w:t>(2)</w:t>
      </w:r>
      <w:r>
        <w:tab/>
        <w:t>In rule 34(2) after paragraph (b)(i) insert:</w:t>
      </w:r>
    </w:p>
    <w:p>
      <w:pPr>
        <w:pStyle w:val="BlankOpen"/>
      </w:pPr>
    </w:p>
    <w:p>
      <w:pPr>
        <w:pStyle w:val="nzSubsection"/>
      </w:pPr>
      <w:r>
        <w:tab/>
      </w:r>
      <w:r>
        <w:tab/>
        <w:t>and</w:t>
      </w:r>
    </w:p>
    <w:p>
      <w:pPr>
        <w:pStyle w:val="BlankClose"/>
      </w:pPr>
    </w:p>
    <w:p>
      <w:pPr>
        <w:pStyle w:val="nzHeading5"/>
      </w:pPr>
      <w:bookmarkStart w:id="377" w:name="_Toc489358559"/>
      <w:bookmarkStart w:id="378" w:name="_Toc489448548"/>
      <w:r>
        <w:rPr>
          <w:rStyle w:val="CharSectno"/>
        </w:rPr>
        <w:t>21</w:t>
      </w:r>
      <w:r>
        <w:t>.</w:t>
      </w:r>
      <w:r>
        <w:tab/>
        <w:t>Rule 35 replaced</w:t>
      </w:r>
      <w:bookmarkEnd w:id="377"/>
      <w:bookmarkEnd w:id="378"/>
    </w:p>
    <w:p>
      <w:pPr>
        <w:pStyle w:val="nzSubsection"/>
      </w:pPr>
      <w:r>
        <w:tab/>
      </w:r>
      <w:r>
        <w:tab/>
        <w:t>Delete rule 35 and insert:</w:t>
      </w:r>
    </w:p>
    <w:p>
      <w:pPr>
        <w:pStyle w:val="BlankOpen"/>
      </w:pPr>
    </w:p>
    <w:p>
      <w:pPr>
        <w:pStyle w:val="nzHeading5"/>
      </w:pPr>
      <w:bookmarkStart w:id="379" w:name="_Toc489358560"/>
      <w:bookmarkStart w:id="380" w:name="_Toc489448549"/>
      <w:r>
        <w:t>35.</w:t>
      </w:r>
      <w:r>
        <w:tab/>
        <w:t>Appeal book, when required</w:t>
      </w:r>
      <w:bookmarkEnd w:id="379"/>
      <w:bookmarkEnd w:id="380"/>
    </w:p>
    <w:p>
      <w:pPr>
        <w:pStyle w:val="nzSubsection"/>
      </w:pPr>
      <w:r>
        <w:tab/>
        <w:t>(1)</w:t>
      </w:r>
      <w:r>
        <w:tab/>
        <w:t>An appeal book, containing the documents required for the hearing of the appeal, is required for every appeal, unless a single judge orders otherwise in a particular appeal.</w:t>
      </w:r>
    </w:p>
    <w:p>
      <w:pPr>
        <w:pStyle w:val="nz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BlankClose"/>
      </w:pPr>
    </w:p>
    <w:p>
      <w:pPr>
        <w:pStyle w:val="nzHeading5"/>
      </w:pPr>
      <w:bookmarkStart w:id="381" w:name="_Toc489358561"/>
      <w:bookmarkStart w:id="382" w:name="_Toc489448550"/>
      <w:r>
        <w:rPr>
          <w:rStyle w:val="CharSectno"/>
        </w:rPr>
        <w:t>22</w:t>
      </w:r>
      <w:r>
        <w:t>.</w:t>
      </w:r>
      <w:r>
        <w:tab/>
        <w:t>Rule 36 amended</w:t>
      </w:r>
      <w:bookmarkEnd w:id="381"/>
      <w:bookmarkEnd w:id="382"/>
    </w:p>
    <w:p>
      <w:pPr>
        <w:pStyle w:val="nzSubsection"/>
      </w:pPr>
      <w:r>
        <w:tab/>
        <w:t>(1)</w:t>
      </w:r>
      <w:r>
        <w:tab/>
        <w:t>In rule 36(1):</w:t>
      </w:r>
    </w:p>
    <w:p>
      <w:pPr>
        <w:pStyle w:val="nzIndenta"/>
      </w:pPr>
      <w:r>
        <w:tab/>
        <w:t>(a)</w:t>
      </w:r>
      <w:r>
        <w:tab/>
        <w:t>delete “the registrar” and insert:</w:t>
      </w:r>
    </w:p>
    <w:p>
      <w:pPr>
        <w:pStyle w:val="BlankOpen"/>
      </w:pPr>
    </w:p>
    <w:p>
      <w:pPr>
        <w:pStyle w:val="nzIndenta"/>
      </w:pPr>
      <w:r>
        <w:tab/>
      </w:r>
      <w:r>
        <w:tab/>
        <w:t>a registrar</w:t>
      </w:r>
    </w:p>
    <w:p>
      <w:pPr>
        <w:pStyle w:val="BlankClose"/>
      </w:pPr>
    </w:p>
    <w:p>
      <w:pPr>
        <w:pStyle w:val="nzIndenta"/>
      </w:pPr>
      <w:r>
        <w:tab/>
        <w:t>(b)</w:t>
      </w:r>
      <w:r>
        <w:tab/>
        <w:t>delete “case” and insert:</w:t>
      </w:r>
    </w:p>
    <w:p>
      <w:pPr>
        <w:pStyle w:val="BlankOpen"/>
      </w:pPr>
    </w:p>
    <w:p>
      <w:pPr>
        <w:pStyle w:val="nzIndenta"/>
      </w:pPr>
      <w:r>
        <w:tab/>
      </w:r>
      <w:r>
        <w:tab/>
        <w:t>answer</w:t>
      </w:r>
    </w:p>
    <w:p>
      <w:pPr>
        <w:pStyle w:val="BlankClose"/>
      </w:pPr>
    </w:p>
    <w:p>
      <w:pPr>
        <w:pStyle w:val="nzSubsection"/>
      </w:pPr>
      <w:r>
        <w:tab/>
        <w:t>(2)</w:t>
      </w:r>
      <w:r>
        <w:tab/>
        <w:t>In rule 36(3):</w:t>
      </w:r>
    </w:p>
    <w:p>
      <w:pPr>
        <w:pStyle w:val="nzIndenta"/>
      </w:pPr>
      <w:r>
        <w:tab/>
        <w:t>(a)</w:t>
      </w:r>
      <w:r>
        <w:tab/>
        <w:t>delete “The registrar” and insert:</w:t>
      </w:r>
    </w:p>
    <w:p>
      <w:pPr>
        <w:pStyle w:val="BlankOpen"/>
      </w:pPr>
    </w:p>
    <w:p>
      <w:pPr>
        <w:pStyle w:val="nzIndenta"/>
      </w:pPr>
      <w:r>
        <w:tab/>
      </w:r>
      <w:r>
        <w:tab/>
        <w:t>A registrar</w:t>
      </w:r>
    </w:p>
    <w:p>
      <w:pPr>
        <w:pStyle w:val="BlankClose"/>
      </w:pPr>
    </w:p>
    <w:p>
      <w:pPr>
        <w:pStyle w:val="nzIndenta"/>
      </w:pPr>
      <w:r>
        <w:tab/>
        <w:t>(b)</w:t>
      </w:r>
      <w:r>
        <w:tab/>
        <w:t>delete paragraph (d) and insert:</w:t>
      </w:r>
    </w:p>
    <w:p>
      <w:pPr>
        <w:pStyle w:val="BlankOpen"/>
      </w:pPr>
    </w:p>
    <w:p>
      <w:pPr>
        <w:pStyle w:val="nzIndenta"/>
      </w:pPr>
      <w:r>
        <w:tab/>
        <w:t>(d)</w:t>
      </w:r>
      <w:r>
        <w:tab/>
        <w:t>to order that the contents of 2 or more parts of an appeal book be amalgamated in 1 part;</w:t>
      </w:r>
    </w:p>
    <w:p>
      <w:pPr>
        <w:pStyle w:val="nzIndenta"/>
      </w:pPr>
      <w:r>
        <w:tab/>
        <w:t>(e)</w:t>
      </w:r>
      <w:r>
        <w:tab/>
        <w:t>to make orders as to the form or content or both of any document in an appeal book;</w:t>
      </w:r>
    </w:p>
    <w:p>
      <w:pPr>
        <w:pStyle w:val="nzIndenta"/>
      </w:pPr>
      <w:r>
        <w:tab/>
        <w:t>(f)</w:t>
      </w:r>
      <w:r>
        <w:tab/>
        <w:t>to order that an electronic version of the transcript of proceedings in a primary court be used instead of a printed transcript (or parts of it) in the appeal book;</w:t>
      </w:r>
    </w:p>
    <w:p>
      <w:pPr>
        <w:pStyle w:val="nzIndenta"/>
      </w:pPr>
      <w:r>
        <w:tab/>
        <w:t>(g)</w:t>
      </w:r>
      <w:r>
        <w:tab/>
        <w:t>to order which party or parties are to prepare the appeal book.</w:t>
      </w:r>
    </w:p>
    <w:p>
      <w:pPr>
        <w:pStyle w:val="BlankClose"/>
      </w:pPr>
    </w:p>
    <w:p>
      <w:pPr>
        <w:pStyle w:val="nzSubsection"/>
      </w:pPr>
      <w:r>
        <w:tab/>
        <w:t>(3)</w:t>
      </w:r>
      <w:r>
        <w:tab/>
        <w:t>In rule 36(2) after each of paragraphs (a) and (b) insert:</w:t>
      </w:r>
    </w:p>
    <w:p>
      <w:pPr>
        <w:pStyle w:val="BlankOpen"/>
      </w:pPr>
    </w:p>
    <w:p>
      <w:pPr>
        <w:pStyle w:val="nzSubsection"/>
      </w:pPr>
      <w:r>
        <w:tab/>
      </w:r>
      <w:r>
        <w:tab/>
        <w:t>and</w:t>
      </w:r>
    </w:p>
    <w:p>
      <w:pPr>
        <w:pStyle w:val="BlankClose"/>
      </w:pPr>
    </w:p>
    <w:p>
      <w:pPr>
        <w:pStyle w:val="nzHeading5"/>
      </w:pPr>
      <w:bookmarkStart w:id="383" w:name="_Toc489358562"/>
      <w:bookmarkStart w:id="384" w:name="_Toc489448551"/>
      <w:r>
        <w:rPr>
          <w:rStyle w:val="CharSectno"/>
        </w:rPr>
        <w:t>23</w:t>
      </w:r>
      <w:r>
        <w:t>.</w:t>
      </w:r>
      <w:r>
        <w:tab/>
        <w:t>Rule 37 replaced</w:t>
      </w:r>
      <w:bookmarkEnd w:id="383"/>
      <w:bookmarkEnd w:id="384"/>
    </w:p>
    <w:p>
      <w:pPr>
        <w:pStyle w:val="nzSubsection"/>
      </w:pPr>
      <w:r>
        <w:tab/>
      </w:r>
      <w:r>
        <w:tab/>
        <w:t>Delete rule 37 and insert:</w:t>
      </w:r>
    </w:p>
    <w:p>
      <w:pPr>
        <w:pStyle w:val="BlankOpen"/>
      </w:pPr>
    </w:p>
    <w:p>
      <w:pPr>
        <w:pStyle w:val="nzHeading5"/>
      </w:pPr>
      <w:bookmarkStart w:id="385" w:name="_Toc489358563"/>
      <w:bookmarkStart w:id="386" w:name="_Toc489448552"/>
      <w:r>
        <w:t>37.</w:t>
      </w:r>
      <w:r>
        <w:tab/>
        <w:t>Appeal book, general provisions</w:t>
      </w:r>
      <w:bookmarkEnd w:id="385"/>
      <w:bookmarkEnd w:id="386"/>
    </w:p>
    <w:p>
      <w:pPr>
        <w:pStyle w:val="nzSubsection"/>
      </w:pPr>
      <w:r>
        <w:tab/>
      </w:r>
      <w:r>
        <w:tab/>
        <w:t>The appeal book for an appeal must conform to rules 38 and 39 except to the extent that rule 40 provides otherwise or a single judge orders otherwise.</w:t>
      </w:r>
    </w:p>
    <w:p>
      <w:pPr>
        <w:pStyle w:val="BlankClose"/>
      </w:pPr>
    </w:p>
    <w:p>
      <w:pPr>
        <w:pStyle w:val="nzHeading5"/>
      </w:pPr>
      <w:bookmarkStart w:id="387" w:name="_Toc489358564"/>
      <w:bookmarkStart w:id="388" w:name="_Toc489448553"/>
      <w:r>
        <w:rPr>
          <w:rStyle w:val="CharSectno"/>
        </w:rPr>
        <w:t>24</w:t>
      </w:r>
      <w:r>
        <w:t>.</w:t>
      </w:r>
      <w:r>
        <w:tab/>
        <w:t>Rule 38 amended</w:t>
      </w:r>
      <w:bookmarkEnd w:id="387"/>
      <w:bookmarkEnd w:id="388"/>
    </w:p>
    <w:p>
      <w:pPr>
        <w:pStyle w:val="nzSubsection"/>
      </w:pPr>
      <w:r>
        <w:tab/>
        <w:t>(1)</w:t>
      </w:r>
      <w:r>
        <w:tab/>
        <w:t>In rule 38(2):</w:t>
      </w:r>
    </w:p>
    <w:p>
      <w:pPr>
        <w:pStyle w:val="nzIndenta"/>
      </w:pPr>
      <w:r>
        <w:tab/>
        <w:t>(a)</w:t>
      </w:r>
      <w:r>
        <w:tab/>
        <w:t>after paragraph (c) insert:</w:t>
      </w:r>
    </w:p>
    <w:p>
      <w:pPr>
        <w:pStyle w:val="BlankOpen"/>
      </w:pPr>
    </w:p>
    <w:p>
      <w:pPr>
        <w:pStyle w:val="nzIndenta"/>
      </w:pPr>
      <w:r>
        <w:tab/>
        <w:t>(ca)</w:t>
      </w:r>
      <w:r>
        <w:tab/>
        <w:t>any notice of the respondent’s intention (Form 4);</w:t>
      </w:r>
    </w:p>
    <w:p>
      <w:pPr>
        <w:pStyle w:val="nzIndenta"/>
      </w:pPr>
      <w:r>
        <w:tab/>
        <w:t>(cb)</w:t>
      </w:r>
      <w:r>
        <w:tab/>
        <w:t>any notice of a cross appeal by the respondent (Form 4A);</w:t>
      </w:r>
    </w:p>
    <w:p>
      <w:pPr>
        <w:pStyle w:val="BlankClose"/>
      </w:pPr>
    </w:p>
    <w:p>
      <w:pPr>
        <w:pStyle w:val="nzIndenta"/>
      </w:pPr>
      <w:r>
        <w:tab/>
        <w:t>(b)</w:t>
      </w:r>
      <w:r>
        <w:tab/>
        <w:t>delete paragraph (f);</w:t>
      </w:r>
    </w:p>
    <w:p>
      <w:pPr>
        <w:pStyle w:val="nzIndenta"/>
      </w:pPr>
      <w:r>
        <w:tab/>
        <w:t>(c)</w:t>
      </w:r>
      <w:r>
        <w:tab/>
        <w:t>delete paragraph (k) and insert:</w:t>
      </w:r>
    </w:p>
    <w:p>
      <w:pPr>
        <w:pStyle w:val="BlankOpen"/>
      </w:pPr>
    </w:p>
    <w:p>
      <w:pPr>
        <w:pStyle w:val="nzIndenta"/>
      </w:pPr>
      <w:r>
        <w:tab/>
        <w:t>(k)</w:t>
      </w:r>
      <w:r>
        <w:tab/>
        <w:t>the signed Form 14A (Certificate of correctness of appeal book), required by rule 41(c);</w:t>
      </w:r>
    </w:p>
    <w:p>
      <w:pPr>
        <w:pStyle w:val="BlankClose"/>
      </w:pPr>
    </w:p>
    <w:p>
      <w:pPr>
        <w:pStyle w:val="nzIndenta"/>
      </w:pPr>
      <w:r>
        <w:tab/>
        <w:t>(d)</w:t>
      </w:r>
      <w:r>
        <w:tab/>
        <w:t>in paragraph (l) delete “the registrar” and insert:</w:t>
      </w:r>
    </w:p>
    <w:p>
      <w:pPr>
        <w:pStyle w:val="BlankOpen"/>
      </w:pPr>
    </w:p>
    <w:p>
      <w:pPr>
        <w:pStyle w:val="nzIndenta"/>
      </w:pPr>
      <w:r>
        <w:tab/>
      </w:r>
      <w:r>
        <w:tab/>
        <w:t>a registrar</w:t>
      </w:r>
    </w:p>
    <w:p>
      <w:pPr>
        <w:pStyle w:val="BlankClose"/>
      </w:pPr>
    </w:p>
    <w:p>
      <w:pPr>
        <w:pStyle w:val="nzSubsection"/>
      </w:pPr>
      <w:r>
        <w:tab/>
        <w:t>(2)</w:t>
      </w:r>
      <w:r>
        <w:tab/>
        <w:t>In rule 38(4):</w:t>
      </w:r>
    </w:p>
    <w:p>
      <w:pPr>
        <w:pStyle w:val="nzIndenta"/>
      </w:pPr>
      <w:r>
        <w:tab/>
        <w:t>(a)</w:t>
      </w:r>
      <w:r>
        <w:tab/>
        <w:t>delete paragraphs (c) and (d) and insert:</w:t>
      </w:r>
    </w:p>
    <w:p>
      <w:pPr>
        <w:pStyle w:val="BlankOpen"/>
      </w:pPr>
    </w:p>
    <w:p>
      <w:pPr>
        <w:pStyle w:val="nzIndenta"/>
      </w:pPr>
      <w:r>
        <w:tab/>
        <w:t>(c)</w:t>
      </w:r>
      <w:r>
        <w:tab/>
        <w:t>unless an order has been made that an electronic version of the transcript is to be used, those parts of the primary court’s transcript required by subrule (4A);</w:t>
      </w:r>
    </w:p>
    <w:p>
      <w:pPr>
        <w:pStyle w:val="nzIndenta"/>
      </w:pPr>
      <w:r>
        <w:tab/>
        <w:t>(d)</w:t>
      </w:r>
      <w:r>
        <w:tab/>
        <w:t>a copy of those documentary exhibits in the primary court required by subrule (4A) arranged in accordance with subrule (5);</w:t>
      </w:r>
    </w:p>
    <w:p>
      <w:pPr>
        <w:pStyle w:val="BlankClose"/>
      </w:pPr>
    </w:p>
    <w:p>
      <w:pPr>
        <w:pStyle w:val="nzIndenta"/>
      </w:pPr>
      <w:r>
        <w:tab/>
        <w:t>(b)</w:t>
      </w:r>
      <w:r>
        <w:tab/>
        <w:t>in paragraph (f) delete “the registrar” and insert:</w:t>
      </w:r>
    </w:p>
    <w:p>
      <w:pPr>
        <w:pStyle w:val="BlankOpen"/>
      </w:pPr>
    </w:p>
    <w:p>
      <w:pPr>
        <w:pStyle w:val="nzIndenta"/>
      </w:pPr>
      <w:r>
        <w:tab/>
      </w:r>
      <w:r>
        <w:tab/>
        <w:t>a registrar</w:t>
      </w:r>
    </w:p>
    <w:p>
      <w:pPr>
        <w:pStyle w:val="BlankClose"/>
      </w:pPr>
    </w:p>
    <w:p>
      <w:pPr>
        <w:pStyle w:val="nzSubsection"/>
      </w:pPr>
      <w:r>
        <w:tab/>
        <w:t>(3)</w:t>
      </w:r>
      <w:r>
        <w:tab/>
        <w:t>After rule 38(4) insert:</w:t>
      </w:r>
    </w:p>
    <w:p>
      <w:pPr>
        <w:pStyle w:val="BlankOpen"/>
      </w:pPr>
    </w:p>
    <w:p>
      <w:pPr>
        <w:pStyle w:val="nzSubsection"/>
      </w:pPr>
      <w:r>
        <w:tab/>
        <w:t>(4A)</w:t>
      </w:r>
      <w:r>
        <w:tab/>
        <w:t>In the Green Appeal Book, the documents referred to in subrule (4)(c) and (d) must be only those, or those parts of those, that are referred to specifically in —</w:t>
      </w:r>
    </w:p>
    <w:p>
      <w:pPr>
        <w:pStyle w:val="nzIndenta"/>
      </w:pPr>
      <w:r>
        <w:tab/>
        <w:t>(a)</w:t>
      </w:r>
      <w:r>
        <w:tab/>
        <w:t>the appellant’s case; or</w:t>
      </w:r>
    </w:p>
    <w:p>
      <w:pPr>
        <w:pStyle w:val="nzIndenta"/>
      </w:pPr>
      <w:r>
        <w:tab/>
        <w:t>(b)</w:t>
      </w:r>
      <w:r>
        <w:tab/>
        <w:t>the respondent’s answer; or</w:t>
      </w:r>
    </w:p>
    <w:p>
      <w:pPr>
        <w:pStyle w:val="nzIndenta"/>
      </w:pPr>
      <w:r>
        <w:tab/>
        <w:t>(c)</w:t>
      </w:r>
      <w:r>
        <w:tab/>
        <w:t>the respondent’s notice of contention; or</w:t>
      </w:r>
    </w:p>
    <w:p>
      <w:pPr>
        <w:pStyle w:val="nzIndenta"/>
      </w:pPr>
      <w:r>
        <w:tab/>
        <w:t>(d)</w:t>
      </w:r>
      <w:r>
        <w:tab/>
        <w:t>the appellant’s reply to the respondent’s notice of contention,</w:t>
      </w:r>
    </w:p>
    <w:p>
      <w:pPr>
        <w:pStyle w:val="nzSubsection"/>
      </w:pPr>
      <w:r>
        <w:tab/>
      </w:r>
      <w:r>
        <w:tab/>
        <w:t>unless a registrar orders otherwise.</w:t>
      </w:r>
    </w:p>
    <w:p>
      <w:pPr>
        <w:pStyle w:val="BlankClose"/>
      </w:pPr>
    </w:p>
    <w:p>
      <w:pPr>
        <w:pStyle w:val="nzSubsection"/>
      </w:pPr>
      <w:r>
        <w:tab/>
        <w:t>(4)</w:t>
      </w:r>
      <w:r>
        <w:tab/>
        <w:t>Delete rule 38(5) and insert:</w:t>
      </w:r>
    </w:p>
    <w:p>
      <w:pPr>
        <w:pStyle w:val="BlankOpen"/>
      </w:pPr>
    </w:p>
    <w:p>
      <w:pPr>
        <w:pStyle w:val="nz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BlankClose"/>
      </w:pPr>
    </w:p>
    <w:p>
      <w:pPr>
        <w:pStyle w:val="nzHeading5"/>
      </w:pPr>
      <w:bookmarkStart w:id="389" w:name="_Toc489358565"/>
      <w:bookmarkStart w:id="390" w:name="_Toc489448554"/>
      <w:r>
        <w:rPr>
          <w:rStyle w:val="CharSectno"/>
        </w:rPr>
        <w:t>25</w:t>
      </w:r>
      <w:r>
        <w:t>.</w:t>
      </w:r>
      <w:r>
        <w:tab/>
        <w:t>Rule 39 amended</w:t>
      </w:r>
      <w:bookmarkEnd w:id="389"/>
      <w:bookmarkEnd w:id="390"/>
    </w:p>
    <w:p>
      <w:pPr>
        <w:pStyle w:val="nzSubsection"/>
      </w:pPr>
      <w:r>
        <w:tab/>
        <w:t>(1)</w:t>
      </w:r>
      <w:r>
        <w:tab/>
        <w:t>After rule 39(1) insert:</w:t>
      </w:r>
    </w:p>
    <w:p>
      <w:pPr>
        <w:pStyle w:val="BlankOpen"/>
      </w:pPr>
    </w:p>
    <w:p>
      <w:pPr>
        <w:pStyle w:val="nz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nzSubsection"/>
      </w:pPr>
      <w:r>
        <w:tab/>
        <w:t>(1B)</w:t>
      </w:r>
      <w:r>
        <w:tab/>
        <w:t>A document in an appeal book must not be reduced in size from its original size unless a registrar orders otherwise.</w:t>
      </w:r>
    </w:p>
    <w:p>
      <w:pPr>
        <w:pStyle w:val="BlankClose"/>
      </w:pPr>
    </w:p>
    <w:p>
      <w:pPr>
        <w:pStyle w:val="nzSubsection"/>
      </w:pPr>
      <w:r>
        <w:tab/>
        <w:t>(2)</w:t>
      </w:r>
      <w:r>
        <w:tab/>
        <w:t>In rule 39(4) after each of paragraphs (a), (b), (c) and (d) insert:</w:t>
      </w:r>
    </w:p>
    <w:p>
      <w:pPr>
        <w:pStyle w:val="BlankOpen"/>
      </w:pPr>
    </w:p>
    <w:p>
      <w:pPr>
        <w:pStyle w:val="nzSubsection"/>
      </w:pPr>
      <w:r>
        <w:tab/>
      </w:r>
      <w:r>
        <w:tab/>
        <w:t>and</w:t>
      </w:r>
    </w:p>
    <w:p>
      <w:pPr>
        <w:pStyle w:val="BlankClose"/>
      </w:pPr>
    </w:p>
    <w:p>
      <w:pPr>
        <w:pStyle w:val="nzHeading5"/>
      </w:pPr>
      <w:bookmarkStart w:id="391" w:name="_Toc489358566"/>
      <w:bookmarkStart w:id="392" w:name="_Toc489448555"/>
      <w:r>
        <w:rPr>
          <w:rStyle w:val="CharSectno"/>
        </w:rPr>
        <w:t>26</w:t>
      </w:r>
      <w:r>
        <w:t>.</w:t>
      </w:r>
      <w:r>
        <w:tab/>
        <w:t>Rule 41 amended</w:t>
      </w:r>
      <w:bookmarkEnd w:id="391"/>
      <w:bookmarkEnd w:id="392"/>
    </w:p>
    <w:p>
      <w:pPr>
        <w:pStyle w:val="nzSubsection"/>
      </w:pPr>
      <w:r>
        <w:tab/>
        <w:t>(1)</w:t>
      </w:r>
      <w:r>
        <w:tab/>
        <w:t>In rule 41:</w:t>
      </w:r>
    </w:p>
    <w:p>
      <w:pPr>
        <w:pStyle w:val="nzIndenta"/>
      </w:pPr>
      <w:r>
        <w:tab/>
        <w:t>(a)</w:t>
      </w:r>
      <w:r>
        <w:tab/>
        <w:t>delete “The appellant” and insert:</w:t>
      </w:r>
    </w:p>
    <w:p>
      <w:pPr>
        <w:pStyle w:val="BlankOpen"/>
      </w:pPr>
    </w:p>
    <w:p>
      <w:pPr>
        <w:pStyle w:val="nzIndenta"/>
      </w:pPr>
      <w:r>
        <w:tab/>
        <w:t>(1)</w:t>
      </w:r>
      <w:r>
        <w:tab/>
        <w:t>Unless a registrar has ordered otherwise under rule 36(3)(g), the appellant</w:t>
      </w:r>
    </w:p>
    <w:p>
      <w:pPr>
        <w:pStyle w:val="BlankClose"/>
      </w:pPr>
    </w:p>
    <w:p>
      <w:pPr>
        <w:pStyle w:val="nzIndenta"/>
      </w:pPr>
      <w:r>
        <w:tab/>
        <w:t>(b)</w:t>
      </w:r>
      <w:r>
        <w:tab/>
        <w:t>delete paragraph (c) and insert:</w:t>
      </w:r>
    </w:p>
    <w:p>
      <w:pPr>
        <w:pStyle w:val="BlankOpen"/>
      </w:pPr>
    </w:p>
    <w:p>
      <w:pPr>
        <w:pStyle w:val="nzIndenta"/>
      </w:pPr>
      <w:r>
        <w:tab/>
        <w:t>(c)</w:t>
      </w:r>
      <w:r>
        <w:tab/>
        <w:t>ensure that before the appeal book is filed each party to the appeal, or their lawyer, checks it and signs a Form 14A (Certificate of correctness of appeal book); and</w:t>
      </w:r>
    </w:p>
    <w:p>
      <w:pPr>
        <w:pStyle w:val="BlankClose"/>
      </w:pPr>
    </w:p>
    <w:p>
      <w:pPr>
        <w:pStyle w:val="nzSubsection"/>
      </w:pPr>
      <w:r>
        <w:tab/>
        <w:t>(2)</w:t>
      </w:r>
      <w:r>
        <w:tab/>
        <w:t>At the end of rule 41 insert:</w:t>
      </w:r>
    </w:p>
    <w:p>
      <w:pPr>
        <w:pStyle w:val="BlankOpen"/>
      </w:pPr>
    </w:p>
    <w:p>
      <w:pPr>
        <w:pStyle w:val="nzSubsection"/>
      </w:pPr>
      <w:r>
        <w:tab/>
        <w:t>(2)</w:t>
      </w:r>
      <w:r>
        <w:tab/>
        <w:t>On the application of a party, a registrar may dispense with the requirement in subrule (1)(c).</w:t>
      </w:r>
    </w:p>
    <w:p>
      <w:pPr>
        <w:pStyle w:val="BlankClose"/>
      </w:pPr>
    </w:p>
    <w:p>
      <w:pPr>
        <w:pStyle w:val="nzSubsection"/>
      </w:pPr>
      <w:r>
        <w:tab/>
        <w:t>(3)</w:t>
      </w:r>
      <w:r>
        <w:tab/>
        <w:t>In rule 41 after each of paragraphs (a) and (b) insert:</w:t>
      </w:r>
    </w:p>
    <w:p>
      <w:pPr>
        <w:pStyle w:val="BlankOpen"/>
      </w:pPr>
    </w:p>
    <w:p>
      <w:pPr>
        <w:pStyle w:val="nzSubsection"/>
      </w:pPr>
      <w:r>
        <w:tab/>
      </w:r>
      <w:r>
        <w:tab/>
        <w:t>and</w:t>
      </w:r>
    </w:p>
    <w:p>
      <w:pPr>
        <w:pStyle w:val="BlankClose"/>
        <w:keepNext/>
      </w:pPr>
    </w:p>
    <w:p>
      <w:pPr>
        <w:pStyle w:val="nzSectAltNote"/>
      </w:pPr>
      <w:r>
        <w:tab/>
        <w:t>Note:</w:t>
      </w:r>
      <w:r>
        <w:tab/>
        <w:t>The heading to amended rule 41 is to read:</w:t>
      </w:r>
    </w:p>
    <w:p>
      <w:pPr>
        <w:pStyle w:val="nzSectAltHeading"/>
      </w:pPr>
      <w:r>
        <w:rPr>
          <w:b w:val="0"/>
        </w:rPr>
        <w:tab/>
      </w:r>
      <w:r>
        <w:rPr>
          <w:b w:val="0"/>
        </w:rPr>
        <w:tab/>
      </w:r>
      <w:r>
        <w:t>Appeal book to be prepared by appellant</w:t>
      </w:r>
    </w:p>
    <w:p>
      <w:pPr>
        <w:pStyle w:val="nzHeading5"/>
      </w:pPr>
      <w:bookmarkStart w:id="393" w:name="_Toc489358567"/>
      <w:bookmarkStart w:id="394" w:name="_Toc489448556"/>
      <w:r>
        <w:rPr>
          <w:rStyle w:val="CharSectno"/>
        </w:rPr>
        <w:t>27</w:t>
      </w:r>
      <w:r>
        <w:t>.</w:t>
      </w:r>
      <w:r>
        <w:tab/>
        <w:t>Rule 42A inserted</w:t>
      </w:r>
      <w:bookmarkEnd w:id="393"/>
      <w:bookmarkEnd w:id="394"/>
    </w:p>
    <w:p>
      <w:pPr>
        <w:pStyle w:val="nzSubsection"/>
      </w:pPr>
      <w:r>
        <w:tab/>
      </w:r>
      <w:r>
        <w:tab/>
        <w:t>After rule 42 insert:</w:t>
      </w:r>
    </w:p>
    <w:p>
      <w:pPr>
        <w:pStyle w:val="BlankOpen"/>
      </w:pPr>
    </w:p>
    <w:p>
      <w:pPr>
        <w:pStyle w:val="nzHeading5"/>
      </w:pPr>
      <w:bookmarkStart w:id="395" w:name="_Toc489358568"/>
      <w:bookmarkStart w:id="396" w:name="_Toc489448557"/>
      <w:r>
        <w:t>42A.</w:t>
      </w:r>
      <w:r>
        <w:tab/>
        <w:t>Matters requiring leave</w:t>
      </w:r>
      <w:bookmarkEnd w:id="395"/>
      <w:bookmarkEnd w:id="396"/>
    </w:p>
    <w:p>
      <w:pPr>
        <w:pStyle w:val="nzSubsection"/>
      </w:pPr>
      <w:r>
        <w:tab/>
      </w:r>
      <w:r>
        <w:tab/>
        <w:t>The leave of a single judge is required for these actions —</w:t>
      </w:r>
    </w:p>
    <w:p>
      <w:pPr>
        <w:pStyle w:val="nzIndenta"/>
      </w:pPr>
      <w:r>
        <w:tab/>
        <w:t>(a)</w:t>
      </w:r>
      <w:r>
        <w:tab/>
        <w:t>the addition or removal of a party after an appeal has been commenced;</w:t>
      </w:r>
    </w:p>
    <w:p>
      <w:pPr>
        <w:pStyle w:val="nzIndenta"/>
      </w:pPr>
      <w:r>
        <w:tab/>
        <w:t>(b)</w:t>
      </w:r>
      <w:r>
        <w:tab/>
        <w:t>the amendment of a document that has been filed;</w:t>
      </w:r>
    </w:p>
    <w:p>
      <w:pPr>
        <w:pStyle w:val="nzIndenta"/>
      </w:pPr>
      <w:r>
        <w:tab/>
        <w:t>(c)</w:t>
      </w:r>
      <w:r>
        <w:tab/>
        <w:t>the issue of a subpoena that would require a person to give oral evidence or produce anything to the Court of Appeal.</w:t>
      </w:r>
    </w:p>
    <w:p>
      <w:pPr>
        <w:pStyle w:val="BlankClose"/>
      </w:pPr>
    </w:p>
    <w:p>
      <w:pPr>
        <w:pStyle w:val="nzHeading5"/>
      </w:pPr>
      <w:bookmarkStart w:id="397" w:name="_Toc489358569"/>
      <w:bookmarkStart w:id="398" w:name="_Toc489448558"/>
      <w:r>
        <w:rPr>
          <w:rStyle w:val="CharSectno"/>
        </w:rPr>
        <w:t>28</w:t>
      </w:r>
      <w:r>
        <w:t>.</w:t>
      </w:r>
      <w:r>
        <w:tab/>
        <w:t>Rule 43 amended</w:t>
      </w:r>
      <w:bookmarkEnd w:id="397"/>
      <w:bookmarkEnd w:id="398"/>
    </w:p>
    <w:p>
      <w:pPr>
        <w:pStyle w:val="nzSubsection"/>
      </w:pPr>
      <w:r>
        <w:tab/>
      </w:r>
      <w:r>
        <w:tab/>
        <w:t>In rule 43(2):</w:t>
      </w:r>
    </w:p>
    <w:p>
      <w:pPr>
        <w:pStyle w:val="nzIndenta"/>
      </w:pPr>
      <w:r>
        <w:tab/>
        <w:t>(a)</w:t>
      </w:r>
      <w:r>
        <w:tab/>
        <w:t>in paragraphs (a) and (b) delete “adjourn” and insert:</w:t>
      </w:r>
    </w:p>
    <w:p>
      <w:pPr>
        <w:pStyle w:val="BlankOpen"/>
      </w:pPr>
    </w:p>
    <w:p>
      <w:pPr>
        <w:pStyle w:val="nzIndenta"/>
      </w:pPr>
      <w:r>
        <w:tab/>
      </w:r>
      <w:r>
        <w:tab/>
        <w:t>refer</w:t>
      </w:r>
    </w:p>
    <w:p>
      <w:pPr>
        <w:pStyle w:val="BlankClose"/>
      </w:pPr>
    </w:p>
    <w:p>
      <w:pPr>
        <w:pStyle w:val="nzIndenta"/>
      </w:pPr>
      <w:r>
        <w:tab/>
        <w:t>(b)</w:t>
      </w:r>
      <w:r>
        <w:tab/>
        <w:t>delete paragraph (f) and insert:</w:t>
      </w:r>
    </w:p>
    <w:p>
      <w:pPr>
        <w:pStyle w:val="BlankOpen"/>
      </w:pPr>
    </w:p>
    <w:p>
      <w:pPr>
        <w:pStyle w:val="nzIndenta"/>
      </w:pPr>
      <w:r>
        <w:tab/>
        <w:t>(f)</w:t>
      </w:r>
      <w:r>
        <w:tab/>
        <w:t>to strike out any ground of appeal that does not have a reasonable prospect of succeeding or does not comply with these rules or any order made under them;</w:t>
      </w:r>
    </w:p>
    <w:p>
      <w:pPr>
        <w:pStyle w:val="nzIndenta"/>
      </w:pPr>
      <w:r>
        <w:tab/>
        <w:t>(fa)</w:t>
      </w:r>
      <w:r>
        <w:tab/>
        <w:t>to strike out an appeal notice if —</w:t>
      </w:r>
    </w:p>
    <w:p>
      <w:pPr>
        <w:pStyle w:val="nzIndenti"/>
      </w:pPr>
      <w:r>
        <w:tab/>
        <w:t>(i)</w:t>
      </w:r>
      <w:r>
        <w:tab/>
        <w:t>the appeal is incompetent or has not been validly commenced; or</w:t>
      </w:r>
    </w:p>
    <w:p>
      <w:pPr>
        <w:pStyle w:val="nzIndenti"/>
      </w:pPr>
      <w:r>
        <w:tab/>
        <w:t>(ii)</w:t>
      </w:r>
      <w:r>
        <w:tab/>
        <w:t>a Form 3 (Service certificate) is not filed within 7 days after the last date on which the appeal could have been commenced;</w:t>
      </w:r>
    </w:p>
    <w:p>
      <w:pPr>
        <w:pStyle w:val="BlankClose"/>
      </w:pPr>
    </w:p>
    <w:p>
      <w:pPr>
        <w:pStyle w:val="nzIndenta"/>
      </w:pPr>
      <w:r>
        <w:tab/>
        <w:t>(c)</w:t>
      </w:r>
      <w:r>
        <w:tab/>
        <w:t>after paragraph (g) insert:</w:t>
      </w:r>
    </w:p>
    <w:p>
      <w:pPr>
        <w:pStyle w:val="BlankOpen"/>
      </w:pPr>
    </w:p>
    <w:p>
      <w:pPr>
        <w:pStyle w:val="nzIndenta"/>
      </w:pPr>
      <w:r>
        <w:tab/>
        <w:t>(ga)</w:t>
      </w:r>
      <w:r>
        <w:tab/>
        <w:t>if a respondent to an appeal has not obeyed these rules or any order made under them, to bar the respondent from taking part in the appeal;</w:t>
      </w:r>
    </w:p>
    <w:p>
      <w:pPr>
        <w:pStyle w:val="BlankClose"/>
      </w:pPr>
    </w:p>
    <w:p>
      <w:pPr>
        <w:pStyle w:val="nzIndenta"/>
      </w:pPr>
      <w:r>
        <w:tab/>
        <w:t>(d)</w:t>
      </w:r>
      <w:r>
        <w:tab/>
        <w:t>after paragraph (k) insert:</w:t>
      </w:r>
    </w:p>
    <w:p>
      <w:pPr>
        <w:pStyle w:val="BlankOpen"/>
      </w:pPr>
    </w:p>
    <w:p>
      <w:pPr>
        <w:pStyle w:val="nzIndenta"/>
      </w:pPr>
      <w:r>
        <w:tab/>
        <w:t>(ka)</w:t>
      </w:r>
      <w:r>
        <w:tab/>
        <w:t>to refer any application for an interim order to the hearing of the appeal;</w:t>
      </w:r>
    </w:p>
    <w:p>
      <w:pPr>
        <w:pStyle w:val="BlankClose"/>
      </w:pPr>
    </w:p>
    <w:p>
      <w:pPr>
        <w:pStyle w:val="nzHeading5"/>
      </w:pPr>
      <w:bookmarkStart w:id="399" w:name="_Toc489358570"/>
      <w:bookmarkStart w:id="400" w:name="_Toc489448559"/>
      <w:r>
        <w:rPr>
          <w:rStyle w:val="CharSectno"/>
        </w:rPr>
        <w:t>29</w:t>
      </w:r>
      <w:r>
        <w:t>.</w:t>
      </w:r>
      <w:r>
        <w:tab/>
        <w:t>Rule 44 amended</w:t>
      </w:r>
      <w:bookmarkEnd w:id="399"/>
      <w:bookmarkEnd w:id="400"/>
    </w:p>
    <w:p>
      <w:pPr>
        <w:pStyle w:val="nzSubsection"/>
      </w:pPr>
      <w:r>
        <w:tab/>
      </w:r>
      <w:r>
        <w:tab/>
        <w:t>Delete rule 44(2) and insert:</w:t>
      </w:r>
    </w:p>
    <w:p>
      <w:pPr>
        <w:pStyle w:val="BlankOpen"/>
      </w:pPr>
    </w:p>
    <w:p>
      <w:pPr>
        <w:pStyle w:val="nzSubsection"/>
      </w:pPr>
      <w:r>
        <w:tab/>
        <w:t>(2)</w:t>
      </w:r>
      <w:r>
        <w:tab/>
        <w:t>To make such an application, the party must file —</w:t>
      </w:r>
    </w:p>
    <w:p>
      <w:pPr>
        <w:pStyle w:val="nzIndenta"/>
      </w:pPr>
      <w:r>
        <w:tab/>
        <w:t>(a)</w:t>
      </w:r>
      <w:r>
        <w:tab/>
        <w:t>a Form 9 (Application in an appeal); and</w:t>
      </w:r>
    </w:p>
    <w:p>
      <w:pPr>
        <w:pStyle w:val="nzIndenta"/>
      </w:pPr>
      <w:r>
        <w:tab/>
        <w:t>(b)</w:t>
      </w:r>
      <w:r>
        <w:tab/>
        <w:t>an affidavit by the applicant or the applicant’s lawyer or both stating why the interim order is wanted,</w:t>
      </w:r>
    </w:p>
    <w:p>
      <w:pPr>
        <w:pStyle w:val="nzSubsection"/>
      </w:pPr>
      <w:r>
        <w:tab/>
      </w:r>
      <w:r>
        <w:tab/>
        <w:t>unless —</w:t>
      </w:r>
    </w:p>
    <w:p>
      <w:pPr>
        <w:pStyle w:val="nzIndenta"/>
      </w:pPr>
      <w:r>
        <w:tab/>
        <w:t>(c)</w:t>
      </w:r>
      <w:r>
        <w:tab/>
        <w:t>these rules (other than the RSC) provide otherwise; or</w:t>
      </w:r>
    </w:p>
    <w:p>
      <w:pPr>
        <w:pStyle w:val="nzIndenta"/>
      </w:pPr>
      <w:r>
        <w:tab/>
        <w:t>(d)</w:t>
      </w:r>
      <w:r>
        <w:tab/>
        <w:t>another written law provides otherwise; or</w:t>
      </w:r>
    </w:p>
    <w:p>
      <w:pPr>
        <w:pStyle w:val="nzIndenta"/>
      </w:pPr>
      <w:r>
        <w:tab/>
        <w:t>(e)</w:t>
      </w:r>
      <w:r>
        <w:tab/>
        <w:t>a single judge orders otherwise.</w:t>
      </w:r>
    </w:p>
    <w:p>
      <w:pPr>
        <w:pStyle w:val="BlankClose"/>
      </w:pPr>
    </w:p>
    <w:p>
      <w:pPr>
        <w:pStyle w:val="nzHeading5"/>
      </w:pPr>
      <w:bookmarkStart w:id="401" w:name="_Toc489358571"/>
      <w:bookmarkStart w:id="402" w:name="_Toc489448560"/>
      <w:r>
        <w:rPr>
          <w:rStyle w:val="CharSectno"/>
        </w:rPr>
        <w:t>30</w:t>
      </w:r>
      <w:r>
        <w:t>.</w:t>
      </w:r>
      <w:r>
        <w:tab/>
        <w:t>Rule 58 deleted</w:t>
      </w:r>
      <w:bookmarkEnd w:id="401"/>
      <w:bookmarkEnd w:id="402"/>
    </w:p>
    <w:p>
      <w:pPr>
        <w:pStyle w:val="nzSubsection"/>
      </w:pPr>
      <w:r>
        <w:tab/>
      </w:r>
      <w:r>
        <w:tab/>
        <w:t>Delete rule 58.</w:t>
      </w:r>
    </w:p>
    <w:p>
      <w:pPr>
        <w:pStyle w:val="nzHeading5"/>
      </w:pPr>
      <w:bookmarkStart w:id="403" w:name="_Toc489358572"/>
      <w:bookmarkStart w:id="404" w:name="_Toc489448561"/>
      <w:r>
        <w:rPr>
          <w:rStyle w:val="CharSectno"/>
        </w:rPr>
        <w:t>31</w:t>
      </w:r>
      <w:r>
        <w:t>.</w:t>
      </w:r>
      <w:r>
        <w:tab/>
        <w:t>Rule 63 amended</w:t>
      </w:r>
      <w:bookmarkEnd w:id="403"/>
      <w:bookmarkEnd w:id="404"/>
    </w:p>
    <w:p>
      <w:pPr>
        <w:pStyle w:val="nzSubsection"/>
      </w:pPr>
      <w:r>
        <w:tab/>
      </w:r>
      <w:r>
        <w:tab/>
        <w:t>Delete rule 63(2) and (3) and insert:</w:t>
      </w:r>
    </w:p>
    <w:p>
      <w:pPr>
        <w:pStyle w:val="BlankOpen"/>
      </w:pPr>
    </w:p>
    <w:p>
      <w:pPr>
        <w:pStyle w:val="nzSubsection"/>
      </w:pPr>
      <w:r>
        <w:tab/>
        <w:t>(2)</w:t>
      </w:r>
      <w:r>
        <w:tab/>
        <w:t>When the appeal is concluded other than due to it being discontinued, a registrar must either —</w:t>
      </w:r>
    </w:p>
    <w:p>
      <w:pPr>
        <w:pStyle w:val="nzIndenta"/>
      </w:pPr>
      <w:r>
        <w:tab/>
        <w:t>(a)</w:t>
      </w:r>
      <w:r>
        <w:tab/>
        <w:t>prepare, sign and seal the judgment or order of the Court of Appeal or a single judge, as the case requires; or</w:t>
      </w:r>
    </w:p>
    <w:p>
      <w:pPr>
        <w:pStyle w:val="nzIndenta"/>
      </w:pPr>
      <w:r>
        <w:tab/>
        <w:t>(b)</w:t>
      </w:r>
      <w:r>
        <w:tab/>
        <w:t>direct a party to submit 1 or more drafts of the judgment or order, and a final version of it for signing and sealing.</w:t>
      </w:r>
    </w:p>
    <w:p>
      <w:pPr>
        <w:pStyle w:val="BlankClose"/>
      </w:pPr>
    </w:p>
    <w:p>
      <w:pPr>
        <w:pStyle w:val="nzHeading5"/>
      </w:pPr>
      <w:bookmarkStart w:id="405" w:name="_Toc489358573"/>
      <w:bookmarkStart w:id="406" w:name="_Toc489448562"/>
      <w:r>
        <w:rPr>
          <w:rStyle w:val="CharSectno"/>
        </w:rPr>
        <w:t>32</w:t>
      </w:r>
      <w:r>
        <w:t>.</w:t>
      </w:r>
      <w:r>
        <w:tab/>
        <w:t>Rule 66 amended</w:t>
      </w:r>
      <w:bookmarkEnd w:id="405"/>
      <w:bookmarkEnd w:id="406"/>
    </w:p>
    <w:p>
      <w:pPr>
        <w:pStyle w:val="nzSubsection"/>
      </w:pPr>
      <w:r>
        <w:tab/>
        <w:t>(1)</w:t>
      </w:r>
      <w:r>
        <w:tab/>
        <w:t>Delete rule 66(2) and insert:</w:t>
      </w:r>
    </w:p>
    <w:p>
      <w:pPr>
        <w:pStyle w:val="BlankOpen"/>
      </w:pPr>
    </w:p>
    <w:p>
      <w:pPr>
        <w:pStyle w:val="nzSubsection"/>
      </w:pPr>
      <w:r>
        <w:tab/>
        <w:t>(2)</w:t>
      </w:r>
      <w:r>
        <w:tab/>
        <w:t>If a party does not file a document required by these rules within the time specified for doing so in —</w:t>
      </w:r>
    </w:p>
    <w:p>
      <w:pPr>
        <w:pStyle w:val="nzIndenta"/>
      </w:pPr>
      <w:r>
        <w:tab/>
        <w:t>(a)</w:t>
      </w:r>
      <w:r>
        <w:tab/>
        <w:t>these rules; or</w:t>
      </w:r>
    </w:p>
    <w:p>
      <w:pPr>
        <w:pStyle w:val="nzIndenta"/>
      </w:pPr>
      <w:r>
        <w:tab/>
        <w:t>(b)</w:t>
      </w:r>
      <w:r>
        <w:tab/>
        <w:t>an order made under these rules, other than an order that extends any such time,</w:t>
      </w:r>
    </w:p>
    <w:p>
      <w:pPr>
        <w:pStyle w:val="nzSubsection"/>
      </w:pPr>
      <w:r>
        <w:tab/>
      </w:r>
      <w:r>
        <w:tab/>
        <w:t>the party is not entitled to the costs of preparing and filing the document unless the Court of Appeal orders otherwise.</w:t>
      </w:r>
    </w:p>
    <w:p>
      <w:pPr>
        <w:pStyle w:val="nzSubsection"/>
      </w:pPr>
      <w:r>
        <w:tab/>
        <w:t>(2A)</w:t>
      </w:r>
      <w:r>
        <w:tab/>
        <w:t>If —</w:t>
      </w:r>
    </w:p>
    <w:p>
      <w:pPr>
        <w:pStyle w:val="nzIndenta"/>
      </w:pPr>
      <w:r>
        <w:tab/>
        <w:t>(a)</w:t>
      </w:r>
      <w:r>
        <w:tab/>
        <w:t>an order made under these rules extends the time for filing a document specified in these rules or in an order made under them; and</w:t>
      </w:r>
    </w:p>
    <w:p>
      <w:pPr>
        <w:pStyle w:val="nzIndenta"/>
      </w:pPr>
      <w:r>
        <w:tab/>
        <w:t>(b)</w:t>
      </w:r>
      <w:r>
        <w:tab/>
        <w:t>the document is filed within that extended time,</w:t>
      </w:r>
    </w:p>
    <w:p>
      <w:pPr>
        <w:pStyle w:val="nz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BlankClose"/>
      </w:pPr>
    </w:p>
    <w:p>
      <w:pPr>
        <w:pStyle w:val="nzSubsection"/>
      </w:pPr>
      <w:r>
        <w:tab/>
        <w:t>(2)</w:t>
      </w:r>
      <w:r>
        <w:tab/>
        <w:t>In rule 66(3) delete “Subrule (2) does” and insert:</w:t>
      </w:r>
    </w:p>
    <w:p>
      <w:pPr>
        <w:pStyle w:val="BlankOpen"/>
      </w:pPr>
    </w:p>
    <w:p>
      <w:pPr>
        <w:pStyle w:val="nzSubsection"/>
      </w:pPr>
      <w:r>
        <w:tab/>
      </w:r>
      <w:r>
        <w:tab/>
        <w:t>Subrules (2) and (2A) do</w:t>
      </w:r>
    </w:p>
    <w:p>
      <w:pPr>
        <w:pStyle w:val="BlankClose"/>
      </w:pPr>
    </w:p>
    <w:p>
      <w:pPr>
        <w:pStyle w:val="nzSubsection"/>
      </w:pPr>
      <w:r>
        <w:tab/>
        <w:t>(3)</w:t>
      </w:r>
      <w:r>
        <w:tab/>
        <w:t>In rule 66(4) delete “cause” and insert:</w:t>
      </w:r>
    </w:p>
    <w:p>
      <w:pPr>
        <w:pStyle w:val="BlankOpen"/>
      </w:pPr>
    </w:p>
    <w:p>
      <w:pPr>
        <w:pStyle w:val="nzSubsection"/>
      </w:pPr>
      <w:r>
        <w:tab/>
      </w:r>
      <w:r>
        <w:tab/>
        <w:t>appeal</w:t>
      </w:r>
    </w:p>
    <w:p>
      <w:pPr>
        <w:pStyle w:val="BlankClose"/>
      </w:pPr>
    </w:p>
    <w:p>
      <w:pPr>
        <w:pStyle w:val="nzHeading5"/>
      </w:pPr>
      <w:bookmarkStart w:id="407" w:name="_Toc489358574"/>
      <w:bookmarkStart w:id="408" w:name="_Toc489448563"/>
      <w:r>
        <w:rPr>
          <w:rStyle w:val="CharSectno"/>
        </w:rPr>
        <w:t>33</w:t>
      </w:r>
      <w:r>
        <w:t>.</w:t>
      </w:r>
      <w:r>
        <w:tab/>
        <w:t>Rule 67 amended</w:t>
      </w:r>
      <w:bookmarkEnd w:id="407"/>
      <w:bookmarkEnd w:id="408"/>
    </w:p>
    <w:p>
      <w:pPr>
        <w:pStyle w:val="nzSubsection"/>
      </w:pPr>
      <w:r>
        <w:tab/>
        <w:t>(1)</w:t>
      </w:r>
      <w:r>
        <w:tab/>
        <w:t>In rule 67(6):</w:t>
      </w:r>
    </w:p>
    <w:p>
      <w:pPr>
        <w:pStyle w:val="nzIndenta"/>
      </w:pPr>
      <w:r>
        <w:tab/>
        <w:t>(a)</w:t>
      </w:r>
      <w:r>
        <w:tab/>
        <w:t>in paragraph (d) delete “issue;” and insert:</w:t>
      </w:r>
    </w:p>
    <w:p>
      <w:pPr>
        <w:pStyle w:val="BlankOpen"/>
      </w:pPr>
    </w:p>
    <w:p>
      <w:pPr>
        <w:pStyle w:val="nzIndenta"/>
      </w:pPr>
      <w:r>
        <w:tab/>
      </w:r>
      <w:r>
        <w:tab/>
        <w:t>issue.</w:t>
      </w:r>
    </w:p>
    <w:p>
      <w:pPr>
        <w:pStyle w:val="BlankClose"/>
      </w:pPr>
    </w:p>
    <w:p>
      <w:pPr>
        <w:pStyle w:val="nzIndenta"/>
      </w:pPr>
      <w:r>
        <w:tab/>
        <w:t>(b)</w:t>
      </w:r>
      <w:r>
        <w:tab/>
        <w:t>delete paragraph (e).</w:t>
      </w:r>
    </w:p>
    <w:p>
      <w:pPr>
        <w:pStyle w:val="nzSubsection"/>
      </w:pPr>
      <w:r>
        <w:tab/>
        <w:t>(2)</w:t>
      </w:r>
      <w:r>
        <w:tab/>
        <w:t>In rule 67(6) after each of paragraphs (a), (b) and (c) insert:</w:t>
      </w:r>
    </w:p>
    <w:p>
      <w:pPr>
        <w:pStyle w:val="BlankOpen"/>
      </w:pPr>
    </w:p>
    <w:p>
      <w:pPr>
        <w:pStyle w:val="nzSubsection"/>
      </w:pPr>
      <w:r>
        <w:tab/>
      </w:r>
      <w:r>
        <w:tab/>
        <w:t>and</w:t>
      </w:r>
    </w:p>
    <w:p>
      <w:pPr>
        <w:pStyle w:val="BlankClose"/>
      </w:pPr>
    </w:p>
    <w:p>
      <w:pPr>
        <w:pStyle w:val="nzHeading5"/>
      </w:pPr>
      <w:bookmarkStart w:id="409" w:name="_Toc489358575"/>
      <w:bookmarkStart w:id="410" w:name="_Toc489448564"/>
      <w:r>
        <w:rPr>
          <w:rStyle w:val="CharSectno"/>
        </w:rPr>
        <w:t>34</w:t>
      </w:r>
      <w:r>
        <w:t>.</w:t>
      </w:r>
      <w:r>
        <w:tab/>
        <w:t>Schedule 1 amended</w:t>
      </w:r>
      <w:bookmarkEnd w:id="409"/>
      <w:bookmarkEnd w:id="410"/>
    </w:p>
    <w:p>
      <w:pPr>
        <w:pStyle w:val="nzSubsection"/>
      </w:pPr>
      <w:r>
        <w:tab/>
        <w:t>(1)</w:t>
      </w:r>
      <w:r>
        <w:tab/>
        <w:t>In Schedule 1 Form 1:</w:t>
      </w:r>
    </w:p>
    <w:p>
      <w:pPr>
        <w:pStyle w:val="nzIndenta"/>
      </w:pPr>
      <w:r>
        <w:tab/>
        <w:t>(a)</w:t>
      </w:r>
      <w:r>
        <w:tab/>
        <w:t>delete “Indictment No.” and insert:</w:t>
      </w:r>
    </w:p>
    <w:p>
      <w:pPr>
        <w:pStyle w:val="BlankOpen"/>
      </w:pPr>
    </w:p>
    <w:p>
      <w:pPr>
        <w:pStyle w:val="nzIndenta"/>
      </w:pPr>
      <w:r>
        <w:tab/>
      </w:r>
      <w:r>
        <w:tab/>
        <w:t>Indictment No./SJA No.</w:t>
      </w:r>
    </w:p>
    <w:p>
      <w:pPr>
        <w:pStyle w:val="BlankClose"/>
      </w:pPr>
    </w:p>
    <w:p>
      <w:pPr>
        <w:pStyle w:val="nzIndenta"/>
      </w:pPr>
      <w:r>
        <w:tab/>
        <w:t>(b)</w:t>
      </w:r>
      <w:r>
        <w:tab/>
        <w:t>in the row beginning “Legal representation” delete “Yes/No</w:t>
      </w:r>
      <w:r>
        <w:rPr>
          <w:vertAlign w:val="superscript"/>
        </w:rPr>
        <w:t>7</w:t>
      </w:r>
      <w:r>
        <w:t>” and insert:</w:t>
      </w:r>
    </w:p>
    <w:p>
      <w:pPr>
        <w:pStyle w:val="BlankOpen"/>
      </w:pPr>
    </w:p>
    <w:p>
      <w:pPr>
        <w:pStyle w:val="nzIndenta"/>
      </w:pPr>
      <w:r>
        <w:tab/>
      </w:r>
      <w:r>
        <w:tab/>
        <w:t>Yes/No</w:t>
      </w:r>
    </w:p>
    <w:p>
      <w:pPr>
        <w:pStyle w:val="BlankClose"/>
      </w:pPr>
    </w:p>
    <w:p>
      <w:pPr>
        <w:pStyle w:val="nzIndenta"/>
      </w:pPr>
      <w:r>
        <w:tab/>
        <w:t>(c)</w:t>
      </w:r>
      <w:r>
        <w:tab/>
        <w:t>in the row beginning “Name</w:t>
      </w:r>
      <w:r>
        <w:rPr>
          <w:vertAlign w:val="superscript"/>
        </w:rPr>
        <w:t>9</w:t>
      </w:r>
      <w:r>
        <w:t>” delete “Name</w:t>
      </w:r>
      <w:r>
        <w:rPr>
          <w:vertAlign w:val="superscript"/>
        </w:rPr>
        <w:t>9</w:t>
      </w:r>
      <w:r>
        <w:t>” and insert:</w:t>
      </w:r>
    </w:p>
    <w:p>
      <w:pPr>
        <w:pStyle w:val="BlankOpen"/>
      </w:pPr>
    </w:p>
    <w:p>
      <w:pPr>
        <w:pStyle w:val="nzIndenta"/>
      </w:pPr>
      <w:r>
        <w:tab/>
      </w:r>
      <w:r>
        <w:tab/>
        <w:t>Name</w:t>
      </w:r>
    </w:p>
    <w:p>
      <w:pPr>
        <w:pStyle w:val="BlankClose"/>
      </w:pPr>
    </w:p>
    <w:p>
      <w:pPr>
        <w:pStyle w:val="nzIndenta"/>
      </w:pPr>
      <w:r>
        <w:tab/>
        <w:t>(d)</w:t>
      </w:r>
      <w:r>
        <w:tab/>
        <w:t>delete Note 8.</w:t>
      </w:r>
    </w:p>
    <w:p>
      <w:pPr>
        <w:pStyle w:val="nzSubsection"/>
      </w:pPr>
      <w:r>
        <w:tab/>
        <w:t>(2)</w:t>
      </w:r>
      <w:r>
        <w:tab/>
        <w:t>In Schedule 1 Form 2:</w:t>
      </w:r>
    </w:p>
    <w:p>
      <w:pPr>
        <w:pStyle w:val="nzIndenta"/>
      </w:pPr>
      <w:r>
        <w:tab/>
        <w:t>(a)</w:t>
      </w:r>
      <w:r>
        <w:tab/>
        <w:t>in the row beginning “Legal representation” delete “Yes/No</w:t>
      </w:r>
      <w:r>
        <w:rPr>
          <w:vertAlign w:val="superscript"/>
        </w:rPr>
        <w:t>3</w:t>
      </w:r>
      <w:r>
        <w:t>” and insert:</w:t>
      </w:r>
    </w:p>
    <w:p>
      <w:pPr>
        <w:pStyle w:val="BlankOpen"/>
      </w:pPr>
    </w:p>
    <w:p>
      <w:pPr>
        <w:pStyle w:val="nzIndenta"/>
      </w:pPr>
      <w:r>
        <w:tab/>
      </w:r>
      <w:r>
        <w:tab/>
        <w:t>Yes/No</w:t>
      </w:r>
    </w:p>
    <w:p>
      <w:pPr>
        <w:pStyle w:val="BlankClose"/>
      </w:pPr>
    </w:p>
    <w:p>
      <w:pPr>
        <w:pStyle w:val="nzIndenta"/>
      </w:pPr>
      <w:r>
        <w:tab/>
        <w:t>(b)</w:t>
      </w:r>
      <w:r>
        <w:tab/>
        <w:t>in the row beginning “Name</w:t>
      </w:r>
      <w:r>
        <w:rPr>
          <w:vertAlign w:val="superscript"/>
        </w:rPr>
        <w:t>4</w:t>
      </w:r>
      <w:r>
        <w:t>” delete “Name</w:t>
      </w:r>
      <w:r>
        <w:rPr>
          <w:vertAlign w:val="superscript"/>
        </w:rPr>
        <w:t>4</w:t>
      </w:r>
      <w:r>
        <w:t>” and insert:</w:t>
      </w:r>
    </w:p>
    <w:p>
      <w:pPr>
        <w:pStyle w:val="BlankOpen"/>
      </w:pPr>
    </w:p>
    <w:p>
      <w:pPr>
        <w:pStyle w:val="nzIndenta"/>
      </w:pPr>
      <w:r>
        <w:tab/>
      </w:r>
      <w:r>
        <w:tab/>
        <w:t>Name</w:t>
      </w:r>
    </w:p>
    <w:p>
      <w:pPr>
        <w:pStyle w:val="BlankClose"/>
      </w:pPr>
    </w:p>
    <w:p>
      <w:pPr>
        <w:pStyle w:val="nzIndenta"/>
      </w:pPr>
      <w:r>
        <w:tab/>
        <w:t>(c)</w:t>
      </w:r>
      <w:r>
        <w:tab/>
        <w:t>delete Note 4.</w:t>
      </w:r>
    </w:p>
    <w:p>
      <w:pPr>
        <w:pStyle w:val="nzSubsection"/>
      </w:pPr>
      <w:r>
        <w:tab/>
        <w:t>(3)</w:t>
      </w:r>
      <w:r>
        <w:tab/>
        <w:t>In Schedule 1 Form 3 in the row beginning “Certificate”:</w:t>
      </w:r>
    </w:p>
    <w:p>
      <w:pPr>
        <w:pStyle w:val="nzIndenta"/>
      </w:pPr>
      <w:r>
        <w:tab/>
        <w:t>(a)</w:t>
      </w:r>
      <w:r>
        <w:tab/>
        <w:t>delete “a copy” (2</w:t>
      </w:r>
      <w:r>
        <w:rPr>
          <w:vertAlign w:val="superscript"/>
        </w:rPr>
        <w:t>nd</w:t>
      </w:r>
      <w:r>
        <w:t xml:space="preserve"> occurrence) and insert:</w:t>
      </w:r>
    </w:p>
    <w:p>
      <w:pPr>
        <w:pStyle w:val="BlankOpen"/>
      </w:pPr>
    </w:p>
    <w:p>
      <w:pPr>
        <w:pStyle w:val="nzIndenta"/>
      </w:pPr>
      <w:r>
        <w:rPr>
          <w:vertAlign w:val="superscript"/>
        </w:rPr>
        <w:tab/>
      </w:r>
      <w:r>
        <w:rPr>
          <w:vertAlign w:val="superscript"/>
        </w:rPr>
        <w:tab/>
        <w:t>1 </w:t>
      </w:r>
      <w:r>
        <w:t>a copy</w:t>
      </w:r>
    </w:p>
    <w:p>
      <w:pPr>
        <w:pStyle w:val="BlankClose"/>
      </w:pPr>
    </w:p>
    <w:p>
      <w:pPr>
        <w:pStyle w:val="nzIndenta"/>
      </w:pPr>
      <w:r>
        <w:tab/>
        <w:t>(b)</w:t>
      </w:r>
      <w:r>
        <w:tab/>
        <w:t>delete “Court” and insert:</w:t>
      </w:r>
    </w:p>
    <w:p>
      <w:pPr>
        <w:pStyle w:val="BlankOpen"/>
      </w:pPr>
    </w:p>
    <w:p>
      <w:pPr>
        <w:pStyle w:val="nzIndenta"/>
      </w:pPr>
      <w:r>
        <w:tab/>
      </w:r>
      <w:r>
        <w:tab/>
        <w:t>Court of Appeal</w:t>
      </w:r>
    </w:p>
    <w:p>
      <w:pPr>
        <w:pStyle w:val="BlankClose"/>
      </w:pPr>
    </w:p>
    <w:p>
      <w:pPr>
        <w:pStyle w:val="nzSubsection"/>
      </w:pPr>
      <w:r>
        <w:tab/>
        <w:t>(4)</w:t>
      </w:r>
      <w:r>
        <w:tab/>
        <w:t>Delete Schedule 1 Form 4 and insert:</w:t>
      </w:r>
    </w:p>
    <w:p>
      <w:pPr>
        <w:pStyle w:val="BlankOpen"/>
      </w:pPr>
    </w:p>
    <w:p>
      <w:pPr>
        <w:pStyle w:val="nzHeading5"/>
      </w:pPr>
      <w:bookmarkStart w:id="411" w:name="_Toc489358576"/>
      <w:bookmarkStart w:id="412" w:name="_Toc489448565"/>
      <w:r>
        <w:t>4.</w:t>
      </w:r>
      <w:r>
        <w:tab/>
        <w:t>Notice of respondent’s intention (r. 31)</w:t>
      </w:r>
      <w:bookmarkEnd w:id="411"/>
      <w:bookmarkEnd w:id="41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1843"/>
        <w:gridCol w:w="1185"/>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gridSpan w:val="2"/>
          </w:tcPr>
          <w:p>
            <w:pPr>
              <w:pStyle w:val="yTableNAm"/>
              <w:spacing w:before="0"/>
              <w:rPr>
                <w:sz w:val="20"/>
              </w:rPr>
            </w:pPr>
            <w:r>
              <w:rPr>
                <w:b/>
                <w:sz w:val="20"/>
              </w:rPr>
              <w:t>Notice of respondent’s intention</w:t>
            </w:r>
          </w:p>
        </w:tc>
      </w:tr>
      <w:tr>
        <w:trPr>
          <w:cantSplit/>
        </w:trPr>
        <w:tc>
          <w:tcPr>
            <w:tcW w:w="1418"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58"/>
              </w:tabs>
              <w:spacing w:before="0"/>
              <w:rPr>
                <w:sz w:val="20"/>
              </w:rPr>
            </w:pPr>
            <w:r>
              <w:rPr>
                <w:sz w:val="20"/>
              </w:rPr>
              <w:tab/>
              <w:t>Appellant</w:t>
            </w:r>
          </w:p>
          <w:p>
            <w:pPr>
              <w:pStyle w:val="yTableNAm"/>
              <w:tabs>
                <w:tab w:val="clear" w:pos="567"/>
                <w:tab w:val="left" w:pos="3358"/>
              </w:tabs>
              <w:spacing w:before="0"/>
              <w:rPr>
                <w:sz w:val="20"/>
              </w:rPr>
            </w:pPr>
            <w:r>
              <w:rPr>
                <w:sz w:val="20"/>
              </w:rPr>
              <w:tab/>
              <w:t>Respondent</w:t>
            </w:r>
          </w:p>
        </w:tc>
      </w:tr>
      <w:tr>
        <w:trPr>
          <w:cantSplit/>
        </w:trPr>
        <w:tc>
          <w:tcPr>
            <w:tcW w:w="1418" w:type="dxa"/>
          </w:tcPr>
          <w:p>
            <w:pPr>
              <w:pStyle w:val="yTableNAm"/>
              <w:spacing w:before="0"/>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spacing w:before="0"/>
              <w:rPr>
                <w:sz w:val="20"/>
              </w:rPr>
            </w:pPr>
            <w:r>
              <w:rPr>
                <w:sz w:val="20"/>
              </w:rPr>
              <w:t>□</w:t>
            </w:r>
            <w:r>
              <w:rPr>
                <w:sz w:val="20"/>
              </w:rPr>
              <w:tab/>
              <w:t>The respondent intends to take part in this appeal.</w:t>
            </w:r>
          </w:p>
          <w:p>
            <w:pPr>
              <w:pStyle w:val="yTableNAm"/>
              <w:spacing w:before="0"/>
              <w:ind w:left="567" w:hanging="567"/>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418"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430" w:type="dxa"/>
            <w:gridSpan w:val="4"/>
          </w:tcPr>
          <w:p>
            <w:pPr>
              <w:pStyle w:val="yTableNAm"/>
              <w:spacing w:before="0"/>
              <w:rPr>
                <w:sz w:val="20"/>
                <w:vertAlign w:val="superscript"/>
              </w:rPr>
            </w:pPr>
            <w:r>
              <w:rPr>
                <w:b/>
                <w:sz w:val="20"/>
              </w:rPr>
              <w:t>Respondent’s details for service</w:t>
            </w:r>
            <w:r>
              <w:rPr>
                <w:b/>
                <w:sz w:val="20"/>
                <w:vertAlign w:val="superscript"/>
              </w:rPr>
              <w:t>1</w:t>
            </w:r>
          </w:p>
        </w:tc>
      </w:tr>
      <w:tr>
        <w:trPr>
          <w:cantSplit/>
        </w:trPr>
        <w:tc>
          <w:tcPr>
            <w:tcW w:w="1418"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spacing w:before="0"/>
              <w:rPr>
                <w:sz w:val="20"/>
              </w:rPr>
            </w:pPr>
          </w:p>
          <w:p>
            <w:pPr>
              <w:pStyle w:val="yTableNAm"/>
              <w:spacing w:before="0"/>
              <w:rPr>
                <w:sz w:val="20"/>
              </w:rPr>
            </w:pPr>
          </w:p>
          <w:p>
            <w:pPr>
              <w:pStyle w:val="yTableNAm"/>
              <w:tabs>
                <w:tab w:val="clear" w:pos="567"/>
                <w:tab w:val="left" w:pos="2878"/>
              </w:tabs>
              <w:spacing w:before="0"/>
              <w:rPr>
                <w:sz w:val="20"/>
              </w:rPr>
            </w:pPr>
            <w:r>
              <w:rPr>
                <w:sz w:val="20"/>
              </w:rPr>
              <w:tab/>
              <w:t>Fax No.</w:t>
            </w:r>
          </w:p>
        </w:tc>
      </w:tr>
      <w:tr>
        <w:trPr>
          <w:cantSplit/>
        </w:trPr>
        <w:tc>
          <w:tcPr>
            <w:tcW w:w="1418"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nzMiscellaneousBody"/>
      </w:pPr>
      <w:r>
        <w:t>Note to Form 4 —</w:t>
      </w:r>
    </w:p>
    <w:p>
      <w:pPr>
        <w:pStyle w:val="nzMiscellaneousBody"/>
        <w:ind w:left="1200" w:hanging="633"/>
      </w:pPr>
      <w:r>
        <w:t>1.</w:t>
      </w:r>
      <w:r>
        <w:tab/>
        <w:t>If the respondent is represented by a lawyer, the respondent’s details below must be the lawyer’s. If the respondent is self</w:t>
      </w:r>
      <w:r>
        <w:noBreakHyphen/>
        <w:t>represented, the details must be the respondent’s personal details.</w:t>
      </w:r>
    </w:p>
    <w:p>
      <w:pPr>
        <w:pStyle w:val="nzHeading5"/>
      </w:pPr>
      <w:bookmarkStart w:id="413" w:name="_Toc489358577"/>
      <w:bookmarkStart w:id="414" w:name="_Toc489448566"/>
      <w:r>
        <w:t>4A.</w:t>
      </w:r>
      <w:r>
        <w:tab/>
        <w:t>Notice of respondent’s cross appeal (r. 31A)</w:t>
      </w:r>
      <w:bookmarkEnd w:id="413"/>
      <w:bookmarkEnd w:id="41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1701"/>
        <w:gridCol w:w="1185"/>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spacing w:before="0"/>
              <w:rPr>
                <w:sz w:val="20"/>
              </w:rPr>
            </w:pPr>
            <w:r>
              <w:rPr>
                <w:b/>
                <w:sz w:val="20"/>
              </w:rPr>
              <w:t>Notice of respondent’s cross appeal</w:t>
            </w:r>
          </w:p>
        </w:tc>
      </w:tr>
      <w:tr>
        <w:trPr>
          <w:cantSplit/>
        </w:trPr>
        <w:tc>
          <w:tcPr>
            <w:tcW w:w="1418"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58"/>
              </w:tabs>
              <w:spacing w:before="0"/>
              <w:rPr>
                <w:sz w:val="20"/>
              </w:rPr>
            </w:pPr>
            <w:r>
              <w:rPr>
                <w:sz w:val="20"/>
              </w:rPr>
              <w:tab/>
              <w:t>Appellant</w:t>
            </w:r>
          </w:p>
          <w:p>
            <w:pPr>
              <w:pStyle w:val="yTableNAm"/>
              <w:tabs>
                <w:tab w:val="clear" w:pos="567"/>
                <w:tab w:val="left" w:pos="3358"/>
              </w:tabs>
              <w:spacing w:before="0"/>
              <w:rPr>
                <w:sz w:val="20"/>
              </w:rPr>
            </w:pPr>
            <w:r>
              <w:rPr>
                <w:sz w:val="20"/>
              </w:rPr>
              <w:tab/>
              <w:t>Respondent</w:t>
            </w:r>
          </w:p>
        </w:tc>
      </w:tr>
      <w:tr>
        <w:trPr>
          <w:cantSplit/>
        </w:trPr>
        <w:tc>
          <w:tcPr>
            <w:tcW w:w="1418"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418"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418"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418"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BlankClose"/>
      </w:pPr>
    </w:p>
    <w:p>
      <w:pPr>
        <w:pStyle w:val="nzSubsection"/>
      </w:pPr>
      <w:r>
        <w:tab/>
        <w:t>(5)</w:t>
      </w:r>
      <w:r>
        <w:tab/>
        <w:t>In Schedule 1 Form 5 delete the row beginning “Notice” and insert:</w:t>
      </w:r>
    </w:p>
    <w:p>
      <w:pPr>
        <w:pStyle w:val="BlankOpen"/>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c>
          <w:tcPr>
            <w:tcW w:w="1418" w:type="dxa"/>
          </w:tcPr>
          <w:p>
            <w:pPr>
              <w:pStyle w:val="yTableNAm"/>
              <w:spacing w:before="0"/>
            </w:pPr>
            <w:r>
              <w:rPr>
                <w:sz w:val="20"/>
              </w:rPr>
              <w:t>Notice</w:t>
            </w:r>
          </w:p>
        </w:tc>
        <w:tc>
          <w:tcPr>
            <w:tcW w:w="5012" w:type="dxa"/>
          </w:tcPr>
          <w:p>
            <w:pPr>
              <w:pStyle w:val="yTableNAm"/>
              <w:spacing w:before="0"/>
            </w:pPr>
            <w:r>
              <w:rPr>
                <w:sz w:val="20"/>
              </w:rPr>
              <w:t>The lawyer or firm of practitioners named below is acting for the above client in this appeal.</w:t>
            </w:r>
          </w:p>
        </w:tc>
      </w:tr>
    </w:tbl>
    <w:p>
      <w:pPr>
        <w:pStyle w:val="BlankClose"/>
      </w:pPr>
    </w:p>
    <w:p>
      <w:pPr>
        <w:pStyle w:val="nzSubsection"/>
      </w:pPr>
      <w:r>
        <w:tab/>
        <w:t>(6)</w:t>
      </w:r>
      <w:r>
        <w:tab/>
        <w:t>In Schedule 1 after Form 5 insert:</w:t>
      </w:r>
    </w:p>
    <w:p>
      <w:pPr>
        <w:pStyle w:val="BlankOpen"/>
      </w:pPr>
    </w:p>
    <w:p>
      <w:pPr>
        <w:pStyle w:val="nzHeading5"/>
      </w:pPr>
      <w:bookmarkStart w:id="415" w:name="_Toc489358578"/>
      <w:bookmarkStart w:id="416" w:name="_Toc489448567"/>
      <w:r>
        <w:t>5A.</w:t>
      </w:r>
      <w:r>
        <w:tab/>
        <w:t>Service certificate by lawyer ceasing to act (r. 24(3))</w:t>
      </w:r>
      <w:bookmarkEnd w:id="415"/>
      <w:bookmarkEnd w:id="41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1701"/>
        <w:gridCol w:w="1185"/>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spacing w:before="0"/>
              <w:rPr>
                <w:sz w:val="20"/>
              </w:rPr>
            </w:pPr>
            <w:r>
              <w:rPr>
                <w:b/>
                <w:sz w:val="20"/>
              </w:rPr>
              <w:t>Service certificate by lawyer ceasing to act</w:t>
            </w:r>
          </w:p>
        </w:tc>
      </w:tr>
      <w:tr>
        <w:trPr>
          <w:cantSplit/>
        </w:trPr>
        <w:tc>
          <w:tcPr>
            <w:tcW w:w="1418"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58"/>
              </w:tabs>
              <w:spacing w:before="0"/>
              <w:rPr>
                <w:sz w:val="20"/>
              </w:rPr>
            </w:pPr>
            <w:r>
              <w:rPr>
                <w:sz w:val="20"/>
              </w:rPr>
              <w:tab/>
              <w:t>Appellant</w:t>
            </w:r>
          </w:p>
          <w:p>
            <w:pPr>
              <w:pStyle w:val="yTableNAm"/>
              <w:tabs>
                <w:tab w:val="clear" w:pos="567"/>
                <w:tab w:val="left" w:pos="3358"/>
              </w:tabs>
              <w:spacing w:before="0"/>
              <w:rPr>
                <w:sz w:val="20"/>
              </w:rPr>
            </w:pPr>
            <w:r>
              <w:rPr>
                <w:sz w:val="20"/>
              </w:rPr>
              <w:tab/>
              <w:t>Respondent</w:t>
            </w:r>
          </w:p>
        </w:tc>
      </w:tr>
      <w:tr>
        <w:trPr>
          <w:cantSplit/>
        </w:trPr>
        <w:tc>
          <w:tcPr>
            <w:tcW w:w="1418" w:type="dxa"/>
          </w:tcPr>
          <w:p>
            <w:pPr>
              <w:pStyle w:val="yTableNAm"/>
              <w:spacing w:before="0"/>
              <w:rPr>
                <w:sz w:val="20"/>
              </w:rPr>
            </w:pPr>
            <w:r>
              <w:rPr>
                <w:sz w:val="20"/>
              </w:rPr>
              <w:t>Details of order giving leave to cease to act</w:t>
            </w:r>
          </w:p>
        </w:tc>
        <w:tc>
          <w:tcPr>
            <w:tcW w:w="5012" w:type="dxa"/>
            <w:gridSpan w:val="3"/>
          </w:tcPr>
          <w:p>
            <w:pPr>
              <w:pStyle w:val="yTableNAm"/>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418"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418"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418"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nzMiscellaneousBody"/>
      </w:pPr>
      <w:r>
        <w:t>Notes to Form 5A —</w:t>
      </w:r>
    </w:p>
    <w:p>
      <w:pPr>
        <w:pStyle w:val="nzMiscellaneousBody"/>
      </w:pPr>
      <w:r>
        <w:t>*</w:t>
      </w:r>
      <w:r>
        <w:tab/>
        <w:t>Delete the inapplicable.</w:t>
      </w:r>
    </w:p>
    <w:p>
      <w:pPr>
        <w:pStyle w:val="nzMiscellaneousBody"/>
      </w:pPr>
      <w:r>
        <w:t>1.</w:t>
      </w:r>
      <w:r>
        <w:tab/>
        <w:t>Geographical address: see RSC Order 71A rule 2.</w:t>
      </w:r>
    </w:p>
    <w:p>
      <w:pPr>
        <w:pStyle w:val="BlankClose"/>
      </w:pPr>
    </w:p>
    <w:p>
      <w:pPr>
        <w:pStyle w:val="nzSubsection"/>
      </w:pPr>
      <w:r>
        <w:tab/>
        <w:t>(7)</w:t>
      </w:r>
      <w:r>
        <w:tab/>
        <w:t>In Schedule 1 Form 7 in the row beginning “Notice” delete “</w:t>
      </w:r>
      <w:r>
        <w:rPr>
          <w:vertAlign w:val="superscript"/>
        </w:rPr>
        <w:t>1 </w:t>
      </w:r>
      <w:r>
        <w:t>Draft” (2</w:t>
      </w:r>
      <w:r>
        <w:rPr>
          <w:vertAlign w:val="superscript"/>
        </w:rPr>
        <w:t>nd</w:t>
      </w:r>
      <w:r>
        <w:t xml:space="preserve"> occurrence) and insert:</w:t>
      </w:r>
    </w:p>
    <w:p>
      <w:pPr>
        <w:pStyle w:val="BlankOpen"/>
      </w:pPr>
    </w:p>
    <w:p>
      <w:pPr>
        <w:pStyle w:val="nzSubsection"/>
      </w:pPr>
      <w:r>
        <w:rPr>
          <w:vertAlign w:val="superscript"/>
        </w:rPr>
        <w:tab/>
      </w:r>
      <w:r>
        <w:rPr>
          <w:vertAlign w:val="superscript"/>
        </w:rPr>
        <w:tab/>
      </w:r>
      <w:r>
        <w:t>Draft</w:t>
      </w:r>
    </w:p>
    <w:p>
      <w:pPr>
        <w:pStyle w:val="BlankClose"/>
      </w:pPr>
    </w:p>
    <w:p>
      <w:pPr>
        <w:pStyle w:val="nzSubsection"/>
      </w:pPr>
      <w:r>
        <w:tab/>
        <w:t>(8)</w:t>
      </w:r>
      <w:r>
        <w:tab/>
        <w:t>In Schedule 1 Form 8 in the row beginning “Notice” delete “</w:t>
      </w:r>
      <w:r>
        <w:rPr>
          <w:vertAlign w:val="superscript"/>
        </w:rPr>
        <w:t>1 </w:t>
      </w:r>
      <w:r>
        <w:t>Reply” (2</w:t>
      </w:r>
      <w:r>
        <w:rPr>
          <w:vertAlign w:val="superscript"/>
        </w:rPr>
        <w:t>nd</w:t>
      </w:r>
      <w:r>
        <w:t xml:space="preserve"> occurrence) and insert:</w:t>
      </w:r>
    </w:p>
    <w:p>
      <w:pPr>
        <w:pStyle w:val="BlankOpen"/>
      </w:pPr>
    </w:p>
    <w:p>
      <w:pPr>
        <w:pStyle w:val="nzSubsection"/>
      </w:pPr>
      <w:r>
        <w:rPr>
          <w:vertAlign w:val="superscript"/>
        </w:rPr>
        <w:tab/>
      </w:r>
      <w:r>
        <w:rPr>
          <w:vertAlign w:val="superscript"/>
        </w:rPr>
        <w:tab/>
      </w:r>
      <w:r>
        <w:t>Reply</w:t>
      </w:r>
    </w:p>
    <w:p>
      <w:pPr>
        <w:pStyle w:val="BlankClose"/>
      </w:pPr>
    </w:p>
    <w:p>
      <w:pPr>
        <w:pStyle w:val="nzSubsection"/>
      </w:pPr>
      <w:r>
        <w:tab/>
        <w:t>(9)</w:t>
      </w:r>
      <w:r>
        <w:tab/>
        <w:t>In Schedule 1 Form 9:</w:t>
      </w:r>
    </w:p>
    <w:p>
      <w:pPr>
        <w:pStyle w:val="nzIndenta"/>
      </w:pPr>
      <w:r>
        <w:tab/>
        <w:t>(a)</w:t>
      </w:r>
      <w:r>
        <w:tab/>
        <w:t>delete the row beginning “Conference” and insert:</w:t>
      </w:r>
    </w:p>
    <w:p>
      <w:pPr>
        <w:pStyle w:val="BlankOpen"/>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c>
          <w:tcPr>
            <w:tcW w:w="1418" w:type="dxa"/>
          </w:tcPr>
          <w:p>
            <w:pPr>
              <w:pStyle w:val="yTableNAm"/>
              <w:spacing w:before="0"/>
              <w:rPr>
                <w:sz w:val="20"/>
              </w:rPr>
            </w:pPr>
            <w:r>
              <w:rPr>
                <w:sz w:val="20"/>
              </w:rPr>
              <w:t>Conference between parties</w:t>
            </w:r>
          </w:p>
          <w:p>
            <w:pPr>
              <w:pStyle w:val="yTableNAm"/>
              <w:spacing w:before="0"/>
              <w:rPr>
                <w:sz w:val="16"/>
                <w:szCs w:val="16"/>
              </w:rPr>
            </w:pPr>
            <w:r>
              <w:rPr>
                <w:sz w:val="16"/>
                <w:szCs w:val="16"/>
              </w:rPr>
              <w:t>[</w:t>
            </w:r>
            <w:r>
              <w:rPr>
                <w:i/>
                <w:sz w:val="16"/>
                <w:szCs w:val="16"/>
              </w:rPr>
              <w:t>Tick one box</w:t>
            </w:r>
            <w:r>
              <w:rPr>
                <w:sz w:val="16"/>
                <w:szCs w:val="16"/>
              </w:rPr>
              <w:t>]</w:t>
            </w:r>
          </w:p>
        </w:tc>
        <w:tc>
          <w:tcPr>
            <w:tcW w:w="5012" w:type="dxa"/>
          </w:tcPr>
          <w:p>
            <w:pPr>
              <w:pStyle w:val="yTableNAm"/>
              <w:spacing w:before="0"/>
              <w:ind w:left="567" w:hanging="567"/>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spacing w:before="0"/>
              <w:rPr>
                <w:sz w:val="20"/>
              </w:rPr>
            </w:pPr>
          </w:p>
          <w:p>
            <w:pPr>
              <w:pStyle w:val="yTableNAm"/>
              <w:spacing w:before="0"/>
              <w:ind w:left="567" w:hanging="567"/>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spacing w:before="0"/>
              <w:rPr>
                <w:sz w:val="20"/>
              </w:rPr>
            </w:pPr>
          </w:p>
        </w:tc>
      </w:tr>
    </w:tbl>
    <w:p>
      <w:pPr>
        <w:pStyle w:val="BlankClose"/>
      </w:pPr>
    </w:p>
    <w:p>
      <w:pPr>
        <w:pStyle w:val="nzIndenta"/>
      </w:pPr>
      <w:r>
        <w:tab/>
        <w:t>(b)</w:t>
      </w:r>
      <w:r>
        <w:tab/>
        <w:t>delete Note 2 and insert:</w:t>
      </w:r>
    </w:p>
    <w:p>
      <w:pPr>
        <w:pStyle w:val="BlankOpen"/>
        <w:widowControl w:val="0"/>
      </w:pPr>
    </w:p>
    <w:p>
      <w:pPr>
        <w:pStyle w:val="nzMiscellaneousBody"/>
      </w:pPr>
      <w:r>
        <w:t>2.</w:t>
      </w:r>
      <w:r>
        <w:tab/>
        <w:t>List the unresolved issues in numbered paragraphs.</w:t>
      </w:r>
    </w:p>
    <w:p>
      <w:pPr>
        <w:pStyle w:val="nzMiscellaneousBody"/>
      </w:pPr>
      <w:r>
        <w:t>3.</w:t>
      </w:r>
      <w:r>
        <w:tab/>
        <w:t>State the reasons why the parties have not conferred.</w:t>
      </w:r>
    </w:p>
    <w:p>
      <w:pPr>
        <w:pStyle w:val="BlankClose"/>
        <w:keepNext/>
        <w:widowControl w:val="0"/>
      </w:pPr>
    </w:p>
    <w:p>
      <w:pPr>
        <w:pStyle w:val="nzSubsection"/>
      </w:pPr>
      <w:r>
        <w:tab/>
        <w:t>(10)</w:t>
      </w:r>
      <w:r>
        <w:tab/>
        <w:t>In Schedule 1 after Form 14 insert:</w:t>
      </w:r>
    </w:p>
    <w:p>
      <w:pPr>
        <w:pStyle w:val="BlankOpen"/>
      </w:pPr>
    </w:p>
    <w:p>
      <w:pPr>
        <w:pStyle w:val="nzHeading5"/>
      </w:pPr>
      <w:bookmarkStart w:id="417" w:name="_Toc489358579"/>
      <w:bookmarkStart w:id="418" w:name="_Toc489448568"/>
      <w:r>
        <w:t>14A.</w:t>
      </w:r>
      <w:r>
        <w:tab/>
        <w:t>Certificate of correctness of appeal book (r. 41(c))</w:t>
      </w:r>
      <w:bookmarkEnd w:id="417"/>
      <w:bookmarkEnd w:id="41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1843"/>
        <w:gridCol w:w="1185"/>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gridSpan w:val="2"/>
          </w:tcPr>
          <w:p>
            <w:pPr>
              <w:pStyle w:val="yTableNAm"/>
              <w:spacing w:before="0"/>
              <w:rPr>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58"/>
              </w:tabs>
              <w:spacing w:before="0"/>
              <w:rPr>
                <w:sz w:val="20"/>
              </w:rPr>
            </w:pPr>
            <w:r>
              <w:rPr>
                <w:sz w:val="20"/>
              </w:rPr>
              <w:tab/>
              <w:t>Appellant</w:t>
            </w:r>
          </w:p>
          <w:p>
            <w:pPr>
              <w:pStyle w:val="yTableNAm"/>
              <w:tabs>
                <w:tab w:val="clear" w:pos="567"/>
                <w:tab w:val="left" w:pos="3358"/>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012" w:type="dxa"/>
            <w:gridSpan w:val="3"/>
          </w:tcPr>
          <w:p>
            <w:pPr>
              <w:pStyle w:val="yTableNAm"/>
              <w:spacing w:before="0"/>
              <w:rPr>
                <w:sz w:val="20"/>
              </w:rPr>
            </w:pPr>
            <w:r>
              <w:rPr>
                <w:sz w:val="20"/>
              </w:rPr>
              <w:t>The appellant certifies that —</w:t>
            </w:r>
          </w:p>
          <w:p>
            <w:pPr>
              <w:pStyle w:val="yTableNAm"/>
              <w:spacing w:before="0"/>
              <w:ind w:left="567" w:hanging="567"/>
              <w:rPr>
                <w:sz w:val="20"/>
              </w:rPr>
            </w:pPr>
            <w:r>
              <w:rPr>
                <w:sz w:val="20"/>
              </w:rPr>
              <w:t>(a)</w:t>
            </w:r>
            <w:r>
              <w:rPr>
                <w:sz w:val="20"/>
              </w:rPr>
              <w:tab/>
              <w:t>this appeal book contains those materials, and only those materials, necessary for this appeal; and</w:t>
            </w:r>
          </w:p>
          <w:p>
            <w:pPr>
              <w:pStyle w:val="yTableNAm"/>
              <w:spacing w:before="0"/>
              <w:ind w:left="567" w:hanging="567"/>
              <w:rPr>
                <w:sz w:val="20"/>
              </w:rPr>
            </w:pPr>
            <w:r>
              <w:rPr>
                <w:sz w:val="20"/>
              </w:rPr>
              <w:t>(b)</w:t>
            </w:r>
            <w:r>
              <w:rPr>
                <w:sz w:val="20"/>
              </w:rPr>
              <w:tab/>
              <w:t>each document copied has been compared to the original document and is correct; and</w:t>
            </w:r>
          </w:p>
          <w:p>
            <w:pPr>
              <w:pStyle w:val="yTableNAm"/>
              <w:spacing w:before="0"/>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012" w:type="dxa"/>
            <w:gridSpan w:val="3"/>
          </w:tcPr>
          <w:p>
            <w:pPr>
              <w:pStyle w:val="yTableNAm"/>
              <w:spacing w:before="0"/>
              <w:rPr>
                <w:sz w:val="20"/>
              </w:rPr>
            </w:pPr>
            <w:r>
              <w:rPr>
                <w:sz w:val="20"/>
              </w:rPr>
              <w:t>The respondent certifies that —</w:t>
            </w:r>
          </w:p>
          <w:p>
            <w:pPr>
              <w:pStyle w:val="yTableNAm"/>
              <w:spacing w:before="0"/>
              <w:ind w:left="567" w:hanging="567"/>
              <w:rPr>
                <w:sz w:val="20"/>
              </w:rPr>
            </w:pPr>
            <w:r>
              <w:rPr>
                <w:sz w:val="20"/>
              </w:rPr>
              <w:t>(a)</w:t>
            </w:r>
            <w:r>
              <w:rPr>
                <w:sz w:val="20"/>
              </w:rPr>
              <w:tab/>
              <w:t>this appeal book contains those materials, and only those materials, necessary for this appeal; and</w:t>
            </w:r>
          </w:p>
          <w:p>
            <w:pPr>
              <w:pStyle w:val="yTableNAm"/>
              <w:spacing w:before="0"/>
              <w:ind w:left="567" w:hanging="567"/>
              <w:rPr>
                <w:sz w:val="20"/>
              </w:rPr>
            </w:pPr>
            <w:r>
              <w:rPr>
                <w:sz w:val="20"/>
              </w:rPr>
              <w:t>(b)</w:t>
            </w:r>
            <w:r>
              <w:rPr>
                <w:sz w:val="20"/>
              </w:rPr>
              <w:tab/>
              <w:t>each document copied has been compared to the original document and is correct; and</w:t>
            </w:r>
          </w:p>
          <w:p>
            <w:pPr>
              <w:pStyle w:val="yTableNAm"/>
              <w:spacing w:before="0"/>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BlankClose"/>
      </w:pPr>
    </w:p>
    <w:p>
      <w:pPr>
        <w:pStyle w:val="nzSubsection"/>
      </w:pPr>
      <w:r>
        <w:tab/>
        <w:t>(11)</w:t>
      </w:r>
      <w:r>
        <w:tab/>
        <w:t>In Schedule 1 Form 16:</w:t>
      </w:r>
    </w:p>
    <w:p>
      <w:pPr>
        <w:pStyle w:val="nzIndenta"/>
      </w:pPr>
      <w:r>
        <w:tab/>
        <w:t>(a)</w:t>
      </w:r>
      <w:r>
        <w:tab/>
        <w:t>delete the row beginning “Notice” and insert:</w:t>
      </w:r>
    </w:p>
    <w:p>
      <w:pPr>
        <w:pStyle w:val="BlankOpen"/>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c>
          <w:tcPr>
            <w:tcW w:w="1418" w:type="dxa"/>
          </w:tcPr>
          <w:p>
            <w:pPr>
              <w:pStyle w:val="yTableNAm"/>
              <w:spacing w:before="0"/>
            </w:pPr>
            <w:r>
              <w:rPr>
                <w:sz w:val="20"/>
              </w:rPr>
              <w:t>Notice</w:t>
            </w:r>
          </w:p>
        </w:tc>
        <w:tc>
          <w:tcPr>
            <w:tcW w:w="5012" w:type="dxa"/>
          </w:tcPr>
          <w:p>
            <w:pPr>
              <w:pStyle w:val="yTableNAm"/>
              <w:spacing w:before="0"/>
            </w:pPr>
            <w:r>
              <w:rPr>
                <w:sz w:val="20"/>
              </w:rPr>
              <w:t>The *appellant/respondent discontinues this *appeal/the cross appeal in this appeal.</w:t>
            </w:r>
          </w:p>
        </w:tc>
      </w:tr>
    </w:tbl>
    <w:p>
      <w:pPr>
        <w:pStyle w:val="BlankClose"/>
      </w:pPr>
    </w:p>
    <w:p>
      <w:pPr>
        <w:pStyle w:val="nzIndenta"/>
      </w:pPr>
      <w:r>
        <w:tab/>
        <w:t>(b)</w:t>
      </w:r>
      <w:r>
        <w:tab/>
        <w:t>at the end of Form 16 insert:</w:t>
      </w:r>
    </w:p>
    <w:p>
      <w:pPr>
        <w:pStyle w:val="BlankOpen"/>
      </w:pPr>
    </w:p>
    <w:p>
      <w:pPr>
        <w:pStyle w:val="nzMiscellaneousBody"/>
      </w:pPr>
      <w:r>
        <w:t>Note to Form 16 —</w:t>
      </w:r>
    </w:p>
    <w:p>
      <w:pPr>
        <w:pStyle w:val="nzMiscellaneousBody"/>
      </w:pPr>
      <w:r>
        <w:t>*</w:t>
      </w:r>
      <w:r>
        <w:tab/>
        <w:t>Delete the inapplicable.</w:t>
      </w:r>
    </w:p>
    <w:p>
      <w:pPr>
        <w:pStyle w:val="BlankClose"/>
      </w:pPr>
    </w:p>
    <w:p>
      <w:pPr>
        <w:pStyle w:val="nzHeading5"/>
      </w:pPr>
      <w:bookmarkStart w:id="419" w:name="_Toc489358580"/>
      <w:bookmarkStart w:id="420" w:name="_Toc489448569"/>
      <w:r>
        <w:rPr>
          <w:rStyle w:val="CharSectno"/>
        </w:rPr>
        <w:t>35</w:t>
      </w:r>
      <w:r>
        <w:t>.</w:t>
      </w:r>
      <w:r>
        <w:tab/>
        <w:t>Various references to “registrar” amended</w:t>
      </w:r>
      <w:bookmarkEnd w:id="419"/>
      <w:bookmarkEnd w:id="420"/>
    </w:p>
    <w:p>
      <w:pPr>
        <w:pStyle w:val="nzSubsection"/>
      </w:pPr>
      <w:r>
        <w:tab/>
        <w:t>(1)</w:t>
      </w:r>
      <w:r>
        <w:tab/>
        <w:t>In the provisions listed in the Table delete “The registrar” and insert:</w:t>
      </w:r>
    </w:p>
    <w:p>
      <w:pPr>
        <w:pStyle w:val="BlankOpen"/>
      </w:pPr>
    </w:p>
    <w:p>
      <w:pPr>
        <w:pStyle w:val="nzSubsection"/>
      </w:pPr>
      <w:r>
        <w:tab/>
      </w:r>
      <w:r>
        <w:tab/>
        <w:t>A 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trPr>
        <w:tc>
          <w:tcPr>
            <w:tcW w:w="3402" w:type="dxa"/>
          </w:tcPr>
          <w:p>
            <w:pPr>
              <w:pStyle w:val="TableAm"/>
              <w:spacing w:before="0"/>
            </w:pPr>
            <w:r>
              <w:t>r. 6(3)</w:t>
            </w:r>
          </w:p>
        </w:tc>
        <w:tc>
          <w:tcPr>
            <w:tcW w:w="3402" w:type="dxa"/>
          </w:tcPr>
          <w:p>
            <w:pPr>
              <w:pStyle w:val="TableAm"/>
              <w:spacing w:before="0"/>
            </w:pPr>
            <w:r>
              <w:t>r. 11(1)</w:t>
            </w:r>
          </w:p>
        </w:tc>
      </w:tr>
      <w:tr>
        <w:trPr>
          <w:cantSplit/>
          <w:jc w:val="center"/>
        </w:trPr>
        <w:tc>
          <w:tcPr>
            <w:tcW w:w="3402" w:type="dxa"/>
          </w:tcPr>
          <w:p>
            <w:pPr>
              <w:pStyle w:val="TableAm"/>
              <w:spacing w:before="0"/>
            </w:pPr>
            <w:r>
              <w:t>r. 13(1)</w:t>
            </w:r>
          </w:p>
        </w:tc>
        <w:tc>
          <w:tcPr>
            <w:tcW w:w="3402" w:type="dxa"/>
          </w:tcPr>
          <w:p>
            <w:pPr>
              <w:pStyle w:val="TableAm"/>
              <w:spacing w:before="0"/>
            </w:pPr>
            <w:r>
              <w:t>r. 55(6)</w:t>
            </w:r>
          </w:p>
        </w:tc>
      </w:tr>
      <w:tr>
        <w:trPr>
          <w:cantSplit/>
          <w:jc w:val="center"/>
        </w:trPr>
        <w:tc>
          <w:tcPr>
            <w:tcW w:w="3402" w:type="dxa"/>
          </w:tcPr>
          <w:p>
            <w:pPr>
              <w:pStyle w:val="TableAm"/>
              <w:spacing w:before="0"/>
            </w:pPr>
            <w:r>
              <w:t>r. 56(3)</w:t>
            </w:r>
          </w:p>
        </w:tc>
        <w:tc>
          <w:tcPr>
            <w:tcW w:w="3402" w:type="dxa"/>
          </w:tcPr>
          <w:p>
            <w:pPr>
              <w:pStyle w:val="TableAm"/>
              <w:spacing w:before="0"/>
            </w:pPr>
            <w:r>
              <w:t>r. 62(4)</w:t>
            </w:r>
          </w:p>
        </w:tc>
      </w:tr>
      <w:tr>
        <w:trPr>
          <w:cantSplit/>
          <w:jc w:val="center"/>
        </w:trPr>
        <w:tc>
          <w:tcPr>
            <w:tcW w:w="3402" w:type="dxa"/>
          </w:tcPr>
          <w:p>
            <w:pPr>
              <w:pStyle w:val="TableAm"/>
              <w:spacing w:before="0"/>
            </w:pPr>
            <w:r>
              <w:t>r. 63(4)</w:t>
            </w:r>
          </w:p>
        </w:tc>
        <w:tc>
          <w:tcPr>
            <w:tcW w:w="3402" w:type="dxa"/>
          </w:tcPr>
          <w:p>
            <w:pPr>
              <w:pStyle w:val="TableAm"/>
              <w:spacing w:before="0"/>
            </w:pPr>
            <w:r>
              <w:t>r. 64(2)</w:t>
            </w:r>
          </w:p>
        </w:tc>
      </w:tr>
    </w:tbl>
    <w:p>
      <w:pPr>
        <w:pStyle w:val="nzSubsection"/>
      </w:pPr>
      <w:r>
        <w:tab/>
        <w:t>(2)</w:t>
      </w:r>
      <w:r>
        <w:tab/>
        <w:t>In the provisions listed in the Table delete “the registrar” (each occurrence) and insert:</w:t>
      </w:r>
    </w:p>
    <w:p>
      <w:pPr>
        <w:pStyle w:val="BlankOpen"/>
      </w:pPr>
    </w:p>
    <w:p>
      <w:pPr>
        <w:pStyle w:val="nzSubsection"/>
      </w:pPr>
      <w:r>
        <w:tab/>
      </w:r>
      <w:r>
        <w:tab/>
        <w:t>a 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trPr>
        <w:tc>
          <w:tcPr>
            <w:tcW w:w="3402" w:type="dxa"/>
          </w:tcPr>
          <w:p>
            <w:pPr>
              <w:pStyle w:val="TableAm"/>
              <w:spacing w:before="0"/>
            </w:pPr>
            <w:r>
              <w:t>r. 6(1)</w:t>
            </w:r>
          </w:p>
        </w:tc>
        <w:tc>
          <w:tcPr>
            <w:tcW w:w="3402" w:type="dxa"/>
          </w:tcPr>
          <w:p>
            <w:pPr>
              <w:pStyle w:val="TableAm"/>
              <w:spacing w:before="0"/>
            </w:pPr>
            <w:r>
              <w:t>r. 10(3)</w:t>
            </w:r>
          </w:p>
        </w:tc>
      </w:tr>
      <w:tr>
        <w:trPr>
          <w:cantSplit/>
          <w:jc w:val="center"/>
        </w:trPr>
        <w:tc>
          <w:tcPr>
            <w:tcW w:w="3402" w:type="dxa"/>
          </w:tcPr>
          <w:p>
            <w:pPr>
              <w:pStyle w:val="TableAm"/>
              <w:spacing w:before="0"/>
            </w:pPr>
            <w:r>
              <w:t>r. 11(1)(c)</w:t>
            </w:r>
          </w:p>
        </w:tc>
        <w:tc>
          <w:tcPr>
            <w:tcW w:w="3402" w:type="dxa"/>
          </w:tcPr>
          <w:p>
            <w:pPr>
              <w:pStyle w:val="TableAm"/>
              <w:spacing w:before="0"/>
            </w:pPr>
            <w:r>
              <w:t>r. 12(1) and (2)</w:t>
            </w:r>
          </w:p>
        </w:tc>
      </w:tr>
      <w:tr>
        <w:trPr>
          <w:cantSplit/>
          <w:jc w:val="center"/>
        </w:trPr>
        <w:tc>
          <w:tcPr>
            <w:tcW w:w="3402" w:type="dxa"/>
          </w:tcPr>
          <w:p>
            <w:pPr>
              <w:pStyle w:val="TableAm"/>
              <w:spacing w:before="0"/>
            </w:pPr>
            <w:r>
              <w:t>r. 16</w:t>
            </w:r>
          </w:p>
        </w:tc>
        <w:tc>
          <w:tcPr>
            <w:tcW w:w="3402" w:type="dxa"/>
          </w:tcPr>
          <w:p>
            <w:pPr>
              <w:pStyle w:val="TableAm"/>
              <w:spacing w:before="0"/>
            </w:pPr>
            <w:r>
              <w:t>r. 17(1) and (2)</w:t>
            </w:r>
          </w:p>
        </w:tc>
      </w:tr>
      <w:tr>
        <w:trPr>
          <w:cantSplit/>
          <w:jc w:val="center"/>
        </w:trPr>
        <w:tc>
          <w:tcPr>
            <w:tcW w:w="3402" w:type="dxa"/>
          </w:tcPr>
          <w:p>
            <w:pPr>
              <w:pStyle w:val="TableAm"/>
              <w:spacing w:before="0"/>
            </w:pPr>
            <w:r>
              <w:t>r. 18(1)</w:t>
            </w:r>
          </w:p>
        </w:tc>
        <w:tc>
          <w:tcPr>
            <w:tcW w:w="3402" w:type="dxa"/>
          </w:tcPr>
          <w:p>
            <w:pPr>
              <w:pStyle w:val="TableAm"/>
              <w:spacing w:before="0"/>
            </w:pPr>
            <w:r>
              <w:t>r. 19(2)</w:t>
            </w:r>
          </w:p>
        </w:tc>
      </w:tr>
      <w:tr>
        <w:trPr>
          <w:cantSplit/>
          <w:jc w:val="center"/>
        </w:trPr>
        <w:tc>
          <w:tcPr>
            <w:tcW w:w="3402" w:type="dxa"/>
          </w:tcPr>
          <w:p>
            <w:pPr>
              <w:pStyle w:val="TableAm"/>
              <w:spacing w:before="0"/>
            </w:pPr>
            <w:r>
              <w:t>r. 30(2)</w:t>
            </w:r>
          </w:p>
        </w:tc>
        <w:tc>
          <w:tcPr>
            <w:tcW w:w="3402" w:type="dxa"/>
          </w:tcPr>
          <w:p>
            <w:pPr>
              <w:pStyle w:val="TableAm"/>
              <w:spacing w:before="0"/>
            </w:pPr>
            <w:r>
              <w:t>r. 36(2)</w:t>
            </w:r>
          </w:p>
        </w:tc>
      </w:tr>
      <w:tr>
        <w:trPr>
          <w:cantSplit/>
          <w:jc w:val="center"/>
        </w:trPr>
        <w:tc>
          <w:tcPr>
            <w:tcW w:w="3402" w:type="dxa"/>
          </w:tcPr>
          <w:p>
            <w:pPr>
              <w:pStyle w:val="TableAm"/>
              <w:spacing w:before="0"/>
            </w:pPr>
            <w:r>
              <w:t>r. 38(3)(h)</w:t>
            </w:r>
          </w:p>
        </w:tc>
        <w:tc>
          <w:tcPr>
            <w:tcW w:w="3402" w:type="dxa"/>
          </w:tcPr>
          <w:p>
            <w:pPr>
              <w:pStyle w:val="TableAm"/>
              <w:spacing w:before="0"/>
            </w:pPr>
            <w:r>
              <w:t>r. 55(1) and (5)(b)</w:t>
            </w:r>
          </w:p>
        </w:tc>
      </w:tr>
      <w:tr>
        <w:trPr>
          <w:cantSplit/>
          <w:jc w:val="center"/>
        </w:trPr>
        <w:tc>
          <w:tcPr>
            <w:tcW w:w="3402" w:type="dxa"/>
          </w:tcPr>
          <w:p>
            <w:pPr>
              <w:pStyle w:val="TableAm"/>
              <w:spacing w:before="0"/>
            </w:pPr>
            <w:r>
              <w:t>r. 56(4)</w:t>
            </w:r>
          </w:p>
        </w:tc>
        <w:tc>
          <w:tcPr>
            <w:tcW w:w="3402" w:type="dxa"/>
          </w:tcPr>
          <w:p>
            <w:pPr>
              <w:pStyle w:val="TableAm"/>
              <w:spacing w:before="0"/>
            </w:pPr>
            <w:r>
              <w:t>r. 57</w:t>
            </w:r>
          </w:p>
        </w:tc>
      </w:tr>
      <w:tr>
        <w:trPr>
          <w:cantSplit/>
          <w:jc w:val="center"/>
        </w:trPr>
        <w:tc>
          <w:tcPr>
            <w:tcW w:w="3402" w:type="dxa"/>
          </w:tcPr>
          <w:p>
            <w:pPr>
              <w:pStyle w:val="TableAm"/>
              <w:spacing w:before="0"/>
            </w:pPr>
            <w:r>
              <w:t>r. 62(2)</w:t>
            </w:r>
          </w:p>
        </w:tc>
        <w:tc>
          <w:tcPr>
            <w:tcW w:w="3402" w:type="dxa"/>
          </w:tcPr>
          <w:p>
            <w:pPr>
              <w:pStyle w:val="TableAm"/>
              <w:spacing w:before="0"/>
            </w:pPr>
            <w:r>
              <w:t>r. 64(1) and (5)</w:t>
            </w:r>
          </w:p>
        </w:tc>
      </w:tr>
    </w:tbl>
    <w:p>
      <w:pPr>
        <w:pStyle w:val="nzSubsection"/>
      </w:pPr>
      <w:r>
        <w:tab/>
        <w:t>(3)</w:t>
      </w:r>
      <w:r>
        <w:tab/>
        <w:t>In the provisions listed in the Table delete “the registrar” (1</w:t>
      </w:r>
      <w:r>
        <w:rPr>
          <w:vertAlign w:val="superscript"/>
        </w:rPr>
        <w:t>st</w:t>
      </w:r>
      <w:r>
        <w:t> occurrence) and insert:</w:t>
      </w:r>
    </w:p>
    <w:p>
      <w:pPr>
        <w:pStyle w:val="BlankOpen"/>
      </w:pPr>
    </w:p>
    <w:p>
      <w:pPr>
        <w:pStyle w:val="nzSubsection"/>
      </w:pPr>
      <w:r>
        <w:tab/>
      </w:r>
      <w:r>
        <w:tab/>
        <w:t>a 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trPr>
        <w:tc>
          <w:tcPr>
            <w:tcW w:w="3402" w:type="dxa"/>
          </w:tcPr>
          <w:p>
            <w:pPr>
              <w:pStyle w:val="TableAm"/>
              <w:spacing w:before="0"/>
            </w:pPr>
            <w:r>
              <w:t>r. 18(2)</w:t>
            </w:r>
          </w:p>
        </w:tc>
        <w:tc>
          <w:tcPr>
            <w:tcW w:w="3402" w:type="dxa"/>
          </w:tcPr>
          <w:p>
            <w:pPr>
              <w:pStyle w:val="TableAm"/>
              <w:spacing w:before="0"/>
            </w:pPr>
            <w:r>
              <w:t>r. 36(4)</w:t>
            </w:r>
          </w:p>
        </w:tc>
      </w:tr>
      <w:tr>
        <w:trPr>
          <w:cantSplit/>
          <w:jc w:val="center"/>
        </w:trPr>
        <w:tc>
          <w:tcPr>
            <w:tcW w:w="3402" w:type="dxa"/>
          </w:tcPr>
          <w:p>
            <w:pPr>
              <w:pStyle w:val="TableAm"/>
              <w:spacing w:before="0"/>
            </w:pPr>
            <w:r>
              <w:t>r. 45(2) and (3)</w:t>
            </w:r>
          </w:p>
        </w:tc>
        <w:tc>
          <w:tcPr>
            <w:tcW w:w="3402" w:type="dxa"/>
          </w:tcPr>
          <w:p>
            <w:pPr>
              <w:pStyle w:val="TableAm"/>
              <w:spacing w:before="0"/>
            </w:pPr>
            <w:r>
              <w:t>r. 60(2)</w:t>
            </w:r>
          </w:p>
        </w:tc>
      </w:tr>
      <w:tr>
        <w:trPr>
          <w:cantSplit/>
          <w:jc w:val="center"/>
        </w:trPr>
        <w:tc>
          <w:tcPr>
            <w:tcW w:w="3402" w:type="dxa"/>
          </w:tcPr>
          <w:p>
            <w:pPr>
              <w:pStyle w:val="TableAm"/>
              <w:spacing w:before="0"/>
            </w:pPr>
            <w:r>
              <w:t>r. 64(3) and (4)</w:t>
            </w:r>
          </w:p>
        </w:tc>
        <w:tc>
          <w:tcPr>
            <w:tcW w:w="3402" w:type="dxa"/>
          </w:tcPr>
          <w:p>
            <w:pPr>
              <w:pStyle w:val="TableAm"/>
              <w:spacing w:before="0"/>
            </w:pPr>
          </w:p>
        </w:tc>
      </w:tr>
    </w:tbl>
    <w:p>
      <w:pPr>
        <w:pStyle w:val="nzSubsection"/>
      </w:pPr>
      <w:r>
        <w:tab/>
        <w:t>(4)</w:t>
      </w:r>
      <w:r>
        <w:tab/>
        <w:t>In rule 13(4) delete “the registrar’s” and insert:</w:t>
      </w:r>
    </w:p>
    <w:p>
      <w:pPr>
        <w:pStyle w:val="BlankOpen"/>
      </w:pPr>
    </w:p>
    <w:p>
      <w:pPr>
        <w:pStyle w:val="nzSubsection"/>
      </w:pPr>
      <w:r>
        <w:tab/>
      </w:r>
      <w:r>
        <w:tab/>
        <w:t>a registrar’s</w:t>
      </w:r>
    </w:p>
    <w:p>
      <w:pPr>
        <w:pStyle w:val="BlankClose"/>
      </w:pPr>
    </w:p>
    <w:p>
      <w:pPr>
        <w:pStyle w:val="nzSubsection"/>
      </w:pPr>
      <w:r>
        <w:tab/>
        <w:t>(5)</w:t>
      </w:r>
      <w:r>
        <w:tab/>
        <w:t>In the heading to Part 2 Division 5 delete “</w:t>
      </w:r>
      <w:r>
        <w:rPr>
          <w:b/>
          <w:sz w:val="24"/>
          <w:szCs w:val="24"/>
        </w:rPr>
        <w:t>the registrar</w:t>
      </w:r>
      <w:r>
        <w:t>” and insert:</w:t>
      </w:r>
    </w:p>
    <w:p>
      <w:pPr>
        <w:pStyle w:val="BlankOpen"/>
      </w:pPr>
    </w:p>
    <w:p>
      <w:pPr>
        <w:pStyle w:val="nzSubsection"/>
        <w:rPr>
          <w:sz w:val="24"/>
          <w:szCs w:val="24"/>
        </w:rPr>
      </w:pPr>
      <w:r>
        <w:tab/>
      </w:r>
      <w:r>
        <w:tab/>
      </w:r>
      <w:r>
        <w:rPr>
          <w:b/>
          <w:sz w:val="24"/>
          <w:szCs w:val="24"/>
        </w:rPr>
        <w:t>a registrar</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22" w:name="_Toc491867807"/>
      <w:r>
        <w:rPr>
          <w:sz w:val="28"/>
        </w:rPr>
        <w:t>Defined terms</w:t>
      </w:r>
      <w:bookmarkEnd w:id="4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lawyer</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30(1)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14</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working day</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 w:name="Schedule"/>
    <w:bookmarkEnd w:id="3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3" w:name="DefinedTerms"/>
    <w:bookmarkEnd w:id="4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4" w:name="Coversheet"/>
    <w:bookmarkEnd w:id="4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54"/>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19699</Words>
  <Characters>92193</Characters>
  <Application>Microsoft Office Word</Application>
  <DocSecurity>0</DocSecurity>
  <Lines>3292</Lines>
  <Paragraphs>2283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2005 - 00-d0-00</dc:title>
  <dc:subject/>
  <dc:creator/>
  <cp:keywords/>
  <dc:description/>
  <cp:lastModifiedBy>svcMRProcess</cp:lastModifiedBy>
  <cp:revision>4</cp:revision>
  <cp:lastPrinted>2017-08-15T06:25:00Z</cp:lastPrinted>
  <dcterms:created xsi:type="dcterms:W3CDTF">2018-09-16T08:34:00Z</dcterms:created>
  <dcterms:modified xsi:type="dcterms:W3CDTF">2018-09-16T08:34:00Z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30 Aug 2017</vt:lpwstr>
  </property>
  <property fmtid="{D5CDD505-2E9C-101B-9397-08002B2CF9AE}" pid="6" name="Suffix">
    <vt:lpwstr>00-d0-00</vt:lpwstr>
  </property>
  <property fmtid="{D5CDD505-2E9C-101B-9397-08002B2CF9AE}" pid="7" name="CommencementDate">
    <vt:lpwstr>20170830</vt:lpwstr>
  </property>
</Properties>
</file>