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and Emergency Services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_Toc493233453 \h </w:instrText>
      </w:r>
      <w:r>
        <w:fldChar w:fldCharType="separate"/>
      </w:r>
      <w:r>
        <w:t>2</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_Toc493233454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Emergency Services Levy</w:t>
      </w:r>
    </w:p>
    <w:p>
      <w:pPr>
        <w:pStyle w:val="TOC8"/>
        <w:rPr>
          <w:rFonts w:asciiTheme="minorHAnsi" w:eastAsiaTheme="minorEastAsia" w:hAnsiTheme="minorHAnsi" w:cstheme="minorBidi"/>
          <w:szCs w:val="22"/>
        </w:rPr>
      </w:pPr>
      <w:r>
        <w:t>3.</w:t>
      </w:r>
      <w:r>
        <w:tab/>
        <w:t>Term used: Western Australian Municipal Association</w:t>
      </w:r>
      <w:r>
        <w:tab/>
      </w:r>
      <w:r>
        <w:fldChar w:fldCharType="begin"/>
      </w:r>
      <w:r>
        <w:instrText xml:space="preserve"> PAGEREF _Toc493233456 \h </w:instrText>
      </w:r>
      <w:r>
        <w:fldChar w:fldCharType="separate"/>
      </w:r>
      <w:r>
        <w:t>3</w:t>
      </w:r>
      <w:r>
        <w:fldChar w:fldCharType="end"/>
      </w:r>
    </w:p>
    <w:p>
      <w:pPr>
        <w:pStyle w:val="TOC8"/>
        <w:rPr>
          <w:rFonts w:asciiTheme="minorHAnsi" w:eastAsiaTheme="minorEastAsia" w:hAnsiTheme="minorHAnsi" w:cstheme="minorBidi"/>
          <w:szCs w:val="22"/>
        </w:rPr>
      </w:pPr>
      <w:r>
        <w:t>5.</w:t>
      </w:r>
      <w:r>
        <w:tab/>
        <w:t>Land exempt from emergency services levy (Act s. 36D(a))</w:t>
      </w:r>
      <w:r>
        <w:tab/>
      </w:r>
      <w:r>
        <w:fldChar w:fldCharType="begin"/>
      </w:r>
      <w:r>
        <w:instrText xml:space="preserve"> PAGEREF _Toc493233457 \h </w:instrText>
      </w:r>
      <w:r>
        <w:fldChar w:fldCharType="separate"/>
      </w:r>
      <w:r>
        <w:t>3</w:t>
      </w:r>
      <w:r>
        <w:fldChar w:fldCharType="end"/>
      </w:r>
    </w:p>
    <w:p>
      <w:pPr>
        <w:pStyle w:val="TOC8"/>
        <w:rPr>
          <w:rFonts w:asciiTheme="minorHAnsi" w:eastAsiaTheme="minorEastAsia" w:hAnsiTheme="minorHAnsi" w:cstheme="minorBidi"/>
          <w:szCs w:val="22"/>
        </w:rPr>
      </w:pPr>
      <w:r>
        <w:t>6.</w:t>
      </w:r>
      <w:r>
        <w:tab/>
        <w:t>Emergency services categories prescribed (Act s. 36F(1))</w:t>
      </w:r>
      <w:r>
        <w:tab/>
      </w:r>
      <w:r>
        <w:fldChar w:fldCharType="begin"/>
      </w:r>
      <w:r>
        <w:instrText xml:space="preserve"> PAGEREF _Toc493233458 \h </w:instrText>
      </w:r>
      <w:r>
        <w:fldChar w:fldCharType="separate"/>
      </w:r>
      <w:r>
        <w:t>4</w:t>
      </w:r>
      <w:r>
        <w:fldChar w:fldCharType="end"/>
      </w:r>
    </w:p>
    <w:p>
      <w:pPr>
        <w:pStyle w:val="TOC8"/>
        <w:rPr>
          <w:rFonts w:asciiTheme="minorHAnsi" w:eastAsiaTheme="minorEastAsia" w:hAnsiTheme="minorHAnsi" w:cstheme="minorBidi"/>
          <w:szCs w:val="22"/>
        </w:rPr>
      </w:pPr>
      <w:r>
        <w:t>7.</w:t>
      </w:r>
      <w:r>
        <w:tab/>
        <w:t>Matter prescribed for Minister to have regard to (Act s. 36G(5))</w:t>
      </w:r>
      <w:r>
        <w:tab/>
      </w:r>
      <w:r>
        <w:fldChar w:fldCharType="begin"/>
      </w:r>
      <w:r>
        <w:instrText xml:space="preserve"> PAGEREF _Toc493233459 \h </w:instrText>
      </w:r>
      <w:r>
        <w:fldChar w:fldCharType="separate"/>
      </w:r>
      <w:r>
        <w:t>5</w:t>
      </w:r>
      <w:r>
        <w:fldChar w:fldCharType="end"/>
      </w:r>
    </w:p>
    <w:p>
      <w:pPr>
        <w:pStyle w:val="TOC8"/>
        <w:rPr>
          <w:rFonts w:asciiTheme="minorHAnsi" w:eastAsiaTheme="minorEastAsia" w:hAnsiTheme="minorHAnsi" w:cstheme="minorBidi"/>
          <w:szCs w:val="22"/>
        </w:rPr>
      </w:pPr>
      <w:r>
        <w:t>8.</w:t>
      </w:r>
      <w:r>
        <w:tab/>
        <w:t>Matters prescribed for assessment notices (Act s. 36J(2)(b))</w:t>
      </w:r>
      <w:r>
        <w:tab/>
      </w:r>
      <w:r>
        <w:fldChar w:fldCharType="begin"/>
      </w:r>
      <w:r>
        <w:instrText xml:space="preserve"> PAGEREF _Toc493233460 \h </w:instrText>
      </w:r>
      <w:r>
        <w:fldChar w:fldCharType="separate"/>
      </w:r>
      <w:r>
        <w:t>6</w:t>
      </w:r>
      <w:r>
        <w:fldChar w:fldCharType="end"/>
      </w:r>
    </w:p>
    <w:p>
      <w:pPr>
        <w:pStyle w:val="TOC8"/>
        <w:rPr>
          <w:rFonts w:asciiTheme="minorHAnsi" w:eastAsiaTheme="minorEastAsia" w:hAnsiTheme="minorHAnsi" w:cstheme="minorBidi"/>
          <w:szCs w:val="22"/>
        </w:rPr>
      </w:pPr>
      <w:r>
        <w:t>9.</w:t>
      </w:r>
      <w:r>
        <w:tab/>
        <w:t>Local governments to assess levy on land owned by State etc. in some cases (Act s. 36L(1)(a))</w:t>
      </w:r>
      <w:r>
        <w:tab/>
      </w:r>
      <w:r>
        <w:fldChar w:fldCharType="begin"/>
      </w:r>
      <w:r>
        <w:instrText xml:space="preserve"> PAGEREF _Toc493233461 \h </w:instrText>
      </w:r>
      <w:r>
        <w:fldChar w:fldCharType="separate"/>
      </w:r>
      <w:r>
        <w:t>8</w:t>
      </w:r>
      <w:r>
        <w:fldChar w:fldCharType="end"/>
      </w:r>
    </w:p>
    <w:p>
      <w:pPr>
        <w:pStyle w:val="TOC8"/>
        <w:rPr>
          <w:rFonts w:asciiTheme="minorHAnsi" w:eastAsiaTheme="minorEastAsia" w:hAnsiTheme="minorHAnsi" w:cstheme="minorBidi"/>
          <w:szCs w:val="22"/>
        </w:rPr>
      </w:pPr>
      <w:r>
        <w:t>10.</w:t>
      </w:r>
      <w:r>
        <w:tab/>
        <w:t>Interest rate prescribed (Act s. 36ZH(3)(c))</w:t>
      </w:r>
      <w:r>
        <w:tab/>
      </w:r>
      <w:r>
        <w:fldChar w:fldCharType="begin"/>
      </w:r>
      <w:r>
        <w:instrText xml:space="preserve"> PAGEREF _Toc493233462 \h </w:instrText>
      </w:r>
      <w:r>
        <w:fldChar w:fldCharType="separate"/>
      </w:r>
      <w:r>
        <w:t>8</w:t>
      </w:r>
      <w:r>
        <w:fldChar w:fldCharType="end"/>
      </w:r>
    </w:p>
    <w:p>
      <w:pPr>
        <w:pStyle w:val="TOC8"/>
        <w:rPr>
          <w:rFonts w:asciiTheme="minorHAnsi" w:eastAsiaTheme="minorEastAsia" w:hAnsiTheme="minorHAnsi" w:cstheme="minorBidi"/>
          <w:szCs w:val="22"/>
        </w:rPr>
      </w:pPr>
      <w:r>
        <w:t>11.</w:t>
      </w:r>
      <w:r>
        <w:tab/>
        <w:t>Interest rate prescribed (Act s. 36ZJ(3))</w:t>
      </w:r>
      <w:r>
        <w:tab/>
      </w:r>
      <w:r>
        <w:fldChar w:fldCharType="begin"/>
      </w:r>
      <w:r>
        <w:instrText xml:space="preserve"> PAGEREF _Toc493233463 \h </w:instrText>
      </w:r>
      <w:r>
        <w:fldChar w:fldCharType="separate"/>
      </w:r>
      <w:r>
        <w:t>9</w:t>
      </w:r>
      <w:r>
        <w:fldChar w:fldCharType="end"/>
      </w:r>
    </w:p>
    <w:p>
      <w:pPr>
        <w:pStyle w:val="TOC8"/>
        <w:rPr>
          <w:rFonts w:asciiTheme="minorHAnsi" w:eastAsiaTheme="minorEastAsia" w:hAnsiTheme="minorHAnsi" w:cstheme="minorBidi"/>
          <w:szCs w:val="22"/>
        </w:rPr>
      </w:pPr>
      <w:r>
        <w:t>12A.</w:t>
      </w:r>
      <w:r>
        <w:tab/>
        <w:t>False alarm fee prescribed (Act s. 36ZL(1)(d)(i))</w:t>
      </w:r>
      <w:r>
        <w:tab/>
      </w:r>
      <w:r>
        <w:fldChar w:fldCharType="begin"/>
      </w:r>
      <w:r>
        <w:instrText xml:space="preserve"> PAGEREF _Toc493233464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Shutting off services</w:t>
      </w:r>
    </w:p>
    <w:p>
      <w:pPr>
        <w:pStyle w:val="TOC8"/>
        <w:rPr>
          <w:rFonts w:asciiTheme="minorHAnsi" w:eastAsiaTheme="minorEastAsia" w:hAnsiTheme="minorHAnsi" w:cstheme="minorBidi"/>
          <w:szCs w:val="22"/>
        </w:rPr>
      </w:pPr>
      <w:r>
        <w:t>12.</w:t>
      </w:r>
      <w:r>
        <w:tab/>
        <w:t>Shutting off etc. gas, electricity and water (Act s. 18B, 18G and 18L)</w:t>
      </w:r>
      <w:r>
        <w:tab/>
      </w:r>
      <w:r>
        <w:fldChar w:fldCharType="begin"/>
      </w:r>
      <w:r>
        <w:instrText xml:space="preserve"> PAGEREF _Toc493233466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SES Units, VMRS Groups and FES Units</w:t>
      </w:r>
    </w:p>
    <w:p>
      <w:pPr>
        <w:pStyle w:val="TOC8"/>
        <w:rPr>
          <w:rFonts w:asciiTheme="minorHAnsi" w:eastAsiaTheme="minorEastAsia" w:hAnsiTheme="minorHAnsi" w:cstheme="minorBidi"/>
          <w:szCs w:val="22"/>
        </w:rPr>
      </w:pPr>
      <w:r>
        <w:t>13.</w:t>
      </w:r>
      <w:r>
        <w:tab/>
        <w:t>SES Unit members, content of register of (Act s. 18D(a))</w:t>
      </w:r>
      <w:r>
        <w:tab/>
      </w:r>
      <w:r>
        <w:fldChar w:fldCharType="begin"/>
      </w:r>
      <w:r>
        <w:instrText xml:space="preserve"> PAGEREF _Toc493233468 \h </w:instrText>
      </w:r>
      <w:r>
        <w:fldChar w:fldCharType="separate"/>
      </w:r>
      <w:r>
        <w:t>12</w:t>
      </w:r>
      <w:r>
        <w:fldChar w:fldCharType="end"/>
      </w:r>
    </w:p>
    <w:p>
      <w:pPr>
        <w:pStyle w:val="TOC8"/>
        <w:rPr>
          <w:rFonts w:asciiTheme="minorHAnsi" w:eastAsiaTheme="minorEastAsia" w:hAnsiTheme="minorHAnsi" w:cstheme="minorBidi"/>
          <w:szCs w:val="22"/>
        </w:rPr>
      </w:pPr>
      <w:r>
        <w:t>14.</w:t>
      </w:r>
      <w:r>
        <w:tab/>
        <w:t>VMRS Group members, content of register of (Act s. 18I(a))</w:t>
      </w:r>
      <w:r>
        <w:tab/>
      </w:r>
      <w:r>
        <w:fldChar w:fldCharType="begin"/>
      </w:r>
      <w:r>
        <w:instrText xml:space="preserve"> PAGEREF _Toc493233469 \h </w:instrText>
      </w:r>
      <w:r>
        <w:fldChar w:fldCharType="separate"/>
      </w:r>
      <w:r>
        <w:t>12</w:t>
      </w:r>
      <w:r>
        <w:fldChar w:fldCharType="end"/>
      </w:r>
    </w:p>
    <w:p>
      <w:pPr>
        <w:pStyle w:val="TOC8"/>
        <w:rPr>
          <w:rFonts w:asciiTheme="minorHAnsi" w:eastAsiaTheme="minorEastAsia" w:hAnsiTheme="minorHAnsi" w:cstheme="minorBidi"/>
          <w:szCs w:val="22"/>
        </w:rPr>
      </w:pPr>
      <w:r>
        <w:t>15.</w:t>
      </w:r>
      <w:r>
        <w:tab/>
        <w:t>FES Unit members, content of register of (Act s. 18N(a))</w:t>
      </w:r>
      <w:r>
        <w:tab/>
      </w:r>
      <w:r>
        <w:fldChar w:fldCharType="begin"/>
      </w:r>
      <w:r>
        <w:instrText xml:space="preserve"> PAGEREF _Toc493233470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Insurance of volunteers</w:t>
      </w:r>
    </w:p>
    <w:p>
      <w:pPr>
        <w:pStyle w:val="TOC8"/>
        <w:rPr>
          <w:rFonts w:asciiTheme="minorHAnsi" w:eastAsiaTheme="minorEastAsia" w:hAnsiTheme="minorHAnsi" w:cstheme="minorBidi"/>
          <w:szCs w:val="22"/>
        </w:rPr>
      </w:pPr>
      <w:r>
        <w:t>15A.</w:t>
      </w:r>
      <w:r>
        <w:tab/>
        <w:t>Insurance limits</w:t>
      </w:r>
      <w:r>
        <w:tab/>
      </w:r>
      <w:r>
        <w:fldChar w:fldCharType="begin"/>
      </w:r>
      <w:r>
        <w:instrText xml:space="preserve"> PAGEREF _Toc493233472 \h </w:instrText>
      </w:r>
      <w:r>
        <w:fldChar w:fldCharType="separate"/>
      </w:r>
      <w:r>
        <w:t>14</w:t>
      </w:r>
      <w:r>
        <w:fldChar w:fldCharType="end"/>
      </w:r>
    </w:p>
    <w:p>
      <w:pPr>
        <w:pStyle w:val="TOC8"/>
        <w:rPr>
          <w:rFonts w:asciiTheme="minorHAnsi" w:eastAsiaTheme="minorEastAsia" w:hAnsiTheme="minorHAnsi" w:cstheme="minorBidi"/>
          <w:szCs w:val="22"/>
        </w:rPr>
      </w:pPr>
      <w:r>
        <w:t>15B.</w:t>
      </w:r>
      <w:r>
        <w:tab/>
        <w:t>Apportionment of amounts</w:t>
      </w:r>
      <w:r>
        <w:tab/>
      </w:r>
      <w:r>
        <w:fldChar w:fldCharType="begin"/>
      </w:r>
      <w:r>
        <w:instrText xml:space="preserve"> PAGEREF _Toc493233473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16.</w:t>
      </w:r>
      <w:r>
        <w:tab/>
        <w:t>Prescribed associations (Act s. 23)</w:t>
      </w:r>
      <w:r>
        <w:tab/>
      </w:r>
      <w:r>
        <w:fldChar w:fldCharType="begin"/>
      </w:r>
      <w:r>
        <w:instrText xml:space="preserve"> PAGEREF _Toc493233475 \h </w:instrText>
      </w:r>
      <w:r>
        <w:fldChar w:fldCharType="separate"/>
      </w:r>
      <w:r>
        <w:t>16</w:t>
      </w:r>
      <w:r>
        <w:fldChar w:fldCharType="end"/>
      </w:r>
    </w:p>
    <w:p>
      <w:pPr>
        <w:pStyle w:val="TOC8"/>
        <w:rPr>
          <w:rFonts w:asciiTheme="minorHAnsi" w:eastAsiaTheme="minorEastAsia" w:hAnsiTheme="minorHAnsi" w:cstheme="minorBidi"/>
          <w:szCs w:val="22"/>
        </w:rPr>
      </w:pPr>
      <w:r>
        <w:t>16A.</w:t>
      </w:r>
      <w:r>
        <w:tab/>
        <w:t>Prescribed symbols not to be used (Act s. 38B(1))</w:t>
      </w:r>
      <w:r>
        <w:tab/>
      </w:r>
      <w:r>
        <w:fldChar w:fldCharType="begin"/>
      </w:r>
      <w:r>
        <w:instrText xml:space="preserve"> PAGEREF _Toc493233476 \h </w:instrText>
      </w:r>
      <w:r>
        <w:fldChar w:fldCharType="separate"/>
      </w:r>
      <w:r>
        <w:t>16</w:t>
      </w:r>
      <w:r>
        <w:fldChar w:fldCharType="end"/>
      </w:r>
    </w:p>
    <w:p>
      <w:pPr>
        <w:pStyle w:val="TOC8"/>
        <w:rPr>
          <w:rFonts w:asciiTheme="minorHAnsi" w:eastAsiaTheme="minorEastAsia" w:hAnsiTheme="minorHAnsi" w:cstheme="minorBidi"/>
          <w:szCs w:val="22"/>
        </w:rPr>
      </w:pPr>
      <w:r>
        <w:t>17.</w:t>
      </w:r>
      <w:r>
        <w:tab/>
        <w:t>Disclosure of information (Act s. 39(2)(d))</w:t>
      </w:r>
      <w:r>
        <w:tab/>
      </w:r>
      <w:r>
        <w:fldChar w:fldCharType="begin"/>
      </w:r>
      <w:r>
        <w:instrText xml:space="preserve"> PAGEREF _Toc493233477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_Toc493233479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Fire and Emergency Services Act 1998</w:t>
      </w:r>
    </w:p>
    <w:p>
      <w:pPr>
        <w:pStyle w:val="NameofActReg"/>
      </w:pPr>
      <w:r>
        <w:t>Fire and Emergency Services Regulations 1998</w:t>
      </w:r>
    </w:p>
    <w:p>
      <w:pPr>
        <w:pStyle w:val="Heading2"/>
      </w:pPr>
      <w:bookmarkStart w:id="3" w:name="_Toc493167149"/>
      <w:bookmarkStart w:id="4" w:name="_Toc493167323"/>
      <w:bookmarkStart w:id="5" w:name="_Toc493233452"/>
      <w:r>
        <w:rPr>
          <w:rStyle w:val="CharPartNo"/>
        </w:rPr>
        <w:t>Part 1</w:t>
      </w:r>
      <w:r>
        <w:t> — </w:t>
      </w:r>
      <w:r>
        <w:rPr>
          <w:rStyle w:val="CharPartText"/>
        </w:rPr>
        <w:t>Preliminary</w:t>
      </w:r>
      <w:bookmarkEnd w:id="3"/>
      <w:bookmarkEnd w:id="4"/>
      <w:bookmarkEnd w:id="5"/>
    </w:p>
    <w:p>
      <w:pPr>
        <w:pStyle w:val="Footnoteheading"/>
      </w:pPr>
      <w:r>
        <w:tab/>
        <w:t>[Heading inserted in Gazette 15 Sep 2017 p. 4792.]</w:t>
      </w:r>
    </w:p>
    <w:p>
      <w:pPr>
        <w:pStyle w:val="Heading5"/>
      </w:pPr>
      <w:bookmarkStart w:id="6" w:name="_Toc493233453"/>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pPr>
        <w:pStyle w:val="Footnotesection"/>
      </w:pPr>
      <w:r>
        <w:tab/>
        <w:t>[Regulation 1 amended in Gazette 31 Oct 2012 p. 5229.]</w:t>
      </w:r>
    </w:p>
    <w:p>
      <w:pPr>
        <w:pStyle w:val="Heading5"/>
        <w:rPr>
          <w:spacing w:val="-2"/>
        </w:rPr>
      </w:pPr>
      <w:bookmarkStart w:id="8" w:name="_Toc49323345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2"/>
      </w:pPr>
      <w:bookmarkStart w:id="9" w:name="_Toc493167152"/>
      <w:bookmarkStart w:id="10" w:name="_Toc493167326"/>
      <w:bookmarkStart w:id="11" w:name="_Toc493233455"/>
      <w:r>
        <w:rPr>
          <w:rStyle w:val="CharPartNo"/>
        </w:rPr>
        <w:t>Part 2</w:t>
      </w:r>
      <w:r>
        <w:t> — </w:t>
      </w:r>
      <w:r>
        <w:rPr>
          <w:rStyle w:val="CharPartText"/>
        </w:rPr>
        <w:t>Emergency Services Levy</w:t>
      </w:r>
      <w:bookmarkEnd w:id="9"/>
      <w:bookmarkEnd w:id="10"/>
      <w:bookmarkEnd w:id="11"/>
    </w:p>
    <w:p>
      <w:pPr>
        <w:pStyle w:val="Footnoteheading"/>
        <w:rPr>
          <w:rStyle w:val="CharSectno"/>
          <w:snapToGrid w:val="0"/>
          <w:sz w:val="30"/>
        </w:rPr>
      </w:pPr>
      <w:r>
        <w:tab/>
        <w:t>[Heading inserted in Gazette 15 Sep 2017 p. 4792.]</w:t>
      </w:r>
    </w:p>
    <w:p>
      <w:pPr>
        <w:pStyle w:val="Heading5"/>
      </w:pPr>
      <w:bookmarkStart w:id="12" w:name="_Toc493233456"/>
      <w:r>
        <w:rPr>
          <w:rStyle w:val="CharSectno"/>
        </w:rPr>
        <w:t>3</w:t>
      </w:r>
      <w:r>
        <w:t>.</w:t>
      </w:r>
      <w:r>
        <w:tab/>
        <w:t>Term used: Western Australian Municipal Association</w:t>
      </w:r>
      <w:bookmarkEnd w:id="12"/>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13" w:name="_Toc493233457"/>
      <w:r>
        <w:rPr>
          <w:rStyle w:val="CharSectno"/>
        </w:rPr>
        <w:t>5</w:t>
      </w:r>
      <w:r>
        <w:t>.</w:t>
      </w:r>
      <w:r>
        <w:tab/>
        <w:t>Land exempt from emergency services levy (Act s. 36D(a))</w:t>
      </w:r>
      <w:bookmarkEnd w:id="13"/>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keepNext/>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14" w:name="_Toc493233458"/>
      <w:r>
        <w:rPr>
          <w:rStyle w:val="CharSectno"/>
        </w:rPr>
        <w:t>6</w:t>
      </w:r>
      <w:r>
        <w:t>.</w:t>
      </w:r>
      <w:r>
        <w:tab/>
        <w:t>Emergency services categories prescribed (Act s. 36F(1))</w:t>
      </w:r>
      <w:bookmarkEnd w:id="14"/>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15" w:name="_Toc493233459"/>
      <w:r>
        <w:rPr>
          <w:rStyle w:val="CharSectno"/>
        </w:rPr>
        <w:t>7</w:t>
      </w:r>
      <w:r>
        <w:t>.</w:t>
      </w:r>
      <w:r>
        <w:tab/>
        <w:t>Matter prescribed for Minister to have regard to (Act s. 36G(5))</w:t>
      </w:r>
      <w:bookmarkEnd w:id="15"/>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16" w:name="_Toc493233460"/>
      <w:r>
        <w:rPr>
          <w:rStyle w:val="CharSectno"/>
        </w:rPr>
        <w:t>8</w:t>
      </w:r>
      <w:r>
        <w:t>.</w:t>
      </w:r>
      <w:r>
        <w:tab/>
        <w:t>Matters prescribed for assessment notices (Act s. 36J(2)(b))</w:t>
      </w:r>
      <w:bookmarkEnd w:id="16"/>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17" w:name="_Toc493233461"/>
      <w:r>
        <w:rPr>
          <w:rStyle w:val="CharSectno"/>
        </w:rPr>
        <w:t>9</w:t>
      </w:r>
      <w:r>
        <w:t>.</w:t>
      </w:r>
      <w:r>
        <w:tab/>
        <w:t>Local governments to assess levy on land owned by State etc. in some cases (Act s. 36L(1)(a))</w:t>
      </w:r>
      <w:bookmarkEnd w:id="17"/>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18" w:name="_Toc493233462"/>
      <w:r>
        <w:rPr>
          <w:rStyle w:val="CharSectno"/>
        </w:rPr>
        <w:t>10</w:t>
      </w:r>
      <w:r>
        <w:t>.</w:t>
      </w:r>
      <w:r>
        <w:tab/>
        <w:t>Interest rate prescribed (Act s. 36ZH(3)(c))</w:t>
      </w:r>
      <w:bookmarkEnd w:id="18"/>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19" w:name="_Toc493233463"/>
      <w:r>
        <w:rPr>
          <w:rStyle w:val="CharSectno"/>
        </w:rPr>
        <w:t>11</w:t>
      </w:r>
      <w:r>
        <w:t>.</w:t>
      </w:r>
      <w:r>
        <w:tab/>
        <w:t>Interest rate prescribed (Act s. 36ZJ(3))</w:t>
      </w:r>
      <w:bookmarkEnd w:id="19"/>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20" w:name="_Toc493233464"/>
      <w:r>
        <w:rPr>
          <w:rStyle w:val="CharSectno"/>
        </w:rPr>
        <w:t>12A</w:t>
      </w:r>
      <w:r>
        <w:t>.</w:t>
      </w:r>
      <w:r>
        <w:tab/>
        <w:t>False alarm fee prescribed (Act s. 36ZL(1)(d)(i))</w:t>
      </w:r>
      <w:bookmarkEnd w:id="20"/>
    </w:p>
    <w:p>
      <w:pPr>
        <w:pStyle w:val="Subsection"/>
      </w:pPr>
      <w:r>
        <w:tab/>
      </w:r>
      <w:r>
        <w:tab/>
        <w:t>For the purposes of section 36ZL(1)(d)(i) of the Act, the fee for an attendance, in response to a false alarm, by a permanent fire brigade or a volunteer fire brigade is $750.00.</w:t>
      </w:r>
    </w:p>
    <w:p>
      <w:pPr>
        <w:pStyle w:val="Footnotesection"/>
      </w:pPr>
      <w:r>
        <w:tab/>
        <w:t>[Regulation 12A inserted in Gazette 2 Jun 2015 p. 1940.]</w:t>
      </w:r>
    </w:p>
    <w:p>
      <w:pPr>
        <w:pStyle w:val="Heading2"/>
      </w:pPr>
      <w:bookmarkStart w:id="21" w:name="_Toc493167162"/>
      <w:bookmarkStart w:id="22" w:name="_Toc493167336"/>
      <w:bookmarkStart w:id="23" w:name="_Toc493233465"/>
      <w:r>
        <w:rPr>
          <w:rStyle w:val="CharPartNo"/>
        </w:rPr>
        <w:t>Part 3</w:t>
      </w:r>
      <w:r>
        <w:t> — </w:t>
      </w:r>
      <w:r>
        <w:rPr>
          <w:rStyle w:val="CharPartText"/>
        </w:rPr>
        <w:t>Shutting off services</w:t>
      </w:r>
      <w:bookmarkEnd w:id="21"/>
      <w:bookmarkEnd w:id="22"/>
      <w:bookmarkEnd w:id="23"/>
    </w:p>
    <w:p>
      <w:pPr>
        <w:pStyle w:val="Footnoteheading"/>
      </w:pPr>
      <w:r>
        <w:tab/>
        <w:t>[Heading inserted in Gazette 15 Sep 2017 p. 4792.]</w:t>
      </w:r>
    </w:p>
    <w:p>
      <w:pPr>
        <w:pStyle w:val="Heading5"/>
      </w:pPr>
      <w:bookmarkStart w:id="24" w:name="_Toc493233466"/>
      <w:r>
        <w:rPr>
          <w:rStyle w:val="CharSectno"/>
        </w:rPr>
        <w:t>12</w:t>
      </w:r>
      <w:r>
        <w:t>.</w:t>
      </w:r>
      <w:r>
        <w:tab/>
        <w:t>Shutting off etc. gas, electricity and water (Act s. 18B, 18G and 18L)</w:t>
      </w:r>
      <w:bookmarkEnd w:id="24"/>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2"/>
      </w:pPr>
      <w:bookmarkStart w:id="25" w:name="_Toc493167164"/>
      <w:bookmarkStart w:id="26" w:name="_Toc493167338"/>
      <w:bookmarkStart w:id="27" w:name="_Toc493233467"/>
      <w:r>
        <w:rPr>
          <w:rStyle w:val="CharPartNo"/>
        </w:rPr>
        <w:t>Part 4</w:t>
      </w:r>
      <w:r>
        <w:t> — </w:t>
      </w:r>
      <w:r>
        <w:rPr>
          <w:rStyle w:val="CharPartText"/>
        </w:rPr>
        <w:t>SES Units, VMRS Groups and FES Units</w:t>
      </w:r>
      <w:bookmarkEnd w:id="25"/>
      <w:bookmarkEnd w:id="26"/>
      <w:bookmarkEnd w:id="27"/>
    </w:p>
    <w:p>
      <w:pPr>
        <w:pStyle w:val="Footnoteheading"/>
      </w:pPr>
      <w:r>
        <w:tab/>
        <w:t>[Heading inserted in Gazette 15 Sep 2017 p. 4793.]</w:t>
      </w:r>
    </w:p>
    <w:p>
      <w:pPr>
        <w:pStyle w:val="Heading5"/>
      </w:pPr>
      <w:bookmarkStart w:id="28" w:name="_Toc493233468"/>
      <w:r>
        <w:rPr>
          <w:rStyle w:val="CharSectno"/>
        </w:rPr>
        <w:t>13</w:t>
      </w:r>
      <w:r>
        <w:t>.</w:t>
      </w:r>
      <w:r>
        <w:tab/>
        <w:t>SES Unit members, content of register of (Act s. 18D(a))</w:t>
      </w:r>
      <w:bookmarkEnd w:id="28"/>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29" w:name="_Toc493233469"/>
      <w:r>
        <w:rPr>
          <w:rStyle w:val="CharSectno"/>
        </w:rPr>
        <w:t>14</w:t>
      </w:r>
      <w:r>
        <w:t>.</w:t>
      </w:r>
      <w:r>
        <w:tab/>
        <w:t>VMRS Group members, content of register of (Act s. 18I(a))</w:t>
      </w:r>
      <w:bookmarkEnd w:id="29"/>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30" w:name="_Toc493233470"/>
      <w:r>
        <w:rPr>
          <w:rStyle w:val="CharSectno"/>
        </w:rPr>
        <w:t>15</w:t>
      </w:r>
      <w:r>
        <w:t>.</w:t>
      </w:r>
      <w:r>
        <w:tab/>
        <w:t>FES Unit members, content of register of (Act s. 18N(a))</w:t>
      </w:r>
      <w:bookmarkEnd w:id="30"/>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2"/>
      </w:pPr>
      <w:bookmarkStart w:id="31" w:name="_Toc493167168"/>
      <w:bookmarkStart w:id="32" w:name="_Toc493167342"/>
      <w:bookmarkStart w:id="33" w:name="_Toc493233471"/>
      <w:r>
        <w:rPr>
          <w:rStyle w:val="CharPartNo"/>
        </w:rPr>
        <w:t>Part 5</w:t>
      </w:r>
      <w:r>
        <w:t> — </w:t>
      </w:r>
      <w:r>
        <w:rPr>
          <w:rStyle w:val="CharPartText"/>
        </w:rPr>
        <w:t>Insurance of volunteers</w:t>
      </w:r>
      <w:bookmarkEnd w:id="31"/>
      <w:bookmarkEnd w:id="32"/>
      <w:bookmarkEnd w:id="33"/>
    </w:p>
    <w:p>
      <w:pPr>
        <w:pStyle w:val="Footnoteheading"/>
      </w:pPr>
      <w:r>
        <w:tab/>
        <w:t>[Heading inserted in Gazette 15 Sep 2017 p. 4793.]</w:t>
      </w:r>
    </w:p>
    <w:p>
      <w:pPr>
        <w:pStyle w:val="Heading5"/>
      </w:pPr>
      <w:bookmarkStart w:id="34" w:name="_Toc493233472"/>
      <w:r>
        <w:rPr>
          <w:rStyle w:val="CharSectno"/>
        </w:rPr>
        <w:t>15A</w:t>
      </w:r>
      <w:r>
        <w:t>.</w:t>
      </w:r>
      <w:r>
        <w:tab/>
        <w:t>Insurance limits</w:t>
      </w:r>
      <w:bookmarkEnd w:id="34"/>
    </w:p>
    <w:p>
      <w:pPr>
        <w:pStyle w:val="Subsection"/>
      </w:pPr>
      <w:r>
        <w:tab/>
      </w:r>
      <w:r>
        <w:tab/>
        <w:t xml:space="preserve">The amount of compensation for which a responsible agency is required by section 36ZQ(4) of the Act to insure is limited as follows — </w:t>
      </w:r>
    </w:p>
    <w:p>
      <w:pPr>
        <w:pStyle w:val="Indenta"/>
      </w:pPr>
      <w:r>
        <w:tab/>
        <w:t>(a)</w:t>
      </w:r>
      <w:r>
        <w:tab/>
        <w:t>for loss caused at any one incident to any money or negotiable instrument the personal property of any one volunteer: a limit of $250 in total;</w:t>
      </w:r>
    </w:p>
    <w:p>
      <w:pPr>
        <w:pStyle w:val="Indenta"/>
      </w:pPr>
      <w:r>
        <w:tab/>
        <w:t>(b)</w:t>
      </w:r>
      <w:r>
        <w:tab/>
        <w:t>for loss or damage caused at any one incident to any watch or jewellery the personal property of any one volunteer: a limit of $2 000 for each item or set of items;</w:t>
      </w:r>
    </w:p>
    <w:p>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pPr>
        <w:pStyle w:val="Footnotesection"/>
      </w:pPr>
      <w:r>
        <w:tab/>
        <w:t>[Regulation 15A inserted in Gazette 15 Sep 2017 p. 4793.]</w:t>
      </w:r>
    </w:p>
    <w:p>
      <w:pPr>
        <w:pStyle w:val="Heading5"/>
      </w:pPr>
      <w:bookmarkStart w:id="35" w:name="_Toc493233473"/>
      <w:r>
        <w:rPr>
          <w:rStyle w:val="CharSectno"/>
        </w:rPr>
        <w:t>15B</w:t>
      </w:r>
      <w:r>
        <w:t>.</w:t>
      </w:r>
      <w:r>
        <w:tab/>
        <w:t>Apportionment of amounts</w:t>
      </w:r>
      <w:bookmarkEnd w:id="35"/>
    </w:p>
    <w:p>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pPr>
        <w:pStyle w:val="Indenta"/>
      </w:pPr>
      <w:r>
        <w:tab/>
        <w:t>(a)</w:t>
      </w:r>
      <w:r>
        <w:tab/>
        <w:t xml:space="preserve">as agreed between those persons; or </w:t>
      </w:r>
    </w:p>
    <w:p>
      <w:pPr>
        <w:pStyle w:val="Indenta"/>
      </w:pPr>
      <w:r>
        <w:tab/>
        <w:t>(b)</w:t>
      </w:r>
      <w:r>
        <w:tab/>
        <w:t>as determined under subregulation (3).</w:t>
      </w:r>
    </w:p>
    <w:p>
      <w:pPr>
        <w:pStyle w:val="Subsection"/>
      </w:pPr>
      <w:r>
        <w:tab/>
        <w:t>(2)</w:t>
      </w:r>
      <w:r>
        <w:tab/>
        <w:t>If the persons cannot agree on the apportionment, one or more of them may apply in writing to the FES Commissioner for the apportionment to be determined.</w:t>
      </w:r>
    </w:p>
    <w:p>
      <w:pPr>
        <w:pStyle w:val="Subsection"/>
        <w:keepNext/>
      </w:pPr>
      <w:r>
        <w:tab/>
        <w:t>(3)</w:t>
      </w:r>
      <w:r>
        <w:tab/>
        <w:t xml:space="preserve">If an application is made under subregulation (2), the apportionment must be determined — </w:t>
      </w:r>
    </w:p>
    <w:p>
      <w:pPr>
        <w:pStyle w:val="Indenta"/>
      </w:pPr>
      <w:r>
        <w:tab/>
        <w:t>(a)</w:t>
      </w:r>
      <w:r>
        <w:tab/>
        <w:t>by the FES Commissioner; or</w:t>
      </w:r>
    </w:p>
    <w:p>
      <w:pPr>
        <w:pStyle w:val="Indenta"/>
      </w:pPr>
      <w:r>
        <w:tab/>
        <w:t>(b)</w:t>
      </w:r>
      <w:r>
        <w:tab/>
        <w:t>by a suitably qualified person appointed in writing by the FES Commissioner to make the determination.</w:t>
      </w:r>
    </w:p>
    <w:p>
      <w:pPr>
        <w:pStyle w:val="Footnotesection"/>
      </w:pPr>
      <w:r>
        <w:tab/>
        <w:t>[Regulation 15B inserted in Gazette 15 Sep 2017 p. 4793</w:t>
      </w:r>
      <w:r>
        <w:noBreakHyphen/>
        <w:t>4.]</w:t>
      </w:r>
    </w:p>
    <w:p>
      <w:pPr>
        <w:pStyle w:val="Heading2"/>
      </w:pPr>
      <w:bookmarkStart w:id="36" w:name="_Toc493167171"/>
      <w:bookmarkStart w:id="37" w:name="_Toc493167345"/>
      <w:bookmarkStart w:id="38" w:name="_Toc493233474"/>
      <w:r>
        <w:rPr>
          <w:rStyle w:val="CharPartNo"/>
        </w:rPr>
        <w:t>Part 6</w:t>
      </w:r>
      <w:r>
        <w:t> — </w:t>
      </w:r>
      <w:r>
        <w:rPr>
          <w:rStyle w:val="CharPartText"/>
        </w:rPr>
        <w:t>Miscellaneous</w:t>
      </w:r>
      <w:bookmarkEnd w:id="36"/>
      <w:bookmarkEnd w:id="37"/>
      <w:bookmarkEnd w:id="38"/>
    </w:p>
    <w:p>
      <w:pPr>
        <w:pStyle w:val="Footnoteheading"/>
      </w:pPr>
      <w:r>
        <w:tab/>
        <w:t>[Heading inserted in Gazette 15 Sep 2017 p. 4794.]</w:t>
      </w:r>
    </w:p>
    <w:p>
      <w:pPr>
        <w:pStyle w:val="Heading5"/>
      </w:pPr>
      <w:bookmarkStart w:id="39" w:name="_Toc493233475"/>
      <w:r>
        <w:rPr>
          <w:rStyle w:val="CharSectno"/>
        </w:rPr>
        <w:t>16</w:t>
      </w:r>
      <w:r>
        <w:t>.</w:t>
      </w:r>
      <w:r>
        <w:tab/>
        <w:t>Prescribed associations (Act s. 23)</w:t>
      </w:r>
      <w:bookmarkEnd w:id="39"/>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pPr>
      <w:bookmarkStart w:id="40" w:name="_Toc493233476"/>
      <w:r>
        <w:rPr>
          <w:rStyle w:val="CharSectno"/>
        </w:rPr>
        <w:t>16A</w:t>
      </w:r>
      <w:r>
        <w:t>.</w:t>
      </w:r>
      <w:r>
        <w:tab/>
        <w:t>Prescribed symbols not to be used (Act s. 38B(1))</w:t>
      </w:r>
      <w:bookmarkEnd w:id="40"/>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109"/>
        <w:gridCol w:w="2641"/>
      </w:tblGrid>
      <w:tr>
        <w:trPr>
          <w:cantSplit/>
        </w:trPr>
        <w:tc>
          <w:tcPr>
            <w:tcW w:w="3109" w:type="dxa"/>
          </w:tcPr>
          <w:p>
            <w:pPr>
              <w:pStyle w:val="TableNAm"/>
              <w:ind w:left="567" w:hanging="567"/>
            </w:pPr>
            <w:r>
              <w:t>1.</w:t>
            </w:r>
            <w:r>
              <w:tab/>
              <w:t>The Department’s logo</w:t>
            </w:r>
          </w:p>
        </w:tc>
        <w:tc>
          <w:tcPr>
            <w:tcW w:w="2641" w:type="dxa"/>
          </w:tcPr>
          <w:p>
            <w:pPr>
              <w:pStyle w:val="TableNAm"/>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t>2.</w:t>
            </w:r>
            <w:r>
              <w:tab/>
              <w:t>The Department’s arm patch or vehicle decal</w:t>
            </w:r>
          </w:p>
        </w:tc>
        <w:tc>
          <w:tcPr>
            <w:tcW w:w="2641" w:type="dxa"/>
          </w:tcPr>
          <w:p>
            <w:pPr>
              <w:pStyle w:val="TableNAm"/>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t>7.</w:t>
            </w:r>
            <w:r>
              <w:tab/>
              <w:t>The Volunteer Fire and Emergency Services WA logo</w:t>
            </w:r>
          </w:p>
        </w:tc>
        <w:tc>
          <w:tcPr>
            <w:tcW w:w="2641" w:type="dxa"/>
          </w:tcPr>
          <w:p>
            <w:pPr>
              <w:pStyle w:val="TableNAm"/>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929640" cy="960120"/>
                          </a:xfrm>
                          <a:prstGeom prst="rect">
                            <a:avLst/>
                          </a:prstGeom>
                        </pic:spPr>
                      </pic:pic>
                    </a:graphicData>
                  </a:graphic>
                </wp:inline>
              </w:drawing>
            </w:r>
          </w:p>
        </w:tc>
      </w:tr>
    </w:tbl>
    <w:p>
      <w:pPr>
        <w:pStyle w:val="Footnotesection"/>
      </w:pPr>
      <w:r>
        <w:tab/>
        <w:t>[Regulation 16A inserted in Gazette 8 Sep 2017 p. 4695</w:t>
      </w:r>
      <w:r>
        <w:noBreakHyphen/>
        <w:t>6.]</w:t>
      </w:r>
    </w:p>
    <w:p>
      <w:pPr>
        <w:pStyle w:val="Heading5"/>
      </w:pPr>
      <w:bookmarkStart w:id="41" w:name="_Toc493233477"/>
      <w:r>
        <w:rPr>
          <w:rStyle w:val="CharSectno"/>
        </w:rPr>
        <w:t>17</w:t>
      </w:r>
      <w:r>
        <w:t>.</w:t>
      </w:r>
      <w:r>
        <w:tab/>
        <w:t>Disclosure of information (Act s. 39(2)(d))</w:t>
      </w:r>
      <w:bookmarkEnd w:id="41"/>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in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30"/>
          <w:headerReference w:type="default" r:id="rId31"/>
          <w:headerReference w:type="first" r:id="rId32"/>
          <w:pgSz w:w="11907" w:h="16840" w:code="9"/>
          <w:pgMar w:top="2376" w:right="2405" w:bottom="3542" w:left="2405" w:header="706" w:footer="3380" w:gutter="0"/>
          <w:pgNumType w:start="1"/>
          <w:cols w:space="720"/>
          <w:noEndnote/>
          <w:titlePg/>
          <w:docGrid w:linePitch="326"/>
        </w:sectPr>
      </w:pPr>
    </w:p>
    <w:p>
      <w:pPr>
        <w:pStyle w:val="nHeading2"/>
      </w:pPr>
      <w:bookmarkStart w:id="42" w:name="_Toc493167175"/>
      <w:bookmarkStart w:id="43" w:name="_Toc493167349"/>
      <w:bookmarkStart w:id="44" w:name="_Toc493233478"/>
      <w:r>
        <w:t>Notes</w:t>
      </w:r>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45" w:name="_Toc493233479"/>
      <w:r>
        <w:t>Compilation table</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Regulations other than r. 1 and 2: 3 Jun 2015 (see r. 2(b))</w:t>
            </w:r>
          </w:p>
        </w:tc>
      </w:tr>
      <w:tr>
        <w:tc>
          <w:tcPr>
            <w:tcW w:w="3119" w:type="dxa"/>
          </w:tcPr>
          <w:p>
            <w:pPr>
              <w:pStyle w:val="nTable"/>
              <w:keepNext/>
              <w:spacing w:after="40"/>
              <w:rPr>
                <w:i/>
              </w:rPr>
            </w:pPr>
            <w:r>
              <w:rPr>
                <w:i/>
              </w:rPr>
              <w:t>Fire and Emergency Services Amendment Regulations 2017</w:t>
            </w:r>
          </w:p>
        </w:tc>
        <w:tc>
          <w:tcPr>
            <w:tcW w:w="1276" w:type="dxa"/>
          </w:tcPr>
          <w:p>
            <w:pPr>
              <w:pStyle w:val="nTable"/>
              <w:keepNext/>
              <w:spacing w:after="40"/>
            </w:pPr>
            <w:r>
              <w:t>8 Sep 2017 p. 4695</w:t>
            </w:r>
            <w:r>
              <w:noBreakHyphen/>
              <w:t>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8 Sep 2017 (see r. 2(a));</w:t>
            </w:r>
            <w:r>
              <w:rPr>
                <w:rFonts w:ascii="Times" w:hAnsi="Times"/>
                <w:bCs/>
                <w:snapToGrid w:val="0"/>
                <w:spacing w:val="-2"/>
              </w:rPr>
              <w:br/>
              <w:t>Regulations other than r. 1 and 2: 9 Sep 2017 (see r. 2(b))</w:t>
            </w:r>
          </w:p>
        </w:tc>
      </w:tr>
      <w:tr>
        <w:tc>
          <w:tcPr>
            <w:tcW w:w="3119" w:type="dxa"/>
            <w:tcBorders>
              <w:bottom w:val="single" w:sz="4" w:space="0" w:color="auto"/>
            </w:tcBorders>
          </w:tcPr>
          <w:p>
            <w:pPr>
              <w:pStyle w:val="nTable"/>
              <w:keepNext/>
              <w:spacing w:after="40"/>
            </w:pPr>
            <w:r>
              <w:rPr>
                <w:i/>
              </w:rPr>
              <w:t>Fire and Emergency Services Amendment Regulations (No. 2) 2017</w:t>
            </w:r>
          </w:p>
        </w:tc>
        <w:tc>
          <w:tcPr>
            <w:tcW w:w="1276" w:type="dxa"/>
            <w:tcBorders>
              <w:bottom w:val="single" w:sz="4" w:space="0" w:color="auto"/>
            </w:tcBorders>
          </w:tcPr>
          <w:p>
            <w:pPr>
              <w:pStyle w:val="nTable"/>
              <w:keepNext/>
              <w:spacing w:after="40"/>
            </w:pPr>
            <w:r>
              <w:t>15 Sep 2017 p. 4792</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 xml:space="preserve">16 Sep 2017 (see r. 2 and </w:t>
            </w:r>
            <w:r>
              <w:rPr>
                <w:rFonts w:ascii="Times" w:hAnsi="Times"/>
                <w:bCs/>
                <w:i/>
                <w:snapToGrid w:val="0"/>
                <w:spacing w:val="-2"/>
              </w:rPr>
              <w:t>Gazette</w:t>
            </w:r>
            <w:r>
              <w:rPr>
                <w:rFonts w:ascii="Times" w:hAnsi="Times"/>
                <w:bCs/>
                <w:snapToGrid w:val="0"/>
                <w:spacing w:val="-2"/>
              </w:rPr>
              <w:t xml:space="preserve"> 15 Sep 2017 p. 4791)</w:t>
            </w:r>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47" w:name="_Toc493167177"/>
      <w:bookmarkStart w:id="48" w:name="_Toc493167351"/>
      <w:bookmarkStart w:id="49" w:name="_Toc493233480"/>
      <w:r>
        <w:rPr>
          <w:sz w:val="28"/>
        </w:rPr>
        <w:t>Defined terms</w:t>
      </w:r>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bush fire brigade</w:t>
      </w:r>
      <w:r>
        <w:tab/>
        <w:t>6(7)</w:t>
      </w:r>
    </w:p>
    <w:p>
      <w:pPr>
        <w:pStyle w:val="DefinedTerms"/>
      </w:pPr>
      <w:r>
        <w:t>contaminated</w:t>
      </w:r>
      <w:r>
        <w:tab/>
        <w:t>5(2)</w:t>
      </w:r>
    </w:p>
    <w:p>
      <w:pPr>
        <w:pStyle w:val="DefinedTerms"/>
      </w:pPr>
      <w:r>
        <w:t>permanent fire brigade</w:t>
      </w:r>
      <w:r>
        <w:tab/>
        <w:t>6(7)</w:t>
      </w:r>
    </w:p>
    <w:p>
      <w:pPr>
        <w:pStyle w:val="DefinedTerms"/>
      </w:pPr>
      <w:r>
        <w:t>private fire brigade</w:t>
      </w:r>
      <w:r>
        <w:tab/>
        <w:t>6(7)</w:t>
      </w:r>
    </w:p>
    <w:p>
      <w:pPr>
        <w:pStyle w:val="DefinedTerms"/>
      </w:pPr>
      <w:r>
        <w:t>volunteer fire brigade</w:t>
      </w:r>
      <w:r>
        <w:tab/>
        <w:t>6(7)</w:t>
      </w:r>
    </w:p>
    <w:p>
      <w:pPr>
        <w:pStyle w:val="DefinedTerms"/>
      </w:pPr>
      <w:r>
        <w:t>Western Australian Municipal Association</w:t>
      </w:r>
      <w:r>
        <w:tab/>
        <w:t>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lvlText w:val="%1."/>
      <w:lvlJc w:val="left"/>
      <w:pPr>
        <w:tabs>
          <w:tab w:val="num" w:pos="1492"/>
        </w:tabs>
        <w:ind w:left="1492" w:hanging="360"/>
      </w:pPr>
    </w:lvl>
  </w:abstractNum>
  <w:abstractNum w:abstractNumId="1">
    <w:nsid w:val="FFFFFF7D"/>
    <w:multiLevelType w:val="singleLevel"/>
    <w:tmpl w:val="62D86704"/>
    <w:lvl w:ilvl="0">
      <w:start w:val="1"/>
      <w:numFmt w:val="decimal"/>
      <w:lvlText w:val="%1."/>
      <w:lvlJc w:val="left"/>
      <w:pPr>
        <w:tabs>
          <w:tab w:val="num" w:pos="1209"/>
        </w:tabs>
        <w:ind w:left="1209" w:hanging="360"/>
      </w:pPr>
    </w:lvl>
  </w:abstractNum>
  <w:abstractNum w:abstractNumId="2">
    <w:nsid w:val="FFFFFF7E"/>
    <w:multiLevelType w:val="singleLevel"/>
    <w:tmpl w:val="133EB76C"/>
    <w:lvl w:ilvl="0">
      <w:start w:val="1"/>
      <w:numFmt w:val="decimal"/>
      <w:lvlText w:val="%1."/>
      <w:lvlJc w:val="left"/>
      <w:pPr>
        <w:tabs>
          <w:tab w:val="num" w:pos="926"/>
        </w:tabs>
        <w:ind w:left="926" w:hanging="360"/>
      </w:pPr>
    </w:lvl>
  </w:abstractNum>
  <w:abstractNum w:abstractNumId="3">
    <w:nsid w:val="FFFFFF7F"/>
    <w:multiLevelType w:val="singleLevel"/>
    <w:tmpl w:val="F138826E"/>
    <w:lvl w:ilvl="0">
      <w:start w:val="1"/>
      <w:numFmt w:val="decimal"/>
      <w:lvlText w:val="%1."/>
      <w:lvlJc w:val="left"/>
      <w:pPr>
        <w:tabs>
          <w:tab w:val="num" w:pos="643"/>
        </w:tabs>
        <w:ind w:left="643" w:hanging="360"/>
      </w:pPr>
    </w:lvl>
  </w:abstractNum>
  <w:abstractNum w:abstractNumId="4">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lvlText w:val="%1."/>
      <w:lvlJc w:val="left"/>
      <w:pPr>
        <w:tabs>
          <w:tab w:val="num" w:pos="360"/>
        </w:tabs>
        <w:ind w:left="360" w:hanging="360"/>
      </w:pPr>
    </w:lvl>
  </w:abstractNum>
  <w:abstractNum w:abstractNumId="9">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52002"/>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4254</Words>
  <Characters>20167</Characters>
  <Application>Microsoft Office Word</Application>
  <DocSecurity>0</DocSecurity>
  <Lines>630</Lines>
  <Paragraphs>387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1998 - 02-f0-00</dc:title>
  <dc:subject/>
  <dc:creator/>
  <cp:keywords/>
  <dc:description/>
  <cp:lastModifiedBy>svcMRProcess</cp:lastModifiedBy>
  <cp:revision>4</cp:revision>
  <cp:lastPrinted>2012-12-11T00:02:00Z</cp:lastPrinted>
  <dcterms:created xsi:type="dcterms:W3CDTF">2017-09-15T03:54:00Z</dcterms:created>
  <dcterms:modified xsi:type="dcterms:W3CDTF">2017-09-15T03:54:00Z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No">
    <vt:lpwstr>2</vt:lpwstr>
  </property>
  <property fmtid="{D5CDD505-2E9C-101B-9397-08002B2CF9AE}" pid="6" name="ReprintedAsAt">
    <vt:filetime>2012-12-06T16:00:00Z</vt:filetime>
  </property>
  <property fmtid="{D5CDD505-2E9C-101B-9397-08002B2CF9AE}" pid="7" name="AsAtDate">
    <vt:lpwstr>16 Sep 2017</vt:lpwstr>
  </property>
  <property fmtid="{D5CDD505-2E9C-101B-9397-08002B2CF9AE}" pid="8" name="Suffix">
    <vt:lpwstr>02-f0-00</vt:lpwstr>
  </property>
  <property fmtid="{D5CDD505-2E9C-101B-9397-08002B2CF9AE}" pid="9" name="CommencementDate">
    <vt:lpwstr>20170916</vt:lpwstr>
  </property>
</Properties>
</file>