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Human Reproductive Technology Act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_Toc493604494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_Toc493604495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and application</w:t>
      </w:r>
      <w:r>
        <w:tab/>
      </w:r>
      <w:r>
        <w:fldChar w:fldCharType="begin"/>
      </w:r>
      <w:r>
        <w:instrText xml:space="preserve"> PAGEREF _Toc493604496 \h </w:instrText>
      </w:r>
      <w:r>
        <w:fldChar w:fldCharType="separate"/>
      </w:r>
      <w:r>
        <w:t>3</w:t>
      </w:r>
      <w:r>
        <w:fldChar w:fldCharType="end"/>
      </w:r>
    </w:p>
    <w:p>
      <w:pPr>
        <w:pStyle w:val="TOC8"/>
        <w:rPr>
          <w:rFonts w:asciiTheme="minorHAnsi" w:eastAsiaTheme="minorEastAsia" w:hAnsiTheme="minorHAnsi" w:cstheme="minorBidi"/>
          <w:szCs w:val="22"/>
        </w:rPr>
      </w:pPr>
      <w:r>
        <w:t>3A.</w:t>
      </w:r>
      <w:r>
        <w:tab/>
        <w:t>Term used: human embryo</w:t>
      </w:r>
      <w:r>
        <w:tab/>
      </w:r>
      <w:r>
        <w:fldChar w:fldCharType="begin"/>
      </w:r>
      <w:r>
        <w:instrText xml:space="preserve"> PAGEREF _Toc493604497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 of this Act</w:t>
      </w:r>
      <w:r>
        <w:tab/>
      </w:r>
      <w:r>
        <w:fldChar w:fldCharType="begin"/>
      </w:r>
      <w:r>
        <w:instrText xml:space="preserve"> PAGEREF _Toc493604498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 of this Act</w:t>
      </w:r>
      <w:r>
        <w:tab/>
      </w:r>
      <w:r>
        <w:fldChar w:fldCharType="begin"/>
      </w:r>
      <w:r>
        <w:instrText xml:space="preserve"> PAGEREF _Toc493604499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Specific offences</w:t>
      </w:r>
    </w:p>
    <w:p>
      <w:pPr>
        <w:pStyle w:val="TOC8"/>
        <w:rPr>
          <w:rFonts w:asciiTheme="minorHAnsi" w:eastAsiaTheme="minorEastAsia" w:hAnsiTheme="minorHAnsi" w:cstheme="minorBidi"/>
          <w:szCs w:val="22"/>
        </w:rPr>
      </w:pPr>
      <w:r>
        <w:t>5A.</w:t>
      </w:r>
      <w:r>
        <w:tab/>
        <w:t>Application</w:t>
      </w:r>
      <w:r>
        <w:tab/>
      </w:r>
      <w:r>
        <w:fldChar w:fldCharType="begin"/>
      </w:r>
      <w:r>
        <w:instrText xml:space="preserve"> PAGEREF _Toc493604501 \h </w:instrText>
      </w:r>
      <w:r>
        <w:fldChar w:fldCharType="separate"/>
      </w:r>
      <w:r>
        <w:t>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Unlicensed practices</w:t>
      </w:r>
      <w:r>
        <w:tab/>
      </w:r>
      <w:r>
        <w:fldChar w:fldCharType="begin"/>
      </w:r>
      <w:r>
        <w:instrText xml:space="preserve"> PAGEREF _Toc493604502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relating to reproductive technology</w:t>
      </w:r>
      <w:r>
        <w:tab/>
      </w:r>
      <w:r>
        <w:fldChar w:fldCharType="begin"/>
      </w:r>
      <w:r>
        <w:instrText xml:space="preserve"> PAGEREF _Toc493604503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The Council</w:t>
      </w:r>
    </w:p>
    <w:p>
      <w:pPr>
        <w:pStyle w:val="TOC8"/>
        <w:rPr>
          <w:rFonts w:asciiTheme="minorHAnsi" w:eastAsiaTheme="minorEastAsia" w:hAnsiTheme="minorHAnsi" w:cstheme="minorBidi"/>
          <w:szCs w:val="22"/>
        </w:rPr>
      </w:pPr>
      <w:r>
        <w:t>8</w:t>
      </w:r>
      <w:r>
        <w:rPr>
          <w:snapToGrid w:val="0"/>
        </w:rPr>
        <w:t>.</w:t>
      </w:r>
      <w:r>
        <w:rPr>
          <w:snapToGrid w:val="0"/>
        </w:rPr>
        <w:tab/>
        <w:t>Establishment of Council</w:t>
      </w:r>
      <w:r>
        <w:tab/>
      </w:r>
      <w:r>
        <w:fldChar w:fldCharType="begin"/>
      </w:r>
      <w:r>
        <w:instrText xml:space="preserve"> PAGEREF _Toc493604505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Nominations, and recommendations, for membership</w:t>
      </w:r>
      <w:r>
        <w:tab/>
      </w:r>
      <w:r>
        <w:fldChar w:fldCharType="begin"/>
      </w:r>
      <w:r>
        <w:instrText xml:space="preserve"> PAGEREF _Toc493604506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Committees</w:t>
      </w:r>
      <w:r>
        <w:tab/>
      </w:r>
      <w:r>
        <w:fldChar w:fldCharType="begin"/>
      </w:r>
      <w:r>
        <w:instrText xml:space="preserve"> PAGEREF _Toc493604507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Delegation by Council</w:t>
      </w:r>
      <w:r>
        <w:tab/>
      </w:r>
      <w:r>
        <w:fldChar w:fldCharType="begin"/>
      </w:r>
      <w:r>
        <w:instrText xml:space="preserve"> PAGEREF _Toc493604508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Relationship of Council to Minister</w:t>
      </w:r>
      <w:r>
        <w:tab/>
      </w:r>
      <w:r>
        <w:fldChar w:fldCharType="begin"/>
      </w:r>
      <w:r>
        <w:instrText xml:space="preserve"> PAGEREF _Toc493604509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Powers, and relationship to Council, of </w:t>
      </w:r>
      <w:r>
        <w:t>CEO</w:t>
      </w:r>
      <w:r>
        <w:tab/>
      </w:r>
      <w:r>
        <w:fldChar w:fldCharType="begin"/>
      </w:r>
      <w:r>
        <w:instrText xml:space="preserve"> PAGEREF _Toc493604510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Council</w:t>
      </w:r>
      <w:r>
        <w:tab/>
      </w:r>
      <w:r>
        <w:fldChar w:fldCharType="begin"/>
      </w:r>
      <w:r>
        <w:instrText xml:space="preserve"> PAGEREF _Toc493604511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 — The Code of Practice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Compilation of the Code</w:t>
      </w:r>
    </w:p>
    <w:p>
      <w:pPr>
        <w:pStyle w:val="TOC8"/>
        <w:rPr>
          <w:rFonts w:asciiTheme="minorHAnsi" w:eastAsiaTheme="minorEastAsia" w:hAnsiTheme="minorHAnsi" w:cstheme="minorBidi"/>
          <w:szCs w:val="22"/>
        </w:rPr>
      </w:pPr>
      <w:r>
        <w:t>15</w:t>
      </w:r>
      <w:r>
        <w:rPr>
          <w:snapToGrid w:val="0"/>
        </w:rPr>
        <w:t>.</w:t>
      </w:r>
      <w:r>
        <w:rPr>
          <w:snapToGrid w:val="0"/>
        </w:rPr>
        <w:tab/>
        <w:t>Concept of Code of Practice</w:t>
      </w:r>
      <w:r>
        <w:tab/>
      </w:r>
      <w:r>
        <w:fldChar w:fldCharType="begin"/>
      </w:r>
      <w:r>
        <w:instrText xml:space="preserve"> PAGEREF _Toc493604514 \h </w:instrText>
      </w:r>
      <w:r>
        <w:fldChar w:fldCharType="separate"/>
      </w:r>
      <w:r>
        <w:t>32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Implementation of Code of Practice</w:t>
      </w:r>
      <w:r>
        <w:tab/>
      </w:r>
      <w:r>
        <w:fldChar w:fldCharType="begin"/>
      </w:r>
      <w:r>
        <w:instrText xml:space="preserve"> PAGEREF _Toc493604515 \h </w:instrText>
      </w:r>
      <w:r>
        <w:fldChar w:fldCharType="separate"/>
      </w:r>
      <w:r>
        <w:t>34</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Matters which shall be dealt with in Code</w:t>
      </w:r>
      <w:r>
        <w:tab/>
      </w:r>
      <w:r>
        <w:fldChar w:fldCharType="begin"/>
      </w:r>
      <w:r>
        <w:instrText xml:space="preserve"> PAGEREF _Toc493604516 \h </w:instrText>
      </w:r>
      <w:r>
        <w:fldChar w:fldCharType="separate"/>
      </w:r>
      <w:r>
        <w:t>36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which may be dealt with in Code</w:t>
      </w:r>
      <w:r>
        <w:tab/>
      </w:r>
      <w:r>
        <w:fldChar w:fldCharType="begin"/>
      </w:r>
      <w:r>
        <w:instrText xml:space="preserve"> PAGEREF _Toc493604517 \h </w:instrText>
      </w:r>
      <w:r>
        <w:fldChar w:fldCharType="separate"/>
      </w:r>
      <w:r>
        <w:t>36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Principles to be embodied in Code</w:t>
      </w:r>
      <w:r>
        <w:tab/>
      </w:r>
      <w:r>
        <w:fldChar w:fldCharType="begin"/>
      </w:r>
      <w:r>
        <w:instrText xml:space="preserve"> PAGEREF _Toc493604518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Principles applicable to projects of research</w:t>
      </w:r>
      <w:r>
        <w:tab/>
      </w:r>
      <w:r>
        <w:fldChar w:fldCharType="begin"/>
      </w:r>
      <w:r>
        <w:instrText xml:space="preserve"> PAGEREF _Toc493604519 \h </w:instrText>
      </w:r>
      <w:r>
        <w:fldChar w:fldCharType="separate"/>
      </w:r>
      <w:r>
        <w:t>39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Code and directions, generally</w:t>
      </w:r>
      <w:r>
        <w:tab/>
      </w:r>
      <w:r>
        <w:fldChar w:fldCharType="begin"/>
      </w:r>
      <w:r>
        <w:instrText xml:space="preserve"> PAGEREF _Toc493604520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Consents</w:t>
      </w:r>
    </w:p>
    <w:p>
      <w:pPr>
        <w:pStyle w:val="TOC8"/>
        <w:rPr>
          <w:rFonts w:asciiTheme="minorHAnsi" w:eastAsiaTheme="minorEastAsia" w:hAnsiTheme="minorHAnsi" w:cstheme="minorBidi"/>
          <w:szCs w:val="22"/>
        </w:rPr>
      </w:pPr>
      <w:r>
        <w:t>22</w:t>
      </w:r>
      <w:r>
        <w:rPr>
          <w:snapToGrid w:val="0"/>
        </w:rPr>
        <w:t>.</w:t>
      </w:r>
      <w:r>
        <w:rPr>
          <w:snapToGrid w:val="0"/>
        </w:rPr>
        <w:tab/>
        <w:t>Consents, generally</w:t>
      </w:r>
      <w:r>
        <w:tab/>
      </w:r>
      <w:r>
        <w:fldChar w:fldCharType="begin"/>
      </w:r>
      <w:r>
        <w:instrText xml:space="preserve"> PAGEREF _Toc493604522 \h </w:instrText>
      </w:r>
      <w:r>
        <w:fldChar w:fldCharType="separate"/>
      </w:r>
      <w:r>
        <w:t>42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When procedures may be carried out</w:t>
      </w:r>
      <w:r>
        <w:tab/>
      </w:r>
      <w:r>
        <w:fldChar w:fldCharType="begin"/>
      </w:r>
      <w:r>
        <w:instrText xml:space="preserve"> PAGEREF _Toc493604523 \h </w:instrText>
      </w:r>
      <w:r>
        <w:fldChar w:fldCharType="separate"/>
      </w:r>
      <w:r>
        <w:t>46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Storage</w:t>
      </w:r>
      <w:r>
        <w:tab/>
      </w:r>
      <w:r>
        <w:fldChar w:fldCharType="begin"/>
      </w:r>
      <w:r>
        <w:instrText xml:space="preserve"> PAGEREF _Toc493604524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Rights of control, etc.</w:t>
      </w:r>
    </w:p>
    <w:p>
      <w:pPr>
        <w:pStyle w:val="TOC8"/>
        <w:rPr>
          <w:rFonts w:asciiTheme="minorHAnsi" w:eastAsiaTheme="minorEastAsia" w:hAnsiTheme="minorHAnsi" w:cstheme="minorBidi"/>
          <w:szCs w:val="22"/>
        </w:rPr>
      </w:pPr>
      <w:r>
        <w:t>25</w:t>
      </w:r>
      <w:r>
        <w:rPr>
          <w:snapToGrid w:val="0"/>
        </w:rPr>
        <w:t>.</w:t>
      </w:r>
      <w:r>
        <w:rPr>
          <w:snapToGrid w:val="0"/>
        </w:rPr>
        <w:tab/>
        <w:t>Rights in relation to gametes</w:t>
      </w:r>
      <w:r>
        <w:tab/>
      </w:r>
      <w:r>
        <w:fldChar w:fldCharType="begin"/>
      </w:r>
      <w:r>
        <w:instrText xml:space="preserve"> PAGEREF _Toc493604526 \h </w:instrText>
      </w:r>
      <w:r>
        <w:fldChar w:fldCharType="separate"/>
      </w:r>
      <w:r>
        <w:t>49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Control, dealing and disposal in relation to an egg in process of fertilisation or an embryo</w:t>
      </w:r>
      <w:r>
        <w:tab/>
      </w:r>
      <w:r>
        <w:fldChar w:fldCharType="begin"/>
      </w:r>
      <w:r>
        <w:instrText xml:space="preserve"> PAGEREF _Toc493604527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etc.</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Licensing</w:t>
      </w:r>
    </w:p>
    <w:p>
      <w:pPr>
        <w:pStyle w:val="TOC8"/>
        <w:rPr>
          <w:rFonts w:asciiTheme="minorHAnsi" w:eastAsiaTheme="minorEastAsia" w:hAnsiTheme="minorHAnsi" w:cstheme="minorBidi"/>
          <w:szCs w:val="22"/>
        </w:rPr>
      </w:pPr>
      <w:r>
        <w:t>27</w:t>
      </w:r>
      <w:r>
        <w:rPr>
          <w:snapToGrid w:val="0"/>
        </w:rPr>
        <w:t>.</w:t>
      </w:r>
      <w:r>
        <w:rPr>
          <w:snapToGrid w:val="0"/>
        </w:rPr>
        <w:tab/>
        <w:t>Licences, and person responsible</w:t>
      </w:r>
      <w:r>
        <w:tab/>
      </w:r>
      <w:r>
        <w:fldChar w:fldCharType="begin"/>
      </w:r>
      <w:r>
        <w:instrText xml:space="preserve"> PAGEREF _Toc493604530 \h </w:instrText>
      </w:r>
      <w:r>
        <w:fldChar w:fldCharType="separate"/>
      </w:r>
      <w:r>
        <w:t>53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Exemptions relating to artificial insemination</w:t>
      </w:r>
      <w:r>
        <w:tab/>
      </w:r>
      <w:r>
        <w:fldChar w:fldCharType="begin"/>
      </w:r>
      <w:r>
        <w:instrText xml:space="preserve"> PAGEREF _Toc493604531 \h </w:instrText>
      </w:r>
      <w:r>
        <w:fldChar w:fldCharType="separate"/>
      </w:r>
      <w:r>
        <w:t>55</w:t>
      </w:r>
      <w:r>
        <w:fldChar w:fldCharType="end"/>
      </w:r>
    </w:p>
    <w:p>
      <w:pPr>
        <w:pStyle w:val="TOC8"/>
        <w:rPr>
          <w:rFonts w:asciiTheme="minorHAnsi" w:eastAsiaTheme="minorEastAsia" w:hAnsiTheme="minorHAnsi" w:cstheme="minorBidi"/>
          <w:szCs w:val="22"/>
        </w:rPr>
      </w:pPr>
      <w:r>
        <w:t>28A.</w:t>
      </w:r>
      <w:r>
        <w:tab/>
        <w:t>Exemptions relating to storage of certain embryos</w:t>
      </w:r>
      <w:r>
        <w:tab/>
      </w:r>
      <w:r>
        <w:fldChar w:fldCharType="begin"/>
      </w:r>
      <w:r>
        <w:instrText xml:space="preserve"> PAGEREF _Toc493604532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Applications, generally</w:t>
      </w:r>
      <w:r>
        <w:tab/>
      </w:r>
      <w:r>
        <w:fldChar w:fldCharType="begin"/>
      </w:r>
      <w:r>
        <w:instrText xml:space="preserve"> PAGEREF _Toc493604533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Interim authorisations and transitional directions</w:t>
      </w:r>
      <w:r>
        <w:tab/>
      </w:r>
      <w:r>
        <w:fldChar w:fldCharType="begin"/>
      </w:r>
      <w:r>
        <w:instrText xml:space="preserve"> PAGEREF _Toc493604534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Directions and conditions</w:t>
      </w:r>
    </w:p>
    <w:p>
      <w:pPr>
        <w:pStyle w:val="TOC8"/>
        <w:rPr>
          <w:rFonts w:asciiTheme="minorHAnsi" w:eastAsiaTheme="minorEastAsia" w:hAnsiTheme="minorHAnsi" w:cstheme="minorBidi"/>
          <w:szCs w:val="22"/>
        </w:rPr>
      </w:pPr>
      <w:r>
        <w:t>31</w:t>
      </w:r>
      <w:r>
        <w:rPr>
          <w:snapToGrid w:val="0"/>
        </w:rPr>
        <w:t>.</w:t>
      </w:r>
      <w:r>
        <w:rPr>
          <w:snapToGrid w:val="0"/>
        </w:rPr>
        <w:tab/>
        <w:t>Directions, generally</w:t>
      </w:r>
      <w:r>
        <w:tab/>
      </w:r>
      <w:r>
        <w:fldChar w:fldCharType="begin"/>
      </w:r>
      <w:r>
        <w:instrText xml:space="preserve"> PAGEREF _Toc493604536 \h </w:instrText>
      </w:r>
      <w:r>
        <w:fldChar w:fldCharType="separate"/>
      </w:r>
      <w:r>
        <w:t>61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Terms, conditions and directions specifically applicable</w:t>
      </w:r>
      <w:r>
        <w:tab/>
      </w:r>
      <w:r>
        <w:fldChar w:fldCharType="begin"/>
      </w:r>
      <w:r>
        <w:instrText xml:space="preserve"> PAGEREF _Toc493604537 \h </w:instrText>
      </w:r>
      <w:r>
        <w:fldChar w:fldCharType="separate"/>
      </w:r>
      <w:r>
        <w:t>62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applicable to all licences and exemptions</w:t>
      </w:r>
      <w:r>
        <w:tab/>
      </w:r>
      <w:r>
        <w:fldChar w:fldCharType="begin"/>
      </w:r>
      <w:r>
        <w:instrText xml:space="preserve"> PAGEREF _Toc493604538 \h </w:instrText>
      </w:r>
      <w:r>
        <w:fldChar w:fldCharType="separate"/>
      </w:r>
      <w:r>
        <w:t>63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Contravention of condition or direction</w:t>
      </w:r>
      <w:r>
        <w:tab/>
      </w:r>
      <w:r>
        <w:fldChar w:fldCharType="begin"/>
      </w:r>
      <w:r>
        <w:instrText xml:space="preserve"> PAGEREF _Toc493604539 \h </w:instrText>
      </w:r>
      <w:r>
        <w:fldChar w:fldCharType="separate"/>
      </w:r>
      <w:r>
        <w:t>66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and coming into operation of directions and conditions</w:t>
      </w:r>
      <w:r>
        <w:tab/>
      </w:r>
      <w:r>
        <w:fldChar w:fldCharType="begin"/>
      </w:r>
      <w:r>
        <w:instrText xml:space="preserve"> PAGEREF _Toc493604540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Suspension or cancellation, and disciplinary action</w:t>
      </w:r>
    </w:p>
    <w:p>
      <w:pPr>
        <w:pStyle w:val="TOC8"/>
        <w:rPr>
          <w:rFonts w:asciiTheme="minorHAnsi" w:eastAsiaTheme="minorEastAsia" w:hAnsiTheme="minorHAnsi" w:cstheme="minorBidi"/>
          <w:szCs w:val="22"/>
        </w:rPr>
      </w:pPr>
      <w:r>
        <w:t>36</w:t>
      </w:r>
      <w:r>
        <w:rPr>
          <w:snapToGrid w:val="0"/>
        </w:rPr>
        <w:t>.</w:t>
      </w:r>
      <w:r>
        <w:rPr>
          <w:snapToGrid w:val="0"/>
        </w:rPr>
        <w:tab/>
        <w:t>Suspension or cancellation of licence or exemption, other than on disciplinary grounds</w:t>
      </w:r>
      <w:r>
        <w:tab/>
      </w:r>
      <w:r>
        <w:fldChar w:fldCharType="begin"/>
      </w:r>
      <w:r>
        <w:instrText xml:space="preserve"> PAGEREF _Toc493604542 \h </w:instrText>
      </w:r>
      <w:r>
        <w:fldChar w:fldCharType="separate"/>
      </w:r>
      <w:r>
        <w:t>67</w:t>
      </w:r>
      <w:r>
        <w:fldChar w:fldCharType="end"/>
      </w:r>
    </w:p>
    <w:p>
      <w:pPr>
        <w:pStyle w:val="TOC8"/>
        <w:rPr>
          <w:rFonts w:asciiTheme="minorHAnsi" w:eastAsiaTheme="minorEastAsia" w:hAnsiTheme="minorHAnsi" w:cstheme="minorBidi"/>
          <w:szCs w:val="22"/>
        </w:rPr>
      </w:pPr>
      <w:r>
        <w:t>36A.</w:t>
      </w:r>
      <w:r>
        <w:tab/>
      </w:r>
      <w:r>
        <w:rPr>
          <w:snapToGrid w:val="0"/>
        </w:rPr>
        <w:t>Referring to SAT a matter leading to section 36(2a) notice</w:t>
      </w:r>
      <w:r>
        <w:tab/>
      </w:r>
      <w:r>
        <w:fldChar w:fldCharType="begin"/>
      </w:r>
      <w:r>
        <w:instrText xml:space="preserve"> PAGEREF _Toc493604543 \h </w:instrText>
      </w:r>
      <w:r>
        <w:fldChar w:fldCharType="separate"/>
      </w:r>
      <w:r>
        <w:t>68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Summary determinations</w:t>
      </w:r>
      <w:r>
        <w:tab/>
      </w:r>
      <w:r>
        <w:fldChar w:fldCharType="begin"/>
      </w:r>
      <w:r>
        <w:instrText xml:space="preserve"> PAGEREF _Toc493604544 \h </w:instrText>
      </w:r>
      <w:r>
        <w:fldChar w:fldCharType="separate"/>
      </w:r>
      <w:r>
        <w:t>69</w:t>
      </w:r>
      <w:r>
        <w:fldChar w:fldCharType="end"/>
      </w:r>
    </w:p>
    <w:p>
      <w:pPr>
        <w:pStyle w:val="TOC8"/>
        <w:rPr>
          <w:rFonts w:asciiTheme="minorHAnsi" w:eastAsiaTheme="minorEastAsia" w:hAnsiTheme="minorHAnsi" w:cstheme="minorBidi"/>
          <w:szCs w:val="22"/>
        </w:rPr>
      </w:pPr>
      <w:r>
        <w:t>38.</w:t>
      </w:r>
      <w:r>
        <w:tab/>
        <w:t>Disciplinary action</w:t>
      </w:r>
      <w:r>
        <w:tab/>
      </w:r>
      <w:r>
        <w:fldChar w:fldCharType="begin"/>
      </w:r>
      <w:r>
        <w:instrText xml:space="preserve"> PAGEREF _Toc493604545 \h </w:instrText>
      </w:r>
      <w:r>
        <w:fldChar w:fldCharType="separate"/>
      </w:r>
      <w:r>
        <w:t>70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Matters that may be subject of disciplinary action</w:t>
      </w:r>
      <w:r>
        <w:tab/>
      </w:r>
      <w:r>
        <w:fldChar w:fldCharType="begin"/>
      </w:r>
      <w:r>
        <w:instrText xml:space="preserve"> PAGEREF _Toc493604546 \h </w:instrText>
      </w:r>
      <w:r>
        <w:fldChar w:fldCharType="separate"/>
      </w:r>
      <w:r>
        <w:t>70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_Toc493604547 \h </w:instrText>
      </w:r>
      <w:r>
        <w:fldChar w:fldCharType="separate"/>
      </w:r>
      <w:r>
        <w:t>72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Effect on pending procedures</w:t>
      </w:r>
      <w:r>
        <w:tab/>
      </w:r>
      <w:r>
        <w:fldChar w:fldCharType="begin"/>
      </w:r>
      <w:r>
        <w:instrText xml:space="preserve"> PAGEREF _Toc493604548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State Administrative Tribunal powers</w:t>
      </w:r>
    </w:p>
    <w:p>
      <w:pPr>
        <w:pStyle w:val="TOC8"/>
        <w:rPr>
          <w:rFonts w:asciiTheme="minorHAnsi" w:eastAsiaTheme="minorEastAsia" w:hAnsiTheme="minorHAnsi" w:cstheme="minorBidi"/>
          <w:szCs w:val="22"/>
        </w:rPr>
      </w:pPr>
      <w:r>
        <w:t>42</w:t>
      </w:r>
      <w:r>
        <w:rPr>
          <w:snapToGrid w:val="0"/>
        </w:rPr>
        <w:t>.</w:t>
      </w:r>
      <w:r>
        <w:rPr>
          <w:snapToGrid w:val="0"/>
        </w:rPr>
        <w:tab/>
        <w:t>Reviews</w:t>
      </w:r>
      <w:r>
        <w:tab/>
      </w:r>
      <w:r>
        <w:fldChar w:fldCharType="begin"/>
      </w:r>
      <w:r>
        <w:instrText xml:space="preserve"> PAGEREF _Toc493604550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Restraint of continuing contravention</w:t>
      </w:r>
      <w:r>
        <w:tab/>
      </w:r>
      <w:r>
        <w:fldChar w:fldCharType="begin"/>
      </w:r>
      <w:r>
        <w:instrText xml:space="preserve"> PAGEREF _Toc493604551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Information</w:t>
      </w:r>
    </w:p>
    <w:p>
      <w:pPr>
        <w:pStyle w:val="TOC8"/>
        <w:rPr>
          <w:rFonts w:asciiTheme="minorHAnsi" w:eastAsiaTheme="minorEastAsia" w:hAnsiTheme="minorHAnsi" w:cstheme="minorBidi"/>
          <w:szCs w:val="22"/>
        </w:rPr>
      </w:pPr>
      <w:r>
        <w:t>44</w:t>
      </w:r>
      <w:r>
        <w:rPr>
          <w:snapToGrid w:val="0"/>
        </w:rPr>
        <w:t>.</w:t>
      </w:r>
      <w:r>
        <w:rPr>
          <w:snapToGrid w:val="0"/>
        </w:rPr>
        <w:tab/>
        <w:t>Records of procedures</w:t>
      </w:r>
      <w:r>
        <w:tab/>
      </w:r>
      <w:r>
        <w:fldChar w:fldCharType="begin"/>
      </w:r>
      <w:r>
        <w:instrText xml:space="preserve"> PAGEREF _Toc493604553 \h </w:instrText>
      </w:r>
      <w:r>
        <w:fldChar w:fldCharType="separate"/>
      </w:r>
      <w:r>
        <w:t>78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Registers of identity</w:t>
      </w:r>
      <w:r>
        <w:tab/>
      </w:r>
      <w:r>
        <w:fldChar w:fldCharType="begin"/>
      </w:r>
      <w:r>
        <w:instrText xml:space="preserve"> PAGEREF _Toc493604554 \h </w:instrText>
      </w:r>
      <w:r>
        <w:fldChar w:fldCharType="separate"/>
      </w:r>
      <w:r>
        <w:t>81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Access to information</w:t>
      </w:r>
      <w:r>
        <w:tab/>
      </w:r>
      <w:r>
        <w:fldChar w:fldCharType="begin"/>
      </w:r>
      <w:r>
        <w:instrText xml:space="preserve"> PAGEREF _Toc493604555 \h </w:instrText>
      </w:r>
      <w:r>
        <w:fldChar w:fldCharType="separate"/>
      </w:r>
      <w:r>
        <w:t>82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Annual returns etc.</w:t>
      </w:r>
      <w:r>
        <w:tab/>
      </w:r>
      <w:r>
        <w:fldChar w:fldCharType="begin"/>
      </w:r>
      <w:r>
        <w:instrText xml:space="preserve"> PAGEREF _Toc493604556 \h </w:instrText>
      </w:r>
      <w:r>
        <w:fldChar w:fldCharType="separate"/>
      </w:r>
      <w:r>
        <w:t>83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Exchange of information</w:t>
      </w:r>
      <w:r>
        <w:tab/>
      </w:r>
      <w:r>
        <w:fldChar w:fldCharType="begin"/>
      </w:r>
      <w:r>
        <w:instrText xml:space="preserve"> PAGEREF _Toc493604557 \h </w:instrText>
      </w:r>
      <w:r>
        <w:fldChar w:fldCharType="separate"/>
      </w:r>
      <w:r>
        <w:t>84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Confidentiality</w:t>
      </w:r>
      <w:r>
        <w:tab/>
      </w:r>
      <w:r>
        <w:fldChar w:fldCharType="begin"/>
      </w:r>
      <w:r>
        <w:instrText xml:space="preserve"> PAGEREF _Toc493604558 \h </w:instrText>
      </w:r>
      <w:r>
        <w:fldChar w:fldCharType="separate"/>
      </w:r>
      <w:r>
        <w:t>84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False or misleading statements and records</w:t>
      </w:r>
      <w:r>
        <w:tab/>
      </w:r>
      <w:r>
        <w:fldChar w:fldCharType="begin"/>
      </w:r>
      <w:r>
        <w:instrText xml:space="preserve"> PAGEREF _Toc493604559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Supervision, etc.</w:t>
      </w:r>
    </w:p>
    <w:p>
      <w:pPr>
        <w:pStyle w:val="TOC8"/>
        <w:rPr>
          <w:rFonts w:asciiTheme="minorHAnsi" w:eastAsiaTheme="minorEastAsia" w:hAnsiTheme="minorHAnsi" w:cstheme="minorBidi"/>
          <w:szCs w:val="22"/>
        </w:rPr>
      </w:pPr>
      <w:r>
        <w:t>51</w:t>
      </w:r>
      <w:r>
        <w:rPr>
          <w:snapToGrid w:val="0"/>
        </w:rPr>
        <w:t>.</w:t>
      </w:r>
      <w:r>
        <w:rPr>
          <w:snapToGrid w:val="0"/>
        </w:rPr>
        <w:tab/>
        <w:t>Supervision</w:t>
      </w:r>
      <w:r>
        <w:tab/>
      </w:r>
      <w:r>
        <w:fldChar w:fldCharType="begin"/>
      </w:r>
      <w:r>
        <w:instrText xml:space="preserve"> PAGEREF _Toc493604561 \h </w:instrText>
      </w:r>
      <w:r>
        <w:fldChar w:fldCharType="separate"/>
      </w:r>
      <w:r>
        <w:t>88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Licensee liable for act of employee etc.</w:t>
      </w:r>
      <w:r>
        <w:tab/>
      </w:r>
      <w:r>
        <w:fldChar w:fldCharType="begin"/>
      </w:r>
      <w:r>
        <w:instrText xml:space="preserve"> PAGEREF _Toc493604562 \h </w:instrText>
      </w:r>
      <w:r>
        <w:fldChar w:fldCharType="separate"/>
      </w:r>
      <w:r>
        <w:t>90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by bodies corporate and partnerships</w:t>
      </w:r>
      <w:r>
        <w:tab/>
      </w:r>
      <w:r>
        <w:fldChar w:fldCharType="begin"/>
      </w:r>
      <w:r>
        <w:instrText xml:space="preserve"> PAGEREF _Toc493604563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4A — Prohibited practices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53A.</w:t>
      </w:r>
      <w:r>
        <w:tab/>
        <w:t>Object of this Part</w:t>
      </w:r>
      <w:r>
        <w:tab/>
      </w:r>
      <w:r>
        <w:fldChar w:fldCharType="begin"/>
      </w:r>
      <w:r>
        <w:instrText xml:space="preserve"> PAGEREF _Toc493604566 \h </w:instrText>
      </w:r>
      <w:r>
        <w:fldChar w:fldCharType="separate"/>
      </w:r>
      <w:r>
        <w:t>93</w:t>
      </w:r>
      <w:r>
        <w:fldChar w:fldCharType="end"/>
      </w:r>
    </w:p>
    <w:p>
      <w:pPr>
        <w:pStyle w:val="TOC8"/>
        <w:rPr>
          <w:rFonts w:asciiTheme="minorHAnsi" w:eastAsiaTheme="minorEastAsia" w:hAnsiTheme="minorHAnsi" w:cstheme="minorBidi"/>
          <w:szCs w:val="22"/>
        </w:rPr>
      </w:pPr>
      <w:r>
        <w:t>53B</w:t>
      </w:r>
      <w:r>
        <w:rPr>
          <w:snapToGrid w:val="0"/>
        </w:rPr>
        <w:t>.</w:t>
      </w:r>
      <w:r>
        <w:rPr>
          <w:snapToGrid w:val="0"/>
        </w:rPr>
        <w:tab/>
        <w:t>Terms used</w:t>
      </w:r>
      <w:r>
        <w:tab/>
      </w:r>
      <w:r>
        <w:fldChar w:fldCharType="begin"/>
      </w:r>
      <w:r>
        <w:instrText xml:space="preserve"> PAGEREF _Toc493604567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Human cloning</w:t>
      </w:r>
    </w:p>
    <w:p>
      <w:pPr>
        <w:pStyle w:val="TOC8"/>
        <w:rPr>
          <w:rFonts w:asciiTheme="minorHAnsi" w:eastAsiaTheme="minorEastAsia" w:hAnsiTheme="minorHAnsi" w:cstheme="minorBidi"/>
          <w:szCs w:val="22"/>
        </w:rPr>
      </w:pPr>
      <w:r>
        <w:t>53C</w:t>
      </w:r>
      <w:r>
        <w:rPr>
          <w:snapToGrid w:val="0"/>
        </w:rPr>
        <w:t>.</w:t>
      </w:r>
      <w:r>
        <w:rPr>
          <w:iCs/>
          <w:snapToGrid w:val="0"/>
        </w:rPr>
        <w:tab/>
      </w:r>
      <w:r>
        <w:rPr>
          <w:snapToGrid w:val="0"/>
        </w:rPr>
        <w:t>Offence — creating human embryo clone</w:t>
      </w:r>
      <w:r>
        <w:tab/>
      </w:r>
      <w:r>
        <w:fldChar w:fldCharType="begin"/>
      </w:r>
      <w:r>
        <w:instrText xml:space="preserve"> PAGEREF _Toc493604569 \h </w:instrText>
      </w:r>
      <w:r>
        <w:fldChar w:fldCharType="separate"/>
      </w:r>
      <w:r>
        <w:t>95</w:t>
      </w:r>
      <w:r>
        <w:fldChar w:fldCharType="end"/>
      </w:r>
    </w:p>
    <w:p>
      <w:pPr>
        <w:pStyle w:val="TOC8"/>
        <w:rPr>
          <w:rFonts w:asciiTheme="minorHAnsi" w:eastAsiaTheme="minorEastAsia" w:hAnsiTheme="minorHAnsi" w:cstheme="minorBidi"/>
          <w:szCs w:val="22"/>
        </w:rPr>
      </w:pPr>
      <w:r>
        <w:t>53D</w:t>
      </w:r>
      <w:r>
        <w:rPr>
          <w:snapToGrid w:val="0"/>
        </w:rPr>
        <w:t>.</w:t>
      </w:r>
      <w:r>
        <w:rPr>
          <w:snapToGrid w:val="0"/>
        </w:rPr>
        <w:tab/>
        <w:t>Offence — placing human embryo clone in human body or body of an animal</w:t>
      </w:r>
      <w:r>
        <w:tab/>
      </w:r>
      <w:r>
        <w:fldChar w:fldCharType="begin"/>
      </w:r>
      <w:r>
        <w:instrText xml:space="preserve"> PAGEREF _Toc493604570 \h </w:instrText>
      </w:r>
      <w:r>
        <w:fldChar w:fldCharType="separate"/>
      </w:r>
      <w:r>
        <w:t>95</w:t>
      </w:r>
      <w:r>
        <w:fldChar w:fldCharType="end"/>
      </w:r>
    </w:p>
    <w:p>
      <w:pPr>
        <w:pStyle w:val="TOC8"/>
        <w:rPr>
          <w:rFonts w:asciiTheme="minorHAnsi" w:eastAsiaTheme="minorEastAsia" w:hAnsiTheme="minorHAnsi" w:cstheme="minorBidi"/>
          <w:szCs w:val="22"/>
        </w:rPr>
      </w:pPr>
      <w:r>
        <w:t>53E</w:t>
      </w:r>
      <w:r>
        <w:rPr>
          <w:snapToGrid w:val="0"/>
        </w:rPr>
        <w:t>.</w:t>
      </w:r>
      <w:r>
        <w:rPr>
          <w:snapToGrid w:val="0"/>
        </w:rPr>
        <w:tab/>
        <w:t>Offence — importing or exporting human embryo clone</w:t>
      </w:r>
      <w:r>
        <w:tab/>
      </w:r>
      <w:r>
        <w:fldChar w:fldCharType="begin"/>
      </w:r>
      <w:r>
        <w:instrText xml:space="preserve"> PAGEREF _Toc493604571 \h </w:instrText>
      </w:r>
      <w:r>
        <w:fldChar w:fldCharType="separate"/>
      </w:r>
      <w:r>
        <w:t>95</w:t>
      </w:r>
      <w:r>
        <w:fldChar w:fldCharType="end"/>
      </w:r>
    </w:p>
    <w:p>
      <w:pPr>
        <w:pStyle w:val="TOC8"/>
        <w:rPr>
          <w:rFonts w:asciiTheme="minorHAnsi" w:eastAsiaTheme="minorEastAsia" w:hAnsiTheme="minorHAnsi" w:cstheme="minorBidi"/>
          <w:szCs w:val="22"/>
        </w:rPr>
      </w:pPr>
      <w:r>
        <w:t>53F</w:t>
      </w:r>
      <w:r>
        <w:rPr>
          <w:snapToGrid w:val="0"/>
        </w:rPr>
        <w:t>.</w:t>
      </w:r>
      <w:r>
        <w:rPr>
          <w:snapToGrid w:val="0"/>
        </w:rPr>
        <w:tab/>
        <w:t>No defence that human embryo clone could not survive</w:t>
      </w:r>
      <w:r>
        <w:tab/>
      </w:r>
      <w:r>
        <w:fldChar w:fldCharType="begin"/>
      </w:r>
      <w:r>
        <w:instrText xml:space="preserve"> PAGEREF _Toc493604572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prohibited practices</w:t>
      </w:r>
    </w:p>
    <w:p>
      <w:pPr>
        <w:pStyle w:val="TOC8"/>
        <w:rPr>
          <w:rFonts w:asciiTheme="minorHAnsi" w:eastAsiaTheme="minorEastAsia" w:hAnsiTheme="minorHAnsi" w:cstheme="minorBidi"/>
          <w:szCs w:val="22"/>
        </w:rPr>
      </w:pPr>
      <w:r>
        <w:t>53G</w:t>
      </w:r>
      <w:r>
        <w:rPr>
          <w:snapToGrid w:val="0"/>
        </w:rPr>
        <w:t>.</w:t>
      </w:r>
      <w:r>
        <w:rPr>
          <w:iCs/>
          <w:snapToGrid w:val="0"/>
        </w:rPr>
        <w:tab/>
      </w:r>
      <w:r>
        <w:rPr>
          <w:snapToGrid w:val="0"/>
        </w:rPr>
        <w:t>Offence — creating human embryo other than by fertilisation, or developing such an embryo</w:t>
      </w:r>
      <w:r>
        <w:tab/>
      </w:r>
      <w:r>
        <w:fldChar w:fldCharType="begin"/>
      </w:r>
      <w:r>
        <w:instrText xml:space="preserve"> PAGEREF _Toc493604574 \h </w:instrText>
      </w:r>
      <w:r>
        <w:fldChar w:fldCharType="separate"/>
      </w:r>
      <w:r>
        <w:t>96</w:t>
      </w:r>
      <w:r>
        <w:fldChar w:fldCharType="end"/>
      </w:r>
    </w:p>
    <w:p>
      <w:pPr>
        <w:pStyle w:val="TOC8"/>
        <w:rPr>
          <w:rFonts w:asciiTheme="minorHAnsi" w:eastAsiaTheme="minorEastAsia" w:hAnsiTheme="minorHAnsi" w:cstheme="minorBidi"/>
          <w:szCs w:val="22"/>
        </w:rPr>
      </w:pPr>
      <w:r>
        <w:t>53H</w:t>
      </w:r>
      <w:r>
        <w:rPr>
          <w:snapToGrid w:val="0"/>
        </w:rPr>
        <w:t>.</w:t>
      </w:r>
      <w:r>
        <w:rPr>
          <w:snapToGrid w:val="0"/>
        </w:rPr>
        <w:tab/>
        <w:t>Offence — creating human embryo for purpose other than achieving pregnancy in woman</w:t>
      </w:r>
      <w:r>
        <w:tab/>
      </w:r>
      <w:r>
        <w:fldChar w:fldCharType="begin"/>
      </w:r>
      <w:r>
        <w:instrText xml:space="preserve"> PAGEREF _Toc493604575 \h </w:instrText>
      </w:r>
      <w:r>
        <w:fldChar w:fldCharType="separate"/>
      </w:r>
      <w:r>
        <w:t>96</w:t>
      </w:r>
      <w:r>
        <w:fldChar w:fldCharType="end"/>
      </w:r>
    </w:p>
    <w:p>
      <w:pPr>
        <w:pStyle w:val="TOC8"/>
        <w:rPr>
          <w:rFonts w:asciiTheme="minorHAnsi" w:eastAsiaTheme="minorEastAsia" w:hAnsiTheme="minorHAnsi" w:cstheme="minorBidi"/>
          <w:szCs w:val="22"/>
        </w:rPr>
      </w:pPr>
      <w:r>
        <w:t>53I</w:t>
      </w:r>
      <w:r>
        <w:rPr>
          <w:snapToGrid w:val="0"/>
        </w:rPr>
        <w:t>.</w:t>
      </w:r>
      <w:r>
        <w:rPr>
          <w:iCs/>
          <w:snapToGrid w:val="0"/>
        </w:rPr>
        <w:tab/>
      </w:r>
      <w:r>
        <w:rPr>
          <w:snapToGrid w:val="0"/>
        </w:rPr>
        <w:t>Offence — creating or developing human embryo containing genetic material provided by more than 2 persons</w:t>
      </w:r>
      <w:r>
        <w:tab/>
      </w:r>
      <w:r>
        <w:fldChar w:fldCharType="begin"/>
      </w:r>
      <w:r>
        <w:instrText xml:space="preserve"> PAGEREF _Toc493604576 \h </w:instrText>
      </w:r>
      <w:r>
        <w:fldChar w:fldCharType="separate"/>
      </w:r>
      <w:r>
        <w:t>97</w:t>
      </w:r>
      <w:r>
        <w:fldChar w:fldCharType="end"/>
      </w:r>
    </w:p>
    <w:p>
      <w:pPr>
        <w:pStyle w:val="TOC8"/>
        <w:rPr>
          <w:rFonts w:asciiTheme="minorHAnsi" w:eastAsiaTheme="minorEastAsia" w:hAnsiTheme="minorHAnsi" w:cstheme="minorBidi"/>
          <w:szCs w:val="22"/>
        </w:rPr>
      </w:pPr>
      <w:r>
        <w:t>53J</w:t>
      </w:r>
      <w:r>
        <w:rPr>
          <w:snapToGrid w:val="0"/>
        </w:rPr>
        <w:t>.</w:t>
      </w:r>
      <w:r>
        <w:rPr>
          <w:snapToGrid w:val="0"/>
        </w:rPr>
        <w:tab/>
        <w:t>Offence — developing human embryo outside body of  woman for more than 14 days</w:t>
      </w:r>
      <w:r>
        <w:tab/>
      </w:r>
      <w:r>
        <w:fldChar w:fldCharType="begin"/>
      </w:r>
      <w:r>
        <w:instrText xml:space="preserve"> PAGEREF _Toc493604577 \h </w:instrText>
      </w:r>
      <w:r>
        <w:fldChar w:fldCharType="separate"/>
      </w:r>
      <w:r>
        <w:t>97</w:t>
      </w:r>
      <w:r>
        <w:fldChar w:fldCharType="end"/>
      </w:r>
    </w:p>
    <w:p>
      <w:pPr>
        <w:pStyle w:val="TOC8"/>
        <w:rPr>
          <w:rFonts w:asciiTheme="minorHAnsi" w:eastAsiaTheme="minorEastAsia" w:hAnsiTheme="minorHAnsi" w:cstheme="minorBidi"/>
          <w:szCs w:val="22"/>
        </w:rPr>
      </w:pPr>
      <w:r>
        <w:t>53K</w:t>
      </w:r>
      <w:r>
        <w:rPr>
          <w:snapToGrid w:val="0"/>
        </w:rPr>
        <w:t>.</w:t>
      </w:r>
      <w:r>
        <w:rPr>
          <w:snapToGrid w:val="0"/>
        </w:rPr>
        <w:tab/>
        <w:t>Offence — using precursor cells from human embryo or human fetus to create human embryo, or developing such an embryo</w:t>
      </w:r>
      <w:r>
        <w:tab/>
      </w:r>
      <w:r>
        <w:fldChar w:fldCharType="begin"/>
      </w:r>
      <w:r>
        <w:instrText xml:space="preserve"> PAGEREF _Toc493604578 \h </w:instrText>
      </w:r>
      <w:r>
        <w:fldChar w:fldCharType="separate"/>
      </w:r>
      <w:r>
        <w:t>97</w:t>
      </w:r>
      <w:r>
        <w:fldChar w:fldCharType="end"/>
      </w:r>
    </w:p>
    <w:p>
      <w:pPr>
        <w:pStyle w:val="TOC8"/>
        <w:rPr>
          <w:rFonts w:asciiTheme="minorHAnsi" w:eastAsiaTheme="minorEastAsia" w:hAnsiTheme="minorHAnsi" w:cstheme="minorBidi"/>
          <w:szCs w:val="22"/>
        </w:rPr>
      </w:pPr>
      <w:r>
        <w:t>53L</w:t>
      </w:r>
      <w:r>
        <w:rPr>
          <w:snapToGrid w:val="0"/>
        </w:rPr>
        <w:t>.</w:t>
      </w:r>
      <w:r>
        <w:rPr>
          <w:snapToGrid w:val="0"/>
        </w:rPr>
        <w:tab/>
        <w:t>Offence — heritable alterations to genome</w:t>
      </w:r>
      <w:r>
        <w:tab/>
      </w:r>
      <w:r>
        <w:fldChar w:fldCharType="begin"/>
      </w:r>
      <w:r>
        <w:instrText xml:space="preserve"> PAGEREF _Toc493604579 \h </w:instrText>
      </w:r>
      <w:r>
        <w:fldChar w:fldCharType="separate"/>
      </w:r>
      <w:r>
        <w:t>98</w:t>
      </w:r>
      <w:r>
        <w:fldChar w:fldCharType="end"/>
      </w:r>
    </w:p>
    <w:p>
      <w:pPr>
        <w:pStyle w:val="TOC8"/>
        <w:rPr>
          <w:rFonts w:asciiTheme="minorHAnsi" w:eastAsiaTheme="minorEastAsia" w:hAnsiTheme="minorHAnsi" w:cstheme="minorBidi"/>
          <w:szCs w:val="22"/>
        </w:rPr>
      </w:pPr>
      <w:r>
        <w:t>53M</w:t>
      </w:r>
      <w:r>
        <w:rPr>
          <w:snapToGrid w:val="0"/>
        </w:rPr>
        <w:t>.</w:t>
      </w:r>
      <w:r>
        <w:rPr>
          <w:snapToGrid w:val="0"/>
        </w:rPr>
        <w:tab/>
        <w:t>Offence — collecting viable human embryo from body of woman</w:t>
      </w:r>
      <w:r>
        <w:tab/>
      </w:r>
      <w:r>
        <w:fldChar w:fldCharType="begin"/>
      </w:r>
      <w:r>
        <w:instrText xml:space="preserve"> PAGEREF _Toc493604580 \h </w:instrText>
      </w:r>
      <w:r>
        <w:fldChar w:fldCharType="separate"/>
      </w:r>
      <w:r>
        <w:t>98</w:t>
      </w:r>
      <w:r>
        <w:fldChar w:fldCharType="end"/>
      </w:r>
    </w:p>
    <w:p>
      <w:pPr>
        <w:pStyle w:val="TOC8"/>
        <w:rPr>
          <w:rFonts w:asciiTheme="minorHAnsi" w:eastAsiaTheme="minorEastAsia" w:hAnsiTheme="minorHAnsi" w:cstheme="minorBidi"/>
          <w:szCs w:val="22"/>
        </w:rPr>
      </w:pPr>
      <w:r>
        <w:t>53N</w:t>
      </w:r>
      <w:r>
        <w:rPr>
          <w:snapToGrid w:val="0"/>
        </w:rPr>
        <w:t>.</w:t>
      </w:r>
      <w:r>
        <w:rPr>
          <w:snapToGrid w:val="0"/>
        </w:rPr>
        <w:tab/>
        <w:t>Offence — creating chimeric or hybrid embryo</w:t>
      </w:r>
      <w:r>
        <w:tab/>
      </w:r>
      <w:r>
        <w:fldChar w:fldCharType="begin"/>
      </w:r>
      <w:r>
        <w:instrText xml:space="preserve"> PAGEREF _Toc493604581 \h </w:instrText>
      </w:r>
      <w:r>
        <w:fldChar w:fldCharType="separate"/>
      </w:r>
      <w:r>
        <w:t>98</w:t>
      </w:r>
      <w:r>
        <w:fldChar w:fldCharType="end"/>
      </w:r>
    </w:p>
    <w:p>
      <w:pPr>
        <w:pStyle w:val="TOC8"/>
        <w:rPr>
          <w:rFonts w:asciiTheme="minorHAnsi" w:eastAsiaTheme="minorEastAsia" w:hAnsiTheme="minorHAnsi" w:cstheme="minorBidi"/>
          <w:szCs w:val="22"/>
        </w:rPr>
      </w:pPr>
      <w:r>
        <w:t>53O</w:t>
      </w:r>
      <w:r>
        <w:rPr>
          <w:snapToGrid w:val="0"/>
        </w:rPr>
        <w:t>.</w:t>
      </w:r>
      <w:r>
        <w:rPr>
          <w:snapToGrid w:val="0"/>
        </w:rPr>
        <w:tab/>
        <w:t>Offence — placing of an embryo</w:t>
      </w:r>
      <w:r>
        <w:tab/>
      </w:r>
      <w:r>
        <w:fldChar w:fldCharType="begin"/>
      </w:r>
      <w:r>
        <w:instrText xml:space="preserve"> PAGEREF _Toc493604582 \h </w:instrText>
      </w:r>
      <w:r>
        <w:fldChar w:fldCharType="separate"/>
      </w:r>
      <w:r>
        <w:t>99</w:t>
      </w:r>
      <w:r>
        <w:fldChar w:fldCharType="end"/>
      </w:r>
    </w:p>
    <w:p>
      <w:pPr>
        <w:pStyle w:val="TOC8"/>
        <w:rPr>
          <w:rFonts w:asciiTheme="minorHAnsi" w:eastAsiaTheme="minorEastAsia" w:hAnsiTheme="minorHAnsi" w:cstheme="minorBidi"/>
          <w:szCs w:val="22"/>
        </w:rPr>
      </w:pPr>
      <w:r>
        <w:t>53P</w:t>
      </w:r>
      <w:r>
        <w:rPr>
          <w:snapToGrid w:val="0"/>
        </w:rPr>
        <w:t>.</w:t>
      </w:r>
      <w:r>
        <w:rPr>
          <w:snapToGrid w:val="0"/>
        </w:rPr>
        <w:tab/>
        <w:t>Offence — importing, exporting or placing prohibited embryo</w:t>
      </w:r>
      <w:r>
        <w:tab/>
      </w:r>
      <w:r>
        <w:fldChar w:fldCharType="begin"/>
      </w:r>
      <w:r>
        <w:instrText xml:space="preserve"> PAGEREF _Toc493604583 \h </w:instrText>
      </w:r>
      <w:r>
        <w:fldChar w:fldCharType="separate"/>
      </w:r>
      <w:r>
        <w:t>99</w:t>
      </w:r>
      <w:r>
        <w:fldChar w:fldCharType="end"/>
      </w:r>
    </w:p>
    <w:p>
      <w:pPr>
        <w:pStyle w:val="TOC8"/>
        <w:rPr>
          <w:rFonts w:asciiTheme="minorHAnsi" w:eastAsiaTheme="minorEastAsia" w:hAnsiTheme="minorHAnsi" w:cstheme="minorBidi"/>
          <w:szCs w:val="22"/>
        </w:rPr>
      </w:pPr>
      <w:r>
        <w:t>53Q</w:t>
      </w:r>
      <w:r>
        <w:rPr>
          <w:snapToGrid w:val="0"/>
        </w:rPr>
        <w:t>.</w:t>
      </w:r>
      <w:r>
        <w:rPr>
          <w:snapToGrid w:val="0"/>
        </w:rPr>
        <w:tab/>
        <w:t>Offence — commercial trading in human eggs, human sperm or human embryos</w:t>
      </w:r>
      <w:r>
        <w:tab/>
      </w:r>
      <w:r>
        <w:fldChar w:fldCharType="begin"/>
      </w:r>
      <w:r>
        <w:instrText xml:space="preserve"> PAGEREF _Toc493604584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 of Part</w:t>
      </w:r>
    </w:p>
    <w:p>
      <w:pPr>
        <w:pStyle w:val="TOC8"/>
        <w:rPr>
          <w:rFonts w:asciiTheme="minorHAnsi" w:eastAsiaTheme="minorEastAsia" w:hAnsiTheme="minorHAnsi" w:cstheme="minorBidi"/>
          <w:szCs w:val="22"/>
        </w:rPr>
      </w:pPr>
      <w:r>
        <w:t>53R</w:t>
      </w:r>
      <w:r>
        <w:rPr>
          <w:snapToGrid w:val="0"/>
        </w:rPr>
        <w:t>.</w:t>
      </w:r>
      <w:r>
        <w:rPr>
          <w:snapToGrid w:val="0"/>
        </w:rPr>
        <w:tab/>
        <w:t>Review of Part</w:t>
      </w:r>
      <w:r>
        <w:tab/>
      </w:r>
      <w:r>
        <w:fldChar w:fldCharType="begin"/>
      </w:r>
      <w:r>
        <w:instrText xml:space="preserve"> PAGEREF _Toc493604586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Regulation of certain uses involving excess ART embryos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53S.</w:t>
      </w:r>
      <w:r>
        <w:tab/>
        <w:t>Object of this Part</w:t>
      </w:r>
      <w:r>
        <w:tab/>
      </w:r>
      <w:r>
        <w:fldChar w:fldCharType="begin"/>
      </w:r>
      <w:r>
        <w:instrText xml:space="preserve"> PAGEREF _Toc493604589 \h </w:instrText>
      </w:r>
      <w:r>
        <w:fldChar w:fldCharType="separate"/>
      </w:r>
      <w:r>
        <w:t>103</w:t>
      </w:r>
      <w:r>
        <w:fldChar w:fldCharType="end"/>
      </w:r>
    </w:p>
    <w:p>
      <w:pPr>
        <w:pStyle w:val="TOC8"/>
        <w:rPr>
          <w:rFonts w:asciiTheme="minorHAnsi" w:eastAsiaTheme="minorEastAsia" w:hAnsiTheme="minorHAnsi" w:cstheme="minorBidi"/>
          <w:szCs w:val="22"/>
        </w:rPr>
      </w:pPr>
      <w:r>
        <w:t>53T.</w:t>
      </w:r>
      <w:r>
        <w:tab/>
        <w:t>Terms used</w:t>
      </w:r>
      <w:r>
        <w:tab/>
      </w:r>
      <w:r>
        <w:fldChar w:fldCharType="begin"/>
      </w:r>
      <w:r>
        <w:instrText xml:space="preserve"> PAGEREF _Toc493604590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Performance of functions</w:t>
      </w:r>
    </w:p>
    <w:p>
      <w:pPr>
        <w:pStyle w:val="TOC8"/>
        <w:rPr>
          <w:rFonts w:asciiTheme="minorHAnsi" w:eastAsiaTheme="minorEastAsia" w:hAnsiTheme="minorHAnsi" w:cstheme="minorBidi"/>
          <w:szCs w:val="22"/>
        </w:rPr>
      </w:pPr>
      <w:r>
        <w:t>53U.</w:t>
      </w:r>
      <w:r>
        <w:tab/>
        <w:t>Functions not affected by State laws</w:t>
      </w:r>
      <w:r>
        <w:tab/>
      </w:r>
      <w:r>
        <w:fldChar w:fldCharType="begin"/>
      </w:r>
      <w:r>
        <w:instrText xml:space="preserve"> PAGEREF _Toc493604592 \h </w:instrText>
      </w:r>
      <w:r>
        <w:fldChar w:fldCharType="separate"/>
      </w:r>
      <w:r>
        <w:t>107</w:t>
      </w:r>
      <w:r>
        <w:fldChar w:fldCharType="end"/>
      </w:r>
    </w:p>
    <w:p>
      <w:pPr>
        <w:pStyle w:val="TOC8"/>
        <w:rPr>
          <w:rFonts w:asciiTheme="minorHAnsi" w:eastAsiaTheme="minorEastAsia" w:hAnsiTheme="minorHAnsi" w:cstheme="minorBidi"/>
          <w:szCs w:val="22"/>
        </w:rPr>
      </w:pPr>
      <w:r>
        <w:t>53V.</w:t>
      </w:r>
      <w:r>
        <w:tab/>
        <w:t>Extent to which functions are conferred</w:t>
      </w:r>
      <w:r>
        <w:tab/>
      </w:r>
      <w:r>
        <w:fldChar w:fldCharType="begin"/>
      </w:r>
      <w:r>
        <w:instrText xml:space="preserve"> PAGEREF _Toc493604593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53W.</w:t>
      </w:r>
      <w:r>
        <w:tab/>
        <w:t>Offence — use of excess ART embryo</w:t>
      </w:r>
      <w:r>
        <w:tab/>
      </w:r>
      <w:r>
        <w:fldChar w:fldCharType="begin"/>
      </w:r>
      <w:r>
        <w:instrText xml:space="preserve"> PAGEREF _Toc493604595 \h </w:instrText>
      </w:r>
      <w:r>
        <w:fldChar w:fldCharType="separate"/>
      </w:r>
      <w:r>
        <w:t>107</w:t>
      </w:r>
      <w:r>
        <w:fldChar w:fldCharType="end"/>
      </w:r>
    </w:p>
    <w:p>
      <w:pPr>
        <w:pStyle w:val="TOC8"/>
        <w:rPr>
          <w:rFonts w:asciiTheme="minorHAnsi" w:eastAsiaTheme="minorEastAsia" w:hAnsiTheme="minorHAnsi" w:cstheme="minorBidi"/>
          <w:szCs w:val="22"/>
        </w:rPr>
      </w:pPr>
      <w:r>
        <w:t>53X.</w:t>
      </w:r>
      <w:r>
        <w:tab/>
        <w:t>Offence — breaching licence condition</w:t>
      </w:r>
      <w:r>
        <w:tab/>
      </w:r>
      <w:r>
        <w:fldChar w:fldCharType="begin"/>
      </w:r>
      <w:r>
        <w:instrText xml:space="preserve"> PAGEREF _Toc493604596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4 — Embryo Research Licensing Committee of the NHMRC</w:t>
      </w:r>
    </w:p>
    <w:p>
      <w:pPr>
        <w:pStyle w:val="TOC8"/>
        <w:rPr>
          <w:rFonts w:asciiTheme="minorHAnsi" w:eastAsiaTheme="minorEastAsia" w:hAnsiTheme="minorHAnsi" w:cstheme="minorBidi"/>
          <w:szCs w:val="22"/>
        </w:rPr>
      </w:pPr>
      <w:r>
        <w:t>53Y.</w:t>
      </w:r>
      <w:r>
        <w:tab/>
        <w:t>Functions of Committee</w:t>
      </w:r>
      <w:r>
        <w:tab/>
      </w:r>
      <w:r>
        <w:fldChar w:fldCharType="begin"/>
      </w:r>
      <w:r>
        <w:instrText xml:space="preserve"> PAGEREF _Toc493604598 \h </w:instrText>
      </w:r>
      <w:r>
        <w:fldChar w:fldCharType="separate"/>
      </w:r>
      <w:r>
        <w:t>110</w:t>
      </w:r>
      <w:r>
        <w:fldChar w:fldCharType="end"/>
      </w:r>
    </w:p>
    <w:p>
      <w:pPr>
        <w:pStyle w:val="TOC8"/>
        <w:rPr>
          <w:rFonts w:asciiTheme="minorHAnsi" w:eastAsiaTheme="minorEastAsia" w:hAnsiTheme="minorHAnsi" w:cstheme="minorBidi"/>
          <w:szCs w:val="22"/>
        </w:rPr>
      </w:pPr>
      <w:r>
        <w:t>53Z.</w:t>
      </w:r>
      <w:r>
        <w:tab/>
        <w:t>Powers of Committee</w:t>
      </w:r>
      <w:r>
        <w:tab/>
      </w:r>
      <w:r>
        <w:fldChar w:fldCharType="begin"/>
      </w:r>
      <w:r>
        <w:instrText xml:space="preserve"> PAGEREF _Toc493604599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5 — Licensing system</w:t>
      </w:r>
    </w:p>
    <w:p>
      <w:pPr>
        <w:pStyle w:val="TOC8"/>
        <w:rPr>
          <w:rFonts w:asciiTheme="minorHAnsi" w:eastAsiaTheme="minorEastAsia" w:hAnsiTheme="minorHAnsi" w:cstheme="minorBidi"/>
          <w:szCs w:val="22"/>
        </w:rPr>
      </w:pPr>
      <w:r>
        <w:t>53ZA.</w:t>
      </w:r>
      <w:r>
        <w:tab/>
        <w:t>Person may apply for licence</w:t>
      </w:r>
      <w:r>
        <w:tab/>
      </w:r>
      <w:r>
        <w:fldChar w:fldCharType="begin"/>
      </w:r>
      <w:r>
        <w:instrText xml:space="preserve"> PAGEREF _Toc493604601 \h </w:instrText>
      </w:r>
      <w:r>
        <w:fldChar w:fldCharType="separate"/>
      </w:r>
      <w:r>
        <w:t>110</w:t>
      </w:r>
      <w:r>
        <w:fldChar w:fldCharType="end"/>
      </w:r>
    </w:p>
    <w:p>
      <w:pPr>
        <w:pStyle w:val="TOC8"/>
        <w:rPr>
          <w:rFonts w:asciiTheme="minorHAnsi" w:eastAsiaTheme="minorEastAsia" w:hAnsiTheme="minorHAnsi" w:cstheme="minorBidi"/>
          <w:szCs w:val="22"/>
        </w:rPr>
      </w:pPr>
      <w:r>
        <w:t>53ZB.</w:t>
      </w:r>
      <w:r>
        <w:tab/>
        <w:t>Determination of application by Committee</w:t>
      </w:r>
      <w:r>
        <w:tab/>
      </w:r>
      <w:r>
        <w:fldChar w:fldCharType="begin"/>
      </w:r>
      <w:r>
        <w:instrText xml:space="preserve"> PAGEREF _Toc493604602 \h </w:instrText>
      </w:r>
      <w:r>
        <w:fldChar w:fldCharType="separate"/>
      </w:r>
      <w:r>
        <w:t>111</w:t>
      </w:r>
      <w:r>
        <w:fldChar w:fldCharType="end"/>
      </w:r>
    </w:p>
    <w:p>
      <w:pPr>
        <w:pStyle w:val="TOC8"/>
        <w:rPr>
          <w:rFonts w:asciiTheme="minorHAnsi" w:eastAsiaTheme="minorEastAsia" w:hAnsiTheme="minorHAnsi" w:cstheme="minorBidi"/>
          <w:szCs w:val="22"/>
        </w:rPr>
      </w:pPr>
      <w:r>
        <w:t>53ZC.</w:t>
      </w:r>
      <w:r>
        <w:tab/>
        <w:t>Notification of decision</w:t>
      </w:r>
      <w:r>
        <w:tab/>
      </w:r>
      <w:r>
        <w:fldChar w:fldCharType="begin"/>
      </w:r>
      <w:r>
        <w:instrText xml:space="preserve"> PAGEREF _Toc493604603 \h </w:instrText>
      </w:r>
      <w:r>
        <w:fldChar w:fldCharType="separate"/>
      </w:r>
      <w:r>
        <w:t>112</w:t>
      </w:r>
      <w:r>
        <w:fldChar w:fldCharType="end"/>
      </w:r>
    </w:p>
    <w:p>
      <w:pPr>
        <w:pStyle w:val="TOC8"/>
        <w:rPr>
          <w:rFonts w:asciiTheme="minorHAnsi" w:eastAsiaTheme="minorEastAsia" w:hAnsiTheme="minorHAnsi" w:cstheme="minorBidi"/>
          <w:szCs w:val="22"/>
        </w:rPr>
      </w:pPr>
      <w:r>
        <w:t>53ZD.</w:t>
      </w:r>
      <w:r>
        <w:tab/>
        <w:t>Period of licence</w:t>
      </w:r>
      <w:r>
        <w:tab/>
      </w:r>
      <w:r>
        <w:fldChar w:fldCharType="begin"/>
      </w:r>
      <w:r>
        <w:instrText xml:space="preserve"> PAGEREF _Toc493604604 \h </w:instrText>
      </w:r>
      <w:r>
        <w:fldChar w:fldCharType="separate"/>
      </w:r>
      <w:r>
        <w:t>113</w:t>
      </w:r>
      <w:r>
        <w:fldChar w:fldCharType="end"/>
      </w:r>
    </w:p>
    <w:p>
      <w:pPr>
        <w:pStyle w:val="TOC8"/>
        <w:rPr>
          <w:rFonts w:asciiTheme="minorHAnsi" w:eastAsiaTheme="minorEastAsia" w:hAnsiTheme="minorHAnsi" w:cstheme="minorBidi"/>
          <w:szCs w:val="22"/>
        </w:rPr>
      </w:pPr>
      <w:r>
        <w:t>53ZE.</w:t>
      </w:r>
      <w:r>
        <w:tab/>
        <w:t>Licence is subject to conditions</w:t>
      </w:r>
      <w:r>
        <w:tab/>
      </w:r>
      <w:r>
        <w:fldChar w:fldCharType="begin"/>
      </w:r>
      <w:r>
        <w:instrText xml:space="preserve"> PAGEREF _Toc493604605 \h </w:instrText>
      </w:r>
      <w:r>
        <w:fldChar w:fldCharType="separate"/>
      </w:r>
      <w:r>
        <w:t>113</w:t>
      </w:r>
      <w:r>
        <w:fldChar w:fldCharType="end"/>
      </w:r>
    </w:p>
    <w:p>
      <w:pPr>
        <w:pStyle w:val="TOC8"/>
        <w:rPr>
          <w:rFonts w:asciiTheme="minorHAnsi" w:eastAsiaTheme="minorEastAsia" w:hAnsiTheme="minorHAnsi" w:cstheme="minorBidi"/>
          <w:szCs w:val="22"/>
        </w:rPr>
      </w:pPr>
      <w:r>
        <w:t>53ZF.</w:t>
      </w:r>
      <w:r>
        <w:tab/>
        <w:t>Variation of licence</w:t>
      </w:r>
      <w:r>
        <w:tab/>
      </w:r>
      <w:r>
        <w:fldChar w:fldCharType="begin"/>
      </w:r>
      <w:r>
        <w:instrText xml:space="preserve"> PAGEREF _Toc493604606 \h </w:instrText>
      </w:r>
      <w:r>
        <w:fldChar w:fldCharType="separate"/>
      </w:r>
      <w:r>
        <w:t>114</w:t>
      </w:r>
      <w:r>
        <w:fldChar w:fldCharType="end"/>
      </w:r>
    </w:p>
    <w:p>
      <w:pPr>
        <w:pStyle w:val="TOC8"/>
        <w:rPr>
          <w:rFonts w:asciiTheme="minorHAnsi" w:eastAsiaTheme="minorEastAsia" w:hAnsiTheme="minorHAnsi" w:cstheme="minorBidi"/>
          <w:szCs w:val="22"/>
        </w:rPr>
      </w:pPr>
      <w:r>
        <w:t>53ZG.</w:t>
      </w:r>
      <w:r>
        <w:tab/>
        <w:t>Suspension or revocation of licence</w:t>
      </w:r>
      <w:r>
        <w:tab/>
      </w:r>
      <w:r>
        <w:fldChar w:fldCharType="begin"/>
      </w:r>
      <w:r>
        <w:instrText xml:space="preserve"> PAGEREF _Toc493604607 \h </w:instrText>
      </w:r>
      <w:r>
        <w:fldChar w:fldCharType="separate"/>
      </w:r>
      <w:r>
        <w:t>115</w:t>
      </w:r>
      <w:r>
        <w:fldChar w:fldCharType="end"/>
      </w:r>
    </w:p>
    <w:p>
      <w:pPr>
        <w:pStyle w:val="TOC8"/>
        <w:rPr>
          <w:rFonts w:asciiTheme="minorHAnsi" w:eastAsiaTheme="minorEastAsia" w:hAnsiTheme="minorHAnsi" w:cstheme="minorBidi"/>
          <w:szCs w:val="22"/>
        </w:rPr>
      </w:pPr>
      <w:r>
        <w:t>53ZH.</w:t>
      </w:r>
      <w:r>
        <w:tab/>
        <w:t>Surrender of licence</w:t>
      </w:r>
      <w:r>
        <w:tab/>
      </w:r>
      <w:r>
        <w:fldChar w:fldCharType="begin"/>
      </w:r>
      <w:r>
        <w:instrText xml:space="preserve"> PAGEREF _Toc493604608 \h </w:instrText>
      </w:r>
      <w:r>
        <w:fldChar w:fldCharType="separate"/>
      </w:r>
      <w:r>
        <w:t>115</w:t>
      </w:r>
      <w:r>
        <w:fldChar w:fldCharType="end"/>
      </w:r>
    </w:p>
    <w:p>
      <w:pPr>
        <w:pStyle w:val="TOC8"/>
        <w:rPr>
          <w:rFonts w:asciiTheme="minorHAnsi" w:eastAsiaTheme="minorEastAsia" w:hAnsiTheme="minorHAnsi" w:cstheme="minorBidi"/>
          <w:szCs w:val="22"/>
        </w:rPr>
      </w:pPr>
      <w:r>
        <w:t>53ZI.</w:t>
      </w:r>
      <w:r>
        <w:tab/>
        <w:t>Notification of variation, suspension, revocation or surrender of licence</w:t>
      </w:r>
      <w:r>
        <w:tab/>
      </w:r>
      <w:r>
        <w:fldChar w:fldCharType="begin"/>
      </w:r>
      <w:r>
        <w:instrText xml:space="preserve"> PAGEREF _Toc493604609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6 — Reporting and confidentiality</w:t>
      </w:r>
    </w:p>
    <w:p>
      <w:pPr>
        <w:pStyle w:val="TOC8"/>
        <w:rPr>
          <w:rFonts w:asciiTheme="minorHAnsi" w:eastAsiaTheme="minorEastAsia" w:hAnsiTheme="minorHAnsi" w:cstheme="minorBidi"/>
          <w:szCs w:val="22"/>
        </w:rPr>
      </w:pPr>
      <w:r>
        <w:t>53ZJ.</w:t>
      </w:r>
      <w:r>
        <w:tab/>
        <w:t>NHMRC Licensing Committee to make certain information publicly available</w:t>
      </w:r>
      <w:r>
        <w:tab/>
      </w:r>
      <w:r>
        <w:fldChar w:fldCharType="begin"/>
      </w:r>
      <w:r>
        <w:instrText xml:space="preserve"> PAGEREF _Toc493604611 \h </w:instrText>
      </w:r>
      <w:r>
        <w:fldChar w:fldCharType="separate"/>
      </w:r>
      <w:r>
        <w:t>116</w:t>
      </w:r>
      <w:r>
        <w:fldChar w:fldCharType="end"/>
      </w:r>
    </w:p>
    <w:p>
      <w:pPr>
        <w:pStyle w:val="TOC8"/>
        <w:rPr>
          <w:rFonts w:asciiTheme="minorHAnsi" w:eastAsiaTheme="minorEastAsia" w:hAnsiTheme="minorHAnsi" w:cstheme="minorBidi"/>
          <w:szCs w:val="22"/>
        </w:rPr>
      </w:pPr>
      <w:r>
        <w:t>53ZK.</w:t>
      </w:r>
      <w:r>
        <w:tab/>
        <w:t>Confidential commercial information may only be disclosed in certain circumstances</w:t>
      </w:r>
      <w:r>
        <w:tab/>
      </w:r>
      <w:r>
        <w:fldChar w:fldCharType="begin"/>
      </w:r>
      <w:r>
        <w:instrText xml:space="preserve"> PAGEREF _Toc493604612 \h </w:instrText>
      </w:r>
      <w:r>
        <w:fldChar w:fldCharType="separate"/>
      </w:r>
      <w:r>
        <w:t>116</w:t>
      </w:r>
      <w:r>
        <w:fldChar w:fldCharType="end"/>
      </w:r>
    </w:p>
    <w:p>
      <w:pPr>
        <w:pStyle w:val="TOC8"/>
        <w:rPr>
          <w:rFonts w:asciiTheme="minorHAnsi" w:eastAsiaTheme="minorEastAsia" w:hAnsiTheme="minorHAnsi" w:cstheme="minorBidi"/>
          <w:szCs w:val="22"/>
        </w:rPr>
      </w:pPr>
      <w:r>
        <w:t>53ZKA.</w:t>
      </w:r>
      <w:r>
        <w:tab/>
        <w:t>Annual reports</w:t>
      </w:r>
      <w:r>
        <w:tab/>
      </w:r>
      <w:r>
        <w:fldChar w:fldCharType="begin"/>
      </w:r>
      <w:r>
        <w:instrText xml:space="preserve"> PAGEREF _Toc493604613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7 — Review provisions</w:t>
      </w:r>
    </w:p>
    <w:p>
      <w:pPr>
        <w:pStyle w:val="TOC8"/>
        <w:rPr>
          <w:rFonts w:asciiTheme="minorHAnsi" w:eastAsiaTheme="minorEastAsia" w:hAnsiTheme="minorHAnsi" w:cstheme="minorBidi"/>
          <w:szCs w:val="22"/>
        </w:rPr>
      </w:pPr>
      <w:r>
        <w:t>53ZL.</w:t>
      </w:r>
      <w:r>
        <w:tab/>
        <w:t>Terms used</w:t>
      </w:r>
      <w:r>
        <w:tab/>
      </w:r>
      <w:r>
        <w:fldChar w:fldCharType="begin"/>
      </w:r>
      <w:r>
        <w:instrText xml:space="preserve"> PAGEREF _Toc493604615 \h </w:instrText>
      </w:r>
      <w:r>
        <w:fldChar w:fldCharType="separate"/>
      </w:r>
      <w:r>
        <w:t>119</w:t>
      </w:r>
      <w:r>
        <w:fldChar w:fldCharType="end"/>
      </w:r>
    </w:p>
    <w:p>
      <w:pPr>
        <w:pStyle w:val="TOC8"/>
        <w:rPr>
          <w:rFonts w:asciiTheme="minorHAnsi" w:eastAsiaTheme="minorEastAsia" w:hAnsiTheme="minorHAnsi" w:cstheme="minorBidi"/>
          <w:szCs w:val="22"/>
        </w:rPr>
      </w:pPr>
      <w:r>
        <w:t>53ZM.</w:t>
      </w:r>
      <w:r>
        <w:tab/>
        <w:t>Review of decisions</w:t>
      </w:r>
      <w:r>
        <w:tab/>
      </w:r>
      <w:r>
        <w:fldChar w:fldCharType="begin"/>
      </w:r>
      <w:r>
        <w:instrText xml:space="preserve"> PAGEREF _Toc493604616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8 — Monitoring powers</w:t>
      </w:r>
    </w:p>
    <w:p>
      <w:pPr>
        <w:pStyle w:val="TOC8"/>
        <w:rPr>
          <w:rFonts w:asciiTheme="minorHAnsi" w:eastAsiaTheme="minorEastAsia" w:hAnsiTheme="minorHAnsi" w:cstheme="minorBidi"/>
          <w:szCs w:val="22"/>
        </w:rPr>
      </w:pPr>
      <w:r>
        <w:t>53ZN.</w:t>
      </w:r>
      <w:r>
        <w:tab/>
        <w:t>Appointment of inspectors</w:t>
      </w:r>
      <w:r>
        <w:tab/>
      </w:r>
      <w:r>
        <w:fldChar w:fldCharType="begin"/>
      </w:r>
      <w:r>
        <w:instrText xml:space="preserve"> PAGEREF _Toc493604618 \h </w:instrText>
      </w:r>
      <w:r>
        <w:fldChar w:fldCharType="separate"/>
      </w:r>
      <w:r>
        <w:t>120</w:t>
      </w:r>
      <w:r>
        <w:fldChar w:fldCharType="end"/>
      </w:r>
    </w:p>
    <w:p>
      <w:pPr>
        <w:pStyle w:val="TOC8"/>
        <w:rPr>
          <w:rFonts w:asciiTheme="minorHAnsi" w:eastAsiaTheme="minorEastAsia" w:hAnsiTheme="minorHAnsi" w:cstheme="minorBidi"/>
          <w:szCs w:val="22"/>
        </w:rPr>
      </w:pPr>
      <w:r>
        <w:t>53ZO.</w:t>
      </w:r>
      <w:r>
        <w:tab/>
        <w:t>Identity card</w:t>
      </w:r>
      <w:r>
        <w:tab/>
      </w:r>
      <w:r>
        <w:fldChar w:fldCharType="begin"/>
      </w:r>
      <w:r>
        <w:instrText xml:space="preserve"> PAGEREF _Toc493604619 \h </w:instrText>
      </w:r>
      <w:r>
        <w:fldChar w:fldCharType="separate"/>
      </w:r>
      <w:r>
        <w:t>121</w:t>
      </w:r>
      <w:r>
        <w:fldChar w:fldCharType="end"/>
      </w:r>
    </w:p>
    <w:p>
      <w:pPr>
        <w:pStyle w:val="TOC8"/>
        <w:rPr>
          <w:rFonts w:asciiTheme="minorHAnsi" w:eastAsiaTheme="minorEastAsia" w:hAnsiTheme="minorHAnsi" w:cstheme="minorBidi"/>
          <w:szCs w:val="22"/>
        </w:rPr>
      </w:pPr>
      <w:r>
        <w:t>53ZP.</w:t>
      </w:r>
      <w:r>
        <w:tab/>
        <w:t>Powers available to inspectors for monitoring compliance</w:t>
      </w:r>
      <w:r>
        <w:tab/>
      </w:r>
      <w:r>
        <w:fldChar w:fldCharType="begin"/>
      </w:r>
      <w:r>
        <w:instrText xml:space="preserve"> PAGEREF _Toc493604620 \h </w:instrText>
      </w:r>
      <w:r>
        <w:fldChar w:fldCharType="separate"/>
      </w:r>
      <w:r>
        <w:t>121</w:t>
      </w:r>
      <w:r>
        <w:fldChar w:fldCharType="end"/>
      </w:r>
    </w:p>
    <w:p>
      <w:pPr>
        <w:pStyle w:val="TOC8"/>
        <w:rPr>
          <w:rFonts w:asciiTheme="minorHAnsi" w:eastAsiaTheme="minorEastAsia" w:hAnsiTheme="minorHAnsi" w:cstheme="minorBidi"/>
          <w:szCs w:val="22"/>
        </w:rPr>
      </w:pPr>
      <w:r>
        <w:t>53ZQ.</w:t>
      </w:r>
      <w:r>
        <w:tab/>
        <w:t>Monitoring powers</w:t>
      </w:r>
      <w:r>
        <w:tab/>
      </w:r>
      <w:r>
        <w:fldChar w:fldCharType="begin"/>
      </w:r>
      <w:r>
        <w:instrText xml:space="preserve"> PAGEREF _Toc493604621 \h </w:instrText>
      </w:r>
      <w:r>
        <w:fldChar w:fldCharType="separate"/>
      </w:r>
      <w:r>
        <w:t>122</w:t>
      </w:r>
      <w:r>
        <w:fldChar w:fldCharType="end"/>
      </w:r>
    </w:p>
    <w:p>
      <w:pPr>
        <w:pStyle w:val="TOC8"/>
        <w:rPr>
          <w:rFonts w:asciiTheme="minorHAnsi" w:eastAsiaTheme="minorEastAsia" w:hAnsiTheme="minorHAnsi" w:cstheme="minorBidi"/>
          <w:szCs w:val="22"/>
        </w:rPr>
      </w:pPr>
      <w:r>
        <w:t>53ZR.</w:t>
      </w:r>
      <w:r>
        <w:tab/>
        <w:t>Power to secure</w:t>
      </w:r>
      <w:r>
        <w:tab/>
      </w:r>
      <w:r>
        <w:fldChar w:fldCharType="begin"/>
      </w:r>
      <w:r>
        <w:instrText xml:space="preserve"> PAGEREF _Toc493604622 \h </w:instrText>
      </w:r>
      <w:r>
        <w:fldChar w:fldCharType="separate"/>
      </w:r>
      <w:r>
        <w:t>123</w:t>
      </w:r>
      <w:r>
        <w:fldChar w:fldCharType="end"/>
      </w:r>
    </w:p>
    <w:p>
      <w:pPr>
        <w:pStyle w:val="TOC8"/>
        <w:rPr>
          <w:rFonts w:asciiTheme="minorHAnsi" w:eastAsiaTheme="minorEastAsia" w:hAnsiTheme="minorHAnsi" w:cstheme="minorBidi"/>
          <w:szCs w:val="22"/>
        </w:rPr>
      </w:pPr>
      <w:r>
        <w:t>53ZS.</w:t>
      </w:r>
      <w:r>
        <w:tab/>
        <w:t>Inspector must produce identity card on request</w:t>
      </w:r>
      <w:r>
        <w:tab/>
      </w:r>
      <w:r>
        <w:fldChar w:fldCharType="begin"/>
      </w:r>
      <w:r>
        <w:instrText xml:space="preserve"> PAGEREF _Toc493604623 \h </w:instrText>
      </w:r>
      <w:r>
        <w:fldChar w:fldCharType="separate"/>
      </w:r>
      <w:r>
        <w:t>124</w:t>
      </w:r>
      <w:r>
        <w:fldChar w:fldCharType="end"/>
      </w:r>
    </w:p>
    <w:p>
      <w:pPr>
        <w:pStyle w:val="TOC8"/>
        <w:rPr>
          <w:rFonts w:asciiTheme="minorHAnsi" w:eastAsiaTheme="minorEastAsia" w:hAnsiTheme="minorHAnsi" w:cstheme="minorBidi"/>
          <w:szCs w:val="22"/>
        </w:rPr>
      </w:pPr>
      <w:r>
        <w:t>53ZT.</w:t>
      </w:r>
      <w:r>
        <w:tab/>
        <w:t>Consent</w:t>
      </w:r>
      <w:r>
        <w:tab/>
      </w:r>
      <w:r>
        <w:fldChar w:fldCharType="begin"/>
      </w:r>
      <w:r>
        <w:instrText xml:space="preserve"> PAGEREF _Toc493604624 \h </w:instrText>
      </w:r>
      <w:r>
        <w:fldChar w:fldCharType="separate"/>
      </w:r>
      <w:r>
        <w:t>124</w:t>
      </w:r>
      <w:r>
        <w:fldChar w:fldCharType="end"/>
      </w:r>
    </w:p>
    <w:p>
      <w:pPr>
        <w:pStyle w:val="TOC8"/>
        <w:rPr>
          <w:rFonts w:asciiTheme="minorHAnsi" w:eastAsiaTheme="minorEastAsia" w:hAnsiTheme="minorHAnsi" w:cstheme="minorBidi"/>
          <w:szCs w:val="22"/>
        </w:rPr>
      </w:pPr>
      <w:r>
        <w:t>53ZU.</w:t>
      </w:r>
      <w:r>
        <w:tab/>
        <w:t>Compensation for damage</w:t>
      </w:r>
      <w:r>
        <w:tab/>
      </w:r>
      <w:r>
        <w:fldChar w:fldCharType="begin"/>
      </w:r>
      <w:r>
        <w:instrText xml:space="preserve"> PAGEREF _Toc493604625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9 — Expiry</w:t>
      </w:r>
    </w:p>
    <w:p>
      <w:pPr>
        <w:pStyle w:val="TOC8"/>
        <w:rPr>
          <w:rFonts w:asciiTheme="minorHAnsi" w:eastAsiaTheme="minorEastAsia" w:hAnsiTheme="minorHAnsi" w:cstheme="minorBidi"/>
          <w:szCs w:val="22"/>
        </w:rPr>
      </w:pPr>
      <w:r>
        <w:t>53ZV.</w:t>
      </w:r>
      <w:r>
        <w:tab/>
        <w:t>Expiry of certain provisions</w:t>
      </w:r>
      <w:r>
        <w:tab/>
      </w:r>
      <w:r>
        <w:fldChar w:fldCharType="begin"/>
      </w:r>
      <w:r>
        <w:instrText xml:space="preserve"> PAGEREF _Toc493604627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10 — Conscientious objection to use of excess ART embryos</w:t>
      </w:r>
    </w:p>
    <w:p>
      <w:pPr>
        <w:pStyle w:val="TOC8"/>
        <w:rPr>
          <w:rFonts w:asciiTheme="minorHAnsi" w:eastAsiaTheme="minorEastAsia" w:hAnsiTheme="minorHAnsi" w:cstheme="minorBidi"/>
          <w:szCs w:val="22"/>
        </w:rPr>
      </w:pPr>
      <w:r>
        <w:t>53ZVA.</w:t>
      </w:r>
      <w:r>
        <w:tab/>
        <w:t>Conscientious objection to use of excess ART embryos</w:t>
      </w:r>
      <w:r>
        <w:tab/>
      </w:r>
      <w:r>
        <w:fldChar w:fldCharType="begin"/>
      </w:r>
      <w:r>
        <w:instrText xml:space="preserve"> PAGEREF _Toc493604629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11 — Review of Part</w:t>
      </w:r>
    </w:p>
    <w:p>
      <w:pPr>
        <w:pStyle w:val="TOC8"/>
        <w:rPr>
          <w:rFonts w:asciiTheme="minorHAnsi" w:eastAsiaTheme="minorEastAsia" w:hAnsiTheme="minorHAnsi" w:cstheme="minorBidi"/>
          <w:szCs w:val="22"/>
        </w:rPr>
      </w:pPr>
      <w:r>
        <w:t>53ZW.</w:t>
      </w:r>
      <w:r>
        <w:tab/>
        <w:t>Review of Part</w:t>
      </w:r>
      <w:r>
        <w:tab/>
      </w:r>
      <w:r>
        <w:fldChar w:fldCharType="begin"/>
      </w:r>
      <w:r>
        <w:instrText xml:space="preserve"> PAGEREF _Toc493604631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Powers of authorised officers</w:t>
      </w:r>
    </w:p>
    <w:p>
      <w:pPr>
        <w:pStyle w:val="TOC8"/>
        <w:rPr>
          <w:rFonts w:asciiTheme="minorHAnsi" w:eastAsiaTheme="minorEastAsia" w:hAnsiTheme="minorHAnsi" w:cstheme="minorBidi"/>
          <w:szCs w:val="22"/>
        </w:rPr>
      </w:pPr>
      <w:r>
        <w:t>54</w:t>
      </w:r>
      <w:r>
        <w:rPr>
          <w:snapToGrid w:val="0"/>
        </w:rPr>
        <w:t>.</w:t>
      </w:r>
      <w:r>
        <w:rPr>
          <w:snapToGrid w:val="0"/>
        </w:rPr>
        <w:tab/>
        <w:t>Powers of authorised officers</w:t>
      </w:r>
      <w:r>
        <w:tab/>
      </w:r>
      <w:r>
        <w:fldChar w:fldCharType="begin"/>
      </w:r>
      <w:r>
        <w:instrText xml:space="preserve"> PAGEREF _Toc493604634 \h </w:instrText>
      </w:r>
      <w:r>
        <w:fldChar w:fldCharType="separate"/>
      </w:r>
      <w:r>
        <w:t>127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Entry, search and seizure, by warrant</w:t>
      </w:r>
      <w:r>
        <w:tab/>
      </w:r>
      <w:r>
        <w:fldChar w:fldCharType="begin"/>
      </w:r>
      <w:r>
        <w:instrText xml:space="preserve"> PAGEREF _Toc493604635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Proceedings</w:t>
      </w:r>
    </w:p>
    <w:p>
      <w:pPr>
        <w:pStyle w:val="TOC8"/>
        <w:rPr>
          <w:rFonts w:asciiTheme="minorHAnsi" w:eastAsiaTheme="minorEastAsia" w:hAnsiTheme="minorHAnsi" w:cstheme="minorBidi"/>
          <w:szCs w:val="22"/>
        </w:rPr>
      </w:pPr>
      <w:r>
        <w:t>56</w:t>
      </w:r>
      <w:r>
        <w:rPr>
          <w:snapToGrid w:val="0"/>
        </w:rPr>
        <w:t>.</w:t>
      </w:r>
      <w:r>
        <w:rPr>
          <w:snapToGrid w:val="0"/>
        </w:rPr>
        <w:tab/>
        <w:t>Complaints for simple offence</w:t>
      </w:r>
      <w:r>
        <w:tab/>
      </w:r>
      <w:r>
        <w:fldChar w:fldCharType="begin"/>
      </w:r>
      <w:r>
        <w:instrText xml:space="preserve"> PAGEREF _Toc493604637 \h </w:instrText>
      </w:r>
      <w:r>
        <w:fldChar w:fldCharType="separate"/>
      </w:r>
      <w:r>
        <w:t>131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Averments, and other evidentiary matters</w:t>
      </w:r>
      <w:r>
        <w:tab/>
      </w:r>
      <w:r>
        <w:fldChar w:fldCharType="begin"/>
      </w:r>
      <w:r>
        <w:instrText xml:space="preserve"> PAGEREF _Toc493604638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Staff</w:t>
      </w:r>
    </w:p>
    <w:p>
      <w:pPr>
        <w:pStyle w:val="TOC8"/>
        <w:rPr>
          <w:rFonts w:asciiTheme="minorHAnsi" w:eastAsiaTheme="minorEastAsia" w:hAnsiTheme="minorHAnsi" w:cstheme="minorBidi"/>
          <w:szCs w:val="22"/>
        </w:rPr>
      </w:pPr>
      <w:r>
        <w:t>58</w:t>
      </w:r>
      <w:r>
        <w:rPr>
          <w:snapToGrid w:val="0"/>
        </w:rPr>
        <w:t>.</w:t>
      </w:r>
      <w:r>
        <w:rPr>
          <w:snapToGrid w:val="0"/>
        </w:rPr>
        <w:tab/>
        <w:t>Use of staff and facilities of departments, agencies and instrumentalities, and engagement of consultants, etc.</w:t>
      </w:r>
      <w:r>
        <w:tab/>
      </w:r>
      <w:r>
        <w:fldChar w:fldCharType="begin"/>
      </w:r>
      <w:r>
        <w:instrText xml:space="preserve"> PAGEREF _Toc493604641 \h </w:instrText>
      </w:r>
      <w:r>
        <w:fldChar w:fldCharType="separate"/>
      </w:r>
      <w:r>
        <w:t>135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Staff</w:t>
      </w:r>
      <w:r>
        <w:tab/>
      </w:r>
      <w:r>
        <w:fldChar w:fldCharType="begin"/>
      </w:r>
      <w:r>
        <w:instrText xml:space="preserve"> PAGEREF _Toc493604642 \h </w:instrText>
      </w:r>
      <w:r>
        <w:fldChar w:fldCharType="separate"/>
      </w:r>
      <w:r>
        <w:t>136</w:t>
      </w:r>
      <w:r>
        <w:fldChar w:fldCharType="end"/>
      </w:r>
    </w:p>
    <w:p>
      <w:pPr>
        <w:pStyle w:val="TOC8"/>
        <w:rPr>
          <w:rFonts w:asciiTheme="minorHAnsi" w:eastAsiaTheme="minorEastAsia" w:hAnsiTheme="minorHAnsi" w:cstheme="minorBidi"/>
          <w:szCs w:val="22"/>
        </w:rPr>
      </w:pPr>
      <w:r>
        <w:t>60A.</w:t>
      </w:r>
      <w:r>
        <w:tab/>
        <w:t>Public Health Officials</w:t>
      </w:r>
      <w:r>
        <w:tab/>
      </w:r>
      <w:r>
        <w:fldChar w:fldCharType="begin"/>
      </w:r>
      <w:r>
        <w:instrText xml:space="preserve"> PAGEREF _Toc493604643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Subsidiary legislation</w:t>
      </w:r>
    </w:p>
    <w:p>
      <w:pPr>
        <w:pStyle w:val="TOC8"/>
        <w:rPr>
          <w:rFonts w:asciiTheme="minorHAnsi" w:eastAsiaTheme="minorEastAsia" w:hAnsiTheme="minorHAnsi" w:cstheme="minorBidi"/>
          <w:szCs w:val="22"/>
        </w:rPr>
      </w:pPr>
      <w:r>
        <w:t>60</w:t>
      </w:r>
      <w:r>
        <w:rPr>
          <w:snapToGrid w:val="0"/>
        </w:rPr>
        <w:t>.</w:t>
      </w:r>
      <w:r>
        <w:rPr>
          <w:snapToGrid w:val="0"/>
        </w:rPr>
        <w:tab/>
        <w:t>Regulations, and subsidiary legislation generally</w:t>
      </w:r>
      <w:r>
        <w:tab/>
      </w:r>
      <w:r>
        <w:fldChar w:fldCharType="begin"/>
      </w:r>
      <w:r>
        <w:instrText xml:space="preserve"> PAGEREF _Toc493604645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w:t>
      </w:r>
    </w:p>
    <w:p>
      <w:pPr>
        <w:pStyle w:val="TOC8"/>
        <w:rPr>
          <w:rFonts w:asciiTheme="minorHAnsi" w:eastAsiaTheme="minorEastAsia" w:hAnsiTheme="minorHAnsi" w:cstheme="minorBidi"/>
          <w:szCs w:val="22"/>
        </w:rPr>
      </w:pPr>
      <w:r>
        <w:t>61</w:t>
      </w:r>
      <w:r>
        <w:rPr>
          <w:snapToGrid w:val="0"/>
        </w:rPr>
        <w:t>.</w:t>
      </w:r>
      <w:r>
        <w:rPr>
          <w:snapToGrid w:val="0"/>
        </w:rPr>
        <w:tab/>
        <w:t>Review of Act</w:t>
      </w:r>
      <w:r>
        <w:tab/>
      </w:r>
      <w:r>
        <w:fldChar w:fldCharType="begin"/>
      </w:r>
      <w:r>
        <w:instrText xml:space="preserve"> PAGEREF _Toc493604647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Schedule — Provisions relating to the membership and proceedings of the Council and the annual report on reproductive technology</w:t>
      </w:r>
    </w:p>
    <w:p>
      <w:pPr>
        <w:pStyle w:val="TOC8"/>
        <w:rPr>
          <w:rFonts w:asciiTheme="minorHAnsi" w:eastAsiaTheme="minorEastAsia" w:hAnsiTheme="minorHAnsi" w:cstheme="minorBidi"/>
          <w:szCs w:val="22"/>
        </w:rPr>
      </w:pPr>
      <w:r>
        <w:t>1</w:t>
      </w:r>
      <w:r>
        <w:rPr>
          <w:snapToGrid w:val="0"/>
        </w:rPr>
        <w:t>.</w:t>
      </w:r>
      <w:r>
        <w:rPr>
          <w:snapToGrid w:val="0"/>
        </w:rPr>
        <w:tab/>
        <w:t>Chair of Council</w:t>
      </w:r>
      <w:r>
        <w:tab/>
      </w:r>
      <w:r>
        <w:fldChar w:fldCharType="begin"/>
      </w:r>
      <w:r>
        <w:instrText xml:space="preserve"> PAGEREF _Toc493604649 \h </w:instrText>
      </w:r>
      <w:r>
        <w:fldChar w:fldCharType="separate"/>
      </w:r>
      <w:r>
        <w:t>140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Deputies etc.</w:t>
      </w:r>
      <w:r>
        <w:tab/>
      </w:r>
      <w:r>
        <w:fldChar w:fldCharType="begin"/>
      </w:r>
      <w:r>
        <w:instrText xml:space="preserve"> PAGEREF _Toc493604650 \h </w:instrText>
      </w:r>
      <w:r>
        <w:fldChar w:fldCharType="separate"/>
      </w:r>
      <w:r>
        <w:t>140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of office</w:t>
      </w:r>
      <w:r>
        <w:tab/>
      </w:r>
      <w:r>
        <w:fldChar w:fldCharType="begin"/>
      </w:r>
      <w:r>
        <w:instrText xml:space="preserve"> PAGEREF _Toc493604651 \h </w:instrText>
      </w:r>
      <w:r>
        <w:fldChar w:fldCharType="separate"/>
      </w:r>
      <w:r>
        <w:t>141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and leave of members</w:t>
      </w:r>
      <w:r>
        <w:tab/>
      </w:r>
      <w:r>
        <w:fldChar w:fldCharType="begin"/>
      </w:r>
      <w:r>
        <w:instrText xml:space="preserve"> PAGEREF _Toc493604652 \h </w:instrText>
      </w:r>
      <w:r>
        <w:fldChar w:fldCharType="separate"/>
      </w:r>
      <w:r>
        <w:t>142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Premature vacation of office</w:t>
      </w:r>
      <w:r>
        <w:tab/>
      </w:r>
      <w:r>
        <w:fldChar w:fldCharType="begin"/>
      </w:r>
      <w:r>
        <w:instrText xml:space="preserve"> PAGEREF _Toc493604653 \h </w:instrText>
      </w:r>
      <w:r>
        <w:fldChar w:fldCharType="separate"/>
      </w:r>
      <w:r>
        <w:t>143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Personal or pecuniary interests</w:t>
      </w:r>
      <w:r>
        <w:tab/>
      </w:r>
      <w:r>
        <w:fldChar w:fldCharType="begin"/>
      </w:r>
      <w:r>
        <w:instrText xml:space="preserve"> PAGEREF _Toc493604654 \h </w:instrText>
      </w:r>
      <w:r>
        <w:fldChar w:fldCharType="separate"/>
      </w:r>
      <w:r>
        <w:t>144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Meetings and proceedings</w:t>
      </w:r>
      <w:r>
        <w:tab/>
      </w:r>
      <w:r>
        <w:fldChar w:fldCharType="begin"/>
      </w:r>
      <w:r>
        <w:instrText xml:space="preserve"> PAGEREF _Toc493604655 \h </w:instrText>
      </w:r>
      <w:r>
        <w:fldChar w:fldCharType="separate"/>
      </w:r>
      <w:r>
        <w:t>146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Unanimous resolution may be passed without meeting</w:t>
      </w:r>
      <w:r>
        <w:tab/>
      </w:r>
      <w:r>
        <w:fldChar w:fldCharType="begin"/>
      </w:r>
      <w:r>
        <w:instrText xml:space="preserve"> PAGEREF _Toc493604656 \h </w:instrText>
      </w:r>
      <w:r>
        <w:fldChar w:fldCharType="separate"/>
      </w:r>
      <w:r>
        <w:t>147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Committees</w:t>
      </w:r>
      <w:r>
        <w:tab/>
      </w:r>
      <w:r>
        <w:fldChar w:fldCharType="begin"/>
      </w:r>
      <w:r>
        <w:instrText xml:space="preserve"> PAGEREF _Toc493604657 \h </w:instrText>
      </w:r>
      <w:r>
        <w:fldChar w:fldCharType="separate"/>
      </w:r>
      <w:r>
        <w:t>147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Protection of members etc.</w:t>
      </w:r>
      <w:r>
        <w:tab/>
      </w:r>
      <w:r>
        <w:fldChar w:fldCharType="begin"/>
      </w:r>
      <w:r>
        <w:instrText xml:space="preserve"> PAGEREF _Toc493604658 \h </w:instrText>
      </w:r>
      <w:r>
        <w:fldChar w:fldCharType="separate"/>
      </w:r>
      <w:r>
        <w:t>148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Annual report on reproductive technology</w:t>
      </w:r>
      <w:r>
        <w:tab/>
      </w:r>
      <w:r>
        <w:fldChar w:fldCharType="begin"/>
      </w:r>
      <w:r>
        <w:instrText xml:space="preserve"> PAGEREF _Toc493604659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_Toc493604661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840"/>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spacing w:before="100"/>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spacing w:before="100"/>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spacing w:before="100"/>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No. 3 of 2002 s. 72; No. 17 of 2004 s. 4.]</w:t>
      </w:r>
    </w:p>
    <w:p>
      <w:pPr>
        <w:pStyle w:val="Enactment"/>
        <w:spacing w:before="120"/>
        <w:rPr>
          <w:snapToGrid w:val="0"/>
        </w:rPr>
      </w:pPr>
      <w:r>
        <w:rPr>
          <w:snapToGrid w:val="0"/>
        </w:rPr>
        <w:t xml:space="preserve">The Parliament of Western Australia enacts as follows: </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Heading2"/>
      </w:pPr>
      <w:bookmarkStart w:id="3" w:name="_Toc471916324"/>
      <w:bookmarkStart w:id="4" w:name="_Toc472069907"/>
      <w:bookmarkStart w:id="5" w:name="_Toc473107905"/>
      <w:bookmarkStart w:id="6" w:name="_Toc473117711"/>
      <w:bookmarkStart w:id="7" w:name="_Toc493587250"/>
      <w:bookmarkStart w:id="8" w:name="_Toc493587421"/>
      <w:bookmarkStart w:id="9" w:name="_Toc493604492"/>
      <w:r>
        <w:rPr>
          <w:rStyle w:val="CharPartNo"/>
        </w:rPr>
        <w:t>Part 1</w:t>
      </w:r>
      <w:r>
        <w:t> —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3"/>
        <w:rPr>
          <w:snapToGrid w:val="0"/>
        </w:rPr>
      </w:pPr>
      <w:bookmarkStart w:id="10" w:name="_Toc471916325"/>
      <w:bookmarkStart w:id="11" w:name="_Toc472069908"/>
      <w:bookmarkStart w:id="12" w:name="_Toc473107906"/>
      <w:bookmarkStart w:id="13" w:name="_Toc473117712"/>
      <w:bookmarkStart w:id="14" w:name="_Toc493587251"/>
      <w:bookmarkStart w:id="15" w:name="_Toc493587422"/>
      <w:bookmarkStart w:id="16" w:name="_Toc493604493"/>
      <w:r>
        <w:rPr>
          <w:rStyle w:val="CharDivNo"/>
        </w:rPr>
        <w:t>Division 1</w:t>
      </w:r>
      <w:r>
        <w:rPr>
          <w:snapToGrid w:val="0"/>
        </w:rPr>
        <w:t> — </w:t>
      </w:r>
      <w:r>
        <w:rPr>
          <w:rStyle w:val="CharDivText"/>
        </w:rPr>
        <w:t>Introduction</w:t>
      </w:r>
      <w:bookmarkEnd w:id="10"/>
      <w:bookmarkEnd w:id="11"/>
      <w:bookmarkEnd w:id="12"/>
      <w:bookmarkEnd w:id="13"/>
      <w:bookmarkEnd w:id="14"/>
      <w:bookmarkEnd w:id="15"/>
      <w:bookmarkEnd w:id="16"/>
      <w:r>
        <w:rPr>
          <w:rStyle w:val="CharDivText"/>
        </w:rPr>
        <w:t xml:space="preserve"> </w:t>
      </w:r>
    </w:p>
    <w:p>
      <w:pPr>
        <w:pStyle w:val="Heading5"/>
        <w:rPr>
          <w:snapToGrid w:val="0"/>
        </w:rPr>
      </w:pPr>
      <w:bookmarkStart w:id="17" w:name="_Toc493604494"/>
      <w:r>
        <w:rPr>
          <w:rStyle w:val="CharSectno"/>
        </w:rPr>
        <w:t>1</w:t>
      </w:r>
      <w:r>
        <w:rPr>
          <w:snapToGrid w:val="0"/>
        </w:rPr>
        <w:t>.</w:t>
      </w:r>
      <w:r>
        <w:rPr>
          <w:snapToGrid w:val="0"/>
        </w:rPr>
        <w:tab/>
        <w:t>Short title</w:t>
      </w:r>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18" w:name="_Toc493604495"/>
      <w:r>
        <w:rPr>
          <w:rStyle w:val="CharSectno"/>
        </w:rPr>
        <w:t>2</w:t>
      </w:r>
      <w:r>
        <w:rPr>
          <w:snapToGrid w:val="0"/>
        </w:rPr>
        <w:t>.</w:t>
      </w:r>
      <w:r>
        <w:rPr>
          <w:snapToGrid w:val="0"/>
        </w:rPr>
        <w:tab/>
        <w:t>Commencement</w:t>
      </w:r>
      <w:bookmarkEnd w:id="1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19" w:name="_Toc493604496"/>
      <w:r>
        <w:rPr>
          <w:rStyle w:val="CharSectno"/>
        </w:rPr>
        <w:t>3</w:t>
      </w:r>
      <w:r>
        <w:rPr>
          <w:snapToGrid w:val="0"/>
        </w:rPr>
        <w:t>.</w:t>
      </w:r>
      <w:r>
        <w:rPr>
          <w:snapToGrid w:val="0"/>
        </w:rPr>
        <w:tab/>
        <w:t>Terms used and application</w:t>
      </w:r>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 and</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pPr>
      <w:r>
        <w:tab/>
        <w:t>(i)</w:t>
      </w:r>
      <w:r>
        <w:tab/>
        <w:t>the fertilisation of that egg, within or outside her body; or</w:t>
      </w:r>
    </w:p>
    <w:p>
      <w:pPr>
        <w:pStyle w:val="Defsubpara"/>
      </w:pPr>
      <w:r>
        <w:tab/>
        <w:t>(ii)</w:t>
      </w:r>
      <w:r>
        <w:tab/>
        <w:t>the keeping or use of that egg with intent to derive from it a human egg undergoing fertilisation or a human embryo; or</w:t>
      </w:r>
    </w:p>
    <w:p>
      <w:pPr>
        <w:pStyle w:val="Defsubpara"/>
      </w:pPr>
      <w:r>
        <w:tab/>
        <w:t>(iii)</w:t>
      </w:r>
      <w:r>
        <w:tab/>
        <w:t>the keeping or use of that human egg undergoing fertilisation or human embryo so derived;</w:t>
      </w:r>
    </w:p>
    <w:p>
      <w:pPr>
        <w:pStyle w:val="Defpara"/>
        <w:keepNext/>
      </w:pPr>
      <w:r>
        <w:tab/>
      </w:r>
      <w:r>
        <w:tab/>
        <w:t>or</w:t>
      </w:r>
    </w:p>
    <w:p>
      <w:pPr>
        <w:pStyle w:val="Defpara"/>
        <w:keepNext/>
      </w:pPr>
      <w:r>
        <w:tab/>
        <w:t>(b)</w:t>
      </w:r>
      <w:r>
        <w:tab/>
        <w:t>is directed at the introduction into the body of a woman of — </w:t>
      </w:r>
    </w:p>
    <w:p>
      <w:pPr>
        <w:pStyle w:val="Defsubpara"/>
      </w:pPr>
      <w:r>
        <w:tab/>
        <w:t>(i)</w:t>
      </w:r>
      <w:r>
        <w:tab/>
        <w:t>a human egg;</w:t>
      </w:r>
    </w:p>
    <w:p>
      <w:pPr>
        <w:pStyle w:val="Defsubpara"/>
      </w:pPr>
      <w:r>
        <w:tab/>
        <w:t>(ii)</w:t>
      </w:r>
      <w:r>
        <w:tab/>
        <w:t xml:space="preserve">a human egg undergoing fertilisation or a human embryo, 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 and</w:t>
      </w:r>
    </w:p>
    <w:p>
      <w:pPr>
        <w:pStyle w:val="Defpara"/>
      </w:pPr>
      <w:r>
        <w:tab/>
        <w:t>(a)</w:t>
      </w:r>
      <w:r>
        <w:tab/>
        <w:t>a person who is authorised under section 30 to carry on the practice of a licensee; and</w:t>
      </w:r>
    </w:p>
    <w:p>
      <w:pPr>
        <w:pStyle w:val="Defpara"/>
      </w:pPr>
      <w:r>
        <w:tab/>
        <w:t>(b)</w:t>
      </w:r>
      <w:r>
        <w:tab/>
        <w:t>the licence supervisor, in relation to any licence or exemption; and</w:t>
      </w:r>
    </w:p>
    <w:p>
      <w:pPr>
        <w:pStyle w:val="Defpara"/>
      </w:pPr>
      <w:r>
        <w:tab/>
        <w:t>(c)</w:t>
      </w:r>
      <w:r>
        <w:tab/>
        <w:t>a person authorised or permitted, in accordance with section 51, to carry on, supervise or manage a reproductive technology practice or specified activities; and</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pPr>
      <w:r>
        <w:tab/>
        <w:t>(i)</w:t>
      </w:r>
      <w:r>
        <w:tab/>
        <w:t>undergoes that procedure; or</w:t>
      </w:r>
    </w:p>
    <w:p>
      <w:pPr>
        <w:pStyle w:val="Defsubpara"/>
        <w:keepLines w:val="0"/>
      </w:pPr>
      <w:r>
        <w:tab/>
        <w:t>(ii)</w:t>
      </w:r>
      <w:r>
        <w:tab/>
        <w:t xml:space="preserve">is the donor, or being a woman is the recipient, of human gametes, of a human egg undergoing fertilisation or of a human embryo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by the CEO under section 60A(1);</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 or</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 and</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 and</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 xml:space="preserve">the </w:t>
      </w:r>
      <w:r>
        <w:t>licence supervisor</w:t>
      </w:r>
      <w:r>
        <w:rPr>
          <w:snapToGrid w:val="0"/>
        </w:rPr>
        <w:t>; and</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 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spacing w:before="100"/>
      </w:pPr>
      <w:r>
        <w:tab/>
        <w:t xml:space="preserve">[Section 3 amended: No. 57 of 1997 s. 75; No. 10 of 2001 s. 108; No. 17 of 2004 s. 5; No. 18 of 2004 s. 4; </w:t>
      </w:r>
      <w:r>
        <w:rPr>
          <w:spacing w:val="-6"/>
        </w:rPr>
        <w:t xml:space="preserve">No. 34 of 2004 </w:t>
      </w:r>
      <w:r>
        <w:t>Sch. 2 cl. 14; No. 55 of 2004 s. 522 and 540; No. 28 of 2006 s. 266 and 270(1); No. 22 of 2008 Sch. 3 cl. 28; No. 35 of 2010 s. 95; No. 19 of 2016 s. 157.]</w:t>
      </w:r>
    </w:p>
    <w:p>
      <w:pPr>
        <w:pStyle w:val="Heading5"/>
      </w:pPr>
      <w:bookmarkStart w:id="20" w:name="_Toc493604497"/>
      <w:r>
        <w:rPr>
          <w:rStyle w:val="CharSectno"/>
        </w:rPr>
        <w:t>3A</w:t>
      </w:r>
      <w:r>
        <w:t>.</w:t>
      </w:r>
      <w:r>
        <w:tab/>
        <w:t>Term used: human embryo</w:t>
      </w:r>
      <w:bookmarkEnd w:id="20"/>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spacing w:before="100"/>
      </w:pPr>
      <w:r>
        <w:tab/>
        <w:t>[Section 3A inserted: No. 17 of 2004 s. 6.]</w:t>
      </w:r>
    </w:p>
    <w:p>
      <w:pPr>
        <w:pStyle w:val="Heading5"/>
        <w:rPr>
          <w:snapToGrid w:val="0"/>
        </w:rPr>
      </w:pPr>
      <w:bookmarkStart w:id="21" w:name="_Toc493604498"/>
      <w:r>
        <w:rPr>
          <w:rStyle w:val="CharSectno"/>
        </w:rPr>
        <w:t>4</w:t>
      </w:r>
      <w:r>
        <w:rPr>
          <w:snapToGrid w:val="0"/>
        </w:rPr>
        <w:t>.</w:t>
      </w:r>
      <w:r>
        <w:rPr>
          <w:snapToGrid w:val="0"/>
        </w:rPr>
        <w:tab/>
        <w:t>Objects of this Act</w:t>
      </w:r>
      <w:bookmarkEnd w:id="21"/>
      <w:r>
        <w:rPr>
          <w:snapToGrid w:val="0"/>
        </w:rPr>
        <w:t xml:space="preserve"> </w:t>
      </w:r>
    </w:p>
    <w:p>
      <w:pPr>
        <w:pStyle w:val="Subsection"/>
        <w:spacing w:before="140"/>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 and</w:t>
      </w:r>
    </w:p>
    <w:p>
      <w:pPr>
        <w:pStyle w:val="Indenti"/>
        <w:rPr>
          <w:snapToGrid w:val="0"/>
        </w:rPr>
      </w:pPr>
      <w:r>
        <w:rPr>
          <w:snapToGrid w:val="0"/>
        </w:rPr>
        <w:tab/>
        <w:t>(ii)</w:t>
      </w:r>
      <w:r>
        <w:rPr>
          <w:snapToGrid w:val="0"/>
        </w:rPr>
        <w:tab/>
        <w:t>the compilation and implementation of a Code of Practice; and</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ensure adherence to standards in the practice of reproductive technology that are proper and suitable; and</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 and</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 and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 and</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 and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No. 17 of 2004 s. 7; No. 18 of 2004 s. 5.]</w:t>
      </w:r>
    </w:p>
    <w:p>
      <w:pPr>
        <w:pStyle w:val="Heading5"/>
        <w:rPr>
          <w:snapToGrid w:val="0"/>
        </w:rPr>
      </w:pPr>
      <w:bookmarkStart w:id="22" w:name="_Toc493604499"/>
      <w:r>
        <w:rPr>
          <w:rStyle w:val="CharSectno"/>
        </w:rPr>
        <w:t>5</w:t>
      </w:r>
      <w:r>
        <w:rPr>
          <w:snapToGrid w:val="0"/>
        </w:rPr>
        <w:t>.</w:t>
      </w:r>
      <w:r>
        <w:rPr>
          <w:snapToGrid w:val="0"/>
        </w:rPr>
        <w:tab/>
        <w:t>Administration of this Act</w:t>
      </w:r>
      <w:bookmarkEnd w:id="22"/>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 and</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No. 28 of 2006 s. 270.]</w:t>
      </w:r>
    </w:p>
    <w:p>
      <w:pPr>
        <w:pStyle w:val="Heading3"/>
        <w:rPr>
          <w:snapToGrid w:val="0"/>
        </w:rPr>
      </w:pPr>
      <w:bookmarkStart w:id="23" w:name="_Toc471916332"/>
      <w:bookmarkStart w:id="24" w:name="_Toc472069915"/>
      <w:bookmarkStart w:id="25" w:name="_Toc473107913"/>
      <w:bookmarkStart w:id="26" w:name="_Toc473117719"/>
      <w:bookmarkStart w:id="27" w:name="_Toc493587258"/>
      <w:bookmarkStart w:id="28" w:name="_Toc493587429"/>
      <w:bookmarkStart w:id="29" w:name="_Toc493604500"/>
      <w:r>
        <w:rPr>
          <w:rStyle w:val="CharDivNo"/>
        </w:rPr>
        <w:t>Division 2</w:t>
      </w:r>
      <w:r>
        <w:rPr>
          <w:snapToGrid w:val="0"/>
        </w:rPr>
        <w:t> — </w:t>
      </w:r>
      <w:r>
        <w:rPr>
          <w:rStyle w:val="CharDivText"/>
        </w:rPr>
        <w:t>Specific offences</w:t>
      </w:r>
      <w:bookmarkEnd w:id="23"/>
      <w:bookmarkEnd w:id="24"/>
      <w:bookmarkEnd w:id="25"/>
      <w:bookmarkEnd w:id="26"/>
      <w:bookmarkEnd w:id="27"/>
      <w:bookmarkEnd w:id="28"/>
      <w:bookmarkEnd w:id="29"/>
      <w:r>
        <w:rPr>
          <w:rStyle w:val="CharDivText"/>
        </w:rPr>
        <w:t xml:space="preserve"> </w:t>
      </w:r>
    </w:p>
    <w:p>
      <w:pPr>
        <w:pStyle w:val="Heading5"/>
      </w:pPr>
      <w:bookmarkStart w:id="30" w:name="_Toc493604501"/>
      <w:r>
        <w:rPr>
          <w:rStyle w:val="CharSectno"/>
        </w:rPr>
        <w:t>5A</w:t>
      </w:r>
      <w:r>
        <w:t>.</w:t>
      </w:r>
      <w:r>
        <w:tab/>
        <w:t>Application</w:t>
      </w:r>
      <w:bookmarkEnd w:id="30"/>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No. 17 of 2004 s. 8.]</w:t>
      </w:r>
    </w:p>
    <w:p>
      <w:pPr>
        <w:pStyle w:val="Heading5"/>
        <w:rPr>
          <w:snapToGrid w:val="0"/>
        </w:rPr>
      </w:pPr>
      <w:bookmarkStart w:id="31" w:name="_Toc493604502"/>
      <w:r>
        <w:rPr>
          <w:rStyle w:val="CharSectno"/>
        </w:rPr>
        <w:t>6</w:t>
      </w:r>
      <w:r>
        <w:rPr>
          <w:snapToGrid w:val="0"/>
        </w:rPr>
        <w:t>.</w:t>
      </w:r>
      <w:r>
        <w:rPr>
          <w:snapToGrid w:val="0"/>
        </w:rPr>
        <w:tab/>
        <w:t>Unlicensed practices</w:t>
      </w:r>
      <w:bookmarkEnd w:id="31"/>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 or</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t xml:space="preserve">human sperm, </w:t>
      </w:r>
      <w:r>
        <w:rPr>
          <w:snapToGrid w:val="0"/>
        </w:rPr>
        <w:t>having been obtained from different men, to be kept; or</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No. 17 of 2004 s. 9; No. 84 of 2004 s. 82; No. 28 of 2006 s. 270(1).]</w:t>
      </w:r>
    </w:p>
    <w:p>
      <w:pPr>
        <w:pStyle w:val="Heading5"/>
        <w:rPr>
          <w:snapToGrid w:val="0"/>
        </w:rPr>
      </w:pPr>
      <w:bookmarkStart w:id="32" w:name="_Toc493604503"/>
      <w:r>
        <w:rPr>
          <w:rStyle w:val="CharSectno"/>
        </w:rPr>
        <w:t>7</w:t>
      </w:r>
      <w:r>
        <w:rPr>
          <w:snapToGrid w:val="0"/>
        </w:rPr>
        <w:t>.</w:t>
      </w:r>
      <w:r>
        <w:rPr>
          <w:snapToGrid w:val="0"/>
        </w:rPr>
        <w:tab/>
        <w:t>Offences relating to reproductive technology</w:t>
      </w:r>
      <w:bookmarkEnd w:id="32"/>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 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No. 17 of 2004 s. 10.]</w:t>
      </w:r>
    </w:p>
    <w:p>
      <w:pPr>
        <w:pStyle w:val="Heading2"/>
      </w:pPr>
      <w:bookmarkStart w:id="33" w:name="_Toc471916336"/>
      <w:bookmarkStart w:id="34" w:name="_Toc472069919"/>
      <w:bookmarkStart w:id="35" w:name="_Toc473107917"/>
      <w:bookmarkStart w:id="36" w:name="_Toc473117723"/>
      <w:bookmarkStart w:id="37" w:name="_Toc493587262"/>
      <w:bookmarkStart w:id="38" w:name="_Toc493587433"/>
      <w:bookmarkStart w:id="39" w:name="_Toc493604504"/>
      <w:r>
        <w:rPr>
          <w:rStyle w:val="CharPartNo"/>
        </w:rPr>
        <w:t>Part 2</w:t>
      </w:r>
      <w:r>
        <w:rPr>
          <w:rStyle w:val="CharDivNo"/>
        </w:rPr>
        <w:t> </w:t>
      </w:r>
      <w:r>
        <w:t>—</w:t>
      </w:r>
      <w:r>
        <w:rPr>
          <w:rStyle w:val="CharDivText"/>
        </w:rPr>
        <w:t> </w:t>
      </w:r>
      <w:r>
        <w:rPr>
          <w:rStyle w:val="CharPartText"/>
        </w:rPr>
        <w:t>The Council</w:t>
      </w:r>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93604505"/>
      <w:r>
        <w:rPr>
          <w:rStyle w:val="CharSectno"/>
        </w:rPr>
        <w:t>8</w:t>
      </w:r>
      <w:r>
        <w:rPr>
          <w:snapToGrid w:val="0"/>
        </w:rPr>
        <w:t>.</w:t>
      </w:r>
      <w:r>
        <w:rPr>
          <w:snapToGrid w:val="0"/>
        </w:rPr>
        <w:tab/>
        <w:t>Establishment of Council</w:t>
      </w:r>
      <w:bookmarkEnd w:id="40"/>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 and</w:t>
      </w:r>
    </w:p>
    <w:p>
      <w:pPr>
        <w:pStyle w:val="IndentI0"/>
        <w:rPr>
          <w:snapToGrid w:val="0"/>
        </w:rPr>
      </w:pPr>
      <w:r>
        <w:rPr>
          <w:snapToGrid w:val="0"/>
        </w:rPr>
        <w:tab/>
        <w:t>(B)</w:t>
      </w:r>
      <w:r>
        <w:rPr>
          <w:snapToGrid w:val="0"/>
        </w:rPr>
        <w:tab/>
        <w:t>the Australian Medical Association; and</w:t>
      </w:r>
    </w:p>
    <w:p>
      <w:pPr>
        <w:pStyle w:val="IndentI0"/>
        <w:rPr>
          <w:snapToGrid w:val="0"/>
        </w:rPr>
      </w:pPr>
      <w:r>
        <w:rPr>
          <w:snapToGrid w:val="0"/>
        </w:rPr>
        <w:tab/>
        <w:t>(C)</w:t>
      </w:r>
      <w:r>
        <w:rPr>
          <w:snapToGrid w:val="0"/>
        </w:rPr>
        <w:tab/>
        <w:t>the Law Society of Western Australia; and</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w:t>
      </w:r>
      <w:r>
        <w:t>this Act;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No. 32 of 1994 s. 19; No. 1 of 1996 s. 4; </w:t>
      </w:r>
      <w:r>
        <w:rPr>
          <w:spacing w:val="-6"/>
        </w:rPr>
        <w:t xml:space="preserve">No. 34 of 2004 </w:t>
      </w:r>
      <w:r>
        <w:t xml:space="preserve">Sch. 2 cl. 14; No. 19 of 2016 s. 158.] </w:t>
      </w:r>
    </w:p>
    <w:p>
      <w:pPr>
        <w:pStyle w:val="Heading5"/>
        <w:rPr>
          <w:snapToGrid w:val="0"/>
        </w:rPr>
      </w:pPr>
      <w:bookmarkStart w:id="41" w:name="_Toc493604506"/>
      <w:r>
        <w:rPr>
          <w:rStyle w:val="CharSectno"/>
        </w:rPr>
        <w:t>9</w:t>
      </w:r>
      <w:r>
        <w:rPr>
          <w:snapToGrid w:val="0"/>
        </w:rPr>
        <w:t>.</w:t>
      </w:r>
      <w:r>
        <w:rPr>
          <w:snapToGrid w:val="0"/>
        </w:rPr>
        <w:tab/>
        <w:t>Nominations, and recommendations, for membership</w:t>
      </w:r>
      <w:bookmarkEnd w:id="41"/>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 and</w:t>
      </w:r>
    </w:p>
    <w:p>
      <w:pPr>
        <w:pStyle w:val="Indenti"/>
        <w:spacing w:before="70"/>
        <w:rPr>
          <w:snapToGrid w:val="0"/>
        </w:rPr>
      </w:pPr>
      <w:r>
        <w:rPr>
          <w:snapToGrid w:val="0"/>
        </w:rPr>
        <w:tab/>
        <w:t>(ii)</w:t>
      </w:r>
      <w:r>
        <w:rPr>
          <w:snapToGrid w:val="0"/>
        </w:rPr>
        <w:tab/>
        <w:t>expertise in reproductive technology; and</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 and</w:t>
      </w:r>
    </w:p>
    <w:p>
      <w:pPr>
        <w:pStyle w:val="Indenta"/>
        <w:spacing w:before="70"/>
        <w:ind w:left="1610" w:hanging="1610"/>
        <w:rPr>
          <w:snapToGrid w:val="0"/>
        </w:rPr>
      </w:pPr>
      <w:r>
        <w:rPr>
          <w:snapToGrid w:val="0"/>
        </w:rPr>
        <w:tab/>
        <w:t>(b)</w:t>
      </w:r>
      <w:r>
        <w:rPr>
          <w:snapToGrid w:val="0"/>
        </w:rPr>
        <w:tab/>
        <w:t>the Council is constituted of equal numbers of men and women; and</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42" w:name="_Toc493604507"/>
      <w:r>
        <w:rPr>
          <w:rStyle w:val="CharSectno"/>
        </w:rPr>
        <w:t>10</w:t>
      </w:r>
      <w:r>
        <w:rPr>
          <w:snapToGrid w:val="0"/>
        </w:rPr>
        <w:t>.</w:t>
      </w:r>
      <w:r>
        <w:rPr>
          <w:snapToGrid w:val="0"/>
        </w:rPr>
        <w:tab/>
        <w:t>Committees</w:t>
      </w:r>
      <w:bookmarkEnd w:id="42"/>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No. 28 of 2006 s. 270.]</w:t>
      </w:r>
    </w:p>
    <w:p>
      <w:pPr>
        <w:pStyle w:val="Heading5"/>
        <w:rPr>
          <w:snapToGrid w:val="0"/>
        </w:rPr>
      </w:pPr>
      <w:bookmarkStart w:id="43" w:name="_Toc493604508"/>
      <w:r>
        <w:rPr>
          <w:rStyle w:val="CharSectno"/>
        </w:rPr>
        <w:t>11</w:t>
      </w:r>
      <w:r>
        <w:rPr>
          <w:snapToGrid w:val="0"/>
        </w:rPr>
        <w:t>.</w:t>
      </w:r>
      <w:r>
        <w:rPr>
          <w:snapToGrid w:val="0"/>
        </w:rPr>
        <w:tab/>
        <w:t>Delegation by Council</w:t>
      </w:r>
      <w:bookmarkEnd w:id="43"/>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 or</w:t>
      </w:r>
    </w:p>
    <w:p>
      <w:pPr>
        <w:pStyle w:val="Indenta"/>
        <w:spacing w:before="70"/>
        <w:rPr>
          <w:snapToGrid w:val="0"/>
        </w:rPr>
      </w:pPr>
      <w:r>
        <w:rPr>
          <w:snapToGrid w:val="0"/>
        </w:rPr>
        <w:tab/>
        <w:t>(b)</w:t>
      </w:r>
      <w:r>
        <w:rPr>
          <w:snapToGrid w:val="0"/>
        </w:rPr>
        <w:tab/>
        <w:t>a committee; or</w:t>
      </w:r>
    </w:p>
    <w:p>
      <w:pPr>
        <w:pStyle w:val="Indenta"/>
        <w:spacing w:before="70"/>
        <w:rPr>
          <w:snapToGrid w:val="0"/>
        </w:rPr>
      </w:pPr>
      <w:r>
        <w:rPr>
          <w:snapToGrid w:val="0"/>
        </w:rPr>
        <w:tab/>
        <w:t>(c)</w:t>
      </w:r>
      <w:r>
        <w:rPr>
          <w:snapToGrid w:val="0"/>
        </w:rPr>
        <w:tab/>
        <w:t>the</w:t>
      </w:r>
      <w:r>
        <w:t xml:space="preserve"> CEO</w:t>
      </w:r>
      <w:r>
        <w:rPr>
          <w:snapToGrid w:val="0"/>
        </w:rPr>
        <w:t>; or</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No. 28 of 2006 s. 270.]</w:t>
      </w:r>
    </w:p>
    <w:p>
      <w:pPr>
        <w:pStyle w:val="Heading5"/>
        <w:spacing w:before="600"/>
        <w:rPr>
          <w:snapToGrid w:val="0"/>
        </w:rPr>
      </w:pPr>
      <w:bookmarkStart w:id="44" w:name="_Toc493604509"/>
      <w:r>
        <w:rPr>
          <w:rStyle w:val="CharSectno"/>
        </w:rPr>
        <w:t>12</w:t>
      </w:r>
      <w:r>
        <w:rPr>
          <w:snapToGrid w:val="0"/>
        </w:rPr>
        <w:t>.</w:t>
      </w:r>
      <w:r>
        <w:rPr>
          <w:snapToGrid w:val="0"/>
        </w:rPr>
        <w:tab/>
        <w:t>Relationship of Council to Minister</w:t>
      </w:r>
      <w:bookmarkEnd w:id="44"/>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 and</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No. 28 of 2006 s. 270.]</w:t>
      </w:r>
    </w:p>
    <w:p>
      <w:pPr>
        <w:pStyle w:val="Heading5"/>
        <w:rPr>
          <w:snapToGrid w:val="0"/>
        </w:rPr>
      </w:pPr>
      <w:bookmarkStart w:id="45" w:name="_Toc493604510"/>
      <w:r>
        <w:rPr>
          <w:rStyle w:val="CharSectno"/>
        </w:rPr>
        <w:t>13</w:t>
      </w:r>
      <w:r>
        <w:rPr>
          <w:snapToGrid w:val="0"/>
        </w:rPr>
        <w:t>.</w:t>
      </w:r>
      <w:r>
        <w:rPr>
          <w:snapToGrid w:val="0"/>
        </w:rPr>
        <w:tab/>
        <w:t xml:space="preserve">Powers, and relationship to Council, of </w:t>
      </w:r>
      <w:r>
        <w:t>CEO</w:t>
      </w:r>
      <w:bookmarkEnd w:id="45"/>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 and</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 and</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 and</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 or</w:t>
      </w:r>
    </w:p>
    <w:p>
      <w:pPr>
        <w:pStyle w:val="Indenta"/>
        <w:rPr>
          <w:snapToGrid w:val="0"/>
        </w:rPr>
      </w:pPr>
      <w:r>
        <w:rPr>
          <w:snapToGrid w:val="0"/>
        </w:rPr>
        <w:tab/>
        <w:t>(b)</w:t>
      </w:r>
      <w:r>
        <w:rPr>
          <w:snapToGrid w:val="0"/>
        </w:rPr>
        <w:tab/>
        <w:t>the power to license; or</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No. 28 of 2006 s. 267 and 270.]</w:t>
      </w:r>
    </w:p>
    <w:p>
      <w:pPr>
        <w:pStyle w:val="Heading5"/>
        <w:rPr>
          <w:snapToGrid w:val="0"/>
        </w:rPr>
      </w:pPr>
      <w:bookmarkStart w:id="46" w:name="_Toc493604511"/>
      <w:r>
        <w:rPr>
          <w:rStyle w:val="CharSectno"/>
        </w:rPr>
        <w:t>14</w:t>
      </w:r>
      <w:r>
        <w:rPr>
          <w:snapToGrid w:val="0"/>
        </w:rPr>
        <w:t>.</w:t>
      </w:r>
      <w:r>
        <w:rPr>
          <w:snapToGrid w:val="0"/>
        </w:rPr>
        <w:tab/>
        <w:t>Functions of Council</w:t>
      </w:r>
      <w:bookmarkEnd w:id="46"/>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 and</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 or</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 or</w:t>
      </w:r>
    </w:p>
    <w:p>
      <w:pPr>
        <w:pStyle w:val="Indenti"/>
        <w:rPr>
          <w:snapToGrid w:val="0"/>
        </w:rPr>
      </w:pPr>
      <w:r>
        <w:rPr>
          <w:snapToGrid w:val="0"/>
        </w:rPr>
        <w:tab/>
        <w:t>(iii)</w:t>
      </w:r>
      <w:r>
        <w:rPr>
          <w:snapToGrid w:val="0"/>
        </w:rPr>
        <w:tab/>
        <w:t xml:space="preserve">any </w:t>
      </w:r>
      <w:r>
        <w:t>human egg undergoing</w:t>
      </w:r>
      <w:r>
        <w:rPr>
          <w:snapToGrid w:val="0"/>
        </w:rPr>
        <w:t xml:space="preserve"> fertilisation; or</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 or</w:t>
      </w:r>
    </w:p>
    <w:p>
      <w:pPr>
        <w:pStyle w:val="Indenti"/>
        <w:rPr>
          <w:snapToGrid w:val="0"/>
        </w:rPr>
      </w:pPr>
      <w:r>
        <w:rPr>
          <w:snapToGrid w:val="0"/>
        </w:rPr>
        <w:tab/>
        <w:t>(ii)</w:t>
      </w:r>
      <w:r>
        <w:rPr>
          <w:snapToGrid w:val="0"/>
        </w:rPr>
        <w:tab/>
        <w:t>criteria established by</w:t>
      </w:r>
      <w:r>
        <w:t xml:space="preserve"> a body referred to in section 29(5)(aa)(i)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r>
        <w:tab/>
        <w:t>[Section 14 amended: No. 17 of 2004 s. 11; No. 55 of 2004 s. 523; No. 28 of 2006 s. 270.]</w:t>
      </w:r>
    </w:p>
    <w:p>
      <w:pPr>
        <w:pStyle w:val="Heading2"/>
      </w:pPr>
      <w:bookmarkStart w:id="47" w:name="_Toc471916344"/>
      <w:bookmarkStart w:id="48" w:name="_Toc472069927"/>
      <w:bookmarkStart w:id="49" w:name="_Toc473107925"/>
      <w:bookmarkStart w:id="50" w:name="_Toc473117731"/>
      <w:bookmarkStart w:id="51" w:name="_Toc493587270"/>
      <w:bookmarkStart w:id="52" w:name="_Toc493587441"/>
      <w:bookmarkStart w:id="53" w:name="_Toc493604512"/>
      <w:r>
        <w:rPr>
          <w:rStyle w:val="CharPartNo"/>
        </w:rPr>
        <w:t>Part 3</w:t>
      </w:r>
      <w:r>
        <w:t> — </w:t>
      </w:r>
      <w:r>
        <w:rPr>
          <w:rStyle w:val="CharPartText"/>
        </w:rPr>
        <w:t>The Code of Practice</w:t>
      </w:r>
      <w:bookmarkEnd w:id="47"/>
      <w:bookmarkEnd w:id="48"/>
      <w:bookmarkEnd w:id="49"/>
      <w:bookmarkEnd w:id="50"/>
      <w:bookmarkEnd w:id="51"/>
      <w:bookmarkEnd w:id="52"/>
      <w:bookmarkEnd w:id="53"/>
      <w:r>
        <w:rPr>
          <w:rStyle w:val="CharPartText"/>
        </w:rPr>
        <w:t xml:space="preserve"> </w:t>
      </w:r>
    </w:p>
    <w:p>
      <w:pPr>
        <w:pStyle w:val="Heading3"/>
        <w:rPr>
          <w:snapToGrid w:val="0"/>
        </w:rPr>
      </w:pPr>
      <w:bookmarkStart w:id="54" w:name="_Toc471916345"/>
      <w:bookmarkStart w:id="55" w:name="_Toc472069928"/>
      <w:bookmarkStart w:id="56" w:name="_Toc473107926"/>
      <w:bookmarkStart w:id="57" w:name="_Toc473117732"/>
      <w:bookmarkStart w:id="58" w:name="_Toc493587271"/>
      <w:bookmarkStart w:id="59" w:name="_Toc493587442"/>
      <w:bookmarkStart w:id="60" w:name="_Toc493604513"/>
      <w:r>
        <w:rPr>
          <w:rStyle w:val="CharDivNo"/>
        </w:rPr>
        <w:t>Division 1</w:t>
      </w:r>
      <w:r>
        <w:rPr>
          <w:snapToGrid w:val="0"/>
        </w:rPr>
        <w:t> — </w:t>
      </w:r>
      <w:r>
        <w:rPr>
          <w:rStyle w:val="CharDivText"/>
        </w:rPr>
        <w:t>Compilation of the Code</w:t>
      </w:r>
      <w:bookmarkEnd w:id="54"/>
      <w:bookmarkEnd w:id="55"/>
      <w:bookmarkEnd w:id="56"/>
      <w:bookmarkEnd w:id="57"/>
      <w:bookmarkEnd w:id="58"/>
      <w:bookmarkEnd w:id="59"/>
      <w:bookmarkEnd w:id="60"/>
      <w:r>
        <w:rPr>
          <w:rStyle w:val="CharDivText"/>
        </w:rPr>
        <w:t xml:space="preserve"> </w:t>
      </w:r>
    </w:p>
    <w:p>
      <w:pPr>
        <w:pStyle w:val="Heading5"/>
        <w:rPr>
          <w:snapToGrid w:val="0"/>
        </w:rPr>
      </w:pPr>
      <w:bookmarkStart w:id="61" w:name="_Toc493604514"/>
      <w:r>
        <w:rPr>
          <w:rStyle w:val="CharSectno"/>
        </w:rPr>
        <w:t>15</w:t>
      </w:r>
      <w:r>
        <w:rPr>
          <w:snapToGrid w:val="0"/>
        </w:rPr>
        <w:t>.</w:t>
      </w:r>
      <w:r>
        <w:rPr>
          <w:snapToGrid w:val="0"/>
        </w:rPr>
        <w:tab/>
        <w:t>Concept of Code of Practice</w:t>
      </w:r>
      <w:bookmarkEnd w:id="61"/>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 and</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No. 55 of 2004 s. 540; No. 28 of 2006 s. 270(1).]</w:t>
      </w:r>
    </w:p>
    <w:p>
      <w:pPr>
        <w:pStyle w:val="Heading5"/>
        <w:rPr>
          <w:snapToGrid w:val="0"/>
        </w:rPr>
      </w:pPr>
      <w:bookmarkStart w:id="62" w:name="_Toc493604515"/>
      <w:r>
        <w:rPr>
          <w:rStyle w:val="CharSectno"/>
        </w:rPr>
        <w:t>16</w:t>
      </w:r>
      <w:r>
        <w:rPr>
          <w:snapToGrid w:val="0"/>
        </w:rPr>
        <w:t>.</w:t>
      </w:r>
      <w:r>
        <w:rPr>
          <w:snapToGrid w:val="0"/>
        </w:rPr>
        <w:tab/>
        <w:t>Implementation of Code of Practice</w:t>
      </w:r>
      <w:bookmarkEnd w:id="62"/>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 and</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 and</w:t>
      </w:r>
    </w:p>
    <w:p>
      <w:pPr>
        <w:pStyle w:val="Indenta"/>
        <w:spacing w:before="60"/>
        <w:rPr>
          <w:snapToGrid w:val="0"/>
        </w:rPr>
      </w:pPr>
      <w:r>
        <w:rPr>
          <w:snapToGrid w:val="0"/>
        </w:rPr>
        <w:tab/>
        <w:t>(b)</w:t>
      </w:r>
      <w:r>
        <w:rPr>
          <w:snapToGrid w:val="0"/>
        </w:rPr>
        <w:tab/>
        <w:t>may not be amended, or have its provisions substituted, by resolution of the House; and</w:t>
      </w:r>
    </w:p>
    <w:p>
      <w:pPr>
        <w:pStyle w:val="Indenta"/>
        <w:spacing w:before="60"/>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spacing w:before="60"/>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(3A) or (3B) otherwise provides.</w:t>
      </w:r>
    </w:p>
    <w:p>
      <w:pPr>
        <w:pStyle w:val="Subsection"/>
        <w:spacing w:before="140"/>
      </w:pPr>
      <w:r>
        <w:tab/>
        <w:t>(3A)</w:t>
      </w:r>
      <w:r>
        <w:tab/>
        <w:t>Where notice of motion to disallow any proposed Rule is given in either House the proposed Rule shall not be given effect unless and until — </w:t>
      </w:r>
    </w:p>
    <w:p>
      <w:pPr>
        <w:pStyle w:val="Indenta"/>
        <w:spacing w:before="60"/>
      </w:pPr>
      <w:r>
        <w:tab/>
      </w:r>
      <w:r>
        <w:rPr>
          <w:snapToGrid w:val="0"/>
        </w:rPr>
        <w:t>(a)</w:t>
      </w:r>
      <w:r>
        <w:rPr>
          <w:snapToGrid w:val="0"/>
        </w:rPr>
        <w:tab/>
        <w:t>the motion has been defeated</w:t>
      </w:r>
      <w:r>
        <w:t xml:space="preserve"> or the notice or the motion withdrawn; or</w:t>
      </w:r>
    </w:p>
    <w:p>
      <w:pPr>
        <w:pStyle w:val="Indenta"/>
        <w:spacing w:before="60"/>
      </w:pPr>
      <w:r>
        <w:tab/>
        <w:t>(b)</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spacing w:before="60"/>
      </w:pPr>
      <w:r>
        <w:tab/>
        <w:t>(c)</w:t>
      </w:r>
      <w:r>
        <w:tab/>
        <w:t>such further motion has been dealt with in accordance with paragraph (a) or (b).</w:t>
      </w:r>
    </w:p>
    <w:p>
      <w:pPr>
        <w:pStyle w:val="Subsection"/>
        <w:spacing w:before="140"/>
      </w:pPr>
      <w:r>
        <w:rPr>
          <w:snapToGrid w:val="0"/>
        </w:rPr>
        <w:tab/>
        <w:t>(3B)</w:t>
      </w:r>
      <w:r>
        <w:rPr>
          <w:snapToGrid w:val="0"/>
        </w:rPr>
        <w:tab/>
      </w:r>
      <w:r>
        <w:t>Where a resolution disallowing any proposed Rule has been passed by either House that Rule shall be deemed revoked and shall not be given effect.</w:t>
      </w:r>
    </w:p>
    <w:p>
      <w:pPr>
        <w:pStyle w:val="Subsection"/>
        <w:spacing w:before="140"/>
        <w:rPr>
          <w:snapToGrid w:val="0"/>
        </w:rPr>
      </w:pPr>
      <w:r>
        <w:rPr>
          <w:snapToGrid w:val="0"/>
        </w:rPr>
        <w:tab/>
        <w:t>(4)</w:t>
      </w:r>
      <w:r>
        <w:rPr>
          <w:snapToGrid w:val="0"/>
        </w:rPr>
        <w:tab/>
        <w:t xml:space="preserve">Where a resolution disallowing a proposed Rule has been passed under subsection (3A), notice of that resolution shall be published in the </w:t>
      </w:r>
      <w:r>
        <w:rPr>
          <w:i/>
          <w:snapToGrid w:val="0"/>
        </w:rPr>
        <w:t>Gazette</w:t>
      </w:r>
      <w:r>
        <w:rPr>
          <w:snapToGrid w:val="0"/>
        </w:rPr>
        <w:t xml:space="preserve"> within 21 days thereafter.</w:t>
      </w:r>
    </w:p>
    <w:p>
      <w:pPr>
        <w:pStyle w:val="Subsection"/>
        <w:spacing w:before="140"/>
        <w:rPr>
          <w:snapToGrid w:val="0"/>
        </w:rPr>
      </w:pPr>
      <w:r>
        <w:rPr>
          <w:snapToGrid w:val="0"/>
        </w:rPr>
        <w:tab/>
        <w:t>(5)</w:t>
      </w:r>
      <w:r>
        <w:rPr>
          <w:snapToGrid w:val="0"/>
        </w:rPr>
        <w:tab/>
        <w:t>The Executive Officer shall — </w:t>
      </w:r>
    </w:p>
    <w:p>
      <w:pPr>
        <w:pStyle w:val="Indenta"/>
        <w:spacing w:before="60"/>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Footnotesection"/>
      </w:pPr>
      <w:r>
        <w:tab/>
        <w:t>[Section 16 amended: No. 19 of 2010 s. 51.]</w:t>
      </w:r>
    </w:p>
    <w:p>
      <w:pPr>
        <w:pStyle w:val="Heading5"/>
        <w:rPr>
          <w:snapToGrid w:val="0"/>
        </w:rPr>
      </w:pPr>
      <w:bookmarkStart w:id="63" w:name="_Toc493604516"/>
      <w:r>
        <w:rPr>
          <w:rStyle w:val="CharSectno"/>
        </w:rPr>
        <w:t>17</w:t>
      </w:r>
      <w:r>
        <w:rPr>
          <w:snapToGrid w:val="0"/>
        </w:rPr>
        <w:t>.</w:t>
      </w:r>
      <w:r>
        <w:rPr>
          <w:snapToGrid w:val="0"/>
        </w:rPr>
        <w:tab/>
        <w:t>Matters which shall be dealt with in Code</w:t>
      </w:r>
      <w:bookmarkEnd w:id="63"/>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r>
        <w:tab/>
        <w:t>(a)</w:t>
      </w:r>
      <w:r>
        <w:tab/>
        <w:t>human gametes; or</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No. 17 of 2004 s. 12.]</w:t>
      </w:r>
    </w:p>
    <w:p>
      <w:pPr>
        <w:pStyle w:val="Heading5"/>
        <w:rPr>
          <w:snapToGrid w:val="0"/>
        </w:rPr>
      </w:pPr>
      <w:bookmarkStart w:id="64" w:name="_Toc493604517"/>
      <w:r>
        <w:rPr>
          <w:rStyle w:val="CharSectno"/>
        </w:rPr>
        <w:t>18</w:t>
      </w:r>
      <w:r>
        <w:rPr>
          <w:snapToGrid w:val="0"/>
        </w:rPr>
        <w:t>.</w:t>
      </w:r>
      <w:r>
        <w:rPr>
          <w:snapToGrid w:val="0"/>
        </w:rPr>
        <w:tab/>
        <w:t>Matters which may be dealt with in Code</w:t>
      </w:r>
      <w:bookmarkEnd w:id="64"/>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 and</w:t>
      </w:r>
    </w:p>
    <w:p>
      <w:pPr>
        <w:pStyle w:val="Indenta"/>
        <w:rPr>
          <w:snapToGrid w:val="0"/>
        </w:rPr>
      </w:pPr>
      <w:r>
        <w:rPr>
          <w:snapToGrid w:val="0"/>
        </w:rPr>
        <w:tab/>
        <w:t>(b)</w:t>
      </w:r>
      <w:r>
        <w:rPr>
          <w:snapToGrid w:val="0"/>
        </w:rPr>
        <w:tab/>
        <w:t>artificial fertilisation procedures likely to lead to multiple pregnancies; and</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 and</w:t>
      </w:r>
    </w:p>
    <w:p>
      <w:pPr>
        <w:pStyle w:val="Indenta"/>
        <w:rPr>
          <w:snapToGrid w:val="0"/>
        </w:rPr>
      </w:pPr>
      <w:r>
        <w:rPr>
          <w:snapToGrid w:val="0"/>
        </w:rPr>
        <w:tab/>
        <w:t>(c)</w:t>
      </w:r>
      <w:r>
        <w:rPr>
          <w:snapToGrid w:val="0"/>
        </w:rPr>
        <w:tab/>
        <w:t>the treatment of any human gametes intended for use in an artificial fertilisation procedure; and</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 and</w:t>
      </w:r>
    </w:p>
    <w:p>
      <w:pPr>
        <w:pStyle w:val="Indenta"/>
        <w:rPr>
          <w:snapToGrid w:val="0"/>
        </w:rPr>
      </w:pPr>
      <w:r>
        <w:rPr>
          <w:snapToGrid w:val="0"/>
        </w:rPr>
        <w:tab/>
        <w:t>(e)</w:t>
      </w:r>
      <w:r>
        <w:rPr>
          <w:snapToGrid w:val="0"/>
        </w:rPr>
        <w:tab/>
        <w:t>any treatment or other services to which this Act applies that may be provided by licensees; and</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 and</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 and</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spacing w:before="70"/>
        <w:rPr>
          <w:snapToGrid w:val="0"/>
        </w:rPr>
      </w:pPr>
      <w:r>
        <w:rPr>
          <w:snapToGrid w:val="0"/>
        </w:rPr>
        <w:tab/>
      </w:r>
      <w:r>
        <w:rPr>
          <w:snapToGrid w:val="0"/>
        </w:rPr>
        <w:tab/>
        <w:t>and as to the nature and extent of the information to be supplied; and</w:t>
      </w:r>
    </w:p>
    <w:p>
      <w:pPr>
        <w:pStyle w:val="Indenta"/>
        <w:keepNext/>
        <w:spacing w:before="70"/>
        <w:rPr>
          <w:snapToGrid w:val="0"/>
        </w:rPr>
      </w:pPr>
      <w:r>
        <w:rPr>
          <w:snapToGrid w:val="0"/>
        </w:rPr>
        <w:tab/>
        <w:t>(b)</w:t>
      </w:r>
      <w:r>
        <w:rPr>
          <w:snapToGrid w:val="0"/>
        </w:rPr>
        <w:tab/>
        <w:t>provide for — </w:t>
      </w:r>
    </w:p>
    <w:p>
      <w:pPr>
        <w:pStyle w:val="Indenti"/>
        <w:spacing w:before="70"/>
        <w:rPr>
          <w:snapToGrid w:val="0"/>
        </w:rPr>
      </w:pPr>
      <w:r>
        <w:rPr>
          <w:snapToGrid w:val="0"/>
        </w:rPr>
        <w:tab/>
        <w:t>(i)</w:t>
      </w:r>
      <w:r>
        <w:rPr>
          <w:snapToGrid w:val="0"/>
        </w:rPr>
        <w:tab/>
        <w:t>the obtaining and recording of an effective consent on the part of particular participants; and</w:t>
      </w:r>
    </w:p>
    <w:p>
      <w:pPr>
        <w:pStyle w:val="Indenti"/>
        <w:spacing w:before="70"/>
        <w:rPr>
          <w:snapToGrid w:val="0"/>
        </w:rPr>
      </w:pPr>
      <w:r>
        <w:rPr>
          <w:snapToGrid w:val="0"/>
        </w:rPr>
        <w:tab/>
        <w:t>(ii)</w:t>
      </w:r>
      <w:r>
        <w:rPr>
          <w:snapToGrid w:val="0"/>
        </w:rPr>
        <w:tab/>
        <w:t>the effect of any consent given.</w:t>
      </w:r>
    </w:p>
    <w:p>
      <w:pPr>
        <w:pStyle w:val="Footnotesection"/>
      </w:pPr>
      <w:r>
        <w:tab/>
        <w:t>[Section 18 amended: No. 17 of 2004 s. 13; No. 47 of 2008 s. 66.]</w:t>
      </w:r>
    </w:p>
    <w:p>
      <w:pPr>
        <w:pStyle w:val="Heading5"/>
        <w:rPr>
          <w:snapToGrid w:val="0"/>
        </w:rPr>
      </w:pPr>
      <w:bookmarkStart w:id="65" w:name="_Toc493604518"/>
      <w:r>
        <w:rPr>
          <w:rStyle w:val="CharSectno"/>
        </w:rPr>
        <w:t>19</w:t>
      </w:r>
      <w:r>
        <w:rPr>
          <w:snapToGrid w:val="0"/>
        </w:rPr>
        <w:t>.</w:t>
      </w:r>
      <w:r>
        <w:rPr>
          <w:snapToGrid w:val="0"/>
        </w:rPr>
        <w:tab/>
        <w:t>Principles to be embodied in Code</w:t>
      </w:r>
      <w:bookmarkEnd w:id="65"/>
      <w:r>
        <w:rPr>
          <w:snapToGrid w:val="0"/>
        </w:rPr>
        <w:t xml:space="preserve"> </w:t>
      </w:r>
    </w:p>
    <w:p>
      <w:pPr>
        <w:pStyle w:val="Subsection"/>
        <w:spacing w:before="14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40"/>
        <w:rPr>
          <w:snapToGrid w:val="0"/>
        </w:rPr>
      </w:pPr>
      <w:r>
        <w:rPr>
          <w:snapToGrid w:val="0"/>
        </w:rPr>
        <w:tab/>
        <w:t>(2)</w:t>
      </w:r>
      <w:r>
        <w:rPr>
          <w:snapToGrid w:val="0"/>
        </w:rPr>
        <w:tab/>
        <w:t>Until the principles referred to in subsection (1) are embodied in the Code — </w:t>
      </w:r>
    </w:p>
    <w:p>
      <w:pPr>
        <w:pStyle w:val="Indenta"/>
        <w:spacing w:before="70"/>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spacing w:before="70"/>
        <w:rPr>
          <w:snapToGrid w:val="0"/>
        </w:rPr>
      </w:pPr>
      <w:r>
        <w:rPr>
          <w:snapToGrid w:val="0"/>
        </w:rPr>
        <w:tab/>
        <w:t>(b)</w:t>
      </w:r>
      <w:r>
        <w:rPr>
          <w:snapToGrid w:val="0"/>
        </w:rPr>
        <w:tab/>
        <w:t>otherwise, in so far as any of those principles is relevant to the conduct of a practice or any procedure — </w:t>
      </w:r>
    </w:p>
    <w:p>
      <w:pPr>
        <w:pStyle w:val="Indenti"/>
        <w:spacing w:before="70"/>
        <w:rPr>
          <w:snapToGrid w:val="0"/>
        </w:rPr>
      </w:pPr>
      <w:r>
        <w:rPr>
          <w:snapToGrid w:val="0"/>
        </w:rPr>
        <w:tab/>
        <w:t>(i)</w:t>
      </w:r>
      <w:r>
        <w:rPr>
          <w:snapToGrid w:val="0"/>
        </w:rPr>
        <w:tab/>
        <w:t>effect shall be given to the principle by all persons to whom this Act applies; and</w:t>
      </w:r>
    </w:p>
    <w:p>
      <w:pPr>
        <w:pStyle w:val="Indenti"/>
        <w:spacing w:before="70"/>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No. 55 of 2004 s. 524; No. 28 of 2006 s. 270(1).]</w:t>
      </w:r>
    </w:p>
    <w:p>
      <w:pPr>
        <w:pStyle w:val="Heading5"/>
        <w:rPr>
          <w:snapToGrid w:val="0"/>
        </w:rPr>
      </w:pPr>
      <w:bookmarkStart w:id="66" w:name="_Toc493604519"/>
      <w:r>
        <w:rPr>
          <w:rStyle w:val="CharSectno"/>
        </w:rPr>
        <w:t>20</w:t>
      </w:r>
      <w:r>
        <w:rPr>
          <w:snapToGrid w:val="0"/>
        </w:rPr>
        <w:t>.</w:t>
      </w:r>
      <w:r>
        <w:rPr>
          <w:snapToGrid w:val="0"/>
        </w:rPr>
        <w:tab/>
        <w:t>Principles applicable to projects of research</w:t>
      </w:r>
      <w:bookmarkEnd w:id="66"/>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spacing w:before="60"/>
        <w:rPr>
          <w:snapToGrid w:val="0"/>
        </w:rPr>
      </w:pPr>
      <w:r>
        <w:rPr>
          <w:snapToGrid w:val="0"/>
        </w:rPr>
        <w:tab/>
        <w:t>(a)</w:t>
      </w:r>
      <w:r>
        <w:rPr>
          <w:snapToGrid w:val="0"/>
        </w:rPr>
        <w:tab/>
        <w:t>upon or with — </w:t>
      </w:r>
    </w:p>
    <w:p>
      <w:pPr>
        <w:pStyle w:val="Indenti"/>
        <w:spacing w:before="60"/>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spacing w:before="60"/>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involving any person who is a participant in an artificial fertilisation procedure,</w:t>
      </w:r>
    </w:p>
    <w:p>
      <w:pPr>
        <w:pStyle w:val="Subsection"/>
        <w:spacing w:before="120"/>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spacing w:before="60"/>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spacing w:before="60"/>
        <w:rPr>
          <w:snapToGrid w:val="0"/>
        </w:rPr>
      </w:pPr>
      <w:r>
        <w:rPr>
          <w:snapToGrid w:val="0"/>
        </w:rPr>
        <w:tab/>
        <w:t>(b)</w:t>
      </w:r>
      <w:r>
        <w:rPr>
          <w:snapToGrid w:val="0"/>
        </w:rPr>
        <w:tab/>
        <w:t>any requirement for — </w:t>
      </w:r>
    </w:p>
    <w:p>
      <w:pPr>
        <w:pStyle w:val="Indenti"/>
        <w:spacing w:before="60"/>
        <w:rPr>
          <w:snapToGrid w:val="0"/>
        </w:rPr>
      </w:pPr>
      <w:r>
        <w:rPr>
          <w:snapToGrid w:val="0"/>
        </w:rPr>
        <w:tab/>
        <w:t>(i)</w:t>
      </w:r>
      <w:r>
        <w:rPr>
          <w:snapToGrid w:val="0"/>
        </w:rPr>
        <w:tab/>
        <w:t>counselling;</w:t>
      </w:r>
    </w:p>
    <w:p>
      <w:pPr>
        <w:pStyle w:val="Indenti"/>
        <w:spacing w:before="60"/>
        <w:rPr>
          <w:snapToGrid w:val="0"/>
        </w:rPr>
      </w:pPr>
      <w:r>
        <w:rPr>
          <w:snapToGrid w:val="0"/>
        </w:rPr>
        <w:tab/>
        <w:t>(ii)</w:t>
      </w:r>
      <w:r>
        <w:rPr>
          <w:snapToGrid w:val="0"/>
        </w:rPr>
        <w:tab/>
        <w:t>the obtaining from any person of an effective consent,</w:t>
      </w:r>
    </w:p>
    <w:p>
      <w:pPr>
        <w:pStyle w:val="Indenta"/>
        <w:spacing w:before="60"/>
        <w:rPr>
          <w:snapToGrid w:val="0"/>
        </w:rPr>
      </w:pPr>
      <w:r>
        <w:rPr>
          <w:snapToGrid w:val="0"/>
        </w:rPr>
        <w:tab/>
      </w:r>
      <w:r>
        <w:rPr>
          <w:snapToGrid w:val="0"/>
        </w:rPr>
        <w:tab/>
        <w:t>for the purposes of the research;</w:t>
      </w:r>
    </w:p>
    <w:p>
      <w:pPr>
        <w:pStyle w:val="Indenta"/>
        <w:spacing w:before="60"/>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No. 17 of 2004 s. 14; No. 28 of 2006 s. 270(2).]</w:t>
      </w:r>
    </w:p>
    <w:p>
      <w:pPr>
        <w:pStyle w:val="Heading5"/>
        <w:rPr>
          <w:snapToGrid w:val="0"/>
        </w:rPr>
      </w:pPr>
      <w:bookmarkStart w:id="67" w:name="_Toc493604520"/>
      <w:r>
        <w:rPr>
          <w:rStyle w:val="CharSectno"/>
        </w:rPr>
        <w:t>21</w:t>
      </w:r>
      <w:r>
        <w:rPr>
          <w:snapToGrid w:val="0"/>
        </w:rPr>
        <w:t>.</w:t>
      </w:r>
      <w:r>
        <w:rPr>
          <w:snapToGrid w:val="0"/>
        </w:rPr>
        <w:tab/>
        <w:t>Code and directions, generally</w:t>
      </w:r>
      <w:bookmarkEnd w:id="67"/>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 and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 and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 and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 and</w:t>
      </w:r>
    </w:p>
    <w:p>
      <w:pPr>
        <w:pStyle w:val="Indenta"/>
        <w:rPr>
          <w:snapToGrid w:val="0"/>
        </w:rPr>
      </w:pPr>
      <w:r>
        <w:rPr>
          <w:snapToGrid w:val="0"/>
        </w:rPr>
        <w:tab/>
        <w:t>(e)</w:t>
      </w:r>
      <w:r>
        <w:rPr>
          <w:snapToGrid w:val="0"/>
        </w:rPr>
        <w:tab/>
        <w:t>the responsibilities of persons carrying out any procedures to which this Act applies; and</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 and</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 and</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 and</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 and</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 and</w:t>
      </w:r>
    </w:p>
    <w:p>
      <w:pPr>
        <w:pStyle w:val="Indenta"/>
        <w:rPr>
          <w:snapToGrid w:val="0"/>
        </w:rPr>
      </w:pPr>
      <w:r>
        <w:rPr>
          <w:snapToGrid w:val="0"/>
        </w:rPr>
        <w:tab/>
        <w:t>(m)</w:t>
      </w:r>
      <w:r>
        <w:rPr>
          <w:snapToGrid w:val="0"/>
        </w:rPr>
        <w:tab/>
        <w:t>the assessment of applications seeking approval to carry out any project of research; and</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 and</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No. 3 of 2002 s. 73; No. 17 of 2004 s. 15.]</w:t>
      </w:r>
    </w:p>
    <w:p>
      <w:pPr>
        <w:pStyle w:val="Heading3"/>
        <w:rPr>
          <w:snapToGrid w:val="0"/>
        </w:rPr>
      </w:pPr>
      <w:bookmarkStart w:id="68" w:name="_Toc471916353"/>
      <w:bookmarkStart w:id="69" w:name="_Toc472069936"/>
      <w:bookmarkStart w:id="70" w:name="_Toc473107934"/>
      <w:bookmarkStart w:id="71" w:name="_Toc473117740"/>
      <w:bookmarkStart w:id="72" w:name="_Toc493587279"/>
      <w:bookmarkStart w:id="73" w:name="_Toc493587450"/>
      <w:bookmarkStart w:id="74" w:name="_Toc493604521"/>
      <w:r>
        <w:rPr>
          <w:rStyle w:val="CharDivNo"/>
        </w:rPr>
        <w:t>Division 2</w:t>
      </w:r>
      <w:r>
        <w:rPr>
          <w:snapToGrid w:val="0"/>
        </w:rPr>
        <w:t> — </w:t>
      </w:r>
      <w:r>
        <w:rPr>
          <w:rStyle w:val="CharDivText"/>
        </w:rPr>
        <w:t>Consents</w:t>
      </w:r>
      <w:bookmarkEnd w:id="68"/>
      <w:bookmarkEnd w:id="69"/>
      <w:bookmarkEnd w:id="70"/>
      <w:bookmarkEnd w:id="71"/>
      <w:bookmarkEnd w:id="72"/>
      <w:bookmarkEnd w:id="73"/>
      <w:bookmarkEnd w:id="74"/>
      <w:r>
        <w:rPr>
          <w:rStyle w:val="CharDivText"/>
        </w:rPr>
        <w:t xml:space="preserve"> </w:t>
      </w:r>
    </w:p>
    <w:p>
      <w:pPr>
        <w:pStyle w:val="Heading5"/>
        <w:rPr>
          <w:snapToGrid w:val="0"/>
        </w:rPr>
      </w:pPr>
      <w:bookmarkStart w:id="75" w:name="_Toc493604522"/>
      <w:r>
        <w:rPr>
          <w:rStyle w:val="CharSectno"/>
        </w:rPr>
        <w:t>22</w:t>
      </w:r>
      <w:r>
        <w:rPr>
          <w:snapToGrid w:val="0"/>
        </w:rPr>
        <w:t>.</w:t>
      </w:r>
      <w:r>
        <w:rPr>
          <w:snapToGrid w:val="0"/>
        </w:rPr>
        <w:tab/>
        <w:t>Consents, generally</w:t>
      </w:r>
      <w:bookmarkEnd w:id="75"/>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 and</w:t>
      </w:r>
    </w:p>
    <w:p>
      <w:pPr>
        <w:pStyle w:val="Indenti"/>
      </w:pPr>
      <w:r>
        <w:tab/>
        <w:t>(ia)</w:t>
      </w:r>
      <w:r>
        <w:tab/>
        <w:t>in the case of a use outside the body of a woman, there is an effective consent to the use for that purpose by the woman on whose behalf it is being developed and her spouse or de facto partner, if any; and</w:t>
      </w:r>
    </w:p>
    <w:p>
      <w:pPr>
        <w:pStyle w:val="Indenti"/>
      </w:pPr>
      <w:r>
        <w:tab/>
        <w:t>(ib)</w:t>
      </w:r>
      <w:r>
        <w:tab/>
        <w:t>in the case of implantation in the body of a woman, there is an effective consent to the implantation by the woman and her spouse or de facto partner, if any; and</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 and</w:t>
      </w:r>
    </w:p>
    <w:p>
      <w:pPr>
        <w:pStyle w:val="Indenta"/>
        <w:rPr>
          <w:snapToGrid w:val="0"/>
        </w:rPr>
      </w:pPr>
      <w:r>
        <w:rPr>
          <w:snapToGrid w:val="0"/>
        </w:rPr>
        <w:tab/>
        <w:t>(b)</w:t>
      </w:r>
      <w:r>
        <w:rPr>
          <w:snapToGrid w:val="0"/>
        </w:rPr>
        <w:tab/>
        <w:t>any condition to which it is subject is met; and</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No. 17 of 2004 s. 16.]</w:t>
      </w:r>
    </w:p>
    <w:p>
      <w:pPr>
        <w:pStyle w:val="Heading5"/>
        <w:rPr>
          <w:snapToGrid w:val="0"/>
        </w:rPr>
      </w:pPr>
      <w:bookmarkStart w:id="76" w:name="_Toc493604523"/>
      <w:r>
        <w:rPr>
          <w:rStyle w:val="CharSectno"/>
        </w:rPr>
        <w:t>23</w:t>
      </w:r>
      <w:r>
        <w:rPr>
          <w:snapToGrid w:val="0"/>
        </w:rPr>
        <w:t>.</w:t>
      </w:r>
      <w:r>
        <w:rPr>
          <w:snapToGrid w:val="0"/>
        </w:rPr>
        <w:tab/>
        <w:t>When procedures may be carried out</w:t>
      </w:r>
      <w:bookmarkEnd w:id="76"/>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No. 3 of 2002 s. 74; No. 17 of 2004 s. 17; No. 47 of 2008 s. 67.]</w:t>
      </w:r>
    </w:p>
    <w:p>
      <w:pPr>
        <w:pStyle w:val="Heading5"/>
        <w:rPr>
          <w:snapToGrid w:val="0"/>
        </w:rPr>
      </w:pPr>
      <w:bookmarkStart w:id="77" w:name="_Toc493604524"/>
      <w:r>
        <w:rPr>
          <w:rStyle w:val="CharSectno"/>
        </w:rPr>
        <w:t>24</w:t>
      </w:r>
      <w:r>
        <w:rPr>
          <w:snapToGrid w:val="0"/>
        </w:rPr>
        <w:t>.</w:t>
      </w:r>
      <w:r>
        <w:rPr>
          <w:snapToGrid w:val="0"/>
        </w:rPr>
        <w:tab/>
        <w:t>Storage</w:t>
      </w:r>
      <w:bookmarkEnd w:id="77"/>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 or</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 or</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No. 1 of 1996 s. 5 and 6; No. 3 of 2002 s. 75; No. 17 of 2004 s. 18.] </w:t>
      </w:r>
    </w:p>
    <w:p>
      <w:pPr>
        <w:pStyle w:val="Heading3"/>
        <w:rPr>
          <w:snapToGrid w:val="0"/>
        </w:rPr>
      </w:pPr>
      <w:bookmarkStart w:id="78" w:name="_Toc471916357"/>
      <w:bookmarkStart w:id="79" w:name="_Toc472069940"/>
      <w:bookmarkStart w:id="80" w:name="_Toc473107938"/>
      <w:bookmarkStart w:id="81" w:name="_Toc473117744"/>
      <w:bookmarkStart w:id="82" w:name="_Toc493587283"/>
      <w:bookmarkStart w:id="83" w:name="_Toc493587454"/>
      <w:bookmarkStart w:id="84" w:name="_Toc493604525"/>
      <w:r>
        <w:rPr>
          <w:rStyle w:val="CharDivNo"/>
        </w:rPr>
        <w:t>Division 3</w:t>
      </w:r>
      <w:r>
        <w:rPr>
          <w:snapToGrid w:val="0"/>
        </w:rPr>
        <w:t> — </w:t>
      </w:r>
      <w:r>
        <w:rPr>
          <w:rStyle w:val="CharDivText"/>
        </w:rPr>
        <w:t>Rights of control, etc.</w:t>
      </w:r>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493604526"/>
      <w:r>
        <w:rPr>
          <w:rStyle w:val="CharSectno"/>
        </w:rPr>
        <w:t>25</w:t>
      </w:r>
      <w:r>
        <w:rPr>
          <w:snapToGrid w:val="0"/>
        </w:rPr>
        <w:t>.</w:t>
      </w:r>
      <w:r>
        <w:rPr>
          <w:snapToGrid w:val="0"/>
        </w:rPr>
        <w:tab/>
        <w:t>Rights in relation to gametes</w:t>
      </w:r>
      <w:bookmarkEnd w:id="85"/>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 and</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 or</w:t>
      </w:r>
    </w:p>
    <w:p>
      <w:pPr>
        <w:pStyle w:val="Indenti"/>
        <w:rPr>
          <w:snapToGrid w:val="0"/>
        </w:rPr>
      </w:pPr>
      <w:r>
        <w:rPr>
          <w:snapToGrid w:val="0"/>
        </w:rPr>
        <w:tab/>
        <w:t>(ii)</w:t>
      </w:r>
      <w:r>
        <w:rPr>
          <w:snapToGrid w:val="0"/>
        </w:rPr>
        <w:tab/>
        <w:t>for artificial insemination purposes; or</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No. 17 of 2004 s. 19; No. 18 of 2004 s. 6; No. 28 of 2006 s. 270(1).]</w:t>
      </w:r>
    </w:p>
    <w:p>
      <w:pPr>
        <w:pStyle w:val="Heading5"/>
        <w:rPr>
          <w:snapToGrid w:val="0"/>
        </w:rPr>
      </w:pPr>
      <w:bookmarkStart w:id="86" w:name="_Toc493604527"/>
      <w:r>
        <w:rPr>
          <w:rStyle w:val="CharSectno"/>
        </w:rPr>
        <w:t>26</w:t>
      </w:r>
      <w:r>
        <w:rPr>
          <w:snapToGrid w:val="0"/>
        </w:rPr>
        <w:t>.</w:t>
      </w:r>
      <w:r>
        <w:rPr>
          <w:snapToGrid w:val="0"/>
        </w:rPr>
        <w:tab/>
        <w:t>Control, dealing and disposal in relation to an egg in process of fertilisation or an embryo</w:t>
      </w:r>
      <w:bookmarkEnd w:id="86"/>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the death of one member of a couple in whom the rights are vested, those rights vest solely in the survivor; and</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 and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 and</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No. 3 of 2002 s. 76; No. 17 of 2004 s. 20; No. 18 of 2004 s. 7; No. 28 of 2006 s. 270(1).]</w:t>
      </w:r>
    </w:p>
    <w:p>
      <w:pPr>
        <w:pStyle w:val="Heading2"/>
      </w:pPr>
      <w:bookmarkStart w:id="87" w:name="_Toc471916360"/>
      <w:bookmarkStart w:id="88" w:name="_Toc472069943"/>
      <w:bookmarkStart w:id="89" w:name="_Toc473107941"/>
      <w:bookmarkStart w:id="90" w:name="_Toc473117747"/>
      <w:bookmarkStart w:id="91" w:name="_Toc493587286"/>
      <w:bookmarkStart w:id="92" w:name="_Toc493587457"/>
      <w:bookmarkStart w:id="93" w:name="_Toc493604528"/>
      <w:r>
        <w:rPr>
          <w:rStyle w:val="CharPartNo"/>
        </w:rPr>
        <w:t>Part 4</w:t>
      </w:r>
      <w:r>
        <w:t> — </w:t>
      </w:r>
      <w:r>
        <w:rPr>
          <w:rStyle w:val="CharPartText"/>
        </w:rPr>
        <w:t>Licensing, etc.</w:t>
      </w:r>
      <w:bookmarkEnd w:id="87"/>
      <w:bookmarkEnd w:id="88"/>
      <w:bookmarkEnd w:id="89"/>
      <w:bookmarkEnd w:id="90"/>
      <w:bookmarkEnd w:id="91"/>
      <w:bookmarkEnd w:id="92"/>
      <w:bookmarkEnd w:id="93"/>
      <w:r>
        <w:rPr>
          <w:rStyle w:val="CharPartText"/>
        </w:rPr>
        <w:t xml:space="preserve"> </w:t>
      </w:r>
    </w:p>
    <w:p>
      <w:pPr>
        <w:pStyle w:val="Heading3"/>
        <w:rPr>
          <w:snapToGrid w:val="0"/>
        </w:rPr>
      </w:pPr>
      <w:bookmarkStart w:id="94" w:name="_Toc471916361"/>
      <w:bookmarkStart w:id="95" w:name="_Toc472069944"/>
      <w:bookmarkStart w:id="96" w:name="_Toc473107942"/>
      <w:bookmarkStart w:id="97" w:name="_Toc473117748"/>
      <w:bookmarkStart w:id="98" w:name="_Toc493587287"/>
      <w:bookmarkStart w:id="99" w:name="_Toc493587458"/>
      <w:bookmarkStart w:id="100" w:name="_Toc493604529"/>
      <w:r>
        <w:rPr>
          <w:rStyle w:val="CharDivNo"/>
        </w:rPr>
        <w:t>Division 1</w:t>
      </w:r>
      <w:r>
        <w:rPr>
          <w:snapToGrid w:val="0"/>
        </w:rPr>
        <w:t> — </w:t>
      </w:r>
      <w:r>
        <w:rPr>
          <w:rStyle w:val="CharDivText"/>
        </w:rPr>
        <w:t>Licensing</w:t>
      </w:r>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493604530"/>
      <w:r>
        <w:rPr>
          <w:rStyle w:val="CharSectno"/>
        </w:rPr>
        <w:t>27</w:t>
      </w:r>
      <w:r>
        <w:rPr>
          <w:snapToGrid w:val="0"/>
        </w:rPr>
        <w:t>.</w:t>
      </w:r>
      <w:r>
        <w:rPr>
          <w:snapToGrid w:val="0"/>
        </w:rPr>
        <w:tab/>
        <w:t>Licences, and person responsible</w:t>
      </w:r>
      <w:bookmarkEnd w:id="101"/>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 or</w:t>
      </w:r>
    </w:p>
    <w:p>
      <w:pPr>
        <w:pStyle w:val="Indenta"/>
        <w:rPr>
          <w:snapToGrid w:val="0"/>
        </w:rPr>
      </w:pPr>
      <w:r>
        <w:rPr>
          <w:snapToGrid w:val="0"/>
        </w:rPr>
        <w:tab/>
        <w:t>(b)</w:t>
      </w:r>
      <w:r>
        <w:rPr>
          <w:snapToGrid w:val="0"/>
        </w:rPr>
        <w:tab/>
        <w:t>a practice licence; or</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 or</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 and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 and</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 and</w:t>
      </w:r>
    </w:p>
    <w:p>
      <w:pPr>
        <w:pStyle w:val="Indenti"/>
        <w:spacing w:before="100"/>
        <w:rPr>
          <w:snapToGrid w:val="0"/>
        </w:rPr>
      </w:pPr>
      <w:r>
        <w:rPr>
          <w:snapToGrid w:val="0"/>
        </w:rPr>
        <w:tab/>
        <w:t>(iv)</w:t>
      </w:r>
      <w:r>
        <w:rPr>
          <w:snapToGrid w:val="0"/>
        </w:rPr>
        <w:tab/>
        <w:t>such other terms or matters as may be set out in the Rules or directions and are to apply; and</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spacing w:before="160"/>
        <w:ind w:left="890" w:hanging="890"/>
      </w:pPr>
      <w:r>
        <w:tab/>
        <w:t>[Section 27 amended: No. 17 of 2004 s. 21; No. 28 of 2006 s. 270.]</w:t>
      </w:r>
    </w:p>
    <w:p>
      <w:pPr>
        <w:pStyle w:val="Heading5"/>
        <w:rPr>
          <w:snapToGrid w:val="0"/>
        </w:rPr>
      </w:pPr>
      <w:bookmarkStart w:id="102" w:name="_Toc493604531"/>
      <w:r>
        <w:rPr>
          <w:rStyle w:val="CharSectno"/>
        </w:rPr>
        <w:t>28</w:t>
      </w:r>
      <w:r>
        <w:rPr>
          <w:snapToGrid w:val="0"/>
        </w:rPr>
        <w:t>.</w:t>
      </w:r>
      <w:r>
        <w:rPr>
          <w:snapToGrid w:val="0"/>
        </w:rPr>
        <w:tab/>
        <w:t>Exemptions relating to artificial insemination</w:t>
      </w:r>
      <w:bookmarkEnd w:id="102"/>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No. 17 of 2004 s. 22; No. 28 of 2006 s. 270(2).]</w:t>
      </w:r>
    </w:p>
    <w:p>
      <w:pPr>
        <w:pStyle w:val="Heading5"/>
      </w:pPr>
      <w:bookmarkStart w:id="103" w:name="_Toc493604532"/>
      <w:r>
        <w:rPr>
          <w:rStyle w:val="CharSectno"/>
        </w:rPr>
        <w:t>28A</w:t>
      </w:r>
      <w:r>
        <w:t>.</w:t>
      </w:r>
      <w:r>
        <w:tab/>
        <w:t>Exemptions relating to storage of certain embryos</w:t>
      </w:r>
      <w:bookmarkEnd w:id="103"/>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No. 17 of 2004 s. 23; amended: No. 28 of 2006 s. 270(1).]</w:t>
      </w:r>
    </w:p>
    <w:p>
      <w:pPr>
        <w:pStyle w:val="Heading5"/>
        <w:rPr>
          <w:snapToGrid w:val="0"/>
        </w:rPr>
      </w:pPr>
      <w:bookmarkStart w:id="104" w:name="_Toc493604533"/>
      <w:r>
        <w:rPr>
          <w:rStyle w:val="CharSectno"/>
        </w:rPr>
        <w:t>29</w:t>
      </w:r>
      <w:r>
        <w:rPr>
          <w:snapToGrid w:val="0"/>
        </w:rPr>
        <w:t>.</w:t>
      </w:r>
      <w:r>
        <w:rPr>
          <w:snapToGrid w:val="0"/>
        </w:rPr>
        <w:tab/>
        <w:t>Applications, generally</w:t>
      </w:r>
      <w:bookmarkEnd w:id="104"/>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 and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spacing w:before="70"/>
      </w:pPr>
      <w:r>
        <w:tab/>
        <w:t>(a)</w:t>
      </w:r>
      <w:r>
        <w:tab/>
        <w:t xml:space="preserve">is, according to the </w:t>
      </w:r>
      <w:r>
        <w:rPr>
          <w:i/>
        </w:rPr>
        <w:t>Interpretation Act 1984</w:t>
      </w:r>
      <w:r>
        <w:t xml:space="preserve"> section 13D, a bankrupt or a person whose affairs are under insolvency laws; or</w:t>
      </w:r>
    </w:p>
    <w:p>
      <w:pPr>
        <w:pStyle w:val="Indenta"/>
        <w:spacing w:before="70"/>
        <w:rPr>
          <w:snapToGrid w:val="0"/>
        </w:rPr>
      </w:pPr>
      <w:r>
        <w:rPr>
          <w:snapToGrid w:val="0"/>
        </w:rPr>
        <w:tab/>
        <w:t>(b)</w:t>
      </w:r>
      <w:r>
        <w:rPr>
          <w:snapToGrid w:val="0"/>
        </w:rPr>
        <w:tab/>
        <w:t>being a body corporate, is under receivership or official management or is in liquidation; or</w:t>
      </w:r>
    </w:p>
    <w:p>
      <w:pPr>
        <w:pStyle w:val="Indenta"/>
        <w:spacing w:before="70"/>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spacing w:before="70"/>
        <w:rPr>
          <w:snapToGrid w:val="0"/>
        </w:rPr>
      </w:pPr>
      <w:r>
        <w:rPr>
          <w:snapToGrid w:val="0"/>
        </w:rPr>
        <w:tab/>
        <w:t>(a)</w:t>
      </w:r>
      <w:r>
        <w:rPr>
          <w:snapToGrid w:val="0"/>
        </w:rPr>
        <w:tab/>
        <w:t>that every person who would become a person to whom the licence applies is, for the purposes of this Act, a fit and proper person; and</w:t>
      </w:r>
    </w:p>
    <w:p>
      <w:pPr>
        <w:pStyle w:val="Indenta"/>
        <w:keepNext/>
        <w:spacing w:before="70"/>
        <w:rPr>
          <w:snapToGrid w:val="0"/>
        </w:rPr>
      </w:pPr>
      <w:r>
        <w:rPr>
          <w:snapToGrid w:val="0"/>
        </w:rPr>
        <w:tab/>
        <w:t>(aa)</w:t>
      </w:r>
      <w:r>
        <w:rPr>
          <w:snapToGrid w:val="0"/>
        </w:rPr>
        <w:tab/>
        <w:t>that the applicant is accredited to carry out reproductive technology by —</w:t>
      </w:r>
    </w:p>
    <w:p>
      <w:pPr>
        <w:pStyle w:val="Indenti"/>
        <w:spacing w:before="70"/>
        <w:rPr>
          <w:snapToGrid w:val="0"/>
        </w:rPr>
      </w:pPr>
      <w:r>
        <w:rPr>
          <w:snapToGrid w:val="0"/>
        </w:rPr>
        <w:tab/>
        <w:t>(i)</w:t>
      </w:r>
      <w:r>
        <w:rPr>
          <w:snapToGrid w:val="0"/>
        </w:rPr>
        <w:tab/>
        <w:t>the Reproductive Technology Accreditation Committee of the Fertility Society of Australia; or</w:t>
      </w:r>
    </w:p>
    <w:p>
      <w:pPr>
        <w:pStyle w:val="Indenti"/>
        <w:spacing w:before="70"/>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 and</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 and</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No. 17 of 2004 s. 24; No. 55 of 2004 s. 525 and 540; No. 28 of 2006 s. 270; No. 8 of 2009 s. 76; No. 18 of 2009 s. 44(2).]</w:t>
      </w:r>
    </w:p>
    <w:p>
      <w:pPr>
        <w:pStyle w:val="Heading5"/>
        <w:spacing w:before="280"/>
        <w:rPr>
          <w:snapToGrid w:val="0"/>
        </w:rPr>
      </w:pPr>
      <w:bookmarkStart w:id="105" w:name="_Toc493604534"/>
      <w:r>
        <w:rPr>
          <w:rStyle w:val="CharSectno"/>
        </w:rPr>
        <w:t>30</w:t>
      </w:r>
      <w:r>
        <w:rPr>
          <w:snapToGrid w:val="0"/>
        </w:rPr>
        <w:t>.</w:t>
      </w:r>
      <w:r>
        <w:rPr>
          <w:snapToGrid w:val="0"/>
        </w:rPr>
        <w:tab/>
        <w:t>Interim authorisations and transitional directions</w:t>
      </w:r>
      <w:bookmarkEnd w:id="105"/>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 or</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No. 17 of 2004 s. 25; No. 55 of 2004 s. 540; No. 28 of 2006 s. 270.]</w:t>
      </w:r>
    </w:p>
    <w:p>
      <w:pPr>
        <w:pStyle w:val="Heading3"/>
        <w:rPr>
          <w:snapToGrid w:val="0"/>
        </w:rPr>
      </w:pPr>
      <w:bookmarkStart w:id="106" w:name="_Toc471916367"/>
      <w:bookmarkStart w:id="107" w:name="_Toc472069950"/>
      <w:bookmarkStart w:id="108" w:name="_Toc473107948"/>
      <w:bookmarkStart w:id="109" w:name="_Toc473117754"/>
      <w:bookmarkStart w:id="110" w:name="_Toc493587293"/>
      <w:bookmarkStart w:id="111" w:name="_Toc493587464"/>
      <w:bookmarkStart w:id="112" w:name="_Toc493604535"/>
      <w:r>
        <w:rPr>
          <w:rStyle w:val="CharDivNo"/>
        </w:rPr>
        <w:t>Division 2</w:t>
      </w:r>
      <w:r>
        <w:rPr>
          <w:snapToGrid w:val="0"/>
        </w:rPr>
        <w:t> — </w:t>
      </w:r>
      <w:r>
        <w:rPr>
          <w:rStyle w:val="CharDivText"/>
        </w:rPr>
        <w:t>Directions and conditions</w:t>
      </w:r>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493604536"/>
      <w:r>
        <w:rPr>
          <w:rStyle w:val="CharSectno"/>
        </w:rPr>
        <w:t>31</w:t>
      </w:r>
      <w:r>
        <w:rPr>
          <w:snapToGrid w:val="0"/>
        </w:rPr>
        <w:t>.</w:t>
      </w:r>
      <w:r>
        <w:rPr>
          <w:snapToGrid w:val="0"/>
        </w:rPr>
        <w:tab/>
        <w:t>Directions, generally</w:t>
      </w:r>
      <w:bookmarkEnd w:id="11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ind w:left="890" w:hanging="890"/>
      </w:pPr>
      <w:r>
        <w:tab/>
        <w:t>[Section 31 amended: No. 28 of 2006 s. 270(1).]</w:t>
      </w:r>
    </w:p>
    <w:p>
      <w:pPr>
        <w:pStyle w:val="Heading5"/>
        <w:spacing w:before="240"/>
        <w:rPr>
          <w:snapToGrid w:val="0"/>
        </w:rPr>
      </w:pPr>
      <w:bookmarkStart w:id="114" w:name="_Toc493604537"/>
      <w:r>
        <w:rPr>
          <w:rStyle w:val="CharSectno"/>
        </w:rPr>
        <w:t>32</w:t>
      </w:r>
      <w:r>
        <w:rPr>
          <w:snapToGrid w:val="0"/>
        </w:rPr>
        <w:t>.</w:t>
      </w:r>
      <w:r>
        <w:rPr>
          <w:snapToGrid w:val="0"/>
        </w:rPr>
        <w:tab/>
        <w:t>Terms, conditions and directions specifically applicable</w:t>
      </w:r>
      <w:bookmarkEnd w:id="114"/>
      <w:r>
        <w:rPr>
          <w:snapToGrid w:val="0"/>
        </w:rPr>
        <w:t xml:space="preserve"> </w:t>
      </w:r>
    </w:p>
    <w:p>
      <w:pPr>
        <w:pStyle w:val="Subsection"/>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spacing w:before="100"/>
        <w:rPr>
          <w:snapToGrid w:val="0"/>
        </w:rPr>
      </w:pPr>
      <w:r>
        <w:rPr>
          <w:snapToGrid w:val="0"/>
        </w:rPr>
        <w:tab/>
        <w:t>(a)</w:t>
      </w:r>
      <w:r>
        <w:rPr>
          <w:snapToGrid w:val="0"/>
        </w:rPr>
        <w:tab/>
        <w:t>ensure that the safety, health or welfare of persons is not at risk; or</w:t>
      </w:r>
    </w:p>
    <w:p>
      <w:pPr>
        <w:pStyle w:val="Indenta"/>
        <w:spacing w:before="100"/>
        <w:rPr>
          <w:snapToGrid w:val="0"/>
        </w:rPr>
      </w:pPr>
      <w:r>
        <w:rPr>
          <w:snapToGrid w:val="0"/>
        </w:rPr>
        <w:tab/>
        <w:t>(b)</w:t>
      </w:r>
      <w:r>
        <w:rPr>
          <w:snapToGrid w:val="0"/>
        </w:rPr>
        <w:tab/>
        <w:t>regulate the kind of practice and procedure, or any project of research, authorised and the manner in which it shall be carried out; or</w:t>
      </w:r>
    </w:p>
    <w:p>
      <w:pPr>
        <w:pStyle w:val="Indenta"/>
        <w:spacing w:before="100"/>
        <w:rPr>
          <w:snapToGrid w:val="0"/>
        </w:rPr>
      </w:pPr>
      <w:r>
        <w:rPr>
          <w:snapToGrid w:val="0"/>
        </w:rPr>
        <w:tab/>
        <w:t>(c)</w:t>
      </w:r>
      <w:r>
        <w:rPr>
          <w:snapToGrid w:val="0"/>
        </w:rPr>
        <w:tab/>
        <w:t>limit the authority conferred under a licence or exemption; or</w:t>
      </w:r>
    </w:p>
    <w:p>
      <w:pPr>
        <w:pStyle w:val="Indenta"/>
        <w:spacing w:before="100"/>
        <w:rPr>
          <w:snapToGrid w:val="0"/>
        </w:rPr>
      </w:pPr>
      <w:r>
        <w:rPr>
          <w:snapToGrid w:val="0"/>
        </w:rPr>
        <w:tab/>
        <w:t>(d)</w:t>
      </w:r>
      <w:r>
        <w:rPr>
          <w:snapToGrid w:val="0"/>
        </w:rPr>
        <w:tab/>
        <w:t>require action therein specified to be undertaken by the holder — </w:t>
      </w:r>
    </w:p>
    <w:p>
      <w:pPr>
        <w:pStyle w:val="Indenti"/>
        <w:spacing w:before="100"/>
        <w:rPr>
          <w:snapToGrid w:val="0"/>
        </w:rPr>
      </w:pPr>
      <w:r>
        <w:rPr>
          <w:snapToGrid w:val="0"/>
        </w:rPr>
        <w:tab/>
        <w:t>(i)</w:t>
      </w:r>
      <w:r>
        <w:rPr>
          <w:snapToGrid w:val="0"/>
        </w:rPr>
        <w:tab/>
        <w:t>within a time or at times therein specified; or</w:t>
      </w:r>
    </w:p>
    <w:p>
      <w:pPr>
        <w:pStyle w:val="Indenti"/>
        <w:spacing w:before="100"/>
        <w:rPr>
          <w:snapToGrid w:val="0"/>
        </w:rPr>
      </w:pPr>
      <w:r>
        <w:rPr>
          <w:snapToGrid w:val="0"/>
        </w:rPr>
        <w:tab/>
        <w:t>(ii)</w:t>
      </w:r>
      <w:r>
        <w:rPr>
          <w:snapToGrid w:val="0"/>
        </w:rPr>
        <w:tab/>
        <w:t>on occasions or in circumstances therein specified,</w:t>
      </w:r>
    </w:p>
    <w:p>
      <w:pPr>
        <w:pStyle w:val="Indenta"/>
        <w:spacing w:before="100"/>
        <w:rPr>
          <w:snapToGrid w:val="0"/>
        </w:rPr>
      </w:pPr>
      <w:r>
        <w:rPr>
          <w:snapToGrid w:val="0"/>
        </w:rPr>
        <w:tab/>
      </w:r>
      <w:r>
        <w:rPr>
          <w:snapToGrid w:val="0"/>
        </w:rPr>
        <w:tab/>
        <w:t>in relation to the premises to which the licence or exemption relates, the conduct of the reproductive technology practice carried on, or otherwise in the public interest; or</w:t>
      </w:r>
    </w:p>
    <w:p>
      <w:pPr>
        <w:pStyle w:val="Indenta"/>
        <w:spacing w:before="100"/>
        <w:rPr>
          <w:snapToGrid w:val="0"/>
        </w:rPr>
      </w:pPr>
      <w:r>
        <w:rPr>
          <w:snapToGrid w:val="0"/>
        </w:rPr>
        <w:tab/>
        <w:t>(e)</w:t>
      </w:r>
      <w:r>
        <w:rPr>
          <w:snapToGrid w:val="0"/>
        </w:rPr>
        <w:tab/>
        <w:t>prevent improper arrangements or practices; or</w:t>
      </w:r>
    </w:p>
    <w:p>
      <w:pPr>
        <w:pStyle w:val="Indenta"/>
        <w:spacing w:before="100"/>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No. 17 of 2004 s. 26; No. 55 of 2004 s. 526 and 540; No. 28 of 2006 s. 270.]</w:t>
      </w:r>
    </w:p>
    <w:p>
      <w:pPr>
        <w:pStyle w:val="Heading5"/>
        <w:rPr>
          <w:snapToGrid w:val="0"/>
        </w:rPr>
      </w:pPr>
      <w:bookmarkStart w:id="115" w:name="_Toc493604538"/>
      <w:r>
        <w:rPr>
          <w:rStyle w:val="CharSectno"/>
        </w:rPr>
        <w:t>33</w:t>
      </w:r>
      <w:r>
        <w:rPr>
          <w:snapToGrid w:val="0"/>
        </w:rPr>
        <w:t>.</w:t>
      </w:r>
      <w:r>
        <w:rPr>
          <w:snapToGrid w:val="0"/>
        </w:rPr>
        <w:tab/>
        <w:t>Conditions applicable to all licences and exemptions</w:t>
      </w:r>
      <w:bookmarkEnd w:id="115"/>
      <w:r>
        <w:rPr>
          <w:snapToGrid w:val="0"/>
        </w:rPr>
        <w:t xml:space="preserve"> </w:t>
      </w:r>
    </w:p>
    <w:p>
      <w:pPr>
        <w:pStyle w:val="Subsection"/>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 or</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 and</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 and</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 and</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 and</w:t>
      </w:r>
    </w:p>
    <w:p>
      <w:pPr>
        <w:pStyle w:val="Indenta"/>
        <w:rPr>
          <w:snapToGrid w:val="0"/>
        </w:rPr>
      </w:pPr>
      <w:r>
        <w:rPr>
          <w:snapToGrid w:val="0"/>
        </w:rPr>
        <w:tab/>
        <w:t>(d)</w:t>
      </w:r>
      <w:r>
        <w:rPr>
          <w:snapToGrid w:val="0"/>
        </w:rPr>
        <w:tab/>
        <w:t>that the requirements of this Act as to the obtaining and recording of effective consents be complied with; and</w:t>
      </w:r>
    </w:p>
    <w:p>
      <w:pPr>
        <w:pStyle w:val="Indenta"/>
        <w:rPr>
          <w:snapToGrid w:val="0"/>
        </w:rPr>
      </w:pPr>
      <w:r>
        <w:tab/>
        <w:t>(e)</w:t>
      </w:r>
      <w:r>
        <w:tab/>
        <w:t>that section 22(1) is complied with</w:t>
      </w:r>
      <w:r>
        <w:rPr>
          <w:snapToGrid w:val="0"/>
        </w:rPr>
        <w:t>; and</w:t>
      </w:r>
    </w:p>
    <w:p>
      <w:pPr>
        <w:pStyle w:val="Indenta"/>
      </w:pPr>
      <w:r>
        <w:tab/>
        <w:t>(ea)</w:t>
      </w:r>
      <w:r>
        <w:tab/>
        <w:t>that the licensee maintains the accreditation required by section 29(5)(a); and</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 and</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 and</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No. 17 of 2004 s. 27; No. 55 of 2004 s. 527; No. 28 of 2006 s. 270(2).]</w:t>
      </w:r>
    </w:p>
    <w:p>
      <w:pPr>
        <w:pStyle w:val="Heading5"/>
        <w:rPr>
          <w:snapToGrid w:val="0"/>
        </w:rPr>
      </w:pPr>
      <w:bookmarkStart w:id="116" w:name="_Toc493604539"/>
      <w:r>
        <w:rPr>
          <w:rStyle w:val="CharSectno"/>
        </w:rPr>
        <w:t>34</w:t>
      </w:r>
      <w:r>
        <w:rPr>
          <w:snapToGrid w:val="0"/>
        </w:rPr>
        <w:t>.</w:t>
      </w:r>
      <w:r>
        <w:rPr>
          <w:snapToGrid w:val="0"/>
        </w:rPr>
        <w:tab/>
        <w:t>Contravention of condition or direction</w:t>
      </w:r>
      <w:bookmarkEnd w:id="116"/>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 or</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117" w:name="_Toc493604540"/>
      <w:r>
        <w:rPr>
          <w:rStyle w:val="CharSectno"/>
        </w:rPr>
        <w:t>35</w:t>
      </w:r>
      <w:r>
        <w:rPr>
          <w:snapToGrid w:val="0"/>
        </w:rPr>
        <w:t>.</w:t>
      </w:r>
      <w:r>
        <w:rPr>
          <w:snapToGrid w:val="0"/>
        </w:rPr>
        <w:tab/>
        <w:t>Notice and coming into operation of directions and conditions</w:t>
      </w:r>
      <w:bookmarkEnd w:id="117"/>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 and</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 and</w:t>
      </w:r>
    </w:p>
    <w:p>
      <w:pPr>
        <w:pStyle w:val="Indenta"/>
        <w:spacing w:before="60"/>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spacing w:before="60"/>
        <w:rPr>
          <w:snapToGrid w:val="0"/>
        </w:rPr>
      </w:pPr>
      <w:r>
        <w:rPr>
          <w:snapToGrid w:val="0"/>
        </w:rPr>
        <w:tab/>
        <w:t>(d)</w:t>
      </w:r>
      <w:r>
        <w:rPr>
          <w:snapToGrid w:val="0"/>
        </w:rPr>
        <w:tab/>
        <w:t>shall be served on each licensee.</w:t>
      </w:r>
    </w:p>
    <w:p>
      <w:pPr>
        <w:pStyle w:val="Subsection"/>
        <w:spacing w:before="120"/>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spacing w:before="120"/>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spacing w:before="60"/>
        <w:rPr>
          <w:snapToGrid w:val="0"/>
        </w:rPr>
      </w:pPr>
      <w:r>
        <w:rPr>
          <w:snapToGrid w:val="0"/>
        </w:rPr>
        <w:tab/>
        <w:t>(a)</w:t>
      </w:r>
      <w:r>
        <w:rPr>
          <w:snapToGrid w:val="0"/>
        </w:rPr>
        <w:tab/>
        <w:t>in the notice served on the licensee setting out the particulars; or</w:t>
      </w:r>
    </w:p>
    <w:p>
      <w:pPr>
        <w:pStyle w:val="Indenta"/>
        <w:spacing w:before="60"/>
        <w:rPr>
          <w:snapToGrid w:val="0"/>
        </w:rPr>
      </w:pPr>
      <w:r>
        <w:rPr>
          <w:snapToGrid w:val="0"/>
        </w:rPr>
        <w:tab/>
        <w:t>(b)</w:t>
      </w:r>
      <w:r>
        <w:rPr>
          <w:snapToGrid w:val="0"/>
        </w:rPr>
        <w:tab/>
        <w:t>in the endorsement made on, or revised version of, the licence or exemption; or</w:t>
      </w:r>
    </w:p>
    <w:p>
      <w:pPr>
        <w:pStyle w:val="Indenta"/>
        <w:spacing w:before="60"/>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spacing w:before="120"/>
        <w:rPr>
          <w:snapToGrid w:val="0"/>
        </w:rPr>
      </w:pPr>
      <w:r>
        <w:rPr>
          <w:snapToGrid w:val="0"/>
        </w:rPr>
        <w:tab/>
      </w:r>
      <w:r>
        <w:rPr>
          <w:snapToGrid w:val="0"/>
        </w:rPr>
        <w:tab/>
        <w:t>as the case may be.</w:t>
      </w:r>
    </w:p>
    <w:p>
      <w:pPr>
        <w:pStyle w:val="Footnotesection"/>
        <w:spacing w:before="100"/>
      </w:pPr>
      <w:r>
        <w:tab/>
        <w:t>[Section 35 amended: No. 55 of 2004 s. 540; No. 28 of 2006 s. 270(1).]</w:t>
      </w:r>
    </w:p>
    <w:p>
      <w:pPr>
        <w:pStyle w:val="Heading3"/>
        <w:spacing w:before="280"/>
        <w:rPr>
          <w:snapToGrid w:val="0"/>
        </w:rPr>
      </w:pPr>
      <w:bookmarkStart w:id="118" w:name="_Toc471916373"/>
      <w:bookmarkStart w:id="119" w:name="_Toc472069956"/>
      <w:bookmarkStart w:id="120" w:name="_Toc473107954"/>
      <w:bookmarkStart w:id="121" w:name="_Toc473117760"/>
      <w:bookmarkStart w:id="122" w:name="_Toc493587299"/>
      <w:bookmarkStart w:id="123" w:name="_Toc493587470"/>
      <w:bookmarkStart w:id="124" w:name="_Toc493604541"/>
      <w:r>
        <w:rPr>
          <w:rStyle w:val="CharDivNo"/>
        </w:rPr>
        <w:t>Division 3</w:t>
      </w:r>
      <w:r>
        <w:rPr>
          <w:snapToGrid w:val="0"/>
        </w:rPr>
        <w:t> — </w:t>
      </w:r>
      <w:r>
        <w:rPr>
          <w:rStyle w:val="CharDivText"/>
        </w:rPr>
        <w:t>Suspension or cancellation, and disciplinary action</w:t>
      </w:r>
      <w:bookmarkEnd w:id="118"/>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493604542"/>
      <w:r>
        <w:rPr>
          <w:rStyle w:val="CharSectno"/>
        </w:rPr>
        <w:t>36</w:t>
      </w:r>
      <w:r>
        <w:rPr>
          <w:snapToGrid w:val="0"/>
        </w:rPr>
        <w:t>.</w:t>
      </w:r>
      <w:r>
        <w:rPr>
          <w:snapToGrid w:val="0"/>
        </w:rPr>
        <w:tab/>
        <w:t>Suspension or cancellation of licence or exemption, other than on disciplinary grounds</w:t>
      </w:r>
      <w:bookmarkEnd w:id="125"/>
      <w:r>
        <w:rPr>
          <w:snapToGrid w:val="0"/>
        </w:rPr>
        <w:t xml:space="preserve"> </w:t>
      </w:r>
    </w:p>
    <w:p>
      <w:pPr>
        <w:pStyle w:val="Subsection"/>
        <w:spacing w:before="120"/>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spacing w:before="120"/>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spacing w:before="120"/>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spacing w:before="120"/>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spacing w:before="120"/>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spacing w:before="120"/>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spacing w:before="100"/>
      </w:pPr>
      <w:r>
        <w:tab/>
        <w:t>[Section 36 amended: No. 55 of 2004 s. 528; No. 28 of 2006 s. 270(1).]</w:t>
      </w:r>
    </w:p>
    <w:p>
      <w:pPr>
        <w:pStyle w:val="Heading5"/>
        <w:spacing w:before="180"/>
      </w:pPr>
      <w:bookmarkStart w:id="126" w:name="_Toc493604543"/>
      <w:r>
        <w:rPr>
          <w:rStyle w:val="CharSectno"/>
        </w:rPr>
        <w:t>36A</w:t>
      </w:r>
      <w:r>
        <w:t>.</w:t>
      </w:r>
      <w:r>
        <w:tab/>
      </w:r>
      <w:r>
        <w:rPr>
          <w:snapToGrid w:val="0"/>
        </w:rPr>
        <w:t>Referring to SAT a matter leading to section 36(2a) notice</w:t>
      </w:r>
      <w:bookmarkEnd w:id="126"/>
    </w:p>
    <w:p>
      <w:pPr>
        <w:pStyle w:val="Subsection"/>
        <w:spacing w:before="120"/>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spacing w:before="100"/>
      </w:pPr>
      <w:r>
        <w:tab/>
        <w:t>[Section 36A inserted: No. 55 of 2004 s. 529; amended: No. 28 of 2006 s. 270(1).]</w:t>
      </w:r>
    </w:p>
    <w:p>
      <w:pPr>
        <w:pStyle w:val="Heading5"/>
        <w:spacing w:before="240"/>
        <w:rPr>
          <w:snapToGrid w:val="0"/>
        </w:rPr>
      </w:pPr>
      <w:bookmarkStart w:id="127" w:name="_Toc493604544"/>
      <w:r>
        <w:rPr>
          <w:rStyle w:val="CharSectno"/>
        </w:rPr>
        <w:t>37</w:t>
      </w:r>
      <w:r>
        <w:rPr>
          <w:snapToGrid w:val="0"/>
        </w:rPr>
        <w:t>.</w:t>
      </w:r>
      <w:r>
        <w:rPr>
          <w:snapToGrid w:val="0"/>
        </w:rPr>
        <w:tab/>
        <w:t>Summary determinations</w:t>
      </w:r>
      <w:bookmarkEnd w:id="127"/>
      <w:r>
        <w:rPr>
          <w:snapToGrid w:val="0"/>
        </w:rPr>
        <w:t xml:space="preserve"> </w:t>
      </w:r>
    </w:p>
    <w:p>
      <w:pPr>
        <w:pStyle w:val="Subsection"/>
        <w:spacing w:before="180"/>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spacing w:before="180"/>
      </w:pPr>
      <w:r>
        <w:tab/>
        <w:t>(1a)</w:t>
      </w:r>
      <w:r>
        <w:tab/>
      </w:r>
      <w:r>
        <w:rPr>
          <w:snapToGrid w:val="0"/>
        </w:rPr>
        <w:t>The CEO shall seek the advice of the Council before making a summary determination under subsection (1).</w:t>
      </w:r>
    </w:p>
    <w:p>
      <w:pPr>
        <w:pStyle w:val="Subsection"/>
        <w:spacing w:before="180"/>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spacing w:before="180"/>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No. 55 of 2004 s. 530; No. 28 of 2006 s. 268 and 270.]</w:t>
      </w:r>
    </w:p>
    <w:p>
      <w:pPr>
        <w:pStyle w:val="Heading5"/>
      </w:pPr>
      <w:bookmarkStart w:id="128" w:name="_Toc493604545"/>
      <w:r>
        <w:rPr>
          <w:rStyle w:val="CharSectno"/>
        </w:rPr>
        <w:t>38</w:t>
      </w:r>
      <w:r>
        <w:t>.</w:t>
      </w:r>
      <w:r>
        <w:tab/>
        <w:t>Disciplinary action</w:t>
      </w:r>
      <w:bookmarkEnd w:id="128"/>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No. 55 of 2004 s. 531; amended: No. 28 of 2006 s. 270.]</w:t>
      </w:r>
    </w:p>
    <w:p>
      <w:pPr>
        <w:pStyle w:val="Heading5"/>
        <w:rPr>
          <w:snapToGrid w:val="0"/>
        </w:rPr>
      </w:pPr>
      <w:bookmarkStart w:id="129" w:name="_Toc493604546"/>
      <w:r>
        <w:rPr>
          <w:rStyle w:val="CharSectno"/>
        </w:rPr>
        <w:t>39</w:t>
      </w:r>
      <w:r>
        <w:rPr>
          <w:snapToGrid w:val="0"/>
        </w:rPr>
        <w:t>.</w:t>
      </w:r>
      <w:r>
        <w:rPr>
          <w:snapToGrid w:val="0"/>
        </w:rPr>
        <w:tab/>
        <w:t>Matters that may be subject of disciplinary action</w:t>
      </w:r>
      <w:bookmarkEnd w:id="12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 or</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 or</w:t>
      </w:r>
    </w:p>
    <w:p>
      <w:pPr>
        <w:pStyle w:val="Indenta"/>
        <w:rPr>
          <w:snapToGrid w:val="0"/>
        </w:rPr>
      </w:pPr>
      <w:r>
        <w:rPr>
          <w:snapToGrid w:val="0"/>
        </w:rPr>
        <w:tab/>
        <w:t>(c)</w:t>
      </w:r>
      <w:r>
        <w:rPr>
          <w:snapToGrid w:val="0"/>
        </w:rPr>
        <w:tab/>
        <w:t>a licensee has contravened a term or condition applicable to an exemption; or</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 or</w:t>
      </w:r>
    </w:p>
    <w:p>
      <w:pPr>
        <w:pStyle w:val="Indenti"/>
        <w:rPr>
          <w:snapToGrid w:val="0"/>
        </w:rPr>
      </w:pPr>
      <w:r>
        <w:rPr>
          <w:snapToGrid w:val="0"/>
        </w:rPr>
        <w:tab/>
        <w:t>(ii)</w:t>
      </w:r>
      <w:r>
        <w:rPr>
          <w:snapToGrid w:val="0"/>
        </w:rPr>
        <w:tab/>
        <w:t xml:space="preserve">an offence under the </w:t>
      </w:r>
      <w:r>
        <w:rPr>
          <w:i/>
        </w:rPr>
        <w:t>Health (Miscellaneous Provisions) Act 1911</w:t>
      </w:r>
      <w:r>
        <w:rPr>
          <w:snapToGrid w:val="0"/>
        </w:rPr>
        <w:t xml:space="preserve"> </w:t>
      </w:r>
      <w:r>
        <w:t xml:space="preserve">or the </w:t>
      </w:r>
      <w:r>
        <w:rPr>
          <w:i/>
        </w:rPr>
        <w:t xml:space="preserve">Public Health Act 2016 </w:t>
      </w:r>
      <w:r>
        <w:rPr>
          <w:snapToGrid w:val="0"/>
        </w:rPr>
        <w:t>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 or</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 or</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 or</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 or</w:t>
      </w:r>
    </w:p>
    <w:p>
      <w:pPr>
        <w:pStyle w:val="Indenta"/>
        <w:rPr>
          <w:snapToGrid w:val="0"/>
        </w:rPr>
      </w:pPr>
      <w:r>
        <w:rPr>
          <w:snapToGrid w:val="0"/>
        </w:rPr>
        <w:tab/>
        <w:t>(j)</w:t>
      </w:r>
      <w:r>
        <w:rPr>
          <w:snapToGrid w:val="0"/>
        </w:rPr>
        <w:tab/>
        <w:t>information given for the purposes of this Act by or on behalf of the licensee was in any material respect false or misleading; or</w:t>
      </w:r>
    </w:p>
    <w:p>
      <w:pPr>
        <w:pStyle w:val="Indenta"/>
        <w:rPr>
          <w:snapToGrid w:val="0"/>
        </w:rPr>
      </w:pPr>
      <w:r>
        <w:rPr>
          <w:snapToGrid w:val="0"/>
        </w:rPr>
        <w:tab/>
        <w:t>(k)</w:t>
      </w:r>
      <w:r>
        <w:rPr>
          <w:snapToGrid w:val="0"/>
        </w:rPr>
        <w:tab/>
        <w:t>information which this Act requires to be kept confidential is not so kept; or</w:t>
      </w:r>
    </w:p>
    <w:p>
      <w:pPr>
        <w:pStyle w:val="Indenta"/>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No. 55 of 2004 s. 532; No. 19 of 2016 s. 159 and 297.]</w:t>
      </w:r>
    </w:p>
    <w:p>
      <w:pPr>
        <w:pStyle w:val="Heading5"/>
        <w:rPr>
          <w:snapToGrid w:val="0"/>
        </w:rPr>
      </w:pPr>
      <w:bookmarkStart w:id="130" w:name="_Toc493604547"/>
      <w:r>
        <w:rPr>
          <w:rStyle w:val="CharSectno"/>
        </w:rPr>
        <w:t>40</w:t>
      </w:r>
      <w:r>
        <w:rPr>
          <w:snapToGrid w:val="0"/>
        </w:rPr>
        <w:t>.</w:t>
      </w:r>
      <w:r>
        <w:rPr>
          <w:snapToGrid w:val="0"/>
        </w:rPr>
        <w:tab/>
        <w:t>Penalties</w:t>
      </w:r>
      <w:bookmarkEnd w:id="13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 or</w:t>
      </w:r>
    </w:p>
    <w:p>
      <w:pPr>
        <w:pStyle w:val="Indenta"/>
      </w:pPr>
      <w:r>
        <w:tab/>
        <w:t>(b)</w:t>
      </w:r>
      <w:r>
        <w:tab/>
        <w:t>the imposition of a condition to which a licence or exemption is to be subject, limiting the authority conferred by the licence or exemption; or</w:t>
      </w:r>
    </w:p>
    <w:p>
      <w:pPr>
        <w:pStyle w:val="Indenta"/>
      </w:pPr>
      <w:r>
        <w:tab/>
        <w:t>(c)</w:t>
      </w:r>
      <w:r>
        <w:tab/>
        <w:t>the variation or cancellation of a term or condition to which a licence or exemption is subject; or</w:t>
      </w:r>
    </w:p>
    <w:p>
      <w:pPr>
        <w:pStyle w:val="Indenta"/>
      </w:pPr>
      <w:r>
        <w:tab/>
        <w:t>(d)</w:t>
      </w:r>
      <w:r>
        <w:tab/>
        <w:t>a requirement that a person to whom the licence applies or who is interested in the licence or exemption enter into a written undertaking or a bond, or give a prescribed security, for future conduct; or</w:t>
      </w:r>
    </w:p>
    <w:p>
      <w:pPr>
        <w:pStyle w:val="Indenta"/>
      </w:pPr>
      <w:r>
        <w:tab/>
        <w:t>(e)</w:t>
      </w:r>
      <w:r>
        <w:tab/>
        <w:t>a requirement as to the conduct of the reproductive technology practice under the licence or exemption, contravention of which may result in its mandatory suspension; or</w:t>
      </w:r>
    </w:p>
    <w:p>
      <w:pPr>
        <w:pStyle w:val="Indenta"/>
      </w:pPr>
      <w:r>
        <w:tab/>
        <w:t>(f)</w:t>
      </w:r>
      <w:r>
        <w:tab/>
        <w:t>a requirement that specified action be taken by the person responsible within a specified period, contravention of which may result in mandatory suspension of the licence or exemption; or</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spacing w:before="90"/>
      </w:pPr>
      <w:r>
        <w:tab/>
      </w:r>
      <w:r>
        <w:tab/>
        <w:t>or</w:t>
      </w:r>
    </w:p>
    <w:p>
      <w:pPr>
        <w:pStyle w:val="Indenta"/>
        <w:spacing w:before="90"/>
      </w:pPr>
      <w:r>
        <w:tab/>
        <w:t>(h)</w:t>
      </w:r>
      <w:r>
        <w:tab/>
        <w:t>the suspension of the operation of the licence or exemption for so long as a person to whom subsection (2) applies is — </w:t>
      </w:r>
    </w:p>
    <w:p>
      <w:pPr>
        <w:pStyle w:val="Indenti"/>
        <w:spacing w:before="90"/>
      </w:pPr>
      <w:r>
        <w:tab/>
        <w:t>(i)</w:t>
      </w:r>
      <w:r>
        <w:tab/>
        <w:t>the holder of a position of authority in a body that holds a licence; or</w:t>
      </w:r>
    </w:p>
    <w:p>
      <w:pPr>
        <w:pStyle w:val="Indenti"/>
        <w:spacing w:before="90"/>
      </w:pPr>
      <w:r>
        <w:tab/>
        <w:t>(ii)</w:t>
      </w:r>
      <w:r>
        <w:tab/>
        <w:t>directly or indirectly materially interested in a reproductive technology practice carried on under a licence or exemption,</w:t>
      </w:r>
    </w:p>
    <w:p>
      <w:pPr>
        <w:pStyle w:val="Indenta"/>
        <w:spacing w:before="90"/>
      </w:pPr>
      <w:r>
        <w:tab/>
      </w:r>
      <w:r>
        <w:tab/>
        <w:t>subject to subsection (3); or</w:t>
      </w:r>
    </w:p>
    <w:p>
      <w:pPr>
        <w:pStyle w:val="Indenta"/>
        <w:spacing w:before="90"/>
      </w:pPr>
      <w:r>
        <w:tab/>
        <w:t>(i)</w:t>
      </w:r>
      <w:r>
        <w:tab/>
        <w:t>the cancellation of a licence, or the revocation of an exemption; or</w:t>
      </w:r>
    </w:p>
    <w:p>
      <w:pPr>
        <w:pStyle w:val="Indenta"/>
        <w:spacing w:before="90"/>
      </w:pPr>
      <w:r>
        <w:tab/>
        <w:t>(j)</w:t>
      </w:r>
      <w:r>
        <w:tab/>
        <w:t>the disqualification, for such period as the Tribunal thinks fit, of a licensee from holding a licence or exemption; or</w:t>
      </w:r>
    </w:p>
    <w:p>
      <w:pPr>
        <w:pStyle w:val="Indenta"/>
        <w:spacing w:before="90"/>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(1a)(d),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No. 17 of 2004 s. 28; No. 55 of 2004 s. 533 and 540; No. 28 of 2006 s. 270.]</w:t>
      </w:r>
    </w:p>
    <w:p>
      <w:pPr>
        <w:pStyle w:val="Heading5"/>
        <w:rPr>
          <w:snapToGrid w:val="0"/>
        </w:rPr>
      </w:pPr>
      <w:bookmarkStart w:id="131" w:name="_Toc493604548"/>
      <w:r>
        <w:rPr>
          <w:rStyle w:val="CharSectno"/>
        </w:rPr>
        <w:t>41</w:t>
      </w:r>
      <w:r>
        <w:rPr>
          <w:snapToGrid w:val="0"/>
        </w:rPr>
        <w:t>.</w:t>
      </w:r>
      <w:r>
        <w:rPr>
          <w:snapToGrid w:val="0"/>
        </w:rPr>
        <w:tab/>
        <w:t>Effect on pending procedures</w:t>
      </w:r>
      <w:bookmarkEnd w:id="131"/>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No. 17 of 2004 s. 29; No. 28 of 2006 s. 270.]</w:t>
      </w:r>
    </w:p>
    <w:p>
      <w:pPr>
        <w:pStyle w:val="Heading3"/>
      </w:pPr>
      <w:bookmarkStart w:id="132" w:name="_Toc471916381"/>
      <w:bookmarkStart w:id="133" w:name="_Toc472069964"/>
      <w:bookmarkStart w:id="134" w:name="_Toc473107962"/>
      <w:bookmarkStart w:id="135" w:name="_Toc473117768"/>
      <w:bookmarkStart w:id="136" w:name="_Toc493587307"/>
      <w:bookmarkStart w:id="137" w:name="_Toc493587478"/>
      <w:bookmarkStart w:id="138" w:name="_Toc493604549"/>
      <w:r>
        <w:rPr>
          <w:rStyle w:val="CharDivNo"/>
        </w:rPr>
        <w:t>Division 4</w:t>
      </w:r>
      <w:r>
        <w:rPr>
          <w:snapToGrid w:val="0"/>
        </w:rPr>
        <w:t> — </w:t>
      </w:r>
      <w:r>
        <w:rPr>
          <w:rStyle w:val="CharDivText"/>
        </w:rPr>
        <w:t>State Administrative Tribunal powers</w:t>
      </w:r>
      <w:bookmarkEnd w:id="132"/>
      <w:bookmarkEnd w:id="133"/>
      <w:bookmarkEnd w:id="134"/>
      <w:bookmarkEnd w:id="135"/>
      <w:bookmarkEnd w:id="136"/>
      <w:bookmarkEnd w:id="137"/>
      <w:bookmarkEnd w:id="138"/>
      <w:r>
        <w:rPr>
          <w:rStyle w:val="CharDivText"/>
        </w:rPr>
        <w:t xml:space="preserve"> </w:t>
      </w:r>
    </w:p>
    <w:p>
      <w:pPr>
        <w:pStyle w:val="Footnoteheading"/>
        <w:tabs>
          <w:tab w:val="left" w:pos="851"/>
        </w:tabs>
      </w:pPr>
      <w:r>
        <w:tab/>
        <w:t>[Heading amended: No. 55 of 2004 s. 534.]</w:t>
      </w:r>
    </w:p>
    <w:p>
      <w:pPr>
        <w:pStyle w:val="Heading5"/>
        <w:rPr>
          <w:snapToGrid w:val="0"/>
        </w:rPr>
      </w:pPr>
      <w:bookmarkStart w:id="139" w:name="_Toc493604550"/>
      <w:r>
        <w:rPr>
          <w:rStyle w:val="CharSectno"/>
        </w:rPr>
        <w:t>42</w:t>
      </w:r>
      <w:r>
        <w:rPr>
          <w:snapToGrid w:val="0"/>
        </w:rPr>
        <w:t>.</w:t>
      </w:r>
      <w:r>
        <w:rPr>
          <w:snapToGrid w:val="0"/>
        </w:rPr>
        <w:tab/>
        <w:t>Reviews</w:t>
      </w:r>
      <w:bookmarkEnd w:id="139"/>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 or</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spacing w:before="140"/>
      </w:pPr>
      <w:r>
        <w:tab/>
        <w:t>(2)</w:t>
      </w:r>
      <w:r>
        <w:tab/>
      </w:r>
      <w:r>
        <w:rPr>
          <w:snapToGrid w:val="0"/>
        </w:rPr>
        <w:t>An applicant or licensee may apply to the State Administrative Tribunal for a review of a decision of the kind to which subsection (1) refers to which effect is given.</w:t>
      </w:r>
    </w:p>
    <w:p>
      <w:pPr>
        <w:pStyle w:val="Subsection"/>
        <w:spacing w:before="140"/>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spacing w:before="100"/>
      </w:pPr>
      <w:r>
        <w:tab/>
        <w:t>[Section 42 amended: No. 55 of 2004 s. 535 and 540; No. 28 of 2006 s. 270.]</w:t>
      </w:r>
    </w:p>
    <w:p>
      <w:pPr>
        <w:pStyle w:val="Heading5"/>
        <w:spacing w:before="200"/>
        <w:rPr>
          <w:snapToGrid w:val="0"/>
        </w:rPr>
      </w:pPr>
      <w:bookmarkStart w:id="140" w:name="_Toc493604551"/>
      <w:r>
        <w:rPr>
          <w:rStyle w:val="CharSectno"/>
        </w:rPr>
        <w:t>43</w:t>
      </w:r>
      <w:r>
        <w:rPr>
          <w:snapToGrid w:val="0"/>
        </w:rPr>
        <w:t>.</w:t>
      </w:r>
      <w:r>
        <w:rPr>
          <w:snapToGrid w:val="0"/>
        </w:rPr>
        <w:tab/>
        <w:t>Restraint of continuing contravention</w:t>
      </w:r>
      <w:bookmarkEnd w:id="140"/>
      <w:r>
        <w:rPr>
          <w:snapToGrid w:val="0"/>
        </w:rPr>
        <w:t xml:space="preserve"> </w:t>
      </w:r>
    </w:p>
    <w:p>
      <w:pPr>
        <w:pStyle w:val="Subsection"/>
        <w:spacing w:before="140"/>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spacing w:before="60"/>
        <w:rPr>
          <w:snapToGrid w:val="0"/>
        </w:rPr>
      </w:pPr>
      <w:r>
        <w:rPr>
          <w:snapToGrid w:val="0"/>
        </w:rPr>
        <w:tab/>
        <w:t>(a)</w:t>
      </w:r>
      <w:r>
        <w:rPr>
          <w:snapToGrid w:val="0"/>
        </w:rPr>
        <w:tab/>
        <w:t xml:space="preserve">by order restrain the continuance of that act; and </w:t>
      </w:r>
    </w:p>
    <w:p>
      <w:pPr>
        <w:pStyle w:val="Indenta"/>
        <w:spacing w:before="60"/>
        <w:rPr>
          <w:snapToGrid w:val="0"/>
        </w:rPr>
      </w:pPr>
      <w:r>
        <w:rPr>
          <w:snapToGrid w:val="0"/>
        </w:rPr>
        <w:tab/>
        <w:t>(b)</w:t>
      </w:r>
      <w:r>
        <w:rPr>
          <w:snapToGrid w:val="0"/>
        </w:rPr>
        <w:tab/>
        <w:t>make a further order that — </w:t>
      </w:r>
    </w:p>
    <w:p>
      <w:pPr>
        <w:pStyle w:val="Indenti"/>
        <w:spacing w:before="60"/>
        <w:rPr>
          <w:snapToGrid w:val="0"/>
        </w:rPr>
      </w:pPr>
      <w:r>
        <w:rPr>
          <w:snapToGrid w:val="0"/>
        </w:rPr>
        <w:tab/>
        <w:t>(i)</w:t>
      </w:r>
      <w:r>
        <w:rPr>
          <w:snapToGrid w:val="0"/>
        </w:rPr>
        <w:tab/>
        <w:t>the operation of the licence or exemption may be suspended for a specified period; or</w:t>
      </w:r>
    </w:p>
    <w:p>
      <w:pPr>
        <w:pStyle w:val="Indenti"/>
        <w:spacing w:before="60"/>
        <w:rPr>
          <w:snapToGrid w:val="0"/>
        </w:rPr>
      </w:pPr>
      <w:r>
        <w:rPr>
          <w:snapToGrid w:val="0"/>
        </w:rPr>
        <w:tab/>
        <w:t>(ii)</w:t>
      </w:r>
      <w:r>
        <w:rPr>
          <w:snapToGrid w:val="0"/>
        </w:rPr>
        <w:tab/>
        <w:t>the licence may be cancelled or the exemption revoked with immediate effect,</w:t>
      </w:r>
    </w:p>
    <w:p>
      <w:pPr>
        <w:pStyle w:val="Indenta"/>
        <w:spacing w:before="60"/>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spacing w:before="140"/>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spacing w:before="140"/>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spacing w:before="100"/>
      </w:pPr>
      <w:r>
        <w:tab/>
        <w:t>[Section 43 amended: No. 55 of 2004 s. 536; No. 28 of 2006 s. 270(1).]</w:t>
      </w:r>
    </w:p>
    <w:p>
      <w:pPr>
        <w:pStyle w:val="Heading3"/>
        <w:rPr>
          <w:snapToGrid w:val="0"/>
        </w:rPr>
      </w:pPr>
      <w:bookmarkStart w:id="141" w:name="_Toc471916384"/>
      <w:bookmarkStart w:id="142" w:name="_Toc472069967"/>
      <w:bookmarkStart w:id="143" w:name="_Toc473107965"/>
      <w:bookmarkStart w:id="144" w:name="_Toc473117771"/>
      <w:bookmarkStart w:id="145" w:name="_Toc493587310"/>
      <w:bookmarkStart w:id="146" w:name="_Toc493587481"/>
      <w:bookmarkStart w:id="147" w:name="_Toc493604552"/>
      <w:r>
        <w:rPr>
          <w:rStyle w:val="CharDivNo"/>
        </w:rPr>
        <w:t>Division 5</w:t>
      </w:r>
      <w:r>
        <w:rPr>
          <w:snapToGrid w:val="0"/>
        </w:rPr>
        <w:t> — </w:t>
      </w:r>
      <w:r>
        <w:rPr>
          <w:rStyle w:val="CharDivText"/>
        </w:rPr>
        <w:t>Information</w:t>
      </w:r>
      <w:bookmarkEnd w:id="141"/>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493604553"/>
      <w:r>
        <w:rPr>
          <w:rStyle w:val="CharSectno"/>
        </w:rPr>
        <w:t>44</w:t>
      </w:r>
      <w:r>
        <w:rPr>
          <w:snapToGrid w:val="0"/>
        </w:rPr>
        <w:t>.</w:t>
      </w:r>
      <w:r>
        <w:rPr>
          <w:snapToGrid w:val="0"/>
        </w:rPr>
        <w:tab/>
        <w:t>Records of procedures</w:t>
      </w:r>
      <w:bookmarkEnd w:id="148"/>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spacing w:before="70"/>
        <w:rPr>
          <w:snapToGrid w:val="0"/>
        </w:rPr>
      </w:pPr>
      <w:r>
        <w:rPr>
          <w:snapToGrid w:val="0"/>
        </w:rPr>
        <w:tab/>
        <w:t>(a)</w:t>
      </w:r>
      <w:r>
        <w:rPr>
          <w:snapToGrid w:val="0"/>
        </w:rPr>
        <w:tab/>
        <w:t>showing in relation to human gametes, human eggs undergoing fertilisation or human embryos kept or used by that licensee — </w:t>
      </w:r>
    </w:p>
    <w:p>
      <w:pPr>
        <w:pStyle w:val="Indenti"/>
        <w:spacing w:before="70"/>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 and</w:t>
      </w:r>
    </w:p>
    <w:p>
      <w:pPr>
        <w:pStyle w:val="Indenti"/>
        <w:spacing w:before="70"/>
      </w:pPr>
      <w:r>
        <w:tab/>
        <w:t>(ii)</w:t>
      </w:r>
      <w:r>
        <w:tab/>
        <w:t>if human eggs undergoing fertilisation or human embryos, their biological parentage and the date fertilisation commenced; and</w:t>
      </w:r>
    </w:p>
    <w:p>
      <w:pPr>
        <w:pStyle w:val="Indenti"/>
        <w:spacing w:before="70"/>
        <w:rPr>
          <w:snapToGrid w:val="0"/>
        </w:rPr>
      </w:pPr>
      <w:r>
        <w:rPr>
          <w:snapToGrid w:val="0"/>
        </w:rPr>
        <w:tab/>
        <w:t>(iii)</w:t>
      </w:r>
      <w:r>
        <w:rPr>
          <w:snapToGrid w:val="0"/>
        </w:rPr>
        <w:tab/>
        <w:t>the place, period and method of collection and of keeping; and</w:t>
      </w:r>
    </w:p>
    <w:p>
      <w:pPr>
        <w:pStyle w:val="Indenti"/>
        <w:spacing w:before="70"/>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relation to all artificial fertilisation procedures carried out by or on behalf of the licensee showing — </w:t>
      </w:r>
    </w:p>
    <w:p>
      <w:pPr>
        <w:pStyle w:val="Indenti"/>
        <w:spacing w:before="70"/>
        <w:rPr>
          <w:snapToGrid w:val="0"/>
        </w:rPr>
      </w:pPr>
      <w:r>
        <w:rPr>
          <w:snapToGrid w:val="0"/>
        </w:rPr>
        <w:tab/>
        <w:t>(i)</w:t>
      </w:r>
      <w:r>
        <w:rPr>
          <w:snapToGrid w:val="0"/>
        </w:rPr>
        <w:tab/>
        <w:t>the identity of, and full particulars as to the consent given by, each participant; and</w:t>
      </w:r>
    </w:p>
    <w:p>
      <w:pPr>
        <w:pStyle w:val="Indenti"/>
        <w:spacing w:before="70"/>
        <w:rPr>
          <w:snapToGrid w:val="0"/>
        </w:rPr>
      </w:pPr>
      <w:r>
        <w:rPr>
          <w:snapToGrid w:val="0"/>
        </w:rPr>
        <w:tab/>
        <w:t>(ii)</w:t>
      </w:r>
      <w:r>
        <w:rPr>
          <w:snapToGrid w:val="0"/>
        </w:rPr>
        <w:tab/>
        <w:t>the reasons why each participant was assessed as being an eligible person in respect of that procedure; and</w:t>
      </w:r>
    </w:p>
    <w:p>
      <w:pPr>
        <w:pStyle w:val="Indenti"/>
        <w:spacing w:before="70"/>
        <w:rPr>
          <w:snapToGrid w:val="0"/>
        </w:rPr>
      </w:pPr>
      <w:r>
        <w:rPr>
          <w:snapToGrid w:val="0"/>
        </w:rPr>
        <w:tab/>
        <w:t>(iii)</w:t>
      </w:r>
      <w:r>
        <w:rPr>
          <w:snapToGrid w:val="0"/>
        </w:rPr>
        <w:tab/>
        <w:t>the nature of the procedure; and</w:t>
      </w:r>
    </w:p>
    <w:p>
      <w:pPr>
        <w:pStyle w:val="Indenti"/>
        <w:spacing w:before="70"/>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 and</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spacing w:before="120"/>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keepNext/>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 and</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 or</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 or</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No. 17 of 2004 s. 30; No. 28 of 2006 s. 270.]</w:t>
      </w:r>
    </w:p>
    <w:p>
      <w:pPr>
        <w:pStyle w:val="Heading5"/>
        <w:rPr>
          <w:snapToGrid w:val="0"/>
        </w:rPr>
      </w:pPr>
      <w:bookmarkStart w:id="149" w:name="_Toc493604554"/>
      <w:r>
        <w:rPr>
          <w:rStyle w:val="CharSectno"/>
        </w:rPr>
        <w:t>45</w:t>
      </w:r>
      <w:r>
        <w:rPr>
          <w:snapToGrid w:val="0"/>
        </w:rPr>
        <w:t>.</w:t>
      </w:r>
      <w:r>
        <w:rPr>
          <w:snapToGrid w:val="0"/>
        </w:rPr>
        <w:tab/>
        <w:t>Registers of identity</w:t>
      </w:r>
      <w:bookmarkEnd w:id="14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 and</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 and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 and</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 and</w:t>
      </w:r>
    </w:p>
    <w:p>
      <w:pPr>
        <w:pStyle w:val="Indenta"/>
        <w:spacing w:before="120"/>
        <w:rPr>
          <w:snapToGrid w:val="0"/>
        </w:rPr>
      </w:pPr>
      <w:r>
        <w:rPr>
          <w:snapToGrid w:val="0"/>
        </w:rPr>
        <w:tab/>
        <w:t>(d)</w:t>
      </w:r>
      <w:r>
        <w:rPr>
          <w:snapToGrid w:val="0"/>
        </w:rPr>
        <w:tab/>
        <w:t>setting out a record, complying with the prescribed requirements, of disciplinary proceedings under this Act; and</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keepNext/>
        <w:keepLines/>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No. 17 of 2004 s. 31; No. 28 of 2006 s. 270(1).]</w:t>
      </w:r>
    </w:p>
    <w:p>
      <w:pPr>
        <w:pStyle w:val="Heading5"/>
        <w:rPr>
          <w:snapToGrid w:val="0"/>
        </w:rPr>
      </w:pPr>
      <w:bookmarkStart w:id="150" w:name="_Toc493604555"/>
      <w:r>
        <w:rPr>
          <w:rStyle w:val="CharSectno"/>
        </w:rPr>
        <w:t>46</w:t>
      </w:r>
      <w:r>
        <w:rPr>
          <w:snapToGrid w:val="0"/>
        </w:rPr>
        <w:t>.</w:t>
      </w:r>
      <w:r>
        <w:rPr>
          <w:snapToGrid w:val="0"/>
        </w:rPr>
        <w:tab/>
        <w:t>Access to information</w:t>
      </w:r>
      <w:bookmarkEnd w:id="150"/>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spacing w:before="60"/>
        <w:rPr>
          <w:snapToGrid w:val="0"/>
        </w:rPr>
      </w:pPr>
      <w:r>
        <w:rPr>
          <w:snapToGrid w:val="0"/>
        </w:rPr>
        <w:tab/>
        <w:t>(a)</w:t>
      </w:r>
      <w:r>
        <w:rPr>
          <w:snapToGrid w:val="0"/>
        </w:rPr>
        <w:tab/>
        <w:t>it does not identify, but relates to — </w:t>
      </w:r>
    </w:p>
    <w:p>
      <w:pPr>
        <w:pStyle w:val="Indenti"/>
        <w:spacing w:before="60"/>
        <w:rPr>
          <w:snapToGrid w:val="0"/>
        </w:rPr>
      </w:pPr>
      <w:r>
        <w:rPr>
          <w:snapToGrid w:val="0"/>
        </w:rPr>
        <w:tab/>
        <w:t>(i)</w:t>
      </w:r>
      <w:r>
        <w:rPr>
          <w:snapToGrid w:val="0"/>
        </w:rPr>
        <w:tab/>
        <w:t>a biological parent of that person; or</w:t>
      </w:r>
    </w:p>
    <w:p>
      <w:pPr>
        <w:pStyle w:val="Indenti"/>
        <w:spacing w:before="60"/>
        <w:rPr>
          <w:snapToGrid w:val="0"/>
        </w:rPr>
      </w:pPr>
      <w:r>
        <w:rPr>
          <w:snapToGrid w:val="0"/>
        </w:rPr>
        <w:tab/>
        <w:t>(ii)</w:t>
      </w:r>
      <w:r>
        <w:rPr>
          <w:snapToGrid w:val="0"/>
        </w:rPr>
        <w:tab/>
        <w:t>a child of which that person is a biological parent;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it is sought by a person so authorised by the</w:t>
      </w:r>
      <w:r>
        <w:t xml:space="preserve"> CEO</w:t>
      </w:r>
      <w:r>
        <w:rPr>
          <w:snapToGrid w:val="0"/>
        </w:rPr>
        <w:t>; or</w:t>
      </w:r>
    </w:p>
    <w:p>
      <w:pPr>
        <w:pStyle w:val="Indenta"/>
        <w:spacing w:before="60"/>
        <w:rPr>
          <w:snapToGrid w:val="0"/>
        </w:rPr>
      </w:pPr>
      <w:r>
        <w:rPr>
          <w:snapToGrid w:val="0"/>
        </w:rPr>
        <w:tab/>
        <w:t>(c)</w:t>
      </w:r>
      <w:r>
        <w:rPr>
          <w:snapToGrid w:val="0"/>
        </w:rPr>
        <w:tab/>
        <w:t>it discloses only the social or public health connotations of reproductive technology; or</w:t>
      </w:r>
    </w:p>
    <w:p>
      <w:pPr>
        <w:pStyle w:val="Indenta"/>
        <w:spacing w:before="60"/>
        <w:rPr>
          <w:snapToGrid w:val="0"/>
        </w:rPr>
      </w:pPr>
      <w:r>
        <w:rPr>
          <w:snapToGrid w:val="0"/>
        </w:rPr>
        <w:tab/>
        <w:t>(d)</w:t>
      </w:r>
      <w:r>
        <w:rPr>
          <w:snapToGrid w:val="0"/>
        </w:rPr>
        <w:tab/>
        <w:t>a written law so provides,</w:t>
      </w:r>
    </w:p>
    <w:p>
      <w:pPr>
        <w:pStyle w:val="Subsection"/>
        <w:spacing w:before="120"/>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spacing w:before="60"/>
        <w:rPr>
          <w:snapToGrid w:val="0"/>
        </w:rPr>
      </w:pPr>
      <w:r>
        <w:rPr>
          <w:snapToGrid w:val="0"/>
        </w:rPr>
        <w:tab/>
        <w:t>(a)</w:t>
      </w:r>
      <w:r>
        <w:rPr>
          <w:snapToGrid w:val="0"/>
        </w:rPr>
        <w:tab/>
        <w:t>an authorised officer, for the purposes of the administration of this Act or a prescribed written law; or</w:t>
      </w:r>
    </w:p>
    <w:p>
      <w:pPr>
        <w:pStyle w:val="Indenta"/>
        <w:spacing w:before="60"/>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No. 28 of 2006 s. 270(1).]</w:t>
      </w:r>
    </w:p>
    <w:p>
      <w:pPr>
        <w:pStyle w:val="Heading5"/>
        <w:rPr>
          <w:snapToGrid w:val="0"/>
        </w:rPr>
      </w:pPr>
      <w:bookmarkStart w:id="151" w:name="_Toc493604556"/>
      <w:r>
        <w:rPr>
          <w:rStyle w:val="CharSectno"/>
        </w:rPr>
        <w:t>47</w:t>
      </w:r>
      <w:r>
        <w:rPr>
          <w:snapToGrid w:val="0"/>
        </w:rPr>
        <w:t>.</w:t>
      </w:r>
      <w:r>
        <w:rPr>
          <w:snapToGrid w:val="0"/>
        </w:rPr>
        <w:tab/>
        <w:t>Annual returns etc.</w:t>
      </w:r>
      <w:bookmarkEnd w:id="151"/>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60"/>
        <w:rPr>
          <w:snapToGrid w:val="0"/>
        </w:rPr>
      </w:pPr>
      <w:r>
        <w:rPr>
          <w:snapToGrid w:val="0"/>
        </w:rPr>
        <w:tab/>
        <w:t>(a)</w:t>
      </w:r>
      <w:r>
        <w:rPr>
          <w:snapToGrid w:val="0"/>
        </w:rPr>
        <w:tab/>
        <w:t>the Rules; or</w:t>
      </w:r>
    </w:p>
    <w:p>
      <w:pPr>
        <w:pStyle w:val="Indenta"/>
        <w:rPr>
          <w:snapToGrid w:val="0"/>
        </w:rPr>
      </w:pPr>
      <w:r>
        <w:rPr>
          <w:snapToGrid w:val="0"/>
        </w:rPr>
        <w:tab/>
        <w:t>(b)</w:t>
      </w:r>
      <w:r>
        <w:rPr>
          <w:snapToGrid w:val="0"/>
        </w:rPr>
        <w:tab/>
        <w:t>the regulations; or</w:t>
      </w:r>
    </w:p>
    <w:p>
      <w:pPr>
        <w:pStyle w:val="Indenta"/>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No. 28 of 2006 s. 270(1).]</w:t>
      </w:r>
    </w:p>
    <w:p>
      <w:pPr>
        <w:pStyle w:val="Heading5"/>
        <w:rPr>
          <w:snapToGrid w:val="0"/>
        </w:rPr>
      </w:pPr>
      <w:bookmarkStart w:id="152" w:name="_Toc493604557"/>
      <w:r>
        <w:rPr>
          <w:rStyle w:val="CharSectno"/>
        </w:rPr>
        <w:t>48</w:t>
      </w:r>
      <w:r>
        <w:rPr>
          <w:snapToGrid w:val="0"/>
        </w:rPr>
        <w:t>.</w:t>
      </w:r>
      <w:r>
        <w:rPr>
          <w:snapToGrid w:val="0"/>
        </w:rPr>
        <w:tab/>
        <w:t>Exchange of information</w:t>
      </w:r>
      <w:bookmarkEnd w:id="152"/>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No. 17 of 2004 s. 32; No. 28 of 2006 s. 270(1).]</w:t>
      </w:r>
    </w:p>
    <w:p>
      <w:pPr>
        <w:pStyle w:val="Heading5"/>
        <w:rPr>
          <w:snapToGrid w:val="0"/>
        </w:rPr>
      </w:pPr>
      <w:bookmarkStart w:id="153" w:name="_Toc493604558"/>
      <w:r>
        <w:rPr>
          <w:rStyle w:val="CharSectno"/>
        </w:rPr>
        <w:t>49</w:t>
      </w:r>
      <w:r>
        <w:rPr>
          <w:snapToGrid w:val="0"/>
        </w:rPr>
        <w:t>.</w:t>
      </w:r>
      <w:r>
        <w:rPr>
          <w:snapToGrid w:val="0"/>
        </w:rPr>
        <w:tab/>
        <w:t>Confidentiality</w:t>
      </w:r>
      <w:bookmarkEnd w:id="153"/>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 or</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 or</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 or</w:t>
      </w:r>
    </w:p>
    <w:p>
      <w:pPr>
        <w:pStyle w:val="Indenta"/>
        <w:spacing w:before="70"/>
        <w:rPr>
          <w:snapToGrid w:val="0"/>
        </w:rPr>
      </w:pPr>
      <w:r>
        <w:rPr>
          <w:snapToGrid w:val="0"/>
        </w:rPr>
        <w:tab/>
        <w:t>(c)</w:t>
      </w:r>
      <w:r>
        <w:rPr>
          <w:snapToGrid w:val="0"/>
        </w:rPr>
        <w:tab/>
        <w:t>as may be authorised or required by the Code or the regulations; or</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subsection (2)(d).</w:t>
      </w:r>
    </w:p>
    <w:p>
      <w:pPr>
        <w:pStyle w:val="Subsection"/>
      </w:pPr>
      <w:r>
        <w:tab/>
        <w:t>(2c)</w:t>
      </w:r>
      <w:r>
        <w:tab/>
        <w:t xml:space="preserve">A person who has parental responsibility (as defined in section 68 of the </w:t>
      </w:r>
      <w:r>
        <w:rPr>
          <w:i/>
        </w:rPr>
        <w:t>Family Court Act 1997</w:t>
      </w:r>
      <w:r>
        <w:rPr>
          <w:iCs/>
        </w:rPr>
        <w:t>)</w:t>
      </w:r>
      <w:r>
        <w:t xml:space="preserve"> 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keepNext/>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 or</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12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spacing w:before="60"/>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spacing w:before="60"/>
        <w:rPr>
          <w:snapToGrid w:val="0"/>
        </w:rPr>
      </w:pPr>
      <w:r>
        <w:rPr>
          <w:snapToGrid w:val="0"/>
        </w:rPr>
        <w:tab/>
        <w:t>(i)</w:t>
      </w:r>
      <w:r>
        <w:rPr>
          <w:snapToGrid w:val="0"/>
        </w:rPr>
        <w:tab/>
        <w:t>of the Council; or</w:t>
      </w:r>
    </w:p>
    <w:p>
      <w:pPr>
        <w:pStyle w:val="Indenti"/>
        <w:spacing w:before="60"/>
        <w:rPr>
          <w:snapToGrid w:val="0"/>
        </w:rPr>
      </w:pPr>
      <w:r>
        <w:rPr>
          <w:snapToGrid w:val="0"/>
        </w:rPr>
        <w:tab/>
        <w:t>(ii)</w:t>
      </w:r>
      <w:r>
        <w:rPr>
          <w:snapToGrid w:val="0"/>
        </w:rPr>
        <w:tab/>
        <w:t>of the State Administrative Tribunal; or</w:t>
      </w:r>
    </w:p>
    <w:p>
      <w:pPr>
        <w:pStyle w:val="Indenti"/>
        <w:spacing w:before="60"/>
        <w:rPr>
          <w:snapToGrid w:val="0"/>
        </w:rPr>
      </w:pPr>
      <w:r>
        <w:rPr>
          <w:snapToGrid w:val="0"/>
        </w:rPr>
        <w:tab/>
        <w:t>(iii)</w:t>
      </w:r>
      <w:r>
        <w:rPr>
          <w:snapToGrid w:val="0"/>
        </w:rPr>
        <w:tab/>
        <w:t>in respect of an offence under this Act;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is required by an authorised officer for the purpose of carrying into effect the provisions of this Act; or</w:t>
      </w:r>
    </w:p>
    <w:p>
      <w:pPr>
        <w:pStyle w:val="Indenta"/>
        <w:spacing w:before="60"/>
        <w:rPr>
          <w:snapToGrid w:val="0"/>
        </w:rPr>
      </w:pPr>
      <w:r>
        <w:rPr>
          <w:snapToGrid w:val="0"/>
        </w:rPr>
        <w:tab/>
        <w:t>(c)</w:t>
      </w:r>
      <w:r>
        <w:rPr>
          <w:snapToGrid w:val="0"/>
        </w:rPr>
        <w:tab/>
        <w:t>is authorised under any other written law,</w:t>
      </w:r>
    </w:p>
    <w:p>
      <w:pPr>
        <w:pStyle w:val="Subsection"/>
        <w:spacing w:before="12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No. 17 of 2004 s. 33; No. 55 of 2004 s. 537; No. 28 of 2006 s. 270(1).]</w:t>
      </w:r>
    </w:p>
    <w:p>
      <w:pPr>
        <w:pStyle w:val="Heading5"/>
        <w:spacing w:before="200"/>
        <w:rPr>
          <w:snapToGrid w:val="0"/>
        </w:rPr>
      </w:pPr>
      <w:bookmarkStart w:id="154" w:name="_Toc493604559"/>
      <w:r>
        <w:rPr>
          <w:rStyle w:val="CharSectno"/>
        </w:rPr>
        <w:t>50</w:t>
      </w:r>
      <w:r>
        <w:rPr>
          <w:snapToGrid w:val="0"/>
        </w:rPr>
        <w:t>.</w:t>
      </w:r>
      <w:r>
        <w:rPr>
          <w:snapToGrid w:val="0"/>
        </w:rPr>
        <w:tab/>
        <w:t>False or misleading statements and records</w:t>
      </w:r>
      <w:bookmarkEnd w:id="154"/>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6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spacing w:before="60"/>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No. 55 of 2004 s. 540; No. 28 of 2006 s. 270(1).]</w:t>
      </w:r>
    </w:p>
    <w:p>
      <w:pPr>
        <w:pStyle w:val="Heading3"/>
        <w:rPr>
          <w:snapToGrid w:val="0"/>
        </w:rPr>
      </w:pPr>
      <w:bookmarkStart w:id="155" w:name="_Toc471916392"/>
      <w:bookmarkStart w:id="156" w:name="_Toc472069975"/>
      <w:bookmarkStart w:id="157" w:name="_Toc473107973"/>
      <w:bookmarkStart w:id="158" w:name="_Toc473117779"/>
      <w:bookmarkStart w:id="159" w:name="_Toc493587318"/>
      <w:bookmarkStart w:id="160" w:name="_Toc493587489"/>
      <w:bookmarkStart w:id="161" w:name="_Toc493604560"/>
      <w:r>
        <w:rPr>
          <w:rStyle w:val="CharDivNo"/>
        </w:rPr>
        <w:t>Division 6</w:t>
      </w:r>
      <w:r>
        <w:rPr>
          <w:snapToGrid w:val="0"/>
        </w:rPr>
        <w:t> — </w:t>
      </w:r>
      <w:r>
        <w:rPr>
          <w:rStyle w:val="CharDivText"/>
        </w:rPr>
        <w:t>Supervision, etc.</w:t>
      </w:r>
      <w:bookmarkEnd w:id="155"/>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493604561"/>
      <w:r>
        <w:rPr>
          <w:rStyle w:val="CharSectno"/>
        </w:rPr>
        <w:t>51</w:t>
      </w:r>
      <w:r>
        <w:rPr>
          <w:snapToGrid w:val="0"/>
        </w:rPr>
        <w:t>.</w:t>
      </w:r>
      <w:r>
        <w:rPr>
          <w:snapToGrid w:val="0"/>
        </w:rPr>
        <w:tab/>
        <w:t>Supervision</w:t>
      </w:r>
      <w:bookmarkEnd w:id="162"/>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 and</w:t>
      </w:r>
    </w:p>
    <w:p>
      <w:pPr>
        <w:pStyle w:val="Indenta"/>
        <w:rPr>
          <w:snapToGrid w:val="0"/>
        </w:rPr>
      </w:pPr>
      <w:r>
        <w:rPr>
          <w:snapToGrid w:val="0"/>
        </w:rPr>
        <w:tab/>
        <w:t>(b)</w:t>
      </w:r>
      <w:r>
        <w:rPr>
          <w:snapToGrid w:val="0"/>
        </w:rPr>
        <w:tab/>
        <w:t>that proper equipment is used; and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 and</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12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rPr>
          <w:snapToGrid w:val="0"/>
        </w:rPr>
      </w:pPr>
      <w:r>
        <w:rPr>
          <w:snapToGrid w:val="0"/>
        </w:rPr>
        <w:tab/>
        <w:t>(8)</w:t>
      </w:r>
      <w:r>
        <w:rPr>
          <w:snapToGrid w:val="0"/>
        </w:rPr>
        <w:tab/>
        <w:t>Whe</w:t>
      </w:r>
      <w:r>
        <w:rPr>
          <w:b/>
          <w:snapToGrid w:val="0"/>
        </w:rPr>
        <w:t>r</w:t>
      </w:r>
      <w:r>
        <w:rPr>
          <w:snapToGrid w:val="0"/>
        </w:rPr>
        <w:t xml:space="preserve">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 and</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120"/>
        <w:rPr>
          <w:snapToGrid w:val="0"/>
        </w:rPr>
      </w:pPr>
      <w:r>
        <w:rPr>
          <w:snapToGrid w:val="0"/>
        </w:rPr>
        <w:tab/>
      </w:r>
      <w:r>
        <w:rPr>
          <w:snapToGrid w:val="0"/>
        </w:rPr>
        <w:tab/>
        <w:t>jointly and severally remain, liable for the conduct of the practice.</w:t>
      </w:r>
    </w:p>
    <w:p>
      <w:pPr>
        <w:pStyle w:val="Footnotesection"/>
      </w:pPr>
      <w:r>
        <w:tab/>
        <w:t>[Section 51 amended: No. 17 of 2004 s. 34; No. 55 of 2004 s. 540; No. 28 of 2006 s. 270.]</w:t>
      </w:r>
    </w:p>
    <w:p>
      <w:pPr>
        <w:pStyle w:val="Heading5"/>
        <w:rPr>
          <w:snapToGrid w:val="0"/>
        </w:rPr>
      </w:pPr>
      <w:bookmarkStart w:id="163" w:name="_Toc493604562"/>
      <w:r>
        <w:rPr>
          <w:rStyle w:val="CharSectno"/>
        </w:rPr>
        <w:t>52</w:t>
      </w:r>
      <w:r>
        <w:rPr>
          <w:snapToGrid w:val="0"/>
        </w:rPr>
        <w:t>.</w:t>
      </w:r>
      <w:r>
        <w:rPr>
          <w:snapToGrid w:val="0"/>
        </w:rPr>
        <w:tab/>
        <w:t>Licensee liable for act of employee etc.</w:t>
      </w:r>
      <w:bookmarkEnd w:id="163"/>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No. 84 of 2004 s. 80.]</w:t>
      </w:r>
    </w:p>
    <w:p>
      <w:pPr>
        <w:pStyle w:val="Heading5"/>
        <w:rPr>
          <w:snapToGrid w:val="0"/>
        </w:rPr>
      </w:pPr>
      <w:bookmarkStart w:id="164" w:name="_Toc493604563"/>
      <w:r>
        <w:rPr>
          <w:rStyle w:val="CharSectno"/>
        </w:rPr>
        <w:t>53</w:t>
      </w:r>
      <w:r>
        <w:rPr>
          <w:snapToGrid w:val="0"/>
        </w:rPr>
        <w:t>.</w:t>
      </w:r>
      <w:r>
        <w:rPr>
          <w:snapToGrid w:val="0"/>
        </w:rPr>
        <w:tab/>
        <w:t>Offences by bodies corporate and partnerships</w:t>
      </w:r>
      <w:bookmarkEnd w:id="164"/>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No. 10 of 2001 s. 109; No. 17 of 2004 s. 35; No. 28 of 2006 s. 270(1).]</w:t>
      </w:r>
    </w:p>
    <w:p>
      <w:pPr>
        <w:pStyle w:val="Heading2"/>
      </w:pPr>
      <w:bookmarkStart w:id="165" w:name="_Toc471916396"/>
      <w:bookmarkStart w:id="166" w:name="_Toc472069979"/>
      <w:bookmarkStart w:id="167" w:name="_Toc473107977"/>
      <w:bookmarkStart w:id="168" w:name="_Toc473117783"/>
      <w:bookmarkStart w:id="169" w:name="_Toc493587322"/>
      <w:bookmarkStart w:id="170" w:name="_Toc493587493"/>
      <w:bookmarkStart w:id="171" w:name="_Toc493604564"/>
      <w:r>
        <w:rPr>
          <w:rStyle w:val="CharPartNo"/>
        </w:rPr>
        <w:t>Part 4A</w:t>
      </w:r>
      <w:r>
        <w:t> — </w:t>
      </w:r>
      <w:r>
        <w:rPr>
          <w:rStyle w:val="CharPartText"/>
        </w:rPr>
        <w:t>Prohibited practices</w:t>
      </w:r>
      <w:bookmarkEnd w:id="165"/>
      <w:bookmarkEnd w:id="166"/>
      <w:bookmarkEnd w:id="167"/>
      <w:bookmarkEnd w:id="168"/>
      <w:bookmarkEnd w:id="169"/>
      <w:bookmarkEnd w:id="170"/>
      <w:bookmarkEnd w:id="171"/>
    </w:p>
    <w:p>
      <w:pPr>
        <w:pStyle w:val="Footnoteheading"/>
        <w:tabs>
          <w:tab w:val="left" w:pos="851"/>
        </w:tabs>
      </w:pPr>
      <w:r>
        <w:tab/>
        <w:t>[Heading inserted: No. 18 of 2004 s. 8.]</w:t>
      </w:r>
    </w:p>
    <w:p>
      <w:pPr>
        <w:pStyle w:val="Heading3"/>
      </w:pPr>
      <w:bookmarkStart w:id="172" w:name="_Toc471916397"/>
      <w:bookmarkStart w:id="173" w:name="_Toc472069980"/>
      <w:bookmarkStart w:id="174" w:name="_Toc473107978"/>
      <w:bookmarkStart w:id="175" w:name="_Toc473117784"/>
      <w:bookmarkStart w:id="176" w:name="_Toc493587323"/>
      <w:bookmarkStart w:id="177" w:name="_Toc493587494"/>
      <w:bookmarkStart w:id="178" w:name="_Toc493604565"/>
      <w:r>
        <w:rPr>
          <w:rStyle w:val="CharDivNo"/>
        </w:rPr>
        <w:t>Division 1</w:t>
      </w:r>
      <w:r>
        <w:t> — </w:t>
      </w:r>
      <w:r>
        <w:rPr>
          <w:rStyle w:val="CharDivText"/>
        </w:rPr>
        <w:t>General</w:t>
      </w:r>
      <w:bookmarkEnd w:id="172"/>
      <w:bookmarkEnd w:id="173"/>
      <w:bookmarkEnd w:id="174"/>
      <w:bookmarkEnd w:id="175"/>
      <w:bookmarkEnd w:id="176"/>
      <w:bookmarkEnd w:id="177"/>
      <w:bookmarkEnd w:id="178"/>
    </w:p>
    <w:p>
      <w:pPr>
        <w:pStyle w:val="Footnoteheading"/>
        <w:tabs>
          <w:tab w:val="left" w:pos="851"/>
        </w:tabs>
      </w:pPr>
      <w:r>
        <w:tab/>
        <w:t>[Heading inserted: No. 18 of 2004 s. 8.]</w:t>
      </w:r>
    </w:p>
    <w:p>
      <w:pPr>
        <w:pStyle w:val="Heading5"/>
      </w:pPr>
      <w:bookmarkStart w:id="179" w:name="_Toc493604566"/>
      <w:r>
        <w:rPr>
          <w:rStyle w:val="CharSectno"/>
        </w:rPr>
        <w:t>53A</w:t>
      </w:r>
      <w:r>
        <w:t>.</w:t>
      </w:r>
      <w:r>
        <w:tab/>
        <w:t>Object of this Part</w:t>
      </w:r>
      <w:bookmarkEnd w:id="179"/>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No. 18 of 2004 s. 8.]</w:t>
      </w:r>
    </w:p>
    <w:p>
      <w:pPr>
        <w:pStyle w:val="Heading5"/>
        <w:rPr>
          <w:snapToGrid w:val="0"/>
        </w:rPr>
      </w:pPr>
      <w:bookmarkStart w:id="180" w:name="_Toc493604567"/>
      <w:r>
        <w:rPr>
          <w:rStyle w:val="CharSectno"/>
        </w:rPr>
        <w:t>53B</w:t>
      </w:r>
      <w:r>
        <w:rPr>
          <w:snapToGrid w:val="0"/>
        </w:rPr>
        <w:t>.</w:t>
      </w:r>
      <w:r>
        <w:rPr>
          <w:snapToGrid w:val="0"/>
        </w:rPr>
        <w:tab/>
        <w:t>Terms used</w:t>
      </w:r>
      <w:bookmarkEnd w:id="180"/>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 or</w:t>
      </w:r>
    </w:p>
    <w:p>
      <w:pPr>
        <w:pStyle w:val="Defpara"/>
      </w:pPr>
      <w:r>
        <w:tab/>
        <w:t>(b)</w:t>
      </w:r>
      <w:r>
        <w:tab/>
        <w:t>an embryo created by the fertilisation of an animal egg by human sperm; or</w:t>
      </w:r>
    </w:p>
    <w:p>
      <w:pPr>
        <w:pStyle w:val="Defpara"/>
      </w:pPr>
      <w:r>
        <w:tab/>
        <w:t>(c)</w:t>
      </w:r>
      <w:r>
        <w:tab/>
        <w:t>a human egg into which the nucleus of an animal cell has been introduced; or</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5.75pt" o:ole="">
            <v:imagedata r:id="rId24" o:title=""/>
          </v:shape>
          <o:OLEObject Type="Embed" ProgID="Equation.3" ShapeID="_x0000_i1025" DrawAspect="Content" ObjectID="_1643413562" r:id="rId25"/>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No. 18 of 2004 s. 8.]</w:t>
      </w:r>
    </w:p>
    <w:p>
      <w:pPr>
        <w:pStyle w:val="Heading3"/>
        <w:spacing w:before="260"/>
        <w:rPr>
          <w:snapToGrid w:val="0"/>
        </w:rPr>
      </w:pPr>
      <w:bookmarkStart w:id="181" w:name="_Toc471916400"/>
      <w:bookmarkStart w:id="182" w:name="_Toc472069983"/>
      <w:bookmarkStart w:id="183" w:name="_Toc473107981"/>
      <w:bookmarkStart w:id="184" w:name="_Toc473117787"/>
      <w:bookmarkStart w:id="185" w:name="_Toc493587326"/>
      <w:bookmarkStart w:id="186" w:name="_Toc493587497"/>
      <w:bookmarkStart w:id="187" w:name="_Toc493604568"/>
      <w:r>
        <w:rPr>
          <w:rStyle w:val="CharDivNo"/>
        </w:rPr>
        <w:t>Division 2</w:t>
      </w:r>
      <w:r>
        <w:rPr>
          <w:snapToGrid w:val="0"/>
        </w:rPr>
        <w:t> — </w:t>
      </w:r>
      <w:r>
        <w:rPr>
          <w:rStyle w:val="CharDivText"/>
        </w:rPr>
        <w:t>Human cloning</w:t>
      </w:r>
      <w:bookmarkEnd w:id="181"/>
      <w:bookmarkEnd w:id="182"/>
      <w:bookmarkEnd w:id="183"/>
      <w:bookmarkEnd w:id="184"/>
      <w:bookmarkEnd w:id="185"/>
      <w:bookmarkEnd w:id="186"/>
      <w:bookmarkEnd w:id="187"/>
    </w:p>
    <w:p>
      <w:pPr>
        <w:pStyle w:val="Footnoteheading"/>
        <w:tabs>
          <w:tab w:val="left" w:pos="851"/>
        </w:tabs>
      </w:pPr>
      <w:r>
        <w:tab/>
        <w:t>[Heading inserted: No. 18 of 2004 s. 8.]</w:t>
      </w:r>
    </w:p>
    <w:p>
      <w:pPr>
        <w:pStyle w:val="Heading5"/>
        <w:spacing w:before="180"/>
        <w:rPr>
          <w:snapToGrid w:val="0"/>
        </w:rPr>
      </w:pPr>
      <w:bookmarkStart w:id="188" w:name="_Toc493604569"/>
      <w:r>
        <w:rPr>
          <w:rStyle w:val="CharSectno"/>
        </w:rPr>
        <w:t>53C</w:t>
      </w:r>
      <w:r>
        <w:rPr>
          <w:snapToGrid w:val="0"/>
        </w:rPr>
        <w:t>.</w:t>
      </w:r>
      <w:r>
        <w:rPr>
          <w:iCs/>
          <w:snapToGrid w:val="0"/>
        </w:rPr>
        <w:tab/>
      </w:r>
      <w:r>
        <w:rPr>
          <w:snapToGrid w:val="0"/>
        </w:rPr>
        <w:t>Offence — creating human embryo clone</w:t>
      </w:r>
      <w:bookmarkEnd w:id="188"/>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No. 18 of 2004 s. 8.]</w:t>
      </w:r>
    </w:p>
    <w:p>
      <w:pPr>
        <w:pStyle w:val="Heading5"/>
        <w:spacing w:before="180"/>
        <w:rPr>
          <w:snapToGrid w:val="0"/>
        </w:rPr>
      </w:pPr>
      <w:bookmarkStart w:id="189" w:name="_Toc493604570"/>
      <w:r>
        <w:rPr>
          <w:rStyle w:val="CharSectno"/>
        </w:rPr>
        <w:t>53D</w:t>
      </w:r>
      <w:r>
        <w:rPr>
          <w:snapToGrid w:val="0"/>
        </w:rPr>
        <w:t>.</w:t>
      </w:r>
      <w:r>
        <w:rPr>
          <w:snapToGrid w:val="0"/>
        </w:rPr>
        <w:tab/>
        <w:t>Offence — placing human embryo clone in human body or body of an animal</w:t>
      </w:r>
      <w:bookmarkEnd w:id="189"/>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No. 18 of 2004 s. 8.]</w:t>
      </w:r>
    </w:p>
    <w:p>
      <w:pPr>
        <w:pStyle w:val="Heading5"/>
        <w:spacing w:before="180"/>
        <w:rPr>
          <w:snapToGrid w:val="0"/>
        </w:rPr>
      </w:pPr>
      <w:bookmarkStart w:id="190" w:name="_Toc493604571"/>
      <w:r>
        <w:rPr>
          <w:rStyle w:val="CharSectno"/>
        </w:rPr>
        <w:t>53E</w:t>
      </w:r>
      <w:r>
        <w:rPr>
          <w:snapToGrid w:val="0"/>
        </w:rPr>
        <w:t>.</w:t>
      </w:r>
      <w:r>
        <w:rPr>
          <w:snapToGrid w:val="0"/>
        </w:rPr>
        <w:tab/>
        <w:t>Offence — importing or exporting human embryo clone</w:t>
      </w:r>
      <w:bookmarkEnd w:id="190"/>
    </w:p>
    <w:p>
      <w:pPr>
        <w:pStyle w:val="Subsection"/>
        <w:spacing w:before="10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spacing w:before="10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No. 18 of 2004 s. 8.]</w:t>
      </w:r>
    </w:p>
    <w:p>
      <w:pPr>
        <w:pStyle w:val="Heading5"/>
        <w:rPr>
          <w:snapToGrid w:val="0"/>
        </w:rPr>
      </w:pPr>
      <w:bookmarkStart w:id="191" w:name="_Toc493604572"/>
      <w:r>
        <w:rPr>
          <w:rStyle w:val="CharSectno"/>
        </w:rPr>
        <w:t>53F</w:t>
      </w:r>
      <w:r>
        <w:rPr>
          <w:snapToGrid w:val="0"/>
        </w:rPr>
        <w:t>.</w:t>
      </w:r>
      <w:r>
        <w:rPr>
          <w:snapToGrid w:val="0"/>
        </w:rPr>
        <w:tab/>
        <w:t>No defence that human embryo clone could not survive</w:t>
      </w:r>
      <w:bookmarkEnd w:id="191"/>
    </w:p>
    <w:p>
      <w:pPr>
        <w:pStyle w:val="Subsection"/>
        <w:rPr>
          <w:snapToGrid w:val="0"/>
        </w:rPr>
      </w:pPr>
      <w:r>
        <w:rPr>
          <w:snapToGrid w:val="0"/>
        </w:rPr>
        <w:tab/>
      </w:r>
      <w:r>
        <w:rPr>
          <w:snapToGrid w:val="0"/>
        </w:rPr>
        <w:tab/>
        <w:t>It is not a defence to an offence under section 53C, 53D or 53E that the human embryo clone did not survive or could not have survived.</w:t>
      </w:r>
    </w:p>
    <w:p>
      <w:pPr>
        <w:pStyle w:val="Footnotesection"/>
      </w:pPr>
      <w:r>
        <w:tab/>
        <w:t>[Section 53F inserted: No. 18 of 2004 s. 8.]</w:t>
      </w:r>
    </w:p>
    <w:p>
      <w:pPr>
        <w:pStyle w:val="Heading3"/>
        <w:spacing w:before="200"/>
        <w:rPr>
          <w:snapToGrid w:val="0"/>
        </w:rPr>
      </w:pPr>
      <w:bookmarkStart w:id="192" w:name="_Toc471916405"/>
      <w:bookmarkStart w:id="193" w:name="_Toc472069988"/>
      <w:bookmarkStart w:id="194" w:name="_Toc473107986"/>
      <w:bookmarkStart w:id="195" w:name="_Toc473117792"/>
      <w:bookmarkStart w:id="196" w:name="_Toc493587331"/>
      <w:bookmarkStart w:id="197" w:name="_Toc493587502"/>
      <w:bookmarkStart w:id="198" w:name="_Toc493604573"/>
      <w:r>
        <w:rPr>
          <w:rStyle w:val="CharDivNo"/>
        </w:rPr>
        <w:t>Division 3</w:t>
      </w:r>
      <w:r>
        <w:rPr>
          <w:snapToGrid w:val="0"/>
        </w:rPr>
        <w:t> — </w:t>
      </w:r>
      <w:r>
        <w:rPr>
          <w:rStyle w:val="CharDivText"/>
        </w:rPr>
        <w:t>Other prohibited practices</w:t>
      </w:r>
      <w:bookmarkEnd w:id="192"/>
      <w:bookmarkEnd w:id="193"/>
      <w:bookmarkEnd w:id="194"/>
      <w:bookmarkEnd w:id="195"/>
      <w:bookmarkEnd w:id="196"/>
      <w:bookmarkEnd w:id="197"/>
      <w:bookmarkEnd w:id="198"/>
    </w:p>
    <w:p>
      <w:pPr>
        <w:pStyle w:val="Footnoteheading"/>
        <w:tabs>
          <w:tab w:val="left" w:pos="851"/>
        </w:tabs>
      </w:pPr>
      <w:r>
        <w:tab/>
        <w:t>[Heading inserted: No. 18 of 2004 s. 8.]</w:t>
      </w:r>
    </w:p>
    <w:p>
      <w:pPr>
        <w:pStyle w:val="Heading5"/>
        <w:spacing w:before="180"/>
        <w:rPr>
          <w:snapToGrid w:val="0"/>
        </w:rPr>
      </w:pPr>
      <w:bookmarkStart w:id="199" w:name="_Toc493604574"/>
      <w:r>
        <w:rPr>
          <w:rStyle w:val="CharSectno"/>
        </w:rPr>
        <w:t>53G</w:t>
      </w:r>
      <w:r>
        <w:rPr>
          <w:snapToGrid w:val="0"/>
        </w:rPr>
        <w:t>.</w:t>
      </w:r>
      <w:r>
        <w:rPr>
          <w:b w:val="0"/>
          <w:iCs/>
          <w:snapToGrid w:val="0"/>
        </w:rPr>
        <w:tab/>
      </w:r>
      <w:r>
        <w:rPr>
          <w:snapToGrid w:val="0"/>
        </w:rPr>
        <w:t>Offence — creating human embryo other than by fertilisation, or developing such an embryo</w:t>
      </w:r>
      <w:bookmarkEnd w:id="199"/>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No. 18 of 2004 s. 8.]</w:t>
      </w:r>
    </w:p>
    <w:p>
      <w:pPr>
        <w:pStyle w:val="Heading5"/>
        <w:spacing w:before="180"/>
        <w:rPr>
          <w:snapToGrid w:val="0"/>
        </w:rPr>
      </w:pPr>
      <w:bookmarkStart w:id="200" w:name="_Toc493604575"/>
      <w:r>
        <w:rPr>
          <w:rStyle w:val="CharSectno"/>
        </w:rPr>
        <w:t>53H</w:t>
      </w:r>
      <w:r>
        <w:rPr>
          <w:snapToGrid w:val="0"/>
        </w:rPr>
        <w:t>.</w:t>
      </w:r>
      <w:r>
        <w:rPr>
          <w:snapToGrid w:val="0"/>
        </w:rPr>
        <w:tab/>
        <w:t>Offence — creating human embryo for purpose other than achieving pregnancy in woman</w:t>
      </w:r>
      <w:bookmarkEnd w:id="200"/>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No. 18 of 2004 s. 8; amended: No. 2 of 2008 s. 63.]</w:t>
      </w:r>
    </w:p>
    <w:p>
      <w:pPr>
        <w:pStyle w:val="Heading5"/>
        <w:rPr>
          <w:snapToGrid w:val="0"/>
        </w:rPr>
      </w:pPr>
      <w:bookmarkStart w:id="201" w:name="_Toc493604576"/>
      <w:r>
        <w:rPr>
          <w:rStyle w:val="CharSectno"/>
        </w:rPr>
        <w:t>53I</w:t>
      </w:r>
      <w:r>
        <w:rPr>
          <w:snapToGrid w:val="0"/>
        </w:rPr>
        <w:t>.</w:t>
      </w:r>
      <w:r>
        <w:rPr>
          <w:iCs/>
          <w:snapToGrid w:val="0"/>
        </w:rPr>
        <w:tab/>
      </w:r>
      <w:r>
        <w:rPr>
          <w:snapToGrid w:val="0"/>
        </w:rPr>
        <w:t>Offence — creating or developing human embryo containing genetic material provided by more than 2 persons</w:t>
      </w:r>
      <w:bookmarkEnd w:id="201"/>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No. 18 of 2004 s. 8.]</w:t>
      </w:r>
    </w:p>
    <w:p>
      <w:pPr>
        <w:pStyle w:val="Heading5"/>
        <w:spacing w:before="160"/>
        <w:rPr>
          <w:snapToGrid w:val="0"/>
        </w:rPr>
      </w:pPr>
      <w:bookmarkStart w:id="202" w:name="_Toc493604577"/>
      <w:r>
        <w:rPr>
          <w:rStyle w:val="CharSectno"/>
        </w:rPr>
        <w:t>53J</w:t>
      </w:r>
      <w:r>
        <w:rPr>
          <w:snapToGrid w:val="0"/>
        </w:rPr>
        <w:t>.</w:t>
      </w:r>
      <w:r>
        <w:rPr>
          <w:snapToGrid w:val="0"/>
        </w:rPr>
        <w:tab/>
        <w:t>Offence — developing human embryo outside body of  woman for more than 14 days</w:t>
      </w:r>
      <w:bookmarkEnd w:id="202"/>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No. 18 of 2004 s. 8.]</w:t>
      </w:r>
    </w:p>
    <w:p>
      <w:pPr>
        <w:pStyle w:val="Heading5"/>
        <w:spacing w:before="160"/>
        <w:rPr>
          <w:snapToGrid w:val="0"/>
        </w:rPr>
      </w:pPr>
      <w:bookmarkStart w:id="203" w:name="_Toc493604578"/>
      <w:r>
        <w:rPr>
          <w:rStyle w:val="CharSectno"/>
        </w:rPr>
        <w:t>53K</w:t>
      </w:r>
      <w:r>
        <w:rPr>
          <w:snapToGrid w:val="0"/>
        </w:rPr>
        <w:t>.</w:t>
      </w:r>
      <w:r>
        <w:rPr>
          <w:snapToGrid w:val="0"/>
        </w:rPr>
        <w:tab/>
        <w:t>Offence — using precursor cells from human embryo or human fetus to create human embryo, or developing such an embryo</w:t>
      </w:r>
      <w:bookmarkEnd w:id="203"/>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No. 18 of 2004 s. 8.]</w:t>
      </w:r>
    </w:p>
    <w:p>
      <w:pPr>
        <w:pStyle w:val="Heading5"/>
        <w:rPr>
          <w:snapToGrid w:val="0"/>
        </w:rPr>
      </w:pPr>
      <w:bookmarkStart w:id="204" w:name="_Toc493604579"/>
      <w:r>
        <w:rPr>
          <w:rStyle w:val="CharSectno"/>
        </w:rPr>
        <w:t>53L</w:t>
      </w:r>
      <w:r>
        <w:rPr>
          <w:snapToGrid w:val="0"/>
        </w:rPr>
        <w:t>.</w:t>
      </w:r>
      <w:r>
        <w:rPr>
          <w:snapToGrid w:val="0"/>
        </w:rPr>
        <w:tab/>
        <w:t>Offence — heritable alterations to genome</w:t>
      </w:r>
      <w:bookmarkEnd w:id="204"/>
    </w:p>
    <w:p>
      <w:pPr>
        <w:pStyle w:val="Subsection"/>
        <w:spacing w:before="10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pPr>
      <w:r>
        <w:tab/>
        <w:t>(2)</w:t>
      </w:r>
      <w:r>
        <w:tab/>
        <w:t xml:space="preserve">In </w:t>
      </w:r>
      <w:r>
        <w:rPr>
          <w:snapToGrid w:val="0"/>
        </w:rPr>
        <w:t>this</w:t>
      </w:r>
      <w:r>
        <w:t xml:space="preserve">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No. 18 of 2004 s. 8.]</w:t>
      </w:r>
    </w:p>
    <w:p>
      <w:pPr>
        <w:pStyle w:val="Heading5"/>
        <w:rPr>
          <w:snapToGrid w:val="0"/>
        </w:rPr>
      </w:pPr>
      <w:bookmarkStart w:id="205" w:name="_Toc493604580"/>
      <w:r>
        <w:rPr>
          <w:rStyle w:val="CharSectno"/>
        </w:rPr>
        <w:t>53M</w:t>
      </w:r>
      <w:r>
        <w:rPr>
          <w:snapToGrid w:val="0"/>
        </w:rPr>
        <w:t>.</w:t>
      </w:r>
      <w:r>
        <w:rPr>
          <w:snapToGrid w:val="0"/>
        </w:rPr>
        <w:tab/>
        <w:t>Offence — collecting viable human embryo from body of woman</w:t>
      </w:r>
      <w:bookmarkEnd w:id="205"/>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No. 18 of 2004 s. 8.]</w:t>
      </w:r>
    </w:p>
    <w:p>
      <w:pPr>
        <w:pStyle w:val="Heading5"/>
        <w:rPr>
          <w:snapToGrid w:val="0"/>
        </w:rPr>
      </w:pPr>
      <w:bookmarkStart w:id="206" w:name="_Toc493604581"/>
      <w:r>
        <w:rPr>
          <w:rStyle w:val="CharSectno"/>
        </w:rPr>
        <w:t>53N</w:t>
      </w:r>
      <w:r>
        <w:rPr>
          <w:snapToGrid w:val="0"/>
        </w:rPr>
        <w:t>.</w:t>
      </w:r>
      <w:r>
        <w:rPr>
          <w:snapToGrid w:val="0"/>
        </w:rPr>
        <w:tab/>
        <w:t>Offence — creating chimeric or hybrid embryo</w:t>
      </w:r>
      <w:bookmarkEnd w:id="206"/>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No. 18 of 2004 s. 8.]</w:t>
      </w:r>
    </w:p>
    <w:p>
      <w:pPr>
        <w:pStyle w:val="Heading5"/>
        <w:rPr>
          <w:snapToGrid w:val="0"/>
        </w:rPr>
      </w:pPr>
      <w:bookmarkStart w:id="207" w:name="_Toc493604582"/>
      <w:r>
        <w:rPr>
          <w:rStyle w:val="CharSectno"/>
        </w:rPr>
        <w:t>53O</w:t>
      </w:r>
      <w:r>
        <w:rPr>
          <w:snapToGrid w:val="0"/>
        </w:rPr>
        <w:t>.</w:t>
      </w:r>
      <w:r>
        <w:rPr>
          <w:snapToGrid w:val="0"/>
        </w:rPr>
        <w:tab/>
        <w:t>Offence — placing of an embryo</w:t>
      </w:r>
      <w:bookmarkEnd w:id="207"/>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No. 18 of 2004 s. 8.]</w:t>
      </w:r>
    </w:p>
    <w:p>
      <w:pPr>
        <w:pStyle w:val="Heading5"/>
        <w:rPr>
          <w:snapToGrid w:val="0"/>
        </w:rPr>
      </w:pPr>
      <w:bookmarkStart w:id="208" w:name="_Toc493604583"/>
      <w:r>
        <w:rPr>
          <w:rStyle w:val="CharSectno"/>
        </w:rPr>
        <w:t>53P</w:t>
      </w:r>
      <w:r>
        <w:rPr>
          <w:snapToGrid w:val="0"/>
        </w:rPr>
        <w:t>.</w:t>
      </w:r>
      <w:r>
        <w:rPr>
          <w:snapToGrid w:val="0"/>
        </w:rPr>
        <w:tab/>
        <w:t>Offence — importing, exporting or placing prohibited embryo</w:t>
      </w:r>
      <w:bookmarkEnd w:id="208"/>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 or</w:t>
      </w:r>
    </w:p>
    <w:p>
      <w:pPr>
        <w:pStyle w:val="Defpara"/>
      </w:pPr>
      <w:r>
        <w:tab/>
        <w:t>(b)</w:t>
      </w:r>
      <w:r>
        <w:tab/>
        <w:t>a human embryo created outside the body of a woman, unless the intention of the person who created the embryo was to attempt to achieve pregnancy in a particular woman; or</w:t>
      </w:r>
    </w:p>
    <w:p>
      <w:pPr>
        <w:pStyle w:val="Defpara"/>
      </w:pPr>
      <w:r>
        <w:tab/>
        <w:t>(c)</w:t>
      </w:r>
      <w:r>
        <w:tab/>
        <w:t>a human embryo that contains genetic material provided by more than 2 persons; or</w:t>
      </w:r>
    </w:p>
    <w:p>
      <w:pPr>
        <w:pStyle w:val="Defpara"/>
      </w:pPr>
      <w:r>
        <w:tab/>
        <w:t>(d)</w:t>
      </w:r>
      <w:r>
        <w:tab/>
        <w:t>a human embryo that has been developing outside the body of a woman for a period of more than 14 days, excluding any period when development is suspended; or</w:t>
      </w:r>
    </w:p>
    <w:p>
      <w:pPr>
        <w:pStyle w:val="Defpara"/>
      </w:pPr>
      <w:r>
        <w:tab/>
        <w:t>(e)</w:t>
      </w:r>
      <w:r>
        <w:tab/>
        <w:t>a human embryo created using precursor cells taken from a human embryo or a human fetus; or</w:t>
      </w:r>
    </w:p>
    <w:p>
      <w:pPr>
        <w:pStyle w:val="Defpara"/>
      </w:pPr>
      <w:r>
        <w:tab/>
        <w:t>(f)</w:t>
      </w:r>
      <w:r>
        <w:tab/>
        <w:t>a human embryo that contains a human cell (as defined in section 53L(2)) whose genome has been altered in such a way that the alteration is heritable by human descendants of the human whose cell was altered; or</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No. 18 of 2004 s. 8.]</w:t>
      </w:r>
    </w:p>
    <w:p>
      <w:pPr>
        <w:pStyle w:val="Heading5"/>
        <w:rPr>
          <w:snapToGrid w:val="0"/>
        </w:rPr>
      </w:pPr>
      <w:bookmarkStart w:id="209" w:name="_Toc493604584"/>
      <w:r>
        <w:rPr>
          <w:rStyle w:val="CharSectno"/>
        </w:rPr>
        <w:t>53Q</w:t>
      </w:r>
      <w:r>
        <w:rPr>
          <w:snapToGrid w:val="0"/>
        </w:rPr>
        <w:t>.</w:t>
      </w:r>
      <w:r>
        <w:rPr>
          <w:snapToGrid w:val="0"/>
        </w:rPr>
        <w:tab/>
        <w:t>Offence — commercial trading in human eggs, human sperm or human embryos</w:t>
      </w:r>
      <w:bookmarkEnd w:id="209"/>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pPr>
      <w:r>
        <w:tab/>
        <w:t>(i)</w:t>
      </w:r>
      <w:r>
        <w:tab/>
        <w:t>does not include any expenses incurred by a person before the time when the embryo became an excess ART embryo; and</w:t>
      </w:r>
    </w:p>
    <w:p>
      <w:pPr>
        <w:pStyle w:val="Defsubpara"/>
      </w:pPr>
      <w:r>
        <w:tab/>
        <w:t>(ii)</w:t>
      </w:r>
      <w: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No. 18 of 2004 s. 8.]</w:t>
      </w:r>
    </w:p>
    <w:p>
      <w:pPr>
        <w:pStyle w:val="Heading3"/>
        <w:keepLines/>
        <w:rPr>
          <w:snapToGrid w:val="0"/>
        </w:rPr>
      </w:pPr>
      <w:bookmarkStart w:id="210" w:name="_Toc471916417"/>
      <w:bookmarkStart w:id="211" w:name="_Toc472070000"/>
      <w:bookmarkStart w:id="212" w:name="_Toc473107998"/>
      <w:bookmarkStart w:id="213" w:name="_Toc473117804"/>
      <w:bookmarkStart w:id="214" w:name="_Toc493587343"/>
      <w:bookmarkStart w:id="215" w:name="_Toc493587514"/>
      <w:bookmarkStart w:id="216" w:name="_Toc493604585"/>
      <w:r>
        <w:rPr>
          <w:rStyle w:val="CharDivNo"/>
        </w:rPr>
        <w:t>Division 4</w:t>
      </w:r>
      <w:r>
        <w:rPr>
          <w:snapToGrid w:val="0"/>
        </w:rPr>
        <w:t> — </w:t>
      </w:r>
      <w:r>
        <w:rPr>
          <w:rStyle w:val="CharDivText"/>
        </w:rPr>
        <w:t>Review of Part</w:t>
      </w:r>
      <w:bookmarkEnd w:id="210"/>
      <w:bookmarkEnd w:id="211"/>
      <w:bookmarkEnd w:id="212"/>
      <w:bookmarkEnd w:id="213"/>
      <w:bookmarkEnd w:id="214"/>
      <w:bookmarkEnd w:id="215"/>
      <w:bookmarkEnd w:id="216"/>
    </w:p>
    <w:p>
      <w:pPr>
        <w:pStyle w:val="Footnoteheading"/>
        <w:keepNext/>
        <w:keepLines/>
        <w:tabs>
          <w:tab w:val="left" w:pos="851"/>
        </w:tabs>
      </w:pPr>
      <w:r>
        <w:tab/>
        <w:t>[Heading inserted: No. 18 of 2004 s. 8.]</w:t>
      </w:r>
    </w:p>
    <w:p>
      <w:pPr>
        <w:pStyle w:val="Heading5"/>
        <w:rPr>
          <w:snapToGrid w:val="0"/>
        </w:rPr>
      </w:pPr>
      <w:bookmarkStart w:id="217" w:name="_Toc493604586"/>
      <w:r>
        <w:rPr>
          <w:rStyle w:val="CharSectno"/>
        </w:rPr>
        <w:t>53R</w:t>
      </w:r>
      <w:r>
        <w:rPr>
          <w:snapToGrid w:val="0"/>
        </w:rPr>
        <w:t>.</w:t>
      </w:r>
      <w:r>
        <w:rPr>
          <w:snapToGrid w:val="0"/>
        </w:rPr>
        <w:tab/>
        <w:t>Review of Part</w:t>
      </w:r>
      <w:bookmarkEnd w:id="217"/>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 and</w:t>
      </w:r>
    </w:p>
    <w:p>
      <w:pPr>
        <w:pStyle w:val="Indenta"/>
        <w:rPr>
          <w:snapToGrid w:val="0"/>
        </w:rPr>
      </w:pPr>
      <w:r>
        <w:rPr>
          <w:snapToGrid w:val="0"/>
        </w:rPr>
        <w:tab/>
        <w:t>(b)</w:t>
      </w:r>
      <w:r>
        <w:rPr>
          <w:snapToGrid w:val="0"/>
        </w:rPr>
        <w:tab/>
        <w:t>developments in medical research and scientific research and the potential therapeutic applications of such research; and</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No. 18 of 2004 s. 8.]</w:t>
      </w:r>
    </w:p>
    <w:p>
      <w:pPr>
        <w:pStyle w:val="Heading2"/>
      </w:pPr>
      <w:bookmarkStart w:id="218" w:name="_Toc471916419"/>
      <w:bookmarkStart w:id="219" w:name="_Toc472070002"/>
      <w:bookmarkStart w:id="220" w:name="_Toc473108000"/>
      <w:bookmarkStart w:id="221" w:name="_Toc473117806"/>
      <w:bookmarkStart w:id="222" w:name="_Toc493587345"/>
      <w:bookmarkStart w:id="223" w:name="_Toc493587516"/>
      <w:bookmarkStart w:id="224" w:name="_Toc493604587"/>
      <w:r>
        <w:rPr>
          <w:rStyle w:val="CharPartNo"/>
        </w:rPr>
        <w:t>Part 4B</w:t>
      </w:r>
      <w:r>
        <w:rPr>
          <w:b w:val="0"/>
        </w:rPr>
        <w:t> </w:t>
      </w:r>
      <w:r>
        <w:t>—</w:t>
      </w:r>
      <w:r>
        <w:rPr>
          <w:b w:val="0"/>
        </w:rPr>
        <w:t> </w:t>
      </w:r>
      <w:r>
        <w:rPr>
          <w:rStyle w:val="CharPartText"/>
        </w:rPr>
        <w:t>Regulation of certain uses involving excess ART embryos</w:t>
      </w:r>
      <w:bookmarkEnd w:id="218"/>
      <w:bookmarkEnd w:id="219"/>
      <w:bookmarkEnd w:id="220"/>
      <w:bookmarkEnd w:id="221"/>
      <w:bookmarkEnd w:id="222"/>
      <w:bookmarkEnd w:id="223"/>
      <w:bookmarkEnd w:id="224"/>
    </w:p>
    <w:p>
      <w:pPr>
        <w:pStyle w:val="Footnoteheading"/>
        <w:tabs>
          <w:tab w:val="left" w:pos="851"/>
        </w:tabs>
      </w:pPr>
      <w:r>
        <w:tab/>
        <w:t>[Heading inserted: No. 17 of 2004 s. 36.]</w:t>
      </w:r>
    </w:p>
    <w:p>
      <w:pPr>
        <w:pStyle w:val="Heading3"/>
      </w:pPr>
      <w:bookmarkStart w:id="225" w:name="_Toc471916420"/>
      <w:bookmarkStart w:id="226" w:name="_Toc472070003"/>
      <w:bookmarkStart w:id="227" w:name="_Toc473108001"/>
      <w:bookmarkStart w:id="228" w:name="_Toc473117807"/>
      <w:bookmarkStart w:id="229" w:name="_Toc493587346"/>
      <w:bookmarkStart w:id="230" w:name="_Toc493587517"/>
      <w:bookmarkStart w:id="231" w:name="_Toc493604588"/>
      <w:r>
        <w:rPr>
          <w:rStyle w:val="CharDivNo"/>
        </w:rPr>
        <w:t>Division 1</w:t>
      </w:r>
      <w:r>
        <w:t> — </w:t>
      </w:r>
      <w:r>
        <w:rPr>
          <w:rStyle w:val="CharDivText"/>
        </w:rPr>
        <w:t>General</w:t>
      </w:r>
      <w:bookmarkEnd w:id="225"/>
      <w:bookmarkEnd w:id="226"/>
      <w:bookmarkEnd w:id="227"/>
      <w:bookmarkEnd w:id="228"/>
      <w:bookmarkEnd w:id="229"/>
      <w:bookmarkEnd w:id="230"/>
      <w:bookmarkEnd w:id="231"/>
    </w:p>
    <w:p>
      <w:pPr>
        <w:pStyle w:val="Footnoteheading"/>
        <w:tabs>
          <w:tab w:val="left" w:pos="851"/>
        </w:tabs>
      </w:pPr>
      <w:r>
        <w:tab/>
        <w:t>[Heading inserted: No. 17 of 2004 s. 36.]</w:t>
      </w:r>
    </w:p>
    <w:p>
      <w:pPr>
        <w:pStyle w:val="Heading5"/>
      </w:pPr>
      <w:bookmarkStart w:id="232" w:name="_Toc493604589"/>
      <w:r>
        <w:rPr>
          <w:rStyle w:val="CharSectno"/>
        </w:rPr>
        <w:t>53S</w:t>
      </w:r>
      <w:r>
        <w:t>.</w:t>
      </w:r>
      <w:r>
        <w:tab/>
        <w:t>Object of this Part</w:t>
      </w:r>
      <w:bookmarkEnd w:id="232"/>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keepLines w:val="0"/>
      </w:pPr>
      <w:r>
        <w:tab/>
        <w:t>(ii)</w:t>
      </w:r>
      <w:r>
        <w:tab/>
        <w:t>influencing, inhibiting or modifying a physiological process in persons; or</w:t>
      </w:r>
    </w:p>
    <w:p>
      <w:pPr>
        <w:pStyle w:val="Defsubpara"/>
        <w:keepLines w:val="0"/>
        <w:spacing w:before="60"/>
      </w:pPr>
      <w:r>
        <w:tab/>
        <w:t>(iii)</w:t>
      </w:r>
      <w:r>
        <w:tab/>
        <w:t>testing the susceptibility of persons to a disease or ailment; or</w:t>
      </w:r>
    </w:p>
    <w:p>
      <w:pPr>
        <w:pStyle w:val="Defsubpara"/>
        <w:keepLines w:val="0"/>
        <w:spacing w:before="60"/>
      </w:pPr>
      <w:r>
        <w:tab/>
        <w:t>(iv)</w:t>
      </w:r>
      <w:r>
        <w:tab/>
        <w:t>influencing, controlling or preventing conception in persons; or</w:t>
      </w:r>
    </w:p>
    <w:p>
      <w:pPr>
        <w:pStyle w:val="Defsubpara"/>
        <w:keepLines w:val="0"/>
        <w:spacing w:before="60"/>
      </w:pPr>
      <w:r>
        <w:tab/>
        <w:t>(v)</w:t>
      </w:r>
      <w:r>
        <w:tab/>
        <w:t>testing for pregnancy in persons; or</w:t>
      </w:r>
    </w:p>
    <w:p>
      <w:pPr>
        <w:pStyle w:val="Defsubpara"/>
        <w:keepLines w:val="0"/>
        <w:spacing w:before="60"/>
      </w:pPr>
      <w:r>
        <w:tab/>
        <w:t>(vi)</w:t>
      </w:r>
      <w:r>
        <w:tab/>
        <w:t>the replacement or modification of parts of the anatomy of persons;</w:t>
      </w:r>
    </w:p>
    <w:p>
      <w:pPr>
        <w:pStyle w:val="Defpara"/>
        <w:spacing w:before="60"/>
      </w:pPr>
      <w:r>
        <w:tab/>
      </w:r>
      <w:r>
        <w:tab/>
        <w:t>or</w:t>
      </w:r>
    </w:p>
    <w:p>
      <w:pPr>
        <w:pStyle w:val="Defpara"/>
        <w:spacing w:before="60"/>
      </w:pPr>
      <w:r>
        <w:tab/>
        <w:t>(b)</w:t>
      </w:r>
      <w:r>
        <w:tab/>
        <w:t>a use of it that is prescribed in the regulations and is not inconsistent with a use referred to in paragraph (a); or</w:t>
      </w:r>
    </w:p>
    <w:p>
      <w:pPr>
        <w:pStyle w:val="Defpara"/>
        <w:spacing w:before="60"/>
      </w:pPr>
      <w:r>
        <w:tab/>
        <w:t>(c)</w:t>
      </w:r>
      <w:r>
        <w:tab/>
        <w:t>its use in training or research for the purposes of a use referred to in paragraph (a) or (b).</w:t>
      </w:r>
    </w:p>
    <w:p>
      <w:pPr>
        <w:pStyle w:val="Footnotesection"/>
      </w:pPr>
      <w:r>
        <w:tab/>
        <w:t>[Section 53S inserted: No. 17 of 2004 s. 36.]</w:t>
      </w:r>
    </w:p>
    <w:p>
      <w:pPr>
        <w:pStyle w:val="Heading5"/>
      </w:pPr>
      <w:bookmarkStart w:id="233" w:name="_Toc493604590"/>
      <w:r>
        <w:rPr>
          <w:rStyle w:val="CharSectno"/>
        </w:rPr>
        <w:t>53T</w:t>
      </w:r>
      <w:r>
        <w:t>.</w:t>
      </w:r>
      <w:r>
        <w:tab/>
        <w:t>Terms used</w:t>
      </w:r>
      <w:bookmarkEnd w:id="233"/>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spacing w:before="60"/>
      </w:pPr>
      <w:r>
        <w:tab/>
        <w:t>(a)</w:t>
      </w:r>
      <w:r>
        <w:tab/>
        <w:t>the Commonwealth Human Embryo Act; or</w:t>
      </w:r>
    </w:p>
    <w:p>
      <w:pPr>
        <w:pStyle w:val="Defpara"/>
        <w:spacing w:before="60"/>
      </w:pPr>
      <w:r>
        <w:tab/>
        <w:t>(b)</w:t>
      </w:r>
      <w:r>
        <w:tab/>
        <w:t>an Act of another State that is a corresponding State law as defined in the 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spacing w:before="70"/>
      </w:pPr>
      <w:r>
        <w:tab/>
        <w:t>(a)</w:t>
      </w:r>
      <w:r>
        <w:tab/>
        <w:t>was created, by assisted reproductive technology, for use in the assisted reproductive technology treatment of a woman; and</w:t>
      </w:r>
    </w:p>
    <w:p>
      <w:pPr>
        <w:pStyle w:val="Defpara"/>
        <w:spacing w:before="70"/>
      </w:pPr>
      <w:r>
        <w:tab/>
        <w:t>(b)</w:t>
      </w:r>
      <w:r>
        <w:tab/>
        <w:t>is excess to the needs of —</w:t>
      </w:r>
    </w:p>
    <w:p>
      <w:pPr>
        <w:pStyle w:val="Defsubpara"/>
        <w:spacing w:before="70"/>
      </w:pPr>
      <w:r>
        <w:tab/>
        <w:t>(i)</w:t>
      </w:r>
      <w:r>
        <w:tab/>
        <w:t>the woman for whom it was created; and</w:t>
      </w:r>
    </w:p>
    <w:p>
      <w:pPr>
        <w:pStyle w:val="Defsubpara"/>
        <w:spacing w:before="70"/>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spacing w:before="70"/>
      </w:pPr>
      <w:r>
        <w:tab/>
        <w:t>(a)</w:t>
      </w:r>
      <w:r>
        <w:tab/>
        <w:t xml:space="preserve">consent obtained in accordance with the </w:t>
      </w:r>
      <w:r>
        <w:rPr>
          <w:i/>
        </w:rPr>
        <w:t>Ethical Guidelines on Assisted Reproductive Technology</w:t>
      </w:r>
      <w:r>
        <w:t xml:space="preserve"> (1996) issued by the NHMRC; or</w:t>
      </w:r>
    </w:p>
    <w:p>
      <w:pPr>
        <w:pStyle w:val="Defpara"/>
        <w:spacing w:before="70"/>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spacing w:before="70"/>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spacing w:before="60"/>
      </w:pPr>
      <w:r>
        <w:tab/>
        <w:t>(a)</w:t>
      </w:r>
      <w:r>
        <w:tab/>
        <w:t>each person who provided the egg or sperm from which the embryo was created; and</w:t>
      </w:r>
    </w:p>
    <w:p>
      <w:pPr>
        <w:pStyle w:val="Defpara"/>
        <w:spacing w:before="60"/>
      </w:pPr>
      <w:r>
        <w:tab/>
        <w:t>(b)</w:t>
      </w:r>
      <w:r>
        <w:tab/>
      </w:r>
      <w:r>
        <w:rPr>
          <w:spacing w:val="-4"/>
        </w:rPr>
        <w:t>the woman for whom the embryo was created, for the purpose of achieving her pregnancy; and</w:t>
      </w:r>
    </w:p>
    <w:p>
      <w:pPr>
        <w:pStyle w:val="Defpara"/>
        <w:spacing w:before="60"/>
      </w:pPr>
      <w:r>
        <w:tab/>
        <w:t>(c)</w:t>
      </w:r>
      <w:r>
        <w:tab/>
      </w:r>
      <w:r>
        <w:rPr>
          <w:spacing w:val="-4"/>
        </w:rPr>
        <w:t>any person who was the spouse or de facto partner of a person mentioned in paragraph (a) at the time the egg or sperm mentioned in that paragraph was provided; and</w:t>
      </w:r>
    </w:p>
    <w:p>
      <w:pPr>
        <w:pStyle w:val="Defpara"/>
        <w:spacing w:before="60"/>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spacing w:before="60"/>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spacing w:before="60"/>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spacing w:before="120"/>
        <w:jc w:val="center"/>
        <w:rPr>
          <w:b/>
          <w:bCs/>
        </w:rPr>
      </w:pPr>
      <w:r>
        <w:rPr>
          <w:b/>
          <w:bCs/>
        </w:rPr>
        <w:t xml:space="preserve">A </w:t>
      </w:r>
      <w:r>
        <w:rPr>
          <w:b/>
          <w:bCs/>
        </w:rPr>
        <w:sym w:font="Symbol" w:char="F0B4"/>
      </w:r>
      <w:r>
        <w:rPr>
          <w:b/>
          <w:bCs/>
        </w:rPr>
        <w:t xml:space="preserve"> B</w:t>
      </w:r>
    </w:p>
    <w:p>
      <w:pPr>
        <w:pStyle w:val="Subsection"/>
        <w:keepLines/>
        <w:spacing w:before="80"/>
      </w:pPr>
      <w:r>
        <w:tab/>
      </w:r>
      <w:r>
        <w:tab/>
        <w:t>where —</w:t>
      </w:r>
    </w:p>
    <w:p>
      <w:pPr>
        <w:pStyle w:val="Indenta"/>
        <w:keepLines/>
        <w:spacing w:before="60"/>
      </w:pPr>
      <w:r>
        <w:tab/>
      </w:r>
      <w:r>
        <w:rPr>
          <w:b/>
        </w:rPr>
        <w:t>A</w:t>
      </w:r>
      <w:r>
        <w:tab/>
        <w:t>is that number of penalty units; and</w:t>
      </w:r>
    </w:p>
    <w:p>
      <w:pPr>
        <w:pStyle w:val="Indenta"/>
        <w:spacing w:before="60"/>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spacing w:before="60"/>
      </w:pPr>
      <w:r>
        <w:tab/>
        <w:t>(a)</w:t>
      </w:r>
      <w:r>
        <w:tab/>
        <w:t>that Commonwealth Act, as amended and in force for the time being; and</w:t>
      </w:r>
    </w:p>
    <w:p>
      <w:pPr>
        <w:pStyle w:val="Indenta"/>
        <w:spacing w:before="60"/>
      </w:pPr>
      <w:r>
        <w:tab/>
        <w:t>(b)</w:t>
      </w:r>
      <w:r>
        <w:tab/>
        <w:t>an Act enacted in substitution for that Act and, if it is amended, as amended and in force for the time being.</w:t>
      </w:r>
    </w:p>
    <w:p>
      <w:pPr>
        <w:pStyle w:val="Footnotesection"/>
      </w:pPr>
      <w:r>
        <w:tab/>
        <w:t>[Section 53T inserted: No. 17 of 2004 s. 36.]</w:t>
      </w:r>
    </w:p>
    <w:p>
      <w:pPr>
        <w:pStyle w:val="Heading3"/>
      </w:pPr>
      <w:bookmarkStart w:id="234" w:name="_Toc471916423"/>
      <w:bookmarkStart w:id="235" w:name="_Toc472070006"/>
      <w:bookmarkStart w:id="236" w:name="_Toc473108004"/>
      <w:bookmarkStart w:id="237" w:name="_Toc473117810"/>
      <w:bookmarkStart w:id="238" w:name="_Toc493587349"/>
      <w:bookmarkStart w:id="239" w:name="_Toc493587520"/>
      <w:bookmarkStart w:id="240" w:name="_Toc493604591"/>
      <w:r>
        <w:rPr>
          <w:rStyle w:val="CharDivNo"/>
        </w:rPr>
        <w:t>Division 2</w:t>
      </w:r>
      <w:r>
        <w:t> — </w:t>
      </w:r>
      <w:r>
        <w:rPr>
          <w:rStyle w:val="CharDivText"/>
        </w:rPr>
        <w:t>Performance of functions</w:t>
      </w:r>
      <w:bookmarkEnd w:id="234"/>
      <w:bookmarkEnd w:id="235"/>
      <w:bookmarkEnd w:id="236"/>
      <w:bookmarkEnd w:id="237"/>
      <w:bookmarkEnd w:id="238"/>
      <w:bookmarkEnd w:id="239"/>
      <w:bookmarkEnd w:id="240"/>
    </w:p>
    <w:p>
      <w:pPr>
        <w:pStyle w:val="Footnoteheading"/>
        <w:tabs>
          <w:tab w:val="left" w:pos="851"/>
        </w:tabs>
      </w:pPr>
      <w:r>
        <w:tab/>
        <w:t>[Heading inserted: No. 17 of 2004 s. 36.]</w:t>
      </w:r>
    </w:p>
    <w:p>
      <w:pPr>
        <w:pStyle w:val="Heading5"/>
      </w:pPr>
      <w:bookmarkStart w:id="241" w:name="_Toc493604592"/>
      <w:r>
        <w:rPr>
          <w:rStyle w:val="CharSectno"/>
        </w:rPr>
        <w:t>53U</w:t>
      </w:r>
      <w:r>
        <w:t>.</w:t>
      </w:r>
      <w:r>
        <w:tab/>
        <w:t>Functions not affected by State laws</w:t>
      </w:r>
      <w:bookmarkEnd w:id="241"/>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No. 17 of 2004 s. 36.]</w:t>
      </w:r>
    </w:p>
    <w:p>
      <w:pPr>
        <w:pStyle w:val="Heading5"/>
      </w:pPr>
      <w:bookmarkStart w:id="242" w:name="_Toc493604593"/>
      <w:r>
        <w:rPr>
          <w:rStyle w:val="CharSectno"/>
        </w:rPr>
        <w:t>53V</w:t>
      </w:r>
      <w:r>
        <w:t>.</w:t>
      </w:r>
      <w:r>
        <w:tab/>
        <w:t>Extent to which functions are conferred</w:t>
      </w:r>
      <w:bookmarkEnd w:id="242"/>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No. 17 of 2004 s. 36.]</w:t>
      </w:r>
    </w:p>
    <w:p>
      <w:pPr>
        <w:pStyle w:val="Heading3"/>
        <w:keepLines/>
      </w:pPr>
      <w:bookmarkStart w:id="243" w:name="_Toc471916426"/>
      <w:bookmarkStart w:id="244" w:name="_Toc472070009"/>
      <w:bookmarkStart w:id="245" w:name="_Toc473108007"/>
      <w:bookmarkStart w:id="246" w:name="_Toc473117813"/>
      <w:bookmarkStart w:id="247" w:name="_Toc493587352"/>
      <w:bookmarkStart w:id="248" w:name="_Toc493587523"/>
      <w:bookmarkStart w:id="249" w:name="_Toc493604594"/>
      <w:r>
        <w:rPr>
          <w:rStyle w:val="CharDivNo"/>
        </w:rPr>
        <w:t>Division 3</w:t>
      </w:r>
      <w:r>
        <w:t> — </w:t>
      </w:r>
      <w:r>
        <w:rPr>
          <w:rStyle w:val="CharDivText"/>
        </w:rPr>
        <w:t>Offences</w:t>
      </w:r>
      <w:bookmarkEnd w:id="243"/>
      <w:bookmarkEnd w:id="244"/>
      <w:bookmarkEnd w:id="245"/>
      <w:bookmarkEnd w:id="246"/>
      <w:bookmarkEnd w:id="247"/>
      <w:bookmarkEnd w:id="248"/>
      <w:bookmarkEnd w:id="249"/>
    </w:p>
    <w:p>
      <w:pPr>
        <w:pStyle w:val="Footnoteheading"/>
        <w:keepNext/>
        <w:keepLines/>
        <w:tabs>
          <w:tab w:val="left" w:pos="851"/>
        </w:tabs>
      </w:pPr>
      <w:r>
        <w:tab/>
        <w:t>[Heading inserted: No. 17 of 2004 s. 36.]</w:t>
      </w:r>
    </w:p>
    <w:p>
      <w:pPr>
        <w:pStyle w:val="Heading5"/>
      </w:pPr>
      <w:bookmarkStart w:id="250" w:name="_Toc493604595"/>
      <w:r>
        <w:rPr>
          <w:rStyle w:val="CharSectno"/>
        </w:rPr>
        <w:t>53W</w:t>
      </w:r>
      <w:r>
        <w:t>.</w:t>
      </w:r>
      <w:r>
        <w:tab/>
        <w:t>Offence — use of excess ART embryo</w:t>
      </w:r>
      <w:bookmarkEnd w:id="250"/>
    </w:p>
    <w:p>
      <w:pPr>
        <w:pStyle w:val="Subsection"/>
      </w:pPr>
      <w:r>
        <w:tab/>
        <w:t>(1)</w:t>
      </w:r>
      <w:r>
        <w:tab/>
        <w:t xml:space="preserve">A person </w:t>
      </w:r>
      <w:r>
        <w:rPr>
          <w:snapToGrid w:val="0"/>
        </w:rPr>
        <w:t>commits</w:t>
      </w:r>
      <w:r>
        <w:t xml:space="preserve"> a crime if the person uses an excess ART embryo, unless —</w:t>
      </w:r>
    </w:p>
    <w:p>
      <w:pPr>
        <w:pStyle w:val="Indenta"/>
        <w:spacing w:before="60"/>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spacing w:before="90"/>
      </w:pPr>
      <w:r>
        <w:tab/>
        <w:t>(a)</w:t>
      </w:r>
      <w:r>
        <w:tab/>
        <w:t>the use consists only of —</w:t>
      </w:r>
    </w:p>
    <w:p>
      <w:pPr>
        <w:pStyle w:val="Indenti"/>
        <w:spacing w:before="90"/>
      </w:pPr>
      <w:r>
        <w:tab/>
        <w:t>(i)</w:t>
      </w:r>
      <w:r>
        <w:tab/>
        <w:t>storage of the excess ART embryo; or</w:t>
      </w:r>
    </w:p>
    <w:p>
      <w:pPr>
        <w:pStyle w:val="Indenti"/>
        <w:spacing w:before="90"/>
      </w:pPr>
      <w:r>
        <w:tab/>
        <w:t>(ii)</w:t>
      </w:r>
      <w:r>
        <w:tab/>
        <w:t>removal of the excess ART embryo from storage; or</w:t>
      </w:r>
    </w:p>
    <w:p>
      <w:pPr>
        <w:pStyle w:val="Indenti"/>
        <w:spacing w:before="90"/>
      </w:pPr>
      <w:r>
        <w:tab/>
        <w:t>(iii)</w:t>
      </w:r>
      <w:r>
        <w:tab/>
        <w:t>transport of the excess ART embryo;</w:t>
      </w:r>
    </w:p>
    <w:p>
      <w:pPr>
        <w:pStyle w:val="Indenta"/>
        <w:spacing w:before="90"/>
      </w:pPr>
      <w:r>
        <w:tab/>
      </w:r>
      <w:r>
        <w:tab/>
        <w:t>or</w:t>
      </w:r>
    </w:p>
    <w:p>
      <w:pPr>
        <w:pStyle w:val="Indenta"/>
        <w:spacing w:before="90"/>
      </w:pPr>
      <w:r>
        <w:tab/>
        <w:t>(b)</w:t>
      </w:r>
      <w:r>
        <w:tab/>
        <w:t>the use consists only of observation of the excess ART embryo; or</w:t>
      </w:r>
    </w:p>
    <w:p>
      <w:pPr>
        <w:pStyle w:val="Indenta"/>
        <w:spacing w:before="90"/>
      </w:pPr>
      <w:r>
        <w:tab/>
        <w:t>(c)</w:t>
      </w:r>
      <w:r>
        <w:tab/>
        <w:t>the use consists only of allowing the excess ART embryo to succumb; or</w:t>
      </w:r>
    </w:p>
    <w:p>
      <w:pPr>
        <w:pStyle w:val="Indenta"/>
        <w:spacing w:before="90"/>
      </w:pPr>
      <w:r>
        <w:tab/>
        <w:t>(d)</w:t>
      </w:r>
      <w:r>
        <w:tab/>
        <w:t>the use is carried out by a licensed ART centre, and —</w:t>
      </w:r>
    </w:p>
    <w:p>
      <w:pPr>
        <w:pStyle w:val="Indenti"/>
        <w:spacing w:before="90"/>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spacing w:before="90"/>
      </w:pPr>
      <w:r>
        <w:tab/>
        <w:t>(ii)</w:t>
      </w:r>
      <w:r>
        <w:tab/>
        <w:t>the use forms part of diagnostic investigations conducted in connection with the assisted reproductive technology treatment of the woman for whom the excess ART embryo was created;</w:t>
      </w:r>
    </w:p>
    <w:p>
      <w:pPr>
        <w:pStyle w:val="Indenta"/>
        <w:spacing w:before="90"/>
      </w:pPr>
      <w:r>
        <w:tab/>
      </w:r>
      <w:r>
        <w:tab/>
        <w:t>or</w:t>
      </w:r>
    </w:p>
    <w:p>
      <w:pPr>
        <w:pStyle w:val="Indenta"/>
        <w:spacing w:before="90"/>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No. 17 of 2004 s. 36; amended: No. 84 of 2004 s. 82.]</w:t>
      </w:r>
    </w:p>
    <w:p>
      <w:pPr>
        <w:pStyle w:val="Heading5"/>
      </w:pPr>
      <w:bookmarkStart w:id="251" w:name="_Toc493604596"/>
      <w:r>
        <w:rPr>
          <w:rStyle w:val="CharSectno"/>
        </w:rPr>
        <w:t>53X</w:t>
      </w:r>
      <w:r>
        <w:t>.</w:t>
      </w:r>
      <w:r>
        <w:tab/>
        <w:t>Offence — breaching licence condition</w:t>
      </w:r>
      <w:bookmarkEnd w:id="251"/>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No. 17 of 2004 s. 36.]</w:t>
      </w:r>
    </w:p>
    <w:p>
      <w:pPr>
        <w:pStyle w:val="Heading3"/>
      </w:pPr>
      <w:bookmarkStart w:id="252" w:name="_Toc471916429"/>
      <w:bookmarkStart w:id="253" w:name="_Toc472070012"/>
      <w:bookmarkStart w:id="254" w:name="_Toc473108010"/>
      <w:bookmarkStart w:id="255" w:name="_Toc473117816"/>
      <w:bookmarkStart w:id="256" w:name="_Toc493587355"/>
      <w:bookmarkStart w:id="257" w:name="_Toc493587526"/>
      <w:bookmarkStart w:id="258" w:name="_Toc493604597"/>
      <w:r>
        <w:rPr>
          <w:rStyle w:val="CharDivNo"/>
        </w:rPr>
        <w:t>Division 4</w:t>
      </w:r>
      <w:r>
        <w:t> — </w:t>
      </w:r>
      <w:r>
        <w:rPr>
          <w:rStyle w:val="CharDivText"/>
        </w:rPr>
        <w:t>Embryo Research Licensing Committee of the NHMRC</w:t>
      </w:r>
      <w:bookmarkEnd w:id="252"/>
      <w:bookmarkEnd w:id="253"/>
      <w:bookmarkEnd w:id="254"/>
      <w:bookmarkEnd w:id="255"/>
      <w:bookmarkEnd w:id="256"/>
      <w:bookmarkEnd w:id="257"/>
      <w:bookmarkEnd w:id="258"/>
    </w:p>
    <w:p>
      <w:pPr>
        <w:pStyle w:val="Footnoteheading"/>
        <w:tabs>
          <w:tab w:val="left" w:pos="851"/>
        </w:tabs>
      </w:pPr>
      <w:r>
        <w:tab/>
        <w:t>[Heading inserted: No. 17 of 2004 s. 36.]</w:t>
      </w:r>
    </w:p>
    <w:p>
      <w:pPr>
        <w:pStyle w:val="Heading5"/>
      </w:pPr>
      <w:bookmarkStart w:id="259" w:name="_Toc493604598"/>
      <w:r>
        <w:rPr>
          <w:rStyle w:val="CharSectno"/>
        </w:rPr>
        <w:t>53Y</w:t>
      </w:r>
      <w:r>
        <w:t>.</w:t>
      </w:r>
      <w:r>
        <w:tab/>
        <w:t>Functions of Committee</w:t>
      </w:r>
      <w:bookmarkEnd w:id="259"/>
    </w:p>
    <w:p>
      <w:pPr>
        <w:pStyle w:val="Subsection"/>
      </w:pPr>
      <w:r>
        <w:tab/>
      </w:r>
      <w:r>
        <w:tab/>
        <w:t>The functions of the NHMRC Licensing Committee are —</w:t>
      </w:r>
    </w:p>
    <w:p>
      <w:pPr>
        <w:pStyle w:val="Indenta"/>
      </w:pPr>
      <w:r>
        <w:tab/>
        <w:t>(a)</w:t>
      </w:r>
      <w:r>
        <w:tab/>
        <w:t>to perform functions in relation to licences under Division 5; and</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No. 17 of 2004 s. 36.]</w:t>
      </w:r>
    </w:p>
    <w:p>
      <w:pPr>
        <w:pStyle w:val="Heading5"/>
      </w:pPr>
      <w:bookmarkStart w:id="260" w:name="_Toc493604599"/>
      <w:r>
        <w:rPr>
          <w:rStyle w:val="CharSectno"/>
        </w:rPr>
        <w:t>53Z</w:t>
      </w:r>
      <w:r>
        <w:t>.</w:t>
      </w:r>
      <w:r>
        <w:tab/>
        <w:t>Powers of Committee</w:t>
      </w:r>
      <w:bookmarkEnd w:id="260"/>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No. 17 of 2004 s. 36.]</w:t>
      </w:r>
    </w:p>
    <w:p>
      <w:pPr>
        <w:pStyle w:val="Heading3"/>
        <w:keepLines/>
      </w:pPr>
      <w:bookmarkStart w:id="261" w:name="_Toc471916432"/>
      <w:bookmarkStart w:id="262" w:name="_Toc472070015"/>
      <w:bookmarkStart w:id="263" w:name="_Toc473108013"/>
      <w:bookmarkStart w:id="264" w:name="_Toc473117819"/>
      <w:bookmarkStart w:id="265" w:name="_Toc493587358"/>
      <w:bookmarkStart w:id="266" w:name="_Toc493587529"/>
      <w:bookmarkStart w:id="267" w:name="_Toc493604600"/>
      <w:r>
        <w:rPr>
          <w:rStyle w:val="CharDivNo"/>
        </w:rPr>
        <w:t>Division 5</w:t>
      </w:r>
      <w:r>
        <w:t> — </w:t>
      </w:r>
      <w:r>
        <w:rPr>
          <w:rStyle w:val="CharDivText"/>
        </w:rPr>
        <w:t>Licensing system</w:t>
      </w:r>
      <w:bookmarkEnd w:id="261"/>
      <w:bookmarkEnd w:id="262"/>
      <w:bookmarkEnd w:id="263"/>
      <w:bookmarkEnd w:id="264"/>
      <w:bookmarkEnd w:id="265"/>
      <w:bookmarkEnd w:id="266"/>
      <w:bookmarkEnd w:id="267"/>
    </w:p>
    <w:p>
      <w:pPr>
        <w:pStyle w:val="Footnoteheading"/>
        <w:keepNext/>
        <w:keepLines/>
        <w:tabs>
          <w:tab w:val="left" w:pos="851"/>
        </w:tabs>
      </w:pPr>
      <w:r>
        <w:tab/>
        <w:t>[Heading inserted: No. 17 of 2004 s. 36.]</w:t>
      </w:r>
    </w:p>
    <w:p>
      <w:pPr>
        <w:pStyle w:val="Heading5"/>
      </w:pPr>
      <w:bookmarkStart w:id="268" w:name="_Toc493604601"/>
      <w:r>
        <w:rPr>
          <w:rStyle w:val="CharSectno"/>
        </w:rPr>
        <w:t>53ZA</w:t>
      </w:r>
      <w:r>
        <w:t>.</w:t>
      </w:r>
      <w:r>
        <w:tab/>
        <w:t>Person may apply for licence</w:t>
      </w:r>
      <w:bookmarkEnd w:id="268"/>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No. 17 of 2004 s. 36.]</w:t>
      </w:r>
    </w:p>
    <w:p>
      <w:pPr>
        <w:pStyle w:val="Heading5"/>
      </w:pPr>
      <w:bookmarkStart w:id="269" w:name="_Toc493604602"/>
      <w:r>
        <w:rPr>
          <w:rStyle w:val="CharSectno"/>
        </w:rPr>
        <w:t>53ZB</w:t>
      </w:r>
      <w:r>
        <w:t>.</w:t>
      </w:r>
      <w:r>
        <w:tab/>
        <w:t>Determination of application by Committee</w:t>
      </w:r>
      <w:bookmarkEnd w:id="269"/>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tab/>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No. 17 of 2004 s. 36.]</w:t>
      </w:r>
    </w:p>
    <w:p>
      <w:pPr>
        <w:pStyle w:val="Heading5"/>
      </w:pPr>
      <w:bookmarkStart w:id="270" w:name="_Toc493604603"/>
      <w:r>
        <w:rPr>
          <w:rStyle w:val="CharSectno"/>
        </w:rPr>
        <w:t>53ZC</w:t>
      </w:r>
      <w:r>
        <w:t>.</w:t>
      </w:r>
      <w:r>
        <w:tab/>
        <w:t>Notification of decision</w:t>
      </w:r>
      <w:bookmarkEnd w:id="270"/>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No. 17 of 2004 s. 36; amended: No. 28 of 2006 s. 269.]</w:t>
      </w:r>
    </w:p>
    <w:p>
      <w:pPr>
        <w:pStyle w:val="Heading5"/>
      </w:pPr>
      <w:bookmarkStart w:id="271" w:name="_Toc493604604"/>
      <w:r>
        <w:rPr>
          <w:rStyle w:val="CharSectno"/>
        </w:rPr>
        <w:t>53ZD</w:t>
      </w:r>
      <w:r>
        <w:t>.</w:t>
      </w:r>
      <w:r>
        <w:tab/>
        <w:t>Period of licence</w:t>
      </w:r>
      <w:bookmarkEnd w:id="271"/>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No. 17 of 2004 s. 36.]</w:t>
      </w:r>
    </w:p>
    <w:p>
      <w:pPr>
        <w:pStyle w:val="Heading5"/>
      </w:pPr>
      <w:bookmarkStart w:id="272" w:name="_Toc493604605"/>
      <w:r>
        <w:rPr>
          <w:rStyle w:val="CharSectno"/>
        </w:rPr>
        <w:t>53ZE</w:t>
      </w:r>
      <w:r>
        <w:t>.</w:t>
      </w:r>
      <w:r>
        <w:tab/>
        <w:t>Licence is subject to conditions</w:t>
      </w:r>
      <w:bookmarkEnd w:id="272"/>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 and</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No. 17 of 2004 s. 36.]</w:t>
      </w:r>
    </w:p>
    <w:p>
      <w:pPr>
        <w:pStyle w:val="Heading5"/>
      </w:pPr>
      <w:bookmarkStart w:id="273" w:name="_Toc493604606"/>
      <w:r>
        <w:rPr>
          <w:rStyle w:val="CharSectno"/>
        </w:rPr>
        <w:t>53ZF</w:t>
      </w:r>
      <w:r>
        <w:t>.</w:t>
      </w:r>
      <w:r>
        <w:tab/>
        <w:t>Variation of licence</w:t>
      </w:r>
      <w:bookmarkEnd w:id="273"/>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No. 17 of 2004 s. 36.]</w:t>
      </w:r>
    </w:p>
    <w:p>
      <w:pPr>
        <w:pStyle w:val="Heading5"/>
      </w:pPr>
      <w:bookmarkStart w:id="274" w:name="_Toc493604607"/>
      <w:r>
        <w:rPr>
          <w:rStyle w:val="CharSectno"/>
        </w:rPr>
        <w:t>53ZG</w:t>
      </w:r>
      <w:r>
        <w:t>.</w:t>
      </w:r>
      <w:r>
        <w:tab/>
        <w:t>Suspension or revocation of licence</w:t>
      </w:r>
      <w:bookmarkEnd w:id="274"/>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No. 17 of 2004 s. 36; amended: No. 18 of 2004 s. 9.]</w:t>
      </w:r>
    </w:p>
    <w:p>
      <w:pPr>
        <w:pStyle w:val="Heading5"/>
      </w:pPr>
      <w:bookmarkStart w:id="275" w:name="_Toc493604608"/>
      <w:r>
        <w:rPr>
          <w:rStyle w:val="CharSectno"/>
        </w:rPr>
        <w:t>53ZH</w:t>
      </w:r>
      <w:r>
        <w:t>.</w:t>
      </w:r>
      <w:r>
        <w:tab/>
        <w:t>Surrender of licence</w:t>
      </w:r>
      <w:bookmarkEnd w:id="275"/>
    </w:p>
    <w:p>
      <w:pPr>
        <w:pStyle w:val="Subsection"/>
      </w:pPr>
      <w:r>
        <w:tab/>
      </w:r>
      <w:r>
        <w:tab/>
        <w:t>A licence holder may surrender a licence by written notice given to the NHMRC Licensing Committee.</w:t>
      </w:r>
    </w:p>
    <w:p>
      <w:pPr>
        <w:pStyle w:val="Footnotesection"/>
      </w:pPr>
      <w:r>
        <w:tab/>
        <w:t>[Section 53ZH inserted: No. 17 of 2004 s. 36.]</w:t>
      </w:r>
    </w:p>
    <w:p>
      <w:pPr>
        <w:pStyle w:val="Heading5"/>
      </w:pPr>
      <w:bookmarkStart w:id="276" w:name="_Toc493604609"/>
      <w:r>
        <w:rPr>
          <w:rStyle w:val="CharSectno"/>
        </w:rPr>
        <w:t>53ZI</w:t>
      </w:r>
      <w:r>
        <w:t>.</w:t>
      </w:r>
      <w:r>
        <w:tab/>
        <w:t>Notification of variation, suspension, revocation or surrender of licence</w:t>
      </w:r>
      <w:bookmarkEnd w:id="276"/>
    </w:p>
    <w:p>
      <w:pPr>
        <w:pStyle w:val="Subsection"/>
      </w:pPr>
      <w:r>
        <w:tab/>
      </w:r>
      <w:r>
        <w:tab/>
        <w:t>If the NHMRC Licensing Committee varies, suspends or revokes a licence, or a licence is surrendered, the Committee must notify —</w:t>
      </w:r>
    </w:p>
    <w:p>
      <w:pPr>
        <w:pStyle w:val="Indenta"/>
      </w:pPr>
      <w:r>
        <w:tab/>
        <w:t>(a)</w:t>
      </w:r>
      <w:r>
        <w:tab/>
        <w:t>the licence holder; and</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No. 17 of 2004 s. 36; amended: No. 28 of 2006 s. 269.]</w:t>
      </w:r>
    </w:p>
    <w:p>
      <w:pPr>
        <w:pStyle w:val="Heading3"/>
      </w:pPr>
      <w:bookmarkStart w:id="277" w:name="_Toc471916442"/>
      <w:bookmarkStart w:id="278" w:name="_Toc472070025"/>
      <w:bookmarkStart w:id="279" w:name="_Toc473108023"/>
      <w:bookmarkStart w:id="280" w:name="_Toc473117829"/>
      <w:bookmarkStart w:id="281" w:name="_Toc493587368"/>
      <w:bookmarkStart w:id="282" w:name="_Toc493587539"/>
      <w:bookmarkStart w:id="283" w:name="_Toc493604610"/>
      <w:r>
        <w:rPr>
          <w:rStyle w:val="CharDivNo"/>
        </w:rPr>
        <w:t>Division 6</w:t>
      </w:r>
      <w:r>
        <w:t> — </w:t>
      </w:r>
      <w:r>
        <w:rPr>
          <w:rStyle w:val="CharDivText"/>
        </w:rPr>
        <w:t>Reporting and confidentiality</w:t>
      </w:r>
      <w:bookmarkEnd w:id="277"/>
      <w:bookmarkEnd w:id="278"/>
      <w:bookmarkEnd w:id="279"/>
      <w:bookmarkEnd w:id="280"/>
      <w:bookmarkEnd w:id="281"/>
      <w:bookmarkEnd w:id="282"/>
      <w:bookmarkEnd w:id="283"/>
    </w:p>
    <w:p>
      <w:pPr>
        <w:pStyle w:val="Footnoteheading"/>
        <w:keepNext/>
        <w:tabs>
          <w:tab w:val="left" w:pos="851"/>
        </w:tabs>
      </w:pPr>
      <w:r>
        <w:tab/>
        <w:t>[Heading inserted: No. 17 of 2004 s. 36.]</w:t>
      </w:r>
    </w:p>
    <w:p>
      <w:pPr>
        <w:pStyle w:val="Heading5"/>
      </w:pPr>
      <w:bookmarkStart w:id="284" w:name="_Toc493604611"/>
      <w:r>
        <w:rPr>
          <w:rStyle w:val="CharSectno"/>
        </w:rPr>
        <w:t>53ZJ</w:t>
      </w:r>
      <w:r>
        <w:t>.</w:t>
      </w:r>
      <w:r>
        <w:tab/>
        <w:t>NHMRC Licensing Committee to make certain information publicly available</w:t>
      </w:r>
      <w:bookmarkEnd w:id="284"/>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No. 17 of 2004 s. 36.]</w:t>
      </w:r>
    </w:p>
    <w:p>
      <w:pPr>
        <w:pStyle w:val="Heading5"/>
      </w:pPr>
      <w:bookmarkStart w:id="285" w:name="_Toc493604612"/>
      <w:r>
        <w:rPr>
          <w:rStyle w:val="CharSectno"/>
        </w:rPr>
        <w:t>53ZK</w:t>
      </w:r>
      <w:r>
        <w:t>.</w:t>
      </w:r>
      <w:r>
        <w:tab/>
        <w:t>Confidential commercial information may only be disclosed in certain circumstances</w:t>
      </w:r>
      <w:bookmarkEnd w:id="285"/>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 and</w:t>
      </w:r>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 or</w:t>
      </w:r>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spacing w:before="60"/>
      </w:pPr>
      <w:r>
        <w:tab/>
        <w:t>(a)</w:t>
      </w:r>
      <w:r>
        <w:tab/>
        <w:t>the person discloses confidential commercial information that the person has only because of a disclosure permitted under subsection (1) or this subsection; and</w:t>
      </w:r>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 or</w:t>
      </w:r>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r>
      <w:r>
        <w:rPr>
          <w:rStyle w:val="CharDefText"/>
        </w:rPr>
        <w:t>Commonwealth authority</w:t>
      </w:r>
      <w:r>
        <w:t xml:space="preserve"> means —</w:t>
      </w:r>
    </w:p>
    <w:p>
      <w:pPr>
        <w:pStyle w:val="Defpara"/>
        <w:spacing w:before="60"/>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 or</w:t>
      </w:r>
    </w:p>
    <w:p>
      <w:pPr>
        <w:pStyle w:val="Defpara"/>
      </w:pPr>
      <w:r>
        <w:tab/>
        <w:t>(b)</w:t>
      </w:r>
      <w:r>
        <w:tab/>
        <w:t>a Minister of a State; or</w:t>
      </w:r>
    </w:p>
    <w:p>
      <w:pPr>
        <w:pStyle w:val="Defpara"/>
      </w:pPr>
      <w:r>
        <w:tab/>
        <w:t>(c)</w:t>
      </w:r>
      <w:r>
        <w:tab/>
        <w:t>a department of the Government of a State; or</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No. 17 of 2004 s. 36.]</w:t>
      </w:r>
    </w:p>
    <w:p>
      <w:pPr>
        <w:pStyle w:val="Heading5"/>
      </w:pPr>
      <w:bookmarkStart w:id="286" w:name="_Toc493604613"/>
      <w:r>
        <w:rPr>
          <w:rStyle w:val="CharSectno"/>
        </w:rPr>
        <w:t>53ZKA</w:t>
      </w:r>
      <w:r>
        <w:t>.</w:t>
      </w:r>
      <w:r>
        <w:tab/>
        <w:t>Annual reports</w:t>
      </w:r>
      <w:bookmarkEnd w:id="286"/>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No. 17 of 2004 s. 36.]</w:t>
      </w:r>
    </w:p>
    <w:p>
      <w:pPr>
        <w:pStyle w:val="Heading3"/>
      </w:pPr>
      <w:bookmarkStart w:id="287" w:name="_Toc471916446"/>
      <w:bookmarkStart w:id="288" w:name="_Toc472070029"/>
      <w:bookmarkStart w:id="289" w:name="_Toc473108027"/>
      <w:bookmarkStart w:id="290" w:name="_Toc473117833"/>
      <w:bookmarkStart w:id="291" w:name="_Toc493587372"/>
      <w:bookmarkStart w:id="292" w:name="_Toc493587543"/>
      <w:bookmarkStart w:id="293" w:name="_Toc493604614"/>
      <w:r>
        <w:rPr>
          <w:rStyle w:val="CharDivNo"/>
        </w:rPr>
        <w:t>Division 7</w:t>
      </w:r>
      <w:r>
        <w:t> — </w:t>
      </w:r>
      <w:r>
        <w:rPr>
          <w:rStyle w:val="CharDivText"/>
        </w:rPr>
        <w:t>Review provisions</w:t>
      </w:r>
      <w:bookmarkEnd w:id="287"/>
      <w:bookmarkEnd w:id="288"/>
      <w:bookmarkEnd w:id="289"/>
      <w:bookmarkEnd w:id="290"/>
      <w:bookmarkEnd w:id="291"/>
      <w:bookmarkEnd w:id="292"/>
      <w:bookmarkEnd w:id="293"/>
    </w:p>
    <w:p>
      <w:pPr>
        <w:pStyle w:val="Footnoteheading"/>
        <w:tabs>
          <w:tab w:val="left" w:pos="851"/>
        </w:tabs>
      </w:pPr>
      <w:r>
        <w:tab/>
        <w:t>[Heading inserted: No. 17 of 2004 s. 36.]</w:t>
      </w:r>
    </w:p>
    <w:p>
      <w:pPr>
        <w:pStyle w:val="Heading5"/>
      </w:pPr>
      <w:bookmarkStart w:id="294" w:name="_Toc493604615"/>
      <w:r>
        <w:rPr>
          <w:rStyle w:val="CharSectno"/>
        </w:rPr>
        <w:t>53ZL</w:t>
      </w:r>
      <w:r>
        <w:t>.</w:t>
      </w:r>
      <w:r>
        <w:tab/>
        <w:t>Terms used</w:t>
      </w:r>
      <w:bookmarkEnd w:id="294"/>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 or</w:t>
      </w:r>
    </w:p>
    <w:p>
      <w:pPr>
        <w:pStyle w:val="Defpara"/>
      </w:pPr>
      <w:r>
        <w:tab/>
        <w:t>(b)</w:t>
      </w:r>
      <w:r>
        <w:tab/>
        <w:t>in relation to a decision in respect of the period throughout which the licence is to be in force under section 53ZD — the licence holder; or</w:t>
      </w:r>
    </w:p>
    <w:p>
      <w:pPr>
        <w:pStyle w:val="Defpara"/>
      </w:pPr>
      <w:r>
        <w:tab/>
        <w:t>(c)</w:t>
      </w:r>
      <w:r>
        <w:tab/>
        <w:t>in relation to a decision to specify a licence condition under section 53ZE(4) — the licence holder; or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No. 17 of 2004 s. 36.]</w:t>
      </w:r>
    </w:p>
    <w:p>
      <w:pPr>
        <w:pStyle w:val="Heading5"/>
      </w:pPr>
      <w:bookmarkStart w:id="295" w:name="_Toc493604616"/>
      <w:r>
        <w:rPr>
          <w:rStyle w:val="CharSectno"/>
        </w:rPr>
        <w:t>53ZM</w:t>
      </w:r>
      <w:r>
        <w:t>.</w:t>
      </w:r>
      <w:r>
        <w:tab/>
        <w:t>Review of decisions</w:t>
      </w:r>
      <w:bookmarkEnd w:id="295"/>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No. 17 of 2004 s. 36.]</w:t>
      </w:r>
    </w:p>
    <w:p>
      <w:pPr>
        <w:pStyle w:val="Heading3"/>
        <w:keepLines/>
      </w:pPr>
      <w:bookmarkStart w:id="296" w:name="_Toc471916449"/>
      <w:bookmarkStart w:id="297" w:name="_Toc472070032"/>
      <w:bookmarkStart w:id="298" w:name="_Toc473108030"/>
      <w:bookmarkStart w:id="299" w:name="_Toc473117836"/>
      <w:bookmarkStart w:id="300" w:name="_Toc493587375"/>
      <w:bookmarkStart w:id="301" w:name="_Toc493587546"/>
      <w:bookmarkStart w:id="302" w:name="_Toc493604617"/>
      <w:r>
        <w:rPr>
          <w:rStyle w:val="CharDivNo"/>
        </w:rPr>
        <w:t>Division 8</w:t>
      </w:r>
      <w:r>
        <w:t> — </w:t>
      </w:r>
      <w:r>
        <w:rPr>
          <w:rStyle w:val="CharDivText"/>
        </w:rPr>
        <w:t>Monitoring powers</w:t>
      </w:r>
      <w:bookmarkEnd w:id="296"/>
      <w:bookmarkEnd w:id="297"/>
      <w:bookmarkEnd w:id="298"/>
      <w:bookmarkEnd w:id="299"/>
      <w:bookmarkEnd w:id="300"/>
      <w:bookmarkEnd w:id="301"/>
      <w:bookmarkEnd w:id="302"/>
    </w:p>
    <w:p>
      <w:pPr>
        <w:pStyle w:val="Footnoteheading"/>
        <w:keepNext/>
        <w:keepLines/>
        <w:tabs>
          <w:tab w:val="left" w:pos="851"/>
        </w:tabs>
      </w:pPr>
      <w:r>
        <w:tab/>
        <w:t>[Heading inserted: No. 17 of 2004 s. 36.]</w:t>
      </w:r>
    </w:p>
    <w:p>
      <w:pPr>
        <w:pStyle w:val="Heading5"/>
      </w:pPr>
      <w:bookmarkStart w:id="303" w:name="_Toc493604618"/>
      <w:r>
        <w:rPr>
          <w:rStyle w:val="CharSectno"/>
        </w:rPr>
        <w:t>53ZN</w:t>
      </w:r>
      <w:r>
        <w:t>.</w:t>
      </w:r>
      <w:r>
        <w:tab/>
        <w:t>Appointment of inspectors</w:t>
      </w:r>
      <w:bookmarkEnd w:id="303"/>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No. 17 of 2004 s. 36.]</w:t>
      </w:r>
    </w:p>
    <w:p>
      <w:pPr>
        <w:pStyle w:val="Heading5"/>
      </w:pPr>
      <w:bookmarkStart w:id="304" w:name="_Toc493604619"/>
      <w:r>
        <w:rPr>
          <w:rStyle w:val="CharSectno"/>
        </w:rPr>
        <w:t>53ZO</w:t>
      </w:r>
      <w:r>
        <w:t>.</w:t>
      </w:r>
      <w:r>
        <w:tab/>
        <w:t>Identity card</w:t>
      </w:r>
      <w:bookmarkEnd w:id="304"/>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No. 17 of 2004 s. 36.]</w:t>
      </w:r>
    </w:p>
    <w:p>
      <w:pPr>
        <w:pStyle w:val="Heading5"/>
      </w:pPr>
      <w:bookmarkStart w:id="305" w:name="_Toc493604620"/>
      <w:r>
        <w:rPr>
          <w:rStyle w:val="CharSectno"/>
        </w:rPr>
        <w:t>53ZP</w:t>
      </w:r>
      <w:r>
        <w:t>.</w:t>
      </w:r>
      <w:r>
        <w:tab/>
        <w:t>Powers available to inspectors for monitoring compliance</w:t>
      </w:r>
      <w:bookmarkEnd w:id="305"/>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No. 17 of 2004 s. 36; amended: No. 18 of 2004 s. 10.]</w:t>
      </w:r>
    </w:p>
    <w:p>
      <w:pPr>
        <w:pStyle w:val="Heading5"/>
      </w:pPr>
      <w:bookmarkStart w:id="306" w:name="_Toc493604621"/>
      <w:r>
        <w:rPr>
          <w:rStyle w:val="CharSectno"/>
        </w:rPr>
        <w:t>53ZQ</w:t>
      </w:r>
      <w:r>
        <w:t>.</w:t>
      </w:r>
      <w:r>
        <w:tab/>
        <w:t>Monitoring powers</w:t>
      </w:r>
      <w:bookmarkEnd w:id="306"/>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No. 17 of 2004 s. 36; amended: No. 18 of 2004 s. 10; No. 28 of 2006 s. 270(1).]</w:t>
      </w:r>
    </w:p>
    <w:p>
      <w:pPr>
        <w:pStyle w:val="Heading5"/>
      </w:pPr>
      <w:bookmarkStart w:id="307" w:name="_Toc493604622"/>
      <w:r>
        <w:rPr>
          <w:rStyle w:val="CharSectno"/>
        </w:rPr>
        <w:t>53ZR</w:t>
      </w:r>
      <w:r>
        <w:t>.</w:t>
      </w:r>
      <w:r>
        <w:tab/>
        <w:t>Power to secure</w:t>
      </w:r>
      <w:bookmarkEnd w:id="307"/>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No. 17 of 2004 s. 36; amended: No. 18 of 2004 s. 10.]</w:t>
      </w:r>
    </w:p>
    <w:p>
      <w:pPr>
        <w:pStyle w:val="Heading5"/>
      </w:pPr>
      <w:bookmarkStart w:id="308" w:name="_Toc493604623"/>
      <w:r>
        <w:rPr>
          <w:rStyle w:val="CharSectno"/>
        </w:rPr>
        <w:t>53ZS</w:t>
      </w:r>
      <w:r>
        <w:t>.</w:t>
      </w:r>
      <w:r>
        <w:tab/>
        <w:t>Inspector must produce identity card on request</w:t>
      </w:r>
      <w:bookmarkEnd w:id="308"/>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No. 17 of 2004 s. 36.]</w:t>
      </w:r>
    </w:p>
    <w:p>
      <w:pPr>
        <w:pStyle w:val="Heading5"/>
      </w:pPr>
      <w:bookmarkStart w:id="309" w:name="_Toc493604624"/>
      <w:r>
        <w:rPr>
          <w:rStyle w:val="CharSectno"/>
        </w:rPr>
        <w:t>53ZT</w:t>
      </w:r>
      <w:r>
        <w:t>.</w:t>
      </w:r>
      <w:r>
        <w:tab/>
        <w:t>Consent</w:t>
      </w:r>
      <w:bookmarkEnd w:id="309"/>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No. 17 of 2004 s. 36.]</w:t>
      </w:r>
    </w:p>
    <w:p>
      <w:pPr>
        <w:pStyle w:val="Heading5"/>
      </w:pPr>
      <w:bookmarkStart w:id="310" w:name="_Toc493604625"/>
      <w:r>
        <w:rPr>
          <w:rStyle w:val="CharSectno"/>
        </w:rPr>
        <w:t>53ZU</w:t>
      </w:r>
      <w:r>
        <w:t>.</w:t>
      </w:r>
      <w:r>
        <w:tab/>
        <w:t>Compensation for damage</w:t>
      </w:r>
      <w:bookmarkEnd w:id="310"/>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 that was appropriate in the circumstances.</w:t>
      </w:r>
    </w:p>
    <w:p>
      <w:pPr>
        <w:pStyle w:val="Footnotesection"/>
      </w:pPr>
      <w:r>
        <w:tab/>
        <w:t>[Section 53ZU inserted: No. 17 of 2004 s. 36.]</w:t>
      </w:r>
    </w:p>
    <w:p>
      <w:pPr>
        <w:pStyle w:val="Heading3"/>
      </w:pPr>
      <w:bookmarkStart w:id="311" w:name="_Toc471916458"/>
      <w:bookmarkStart w:id="312" w:name="_Toc472070041"/>
      <w:bookmarkStart w:id="313" w:name="_Toc473108039"/>
      <w:bookmarkStart w:id="314" w:name="_Toc473117845"/>
      <w:bookmarkStart w:id="315" w:name="_Toc493587384"/>
      <w:bookmarkStart w:id="316" w:name="_Toc493587555"/>
      <w:bookmarkStart w:id="317" w:name="_Toc493604626"/>
      <w:r>
        <w:rPr>
          <w:rStyle w:val="CharDivNo"/>
        </w:rPr>
        <w:t>Division 9</w:t>
      </w:r>
      <w:r>
        <w:t> — </w:t>
      </w:r>
      <w:r>
        <w:rPr>
          <w:rStyle w:val="CharDivText"/>
        </w:rPr>
        <w:t>Expiry</w:t>
      </w:r>
      <w:bookmarkEnd w:id="311"/>
      <w:bookmarkEnd w:id="312"/>
      <w:bookmarkEnd w:id="313"/>
      <w:bookmarkEnd w:id="314"/>
      <w:bookmarkEnd w:id="315"/>
      <w:bookmarkEnd w:id="316"/>
      <w:bookmarkEnd w:id="317"/>
    </w:p>
    <w:p>
      <w:pPr>
        <w:pStyle w:val="Footnoteheading"/>
        <w:tabs>
          <w:tab w:val="left" w:pos="851"/>
        </w:tabs>
      </w:pPr>
      <w:r>
        <w:tab/>
        <w:t>[Heading inserted: No. 17 of 2004 s. 36.]</w:t>
      </w:r>
    </w:p>
    <w:p>
      <w:pPr>
        <w:pStyle w:val="Heading5"/>
      </w:pPr>
      <w:bookmarkStart w:id="318" w:name="_Toc493604627"/>
      <w:r>
        <w:rPr>
          <w:rStyle w:val="CharSectno"/>
        </w:rPr>
        <w:t>53ZV</w:t>
      </w:r>
      <w:r>
        <w:t>.</w:t>
      </w:r>
      <w:r>
        <w:tab/>
        <w:t>Expiry of certain provisions</w:t>
      </w:r>
      <w:bookmarkEnd w:id="318"/>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No. 17 of 2004 s. 36.]</w:t>
      </w:r>
    </w:p>
    <w:p>
      <w:pPr>
        <w:pStyle w:val="Heading3"/>
      </w:pPr>
      <w:bookmarkStart w:id="319" w:name="_Toc471916460"/>
      <w:bookmarkStart w:id="320" w:name="_Toc472070043"/>
      <w:bookmarkStart w:id="321" w:name="_Toc473108041"/>
      <w:bookmarkStart w:id="322" w:name="_Toc473117847"/>
      <w:bookmarkStart w:id="323" w:name="_Toc493587386"/>
      <w:bookmarkStart w:id="324" w:name="_Toc493587557"/>
      <w:bookmarkStart w:id="325" w:name="_Toc493604628"/>
      <w:r>
        <w:rPr>
          <w:rStyle w:val="CharDivNo"/>
        </w:rPr>
        <w:t>Division 10</w:t>
      </w:r>
      <w:r>
        <w:t> — </w:t>
      </w:r>
      <w:r>
        <w:rPr>
          <w:rStyle w:val="CharDivText"/>
        </w:rPr>
        <w:t>Conscientious objection to use of excess ART embryos</w:t>
      </w:r>
      <w:bookmarkEnd w:id="319"/>
      <w:bookmarkEnd w:id="320"/>
      <w:bookmarkEnd w:id="321"/>
      <w:bookmarkEnd w:id="322"/>
      <w:bookmarkEnd w:id="323"/>
      <w:bookmarkEnd w:id="324"/>
      <w:bookmarkEnd w:id="325"/>
    </w:p>
    <w:p>
      <w:pPr>
        <w:pStyle w:val="Footnoteheading"/>
        <w:tabs>
          <w:tab w:val="left" w:pos="851"/>
        </w:tabs>
      </w:pPr>
      <w:r>
        <w:tab/>
        <w:t>[Heading inserted: No. 17 of 2004 s. 36.]</w:t>
      </w:r>
    </w:p>
    <w:p>
      <w:pPr>
        <w:pStyle w:val="Heading5"/>
      </w:pPr>
      <w:bookmarkStart w:id="326" w:name="_Toc493604629"/>
      <w:r>
        <w:rPr>
          <w:rStyle w:val="CharSectno"/>
        </w:rPr>
        <w:t>53ZVA</w:t>
      </w:r>
      <w:r>
        <w:t>.</w:t>
      </w:r>
      <w:r>
        <w:tab/>
        <w:t>Conscientious objection to use of excess ART embryos</w:t>
      </w:r>
      <w:bookmarkEnd w:id="326"/>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No. 17 of 2004 s. 36.]</w:t>
      </w:r>
    </w:p>
    <w:p>
      <w:pPr>
        <w:pStyle w:val="Heading3"/>
      </w:pPr>
      <w:bookmarkStart w:id="327" w:name="_Toc471916462"/>
      <w:bookmarkStart w:id="328" w:name="_Toc472070045"/>
      <w:bookmarkStart w:id="329" w:name="_Toc473108043"/>
      <w:bookmarkStart w:id="330" w:name="_Toc473117849"/>
      <w:bookmarkStart w:id="331" w:name="_Toc493587388"/>
      <w:bookmarkStart w:id="332" w:name="_Toc493587559"/>
      <w:bookmarkStart w:id="333" w:name="_Toc493604630"/>
      <w:r>
        <w:rPr>
          <w:rStyle w:val="CharDivNo"/>
        </w:rPr>
        <w:t>Division 11</w:t>
      </w:r>
      <w:r>
        <w:t> — </w:t>
      </w:r>
      <w:r>
        <w:rPr>
          <w:rStyle w:val="CharDivText"/>
        </w:rPr>
        <w:t>Review of Part</w:t>
      </w:r>
      <w:bookmarkEnd w:id="327"/>
      <w:bookmarkEnd w:id="328"/>
      <w:bookmarkEnd w:id="329"/>
      <w:bookmarkEnd w:id="330"/>
      <w:bookmarkEnd w:id="331"/>
      <w:bookmarkEnd w:id="332"/>
      <w:bookmarkEnd w:id="333"/>
    </w:p>
    <w:p>
      <w:pPr>
        <w:pStyle w:val="Footnoteheading"/>
        <w:keepNext/>
        <w:tabs>
          <w:tab w:val="left" w:pos="851"/>
        </w:tabs>
      </w:pPr>
      <w:r>
        <w:tab/>
        <w:t>[Heading inserted: No. 17 of 2004 s. 36.]</w:t>
      </w:r>
    </w:p>
    <w:p>
      <w:pPr>
        <w:pStyle w:val="Heading5"/>
      </w:pPr>
      <w:bookmarkStart w:id="334" w:name="_Toc493604631"/>
      <w:r>
        <w:rPr>
          <w:rStyle w:val="CharSectno"/>
        </w:rPr>
        <w:t>53ZW</w:t>
      </w:r>
      <w:r>
        <w:t>.</w:t>
      </w:r>
      <w:r>
        <w:tab/>
        <w:t>Review of Part</w:t>
      </w:r>
      <w:bookmarkEnd w:id="334"/>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 and</w:t>
      </w:r>
    </w:p>
    <w:p>
      <w:pPr>
        <w:pStyle w:val="Indenta"/>
      </w:pPr>
      <w:r>
        <w:tab/>
        <w:t>(b)</w:t>
      </w:r>
      <w:r>
        <w:tab/>
        <w:t>developments in medical research and scientific research and the potential therapeutic applications of such research; and</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No. 17 of 2004 s. 36.]</w:t>
      </w:r>
    </w:p>
    <w:p>
      <w:pPr>
        <w:pStyle w:val="Heading2"/>
      </w:pPr>
      <w:bookmarkStart w:id="335" w:name="_Toc471916464"/>
      <w:bookmarkStart w:id="336" w:name="_Toc472070047"/>
      <w:bookmarkStart w:id="337" w:name="_Toc473108045"/>
      <w:bookmarkStart w:id="338" w:name="_Toc473117851"/>
      <w:bookmarkStart w:id="339" w:name="_Toc493587390"/>
      <w:bookmarkStart w:id="340" w:name="_Toc493587561"/>
      <w:bookmarkStart w:id="341" w:name="_Toc493604632"/>
      <w:r>
        <w:rPr>
          <w:rStyle w:val="CharPartNo"/>
        </w:rPr>
        <w:t>Part 5</w:t>
      </w:r>
      <w:r>
        <w:t> — </w:t>
      </w:r>
      <w:r>
        <w:rPr>
          <w:rStyle w:val="CharPartText"/>
        </w:rPr>
        <w:t>Enforcement</w:t>
      </w:r>
      <w:bookmarkEnd w:id="335"/>
      <w:bookmarkEnd w:id="336"/>
      <w:bookmarkEnd w:id="337"/>
      <w:bookmarkEnd w:id="338"/>
      <w:bookmarkEnd w:id="339"/>
      <w:bookmarkEnd w:id="340"/>
      <w:bookmarkEnd w:id="341"/>
      <w:r>
        <w:rPr>
          <w:rStyle w:val="CharPartText"/>
        </w:rPr>
        <w:t xml:space="preserve"> </w:t>
      </w:r>
    </w:p>
    <w:p>
      <w:pPr>
        <w:pStyle w:val="Heading3"/>
        <w:spacing w:before="120"/>
        <w:rPr>
          <w:snapToGrid w:val="0"/>
        </w:rPr>
      </w:pPr>
      <w:bookmarkStart w:id="342" w:name="_Toc471916465"/>
      <w:bookmarkStart w:id="343" w:name="_Toc472070048"/>
      <w:bookmarkStart w:id="344" w:name="_Toc473108046"/>
      <w:bookmarkStart w:id="345" w:name="_Toc473117852"/>
      <w:bookmarkStart w:id="346" w:name="_Toc493587391"/>
      <w:bookmarkStart w:id="347" w:name="_Toc493587562"/>
      <w:bookmarkStart w:id="348" w:name="_Toc493604633"/>
      <w:r>
        <w:rPr>
          <w:rStyle w:val="CharDivNo"/>
        </w:rPr>
        <w:t>Division 1</w:t>
      </w:r>
      <w:r>
        <w:rPr>
          <w:snapToGrid w:val="0"/>
        </w:rPr>
        <w:t> — </w:t>
      </w:r>
      <w:r>
        <w:rPr>
          <w:rStyle w:val="CharDivText"/>
        </w:rPr>
        <w:t>Powers of authorised officers</w:t>
      </w:r>
      <w:bookmarkEnd w:id="342"/>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493604634"/>
      <w:r>
        <w:rPr>
          <w:rStyle w:val="CharSectno"/>
        </w:rPr>
        <w:t>54</w:t>
      </w:r>
      <w:r>
        <w:rPr>
          <w:snapToGrid w:val="0"/>
        </w:rPr>
        <w:t>.</w:t>
      </w:r>
      <w:r>
        <w:rPr>
          <w:snapToGrid w:val="0"/>
        </w:rPr>
        <w:tab/>
        <w:t>Powers of authorised officers</w:t>
      </w:r>
      <w:bookmarkEnd w:id="349"/>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 or</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 or</w:t>
      </w:r>
    </w:p>
    <w:p>
      <w:pPr>
        <w:pStyle w:val="Indenti"/>
        <w:spacing w:before="60"/>
        <w:rPr>
          <w:snapToGrid w:val="0"/>
        </w:rPr>
      </w:pPr>
      <w:r>
        <w:rPr>
          <w:snapToGrid w:val="0"/>
        </w:rPr>
        <w:tab/>
        <w:t>(iii)</w:t>
      </w:r>
      <w:r>
        <w:rPr>
          <w:snapToGrid w:val="0"/>
        </w:rPr>
        <w:tab/>
        <w:t>any artificial fertilisation procedure is being, has been or is likely to be carried out; or</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 and</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 and</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 and</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 or</w:t>
      </w:r>
    </w:p>
    <w:p>
      <w:pPr>
        <w:pStyle w:val="Indenta"/>
        <w:rPr>
          <w:snapToGrid w:val="0"/>
        </w:rPr>
      </w:pPr>
      <w:r>
        <w:rPr>
          <w:snapToGrid w:val="0"/>
        </w:rPr>
        <w:tab/>
        <w:t>(b)</w:t>
      </w:r>
      <w:r>
        <w:rPr>
          <w:snapToGrid w:val="0"/>
        </w:rPr>
        <w:tab/>
        <w:t>fails, without reasonable excuse, to comply with a requirement of an authorised officer under this section; or</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No. 17 of 2004 s. 37; No. 55 of 2004 s. 538 and 540; No. 28 of 2006 s. 270(1).]</w:t>
      </w:r>
    </w:p>
    <w:p>
      <w:pPr>
        <w:pStyle w:val="Heading5"/>
        <w:rPr>
          <w:snapToGrid w:val="0"/>
        </w:rPr>
      </w:pPr>
      <w:bookmarkStart w:id="350" w:name="_Toc493604635"/>
      <w:r>
        <w:rPr>
          <w:rStyle w:val="CharSectno"/>
        </w:rPr>
        <w:t>55</w:t>
      </w:r>
      <w:r>
        <w:rPr>
          <w:snapToGrid w:val="0"/>
        </w:rPr>
        <w:t>.</w:t>
      </w:r>
      <w:r>
        <w:rPr>
          <w:snapToGrid w:val="0"/>
        </w:rPr>
        <w:tab/>
        <w:t>Entry, search and seizure, by warrant</w:t>
      </w:r>
      <w:bookmarkEnd w:id="350"/>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 and</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No. 84 of 2004 s. 80.]</w:t>
      </w:r>
    </w:p>
    <w:p>
      <w:pPr>
        <w:pStyle w:val="Heading3"/>
        <w:rPr>
          <w:snapToGrid w:val="0"/>
        </w:rPr>
      </w:pPr>
      <w:bookmarkStart w:id="351" w:name="_Toc471916468"/>
      <w:bookmarkStart w:id="352" w:name="_Toc472070051"/>
      <w:bookmarkStart w:id="353" w:name="_Toc473108049"/>
      <w:bookmarkStart w:id="354" w:name="_Toc473117855"/>
      <w:bookmarkStart w:id="355" w:name="_Toc493587394"/>
      <w:bookmarkStart w:id="356" w:name="_Toc493587565"/>
      <w:bookmarkStart w:id="357" w:name="_Toc493604636"/>
      <w:r>
        <w:rPr>
          <w:rStyle w:val="CharDivNo"/>
        </w:rPr>
        <w:t>Division 2</w:t>
      </w:r>
      <w:r>
        <w:rPr>
          <w:snapToGrid w:val="0"/>
        </w:rPr>
        <w:t> — </w:t>
      </w:r>
      <w:r>
        <w:rPr>
          <w:rStyle w:val="CharDivText"/>
        </w:rPr>
        <w:t>Proceedings</w:t>
      </w:r>
      <w:bookmarkEnd w:id="351"/>
      <w:bookmarkEnd w:id="352"/>
      <w:bookmarkEnd w:id="353"/>
      <w:bookmarkEnd w:id="354"/>
      <w:bookmarkEnd w:id="355"/>
      <w:bookmarkEnd w:id="356"/>
      <w:bookmarkEnd w:id="357"/>
      <w:r>
        <w:rPr>
          <w:rStyle w:val="CharDivText"/>
        </w:rPr>
        <w:t xml:space="preserve"> </w:t>
      </w:r>
    </w:p>
    <w:p>
      <w:pPr>
        <w:pStyle w:val="Heading5"/>
        <w:rPr>
          <w:snapToGrid w:val="0"/>
        </w:rPr>
      </w:pPr>
      <w:bookmarkStart w:id="358" w:name="_Toc493604637"/>
      <w:r>
        <w:rPr>
          <w:rStyle w:val="CharSectno"/>
        </w:rPr>
        <w:t>56</w:t>
      </w:r>
      <w:r>
        <w:rPr>
          <w:snapToGrid w:val="0"/>
        </w:rPr>
        <w:t>.</w:t>
      </w:r>
      <w:r>
        <w:rPr>
          <w:snapToGrid w:val="0"/>
        </w:rPr>
        <w:tab/>
        <w:t>Complaints for simple offence</w:t>
      </w:r>
      <w:bookmarkEnd w:id="358"/>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r>
        <w:tab/>
        <w:t>[Section 56 amended: No. 17 of 2004 s. 38; No. 84 of 2004 s. 80; No. 28 of 2006 s. 270(1).]</w:t>
      </w:r>
    </w:p>
    <w:p>
      <w:pPr>
        <w:pStyle w:val="Heading5"/>
        <w:rPr>
          <w:snapToGrid w:val="0"/>
        </w:rPr>
      </w:pPr>
      <w:bookmarkStart w:id="359" w:name="_Toc493604638"/>
      <w:r>
        <w:rPr>
          <w:rStyle w:val="CharSectno"/>
        </w:rPr>
        <w:t>57</w:t>
      </w:r>
      <w:r>
        <w:rPr>
          <w:snapToGrid w:val="0"/>
        </w:rPr>
        <w:t>.</w:t>
      </w:r>
      <w:r>
        <w:rPr>
          <w:snapToGrid w:val="0"/>
        </w:rPr>
        <w:tab/>
        <w:t>Averments, and other evidentiary matters</w:t>
      </w:r>
      <w:bookmarkEnd w:id="359"/>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 or</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spacing w:before="70"/>
        <w:rPr>
          <w:snapToGrid w:val="0"/>
        </w:rPr>
      </w:pPr>
      <w:r>
        <w:rPr>
          <w:snapToGrid w:val="0"/>
        </w:rPr>
        <w:tab/>
        <w:t>(i)</w:t>
      </w:r>
      <w:r>
        <w:rPr>
          <w:snapToGrid w:val="0"/>
        </w:rPr>
        <w:tab/>
        <w:t>licensed; or</w:t>
      </w:r>
    </w:p>
    <w:p>
      <w:pPr>
        <w:pStyle w:val="Indenti"/>
        <w:spacing w:before="70"/>
        <w:rPr>
          <w:snapToGrid w:val="0"/>
        </w:rPr>
      </w:pPr>
      <w:r>
        <w:rPr>
          <w:snapToGrid w:val="0"/>
        </w:rPr>
        <w:tab/>
        <w:t>(ii)</w:t>
      </w:r>
      <w:r>
        <w:rPr>
          <w:snapToGrid w:val="0"/>
        </w:rPr>
        <w:tab/>
        <w:t>licensed in respect of any specified procedure or practice; or</w:t>
      </w:r>
    </w:p>
    <w:p>
      <w:pPr>
        <w:pStyle w:val="Indenti"/>
        <w:spacing w:before="70"/>
        <w:rPr>
          <w:snapToGrid w:val="0"/>
        </w:rPr>
      </w:pPr>
      <w:r>
        <w:rPr>
          <w:snapToGrid w:val="0"/>
        </w:rPr>
        <w:tab/>
        <w:t>(iii)</w:t>
      </w:r>
      <w:r>
        <w:rPr>
          <w:snapToGrid w:val="0"/>
        </w:rPr>
        <w:tab/>
        <w:t xml:space="preserve">approved as the </w:t>
      </w:r>
      <w:r>
        <w:t>licence supervisor</w:t>
      </w:r>
      <w:r>
        <w:rPr>
          <w:snapToGrid w:val="0"/>
        </w:rPr>
        <w:t xml:space="preserve"> in relation to a specified practice; or</w:t>
      </w:r>
    </w:p>
    <w:p>
      <w:pPr>
        <w:pStyle w:val="Indenti"/>
        <w:spacing w:before="70"/>
        <w:rPr>
          <w:snapToGrid w:val="0"/>
        </w:rPr>
      </w:pPr>
      <w:r>
        <w:rPr>
          <w:snapToGrid w:val="0"/>
        </w:rPr>
        <w:tab/>
        <w:t>(iv)</w:t>
      </w:r>
      <w:r>
        <w:rPr>
          <w:snapToGrid w:val="0"/>
        </w:rPr>
        <w:tab/>
        <w:t>an employee or agent of a specified licensee; or</w:t>
      </w:r>
    </w:p>
    <w:p>
      <w:pPr>
        <w:pStyle w:val="Indenti"/>
        <w:spacing w:before="70"/>
        <w:rPr>
          <w:snapToGrid w:val="0"/>
        </w:rPr>
      </w:pPr>
      <w:r>
        <w:rPr>
          <w:snapToGrid w:val="0"/>
        </w:rPr>
        <w:tab/>
        <w:t>(v)</w:t>
      </w:r>
      <w:r>
        <w:rPr>
          <w:snapToGrid w:val="0"/>
        </w:rPr>
        <w:tab/>
        <w:t>the holder of a specified exemption;</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 or</w:t>
      </w:r>
    </w:p>
    <w:p>
      <w:pPr>
        <w:pStyle w:val="Indenta"/>
        <w:spacing w:before="70"/>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 or</w:t>
      </w:r>
    </w:p>
    <w:p>
      <w:pPr>
        <w:pStyle w:val="Indenta"/>
        <w:spacing w:before="70"/>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 or</w:t>
      </w:r>
    </w:p>
    <w:p>
      <w:pPr>
        <w:pStyle w:val="Indenta"/>
        <w:spacing w:before="70"/>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spacing w:before="70"/>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keepNext/>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r>
        <w:tab/>
        <w:t>[Section 57 amended: No. 17 of 2004 s. 39; No. 55 of 2004 s. 539 and 540; No. 84 of 2004 s. 80 and 82; No. 28 of 2006 s. 270.]</w:t>
      </w:r>
    </w:p>
    <w:p>
      <w:pPr>
        <w:pStyle w:val="Heading2"/>
      </w:pPr>
      <w:bookmarkStart w:id="360" w:name="_Toc471916471"/>
      <w:bookmarkStart w:id="361" w:name="_Toc472070054"/>
      <w:bookmarkStart w:id="362" w:name="_Toc473108052"/>
      <w:bookmarkStart w:id="363" w:name="_Toc473117858"/>
      <w:bookmarkStart w:id="364" w:name="_Toc493587397"/>
      <w:bookmarkStart w:id="365" w:name="_Toc493587568"/>
      <w:bookmarkStart w:id="366" w:name="_Toc493604639"/>
      <w:r>
        <w:rPr>
          <w:rStyle w:val="CharPartNo"/>
        </w:rPr>
        <w:t>Part 6</w:t>
      </w:r>
      <w:r>
        <w:t> — </w:t>
      </w:r>
      <w:r>
        <w:rPr>
          <w:rStyle w:val="CharPartText"/>
        </w:rPr>
        <w:t>Administration</w:t>
      </w:r>
      <w:bookmarkEnd w:id="360"/>
      <w:bookmarkEnd w:id="361"/>
      <w:bookmarkEnd w:id="362"/>
      <w:bookmarkEnd w:id="363"/>
      <w:bookmarkEnd w:id="364"/>
      <w:bookmarkEnd w:id="365"/>
      <w:bookmarkEnd w:id="366"/>
      <w:r>
        <w:rPr>
          <w:rStyle w:val="CharPartText"/>
        </w:rPr>
        <w:t xml:space="preserve"> </w:t>
      </w:r>
    </w:p>
    <w:p>
      <w:pPr>
        <w:pStyle w:val="Heading3"/>
        <w:spacing w:before="200"/>
        <w:rPr>
          <w:snapToGrid w:val="0"/>
        </w:rPr>
      </w:pPr>
      <w:bookmarkStart w:id="367" w:name="_Toc471916472"/>
      <w:bookmarkStart w:id="368" w:name="_Toc472070055"/>
      <w:bookmarkStart w:id="369" w:name="_Toc473108053"/>
      <w:bookmarkStart w:id="370" w:name="_Toc473117859"/>
      <w:bookmarkStart w:id="371" w:name="_Toc493587398"/>
      <w:bookmarkStart w:id="372" w:name="_Toc493587569"/>
      <w:bookmarkStart w:id="373" w:name="_Toc493604640"/>
      <w:r>
        <w:rPr>
          <w:rStyle w:val="CharDivNo"/>
        </w:rPr>
        <w:t>Division 1</w:t>
      </w:r>
      <w:r>
        <w:rPr>
          <w:snapToGrid w:val="0"/>
        </w:rPr>
        <w:t> — </w:t>
      </w:r>
      <w:r>
        <w:rPr>
          <w:rStyle w:val="CharDivText"/>
        </w:rPr>
        <w:t>Staff</w:t>
      </w:r>
      <w:bookmarkEnd w:id="367"/>
      <w:bookmarkEnd w:id="368"/>
      <w:bookmarkEnd w:id="369"/>
      <w:bookmarkEnd w:id="370"/>
      <w:bookmarkEnd w:id="371"/>
      <w:bookmarkEnd w:id="372"/>
      <w:bookmarkEnd w:id="373"/>
      <w:r>
        <w:rPr>
          <w:rStyle w:val="CharDivText"/>
        </w:rPr>
        <w:t xml:space="preserve"> </w:t>
      </w:r>
    </w:p>
    <w:p>
      <w:pPr>
        <w:pStyle w:val="Heading5"/>
        <w:rPr>
          <w:snapToGrid w:val="0"/>
        </w:rPr>
      </w:pPr>
      <w:bookmarkStart w:id="374" w:name="_Toc493604641"/>
      <w:r>
        <w:rPr>
          <w:rStyle w:val="CharSectno"/>
        </w:rPr>
        <w:t>58</w:t>
      </w:r>
      <w:r>
        <w:rPr>
          <w:snapToGrid w:val="0"/>
        </w:rPr>
        <w:t>.</w:t>
      </w:r>
      <w:r>
        <w:rPr>
          <w:snapToGrid w:val="0"/>
        </w:rPr>
        <w:tab/>
        <w:t>Use of staff and facilities of departments, agencies and instrumentalities, and engagement of consultants, etc.</w:t>
      </w:r>
      <w:bookmarkEnd w:id="374"/>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No. 32 of 1994 s. 19.] </w:t>
      </w:r>
    </w:p>
    <w:p>
      <w:pPr>
        <w:pStyle w:val="Heading5"/>
        <w:rPr>
          <w:snapToGrid w:val="0"/>
        </w:rPr>
      </w:pPr>
      <w:bookmarkStart w:id="375" w:name="_Toc493604642"/>
      <w:r>
        <w:rPr>
          <w:rStyle w:val="CharSectno"/>
        </w:rPr>
        <w:t>59</w:t>
      </w:r>
      <w:r>
        <w:rPr>
          <w:snapToGrid w:val="0"/>
        </w:rPr>
        <w:t>.</w:t>
      </w:r>
      <w:r>
        <w:rPr>
          <w:snapToGrid w:val="0"/>
        </w:rPr>
        <w:tab/>
        <w:t>Staff</w:t>
      </w:r>
      <w:bookmarkEnd w:id="375"/>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 or</w:t>
      </w:r>
    </w:p>
    <w:p>
      <w:pPr>
        <w:pStyle w:val="Indenta"/>
        <w:rPr>
          <w:snapToGrid w:val="0"/>
        </w:rPr>
      </w:pPr>
      <w:r>
        <w:rPr>
          <w:snapToGrid w:val="0"/>
        </w:rPr>
        <w:tab/>
        <w:t>(b)</w:t>
      </w:r>
      <w:r>
        <w:rPr>
          <w:snapToGrid w:val="0"/>
        </w:rPr>
        <w:tab/>
        <w:t>a Public Health Official required to exercise power as an authorised officer; or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[Section 59 amended: No. 32 of 1994 s. 19; No. 17 of 2004 s. 40; No. 28 of 2006 s. 270.]</w:t>
      </w:r>
    </w:p>
    <w:p>
      <w:pPr>
        <w:pStyle w:val="Heading5"/>
      </w:pPr>
      <w:bookmarkStart w:id="376" w:name="_Toc456087429"/>
      <w:bookmarkStart w:id="377" w:name="_Toc457226639"/>
      <w:bookmarkStart w:id="378" w:name="_Toc493604643"/>
      <w:r>
        <w:rPr>
          <w:rStyle w:val="CharSectno"/>
        </w:rPr>
        <w:t>60A</w:t>
      </w:r>
      <w:r>
        <w:t>.</w:t>
      </w:r>
      <w:r>
        <w:tab/>
        <w:t>Public Health Officials</w:t>
      </w:r>
      <w:bookmarkEnd w:id="376"/>
      <w:bookmarkEnd w:id="377"/>
      <w:bookmarkEnd w:id="378"/>
    </w:p>
    <w:p>
      <w:pPr>
        <w:pStyle w:val="Subsection"/>
      </w:pPr>
      <w:r>
        <w:tab/>
        <w:t>(1)</w:t>
      </w:r>
      <w:r>
        <w:tab/>
        <w:t>The CEO may designate a person as a Public Health Official for the purposes of this Act if the CEO considers that the person has appropriate qualifications and experience to perform the functions of a Public Health Official, and may revoke a designation under this subsection at any time.</w:t>
      </w:r>
    </w:p>
    <w:p>
      <w:pPr>
        <w:pStyle w:val="Subsection"/>
      </w:pPr>
      <w:r>
        <w:tab/>
        <w:t>(2)</w:t>
      </w:r>
      <w:r>
        <w:tab/>
        <w:t>For the purposes of subsection (1), the CEO may engage, under a contract for services, any person whom the CEO considers has appropriate qualifications and experience to perform the functions of a Public Health Official.</w:t>
      </w:r>
    </w:p>
    <w:p>
      <w:pPr>
        <w:pStyle w:val="Subsection"/>
      </w:pPr>
      <w:r>
        <w:tab/>
        <w:t>(3)</w:t>
      </w:r>
      <w:r>
        <w:tab/>
        <w:t xml:space="preserve">A person engaged under subsection (2) is not a person appointed under the </w:t>
      </w:r>
      <w:r>
        <w:rPr>
          <w:i/>
        </w:rPr>
        <w:t>Public Sector Management Act 1994</w:t>
      </w:r>
      <w:r>
        <w:t xml:space="preserve"> Part 3.</w:t>
      </w:r>
    </w:p>
    <w:p>
      <w:pPr>
        <w:pStyle w:val="Subsection"/>
      </w:pPr>
      <w:r>
        <w:tab/>
        <w:t>(4)</w:t>
      </w:r>
      <w:r>
        <w:tab/>
        <w:t xml:space="preserve">Subsection (2) does not limit section 58 or 59(1) or the </w:t>
      </w:r>
      <w:r>
        <w:rPr>
          <w:i/>
        </w:rPr>
        <w:t>Public Sector Management Act 1994</w:t>
      </w:r>
      <w:r>
        <w:t xml:space="preserve"> section 100.</w:t>
      </w:r>
    </w:p>
    <w:p>
      <w:pPr>
        <w:pStyle w:val="Subsection"/>
      </w:pPr>
      <w:r>
        <w:tab/>
        <w:t>(5)</w:t>
      </w:r>
      <w:r>
        <w:tab/>
        <w:t xml:space="preserve">If, immediately before the </w:t>
      </w:r>
      <w:r>
        <w:rPr>
          <w:i/>
        </w:rPr>
        <w:t>Public Health (Consequential Provisions) Act 2016</w:t>
      </w:r>
      <w:r>
        <w:t xml:space="preserve"> section 156 (the </w:t>
      </w:r>
      <w:r>
        <w:rPr>
          <w:rStyle w:val="CharDefText"/>
        </w:rPr>
        <w:t>relevant section</w:t>
      </w:r>
      <w:r>
        <w:t xml:space="preserve">) comes into operation, a person holds a designation as a Public Health Official under the </w:t>
      </w:r>
      <w:r>
        <w:rPr>
          <w:i/>
        </w:rPr>
        <w:t>Health Legislation Administration Act 1984</w:t>
      </w:r>
      <w:r>
        <w:t xml:space="preserve"> section 7, then, on the coming into operation of the relevant section, the person is to be taken to hold a designation as a Public Health Official under subsection (1).</w:t>
      </w:r>
    </w:p>
    <w:p>
      <w:pPr>
        <w:pStyle w:val="Footnotesection"/>
      </w:pPr>
      <w:r>
        <w:tab/>
        <w:t>[Section 60A inserted: No. 19 of 2016 s. 160.]</w:t>
      </w:r>
    </w:p>
    <w:p>
      <w:pPr>
        <w:pStyle w:val="Heading3"/>
        <w:rPr>
          <w:snapToGrid w:val="0"/>
        </w:rPr>
      </w:pPr>
      <w:bookmarkStart w:id="379" w:name="_Toc471916475"/>
      <w:bookmarkStart w:id="380" w:name="_Toc472070058"/>
      <w:bookmarkStart w:id="381" w:name="_Toc473108057"/>
      <w:bookmarkStart w:id="382" w:name="_Toc473117863"/>
      <w:bookmarkStart w:id="383" w:name="_Toc493587402"/>
      <w:bookmarkStart w:id="384" w:name="_Toc493587573"/>
      <w:bookmarkStart w:id="385" w:name="_Toc493604644"/>
      <w:r>
        <w:rPr>
          <w:rStyle w:val="CharDivNo"/>
        </w:rPr>
        <w:t>Division 2</w:t>
      </w:r>
      <w:r>
        <w:rPr>
          <w:snapToGrid w:val="0"/>
        </w:rPr>
        <w:t> — </w:t>
      </w:r>
      <w:r>
        <w:rPr>
          <w:rStyle w:val="CharDivText"/>
        </w:rPr>
        <w:t>Subsidiary legislation</w:t>
      </w:r>
      <w:bookmarkEnd w:id="379"/>
      <w:bookmarkEnd w:id="380"/>
      <w:bookmarkEnd w:id="381"/>
      <w:bookmarkEnd w:id="382"/>
      <w:bookmarkEnd w:id="383"/>
      <w:bookmarkEnd w:id="384"/>
      <w:bookmarkEnd w:id="385"/>
      <w:r>
        <w:rPr>
          <w:rStyle w:val="CharDivText"/>
        </w:rPr>
        <w:t xml:space="preserve"> </w:t>
      </w:r>
    </w:p>
    <w:p>
      <w:pPr>
        <w:pStyle w:val="Heading5"/>
        <w:spacing w:before="180"/>
        <w:rPr>
          <w:snapToGrid w:val="0"/>
        </w:rPr>
      </w:pPr>
      <w:bookmarkStart w:id="386" w:name="_Toc493604645"/>
      <w:r>
        <w:rPr>
          <w:rStyle w:val="CharSectno"/>
        </w:rPr>
        <w:t>60</w:t>
      </w:r>
      <w:r>
        <w:rPr>
          <w:snapToGrid w:val="0"/>
        </w:rPr>
        <w:t>.</w:t>
      </w:r>
      <w:r>
        <w:rPr>
          <w:snapToGrid w:val="0"/>
        </w:rPr>
        <w:tab/>
        <w:t>Regulations, and subsidiary legislation generally</w:t>
      </w:r>
      <w:bookmarkEnd w:id="386"/>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No. 28 of 2006 s. 270(2).]</w:t>
      </w:r>
    </w:p>
    <w:p>
      <w:pPr>
        <w:pStyle w:val="Heading3"/>
        <w:rPr>
          <w:snapToGrid w:val="0"/>
        </w:rPr>
      </w:pPr>
      <w:bookmarkStart w:id="387" w:name="_Toc471916477"/>
      <w:bookmarkStart w:id="388" w:name="_Toc472070060"/>
      <w:bookmarkStart w:id="389" w:name="_Toc473108059"/>
      <w:bookmarkStart w:id="390" w:name="_Toc473117865"/>
      <w:bookmarkStart w:id="391" w:name="_Toc493587404"/>
      <w:bookmarkStart w:id="392" w:name="_Toc493587575"/>
      <w:bookmarkStart w:id="393" w:name="_Toc493604646"/>
      <w:r>
        <w:rPr>
          <w:rStyle w:val="CharDivNo"/>
        </w:rPr>
        <w:t>Division 3</w:t>
      </w:r>
      <w:r>
        <w:rPr>
          <w:snapToGrid w:val="0"/>
        </w:rPr>
        <w:t> — </w:t>
      </w:r>
      <w:r>
        <w:rPr>
          <w:rStyle w:val="CharDivText"/>
        </w:rPr>
        <w:t>General</w:t>
      </w:r>
      <w:bookmarkEnd w:id="387"/>
      <w:bookmarkEnd w:id="388"/>
      <w:bookmarkEnd w:id="389"/>
      <w:bookmarkEnd w:id="390"/>
      <w:bookmarkEnd w:id="391"/>
      <w:bookmarkEnd w:id="392"/>
      <w:bookmarkEnd w:id="393"/>
      <w:r>
        <w:rPr>
          <w:rStyle w:val="CharDivText"/>
        </w:rPr>
        <w:t xml:space="preserve"> </w:t>
      </w:r>
    </w:p>
    <w:p>
      <w:pPr>
        <w:pStyle w:val="Heading5"/>
        <w:spacing w:before="160"/>
        <w:rPr>
          <w:snapToGrid w:val="0"/>
        </w:rPr>
      </w:pPr>
      <w:bookmarkStart w:id="394" w:name="_Toc493604647"/>
      <w:r>
        <w:rPr>
          <w:rStyle w:val="CharSectno"/>
        </w:rPr>
        <w:t>61</w:t>
      </w:r>
      <w:r>
        <w:rPr>
          <w:snapToGrid w:val="0"/>
        </w:rPr>
        <w:t>.</w:t>
      </w:r>
      <w:r>
        <w:rPr>
          <w:snapToGrid w:val="0"/>
        </w:rPr>
        <w:tab/>
        <w:t>Review of Act</w:t>
      </w:r>
      <w:bookmarkEnd w:id="394"/>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 and</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No. 28 of 2006 s. 270(1).]</w:t>
      </w:r>
    </w:p>
    <w:p>
      <w:pPr>
        <w:pStyle w:val="Ednotesection"/>
      </w:pPr>
      <w:r>
        <w:t>[</w:t>
      </w:r>
      <w:r>
        <w:rPr>
          <w:b/>
        </w:rPr>
        <w:t>62, 63.</w:t>
      </w:r>
      <w:r>
        <w:tab/>
        <w:t>Omitted under the Reprints Act 1984 s. 7(4)(e).]</w:t>
      </w:r>
    </w:p>
    <w:p>
      <w:pPr>
        <w:sectPr>
          <w:headerReference w:type="even" r:id="rId26"/>
          <w:headerReference w:type="first" r:id="rId27"/>
          <w:pgSz w:w="11907" w:h="16840" w:code="9"/>
          <w:pgMar w:top="2381" w:right="2409" w:bottom="3543" w:left="2409" w:header="720" w:footer="3380" w:gutter="0"/>
          <w:pgNumType w:start="3"/>
          <w:cols w:space="720"/>
          <w:noEndnote/>
          <w:docGrid w:linePitch="326"/>
        </w:sectPr>
      </w:pPr>
    </w:p>
    <w:p>
      <w:pPr>
        <w:pStyle w:val="yScheduleHeading"/>
        <w:outlineLvl w:val="0"/>
      </w:pPr>
      <w:bookmarkStart w:id="395" w:name="_Toc471916479"/>
      <w:bookmarkStart w:id="396" w:name="_Toc472070062"/>
      <w:bookmarkStart w:id="397" w:name="_Toc473108061"/>
      <w:bookmarkStart w:id="398" w:name="_Toc473117867"/>
      <w:bookmarkStart w:id="399" w:name="_Toc493587406"/>
      <w:bookmarkStart w:id="400" w:name="_Toc493587577"/>
      <w:bookmarkStart w:id="401" w:name="_Toc493604648"/>
      <w:bookmarkStart w:id="402" w:name="_Toc471916491"/>
      <w:bookmarkStart w:id="403" w:name="_Toc472070074"/>
      <w:bookmarkStart w:id="404" w:name="_Toc473108073"/>
      <w:bookmarkStart w:id="405" w:name="_Toc473117879"/>
      <w:bookmarkStart w:id="406" w:name="_Toc473117882"/>
      <w:r>
        <w:rPr>
          <w:rStyle w:val="CharSchNo"/>
        </w:rPr>
        <w:t>Schedule</w:t>
      </w:r>
      <w:r>
        <w:t xml:space="preserve"> — </w:t>
      </w:r>
      <w:r>
        <w:rPr>
          <w:rStyle w:val="CharSchText"/>
        </w:rPr>
        <w:t>Provisions relating to the membership and proceedings of the Council and the annual report on reproductive technology</w:t>
      </w:r>
      <w:bookmarkEnd w:id="395"/>
      <w:bookmarkEnd w:id="396"/>
      <w:bookmarkEnd w:id="397"/>
      <w:bookmarkEnd w:id="398"/>
      <w:bookmarkEnd w:id="399"/>
      <w:bookmarkEnd w:id="400"/>
      <w:bookmarkEnd w:id="401"/>
    </w:p>
    <w:p>
      <w:pPr>
        <w:pStyle w:val="yShoulderClause"/>
        <w:rPr>
          <w:snapToGrid w:val="0"/>
        </w:rPr>
      </w:pPr>
      <w:r>
        <w:rPr>
          <w:snapToGrid w:val="0"/>
        </w:rPr>
        <w:t>[s. 5 and 8]</w:t>
      </w:r>
    </w:p>
    <w:p>
      <w:pPr>
        <w:pStyle w:val="yFootnoteheading"/>
      </w:pPr>
      <w:r>
        <w:tab/>
        <w:t>[Heading amended: No. 19 of 2010 s. 4.]</w:t>
      </w:r>
    </w:p>
    <w:p>
      <w:pPr>
        <w:pStyle w:val="yHeading5"/>
        <w:ind w:left="890" w:hanging="890"/>
        <w:outlineLvl w:val="0"/>
        <w:rPr>
          <w:snapToGrid w:val="0"/>
        </w:rPr>
      </w:pPr>
      <w:bookmarkStart w:id="407" w:name="_Toc493604649"/>
      <w:r>
        <w:rPr>
          <w:rStyle w:val="CharSClsNo"/>
        </w:rPr>
        <w:t>1</w:t>
      </w:r>
      <w:r>
        <w:rPr>
          <w:snapToGrid w:val="0"/>
        </w:rPr>
        <w:t>.</w:t>
      </w:r>
      <w:r>
        <w:rPr>
          <w:snapToGrid w:val="0"/>
        </w:rPr>
        <w:tab/>
        <w:t>Chair of Council</w:t>
      </w:r>
      <w:bookmarkEnd w:id="407"/>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408" w:name="_Toc493604650"/>
      <w:r>
        <w:rPr>
          <w:rStyle w:val="CharSClsNo"/>
        </w:rPr>
        <w:t>2</w:t>
      </w:r>
      <w:r>
        <w:rPr>
          <w:snapToGrid w:val="0"/>
        </w:rPr>
        <w:t>.</w:t>
      </w:r>
      <w:r>
        <w:rPr>
          <w:snapToGrid w:val="0"/>
        </w:rPr>
        <w:tab/>
        <w:t>Deputies etc.</w:t>
      </w:r>
      <w:bookmarkEnd w:id="408"/>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409" w:name="_Toc493604651"/>
      <w:r>
        <w:rPr>
          <w:rStyle w:val="CharSClsNo"/>
        </w:rPr>
        <w:t>3</w:t>
      </w:r>
      <w:r>
        <w:rPr>
          <w:snapToGrid w:val="0"/>
        </w:rPr>
        <w:t>.</w:t>
      </w:r>
      <w:r>
        <w:rPr>
          <w:snapToGrid w:val="0"/>
        </w:rPr>
        <w:tab/>
        <w:t>Term of office</w:t>
      </w:r>
      <w:bookmarkEnd w:id="409"/>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410" w:name="_Toc493604652"/>
      <w:r>
        <w:rPr>
          <w:rStyle w:val="CharSClsNo"/>
        </w:rPr>
        <w:t>4</w:t>
      </w:r>
      <w:r>
        <w:rPr>
          <w:snapToGrid w:val="0"/>
        </w:rPr>
        <w:t>.</w:t>
      </w:r>
      <w:r>
        <w:rPr>
          <w:snapToGrid w:val="0"/>
        </w:rPr>
        <w:tab/>
        <w:t>Remuneration and leave of members</w:t>
      </w:r>
      <w:bookmarkEnd w:id="410"/>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w:t>
      </w:r>
      <w:r>
        <w:t xml:space="preserve"> Public Sector Commissioner</w:t>
      </w:r>
      <w:r>
        <w:rPr>
          <w:snapToGrid w:val="0"/>
        </w:rPr>
        <w: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Footnotesection"/>
      </w:pPr>
      <w:r>
        <w:tab/>
        <w:t>[Clause 4 amended: No. 39 of 2010 s. 89.]</w:t>
      </w:r>
    </w:p>
    <w:p>
      <w:pPr>
        <w:pStyle w:val="yHeading5"/>
        <w:ind w:left="890" w:hanging="890"/>
        <w:outlineLvl w:val="0"/>
        <w:rPr>
          <w:snapToGrid w:val="0"/>
        </w:rPr>
      </w:pPr>
      <w:bookmarkStart w:id="411" w:name="_Toc493604653"/>
      <w:r>
        <w:rPr>
          <w:rStyle w:val="CharSClsNo"/>
        </w:rPr>
        <w:t>5</w:t>
      </w:r>
      <w:r>
        <w:rPr>
          <w:snapToGrid w:val="0"/>
        </w:rPr>
        <w:t>.</w:t>
      </w:r>
      <w:r>
        <w:rPr>
          <w:snapToGrid w:val="0"/>
        </w:rPr>
        <w:tab/>
        <w:t>Premature vacation of office</w:t>
      </w:r>
      <w:bookmarkEnd w:id="411"/>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 xml:space="preserve">dies; </w:t>
      </w:r>
    </w:p>
    <w:p>
      <w:pPr>
        <w:pStyle w:val="yIndenta"/>
        <w:rPr>
          <w:snapToGrid w:val="0"/>
        </w:rPr>
      </w:pPr>
      <w:r>
        <w:rPr>
          <w:snapToGrid w:val="0"/>
        </w:rPr>
        <w:tab/>
      </w:r>
      <w:r>
        <w:rPr>
          <w:snapToGrid w:val="0"/>
        </w:rPr>
        <w:tab/>
        <w:t>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for neglect of duty, misbehaviour, or incompetence; or</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 or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No. 18 of 2009 s. 44(3).]</w:t>
      </w:r>
    </w:p>
    <w:p>
      <w:pPr>
        <w:pStyle w:val="yHeading5"/>
        <w:ind w:left="890" w:hanging="890"/>
        <w:outlineLvl w:val="0"/>
        <w:rPr>
          <w:snapToGrid w:val="0"/>
        </w:rPr>
      </w:pPr>
      <w:bookmarkStart w:id="412" w:name="_Toc493604654"/>
      <w:r>
        <w:rPr>
          <w:rStyle w:val="CharSClsNo"/>
        </w:rPr>
        <w:t>6</w:t>
      </w:r>
      <w:r>
        <w:rPr>
          <w:snapToGrid w:val="0"/>
        </w:rPr>
        <w:t>.</w:t>
      </w:r>
      <w:r>
        <w:rPr>
          <w:snapToGrid w:val="0"/>
        </w:rPr>
        <w:tab/>
        <w:t>Personal or pecuniary interests</w:t>
      </w:r>
      <w:bookmarkEnd w:id="412"/>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 or</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No. 78 of 1995 s. 147.]</w:t>
      </w:r>
    </w:p>
    <w:p>
      <w:pPr>
        <w:pStyle w:val="yHeading5"/>
        <w:ind w:left="890" w:hanging="890"/>
        <w:outlineLvl w:val="0"/>
        <w:rPr>
          <w:snapToGrid w:val="0"/>
        </w:rPr>
      </w:pPr>
      <w:bookmarkStart w:id="413" w:name="_Toc493604655"/>
      <w:r>
        <w:rPr>
          <w:rStyle w:val="CharSClsNo"/>
        </w:rPr>
        <w:t>7</w:t>
      </w:r>
      <w:r>
        <w:rPr>
          <w:snapToGrid w:val="0"/>
        </w:rPr>
        <w:t>.</w:t>
      </w:r>
      <w:r>
        <w:rPr>
          <w:snapToGrid w:val="0"/>
        </w:rPr>
        <w:tab/>
        <w:t>Meetings and proceedings</w:t>
      </w:r>
      <w:bookmarkEnd w:id="413"/>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414" w:name="_Toc493604656"/>
      <w:r>
        <w:rPr>
          <w:rStyle w:val="CharSClsNo"/>
        </w:rPr>
        <w:t>8</w:t>
      </w:r>
      <w:r>
        <w:rPr>
          <w:snapToGrid w:val="0"/>
        </w:rPr>
        <w:t>.</w:t>
      </w:r>
      <w:r>
        <w:rPr>
          <w:snapToGrid w:val="0"/>
        </w:rPr>
        <w:tab/>
        <w:t>Unanimous resolution may be passed without meeting</w:t>
      </w:r>
      <w:bookmarkEnd w:id="414"/>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415" w:name="_Toc493604657"/>
      <w:r>
        <w:rPr>
          <w:rStyle w:val="CharSClsNo"/>
        </w:rPr>
        <w:t>9</w:t>
      </w:r>
      <w:r>
        <w:rPr>
          <w:snapToGrid w:val="0"/>
        </w:rPr>
        <w:t>.</w:t>
      </w:r>
      <w:r>
        <w:rPr>
          <w:snapToGrid w:val="0"/>
        </w:rPr>
        <w:tab/>
        <w:t>Committees</w:t>
      </w:r>
      <w:bookmarkEnd w:id="415"/>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416" w:name="_Toc493604658"/>
      <w:r>
        <w:rPr>
          <w:rStyle w:val="CharSClsNo"/>
        </w:rPr>
        <w:t>10</w:t>
      </w:r>
      <w:r>
        <w:rPr>
          <w:snapToGrid w:val="0"/>
        </w:rPr>
        <w:t>.</w:t>
      </w:r>
      <w:r>
        <w:rPr>
          <w:snapToGrid w:val="0"/>
        </w:rPr>
        <w:tab/>
        <w:t>Protection of members etc.</w:t>
      </w:r>
      <w:bookmarkEnd w:id="416"/>
    </w:p>
    <w:p>
      <w:pPr>
        <w:pStyle w:val="ySubsection"/>
        <w:rPr>
          <w:snapToGrid w:val="0"/>
        </w:rPr>
      </w:pPr>
      <w:r>
        <w:rPr>
          <w:snapToGrid w:val="0"/>
        </w:rPr>
        <w:tab/>
        <w:t>(1)</w:t>
      </w:r>
      <w:r>
        <w:rPr>
          <w:snapToGrid w:val="0"/>
        </w:rPr>
        <w:tab/>
        <w:t>A person who — </w:t>
      </w:r>
    </w:p>
    <w:p>
      <w:pPr>
        <w:pStyle w:val="yIndenta"/>
        <w:spacing w:before="60"/>
        <w:rPr>
          <w:snapToGrid w:val="0"/>
        </w:rPr>
      </w:pPr>
      <w:r>
        <w:rPr>
          <w:snapToGrid w:val="0"/>
        </w:rPr>
        <w:tab/>
        <w:t>(a)</w:t>
      </w:r>
      <w:r>
        <w:rPr>
          <w:snapToGrid w:val="0"/>
        </w:rPr>
        <w:tab/>
        <w:t>is a member; or</w:t>
      </w:r>
    </w:p>
    <w:p>
      <w:pPr>
        <w:pStyle w:val="yIndenta"/>
        <w:spacing w:before="60"/>
        <w:rPr>
          <w:snapToGrid w:val="0"/>
        </w:rPr>
      </w:pPr>
      <w:r>
        <w:rPr>
          <w:snapToGrid w:val="0"/>
        </w:rPr>
        <w:tab/>
        <w:t>(b)</w:t>
      </w:r>
      <w:r>
        <w:rPr>
          <w:snapToGrid w:val="0"/>
        </w:rPr>
        <w:tab/>
        <w:t>is appointed to a committee; or</w:t>
      </w:r>
    </w:p>
    <w:p>
      <w:pPr>
        <w:pStyle w:val="yIndenta"/>
        <w:spacing w:before="60"/>
        <w:rPr>
          <w:snapToGrid w:val="0"/>
        </w:rPr>
      </w:pPr>
      <w:r>
        <w:rPr>
          <w:snapToGrid w:val="0"/>
        </w:rPr>
        <w:tab/>
        <w:t>(c)</w:t>
      </w:r>
      <w:r>
        <w:rPr>
          <w:snapToGrid w:val="0"/>
        </w:rPr>
        <w:tab/>
        <w:t>is requested to attend a meeting of the Council or a committee; or</w:t>
      </w:r>
    </w:p>
    <w:p>
      <w:pPr>
        <w:pStyle w:val="yIndenta"/>
        <w:spacing w:before="60"/>
        <w:rPr>
          <w:snapToGrid w:val="0"/>
        </w:rPr>
      </w:pPr>
      <w:r>
        <w:rPr>
          <w:snapToGrid w:val="0"/>
        </w:rPr>
        <w:tab/>
        <w:t>(d)</w:t>
      </w:r>
      <w:r>
        <w:rPr>
          <w:snapToGrid w:val="0"/>
        </w:rPr>
        <w:tab/>
        <w:t>is authorised by a delegation or further delegation under section 11 to perform a function on behalf of the Council; or</w:t>
      </w:r>
    </w:p>
    <w:p>
      <w:pPr>
        <w:pStyle w:val="yIndenta"/>
        <w:spacing w:before="60"/>
        <w:rPr>
          <w:snapToGrid w:val="0"/>
        </w:rPr>
      </w:pPr>
      <w:r>
        <w:rPr>
          <w:snapToGrid w:val="0"/>
        </w:rPr>
        <w:tab/>
        <w:t>(e)</w:t>
      </w:r>
      <w:r>
        <w:rPr>
          <w:snapToGrid w:val="0"/>
        </w:rPr>
        <w:tab/>
        <w:t>is otherwise a person engaged in the administration or enforcement of this Act,</w:t>
      </w:r>
    </w:p>
    <w:p>
      <w:pPr>
        <w:pStyle w:val="ySubsection"/>
        <w:spacing w:before="12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2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417" w:name="_Toc493604659"/>
      <w:r>
        <w:rPr>
          <w:rStyle w:val="CharSClsNo"/>
        </w:rPr>
        <w:t>11</w:t>
      </w:r>
      <w:r>
        <w:rPr>
          <w:snapToGrid w:val="0"/>
        </w:rPr>
        <w:t>.</w:t>
      </w:r>
      <w:r>
        <w:rPr>
          <w:snapToGrid w:val="0"/>
        </w:rPr>
        <w:tab/>
        <w:t>Annual report on reproductive technology</w:t>
      </w:r>
      <w:bookmarkEnd w:id="417"/>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spacing w:before="60"/>
        <w:rPr>
          <w:snapToGrid w:val="0"/>
        </w:rPr>
      </w:pPr>
      <w:r>
        <w:rPr>
          <w:snapToGrid w:val="0"/>
        </w:rPr>
        <w:tab/>
        <w:t>(a)</w:t>
      </w:r>
      <w:r>
        <w:rPr>
          <w:snapToGrid w:val="0"/>
        </w:rPr>
        <w:tab/>
        <w:t>shall set out — </w:t>
      </w:r>
    </w:p>
    <w:p>
      <w:pPr>
        <w:pStyle w:val="yIndenti0"/>
        <w:spacing w:before="60"/>
        <w:rPr>
          <w:snapToGrid w:val="0"/>
        </w:rPr>
      </w:pPr>
      <w:r>
        <w:rPr>
          <w:snapToGrid w:val="0"/>
        </w:rPr>
        <w:tab/>
        <w:t>(i)</w:t>
      </w:r>
      <w:r>
        <w:rPr>
          <w:snapToGrid w:val="0"/>
        </w:rPr>
        <w:tab/>
        <w:t>any significant developments in the use of, or in the procedures or techniques used in, reproductive technology during the year, whether in the State or elsewhere; and</w:t>
      </w:r>
    </w:p>
    <w:p>
      <w:pPr>
        <w:pStyle w:val="yIndenti0"/>
        <w:rPr>
          <w:snapToGrid w:val="0"/>
        </w:rPr>
      </w:pPr>
      <w:r>
        <w:rPr>
          <w:snapToGrid w:val="0"/>
        </w:rPr>
        <w:tab/>
        <w:t>(ii)</w:t>
      </w:r>
      <w:r>
        <w:rPr>
          <w:snapToGrid w:val="0"/>
        </w:rPr>
        <w:tab/>
        <w:t>details of research specifically approved by, or being conducted with the prior approval of, the Council during that year; and</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No. 28 of 2006 s. 270; No. 77 of 2006 Sch. 1 cl. 88.]</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outlineLvl w:val="0"/>
      </w:pPr>
      <w:bookmarkStart w:id="419" w:name="_Toc493587418"/>
      <w:bookmarkStart w:id="420" w:name="_Toc493587589"/>
      <w:bookmarkStart w:id="421" w:name="_Toc493604660"/>
      <w:bookmarkEnd w:id="402"/>
      <w:bookmarkEnd w:id="403"/>
      <w:bookmarkEnd w:id="404"/>
      <w:bookmarkEnd w:id="405"/>
      <w:r>
        <w:t>Notes</w:t>
      </w:r>
      <w:bookmarkEnd w:id="419"/>
      <w:bookmarkEnd w:id="420"/>
      <w:bookmarkEnd w:id="421"/>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2" w:name="_Toc493604661"/>
      <w:r>
        <w:rPr>
          <w:snapToGrid w:val="0"/>
        </w:rPr>
        <w:t>Compilation table</w:t>
      </w:r>
      <w:bookmarkEnd w:id="42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3"/>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Human Reproductive Technology Act 1991</w:t>
            </w:r>
          </w:p>
        </w:tc>
        <w:tc>
          <w:tcPr>
            <w:tcW w:w="1134" w:type="dxa"/>
            <w:tcBorders>
              <w:top w:val="single" w:sz="8" w:space="0" w:color="auto"/>
            </w:tcBorders>
          </w:tcPr>
          <w:p>
            <w:pPr>
              <w:pStyle w:val="nTable"/>
              <w:spacing w:after="40"/>
            </w:pPr>
            <w:r>
              <w:t>22 of 1991</w:t>
            </w:r>
          </w:p>
        </w:tc>
        <w:tc>
          <w:tcPr>
            <w:tcW w:w="1136" w:type="dxa"/>
            <w:tcBorders>
              <w:top w:val="single" w:sz="8" w:space="0" w:color="auto"/>
            </w:tcBorders>
          </w:tcPr>
          <w:p>
            <w:pPr>
              <w:pStyle w:val="nTable"/>
              <w:spacing w:after="40"/>
            </w:pPr>
            <w:r>
              <w:t>8 Oct 1991</w:t>
            </w:r>
          </w:p>
        </w:tc>
        <w:tc>
          <w:tcPr>
            <w:tcW w:w="2553" w:type="dxa"/>
            <w:tcBorders>
              <w:top w:val="single" w:sz="8" w:space="0" w:color="auto"/>
            </w:tcBorders>
          </w:tcPr>
          <w:p>
            <w:pPr>
              <w:pStyle w:val="nTable"/>
              <w:spacing w:after="40"/>
            </w:pPr>
            <w:r>
              <w:t>s. 1 and 2: 8 Oct 1991;</w:t>
            </w:r>
            <w:r>
              <w:br/>
              <w:t xml:space="preserve">Pt. 1 Div. 1 other than s. 1 and 2, Pt. 2, Pt. 6 and Sch.: 6 Mar 1992 (see s. 2 and </w:t>
            </w:r>
            <w:r>
              <w:rPr>
                <w:i/>
              </w:rPr>
              <w:t>Gazette</w:t>
            </w:r>
            <w:r>
              <w:t xml:space="preserve"> 6 Mar 1992 p. 1107); </w:t>
            </w:r>
            <w:r>
              <w:br/>
              <w:t>Pt. 1 Div. 2, Pt. 3-5: 8 Apr 1993 (see s. 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3"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Sentencing (Consequential Provisions) Act 1995 </w:t>
            </w:r>
            <w:r>
              <w:t>s. 147</w:t>
            </w:r>
          </w:p>
        </w:tc>
        <w:tc>
          <w:tcPr>
            <w:tcW w:w="1134" w:type="dxa"/>
          </w:tcPr>
          <w:p>
            <w:pPr>
              <w:pStyle w:val="nTable"/>
              <w:spacing w:after="40"/>
            </w:pPr>
            <w:r>
              <w:t>78 of 1995</w:t>
            </w:r>
          </w:p>
        </w:tc>
        <w:tc>
          <w:tcPr>
            <w:tcW w:w="1136" w:type="dxa"/>
          </w:tcPr>
          <w:p>
            <w:pPr>
              <w:pStyle w:val="nTable"/>
              <w:spacing w:after="40"/>
            </w:pPr>
            <w:r>
              <w:t>16 Jan 1996</w:t>
            </w:r>
          </w:p>
        </w:tc>
        <w:tc>
          <w:tcPr>
            <w:tcW w:w="2553"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Human Reproductive Technology Amendment Act 1996</w:t>
            </w:r>
          </w:p>
        </w:tc>
        <w:tc>
          <w:tcPr>
            <w:tcW w:w="1134" w:type="dxa"/>
          </w:tcPr>
          <w:p>
            <w:pPr>
              <w:pStyle w:val="nTable"/>
              <w:spacing w:after="40"/>
            </w:pPr>
            <w:r>
              <w:t>1 of 1996</w:t>
            </w:r>
          </w:p>
        </w:tc>
        <w:tc>
          <w:tcPr>
            <w:tcW w:w="1136" w:type="dxa"/>
          </w:tcPr>
          <w:p>
            <w:pPr>
              <w:pStyle w:val="nTable"/>
              <w:spacing w:after="40"/>
            </w:pPr>
            <w:r>
              <w:t>4 Apr 1996</w:t>
            </w:r>
          </w:p>
        </w:tc>
        <w:tc>
          <w:tcPr>
            <w:tcW w:w="2553" w:type="dxa"/>
          </w:tcPr>
          <w:p>
            <w:pPr>
              <w:pStyle w:val="nTable"/>
              <w:spacing w:after="40"/>
            </w:pPr>
            <w:r>
              <w:t xml:space="preserve">s. 5: 8 Apr 1993 (see s. 2(2)); </w:t>
            </w:r>
            <w:r>
              <w:br/>
              <w:t>Act other than s. 5: 4 Apr 1996 (see s. 2(1))</w:t>
            </w:r>
          </w:p>
        </w:tc>
      </w:tr>
      <w:tr>
        <w:trPr>
          <w:cantSplit/>
        </w:trPr>
        <w:tc>
          <w:tcPr>
            <w:tcW w:w="2268" w:type="dxa"/>
          </w:tcPr>
          <w:p>
            <w:pPr>
              <w:pStyle w:val="nTable"/>
              <w:spacing w:after="40"/>
              <w:ind w:right="113"/>
            </w:pPr>
            <w:r>
              <w:rPr>
                <w:i/>
              </w:rPr>
              <w:t xml:space="preserve">Statutes (Repeals and Minor Amendments) Act 1997 </w:t>
            </w:r>
            <w:r>
              <w:t>s. 75</w:t>
            </w:r>
          </w:p>
        </w:tc>
        <w:tc>
          <w:tcPr>
            <w:tcW w:w="1134" w:type="dxa"/>
          </w:tcPr>
          <w:p>
            <w:pPr>
              <w:pStyle w:val="nTable"/>
              <w:spacing w:after="40"/>
            </w:pPr>
            <w:r>
              <w:t>57 of 1997</w:t>
            </w:r>
          </w:p>
        </w:tc>
        <w:tc>
          <w:tcPr>
            <w:tcW w:w="1136" w:type="dxa"/>
          </w:tcPr>
          <w:p>
            <w:pPr>
              <w:pStyle w:val="nTable"/>
              <w:spacing w:after="40"/>
            </w:pPr>
            <w:r>
              <w:t>15 Dec 1997</w:t>
            </w:r>
          </w:p>
        </w:tc>
        <w:tc>
          <w:tcPr>
            <w:tcW w:w="2553" w:type="dxa"/>
          </w:tcPr>
          <w:p>
            <w:pPr>
              <w:pStyle w:val="nTable"/>
              <w:spacing w:after="40"/>
            </w:pPr>
            <w:r>
              <w:t>15 Dec 1997 (see s. 2(1))</w:t>
            </w:r>
          </w:p>
        </w:tc>
      </w:tr>
      <w:tr>
        <w:trPr>
          <w:cantSplit/>
        </w:trPr>
        <w:tc>
          <w:tcPr>
            <w:tcW w:w="2268" w:type="dxa"/>
          </w:tcPr>
          <w:p>
            <w:pPr>
              <w:pStyle w:val="nTable"/>
              <w:spacing w:after="40"/>
              <w:ind w:right="113"/>
              <w:rPr>
                <w:i/>
              </w:rPr>
            </w:pPr>
            <w:r>
              <w:rPr>
                <w:i/>
              </w:rPr>
              <w:t>Corporations (Consequential Amendments) Act 2001</w:t>
            </w:r>
            <w:r>
              <w:t xml:space="preserve"> Pt. 32</w:t>
            </w:r>
          </w:p>
        </w:tc>
        <w:tc>
          <w:tcPr>
            <w:tcW w:w="1134" w:type="dxa"/>
          </w:tcPr>
          <w:p>
            <w:pPr>
              <w:pStyle w:val="nTable"/>
              <w:spacing w:after="40"/>
            </w:pPr>
            <w:r>
              <w:t>10 of 2001</w:t>
            </w:r>
          </w:p>
        </w:tc>
        <w:tc>
          <w:tcPr>
            <w:tcW w:w="1136"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pPr>
            <w:r>
              <w:rPr>
                <w:i/>
              </w:rPr>
              <w:t>Acts Amendment (Lesbian and Gay Law Reform) Act 2002</w:t>
            </w:r>
            <w:r>
              <w:t xml:space="preserve"> Pt. 11</w:t>
            </w:r>
          </w:p>
        </w:tc>
        <w:tc>
          <w:tcPr>
            <w:tcW w:w="1134" w:type="dxa"/>
          </w:tcPr>
          <w:p>
            <w:pPr>
              <w:pStyle w:val="nTable"/>
              <w:spacing w:after="40"/>
            </w:pPr>
            <w:r>
              <w:t>3 of 2002</w:t>
            </w:r>
          </w:p>
        </w:tc>
        <w:tc>
          <w:tcPr>
            <w:tcW w:w="1136" w:type="dxa"/>
          </w:tcPr>
          <w:p>
            <w:pPr>
              <w:pStyle w:val="nTable"/>
              <w:spacing w:after="40"/>
            </w:pPr>
            <w:r>
              <w:t>17 Apr 2002</w:t>
            </w:r>
          </w:p>
        </w:tc>
        <w:tc>
          <w:tcPr>
            <w:tcW w:w="2553" w:type="dxa"/>
          </w:tcPr>
          <w:p>
            <w:pPr>
              <w:pStyle w:val="nTable"/>
              <w:spacing w:after="40"/>
            </w:pPr>
            <w:r>
              <w:t xml:space="preserve">21 Sep 2002 (see s. 2 and </w:t>
            </w:r>
            <w:r>
              <w:rPr>
                <w:i/>
              </w:rPr>
              <w:t>Gazette</w:t>
            </w:r>
            <w:r>
              <w:t xml:space="preserve"> 20 Sep 2002 p. 4693)</w:t>
            </w:r>
          </w:p>
        </w:tc>
      </w:tr>
      <w:tr>
        <w:trPr>
          <w:cantSplit/>
        </w:trPr>
        <w:tc>
          <w:tcPr>
            <w:tcW w:w="7091" w:type="dxa"/>
            <w:gridSpan w:val="4"/>
          </w:tcPr>
          <w:p>
            <w:pPr>
              <w:pStyle w:val="nTable"/>
              <w:spacing w:after="40"/>
              <w:rPr>
                <w:b/>
              </w:rPr>
            </w:pPr>
            <w:r>
              <w:rPr>
                <w:b/>
              </w:rPr>
              <w:t xml:space="preserve">Reprint of the </w:t>
            </w:r>
            <w:r>
              <w:rPr>
                <w:b/>
                <w:i/>
              </w:rPr>
              <w:t>Human Reproductive Technology Act 1991</w:t>
            </w:r>
            <w:r>
              <w:rPr>
                <w:b/>
              </w:rPr>
              <w:t xml:space="preserve"> as at 12 Jul 2002</w:t>
            </w:r>
            <w:r>
              <w:rPr>
                <w:b/>
              </w:rPr>
              <w:br/>
            </w:r>
            <w:r>
              <w:t xml:space="preserve">(includes amendments listed above except those in the </w:t>
            </w:r>
            <w:r>
              <w:rPr>
                <w:i/>
              </w:rPr>
              <w:t>Acts Amendment (Lesbian and Gay Law Reform) Act 2002</w:t>
            </w:r>
            <w:r>
              <w:t>)</w:t>
            </w:r>
          </w:p>
        </w:tc>
      </w:tr>
      <w:tr>
        <w:trPr>
          <w:cantSplit/>
        </w:trPr>
        <w:tc>
          <w:tcPr>
            <w:tcW w:w="2268" w:type="dxa"/>
          </w:tcPr>
          <w:p>
            <w:pPr>
              <w:pStyle w:val="nTable"/>
              <w:spacing w:after="40"/>
            </w:pPr>
            <w:r>
              <w:rPr>
                <w:i/>
                <w:iCs/>
              </w:rPr>
              <w:t>Human Reproductive Technology Amendment Act 2004</w:t>
            </w:r>
          </w:p>
        </w:tc>
        <w:tc>
          <w:tcPr>
            <w:tcW w:w="1134" w:type="dxa"/>
          </w:tcPr>
          <w:p>
            <w:pPr>
              <w:pStyle w:val="nTable"/>
              <w:spacing w:after="40"/>
            </w:pPr>
            <w:r>
              <w:t>17 of 2004</w:t>
            </w:r>
          </w:p>
        </w:tc>
        <w:tc>
          <w:tcPr>
            <w:tcW w:w="1136" w:type="dxa"/>
          </w:tcPr>
          <w:p>
            <w:pPr>
              <w:pStyle w:val="nTable"/>
              <w:spacing w:after="40"/>
            </w:pPr>
            <w:r>
              <w:t>16 Jul 2004</w:t>
            </w:r>
          </w:p>
        </w:tc>
        <w:tc>
          <w:tcPr>
            <w:tcW w:w="2553" w:type="dxa"/>
          </w:tcPr>
          <w:p>
            <w:pPr>
              <w:pStyle w:val="nTable"/>
              <w:spacing w:after="40"/>
            </w:pPr>
            <w:r>
              <w:rPr>
                <w:color w:val="000000"/>
              </w:rPr>
              <w:t>s. 1 and 2: 16 Jul 2004;</w:t>
            </w:r>
            <w:r>
              <w:rPr>
                <w:color w:val="000000"/>
              </w:rPr>
              <w:br/>
              <w:t xml:space="preserve">Act other than s. 1 and 2: </w:t>
            </w:r>
            <w:r>
              <w:t xml:space="preserve">1 Dec 2004 (see s. 2 and </w:t>
            </w:r>
            <w:r>
              <w:rPr>
                <w:i/>
                <w:iCs/>
              </w:rPr>
              <w:t>Gazette</w:t>
            </w:r>
            <w:r>
              <w:t xml:space="preserve"> 26 Nov 2004 p. 5309)</w:t>
            </w:r>
          </w:p>
        </w:tc>
      </w:tr>
      <w:tr>
        <w:trPr>
          <w:cantSplit/>
        </w:trPr>
        <w:tc>
          <w:tcPr>
            <w:tcW w:w="2268" w:type="dxa"/>
          </w:tcPr>
          <w:p>
            <w:pPr>
              <w:pStyle w:val="nTable"/>
              <w:spacing w:after="40"/>
            </w:pPr>
            <w:r>
              <w:rPr>
                <w:i/>
                <w:iCs/>
              </w:rPr>
              <w:t>Acts Amendment (Prohibition of Human Cloning and Other Practices) Act 2004</w:t>
            </w:r>
            <w:r>
              <w:t xml:space="preserve"> s. 3-10</w:t>
            </w:r>
          </w:p>
        </w:tc>
        <w:tc>
          <w:tcPr>
            <w:tcW w:w="1134" w:type="dxa"/>
          </w:tcPr>
          <w:p>
            <w:pPr>
              <w:pStyle w:val="nTable"/>
              <w:spacing w:after="40"/>
            </w:pPr>
            <w:r>
              <w:t>18 of 2004</w:t>
            </w:r>
          </w:p>
        </w:tc>
        <w:tc>
          <w:tcPr>
            <w:tcW w:w="1136" w:type="dxa"/>
          </w:tcPr>
          <w:p>
            <w:pPr>
              <w:pStyle w:val="nTable"/>
              <w:spacing w:after="40"/>
            </w:pPr>
            <w:r>
              <w:t>16 Jul 2004</w:t>
            </w:r>
          </w:p>
        </w:tc>
        <w:tc>
          <w:tcPr>
            <w:tcW w:w="2553" w:type="dxa"/>
          </w:tcPr>
          <w:p>
            <w:pPr>
              <w:pStyle w:val="nTable"/>
              <w:spacing w:after="40"/>
            </w:pPr>
            <w:r>
              <w:t xml:space="preserve">1 Dec 2004 (see s. 2 and </w:t>
            </w:r>
            <w:r>
              <w:rPr>
                <w:i/>
                <w:iCs/>
              </w:rPr>
              <w:t>Gazette</w:t>
            </w:r>
            <w:r>
              <w:t xml:space="preserve"> 26 Nov 2004 p. 5309)</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14</w:t>
            </w:r>
          </w:p>
        </w:tc>
        <w:tc>
          <w:tcPr>
            <w:tcW w:w="1134" w:type="dxa"/>
          </w:tcPr>
          <w:p>
            <w:pPr>
              <w:pStyle w:val="nTable"/>
              <w:spacing w:after="40"/>
              <w:rPr>
                <w:snapToGrid w:val="0"/>
              </w:rPr>
            </w:pPr>
            <w:r>
              <w:rPr>
                <w:snapToGrid w:val="0"/>
              </w:rPr>
              <w:t>34 of 2004</w:t>
            </w:r>
          </w:p>
        </w:tc>
        <w:tc>
          <w:tcPr>
            <w:tcW w:w="1136" w:type="dxa"/>
          </w:tcPr>
          <w:p>
            <w:pPr>
              <w:pStyle w:val="nTable"/>
              <w:spacing w:after="40"/>
              <w:rPr>
                <w:snapToGrid w:val="0"/>
              </w:rPr>
            </w:pPr>
            <w:r>
              <w:t>20 Oct 2004</w:t>
            </w:r>
          </w:p>
        </w:tc>
        <w:tc>
          <w:tcPr>
            <w:tcW w:w="2553" w:type="dxa"/>
          </w:tcPr>
          <w:p>
            <w:pPr>
              <w:pStyle w:val="nTable"/>
              <w:spacing w:after="40"/>
            </w:pPr>
            <w:r>
              <w:t xml:space="preserve">1 Mar 2006 (see s. 2 and </w:t>
            </w:r>
            <w:r>
              <w:rPr>
                <w:i/>
                <w:iCs/>
              </w:rPr>
              <w:t>Gazette</w:t>
            </w:r>
            <w:r>
              <w:t xml:space="preserve"> 14 Feb 2006 p. 695)</w:t>
            </w:r>
          </w:p>
        </w:tc>
      </w:tr>
      <w:tr>
        <w:trPr>
          <w:cantSplit/>
        </w:trPr>
        <w:tc>
          <w:tcPr>
            <w:tcW w:w="2268" w:type="dxa"/>
          </w:tcPr>
          <w:p>
            <w:pPr>
              <w:pStyle w:val="nTable"/>
              <w:spacing w:after="40"/>
              <w:rPr>
                <w:i/>
                <w:iCs/>
              </w:rPr>
            </w:pPr>
            <w:r>
              <w:rPr>
                <w:i/>
                <w:iCs/>
              </w:rPr>
              <w:t>State Administrative Tribunal (Conferral of Jurisdiction) Amendment and Repeal Act 2004</w:t>
            </w:r>
            <w:r>
              <w:t xml:space="preserve"> Pt. 2 Div. 65</w:t>
            </w:r>
            <w:r>
              <w:rPr>
                <w:vertAlign w:val="superscript"/>
              </w:rPr>
              <w:t> 2, 3</w:t>
            </w:r>
          </w:p>
        </w:tc>
        <w:tc>
          <w:tcPr>
            <w:tcW w:w="1134" w:type="dxa"/>
          </w:tcPr>
          <w:p>
            <w:pPr>
              <w:pStyle w:val="nTable"/>
              <w:spacing w:after="40"/>
            </w:pPr>
            <w:r>
              <w:t>55 of 2004</w:t>
            </w:r>
          </w:p>
        </w:tc>
        <w:tc>
          <w:tcPr>
            <w:tcW w:w="1136" w:type="dxa"/>
          </w:tcPr>
          <w:p>
            <w:pPr>
              <w:pStyle w:val="nTable"/>
              <w:spacing w:after="40"/>
            </w:pPr>
            <w:r>
              <w:t>24 Nov 2004</w:t>
            </w:r>
          </w:p>
        </w:tc>
        <w:tc>
          <w:tcPr>
            <w:tcW w:w="2553"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
                <w:iCs/>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3"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91" w:type="dxa"/>
            <w:gridSpan w:val="4"/>
          </w:tcPr>
          <w:p>
            <w:pPr>
              <w:pStyle w:val="nTable"/>
              <w:spacing w:after="40"/>
              <w:rPr>
                <w:snapToGrid w:val="0"/>
              </w:rPr>
            </w:pPr>
            <w:r>
              <w:rPr>
                <w:b/>
              </w:rPr>
              <w:t xml:space="preserve">Reprint 2: The </w:t>
            </w:r>
            <w:r>
              <w:rPr>
                <w:b/>
                <w:i/>
              </w:rPr>
              <w:t xml:space="preserve">Human Reproductive Technology Act 1991 </w:t>
            </w:r>
            <w:r>
              <w:rPr>
                <w:b/>
                <w:iCs/>
              </w:rPr>
              <w:t>as at 11 Nov 2005</w:t>
            </w:r>
            <w:r>
              <w:rPr>
                <w:bCs/>
                <w:iCs/>
              </w:rPr>
              <w:t xml:space="preserve"> (includes amendments listed above except those in the </w:t>
            </w:r>
            <w:r>
              <w:rPr>
                <w:i/>
                <w:snapToGrid w:val="0"/>
              </w:rPr>
              <w:t>Children and Community Services Act 2004</w:t>
            </w:r>
            <w:r>
              <w:rPr>
                <w:bCs/>
                <w:iCs/>
              </w:rPr>
              <w:t>)</w:t>
            </w:r>
          </w:p>
        </w:tc>
      </w:tr>
      <w:tr>
        <w:trPr>
          <w:cantSplit/>
        </w:trPr>
        <w:tc>
          <w:tcPr>
            <w:tcW w:w="2268" w:type="dxa"/>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7 </w:t>
            </w:r>
            <w:r>
              <w:rPr>
                <w:iCs/>
                <w:snapToGrid w:val="0"/>
                <w:vertAlign w:val="superscript"/>
              </w:rPr>
              <w:t>4</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left="-28"/>
              <w:rPr>
                <w:i/>
                <w:snapToGrid w:val="0"/>
              </w:rPr>
            </w:pPr>
            <w:r>
              <w:rPr>
                <w:i/>
                <w:snapToGrid w:val="0"/>
              </w:rPr>
              <w:t>Financial Legislation Amendment and Repeal Act 2006</w:t>
            </w:r>
            <w:r>
              <w:rPr>
                <w:color w:val="000000"/>
              </w:rPr>
              <w:t xml:space="preserve"> Sch. 1 cl. 88</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3"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63</w:t>
            </w:r>
          </w:p>
        </w:tc>
        <w:tc>
          <w:tcPr>
            <w:tcW w:w="1134" w:type="dxa"/>
          </w:tcPr>
          <w:p>
            <w:pPr>
              <w:pStyle w:val="nTable"/>
              <w:spacing w:after="40"/>
              <w:rPr>
                <w:snapToGrid w:val="0"/>
              </w:rPr>
            </w:pPr>
            <w:r>
              <w:t>2 of 2008</w:t>
            </w:r>
          </w:p>
        </w:tc>
        <w:tc>
          <w:tcPr>
            <w:tcW w:w="1136" w:type="dxa"/>
          </w:tcPr>
          <w:p>
            <w:pPr>
              <w:pStyle w:val="nTable"/>
              <w:spacing w:after="40"/>
              <w:rPr>
                <w:snapToGrid w:val="0"/>
              </w:rPr>
            </w:pPr>
            <w:r>
              <w:t>12 Mar 2008</w:t>
            </w:r>
          </w:p>
        </w:tc>
        <w:tc>
          <w:tcPr>
            <w:tcW w:w="2553"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28</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3"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 xml:space="preserve">Surrogacy Act 2008 </w:t>
            </w:r>
            <w:r>
              <w:rPr>
                <w:snapToGrid w:val="0"/>
              </w:rPr>
              <w:t>Pt. 4 Div. 5</w:t>
            </w:r>
            <w:r>
              <w:rPr>
                <w:snapToGrid w:val="0"/>
                <w:vertAlign w:val="superscript"/>
              </w:rPr>
              <w:t> </w:t>
            </w:r>
          </w:p>
        </w:tc>
        <w:tc>
          <w:tcPr>
            <w:tcW w:w="1134" w:type="dxa"/>
            <w:tcBorders>
              <w:top w:val="nil"/>
              <w:bottom w:val="nil"/>
            </w:tcBorders>
          </w:tcPr>
          <w:p>
            <w:pPr>
              <w:pStyle w:val="nTable"/>
              <w:spacing w:after="40"/>
            </w:pPr>
            <w:r>
              <w:t>47 of 2008</w:t>
            </w:r>
          </w:p>
        </w:tc>
        <w:tc>
          <w:tcPr>
            <w:tcW w:w="1136" w:type="dxa"/>
            <w:tcBorders>
              <w:top w:val="nil"/>
              <w:bottom w:val="nil"/>
            </w:tcBorders>
          </w:tcPr>
          <w:p>
            <w:pPr>
              <w:pStyle w:val="nTable"/>
              <w:spacing w:after="40"/>
            </w:pPr>
            <w:r>
              <w:t>10 Dec 2008</w:t>
            </w:r>
          </w:p>
        </w:tc>
        <w:tc>
          <w:tcPr>
            <w:tcW w:w="2553" w:type="dxa"/>
            <w:tcBorders>
              <w:top w:val="nil"/>
              <w:bottom w:val="nil"/>
            </w:tcBorders>
          </w:tcPr>
          <w:p>
            <w:pPr>
              <w:pStyle w:val="nTable"/>
              <w:spacing w:after="40"/>
              <w:rPr>
                <w:snapToGrid w:val="0"/>
              </w:rPr>
            </w:pPr>
            <w:r>
              <w:t xml:space="preserve">1 Mar 2009 (see s. 2(b) and </w:t>
            </w:r>
            <w:r>
              <w:rPr>
                <w:i/>
                <w:iCs/>
              </w:rPr>
              <w:t xml:space="preserve">Gazette </w:t>
            </w:r>
            <w:r>
              <w:t>27 Feb 2009 p. 512)</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rPr>
              <w:t>Statutes (Repeals and Miscellaneous Amendments) Act 2009</w:t>
            </w:r>
            <w:r>
              <w:rPr>
                <w:iCs/>
              </w:rPr>
              <w:t xml:space="preserve"> s. 76</w:t>
            </w:r>
          </w:p>
        </w:tc>
        <w:tc>
          <w:tcPr>
            <w:tcW w:w="1134" w:type="dxa"/>
            <w:tcBorders>
              <w:top w:val="nil"/>
              <w:bottom w:val="nil"/>
            </w:tcBorders>
          </w:tcPr>
          <w:p>
            <w:pPr>
              <w:pStyle w:val="nTable"/>
              <w:spacing w:after="40"/>
            </w:pPr>
            <w:r>
              <w:t>8 of 2009</w:t>
            </w:r>
          </w:p>
        </w:tc>
        <w:tc>
          <w:tcPr>
            <w:tcW w:w="1136" w:type="dxa"/>
            <w:tcBorders>
              <w:top w:val="nil"/>
              <w:bottom w:val="nil"/>
            </w:tcBorders>
          </w:tcPr>
          <w:p>
            <w:pPr>
              <w:pStyle w:val="nTable"/>
              <w:spacing w:after="40"/>
            </w:pPr>
            <w:r>
              <w:t>21 May 2009</w:t>
            </w:r>
          </w:p>
        </w:tc>
        <w:tc>
          <w:tcPr>
            <w:tcW w:w="2553" w:type="dxa"/>
            <w:tcBorders>
              <w:top w:val="nil"/>
              <w:bottom w:val="nil"/>
            </w:tcBorders>
          </w:tcPr>
          <w:p>
            <w:pPr>
              <w:pStyle w:val="nTable"/>
              <w:spacing w:after="40"/>
            </w:pPr>
            <w:r>
              <w:t>22 May 2009 (see s. 2(b))</w:t>
            </w:r>
          </w:p>
        </w:tc>
      </w:tr>
      <w:tr>
        <w:tblPrEx>
          <w:tblBorders>
            <w:top w:val="single" w:sz="8" w:space="0" w:color="auto"/>
            <w:bottom w:val="single" w:sz="8" w:space="0" w:color="auto"/>
            <w:insideH w:val="single" w:sz="8" w:space="0" w:color="auto"/>
          </w:tblBorders>
        </w:tblPrEx>
        <w:trPr>
          <w:cantSplit/>
        </w:trPr>
        <w:tc>
          <w:tcPr>
            <w:tcW w:w="7091" w:type="dxa"/>
            <w:gridSpan w:val="4"/>
            <w:tcBorders>
              <w:top w:val="nil"/>
              <w:bottom w:val="nil"/>
            </w:tcBorders>
          </w:tcPr>
          <w:p>
            <w:pPr>
              <w:pStyle w:val="nTable"/>
              <w:spacing w:after="40"/>
            </w:pPr>
            <w:r>
              <w:rPr>
                <w:b/>
              </w:rPr>
              <w:t xml:space="preserve">Reprint 3: The </w:t>
            </w:r>
            <w:r>
              <w:rPr>
                <w:b/>
                <w:i/>
              </w:rPr>
              <w:t xml:space="preserve">Human Reproductive Technology Act 1991 </w:t>
            </w:r>
            <w:r>
              <w:rPr>
                <w:b/>
                <w:iCs/>
              </w:rPr>
              <w:t>as at 17 Jul 2009</w:t>
            </w:r>
            <w:r>
              <w:rPr>
                <w:b/>
                <w:iCs/>
              </w:rPr>
              <w:br/>
            </w:r>
            <w:r>
              <w:rPr>
                <w:bCs/>
                <w:iCs/>
              </w:rPr>
              <w:t>(includes amendments listed above)</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44</w:t>
            </w:r>
          </w:p>
        </w:tc>
        <w:tc>
          <w:tcPr>
            <w:tcW w:w="1134" w:type="dxa"/>
          </w:tcPr>
          <w:p>
            <w:pPr>
              <w:pStyle w:val="nTable"/>
              <w:spacing w:after="40"/>
            </w:pPr>
            <w:r>
              <w:t>18 of 2009</w:t>
            </w:r>
          </w:p>
        </w:tc>
        <w:tc>
          <w:tcPr>
            <w:tcW w:w="1136" w:type="dxa"/>
          </w:tcPr>
          <w:p>
            <w:pPr>
              <w:pStyle w:val="nTable"/>
              <w:spacing w:after="40"/>
            </w:pPr>
            <w:r>
              <w:t>16 Sep 2009</w:t>
            </w:r>
          </w:p>
        </w:tc>
        <w:tc>
          <w:tcPr>
            <w:tcW w:w="2553"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27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3"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91" w:type="dxa"/>
            <w:gridSpan w:val="4"/>
            <w:shd w:val="clear" w:color="auto" w:fill="auto"/>
          </w:tcPr>
          <w:p>
            <w:pPr>
              <w:pStyle w:val="nTable"/>
              <w:spacing w:after="40"/>
              <w:rPr>
                <w:snapToGrid w:val="0"/>
              </w:rPr>
            </w:pPr>
            <w:r>
              <w:rPr>
                <w:b/>
              </w:rPr>
              <w:t xml:space="preserve">Reprint 4: The </w:t>
            </w:r>
            <w:r>
              <w:rPr>
                <w:b/>
                <w:i/>
              </w:rPr>
              <w:t xml:space="preserve">Human Reproductive Technology Act 1991 </w:t>
            </w:r>
            <w:r>
              <w:rPr>
                <w:b/>
                <w:iCs/>
              </w:rPr>
              <w:t xml:space="preserve">as at 10 Jan 2014 </w:t>
            </w:r>
            <w:r>
              <w:rPr>
                <w:bCs/>
                <w:iCs/>
              </w:rPr>
              <w:t>(includes amendments listed above)</w:t>
            </w:r>
          </w:p>
        </w:tc>
      </w:tr>
      <w:tr>
        <w:trPr>
          <w:cantSplit/>
        </w:trPr>
        <w:tc>
          <w:tcPr>
            <w:tcW w:w="2268" w:type="dxa"/>
            <w:tcBorders>
              <w:bottom w:val="single" w:sz="8" w:space="0" w:color="auto"/>
            </w:tcBorders>
            <w:shd w:val="clear" w:color="auto" w:fill="auto"/>
          </w:tcPr>
          <w:p>
            <w:pPr>
              <w:pStyle w:val="nTable"/>
              <w:spacing w:after="40"/>
              <w:rPr>
                <w:b/>
              </w:rPr>
            </w:pPr>
            <w:r>
              <w:rPr>
                <w:i/>
                <w:iCs/>
                <w:snapToGrid w:val="0"/>
              </w:rPr>
              <w:t xml:space="preserve">Public Health (Consequential Provisions) Act 2016 </w:t>
            </w:r>
            <w:r>
              <w:rPr>
                <w:iCs/>
                <w:snapToGrid w:val="0"/>
              </w:rPr>
              <w:t>Pt. 3 Div. 16 and Pt. 5 Div. 10</w:t>
            </w:r>
          </w:p>
        </w:tc>
        <w:tc>
          <w:tcPr>
            <w:tcW w:w="1134" w:type="dxa"/>
            <w:tcBorders>
              <w:bottom w:val="single" w:sz="8" w:space="0" w:color="auto"/>
            </w:tcBorders>
            <w:shd w:val="clear" w:color="auto" w:fill="auto"/>
          </w:tcPr>
          <w:p>
            <w:pPr>
              <w:pStyle w:val="nTable"/>
              <w:spacing w:after="40"/>
              <w:rPr>
                <w:b/>
              </w:rPr>
            </w:pPr>
            <w:r>
              <w:rPr>
                <w:iCs/>
                <w:snapToGrid w:val="0"/>
              </w:rPr>
              <w:t>19 of 2016</w:t>
            </w:r>
          </w:p>
        </w:tc>
        <w:tc>
          <w:tcPr>
            <w:tcW w:w="1136" w:type="dxa"/>
            <w:tcBorders>
              <w:bottom w:val="single" w:sz="8" w:space="0" w:color="auto"/>
            </w:tcBorders>
            <w:shd w:val="clear" w:color="auto" w:fill="auto"/>
          </w:tcPr>
          <w:p>
            <w:pPr>
              <w:pStyle w:val="nTable"/>
              <w:spacing w:after="40"/>
              <w:rPr>
                <w:b/>
              </w:rPr>
            </w:pPr>
            <w:r>
              <w:rPr>
                <w:iCs/>
                <w:snapToGrid w:val="0"/>
              </w:rPr>
              <w:t>25 Jul 2016</w:t>
            </w:r>
          </w:p>
        </w:tc>
        <w:tc>
          <w:tcPr>
            <w:tcW w:w="2553" w:type="dxa"/>
            <w:tcBorders>
              <w:bottom w:val="single" w:sz="8" w:space="0" w:color="auto"/>
            </w:tcBorders>
            <w:shd w:val="clear" w:color="auto" w:fill="auto"/>
          </w:tcPr>
          <w:p>
            <w:pPr>
              <w:pStyle w:val="nTable"/>
              <w:spacing w:after="40"/>
              <w:rPr>
                <w:b/>
              </w:rPr>
            </w:pPr>
            <w:r>
              <w:rPr>
                <w:snapToGrid w:val="0"/>
              </w:rPr>
              <w:t xml:space="preserve">Pt. 3 Div. 16: 24 Jan 2017 </w:t>
            </w:r>
            <w:r>
              <w:rPr>
                <w:iCs/>
                <w:snapToGrid w:val="0"/>
              </w:rPr>
              <w:t>(see s. 2(1)(c)</w:t>
            </w:r>
            <w:r>
              <w:rPr>
                <w:snapToGrid w:val="0"/>
              </w:rPr>
              <w:t xml:space="preserve"> and </w:t>
            </w:r>
            <w:r>
              <w:rPr>
                <w:i/>
                <w:snapToGrid w:val="0"/>
              </w:rPr>
              <w:t>Gazette</w:t>
            </w:r>
            <w:r>
              <w:rPr>
                <w:snapToGrid w:val="0"/>
              </w:rPr>
              <w:t xml:space="preserve"> 10 Jan 2017 p. 165</w:t>
            </w:r>
            <w:r>
              <w:rPr>
                <w:iCs/>
                <w:snapToGrid w:val="0"/>
              </w:rPr>
              <w:t>);</w:t>
            </w:r>
            <w:r>
              <w:rPr>
                <w:iCs/>
                <w:snapToGrid w:val="0"/>
              </w:rPr>
              <w:br/>
              <w:t xml:space="preserve">Pt. 5 Div. 10: </w:t>
            </w: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bl>
    <w:p>
      <w:pPr>
        <w:pStyle w:val="nSubsection"/>
        <w:spacing w:before="16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they were intended to be made. Section 525(1)(c) reads as follows:</w:t>
      </w:r>
    </w:p>
    <w:p>
      <w:pPr>
        <w:pStyle w:val="BlankOpe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BlankClose"/>
      </w:pPr>
    </w:p>
    <w:p>
      <w:pPr>
        <w:pStyle w:val="nSubsection"/>
      </w:pPr>
      <w:r>
        <w:rPr>
          <w:vertAlign w:val="superscript"/>
        </w:rPr>
        <w:t>4</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424" w:name="_Toc493587420"/>
      <w:bookmarkStart w:id="425" w:name="_Toc493587591"/>
      <w:bookmarkStart w:id="426" w:name="_Toc493604662"/>
      <w:r>
        <w:rPr>
          <w:sz w:val="28"/>
        </w:rPr>
        <w:t>Defined terms</w:t>
      </w:r>
      <w:bookmarkEnd w:id="406"/>
      <w:bookmarkEnd w:id="424"/>
      <w:bookmarkEnd w:id="425"/>
      <w:bookmarkEnd w:id="4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AHEC</w:t>
      </w:r>
      <w:r>
        <w:tab/>
        <w:t>53T(1)</w:t>
      </w:r>
    </w:p>
    <w:p>
      <w:pPr>
        <w:pStyle w:val="DefinedTerms"/>
      </w:pPr>
      <w:r>
        <w:t>animal</w:t>
      </w:r>
      <w:r>
        <w:tab/>
        <w:t>53B(1)</w:t>
      </w:r>
    </w:p>
    <w:p>
      <w:pPr>
        <w:pStyle w:val="DefinedTerms"/>
      </w:pPr>
      <w:r>
        <w:t>approved counselling</w:t>
      </w:r>
      <w:r>
        <w:tab/>
        <w:t>49(2f)</w:t>
      </w:r>
    </w:p>
    <w:p>
      <w:pPr>
        <w:pStyle w:val="DefinedTerms"/>
      </w:pPr>
      <w:r>
        <w:t>artificial fertilisation procedure</w:t>
      </w:r>
      <w:r>
        <w:tab/>
        <w:t>3(1)</w:t>
      </w:r>
    </w:p>
    <w:p>
      <w:pPr>
        <w:pStyle w:val="DefinedTerms"/>
      </w:pPr>
      <w:r>
        <w:t>artificial insemination procedure</w:t>
      </w:r>
      <w:r>
        <w:tab/>
        <w:t>3(1)</w:t>
      </w:r>
    </w:p>
    <w:p>
      <w:pPr>
        <w:pStyle w:val="DefinedTerms"/>
      </w:pPr>
      <w:r>
        <w:t>authorised officer</w:t>
      </w:r>
      <w:r>
        <w:tab/>
        <w:t>3(1)</w:t>
      </w:r>
    </w:p>
    <w:p>
      <w:pPr>
        <w:pStyle w:val="DefinedTerms"/>
      </w:pPr>
      <w:r>
        <w:t>biological parent</w:t>
      </w:r>
      <w:r>
        <w:tab/>
        <w:t>3(1)</w:t>
      </w:r>
    </w:p>
    <w:p>
      <w:pPr>
        <w:pStyle w:val="DefinedTerms"/>
      </w:pPr>
      <w:r>
        <w:t>CEO</w:t>
      </w:r>
      <w:r>
        <w:tab/>
        <w:t>3(1)</w:t>
      </w:r>
    </w:p>
    <w:p>
      <w:pPr>
        <w:pStyle w:val="DefinedTerms"/>
      </w:pPr>
      <w:r>
        <w:t>Chairperson</w:t>
      </w:r>
      <w:r>
        <w:tab/>
        <w:t>3(1)</w:t>
      </w:r>
    </w:p>
    <w:p>
      <w:pPr>
        <w:pStyle w:val="DefinedTerms"/>
      </w:pPr>
      <w:r>
        <w:t>chimeric embryo</w:t>
      </w:r>
      <w:r>
        <w:tab/>
        <w:t>53B(1)</w:t>
      </w:r>
    </w:p>
    <w:p>
      <w:pPr>
        <w:pStyle w:val="DefinedTerms"/>
      </w:pPr>
      <w:r>
        <w:t>Code</w:t>
      </w:r>
      <w:r>
        <w:tab/>
        <w:t>3(1)</w:t>
      </w:r>
    </w:p>
    <w:p>
      <w:pPr>
        <w:pStyle w:val="DefinedTerms"/>
      </w:pPr>
      <w:r>
        <w:t>Code of Practice</w:t>
      </w:r>
      <w:r>
        <w:tab/>
        <w:t>3(1)</w:t>
      </w:r>
    </w:p>
    <w:p>
      <w:pPr>
        <w:pStyle w:val="DefinedTerms"/>
      </w:pPr>
      <w:r>
        <w:t>commencement day</w:t>
      </w:r>
      <w:r>
        <w:tab/>
        <w:t>49(2e)</w:t>
      </w:r>
    </w:p>
    <w:p>
      <w:pPr>
        <w:pStyle w:val="DefinedTerms"/>
      </w:pPr>
      <w:r>
        <w:t>committee</w:t>
      </w:r>
      <w:r>
        <w:tab/>
        <w:t>3(1)</w:t>
      </w:r>
    </w:p>
    <w:p>
      <w:pPr>
        <w:pStyle w:val="DefinedTerms"/>
      </w:pPr>
      <w:r>
        <w:t>Commonwealth authority</w:t>
      </w:r>
      <w:r>
        <w:tab/>
        <w:t>53ZK(3)</w:t>
      </w:r>
    </w:p>
    <w:p>
      <w:pPr>
        <w:pStyle w:val="DefinedTerms"/>
      </w:pPr>
      <w:r>
        <w:t>Commonwealth Human Embryo Act</w:t>
      </w:r>
      <w:r>
        <w:tab/>
        <w:t>3(1)</w:t>
      </w:r>
    </w:p>
    <w:p>
      <w:pPr>
        <w:pStyle w:val="DefinedTerms"/>
      </w:pPr>
      <w:r>
        <w:t>Commonwealth Human Embryo regulations</w:t>
      </w:r>
      <w:r>
        <w:tab/>
        <w:t>53T(1)</w:t>
      </w:r>
    </w:p>
    <w:p>
      <w:pPr>
        <w:pStyle w:val="DefinedTerms"/>
      </w:pPr>
      <w:r>
        <w:t>condition</w:t>
      </w:r>
      <w:r>
        <w:tab/>
        <w:t>3(1)</w:t>
      </w:r>
    </w:p>
    <w:p>
      <w:pPr>
        <w:pStyle w:val="DefinedTerms"/>
      </w:pPr>
      <w:r>
        <w:t>confer</w:t>
      </w:r>
      <w:r>
        <w:tab/>
        <w:t>53T(1)</w:t>
      </w:r>
    </w:p>
    <w:p>
      <w:pPr>
        <w:pStyle w:val="DefinedTerms"/>
      </w:pPr>
      <w:r>
        <w:t>confidential commercial information</w:t>
      </w:r>
      <w:r>
        <w:tab/>
        <w:t>53T(1)</w:t>
      </w:r>
    </w:p>
    <w:p>
      <w:pPr>
        <w:pStyle w:val="DefinedTerms"/>
      </w:pPr>
      <w:r>
        <w:t>corresponding law</w:t>
      </w:r>
      <w:r>
        <w:tab/>
        <w:t>53T(1)</w:t>
      </w:r>
    </w:p>
    <w:p>
      <w:pPr>
        <w:pStyle w:val="DefinedTerms"/>
      </w:pPr>
      <w:r>
        <w:t>Council</w:t>
      </w:r>
      <w:r>
        <w:tab/>
        <w:t>3(1)</w:t>
      </w:r>
    </w:p>
    <w:p>
      <w:pPr>
        <w:pStyle w:val="DefinedTerms"/>
      </w:pPr>
      <w:r>
        <w:t>counselling services</w:t>
      </w:r>
      <w:r>
        <w:tab/>
        <w:t>3(1)</w:t>
      </w:r>
    </w:p>
    <w:p>
      <w:pPr>
        <w:pStyle w:val="DefinedTerms"/>
      </w:pPr>
      <w:r>
        <w:t>court</w:t>
      </w:r>
      <w:r>
        <w:tab/>
        <w:t>53ZK(3)</w:t>
      </w:r>
    </w:p>
    <w:p>
      <w:pPr>
        <w:pStyle w:val="DefinedTerms"/>
      </w:pPr>
      <w:r>
        <w:t>decision</w:t>
      </w:r>
      <w:r>
        <w:tab/>
        <w:t>53ZL</w:t>
      </w:r>
    </w:p>
    <w:p>
      <w:pPr>
        <w:pStyle w:val="DefinedTerms"/>
      </w:pPr>
      <w:r>
        <w:t>Deputy Chairperson</w:t>
      </w:r>
      <w:r>
        <w:tab/>
        <w:t>3(1)</w:t>
      </w:r>
    </w:p>
    <w:p>
      <w:pPr>
        <w:pStyle w:val="DefinedTerms"/>
      </w:pPr>
      <w:r>
        <w:t>diagnostic investigation</w:t>
      </w:r>
      <w:r>
        <w:tab/>
        <w:t>53W(4)</w:t>
      </w:r>
    </w:p>
    <w:p>
      <w:pPr>
        <w:pStyle w:val="DefinedTerms"/>
      </w:pPr>
      <w:r>
        <w:t>directions</w:t>
      </w:r>
      <w:r>
        <w:tab/>
        <w:t>3(1)</w:t>
      </w:r>
    </w:p>
    <w:p>
      <w:pPr>
        <w:pStyle w:val="DefinedTerms"/>
      </w:pPr>
      <w:r>
        <w:t>director</w:t>
      </w:r>
      <w:r>
        <w:tab/>
        <w:t>3(1)</w:t>
      </w:r>
    </w:p>
    <w:p>
      <w:pPr>
        <w:pStyle w:val="DefinedTerms"/>
      </w:pPr>
      <w:r>
        <w:t>disclose</w:t>
      </w:r>
      <w:r>
        <w:tab/>
        <w:t>53T(1)</w:t>
      </w:r>
    </w:p>
    <w:p>
      <w:pPr>
        <w:pStyle w:val="DefinedTerms"/>
      </w:pPr>
      <w:r>
        <w:t>effective consent</w:t>
      </w:r>
      <w:r>
        <w:tab/>
        <w:t>3(1)</w:t>
      </w:r>
    </w:p>
    <w:p>
      <w:pPr>
        <w:pStyle w:val="DefinedTerms"/>
      </w:pPr>
      <w:r>
        <w:t>eligible person</w:t>
      </w:r>
      <w:r>
        <w:tab/>
        <w:t>24(2), 53ZL</w:t>
      </w:r>
    </w:p>
    <w:p>
      <w:pPr>
        <w:pStyle w:val="DefinedTerms"/>
      </w:pPr>
      <w:r>
        <w:t>engage in conduct</w:t>
      </w:r>
      <w:r>
        <w:tab/>
        <w:t>53X(2)</w:t>
      </w:r>
    </w:p>
    <w:p>
      <w:pPr>
        <w:pStyle w:val="DefinedTerms"/>
      </w:pPr>
      <w:r>
        <w:t>excess ART embryo</w:t>
      </w:r>
      <w:r>
        <w:tab/>
        <w:t>3(1), 53T(1)</w:t>
      </w:r>
    </w:p>
    <w:p>
      <w:pPr>
        <w:pStyle w:val="DefinedTerms"/>
      </w:pPr>
      <w:r>
        <w:t>Executive Officer</w:t>
      </w:r>
      <w:r>
        <w:tab/>
        <w:t>3(1)</w:t>
      </w:r>
    </w:p>
    <w:p>
      <w:pPr>
        <w:pStyle w:val="DefinedTerms"/>
      </w:pPr>
      <w:r>
        <w:t>exempt use</w:t>
      </w:r>
      <w:r>
        <w:tab/>
        <w:t>53W(2)</w:t>
      </w:r>
    </w:p>
    <w:p>
      <w:pPr>
        <w:pStyle w:val="DefinedTerms"/>
      </w:pPr>
      <w:r>
        <w:t>exemption</w:t>
      </w:r>
      <w:r>
        <w:tab/>
        <w:t>3(1)</w:t>
      </w:r>
    </w:p>
    <w:p>
      <w:pPr>
        <w:pStyle w:val="DefinedTerms"/>
      </w:pPr>
      <w:r>
        <w:t>fertilisation</w:t>
      </w:r>
      <w:r>
        <w:tab/>
        <w:t>3(1)</w:t>
      </w:r>
    </w:p>
    <w:p>
      <w:pPr>
        <w:pStyle w:val="DefinedTerms"/>
      </w:pPr>
      <w:r>
        <w:t>guidelines</w:t>
      </w:r>
      <w:r>
        <w:tab/>
        <w:t>3(1)</w:t>
      </w:r>
    </w:p>
    <w:p>
      <w:pPr>
        <w:pStyle w:val="DefinedTerms"/>
      </w:pPr>
      <w:r>
        <w:t>HREC</w:t>
      </w:r>
      <w:r>
        <w:tab/>
        <w:t>53T(1)</w:t>
      </w:r>
    </w:p>
    <w:p>
      <w:pPr>
        <w:pStyle w:val="DefinedTerms"/>
      </w:pPr>
      <w:r>
        <w:t>human cell</w:t>
      </w:r>
      <w:r>
        <w:tab/>
        <w:t>53L(2)</w:t>
      </w:r>
    </w:p>
    <w:p>
      <w:pPr>
        <w:pStyle w:val="DefinedTerms"/>
      </w:pPr>
      <w:r>
        <w:t>human egg</w:t>
      </w:r>
      <w:r>
        <w:tab/>
        <w:t>3(1)</w:t>
      </w:r>
    </w:p>
    <w:p>
      <w:pPr>
        <w:pStyle w:val="DefinedTerms"/>
      </w:pPr>
      <w:r>
        <w:t>human embryo</w:t>
      </w:r>
      <w:r>
        <w:tab/>
        <w:t>3(1), 3A(1)</w:t>
      </w:r>
    </w:p>
    <w:p>
      <w:pPr>
        <w:pStyle w:val="DefinedTerms"/>
      </w:pPr>
      <w:r>
        <w:t>human embryo clone</w:t>
      </w:r>
      <w:r>
        <w:tab/>
        <w:t>53B(1)</w:t>
      </w:r>
    </w:p>
    <w:p>
      <w:pPr>
        <w:pStyle w:val="DefinedTerms"/>
      </w:pPr>
      <w:r>
        <w:t>human gamete</w:t>
      </w:r>
      <w:r>
        <w:tab/>
        <w:t>3(1)</w:t>
      </w:r>
    </w:p>
    <w:p>
      <w:pPr>
        <w:pStyle w:val="DefinedTerms"/>
      </w:pPr>
      <w:r>
        <w:t>human sperm</w:t>
      </w:r>
      <w:r>
        <w:tab/>
        <w:t>3(1)</w:t>
      </w:r>
    </w:p>
    <w:p>
      <w:pPr>
        <w:pStyle w:val="DefinedTerms"/>
      </w:pPr>
      <w:r>
        <w:t>hybrid embryo</w:t>
      </w:r>
      <w:r>
        <w:tab/>
        <w:t>53B(1)</w:t>
      </w:r>
    </w:p>
    <w:p>
      <w:pPr>
        <w:pStyle w:val="DefinedTerms"/>
      </w:pPr>
      <w:r>
        <w:t>in vitro fertilisation procedure</w:t>
      </w:r>
      <w:r>
        <w:tab/>
        <w:t>3(1)</w:t>
      </w:r>
    </w:p>
    <w:p>
      <w:pPr>
        <w:pStyle w:val="DefinedTerms"/>
      </w:pPr>
      <w:r>
        <w:t>information</w:t>
      </w:r>
      <w:r>
        <w:tab/>
        <w:t>5(9)</w:t>
      </w:r>
    </w:p>
    <w:p>
      <w:pPr>
        <w:pStyle w:val="DefinedTerms"/>
      </w:pPr>
      <w:r>
        <w:t>inspector</w:t>
      </w:r>
      <w:r>
        <w:tab/>
        <w:t>53T(1)</w:t>
      </w:r>
    </w:p>
    <w:p>
      <w:pPr>
        <w:pStyle w:val="DefinedTerms"/>
      </w:pPr>
      <w:r>
        <w:t>Institutional Ethics Committee</w:t>
      </w:r>
      <w:r>
        <w:tab/>
        <w:t>3(1)</w:t>
      </w:r>
    </w:p>
    <w:p>
      <w:pPr>
        <w:pStyle w:val="DefinedTerms"/>
      </w:pPr>
      <w:r>
        <w:t>licence</w:t>
      </w:r>
      <w:r>
        <w:tab/>
        <w:t>3(1), 53T(1)</w:t>
      </w:r>
    </w:p>
    <w:p>
      <w:pPr>
        <w:pStyle w:val="DefinedTerms"/>
      </w:pPr>
      <w:r>
        <w:t>licence supervisor</w:t>
      </w:r>
      <w:r>
        <w:tab/>
        <w:t>3(1)</w:t>
      </w:r>
    </w:p>
    <w:p>
      <w:pPr>
        <w:pStyle w:val="DefinedTerms"/>
      </w:pPr>
      <w:r>
        <w:t>licensed ART centre</w:t>
      </w:r>
      <w:r>
        <w:tab/>
        <w:t>53T(1)</w:t>
      </w:r>
    </w:p>
    <w:p>
      <w:pPr>
        <w:pStyle w:val="DefinedTerms"/>
      </w:pPr>
      <w:r>
        <w:t>licensee</w:t>
      </w:r>
      <w:r>
        <w:tab/>
        <w:t>3(1)</w:t>
      </w:r>
    </w:p>
    <w:p>
      <w:pPr>
        <w:pStyle w:val="DefinedTerms"/>
      </w:pPr>
      <w:r>
        <w:t>medical practitioner</w:t>
      </w:r>
      <w:r>
        <w:tab/>
        <w:t>3(1)</w:t>
      </w:r>
    </w:p>
    <w:p>
      <w:pPr>
        <w:pStyle w:val="DefinedTerms"/>
      </w:pPr>
      <w:r>
        <w:t>member</w:t>
      </w:r>
      <w:r>
        <w:tab/>
        <w:t>3(1)</w:t>
      </w:r>
    </w:p>
    <w:p>
      <w:pPr>
        <w:pStyle w:val="DefinedTerms"/>
      </w:pPr>
      <w:r>
        <w:t>misbehaviour</w:t>
      </w:r>
      <w:r>
        <w:tab/>
        <w:t>Sch. — cl. 5(2)</w:t>
      </w:r>
    </w:p>
    <w:p>
      <w:pPr>
        <w:pStyle w:val="DefinedTerms"/>
      </w:pPr>
      <w:r>
        <w:t>NHMRC</w:t>
      </w:r>
      <w:r>
        <w:tab/>
        <w:t>3(1)</w:t>
      </w:r>
    </w:p>
    <w:p>
      <w:pPr>
        <w:pStyle w:val="DefinedTerms"/>
      </w:pPr>
      <w:r>
        <w:t>NHMRC licence</w:t>
      </w:r>
      <w:r>
        <w:tab/>
        <w:t>3(1)</w:t>
      </w:r>
    </w:p>
    <w:p>
      <w:pPr>
        <w:pStyle w:val="DefinedTerms"/>
      </w:pPr>
      <w:r>
        <w:t>NHMRC Licensing Committee</w:t>
      </w:r>
      <w:r>
        <w:tab/>
        <w:t>53T(1)</w:t>
      </w:r>
    </w:p>
    <w:p>
      <w:pPr>
        <w:pStyle w:val="DefinedTerms"/>
      </w:pPr>
      <w:r>
        <w:t>nominated member</w:t>
      </w:r>
      <w:r>
        <w:tab/>
        <w:t>3(1)</w:t>
      </w:r>
    </w:p>
    <w:p>
      <w:pPr>
        <w:pStyle w:val="DefinedTerms"/>
      </w:pPr>
      <w:r>
        <w:t>observation</w:t>
      </w:r>
      <w:r>
        <w:tab/>
        <w:t>53W(4)</w:t>
      </w:r>
    </w:p>
    <w:p>
      <w:pPr>
        <w:pStyle w:val="DefinedTerms"/>
      </w:pPr>
      <w:r>
        <w:t>parliamentary purposes</w:t>
      </w:r>
      <w:r>
        <w:tab/>
        <w:t>5(9)</w:t>
      </w:r>
    </w:p>
    <w:p>
      <w:pPr>
        <w:pStyle w:val="DefinedTerms"/>
      </w:pPr>
      <w:r>
        <w:t>participant</w:t>
      </w:r>
      <w:r>
        <w:tab/>
        <w:t>3(1)</w:t>
      </w:r>
    </w:p>
    <w:p>
      <w:pPr>
        <w:pStyle w:val="DefinedTerms"/>
      </w:pPr>
      <w:r>
        <w:t>person to whom the licence applies</w:t>
      </w:r>
      <w:r>
        <w:tab/>
        <w:t>3(1)</w:t>
      </w:r>
    </w:p>
    <w:p>
      <w:pPr>
        <w:pStyle w:val="DefinedTerms"/>
      </w:pPr>
      <w:r>
        <w:t>practice</w:t>
      </w:r>
      <w:r>
        <w:tab/>
        <w:t>3(3)</w:t>
      </w:r>
    </w:p>
    <w:p>
      <w:pPr>
        <w:pStyle w:val="DefinedTerms"/>
      </w:pPr>
      <w:r>
        <w:t>precursor cell</w:t>
      </w:r>
      <w:r>
        <w:tab/>
        <w:t>53B(1)</w:t>
      </w:r>
    </w:p>
    <w:p>
      <w:pPr>
        <w:pStyle w:val="DefinedTerms"/>
      </w:pPr>
      <w:r>
        <w:t>premises</w:t>
      </w:r>
      <w:r>
        <w:tab/>
        <w:t>3(1)</w:t>
      </w:r>
    </w:p>
    <w:p>
      <w:pPr>
        <w:pStyle w:val="DefinedTerms"/>
      </w:pPr>
      <w:r>
        <w:t>procedure</w:t>
      </w:r>
      <w:r>
        <w:tab/>
        <w:t>3(1)</w:t>
      </w:r>
    </w:p>
    <w:p>
      <w:pPr>
        <w:pStyle w:val="DefinedTerms"/>
      </w:pPr>
      <w:r>
        <w:t>prohibited embryo</w:t>
      </w:r>
      <w:r>
        <w:tab/>
        <w:t>53P(5)</w:t>
      </w:r>
    </w:p>
    <w:p>
      <w:pPr>
        <w:pStyle w:val="DefinedTerms"/>
      </w:pPr>
      <w:r>
        <w:t>project of research</w:t>
      </w:r>
      <w:r>
        <w:tab/>
        <w:t>3(1)</w:t>
      </w:r>
    </w:p>
    <w:p>
      <w:pPr>
        <w:pStyle w:val="DefinedTerms"/>
      </w:pPr>
      <w:r>
        <w:t>proper consent</w:t>
      </w:r>
      <w:r>
        <w:tab/>
        <w:t>53T(1)</w:t>
      </w:r>
    </w:p>
    <w:p>
      <w:pPr>
        <w:pStyle w:val="DefinedTerms"/>
      </w:pPr>
      <w:r>
        <w:t>proprietary company</w:t>
      </w:r>
      <w:r>
        <w:tab/>
        <w:t>3(1)</w:t>
      </w:r>
    </w:p>
    <w:p>
      <w:pPr>
        <w:pStyle w:val="DefinedTerms"/>
      </w:pPr>
      <w:r>
        <w:t>prosecution notice</w:t>
      </w:r>
      <w:r>
        <w:tab/>
        <w:t>57(2)</w:t>
      </w:r>
    </w:p>
    <w:p>
      <w:pPr>
        <w:pStyle w:val="DefinedTerms"/>
      </w:pPr>
      <w:r>
        <w:t>Public Health Official</w:t>
      </w:r>
      <w:r>
        <w:tab/>
        <w:t>3(1)</w:t>
      </w:r>
    </w:p>
    <w:p>
      <w:pPr>
        <w:pStyle w:val="DefinedTerms"/>
      </w:pPr>
      <w:r>
        <w:t>reasonable expenses</w:t>
      </w:r>
      <w:r>
        <w:tab/>
        <w:t>53Q(4)</w:t>
      </w:r>
    </w:p>
    <w:p>
      <w:pPr>
        <w:pStyle w:val="DefinedTerms"/>
      </w:pPr>
      <w:r>
        <w:t>record</w:t>
      </w:r>
      <w:r>
        <w:tab/>
        <w:t>3(1), 5(9)</w:t>
      </w:r>
    </w:p>
    <w:p>
      <w:pPr>
        <w:pStyle w:val="DefinedTerms"/>
      </w:pPr>
      <w:r>
        <w:t>related body corporate</w:t>
      </w:r>
      <w:r>
        <w:tab/>
        <w:t>3(1)</w:t>
      </w:r>
    </w:p>
    <w:p>
      <w:pPr>
        <w:pStyle w:val="DefinedTerms"/>
      </w:pPr>
      <w:r>
        <w:t>relevant section</w:t>
      </w:r>
      <w:r>
        <w:tab/>
        <w:t>60A(5)</w:t>
      </w:r>
    </w:p>
    <w:p>
      <w:pPr>
        <w:pStyle w:val="DefinedTerms"/>
      </w:pPr>
      <w:r>
        <w:t>reproductive technology</w:t>
      </w:r>
      <w:r>
        <w:tab/>
        <w:t>3(1)</w:t>
      </w:r>
    </w:p>
    <w:p>
      <w:pPr>
        <w:pStyle w:val="DefinedTerms"/>
      </w:pPr>
      <w:r>
        <w:t>reproductive technology practice</w:t>
      </w:r>
      <w:r>
        <w:tab/>
        <w:t>3(3)</w:t>
      </w:r>
    </w:p>
    <w:p>
      <w:pPr>
        <w:pStyle w:val="DefinedTerms"/>
      </w:pPr>
      <w:r>
        <w:t>research</w:t>
      </w:r>
      <w:r>
        <w:tab/>
        <w:t>3(1)</w:t>
      </w:r>
    </w:p>
    <w:p>
      <w:pPr>
        <w:pStyle w:val="DefinedTerms"/>
      </w:pPr>
      <w:r>
        <w:t>responsible person</w:t>
      </w:r>
      <w:r>
        <w:tab/>
        <w:t>53T(1)</w:t>
      </w:r>
    </w:p>
    <w:p>
      <w:pPr>
        <w:pStyle w:val="DefinedTerms"/>
      </w:pPr>
      <w:r>
        <w:t>Rules</w:t>
      </w:r>
      <w:r>
        <w:tab/>
        <w:t>3(1)</w:t>
      </w:r>
    </w:p>
    <w:p>
      <w:pPr>
        <w:pStyle w:val="DefinedTerms"/>
      </w:pPr>
      <w:r>
        <w:t>specified</w:t>
      </w:r>
      <w:r>
        <w:tab/>
        <w:t>57(2)</w:t>
      </w:r>
    </w:p>
    <w:p>
      <w:pPr>
        <w:pStyle w:val="DefinedTerms"/>
      </w:pPr>
      <w:r>
        <w:t>State</w:t>
      </w:r>
      <w:r>
        <w:tab/>
        <w:t>53T(1)</w:t>
      </w:r>
    </w:p>
    <w:p>
      <w:pPr>
        <w:pStyle w:val="DefinedTerms"/>
      </w:pPr>
      <w:r>
        <w:t>State agency</w:t>
      </w:r>
      <w:r>
        <w:tab/>
        <w:t>53ZK(3)</w:t>
      </w:r>
    </w:p>
    <w:p>
      <w:pPr>
        <w:pStyle w:val="DefinedTerms"/>
      </w:pPr>
      <w:r>
        <w:t>storage</w:t>
      </w:r>
      <w:r>
        <w:tab/>
        <w:t>3(4)</w:t>
      </w:r>
    </w:p>
    <w:p>
      <w:pPr>
        <w:pStyle w:val="DefinedTerms"/>
      </w:pPr>
      <w:r>
        <w:t>storage procedure</w:t>
      </w:r>
      <w:r>
        <w:tab/>
        <w:t>3(1)</w:t>
      </w:r>
    </w:p>
    <w:p>
      <w:pPr>
        <w:pStyle w:val="DefinedTerms"/>
      </w:pPr>
      <w:r>
        <w:t>store</w:t>
      </w:r>
      <w:r>
        <w:tab/>
        <w:t>3(4)</w:t>
      </w:r>
    </w:p>
    <w:p>
      <w:pPr>
        <w:pStyle w:val="DefinedTerms"/>
      </w:pPr>
      <w:r>
        <w:t>stored</w:t>
      </w:r>
      <w:r>
        <w:tab/>
        <w:t>3(4)</w:t>
      </w:r>
    </w:p>
    <w:p>
      <w:pPr>
        <w:pStyle w:val="DefinedTerms"/>
      </w:pPr>
      <w:r>
        <w:t>subsidiary legislation</w:t>
      </w:r>
      <w:r>
        <w:tab/>
        <w:t>3(1)</w:t>
      </w:r>
    </w:p>
    <w:p>
      <w:pPr>
        <w:pStyle w:val="DefinedTerms"/>
      </w:pPr>
      <w:r>
        <w:t>summary conviction penalty</w:t>
      </w:r>
      <w:r>
        <w:tab/>
        <w:t>3(1)</w:t>
      </w:r>
    </w:p>
    <w:p>
      <w:pPr>
        <w:pStyle w:val="DefinedTerms"/>
      </w:pPr>
      <w:r>
        <w:t>therapeutic use</w:t>
      </w:r>
      <w:r>
        <w:tab/>
        <w:t>53S(4)</w:t>
      </w:r>
    </w:p>
    <w:p>
      <w:pPr>
        <w:pStyle w:val="DefinedTerms"/>
      </w:pPr>
      <w:r>
        <w:t>this Act</w:t>
      </w:r>
      <w:r>
        <w:tab/>
        <w:t>3(1)</w:t>
      </w:r>
    </w:p>
    <w:p>
      <w:pPr>
        <w:pStyle w:val="DefinedTerms"/>
      </w:pPr>
      <w:r>
        <w:t>treatment</w:t>
      </w:r>
      <w:r>
        <w:tab/>
        <w:t>3(1)</w:t>
      </w:r>
    </w:p>
    <w:p>
      <w:pPr>
        <w:pStyle w:val="DefinedTerms"/>
      </w:pPr>
      <w:r>
        <w:t>valuable consideration</w:t>
      </w:r>
      <w:r>
        <w:tab/>
        <w:t>53Q(4)</w:t>
      </w:r>
    </w:p>
    <w:p>
      <w:pPr>
        <w:pStyle w:val="DefinedTerms"/>
      </w:pPr>
      <w:r>
        <w:t>woman</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Introduction</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1</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Introduction</w: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18" w:name="Schedule"/>
    <w:bookmarkEnd w:id="41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3" w:name="Compilation"/>
    <w:bookmarkEnd w:id="42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7" w:name="DefinedTerms"/>
    <w:bookmarkEnd w:id="42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8" w:name="Coversheet"/>
    <w:bookmarkEnd w:id="4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lvlText w:val="%1."/>
      <w:lvlJc w:val="left"/>
      <w:pPr>
        <w:tabs>
          <w:tab w:val="num" w:pos="1492"/>
        </w:tabs>
        <w:ind w:left="1492" w:hanging="360"/>
      </w:pPr>
    </w:lvl>
  </w:abstractNum>
  <w:abstractNum w:abstractNumId="1">
    <w:nsid w:val="FFFFFF7D"/>
    <w:multiLevelType w:val="singleLevel"/>
    <w:tmpl w:val="BDC24190"/>
    <w:lvl w:ilvl="0">
      <w:start w:val="1"/>
      <w:numFmt w:val="decimal"/>
      <w:lvlText w:val="%1."/>
      <w:lvlJc w:val="left"/>
      <w:pPr>
        <w:tabs>
          <w:tab w:val="num" w:pos="1209"/>
        </w:tabs>
        <w:ind w:left="1209" w:hanging="360"/>
      </w:pPr>
    </w:lvl>
  </w:abstractNum>
  <w:abstractNum w:abstractNumId="2">
    <w:nsid w:val="FFFFFF7E"/>
    <w:multiLevelType w:val="singleLevel"/>
    <w:tmpl w:val="2EACD64C"/>
    <w:lvl w:ilvl="0">
      <w:start w:val="1"/>
      <w:numFmt w:val="decimal"/>
      <w:lvlText w:val="%1."/>
      <w:lvlJc w:val="left"/>
      <w:pPr>
        <w:tabs>
          <w:tab w:val="num" w:pos="926"/>
        </w:tabs>
        <w:ind w:left="926" w:hanging="360"/>
      </w:pPr>
    </w:lvl>
  </w:abstractNum>
  <w:abstractNum w:abstractNumId="3">
    <w:nsid w:val="FFFFFF7F"/>
    <w:multiLevelType w:val="singleLevel"/>
    <w:tmpl w:val="29646EFC"/>
    <w:lvl w:ilvl="0">
      <w:start w:val="1"/>
      <w:numFmt w:val="decimal"/>
      <w:lvlText w:val="%1."/>
      <w:lvlJc w:val="left"/>
      <w:pPr>
        <w:tabs>
          <w:tab w:val="num" w:pos="643"/>
        </w:tabs>
        <w:ind w:left="643" w:hanging="360"/>
      </w:pPr>
    </w:lvl>
  </w:abstractNum>
  <w:abstractNum w:abstractNumId="4">
    <w:nsid w:val="FFFFFF80"/>
    <w:multiLevelType w:val="singleLevel"/>
    <w:tmpl w:val="2540549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lvlText w:val="%1."/>
      <w:lvlJc w:val="left"/>
      <w:pPr>
        <w:tabs>
          <w:tab w:val="num" w:pos="360"/>
        </w:tabs>
        <w:ind w:left="360" w:hanging="360"/>
      </w:pPr>
    </w:lvl>
  </w:abstractNum>
  <w:abstractNum w:abstractNumId="9">
    <w:nsid w:val="FFFFFF89"/>
    <w:multiLevelType w:val="singleLevel"/>
    <w:tmpl w:val="9A6834F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EF4F8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1934"/>
    <w:docVar w:name="WAFER_20140128144317" w:val="RemoveTocBookmarks,RemoveLanguageTags,RemoveTrackChanges,RunningHeaders"/>
    <w:docVar w:name="WAFER_20140128144317_GUID" w:val="d3aebf93-9db3-4ec9-b641-1c46492f48f3"/>
    <w:docVar w:name="WAFER_20140128145944" w:val="RemoveTocBookmarks,RemoveLanguageTags,RemoveTrackChanges,RunningHeaders"/>
    <w:docVar w:name="WAFER_20140128145944_GUID" w:val="1899b253-b4fb-4b92-acd0-fceb4f862f9f"/>
    <w:docVar w:name="WAFER_20140206143842" w:val="RemoveTocBookmarks,RemoveUnusedBookmarks,RemoveLanguageTags,UsedStyles,ResetPageSize,UpdateArrangement"/>
    <w:docVar w:name="WAFER_20140206143842_GUID" w:val="f5047dc2-a88b-4eda-b250-08c8f3e4ab9c"/>
    <w:docVar w:name="WAFER_20140206143852" w:val="RemoveTocBookmarks,RunningHeaders"/>
    <w:docVar w:name="WAFER_20140206143852_GUID" w:val="7c0a5b5b-1e4b-4ca0-925e-b66d2d1bbd1e"/>
    <w:docVar w:name="WAFER_20140306135838" w:val="RemoveTocBookmarks,RemoveUnusedBookmarks,RemoveLanguageTags,UsedStyles,ResetPageSize"/>
    <w:docVar w:name="WAFER_20140306135838_GUID" w:val="5c2d547b-1027-40b5-9c45-42c33fbe299d"/>
    <w:docVar w:name="WAFER_20140306140623" w:val="RemoveTocBookmarks,RunningHeaders"/>
    <w:docVar w:name="WAFER_20140306140623_GUID" w:val="7499c111-0f4e-4548-b057-1fcec6b1e274"/>
    <w:docVar w:name="WAFER_20150515153235" w:val="ResetPageSize,UpdateArrangement,UpdateNTable"/>
    <w:docVar w:name="WAFER_20150515153235_GUID" w:val="2493577e-8147-424c-aafe-6758ac262bdd"/>
    <w:docVar w:name="WAFER_20151105133112" w:val="UpdateStyles,UsedStyles"/>
    <w:docVar w:name="WAFER_20151105133112_GUID" w:val="86f79732-a185-45d4-a200-a890d4ffc6d9"/>
    <w:docVar w:name="WAFER_20151201102500" w:val="RemoveTrackChanges"/>
    <w:docVar w:name="WAFER_20151201102500_GUID" w:val="26104a2b-b04e-443f-91e8-bab8977e9645"/>
    <w:docVar w:name="WAFER_20170111161934" w:val="RemoveTocBookmarks,RemoveUnusedBookmarks,RemoveLanguageTags,UsedStyles,ResetPageSize"/>
    <w:docVar w:name="WAFER_20170111161934_GUID" w:val="66a4e333-a554-44e3-b416-f581b53c16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166</Pages>
  <Words>41346</Words>
  <Characters>196810</Characters>
  <Application>Microsoft Office Word</Application>
  <DocSecurity>0</DocSecurity>
  <Lines>5319</Lines>
  <Paragraphs>2904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235252</CharactersWithSpaces>
  <SharedDoc>false</SharedDoc>
  <HLinks>
    <vt:vector size="12" baseType="variant">
      <vt:variant>
        <vt:i4>5439608</vt:i4>
      </vt:variant>
      <vt:variant>
        <vt:i4>229399</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1991 - 04-d0-01</dc:title>
  <dc:subject/>
  <dc:creator/>
  <cp:keywords/>
  <dc:description/>
  <cp:lastModifiedBy>svcMRProcess</cp:lastModifiedBy>
  <cp:revision>4</cp:revision>
  <cp:lastPrinted>2014-01-20T00:02:00Z</cp:lastPrinted>
  <dcterms:created xsi:type="dcterms:W3CDTF">2020-02-16T18:59:00Z</dcterms:created>
  <dcterms:modified xsi:type="dcterms:W3CDTF">2020-02-16T19:00:00Z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DocumentType">
    <vt:lpwstr>Act</vt:lpwstr>
  </property>
  <property fmtid="{D5CDD505-2E9C-101B-9397-08002B2CF9AE}" pid="4" name="OwlsUID">
    <vt:i4>363</vt:i4>
  </property>
  <property fmtid="{D5CDD505-2E9C-101B-9397-08002B2CF9AE}" pid="5" name="ReprintNo">
    <vt:lpwstr>4</vt:lpwstr>
  </property>
  <property fmtid="{D5CDD505-2E9C-101B-9397-08002B2CF9AE}" pid="6" name="ReprintedAsAt">
    <vt:filetime>2014-01-09T16:00:00Z</vt:filetime>
  </property>
  <property fmtid="{D5CDD505-2E9C-101B-9397-08002B2CF9AE}" pid="7" name="CommencementDate">
    <vt:lpwstr>20170920</vt:lpwstr>
  </property>
  <property fmtid="{D5CDD505-2E9C-101B-9397-08002B2CF9AE}" pid="8" name="AsAtDate">
    <vt:lpwstr>20 Sep 2017</vt:lpwstr>
  </property>
  <property fmtid="{D5CDD505-2E9C-101B-9397-08002B2CF9AE}" pid="9" name="Suffix">
    <vt:lpwstr>04-d0-01</vt:lpwstr>
  </property>
</Properties>
</file>