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_Toc493602134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_Toc493602135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_Toc493602136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_Toc493602137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_Toc493602138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_Toc493602142 \h </w:instrText>
      </w:r>
      <w:r>
        <w:fldChar w:fldCharType="separate"/>
      </w:r>
      <w:r>
        <w:t>14</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_Toc493602143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_Toc493602144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_Toc493602146 \h </w:instrText>
      </w:r>
      <w:r>
        <w:fldChar w:fldCharType="separate"/>
      </w:r>
      <w:r>
        <w:t>15</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_Toc493602147 \h </w:instrText>
      </w:r>
      <w:r>
        <w:fldChar w:fldCharType="separate"/>
      </w:r>
      <w:r>
        <w:t>15</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_Toc493602148 \h </w:instrText>
      </w:r>
      <w:r>
        <w:fldChar w:fldCharType="separate"/>
      </w:r>
      <w:r>
        <w:t>16</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_Toc493602149 \h </w:instrText>
      </w:r>
      <w:r>
        <w:fldChar w:fldCharType="separate"/>
      </w:r>
      <w:r>
        <w:t>17</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_Toc493602150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_Toc493602152 \h </w:instrText>
      </w:r>
      <w:r>
        <w:fldChar w:fldCharType="separate"/>
      </w:r>
      <w:r>
        <w:t>18</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_Toc493602153 \h </w:instrText>
      </w:r>
      <w:r>
        <w:fldChar w:fldCharType="separate"/>
      </w:r>
      <w:r>
        <w:t>18</w:t>
      </w:r>
      <w:r>
        <w:fldChar w:fldCharType="end"/>
      </w:r>
    </w:p>
    <w:p>
      <w:pPr>
        <w:pStyle w:val="TOC8"/>
        <w:rPr>
          <w:rFonts w:asciiTheme="minorHAnsi" w:eastAsiaTheme="minorEastAsia" w:hAnsiTheme="minorHAnsi" w:cstheme="minorBidi"/>
          <w:szCs w:val="22"/>
        </w:rPr>
      </w:pPr>
      <w:r>
        <w:t>18.</w:t>
      </w:r>
      <w:r>
        <w:tab/>
        <w:t>Chief Health Officer to approve qualifications and experience required by environmental health officers</w:t>
      </w:r>
      <w:r>
        <w:tab/>
      </w:r>
      <w:r>
        <w:fldChar w:fldCharType="begin"/>
      </w:r>
      <w:r>
        <w:instrText xml:space="preserve"> PAGEREF _Toc493602154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_Toc493602156 \h </w:instrText>
      </w:r>
      <w:r>
        <w:fldChar w:fldCharType="separate"/>
      </w:r>
      <w:r>
        <w:t>19</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_Toc493602157 \h </w:instrText>
      </w:r>
      <w:r>
        <w:fldChar w:fldCharType="separate"/>
      </w:r>
      <w:r>
        <w:t>20</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_Toc493602158 \h </w:instrText>
      </w:r>
      <w:r>
        <w:fldChar w:fldCharType="separate"/>
      </w:r>
      <w:r>
        <w:t>20</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_Toc493602159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_Toc493602161 \h </w:instrText>
      </w:r>
      <w:r>
        <w:fldChar w:fldCharType="separate"/>
      </w:r>
      <w:r>
        <w:t>22</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_Toc493602162 \h </w:instrText>
      </w:r>
      <w:r>
        <w:fldChar w:fldCharType="separate"/>
      </w:r>
      <w:r>
        <w:t>22</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_Toc493602163 \h </w:instrText>
      </w:r>
      <w:r>
        <w:fldChar w:fldCharType="separate"/>
      </w:r>
      <w:r>
        <w:t>23</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_Toc493602164 \h </w:instrText>
      </w:r>
      <w:r>
        <w:fldChar w:fldCharType="separate"/>
      </w:r>
      <w:r>
        <w:t>23</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_Toc493602165 \h </w:instrText>
      </w:r>
      <w:r>
        <w:fldChar w:fldCharType="separate"/>
      </w:r>
      <w:r>
        <w:t>24</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_Toc493602166 \h </w:instrText>
      </w:r>
      <w:r>
        <w:fldChar w:fldCharType="separate"/>
      </w:r>
      <w:r>
        <w:t>24</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_Toc493602167 \h </w:instrText>
      </w:r>
      <w:r>
        <w:fldChar w:fldCharType="separate"/>
      </w:r>
      <w:r>
        <w:t>24</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_Toc493602168 \h </w:instrText>
      </w:r>
      <w:r>
        <w:fldChar w:fldCharType="separate"/>
      </w:r>
      <w:r>
        <w:t>24</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_Toc493602169 \h </w:instrText>
      </w:r>
      <w:r>
        <w:fldChar w:fldCharType="separate"/>
      </w:r>
      <w:r>
        <w:t>26</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_Toc493602170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_Toc493602172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_Toc493602174 \h </w:instrText>
      </w:r>
      <w:r>
        <w:fldChar w:fldCharType="separate"/>
      </w:r>
      <w:r>
        <w:t>28</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_Toc493602175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_Toc493602177 \h </w:instrText>
      </w:r>
      <w:r>
        <w:fldChar w:fldCharType="separate"/>
      </w:r>
      <w:r>
        <w:t>30</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_Toc493602178 \h </w:instrText>
      </w:r>
      <w:r>
        <w:fldChar w:fldCharType="separate"/>
      </w:r>
      <w:r>
        <w:t>30</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_Toc493602179 \h </w:instrText>
      </w:r>
      <w:r>
        <w:fldChar w:fldCharType="separate"/>
      </w:r>
      <w:r>
        <w:t>32</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_Toc493602180 \h </w:instrText>
      </w:r>
      <w:r>
        <w:fldChar w:fldCharType="separate"/>
      </w:r>
      <w:r>
        <w:t>34</w:t>
      </w:r>
      <w:r>
        <w:fldChar w:fldCharType="end"/>
      </w:r>
    </w:p>
    <w:p>
      <w:pPr>
        <w:pStyle w:val="TOC8"/>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_Toc493602181 \h </w:instrText>
      </w:r>
      <w:r>
        <w:fldChar w:fldCharType="separate"/>
      </w:r>
      <w:r>
        <w:t>35</w:t>
      </w:r>
      <w:r>
        <w:fldChar w:fldCharType="end"/>
      </w:r>
    </w:p>
    <w:p>
      <w:pPr>
        <w:pStyle w:val="TOC8"/>
        <w:rPr>
          <w:rFonts w:asciiTheme="minorHAnsi" w:eastAsiaTheme="minorEastAsia" w:hAnsiTheme="minorHAnsi" w:cstheme="minorBidi"/>
          <w:szCs w:val="22"/>
        </w:rPr>
      </w:pPr>
      <w:r>
        <w:t>41.</w:t>
      </w:r>
      <w:r>
        <w:tab/>
        <w:t>Determination by court of appropriate punishment</w:t>
      </w:r>
      <w:r>
        <w:tab/>
      </w:r>
      <w:r>
        <w:fldChar w:fldCharType="begin"/>
      </w:r>
      <w:r>
        <w:instrText xml:space="preserve"> PAGEREF _Toc493602182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_Toc493602185 \h </w:instrText>
      </w:r>
      <w:r>
        <w:fldChar w:fldCharType="separate"/>
      </w:r>
      <w:r>
        <w:t>37</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_Toc493602186 \h </w:instrText>
      </w:r>
      <w:r>
        <w:fldChar w:fldCharType="separate"/>
      </w:r>
      <w:r>
        <w:t>37</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_Toc493602187 \h </w:instrText>
      </w:r>
      <w:r>
        <w:fldChar w:fldCharType="separate"/>
      </w:r>
      <w:r>
        <w:t>38</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_Toc493602188 \h </w:instrText>
      </w:r>
      <w:r>
        <w:fldChar w:fldCharType="separate"/>
      </w:r>
      <w:r>
        <w:t>39</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_Toc493602189 \h </w:instrText>
      </w:r>
      <w:r>
        <w:fldChar w:fldCharType="separate"/>
      </w:r>
      <w:r>
        <w:t>40</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_Toc493602190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_Toc493602192 \h </w:instrText>
      </w:r>
      <w:r>
        <w:fldChar w:fldCharType="separate"/>
      </w:r>
      <w:r>
        <w:t>41</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_Toc493602193 \h </w:instrText>
      </w:r>
      <w:r>
        <w:fldChar w:fldCharType="separate"/>
      </w:r>
      <w:r>
        <w:t>41</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_Toc493602194 \h </w:instrText>
      </w:r>
      <w:r>
        <w:fldChar w:fldCharType="separate"/>
      </w:r>
      <w:r>
        <w:t>42</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_Toc493602195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_Toc493602197 \h </w:instrText>
      </w:r>
      <w:r>
        <w:fldChar w:fldCharType="separate"/>
      </w:r>
      <w:r>
        <w:t>43</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_Toc493602198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_Toc493602200 \h </w:instrText>
      </w:r>
      <w:r>
        <w:fldChar w:fldCharType="separate"/>
      </w:r>
      <w:r>
        <w:t>44</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_Toc493602201 \h </w:instrText>
      </w:r>
      <w:r>
        <w:fldChar w:fldCharType="separate"/>
      </w:r>
      <w:r>
        <w:t>47</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_Toc493602202 \h </w:instrText>
      </w:r>
      <w:r>
        <w:fldChar w:fldCharType="separate"/>
      </w:r>
      <w:r>
        <w:t>49</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_Toc493602203 \h </w:instrText>
      </w:r>
      <w:r>
        <w:fldChar w:fldCharType="separate"/>
      </w:r>
      <w:r>
        <w:t>50</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_Toc493602204 \h </w:instrText>
      </w:r>
      <w:r>
        <w:fldChar w:fldCharType="separate"/>
      </w:r>
      <w:r>
        <w:t>51</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_Toc493602205 \h </w:instrText>
      </w:r>
      <w:r>
        <w:fldChar w:fldCharType="separate"/>
      </w:r>
      <w:r>
        <w:t>52</w:t>
      </w:r>
      <w:r>
        <w:fldChar w:fldCharType="end"/>
      </w:r>
    </w:p>
    <w:p>
      <w:pPr>
        <w:pStyle w:val="TOC8"/>
        <w:rPr>
          <w:rFonts w:asciiTheme="minorHAnsi" w:eastAsiaTheme="minorEastAsia" w:hAnsiTheme="minorHAnsi" w:cstheme="minorBidi"/>
          <w:szCs w:val="22"/>
        </w:rPr>
      </w:pPr>
      <w:r>
        <w:t>105.</w:t>
      </w:r>
      <w:r>
        <w:tab/>
        <w:t>No payment may be required in relation to testing under test order</w:t>
      </w:r>
      <w:r>
        <w:tab/>
      </w:r>
      <w:r>
        <w:fldChar w:fldCharType="begin"/>
      </w:r>
      <w:r>
        <w:instrText xml:space="preserve"> PAGEREF _Toc493602206 \h </w:instrText>
      </w:r>
      <w:r>
        <w:fldChar w:fldCharType="separate"/>
      </w:r>
      <w:r>
        <w:t>53</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_Toc493602207 \h </w:instrText>
      </w:r>
      <w:r>
        <w:fldChar w:fldCharType="separate"/>
      </w:r>
      <w:r>
        <w:t>53</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_Toc493602208 \h </w:instrText>
      </w:r>
      <w:r>
        <w:fldChar w:fldCharType="separate"/>
      </w:r>
      <w:r>
        <w:t>56</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_Toc493602209 \h </w:instrText>
      </w:r>
      <w:r>
        <w:fldChar w:fldCharType="separate"/>
      </w:r>
      <w:r>
        <w:t>57</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_Toc493602210 \h </w:instrText>
      </w:r>
      <w:r>
        <w:fldChar w:fldCharType="separate"/>
      </w:r>
      <w:r>
        <w:t>58</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_Toc493602211 \h </w:instrText>
      </w:r>
      <w:r>
        <w:fldChar w:fldCharType="separate"/>
      </w:r>
      <w:r>
        <w:t>58</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_Toc493602212 \h </w:instrText>
      </w:r>
      <w:r>
        <w:fldChar w:fldCharType="separate"/>
      </w:r>
      <w:r>
        <w:t>58</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_Toc493602213 \h </w:instrText>
      </w:r>
      <w:r>
        <w:fldChar w:fldCharType="separate"/>
      </w:r>
      <w:r>
        <w:t>60</w:t>
      </w:r>
      <w:r>
        <w:fldChar w:fldCharType="end"/>
      </w:r>
    </w:p>
    <w:p>
      <w:pPr>
        <w:pStyle w:val="TOC8"/>
        <w:rPr>
          <w:rFonts w:asciiTheme="minorHAnsi" w:eastAsiaTheme="minorEastAsia" w:hAnsiTheme="minorHAnsi" w:cstheme="minorBidi"/>
          <w:szCs w:val="22"/>
        </w:rPr>
      </w:pPr>
      <w:r>
        <w:t>113.</w:t>
      </w:r>
      <w:r>
        <w:tab/>
        <w:t>No liability for reporting test results</w:t>
      </w:r>
      <w:r>
        <w:tab/>
      </w:r>
      <w:r>
        <w:fldChar w:fldCharType="begin"/>
      </w:r>
      <w:r>
        <w:instrText xml:space="preserve"> PAGEREF _Toc493602214 \h </w:instrText>
      </w:r>
      <w:r>
        <w:fldChar w:fldCharType="separate"/>
      </w:r>
      <w:r>
        <w:t>60</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_Toc493602215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_Toc493602217 \h </w:instrText>
      </w:r>
      <w:r>
        <w:fldChar w:fldCharType="separate"/>
      </w:r>
      <w:r>
        <w:t>61</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_Toc493602218 \h </w:instrText>
      </w:r>
      <w:r>
        <w:fldChar w:fldCharType="separate"/>
      </w:r>
      <w:r>
        <w:t>62</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_Toc493602219 \h </w:instrText>
      </w:r>
      <w:r>
        <w:fldChar w:fldCharType="separate"/>
      </w:r>
      <w:r>
        <w:t>64</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_Toc493602220 \h </w:instrText>
      </w:r>
      <w:r>
        <w:fldChar w:fldCharType="separate"/>
      </w:r>
      <w:r>
        <w:t>66</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_Toc493602221 \h </w:instrText>
      </w:r>
      <w:r>
        <w:fldChar w:fldCharType="separate"/>
      </w:r>
      <w:r>
        <w:t>66</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_Toc493602222 \h </w:instrText>
      </w:r>
      <w:r>
        <w:fldChar w:fldCharType="separate"/>
      </w:r>
      <w:r>
        <w:t>67</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_Toc493602223 \h </w:instrText>
      </w:r>
      <w:r>
        <w:fldChar w:fldCharType="separate"/>
      </w:r>
      <w:r>
        <w:t>68</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_Toc493602224 \h </w:instrText>
      </w:r>
      <w:r>
        <w:fldChar w:fldCharType="separate"/>
      </w:r>
      <w:r>
        <w:t>69</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_Toc493602225 \h </w:instrText>
      </w:r>
      <w:r>
        <w:fldChar w:fldCharType="separate"/>
      </w:r>
      <w:r>
        <w:t>69</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_Toc493602226 \h </w:instrText>
      </w:r>
      <w:r>
        <w:fldChar w:fldCharType="separate"/>
      </w:r>
      <w:r>
        <w:t>69</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_Toc493602227 \h </w:instrText>
      </w:r>
      <w:r>
        <w:fldChar w:fldCharType="separate"/>
      </w:r>
      <w:r>
        <w:t>71</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_Toc493602228 \h </w:instrText>
      </w:r>
      <w:r>
        <w:fldChar w:fldCharType="separate"/>
      </w:r>
      <w:r>
        <w:t>72</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_Toc493602229 \h </w:instrText>
      </w:r>
      <w:r>
        <w:fldChar w:fldCharType="separate"/>
      </w:r>
      <w:r>
        <w:t>72</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_Toc493602230 \h </w:instrText>
      </w:r>
      <w:r>
        <w:fldChar w:fldCharType="separate"/>
      </w:r>
      <w:r>
        <w:t>73</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_Toc493602231 \h </w:instrText>
      </w:r>
      <w:r>
        <w:fldChar w:fldCharType="separate"/>
      </w:r>
      <w:r>
        <w:t>74</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_Toc493602232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_Toc493602234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_Toc493602236 \h </w:instrText>
      </w:r>
      <w:r>
        <w:fldChar w:fldCharType="separate"/>
      </w:r>
      <w:r>
        <w:t>77</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_Toc493602237 \h </w:instrText>
      </w:r>
      <w:r>
        <w:fldChar w:fldCharType="separate"/>
      </w:r>
      <w:r>
        <w:t>78</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_Toc493602238 \h </w:instrText>
      </w:r>
      <w:r>
        <w:fldChar w:fldCharType="separate"/>
      </w:r>
      <w:r>
        <w:t>79</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_Toc493602239 \h </w:instrText>
      </w:r>
      <w:r>
        <w:fldChar w:fldCharType="separate"/>
      </w:r>
      <w:r>
        <w:t>80</w:t>
      </w:r>
      <w:r>
        <w:fldChar w:fldCharType="end"/>
      </w:r>
    </w:p>
    <w:p>
      <w:pPr>
        <w:pStyle w:val="TOC8"/>
        <w:rPr>
          <w:rFonts w:asciiTheme="minorHAnsi" w:eastAsiaTheme="minorEastAsia" w:hAnsiTheme="minorHAnsi" w:cstheme="minorBidi"/>
          <w:szCs w:val="22"/>
        </w:rPr>
      </w:pPr>
      <w:r>
        <w:t>136.</w:t>
      </w:r>
      <w:r>
        <w:tab/>
        <w:t>Authorised officer to produce evidence of authority</w:t>
      </w:r>
      <w:r>
        <w:tab/>
      </w:r>
      <w:r>
        <w:fldChar w:fldCharType="begin"/>
      </w:r>
      <w:r>
        <w:instrText xml:space="preserve"> PAGEREF _Toc493602240 \h </w:instrText>
      </w:r>
      <w:r>
        <w:fldChar w:fldCharType="separate"/>
      </w:r>
      <w:r>
        <w:t>81</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_Toc493602241 \h </w:instrText>
      </w:r>
      <w:r>
        <w:fldChar w:fldCharType="separate"/>
      </w:r>
      <w:r>
        <w:t>82</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_Toc493602242 \h </w:instrText>
      </w:r>
      <w:r>
        <w:fldChar w:fldCharType="separate"/>
      </w:r>
      <w:r>
        <w:t>82</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_Toc493602243 \h </w:instrText>
      </w:r>
      <w:r>
        <w:fldChar w:fldCharType="separate"/>
      </w:r>
      <w:r>
        <w:t>82</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_Toc493602244 \h </w:instrText>
      </w:r>
      <w:r>
        <w:fldChar w:fldCharType="separate"/>
      </w:r>
      <w:r>
        <w:t>84</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_Toc493602245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8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w:t>
      </w:r>
      <w:r>
        <w:tab/>
      </w:r>
      <w:r>
        <w:fldChar w:fldCharType="begin"/>
      </w:r>
      <w:r>
        <w:instrText xml:space="preserve"> PAGEREF _Toc493602247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_Toc493602249 \h </w:instrText>
      </w:r>
      <w:r>
        <w:fldChar w:fldCharType="separate"/>
      </w:r>
      <w:r>
        <w:t>87</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_Toc493602250 \h </w:instrText>
      </w:r>
      <w:r>
        <w:fldChar w:fldCharType="separate"/>
      </w:r>
      <w:r>
        <w:t>87</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_Toc493602251 \h </w:instrText>
      </w:r>
      <w:r>
        <w:fldChar w:fldCharType="separate"/>
      </w:r>
      <w:r>
        <w:t>88</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_Toc493602252 \h </w:instrText>
      </w:r>
      <w:r>
        <w:fldChar w:fldCharType="separate"/>
      </w:r>
      <w:r>
        <w:t>88</w:t>
      </w:r>
      <w:r>
        <w:fldChar w:fldCharType="end"/>
      </w:r>
    </w:p>
    <w:p>
      <w:pPr>
        <w:pStyle w:val="TOC8"/>
        <w:rPr>
          <w:rFonts w:asciiTheme="minorHAnsi" w:eastAsiaTheme="minorEastAsia" w:hAnsiTheme="minorHAnsi" w:cstheme="minorBidi"/>
          <w:szCs w:val="22"/>
        </w:rPr>
      </w:pPr>
      <w:r>
        <w:t>147.</w:t>
      </w:r>
      <w:r>
        <w:tab/>
        <w:t>Access to information</w:t>
      </w:r>
      <w:r>
        <w:tab/>
      </w:r>
      <w:r>
        <w:fldChar w:fldCharType="begin"/>
      </w:r>
      <w:r>
        <w:instrText xml:space="preserve"> PAGEREF _Toc493602253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_Toc493602256 \h </w:instrText>
      </w:r>
      <w:r>
        <w:fldChar w:fldCharType="separate"/>
      </w:r>
      <w:r>
        <w:t>91</w:t>
      </w:r>
      <w:r>
        <w:fldChar w:fldCharType="end"/>
      </w:r>
    </w:p>
    <w:p>
      <w:pPr>
        <w:pStyle w:val="TOC8"/>
        <w:rPr>
          <w:rFonts w:asciiTheme="minorHAnsi" w:eastAsiaTheme="minorEastAsia" w:hAnsiTheme="minorHAnsi" w:cstheme="minorBidi"/>
          <w:szCs w:val="22"/>
        </w:rPr>
      </w:pPr>
      <w:r>
        <w:t>153.</w:t>
      </w:r>
      <w:r>
        <w:tab/>
        <w:t>Authorisation to state certain matters</w:t>
      </w:r>
      <w:r>
        <w:tab/>
      </w:r>
      <w:r>
        <w:fldChar w:fldCharType="begin"/>
      </w:r>
      <w:r>
        <w:instrText xml:space="preserve"> PAGEREF _Toc493602257 \h </w:instrText>
      </w:r>
      <w:r>
        <w:fldChar w:fldCharType="separate"/>
      </w:r>
      <w:r>
        <w:t>91</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_Toc493602258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_Toc493602260 \h </w:instrText>
      </w:r>
      <w:r>
        <w:fldChar w:fldCharType="separate"/>
      </w:r>
      <w:r>
        <w:t>92</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_Toc493602261 \h </w:instrText>
      </w:r>
      <w:r>
        <w:fldChar w:fldCharType="separate"/>
      </w:r>
      <w:r>
        <w:t>93</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_Toc493602262 \h </w:instrText>
      </w:r>
      <w:r>
        <w:fldChar w:fldCharType="separate"/>
      </w:r>
      <w:r>
        <w:t>93</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_Toc493602263 \h </w:instrText>
      </w:r>
      <w:r>
        <w:fldChar w:fldCharType="separate"/>
      </w:r>
      <w:r>
        <w:t>95</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_Toc493602264 \h </w:instrText>
      </w:r>
      <w:r>
        <w:fldChar w:fldCharType="separate"/>
      </w:r>
      <w:r>
        <w:t>97</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_Toc493602265 \h </w:instrText>
      </w:r>
      <w:r>
        <w:fldChar w:fldCharType="separate"/>
      </w:r>
      <w:r>
        <w:t>98</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_Toc493602266 \h </w:instrText>
      </w:r>
      <w:r>
        <w:fldChar w:fldCharType="separate"/>
      </w:r>
      <w:r>
        <w:t>99</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_Toc493602267 \h </w:instrText>
      </w:r>
      <w:r>
        <w:fldChar w:fldCharType="separate"/>
      </w:r>
      <w:r>
        <w:t>100</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_Toc493602268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_Toc493602271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_Toc493602273 \h </w:instrText>
      </w:r>
      <w:r>
        <w:fldChar w:fldCharType="separate"/>
      </w:r>
      <w:r>
        <w:t>102</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_Toc493602274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_Toc493602276 \h </w:instrText>
      </w:r>
      <w:r>
        <w:fldChar w:fldCharType="separate"/>
      </w:r>
      <w:r>
        <w:t>104</w:t>
      </w:r>
      <w:r>
        <w:fldChar w:fldCharType="end"/>
      </w:r>
    </w:p>
    <w:p>
      <w:pPr>
        <w:pStyle w:val="TOC8"/>
        <w:rPr>
          <w:rFonts w:asciiTheme="minorHAnsi" w:eastAsiaTheme="minorEastAsia" w:hAnsiTheme="minorHAnsi" w:cstheme="minorBidi"/>
          <w:szCs w:val="22"/>
        </w:rPr>
      </w:pPr>
      <w:r>
        <w:t>168.</w:t>
      </w:r>
      <w:r>
        <w:tab/>
        <w:t>Duration of public health state of emergency declaration</w:t>
      </w:r>
      <w:r>
        <w:tab/>
      </w:r>
      <w:r>
        <w:fldChar w:fldCharType="begin"/>
      </w:r>
      <w:r>
        <w:instrText xml:space="preserve"> PAGEREF _Toc493602277 \h </w:instrText>
      </w:r>
      <w:r>
        <w:fldChar w:fldCharType="separate"/>
      </w:r>
      <w:r>
        <w:t>105</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_Toc493602278 \h </w:instrText>
      </w:r>
      <w:r>
        <w:fldChar w:fldCharType="separate"/>
      </w:r>
      <w:r>
        <w:t>105</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_Toc493602279 \h </w:instrText>
      </w:r>
      <w:r>
        <w:fldChar w:fldCharType="separate"/>
      </w:r>
      <w:r>
        <w:t>106</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_Toc493602280 \h </w:instrText>
      </w:r>
      <w:r>
        <w:fldChar w:fldCharType="separate"/>
      </w:r>
      <w:r>
        <w:t>107</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_Toc493602281 \h </w:instrText>
      </w:r>
      <w:r>
        <w:fldChar w:fldCharType="separate"/>
      </w:r>
      <w:r>
        <w:t>107</w:t>
      </w:r>
      <w:r>
        <w:fldChar w:fldCharType="end"/>
      </w:r>
    </w:p>
    <w:p>
      <w:pPr>
        <w:pStyle w:val="TOC8"/>
        <w:rPr>
          <w:rFonts w:asciiTheme="minorHAnsi" w:eastAsiaTheme="minorEastAsia" w:hAnsiTheme="minorHAnsi" w:cstheme="minorBidi"/>
          <w:szCs w:val="22"/>
        </w:rPr>
      </w:pPr>
      <w:r>
        <w:t>173.</w:t>
      </w:r>
      <w:r>
        <w:tab/>
        <w:t>Limitation of stay of operation of public health state of emergency declaration</w:t>
      </w:r>
      <w:r>
        <w:tab/>
      </w:r>
      <w:r>
        <w:fldChar w:fldCharType="begin"/>
      </w:r>
      <w:r>
        <w:instrText xml:space="preserve"> PAGEREF _Toc493602282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_Toc493602284 \h </w:instrText>
      </w:r>
      <w:r>
        <w:fldChar w:fldCharType="separate"/>
      </w:r>
      <w:r>
        <w:t>108</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_Toc493602285 \h </w:instrText>
      </w:r>
      <w:r>
        <w:fldChar w:fldCharType="separate"/>
      </w:r>
      <w:r>
        <w:t>109</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_Toc493602286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_Toc493602288 \h </w:instrText>
      </w:r>
      <w:r>
        <w:fldChar w:fldCharType="separate"/>
      </w:r>
      <w:r>
        <w:t>110</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_Toc493602289 \h </w:instrText>
      </w:r>
      <w:r>
        <w:fldChar w:fldCharType="separate"/>
      </w:r>
      <w:r>
        <w:t>111</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_Toc493602290 \h </w:instrText>
      </w:r>
      <w:r>
        <w:fldChar w:fldCharType="separate"/>
      </w:r>
      <w:r>
        <w:t>111</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_Toc493602291 \h </w:instrText>
      </w:r>
      <w:r>
        <w:fldChar w:fldCharType="separate"/>
      </w:r>
      <w:r>
        <w:t>111</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_Toc493602292 \h </w:instrText>
      </w:r>
      <w:r>
        <w:fldChar w:fldCharType="separate"/>
      </w:r>
      <w:r>
        <w:t>112</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_Toc493602293 \h </w:instrText>
      </w:r>
      <w:r>
        <w:fldChar w:fldCharType="separate"/>
      </w:r>
      <w:r>
        <w:t>112</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_Toc493602294 \h </w:instrText>
      </w:r>
      <w:r>
        <w:fldChar w:fldCharType="separate"/>
      </w:r>
      <w:r>
        <w:t>113</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_Toc493602295 \h </w:instrText>
      </w:r>
      <w:r>
        <w:fldChar w:fldCharType="separate"/>
      </w:r>
      <w:r>
        <w:t>114</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_Toc493602296 \h </w:instrText>
      </w:r>
      <w:r>
        <w:fldChar w:fldCharType="separate"/>
      </w:r>
      <w:r>
        <w:t>115</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_Toc493602297 \h </w:instrText>
      </w:r>
      <w:r>
        <w:fldChar w:fldCharType="separate"/>
      </w:r>
      <w:r>
        <w:t>117</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_Toc493602298 \h </w:instrText>
      </w:r>
      <w:r>
        <w:fldChar w:fldCharType="separate"/>
      </w:r>
      <w:r>
        <w:t>118</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_Toc493602299 \h </w:instrText>
      </w:r>
      <w:r>
        <w:fldChar w:fldCharType="separate"/>
      </w:r>
      <w:r>
        <w:t>119</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_Toc493602300 \h </w:instrText>
      </w:r>
      <w:r>
        <w:fldChar w:fldCharType="separate"/>
      </w:r>
      <w:r>
        <w:t>122</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_Toc493602301 \h </w:instrText>
      </w:r>
      <w:r>
        <w:fldChar w:fldCharType="separate"/>
      </w:r>
      <w:r>
        <w:t>122</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_Toc493602302 \h </w:instrText>
      </w:r>
      <w:r>
        <w:fldChar w:fldCharType="separate"/>
      </w:r>
      <w:r>
        <w:t>124</w:t>
      </w:r>
      <w:r>
        <w:fldChar w:fldCharType="end"/>
      </w:r>
    </w:p>
    <w:p>
      <w:pPr>
        <w:pStyle w:val="TOC8"/>
        <w:rPr>
          <w:rFonts w:asciiTheme="minorHAnsi" w:eastAsiaTheme="minorEastAsia" w:hAnsiTheme="minorHAnsi" w:cstheme="minorBidi"/>
          <w:szCs w:val="22"/>
        </w:rPr>
      </w:pPr>
      <w:r>
        <w:t>192.</w:t>
      </w:r>
      <w:r>
        <w:tab/>
        <w:t>Review of detention</w:t>
      </w:r>
      <w:r>
        <w:tab/>
      </w:r>
      <w:r>
        <w:fldChar w:fldCharType="begin"/>
      </w:r>
      <w:r>
        <w:instrText xml:space="preserve"> PAGEREF _Toc493602303 \h </w:instrText>
      </w:r>
      <w:r>
        <w:fldChar w:fldCharType="separate"/>
      </w:r>
      <w:r>
        <w:t>125</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_Toc493602304 \h </w:instrText>
      </w:r>
      <w:r>
        <w:fldChar w:fldCharType="separate"/>
      </w:r>
      <w:r>
        <w:t>126</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_Toc493602305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_Toc493602307 \h </w:instrText>
      </w:r>
      <w:r>
        <w:fldChar w:fldCharType="separate"/>
      </w:r>
      <w:r>
        <w:t>127</w:t>
      </w:r>
      <w:r>
        <w:fldChar w:fldCharType="end"/>
      </w:r>
    </w:p>
    <w:p>
      <w:pPr>
        <w:pStyle w:val="TOC8"/>
        <w:rPr>
          <w:rFonts w:asciiTheme="minorHAnsi" w:eastAsiaTheme="minorEastAsia" w:hAnsiTheme="minorHAnsi" w:cstheme="minorBidi"/>
          <w:szCs w:val="22"/>
        </w:rPr>
      </w:pPr>
      <w:r>
        <w:t>196.</w:t>
      </w:r>
      <w:r>
        <w:tab/>
        <w:t>Power of Chief Health Officer to direct public authorities during public health state of emergency</w:t>
      </w:r>
      <w:r>
        <w:tab/>
      </w:r>
      <w:r>
        <w:fldChar w:fldCharType="begin"/>
      </w:r>
      <w:r>
        <w:instrText xml:space="preserve"> PAGEREF _Toc493602308 \h </w:instrText>
      </w:r>
      <w:r>
        <w:fldChar w:fldCharType="separate"/>
      </w:r>
      <w:r>
        <w:t>127</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_Toc493602309 \h </w:instrText>
      </w:r>
      <w:r>
        <w:fldChar w:fldCharType="separate"/>
      </w:r>
      <w:r>
        <w:t>128</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_Toc493602310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_Toc493602312 \h </w:instrText>
      </w:r>
      <w:r>
        <w:fldChar w:fldCharType="separate"/>
      </w:r>
      <w:r>
        <w:t>130</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_Toc493602313 \h </w:instrText>
      </w:r>
      <w:r>
        <w:fldChar w:fldCharType="separate"/>
      </w:r>
      <w:r>
        <w:t>131</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_Toc493602314 \h </w:instrText>
      </w:r>
      <w:r>
        <w:fldChar w:fldCharType="separate"/>
      </w:r>
      <w:r>
        <w:t>131</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_Toc493602315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_Toc493602318 \h </w:instrText>
      </w:r>
      <w:r>
        <w:fldChar w:fldCharType="separate"/>
      </w:r>
      <w:r>
        <w:t>133</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_Toc493602319 \h </w:instrText>
      </w:r>
      <w:r>
        <w:fldChar w:fldCharType="separate"/>
      </w:r>
      <w:r>
        <w:t>133</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_Toc493602320 \h </w:instrText>
      </w:r>
      <w:r>
        <w:fldChar w:fldCharType="separate"/>
      </w:r>
      <w:r>
        <w:t>134</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_Toc493602321 \h </w:instrText>
      </w:r>
      <w:r>
        <w:fldChar w:fldCharType="separate"/>
      </w:r>
      <w:r>
        <w:t>135</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_Toc493602322 \h </w:instrText>
      </w:r>
      <w:r>
        <w:fldChar w:fldCharType="separate"/>
      </w:r>
      <w:r>
        <w:t>135</w:t>
      </w:r>
      <w:r>
        <w:fldChar w:fldCharType="end"/>
      </w:r>
    </w:p>
    <w:p>
      <w:pPr>
        <w:pStyle w:val="TOC8"/>
        <w:rPr>
          <w:rFonts w:asciiTheme="minorHAnsi" w:eastAsiaTheme="minorEastAsia" w:hAnsiTheme="minorHAnsi" w:cstheme="minorBidi"/>
          <w:szCs w:val="22"/>
        </w:rPr>
      </w:pPr>
      <w:r>
        <w:t>208.</w:t>
      </w:r>
      <w:r>
        <w:tab/>
        <w:t>False compensation claim</w:t>
      </w:r>
      <w:r>
        <w:tab/>
      </w:r>
      <w:r>
        <w:fldChar w:fldCharType="begin"/>
      </w:r>
      <w:r>
        <w:instrText xml:space="preserve"> PAGEREF _Toc493602323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_Toc493602325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_Toc493602327 \h </w:instrText>
      </w:r>
      <w:r>
        <w:fldChar w:fldCharType="separate"/>
      </w:r>
      <w:r>
        <w:t>138</w:t>
      </w:r>
      <w:r>
        <w:fldChar w:fldCharType="end"/>
      </w:r>
    </w:p>
    <w:p>
      <w:pPr>
        <w:pStyle w:val="TOC8"/>
        <w:rPr>
          <w:rFonts w:asciiTheme="minorHAnsi" w:eastAsiaTheme="minorEastAsia" w:hAnsiTheme="minorHAnsi" w:cstheme="minorBidi"/>
          <w:szCs w:val="22"/>
        </w:rPr>
      </w:pPr>
      <w:r>
        <w:t>228.</w:t>
      </w:r>
      <w:r>
        <w:tab/>
        <w:t>Chief Health Officer may conduct inquiry</w:t>
      </w:r>
      <w:r>
        <w:tab/>
      </w:r>
      <w:r>
        <w:fldChar w:fldCharType="begin"/>
      </w:r>
      <w:r>
        <w:instrText xml:space="preserve"> PAGEREF _Toc493602328 \h </w:instrText>
      </w:r>
      <w:r>
        <w:fldChar w:fldCharType="separate"/>
      </w:r>
      <w:r>
        <w:t>138</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_Toc493602329 \h </w:instrText>
      </w:r>
      <w:r>
        <w:fldChar w:fldCharType="separate"/>
      </w:r>
      <w:r>
        <w:t>138</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_Toc493602330 \h </w:instrText>
      </w:r>
      <w:r>
        <w:fldChar w:fldCharType="separate"/>
      </w:r>
      <w:r>
        <w:t>139</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_Toc493602331 \h </w:instrText>
      </w:r>
      <w:r>
        <w:fldChar w:fldCharType="separate"/>
      </w:r>
      <w:r>
        <w:t>139</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_Toc493602332 \h </w:instrText>
      </w:r>
      <w:r>
        <w:fldChar w:fldCharType="separate"/>
      </w:r>
      <w:r>
        <w:t>140</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_Toc493602333 \h </w:instrText>
      </w:r>
      <w:r>
        <w:fldChar w:fldCharType="separate"/>
      </w:r>
      <w:r>
        <w:t>140</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_Toc493602334 \h </w:instrText>
      </w:r>
      <w:r>
        <w:fldChar w:fldCharType="separate"/>
      </w:r>
      <w:r>
        <w:t>141</w:t>
      </w:r>
      <w:r>
        <w:fldChar w:fldCharType="end"/>
      </w:r>
    </w:p>
    <w:p>
      <w:pPr>
        <w:pStyle w:val="TOC8"/>
        <w:rPr>
          <w:rFonts w:asciiTheme="minorHAnsi" w:eastAsiaTheme="minorEastAsia" w:hAnsiTheme="minorHAnsi" w:cstheme="minorBidi"/>
          <w:szCs w:val="22"/>
        </w:rPr>
      </w:pPr>
      <w:r>
        <w:t>235.</w:t>
      </w:r>
      <w:r>
        <w:tab/>
        <w:t>Disruption of inquiry</w:t>
      </w:r>
      <w:r>
        <w:tab/>
      </w:r>
      <w:r>
        <w:fldChar w:fldCharType="begin"/>
      </w:r>
      <w:r>
        <w:instrText xml:space="preserve"> PAGEREF _Toc493602335 \h </w:instrText>
      </w:r>
      <w:r>
        <w:fldChar w:fldCharType="separate"/>
      </w:r>
      <w:r>
        <w:t>141</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_Toc493602336 \h </w:instrText>
      </w:r>
      <w:r>
        <w:fldChar w:fldCharType="separate"/>
      </w:r>
      <w:r>
        <w:t>141</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_Toc493602337 \h </w:instrText>
      </w:r>
      <w:r>
        <w:fldChar w:fldCharType="separate"/>
      </w:r>
      <w:r>
        <w:t>142</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_Toc493602338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_Toc493602341 \h </w:instrText>
      </w:r>
      <w:r>
        <w:fldChar w:fldCharType="separate"/>
      </w:r>
      <w:r>
        <w:t>143</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_Toc493602342 \h </w:instrText>
      </w:r>
      <w:r>
        <w:fldChar w:fldCharType="separate"/>
      </w:r>
      <w:r>
        <w:t>143</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_Toc493602343 \h </w:instrText>
      </w:r>
      <w:r>
        <w:fldChar w:fldCharType="separate"/>
      </w:r>
      <w:r>
        <w:t>146</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_Toc493602344 \h </w:instrText>
      </w:r>
      <w:r>
        <w:fldChar w:fldCharType="separate"/>
      </w:r>
      <w:r>
        <w:t>146</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_Toc493602345 \h </w:instrText>
      </w:r>
      <w:r>
        <w:fldChar w:fldCharType="separate"/>
      </w:r>
      <w:r>
        <w:t>147</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_Toc493602346 \h </w:instrText>
      </w:r>
      <w:r>
        <w:fldChar w:fldCharType="separate"/>
      </w:r>
      <w:r>
        <w:t>147</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_Toc493602347 \h </w:instrText>
      </w:r>
      <w:r>
        <w:fldChar w:fldCharType="separate"/>
      </w:r>
      <w:r>
        <w:t>148</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_Toc493602348 \h </w:instrText>
      </w:r>
      <w:r>
        <w:fldChar w:fldCharType="separate"/>
      </w:r>
      <w:r>
        <w:t>149</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_Toc493602349 \h </w:instrText>
      </w:r>
      <w:r>
        <w:fldChar w:fldCharType="separate"/>
      </w:r>
      <w:r>
        <w:t>149</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_Toc493602350 \h </w:instrText>
      </w:r>
      <w:r>
        <w:fldChar w:fldCharType="separate"/>
      </w:r>
      <w:r>
        <w:t>150</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_Toc493602351 \h </w:instrText>
      </w:r>
      <w:r>
        <w:fldChar w:fldCharType="separate"/>
      </w:r>
      <w:r>
        <w:t>151</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_Toc493602352 \h </w:instrText>
      </w:r>
      <w:r>
        <w:fldChar w:fldCharType="separate"/>
      </w:r>
      <w:r>
        <w:t>151</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_Toc493602353 \h </w:instrText>
      </w:r>
      <w:r>
        <w:fldChar w:fldCharType="separate"/>
      </w:r>
      <w:r>
        <w:t>151</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_Toc493602354 \h </w:instrText>
      </w:r>
      <w:r>
        <w:fldChar w:fldCharType="separate"/>
      </w:r>
      <w:r>
        <w:t>152</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_Toc493602355 \h </w:instrText>
      </w:r>
      <w:r>
        <w:fldChar w:fldCharType="separate"/>
      </w:r>
      <w:r>
        <w:t>153</w:t>
      </w:r>
      <w:r>
        <w:fldChar w:fldCharType="end"/>
      </w:r>
    </w:p>
    <w:p>
      <w:pPr>
        <w:pStyle w:val="TOC8"/>
        <w:rPr>
          <w:rFonts w:asciiTheme="minorHAnsi" w:eastAsiaTheme="minorEastAsia" w:hAnsiTheme="minorHAnsi" w:cstheme="minorBidi"/>
          <w:szCs w:val="22"/>
        </w:rPr>
      </w:pPr>
      <w:r>
        <w:t>254.</w:t>
      </w:r>
      <w:r>
        <w:tab/>
        <w:t>False information</w:t>
      </w:r>
      <w:r>
        <w:tab/>
      </w:r>
      <w:r>
        <w:fldChar w:fldCharType="begin"/>
      </w:r>
      <w:r>
        <w:instrText xml:space="preserve"> PAGEREF _Toc493602356 \h </w:instrText>
      </w:r>
      <w:r>
        <w:fldChar w:fldCharType="separate"/>
      </w:r>
      <w:r>
        <w:t>153</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_Toc493602357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_Toc493602359 \h </w:instrText>
      </w:r>
      <w:r>
        <w:fldChar w:fldCharType="separate"/>
      </w:r>
      <w:r>
        <w:t>154</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_Toc493602360 \h </w:instrText>
      </w:r>
      <w:r>
        <w:fldChar w:fldCharType="separate"/>
      </w:r>
      <w:r>
        <w:t>154</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_Toc493602361 \h </w:instrText>
      </w:r>
      <w:r>
        <w:fldChar w:fldCharType="separate"/>
      </w:r>
      <w:r>
        <w:t>154</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_Toc493602362 \h </w:instrText>
      </w:r>
      <w:r>
        <w:fldChar w:fldCharType="separate"/>
      </w:r>
      <w:r>
        <w:t>155</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_Toc493602363 \h </w:instrText>
      </w:r>
      <w:r>
        <w:fldChar w:fldCharType="separate"/>
      </w:r>
      <w:r>
        <w:t>155</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_Toc493602364 \h </w:instrText>
      </w:r>
      <w:r>
        <w:fldChar w:fldCharType="separate"/>
      </w:r>
      <w:r>
        <w:t>156</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_Toc493602365 \h </w:instrText>
      </w:r>
      <w:r>
        <w:fldChar w:fldCharType="separate"/>
      </w:r>
      <w:r>
        <w:t>156</w:t>
      </w:r>
      <w:r>
        <w:fldChar w:fldCharType="end"/>
      </w:r>
    </w:p>
    <w:p>
      <w:pPr>
        <w:pStyle w:val="TOC8"/>
        <w:rPr>
          <w:rFonts w:asciiTheme="minorHAnsi" w:eastAsiaTheme="minorEastAsia" w:hAnsiTheme="minorHAnsi" w:cstheme="minorBidi"/>
          <w:szCs w:val="22"/>
        </w:rPr>
      </w:pPr>
      <w:r>
        <w:t>263.</w:t>
      </w:r>
      <w:r>
        <w:tab/>
        <w:t>Return of forfeited item</w:t>
      </w:r>
      <w:r>
        <w:tab/>
      </w:r>
      <w:r>
        <w:fldChar w:fldCharType="begin"/>
      </w:r>
      <w:r>
        <w:instrText xml:space="preserve"> PAGEREF _Toc493602366 \h </w:instrText>
      </w:r>
      <w:r>
        <w:fldChar w:fldCharType="separate"/>
      </w:r>
      <w:r>
        <w:t>157</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_Toc493602367 \h </w:instrText>
      </w:r>
      <w:r>
        <w:fldChar w:fldCharType="separate"/>
      </w:r>
      <w:r>
        <w:t>157</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_Toc493602368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_Toc493602371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_Toc493602373 \h </w:instrText>
      </w:r>
      <w:r>
        <w:fldChar w:fldCharType="separate"/>
      </w:r>
      <w:r>
        <w:t>160</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_Toc493602374 \h </w:instrText>
      </w:r>
      <w:r>
        <w:fldChar w:fldCharType="separate"/>
      </w:r>
      <w:r>
        <w:t>161</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_Toc493602375 \h </w:instrText>
      </w:r>
      <w:r>
        <w:fldChar w:fldCharType="separate"/>
      </w:r>
      <w:r>
        <w:t>161</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_Toc493602376 \h </w:instrText>
      </w:r>
      <w:r>
        <w:fldChar w:fldCharType="separate"/>
      </w:r>
      <w:r>
        <w:t>162</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_Toc493602377 \h </w:instrText>
      </w:r>
      <w:r>
        <w:fldChar w:fldCharType="separate"/>
      </w:r>
      <w:r>
        <w:t>162</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_Toc493602378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_Toc493602380 \h </w:instrText>
      </w:r>
      <w:r>
        <w:fldChar w:fldCharType="separate"/>
      </w:r>
      <w:r>
        <w:t>163</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_Toc493602381 \h </w:instrText>
      </w:r>
      <w:r>
        <w:fldChar w:fldCharType="separate"/>
      </w:r>
      <w:r>
        <w:t>163</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_Toc493602382 \h </w:instrText>
      </w:r>
      <w:r>
        <w:fldChar w:fldCharType="separate"/>
      </w:r>
      <w:r>
        <w:t>164</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_Toc493602383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_Toc493602385 \h </w:instrText>
      </w:r>
      <w:r>
        <w:fldChar w:fldCharType="separate"/>
      </w:r>
      <w:r>
        <w:t>165</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_Toc493602386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_Toc493602389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_Toc493602391 \h </w:instrText>
      </w:r>
      <w:r>
        <w:fldChar w:fldCharType="separate"/>
      </w:r>
      <w:r>
        <w:t>167</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_Toc493602392 \h </w:instrText>
      </w:r>
      <w:r>
        <w:fldChar w:fldCharType="separate"/>
      </w:r>
      <w:r>
        <w:t>167</w:t>
      </w:r>
      <w:r>
        <w:fldChar w:fldCharType="end"/>
      </w:r>
    </w:p>
    <w:p>
      <w:pPr>
        <w:pStyle w:val="TOC8"/>
        <w:rPr>
          <w:rFonts w:asciiTheme="minorHAnsi" w:eastAsiaTheme="minorEastAsia" w:hAnsiTheme="minorHAnsi" w:cstheme="minorBidi"/>
          <w:szCs w:val="22"/>
        </w:rPr>
      </w:pPr>
      <w:r>
        <w:t>282.</w:t>
      </w:r>
      <w:r>
        <w:tab/>
        <w:t>Liability of officers of body corporate for offence by body corporate</w:t>
      </w:r>
      <w:r>
        <w:tab/>
      </w:r>
      <w:r>
        <w:fldChar w:fldCharType="begin"/>
      </w:r>
      <w:r>
        <w:instrText xml:space="preserve"> PAGEREF _Toc493602393 \h </w:instrText>
      </w:r>
      <w:r>
        <w:fldChar w:fldCharType="separate"/>
      </w:r>
      <w:r>
        <w:t>168</w:t>
      </w:r>
      <w:r>
        <w:fldChar w:fldCharType="end"/>
      </w:r>
    </w:p>
    <w:p>
      <w:pPr>
        <w:pStyle w:val="TOC8"/>
        <w:rPr>
          <w:rFonts w:asciiTheme="minorHAnsi" w:eastAsiaTheme="minorEastAsia" w:hAnsiTheme="minorHAnsi" w:cstheme="minorBidi"/>
          <w:szCs w:val="22"/>
        </w:rPr>
      </w:pPr>
      <w:r>
        <w:t>283.</w:t>
      </w:r>
      <w:r>
        <w:tab/>
        <w:t>Further provisions relating to liability of officers of body corporate</w:t>
      </w:r>
      <w:r>
        <w:tab/>
      </w:r>
      <w:r>
        <w:fldChar w:fldCharType="begin"/>
      </w:r>
      <w:r>
        <w:instrText xml:space="preserve"> PAGEREF _Toc493602394 \h </w:instrText>
      </w:r>
      <w:r>
        <w:fldChar w:fldCharType="separate"/>
      </w:r>
      <w:r>
        <w:t>169</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_Toc493602395 \h </w:instrText>
      </w:r>
      <w:r>
        <w:fldChar w:fldCharType="separate"/>
      </w:r>
      <w:r>
        <w:t>169</w:t>
      </w:r>
      <w:r>
        <w:fldChar w:fldCharType="end"/>
      </w:r>
    </w:p>
    <w:p>
      <w:pPr>
        <w:pStyle w:val="TOC8"/>
        <w:rPr>
          <w:rFonts w:asciiTheme="minorHAnsi" w:eastAsiaTheme="minorEastAsia" w:hAnsiTheme="minorHAnsi" w:cstheme="minorBidi"/>
          <w:szCs w:val="22"/>
        </w:rPr>
      </w:pPr>
      <w:r>
        <w:t>285.</w:t>
      </w:r>
      <w:r>
        <w:tab/>
        <w:t>Disclosure by witnesses</w:t>
      </w:r>
      <w:r>
        <w:tab/>
      </w:r>
      <w:r>
        <w:fldChar w:fldCharType="begin"/>
      </w:r>
      <w:r>
        <w:instrText xml:space="preserve"> PAGEREF _Toc493602396 \h </w:instrText>
      </w:r>
      <w:r>
        <w:fldChar w:fldCharType="separate"/>
      </w:r>
      <w:r>
        <w:t>169</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_Toc493602397 \h </w:instrText>
      </w:r>
      <w:r>
        <w:fldChar w:fldCharType="separate"/>
      </w:r>
      <w:r>
        <w:t>170</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_Toc493602398 \h </w:instrText>
      </w:r>
      <w:r>
        <w:fldChar w:fldCharType="separate"/>
      </w:r>
      <w:r>
        <w:t>171</w:t>
      </w:r>
      <w:r>
        <w:fldChar w:fldCharType="end"/>
      </w:r>
    </w:p>
    <w:p>
      <w:pPr>
        <w:pStyle w:val="TOC8"/>
        <w:rPr>
          <w:rFonts w:asciiTheme="minorHAnsi" w:eastAsiaTheme="minorEastAsia" w:hAnsiTheme="minorHAnsi" w:cstheme="minorBidi"/>
          <w:szCs w:val="22"/>
        </w:rPr>
      </w:pPr>
      <w:r>
        <w:t>288.</w:t>
      </w:r>
      <w:r>
        <w:tab/>
        <w:t>Court may order forfeiture</w:t>
      </w:r>
      <w:r>
        <w:tab/>
      </w:r>
      <w:r>
        <w:fldChar w:fldCharType="begin"/>
      </w:r>
      <w:r>
        <w:instrText xml:space="preserve"> PAGEREF _Toc493602399 \h </w:instrText>
      </w:r>
      <w:r>
        <w:fldChar w:fldCharType="separate"/>
      </w:r>
      <w:r>
        <w:t>171</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_Toc493602400 \h </w:instrText>
      </w:r>
      <w:r>
        <w:fldChar w:fldCharType="separate"/>
      </w:r>
      <w:r>
        <w:t>172</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_Toc493602401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_Toc493602404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_Toc493602406 \h </w:instrText>
      </w:r>
      <w:r>
        <w:fldChar w:fldCharType="separate"/>
      </w:r>
      <w:r>
        <w:t>175</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_Toc493602407 \h </w:instrText>
      </w:r>
      <w:r>
        <w:fldChar w:fldCharType="separate"/>
      </w:r>
      <w:r>
        <w:t>176</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_Toc493602408 \h </w:instrText>
      </w:r>
      <w:r>
        <w:fldChar w:fldCharType="separate"/>
      </w:r>
      <w:r>
        <w:t>178</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_Toc493602409 \h </w:instrText>
      </w:r>
      <w:r>
        <w:fldChar w:fldCharType="separate"/>
      </w:r>
      <w:r>
        <w:t>178</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_Toc493602410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_Toc493602412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_Toc493602414 \h </w:instrText>
      </w:r>
      <w:r>
        <w:fldChar w:fldCharType="separate"/>
      </w:r>
      <w:r>
        <w:t>180</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_Toc493602415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_Toc493602417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_Toc493602419 \h </w:instrText>
      </w:r>
      <w:r>
        <w:fldChar w:fldCharType="separate"/>
      </w:r>
      <w:r>
        <w:t>185</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_Toc493602420 \h </w:instrText>
      </w:r>
      <w:r>
        <w:fldChar w:fldCharType="separate"/>
      </w:r>
      <w:r>
        <w:t>185</w:t>
      </w:r>
      <w:r>
        <w:fldChar w:fldCharType="end"/>
      </w:r>
    </w:p>
    <w:p>
      <w:pPr>
        <w:pStyle w:val="TOC8"/>
        <w:rPr>
          <w:rFonts w:asciiTheme="minorHAnsi" w:eastAsiaTheme="minorEastAsia" w:hAnsiTheme="minorHAnsi" w:cstheme="minorBidi"/>
          <w:szCs w:val="22"/>
        </w:rPr>
      </w:pPr>
      <w:r>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_Toc493602421 \h </w:instrText>
      </w:r>
      <w:r>
        <w:fldChar w:fldCharType="separate"/>
      </w:r>
      <w:r>
        <w:t>185</w:t>
      </w:r>
      <w:r>
        <w:fldChar w:fldCharType="end"/>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_Toc493602422 \h </w:instrText>
      </w:r>
      <w:r>
        <w:fldChar w:fldCharType="separate"/>
      </w:r>
      <w:r>
        <w:t>185</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_Toc493602423 \h </w:instrText>
      </w:r>
      <w:r>
        <w:fldChar w:fldCharType="separate"/>
      </w:r>
      <w:r>
        <w:t>186</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_Toc493602424 \h </w:instrText>
      </w:r>
      <w:r>
        <w:fldChar w:fldCharType="separate"/>
      </w:r>
      <w:r>
        <w:t>186</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_Toc493602425 \h </w:instrText>
      </w:r>
      <w:r>
        <w:fldChar w:fldCharType="separate"/>
      </w:r>
      <w:r>
        <w:t>187</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_Toc493602426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_Toc493602428 \h </w:instrText>
      </w:r>
      <w:r>
        <w:fldChar w:fldCharType="separate"/>
      </w:r>
      <w:r>
        <w:t>190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_Toc493602429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3" w:name="BillCited"/>
      <w:bookmarkEnd w:id="3"/>
      <w:r>
        <w:rPr>
          <w:snapToGrid w:val="0"/>
        </w:rPr>
        <w:t xml:space="preserve">An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02268981"/>
      <w:bookmarkStart w:id="5" w:name="_Toc402269360"/>
      <w:bookmarkStart w:id="6" w:name="_Toc402273629"/>
      <w:bookmarkStart w:id="7" w:name="_Toc402274479"/>
      <w:bookmarkStart w:id="8" w:name="_Toc402278874"/>
      <w:bookmarkStart w:id="9" w:name="_Toc402279253"/>
      <w:bookmarkStart w:id="10" w:name="_Toc402344606"/>
      <w:bookmarkStart w:id="11" w:name="_Toc402419527"/>
      <w:bookmarkStart w:id="12" w:name="_Toc403034579"/>
      <w:bookmarkStart w:id="13" w:name="_Toc403035950"/>
      <w:bookmarkStart w:id="14" w:name="_Toc403468158"/>
      <w:bookmarkStart w:id="15" w:name="_Toc404169567"/>
      <w:bookmarkStart w:id="16" w:name="_Toc404172239"/>
      <w:bookmarkStart w:id="17" w:name="_Toc404178182"/>
      <w:bookmarkStart w:id="18" w:name="_Toc436298754"/>
      <w:bookmarkStart w:id="19" w:name="_Toc436299624"/>
      <w:bookmarkStart w:id="20" w:name="_Toc436302140"/>
      <w:bookmarkStart w:id="21" w:name="_Toc455145379"/>
      <w:bookmarkStart w:id="22" w:name="_Toc455150111"/>
      <w:bookmarkStart w:id="23" w:name="_Toc455748267"/>
      <w:bookmarkStart w:id="24" w:name="_Toc457218929"/>
      <w:bookmarkStart w:id="25" w:name="_Toc457225482"/>
      <w:bookmarkStart w:id="26" w:name="_Toc457228980"/>
      <w:bookmarkStart w:id="27" w:name="_Toc457231369"/>
      <w:bookmarkStart w:id="28" w:name="_Toc457299325"/>
      <w:bookmarkStart w:id="29" w:name="_Toc457395575"/>
      <w:bookmarkStart w:id="30" w:name="_Toc457471949"/>
      <w:bookmarkStart w:id="31" w:name="_Toc462732430"/>
      <w:bookmarkStart w:id="32" w:name="_Toc462751748"/>
      <w:bookmarkStart w:id="33" w:name="_Toc462751787"/>
      <w:bookmarkStart w:id="34" w:name="_Toc472088196"/>
      <w:bookmarkStart w:id="35" w:name="_Toc473036915"/>
      <w:bookmarkStart w:id="36" w:name="_Toc473037712"/>
      <w:bookmarkStart w:id="37" w:name="_Toc473038700"/>
      <w:bookmarkStart w:id="38" w:name="_Toc473130231"/>
      <w:bookmarkStart w:id="39" w:name="_Toc474749074"/>
      <w:bookmarkStart w:id="40" w:name="_Toc474749211"/>
      <w:bookmarkStart w:id="41" w:name="_Toc493509120"/>
      <w:bookmarkStart w:id="42" w:name="_Toc493509763"/>
      <w:bookmarkStart w:id="43" w:name="_Toc493598609"/>
      <w:bookmarkStart w:id="44" w:name="_Toc493600369"/>
      <w:bookmarkStart w:id="45" w:name="_Toc493602133"/>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457218930"/>
      <w:bookmarkStart w:id="47" w:name="_Toc457225483"/>
      <w:bookmarkStart w:id="48" w:name="_Toc473130232"/>
      <w:bookmarkStart w:id="49" w:name="_Toc493602134"/>
      <w:r>
        <w:rPr>
          <w:rStyle w:val="CharSectno"/>
        </w:rPr>
        <w:t>1</w:t>
      </w:r>
      <w:r>
        <w:t>.</w:t>
      </w:r>
      <w:r>
        <w:tab/>
      </w:r>
      <w:r>
        <w:rPr>
          <w:snapToGrid w:val="0"/>
        </w:rPr>
        <w:t>Short title</w:t>
      </w:r>
      <w:bookmarkEnd w:id="46"/>
      <w:bookmarkEnd w:id="47"/>
      <w:bookmarkEnd w:id="48"/>
      <w:bookmarkEnd w:id="49"/>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50" w:name="_Toc457218931"/>
      <w:bookmarkStart w:id="51" w:name="_Toc457225484"/>
      <w:bookmarkStart w:id="52" w:name="_Toc473130233"/>
      <w:bookmarkStart w:id="53" w:name="_Toc493602135"/>
      <w:r>
        <w:rPr>
          <w:rStyle w:val="CharSectno"/>
        </w:rPr>
        <w:t>2</w:t>
      </w:r>
      <w:r>
        <w:rPr>
          <w:snapToGrid w:val="0"/>
        </w:rPr>
        <w:t>.</w:t>
      </w:r>
      <w:r>
        <w:rPr>
          <w:snapToGrid w:val="0"/>
        </w:rPr>
        <w:tab/>
      </w:r>
      <w:r>
        <w:t>Commencement</w:t>
      </w:r>
      <w:bookmarkEnd w:id="50"/>
      <w:bookmarkEnd w:id="51"/>
      <w:bookmarkEnd w:id="52"/>
      <w:bookmarkEnd w:id="53"/>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54" w:name="_Toc457218932"/>
      <w:bookmarkStart w:id="55" w:name="_Toc457225485"/>
      <w:bookmarkStart w:id="56" w:name="_Toc473130234"/>
      <w:bookmarkStart w:id="57" w:name="_Toc493602136"/>
      <w:r>
        <w:rPr>
          <w:rStyle w:val="CharSectno"/>
        </w:rPr>
        <w:t>3</w:t>
      </w:r>
      <w:r>
        <w:t>.</w:t>
      </w:r>
      <w:r>
        <w:tab/>
        <w:t>Objects and principles</w:t>
      </w:r>
      <w:bookmarkEnd w:id="54"/>
      <w:bookmarkEnd w:id="55"/>
      <w:bookmarkEnd w:id="56"/>
      <w:bookmarkEnd w:id="57"/>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58" w:name="_Toc457218933"/>
      <w:bookmarkStart w:id="59" w:name="_Toc457225486"/>
      <w:bookmarkStart w:id="60" w:name="_Toc402269286"/>
      <w:bookmarkStart w:id="61" w:name="_Toc402269665"/>
      <w:bookmarkStart w:id="62" w:name="_Toc402273934"/>
      <w:bookmarkStart w:id="63" w:name="_Toc402274784"/>
      <w:bookmarkStart w:id="64" w:name="_Toc402279179"/>
      <w:bookmarkStart w:id="65" w:name="_Toc402279558"/>
      <w:bookmarkStart w:id="66" w:name="_Toc402344911"/>
      <w:bookmarkStart w:id="67" w:name="_Toc402419832"/>
      <w:bookmarkStart w:id="68" w:name="_Toc403034884"/>
      <w:bookmarkStart w:id="69" w:name="_Toc403036255"/>
      <w:bookmarkStart w:id="70" w:name="_Toc403468463"/>
      <w:bookmarkStart w:id="71" w:name="_Toc404169872"/>
      <w:bookmarkStart w:id="72" w:name="_Toc404172544"/>
      <w:bookmarkStart w:id="73" w:name="_Toc404178487"/>
      <w:bookmarkStart w:id="74" w:name="_Toc436299062"/>
      <w:bookmarkStart w:id="75" w:name="_Toc436299939"/>
      <w:bookmarkStart w:id="76" w:name="_Toc436302457"/>
      <w:bookmarkStart w:id="77" w:name="_Toc455145696"/>
      <w:bookmarkStart w:id="78" w:name="_Toc455150428"/>
      <w:bookmarkStart w:id="79" w:name="_Toc455748584"/>
      <w:bookmarkStart w:id="80" w:name="_Toc457219246"/>
      <w:bookmarkStart w:id="81"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82" w:name="_Toc473130235"/>
      <w:bookmarkStart w:id="83" w:name="_Toc493602137"/>
      <w:r>
        <w:rPr>
          <w:rStyle w:val="CharSectno"/>
        </w:rPr>
        <w:t>4</w:t>
      </w:r>
      <w:r>
        <w:t>.</w:t>
      </w:r>
      <w:r>
        <w:tab/>
        <w:t>Terms used</w:t>
      </w:r>
      <w:bookmarkEnd w:id="58"/>
      <w:bookmarkEnd w:id="59"/>
      <w:bookmarkEnd w:id="82"/>
      <w:bookmarkEnd w:id="83"/>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tabs>
          <w:tab w:val="left" w:pos="1701"/>
        </w:tabs>
      </w:pPr>
      <w:r>
        <w:rPr>
          <w:b/>
        </w:rPr>
        <w:tab/>
      </w:r>
      <w:r>
        <w:rPr>
          <w:rStyle w:val="CharDefText"/>
        </w:rPr>
        <w:t>child care service</w:t>
      </w:r>
      <w:r>
        <w:t xml:space="preserve"> means — </w:t>
      </w:r>
    </w:p>
    <w:p>
      <w:pPr>
        <w:pStyle w:val="Defpara"/>
        <w:tabs>
          <w:tab w:val="left" w:pos="1701"/>
        </w:tabs>
      </w:pPr>
      <w:r>
        <w:tab/>
        <w:t>(a)</w:t>
      </w:r>
      <w:r>
        <w:tab/>
        <w:t xml:space="preserve">an education and care service as defined in the </w:t>
      </w:r>
      <w:r>
        <w:rPr>
          <w:i/>
        </w:rPr>
        <w:t>Education and Care Services National Law (Western Australia)</w:t>
      </w:r>
      <w:r>
        <w:t xml:space="preserve"> section 5(1); or</w:t>
      </w:r>
    </w:p>
    <w:p>
      <w:pPr>
        <w:pStyle w:val="Defpara"/>
        <w:tabs>
          <w:tab w:val="left" w:pos="1701"/>
        </w:tabs>
      </w:pPr>
      <w:r>
        <w:tab/>
        <w:t>(b)</w:t>
      </w:r>
      <w:r>
        <w:tab/>
        <w:t xml:space="preserve">a child care service as defined in the </w:t>
      </w:r>
      <w:r>
        <w:rPr>
          <w:i/>
        </w:rPr>
        <w:t>Child Care Services Act 2007</w:t>
      </w:r>
      <w:r>
        <w:t xml:space="preserve"> section 4;</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t>sterile hypodermic syringes;</w:t>
      </w:r>
    </w:p>
    <w:p>
      <w:pPr>
        <w:pStyle w:val="Defsubpara"/>
        <w:tabs>
          <w:tab w:val="left" w:pos="1701"/>
        </w:tabs>
      </w:pPr>
      <w:r>
        <w:tab/>
        <w:t>(ii)</w:t>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whose name is entered on the Register of Nurses kept under that Law as being qualified to practise as a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rPr>
          <w:rStyle w:val="CharSectno"/>
        </w:rPr>
      </w:pPr>
      <w:bookmarkStart w:id="84" w:name="_Toc457218934"/>
      <w:bookmarkStart w:id="85" w:name="_Toc457225487"/>
      <w:r>
        <w:tab/>
        <w:t>[Section 4 amended by No. 26 of 2016 s. 82.]</w:t>
      </w:r>
    </w:p>
    <w:p>
      <w:pPr>
        <w:pStyle w:val="Heading5"/>
      </w:pPr>
      <w:bookmarkStart w:id="86" w:name="_Toc473130236"/>
      <w:bookmarkStart w:id="87" w:name="_Toc493602138"/>
      <w:r>
        <w:rPr>
          <w:rStyle w:val="CharSectno"/>
        </w:rPr>
        <w:t>5</w:t>
      </w:r>
      <w:r>
        <w:t>.</w:t>
      </w:r>
      <w:r>
        <w:tab/>
        <w:t>Crown bound</w:t>
      </w:r>
      <w:bookmarkEnd w:id="84"/>
      <w:bookmarkEnd w:id="85"/>
      <w:bookmarkEnd w:id="86"/>
      <w:bookmarkEnd w:id="87"/>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88" w:name="_Toc472669844"/>
      <w:bookmarkStart w:id="89" w:name="_Toc473036921"/>
      <w:bookmarkStart w:id="90" w:name="_Toc473037718"/>
      <w:bookmarkStart w:id="91" w:name="_Toc473038706"/>
      <w:bookmarkStart w:id="92" w:name="_Toc473130237"/>
      <w:bookmarkStart w:id="93" w:name="_Toc474749080"/>
      <w:bookmarkStart w:id="94" w:name="_Toc474749217"/>
      <w:bookmarkStart w:id="95" w:name="_Toc493509126"/>
      <w:bookmarkStart w:id="96" w:name="_Toc493509769"/>
      <w:bookmarkStart w:id="97" w:name="_Toc493598615"/>
      <w:bookmarkStart w:id="98" w:name="_Toc493600375"/>
      <w:bookmarkStart w:id="99" w:name="_Toc493602139"/>
      <w:r>
        <w:rPr>
          <w:rStyle w:val="CharPartNo"/>
        </w:rPr>
        <w:t>Part 2</w:t>
      </w:r>
      <w:r>
        <w:t> — </w:t>
      </w:r>
      <w:r>
        <w:rPr>
          <w:rStyle w:val="CharPartText"/>
        </w:rPr>
        <w:t>Administration</w:t>
      </w:r>
      <w:bookmarkEnd w:id="88"/>
      <w:bookmarkEnd w:id="89"/>
      <w:bookmarkEnd w:id="90"/>
      <w:bookmarkEnd w:id="91"/>
      <w:bookmarkEnd w:id="92"/>
      <w:bookmarkEnd w:id="93"/>
      <w:bookmarkEnd w:id="94"/>
      <w:bookmarkEnd w:id="95"/>
      <w:bookmarkEnd w:id="96"/>
      <w:bookmarkEnd w:id="97"/>
      <w:bookmarkEnd w:id="98"/>
      <w:bookmarkEnd w:id="99"/>
    </w:p>
    <w:p>
      <w:pPr>
        <w:pStyle w:val="Heading3"/>
        <w:rPr>
          <w:rStyle w:val="CharDivText"/>
        </w:rPr>
      </w:pPr>
      <w:bookmarkStart w:id="100" w:name="_Toc472669845"/>
      <w:bookmarkStart w:id="101" w:name="_Toc473036922"/>
      <w:bookmarkStart w:id="102" w:name="_Toc473037719"/>
      <w:bookmarkStart w:id="103" w:name="_Toc473038707"/>
      <w:bookmarkStart w:id="104" w:name="_Toc473130238"/>
      <w:bookmarkStart w:id="105" w:name="_Toc474749081"/>
      <w:bookmarkStart w:id="106" w:name="_Toc474749218"/>
      <w:bookmarkStart w:id="107" w:name="_Toc493509127"/>
      <w:bookmarkStart w:id="108" w:name="_Toc493509770"/>
      <w:bookmarkStart w:id="109" w:name="_Toc493598616"/>
      <w:bookmarkStart w:id="110" w:name="_Toc493600376"/>
      <w:bookmarkStart w:id="111" w:name="_Toc493602140"/>
      <w:r>
        <w:rPr>
          <w:rStyle w:val="CharDivNo"/>
        </w:rPr>
        <w:t>Division 1</w:t>
      </w:r>
      <w:r>
        <w:t> — </w:t>
      </w:r>
      <w:r>
        <w:rPr>
          <w:rStyle w:val="CharDivText"/>
        </w:rPr>
        <w:t>Chief Health Officer</w:t>
      </w:r>
      <w:bookmarkEnd w:id="100"/>
      <w:bookmarkEnd w:id="101"/>
      <w:bookmarkEnd w:id="102"/>
      <w:bookmarkEnd w:id="103"/>
      <w:bookmarkEnd w:id="104"/>
      <w:bookmarkEnd w:id="105"/>
      <w:bookmarkEnd w:id="106"/>
      <w:bookmarkEnd w:id="107"/>
      <w:bookmarkEnd w:id="108"/>
      <w:bookmarkEnd w:id="109"/>
      <w:bookmarkEnd w:id="110"/>
      <w:bookmarkEnd w:id="111"/>
    </w:p>
    <w:p>
      <w:pPr>
        <w:pStyle w:val="Heading4"/>
      </w:pPr>
      <w:bookmarkStart w:id="112" w:name="_Toc472669846"/>
      <w:bookmarkStart w:id="113" w:name="_Toc473036923"/>
      <w:bookmarkStart w:id="114" w:name="_Toc473037720"/>
      <w:bookmarkStart w:id="115" w:name="_Toc473038708"/>
      <w:bookmarkStart w:id="116" w:name="_Toc473130239"/>
      <w:bookmarkStart w:id="117" w:name="_Toc474749082"/>
      <w:bookmarkStart w:id="118" w:name="_Toc474749219"/>
      <w:bookmarkStart w:id="119" w:name="_Toc493509128"/>
      <w:bookmarkStart w:id="120" w:name="_Toc493509771"/>
      <w:bookmarkStart w:id="121" w:name="_Toc493598617"/>
      <w:bookmarkStart w:id="122" w:name="_Toc493600377"/>
      <w:bookmarkStart w:id="123" w:name="_Toc493602141"/>
      <w:r>
        <w:t>Subdivision 1 — Functions of Chief Health Officer</w:t>
      </w:r>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472669847"/>
      <w:bookmarkStart w:id="125" w:name="_Toc473130240"/>
      <w:bookmarkStart w:id="126" w:name="_Toc493602142"/>
      <w:r>
        <w:rPr>
          <w:rStyle w:val="CharSectno"/>
        </w:rPr>
        <w:t>6</w:t>
      </w:r>
      <w:r>
        <w:t>.</w:t>
      </w:r>
      <w:r>
        <w:tab/>
        <w:t>Functions of Chief Health Officer</w:t>
      </w:r>
      <w:bookmarkEnd w:id="124"/>
      <w:bookmarkEnd w:id="125"/>
      <w:bookmarkEnd w:id="126"/>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 </w:t>
      </w:r>
      <w:r>
        <w:rPr>
          <w:vertAlign w:val="superscript"/>
        </w:rPr>
        <w:t>2</w:t>
      </w:r>
      <w:r>
        <w:t>.]</w:t>
      </w:r>
    </w:p>
    <w:p>
      <w:pPr>
        <w:pStyle w:val="Heading5"/>
      </w:pPr>
      <w:bookmarkStart w:id="127" w:name="_Toc472669850"/>
      <w:bookmarkStart w:id="128" w:name="_Toc473130241"/>
      <w:bookmarkStart w:id="129" w:name="_Toc493602143"/>
      <w:r>
        <w:rPr>
          <w:rStyle w:val="CharSectno"/>
        </w:rPr>
        <w:t>9</w:t>
      </w:r>
      <w:r>
        <w:t>.</w:t>
      </w:r>
      <w:r>
        <w:tab/>
        <w:t>Chief Health Officer may delegate</w:t>
      </w:r>
      <w:bookmarkEnd w:id="127"/>
      <w:bookmarkEnd w:id="128"/>
      <w:bookmarkEnd w:id="129"/>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Heading5"/>
      </w:pPr>
      <w:bookmarkStart w:id="130" w:name="_Toc472669851"/>
      <w:bookmarkStart w:id="131" w:name="_Toc473130242"/>
      <w:bookmarkStart w:id="132" w:name="_Toc493602144"/>
      <w:r>
        <w:rPr>
          <w:rStyle w:val="CharSectno"/>
        </w:rPr>
        <w:t>10</w:t>
      </w:r>
      <w:r>
        <w:t>.</w:t>
      </w:r>
      <w:r>
        <w:tab/>
        <w:t xml:space="preserve">Power to delegate under </w:t>
      </w:r>
      <w:r>
        <w:rPr>
          <w:i/>
        </w:rPr>
        <w:t>Health Legislation Administration Act 1984</w:t>
      </w:r>
      <w:r>
        <w:t xml:space="preserve"> section 9 excluded</w:t>
      </w:r>
      <w:bookmarkEnd w:id="130"/>
      <w:bookmarkEnd w:id="131"/>
      <w:bookmarkEnd w:id="132"/>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133" w:name="_Toc472669852"/>
      <w:bookmarkStart w:id="134" w:name="_Toc473036927"/>
      <w:bookmarkStart w:id="135" w:name="_Toc473037724"/>
      <w:bookmarkStart w:id="136" w:name="_Toc473038712"/>
      <w:bookmarkStart w:id="137" w:name="_Toc473130243"/>
      <w:bookmarkStart w:id="138" w:name="_Toc474749086"/>
      <w:bookmarkStart w:id="139" w:name="_Toc474749223"/>
      <w:bookmarkStart w:id="140" w:name="_Toc493509132"/>
      <w:bookmarkStart w:id="141" w:name="_Toc493509775"/>
      <w:bookmarkStart w:id="142" w:name="_Toc493598621"/>
      <w:bookmarkStart w:id="143" w:name="_Toc493600381"/>
      <w:bookmarkStart w:id="144" w:name="_Toc493602145"/>
      <w:r>
        <w:t>Subdivision 2 — Designation of Chief Health Officer</w:t>
      </w:r>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472669853"/>
      <w:bookmarkStart w:id="146" w:name="_Toc473130244"/>
      <w:bookmarkStart w:id="147" w:name="_Toc493602146"/>
      <w:r>
        <w:rPr>
          <w:rStyle w:val="CharSectno"/>
        </w:rPr>
        <w:t>11</w:t>
      </w:r>
      <w:r>
        <w:t>.</w:t>
      </w:r>
      <w:r>
        <w:tab/>
        <w:t>Minister to designate Chief Health Officer</w:t>
      </w:r>
      <w:bookmarkEnd w:id="145"/>
      <w:bookmarkEnd w:id="146"/>
      <w:bookmarkEnd w:id="147"/>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148" w:name="_Toc472669854"/>
      <w:bookmarkStart w:id="149" w:name="_Toc473130245"/>
      <w:bookmarkStart w:id="150" w:name="_Toc493602147"/>
      <w:r>
        <w:rPr>
          <w:rStyle w:val="CharSectno"/>
        </w:rPr>
        <w:t>12</w:t>
      </w:r>
      <w:r>
        <w:t>.</w:t>
      </w:r>
      <w:r>
        <w:tab/>
        <w:t>Term of office and remuneration of Chief Health Officer</w:t>
      </w:r>
      <w:bookmarkEnd w:id="148"/>
      <w:bookmarkEnd w:id="149"/>
      <w:bookmarkEnd w:id="150"/>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151" w:name="_Toc472669855"/>
      <w:bookmarkStart w:id="152" w:name="_Toc473130246"/>
      <w:bookmarkStart w:id="153" w:name="_Toc493602148"/>
      <w:r>
        <w:rPr>
          <w:rStyle w:val="CharSectno"/>
        </w:rPr>
        <w:t>13</w:t>
      </w:r>
      <w:r>
        <w:t>.</w:t>
      </w:r>
      <w:r>
        <w:tab/>
        <w:t>Resignation, vacation of office and removal from office</w:t>
      </w:r>
      <w:bookmarkEnd w:id="151"/>
      <w:bookmarkEnd w:id="152"/>
      <w:bookmarkEnd w:id="153"/>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154" w:name="_Toc472669856"/>
      <w:bookmarkStart w:id="155" w:name="_Toc473130247"/>
      <w:bookmarkStart w:id="156" w:name="_Toc493602149"/>
      <w:r>
        <w:rPr>
          <w:rStyle w:val="CharSectno"/>
        </w:rPr>
        <w:t>14</w:t>
      </w:r>
      <w:r>
        <w:t>.</w:t>
      </w:r>
      <w:r>
        <w:tab/>
        <w:t>Acting Chief Health Officer</w:t>
      </w:r>
      <w:bookmarkEnd w:id="154"/>
      <w:bookmarkEnd w:id="155"/>
      <w:bookmarkEnd w:id="156"/>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157" w:name="_Toc472669857"/>
      <w:bookmarkStart w:id="158" w:name="_Toc473130248"/>
      <w:bookmarkStart w:id="159" w:name="_Toc493602150"/>
      <w:r>
        <w:rPr>
          <w:rStyle w:val="CharSectno"/>
        </w:rPr>
        <w:t>15</w:t>
      </w:r>
      <w:r>
        <w:t>.</w:t>
      </w:r>
      <w:r>
        <w:tab/>
        <w:t>Authority of Acting Chief Health Officer</w:t>
      </w:r>
      <w:bookmarkEnd w:id="157"/>
      <w:bookmarkEnd w:id="158"/>
      <w:bookmarkEnd w:id="159"/>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rPr>
          <w:rStyle w:val="CharDivText"/>
        </w:rPr>
      </w:pPr>
      <w:bookmarkStart w:id="160" w:name="_Toc472669858"/>
      <w:bookmarkStart w:id="161" w:name="_Toc473036933"/>
      <w:bookmarkStart w:id="162" w:name="_Toc473037730"/>
      <w:bookmarkStart w:id="163" w:name="_Toc473038718"/>
      <w:bookmarkStart w:id="164" w:name="_Toc473130249"/>
      <w:bookmarkStart w:id="165" w:name="_Toc474749092"/>
      <w:bookmarkStart w:id="166" w:name="_Toc474749229"/>
      <w:bookmarkStart w:id="167" w:name="_Toc493509138"/>
      <w:bookmarkStart w:id="168" w:name="_Toc493509781"/>
      <w:bookmarkStart w:id="169" w:name="_Toc493598627"/>
      <w:bookmarkStart w:id="170" w:name="_Toc493600387"/>
      <w:bookmarkStart w:id="171" w:name="_Toc493602151"/>
      <w:r>
        <w:rPr>
          <w:rStyle w:val="CharDivNo"/>
        </w:rPr>
        <w:t>Division 2</w:t>
      </w:r>
      <w:r>
        <w:t> — </w:t>
      </w:r>
      <w:r>
        <w:rPr>
          <w:rStyle w:val="CharDivText"/>
        </w:rPr>
        <w:t>Functions of local governments</w:t>
      </w:r>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472669859"/>
      <w:bookmarkStart w:id="173" w:name="_Toc473130250"/>
      <w:bookmarkStart w:id="174" w:name="_Toc493602152"/>
      <w:r>
        <w:rPr>
          <w:rStyle w:val="CharSectno"/>
        </w:rPr>
        <w:t>16</w:t>
      </w:r>
      <w:r>
        <w:t>.</w:t>
      </w:r>
      <w:r>
        <w:tab/>
        <w:t>Functions of local governments</w:t>
      </w:r>
      <w:bookmarkEnd w:id="172"/>
      <w:bookmarkEnd w:id="173"/>
      <w:bookmarkEnd w:id="174"/>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175" w:name="_Toc472669860"/>
      <w:bookmarkStart w:id="176" w:name="_Toc473130251"/>
      <w:bookmarkStart w:id="177" w:name="_Toc493602153"/>
      <w:r>
        <w:rPr>
          <w:rStyle w:val="CharSectno"/>
        </w:rPr>
        <w:t>17</w:t>
      </w:r>
      <w:r>
        <w:t>.</w:t>
      </w:r>
      <w:r>
        <w:tab/>
        <w:t>Appointment of environmental health officers</w:t>
      </w:r>
      <w:bookmarkEnd w:id="175"/>
      <w:bookmarkEnd w:id="176"/>
      <w:bookmarkEnd w:id="177"/>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178" w:name="_Toc472669861"/>
      <w:bookmarkStart w:id="179" w:name="_Toc473130252"/>
      <w:bookmarkStart w:id="180" w:name="_Toc493602154"/>
      <w:r>
        <w:rPr>
          <w:rStyle w:val="CharSectno"/>
        </w:rPr>
        <w:t>18</w:t>
      </w:r>
      <w:r>
        <w:t>.</w:t>
      </w:r>
      <w:r>
        <w:tab/>
        <w:t>Chief Health Officer to approve qualifications and experience required by environmental health officers</w:t>
      </w:r>
      <w:bookmarkEnd w:id="178"/>
      <w:bookmarkEnd w:id="179"/>
      <w:bookmarkEnd w:id="180"/>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181" w:name="_Toc472669862"/>
      <w:bookmarkStart w:id="182" w:name="_Toc473036937"/>
      <w:bookmarkStart w:id="183" w:name="_Toc473037734"/>
      <w:bookmarkStart w:id="184" w:name="_Toc473038722"/>
      <w:bookmarkStart w:id="185" w:name="_Toc473130253"/>
      <w:bookmarkStart w:id="186" w:name="_Toc474749096"/>
      <w:bookmarkStart w:id="187" w:name="_Toc474749233"/>
      <w:bookmarkStart w:id="188" w:name="_Toc493509142"/>
      <w:bookmarkStart w:id="189" w:name="_Toc493509785"/>
      <w:bookmarkStart w:id="190" w:name="_Toc493598631"/>
      <w:bookmarkStart w:id="191" w:name="_Toc493600391"/>
      <w:bookmarkStart w:id="192" w:name="_Toc493602155"/>
      <w:r>
        <w:rPr>
          <w:rStyle w:val="CharDivNo"/>
        </w:rPr>
        <w:t>Division 3</w:t>
      </w:r>
      <w:r>
        <w:t> — </w:t>
      </w:r>
      <w:r>
        <w:rPr>
          <w:rStyle w:val="CharDivText"/>
        </w:rPr>
        <w:t>Functions of enforcement agencies</w:t>
      </w:r>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472669863"/>
      <w:bookmarkStart w:id="194" w:name="_Toc473130254"/>
      <w:bookmarkStart w:id="195" w:name="_Toc493602156"/>
      <w:r>
        <w:rPr>
          <w:rStyle w:val="CharSectno"/>
        </w:rPr>
        <w:t>19</w:t>
      </w:r>
      <w:r>
        <w:t>.</w:t>
      </w:r>
      <w:r>
        <w:tab/>
        <w:t>Functions of enforcement agencies</w:t>
      </w:r>
      <w:bookmarkEnd w:id="193"/>
      <w:bookmarkEnd w:id="194"/>
      <w:bookmarkEnd w:id="195"/>
    </w:p>
    <w:p>
      <w:pPr>
        <w:pStyle w:val="Subsection"/>
      </w:pPr>
      <w:r>
        <w:tab/>
      </w:r>
      <w:r>
        <w:tab/>
        <w:t>An enforcement agency has the functions in relation to the administration of this Act that are conferred or imposed on the agency by or under this Act.</w:t>
      </w:r>
    </w:p>
    <w:p>
      <w:pPr>
        <w:pStyle w:val="Heading5"/>
      </w:pPr>
      <w:bookmarkStart w:id="196" w:name="_Toc472669864"/>
      <w:bookmarkStart w:id="197" w:name="_Toc473130255"/>
      <w:bookmarkStart w:id="198" w:name="_Toc493602157"/>
      <w:r>
        <w:rPr>
          <w:rStyle w:val="CharSectno"/>
        </w:rPr>
        <w:t>20</w:t>
      </w:r>
      <w:r>
        <w:t>.</w:t>
      </w:r>
      <w:r>
        <w:tab/>
        <w:t>Conditions on performance of functions by enforcement agencies</w:t>
      </w:r>
      <w:bookmarkEnd w:id="196"/>
      <w:bookmarkEnd w:id="197"/>
      <w:bookmarkEnd w:id="198"/>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199" w:name="_Toc472669865"/>
      <w:bookmarkStart w:id="200" w:name="_Toc473130256"/>
      <w:bookmarkStart w:id="201" w:name="_Toc493602158"/>
      <w:r>
        <w:rPr>
          <w:rStyle w:val="CharSectno"/>
        </w:rPr>
        <w:t>21</w:t>
      </w:r>
      <w:r>
        <w:t>.</w:t>
      </w:r>
      <w:r>
        <w:tab/>
        <w:t>Enforcement agency may delegate</w:t>
      </w:r>
      <w:bookmarkEnd w:id="199"/>
      <w:bookmarkEnd w:id="200"/>
      <w:bookmarkEnd w:id="201"/>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202" w:name="_Toc472669866"/>
      <w:bookmarkStart w:id="203" w:name="_Toc473130257"/>
      <w:bookmarkStart w:id="204" w:name="_Toc493602159"/>
      <w:r>
        <w:rPr>
          <w:rStyle w:val="CharSectno"/>
        </w:rPr>
        <w:t>22</w:t>
      </w:r>
      <w:r>
        <w:t>.</w:t>
      </w:r>
      <w:r>
        <w:tab/>
        <w:t>Reports by and about enforcement agencies</w:t>
      </w:r>
      <w:bookmarkEnd w:id="202"/>
      <w:bookmarkEnd w:id="203"/>
      <w:bookmarkEnd w:id="204"/>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205" w:name="_Toc472669867"/>
      <w:bookmarkStart w:id="206" w:name="_Toc473036942"/>
      <w:bookmarkStart w:id="207" w:name="_Toc473037739"/>
      <w:bookmarkStart w:id="208" w:name="_Toc473038727"/>
      <w:bookmarkStart w:id="209" w:name="_Toc473130258"/>
      <w:bookmarkStart w:id="210" w:name="_Toc474749101"/>
      <w:bookmarkStart w:id="211" w:name="_Toc474749238"/>
      <w:bookmarkStart w:id="212" w:name="_Toc493509147"/>
      <w:bookmarkStart w:id="213" w:name="_Toc493509790"/>
      <w:bookmarkStart w:id="214" w:name="_Toc493598636"/>
      <w:bookmarkStart w:id="215" w:name="_Toc493600396"/>
      <w:bookmarkStart w:id="216" w:name="_Toc493602160"/>
      <w:r>
        <w:rPr>
          <w:rStyle w:val="CharDivNo"/>
        </w:rPr>
        <w:t>Division 4</w:t>
      </w:r>
      <w:r>
        <w:t> — </w:t>
      </w:r>
      <w:r>
        <w:rPr>
          <w:rStyle w:val="CharDivText"/>
        </w:rPr>
        <w:t>Authorised officers</w:t>
      </w:r>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472669868"/>
      <w:bookmarkStart w:id="218" w:name="_Toc473130259"/>
      <w:bookmarkStart w:id="219" w:name="_Toc493602161"/>
      <w:r>
        <w:rPr>
          <w:rStyle w:val="CharSectno"/>
        </w:rPr>
        <w:t>23</w:t>
      </w:r>
      <w:r>
        <w:t>.</w:t>
      </w:r>
      <w:r>
        <w:tab/>
        <w:t>Terms used</w:t>
      </w:r>
      <w:bookmarkEnd w:id="217"/>
      <w:bookmarkEnd w:id="218"/>
      <w:bookmarkEnd w:id="219"/>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220" w:name="_Toc472669869"/>
      <w:bookmarkStart w:id="221" w:name="_Toc473130260"/>
      <w:bookmarkStart w:id="222" w:name="_Toc493602162"/>
      <w:r>
        <w:rPr>
          <w:rStyle w:val="CharSectno"/>
        </w:rPr>
        <w:t>24</w:t>
      </w:r>
      <w:r>
        <w:t>.</w:t>
      </w:r>
      <w:r>
        <w:tab/>
        <w:t>Designation of authorised officers</w:t>
      </w:r>
      <w:bookmarkEnd w:id="220"/>
      <w:bookmarkEnd w:id="221"/>
      <w:bookmarkEnd w:id="222"/>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223" w:name="_Toc472669870"/>
      <w:bookmarkStart w:id="224" w:name="_Toc473130261"/>
      <w:bookmarkStart w:id="225" w:name="_Toc493602163"/>
      <w:r>
        <w:rPr>
          <w:rStyle w:val="CharSectno"/>
        </w:rPr>
        <w:t>25</w:t>
      </w:r>
      <w:r>
        <w:t>.</w:t>
      </w:r>
      <w:r>
        <w:tab/>
        <w:t>Certain authorised officers required to have qualifications and experience</w:t>
      </w:r>
      <w:bookmarkEnd w:id="223"/>
      <w:bookmarkEnd w:id="224"/>
      <w:bookmarkEnd w:id="225"/>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226" w:name="_Toc472669871"/>
      <w:bookmarkStart w:id="227" w:name="_Toc473130262"/>
      <w:bookmarkStart w:id="228" w:name="_Toc493602164"/>
      <w:r>
        <w:rPr>
          <w:rStyle w:val="CharSectno"/>
        </w:rPr>
        <w:t>26</w:t>
      </w:r>
      <w:r>
        <w:t>.</w:t>
      </w:r>
      <w:r>
        <w:tab/>
        <w:t>Further provisions relating to designations</w:t>
      </w:r>
      <w:bookmarkEnd w:id="226"/>
      <w:bookmarkEnd w:id="227"/>
      <w:bookmarkEnd w:id="228"/>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229" w:name="_Toc472669872"/>
      <w:bookmarkStart w:id="230" w:name="_Toc473130263"/>
      <w:bookmarkStart w:id="231" w:name="_Toc493602165"/>
      <w:r>
        <w:rPr>
          <w:rStyle w:val="CharSectno"/>
        </w:rPr>
        <w:t>27</w:t>
      </w:r>
      <w:r>
        <w:t>.</w:t>
      </w:r>
      <w:r>
        <w:tab/>
        <w:t>Lists of authorised officers to be maintained</w:t>
      </w:r>
      <w:bookmarkEnd w:id="229"/>
      <w:bookmarkEnd w:id="230"/>
      <w:bookmarkEnd w:id="231"/>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232" w:name="_Toc472669873"/>
      <w:bookmarkStart w:id="233" w:name="_Toc473130264"/>
      <w:bookmarkStart w:id="234" w:name="_Toc493602166"/>
      <w:r>
        <w:rPr>
          <w:rStyle w:val="CharSectno"/>
        </w:rPr>
        <w:t>28</w:t>
      </w:r>
      <w:r>
        <w:t>.</w:t>
      </w:r>
      <w:r>
        <w:tab/>
        <w:t>When designation as authorised officer ceases</w:t>
      </w:r>
      <w:bookmarkEnd w:id="232"/>
      <w:bookmarkEnd w:id="233"/>
      <w:bookmarkEnd w:id="234"/>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235" w:name="_Toc472669874"/>
      <w:bookmarkStart w:id="236" w:name="_Toc473130265"/>
      <w:bookmarkStart w:id="237" w:name="_Toc493602167"/>
      <w:r>
        <w:rPr>
          <w:rStyle w:val="CharSectno"/>
        </w:rPr>
        <w:t>29</w:t>
      </w:r>
      <w:r>
        <w:t>.</w:t>
      </w:r>
      <w:r>
        <w:tab/>
        <w:t>Chief Health Officer may issue guidelines about qualifications and experience of authorised officers</w:t>
      </w:r>
      <w:bookmarkEnd w:id="235"/>
      <w:bookmarkEnd w:id="236"/>
      <w:bookmarkEnd w:id="237"/>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238" w:name="_Toc472669875"/>
      <w:bookmarkStart w:id="239" w:name="_Toc473130266"/>
      <w:bookmarkStart w:id="240" w:name="_Toc493602168"/>
      <w:r>
        <w:rPr>
          <w:rStyle w:val="CharSectno"/>
        </w:rPr>
        <w:t>30</w:t>
      </w:r>
      <w:r>
        <w:t>.</w:t>
      </w:r>
      <w:r>
        <w:tab/>
        <w:t>Certificates of authority</w:t>
      </w:r>
      <w:bookmarkEnd w:id="238"/>
      <w:bookmarkEnd w:id="239"/>
      <w:bookmarkEnd w:id="240"/>
    </w:p>
    <w:p>
      <w:pPr>
        <w:pStyle w:val="Subsection"/>
      </w:pPr>
      <w:r>
        <w:tab/>
        <w:t>(1)</w:t>
      </w:r>
      <w:r>
        <w:tab/>
        <w:t>An enforcement agency must issue to each person who is an authorised officer by virtue of a designation by the agency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 xml:space="preserve">If an enforcement agency is satisfied that obtaining a photograph or digital image of a person to whom a certificate of authority is to be issued, or the person’s signature, would unreasonably </w:t>
      </w:r>
      <w:smartTag w:uri="urn:schemas-microsoft-com:office:smarttags" w:element="State">
        <w:smartTag w:uri="urn:schemas-microsoft-com:office:smarttags" w:element="place">
          <w:r>
            <w:t>del</w:t>
          </w:r>
        </w:smartTag>
      </w:smartTag>
      <w:r>
        <w:t>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w:t>
      </w:r>
      <w:smartTag w:uri="urn:schemas-microsoft-com:office:smarttags" w:element="State">
        <w:smartTag w:uri="urn:schemas-microsoft-com:office:smarttags" w:element="place">
          <w:r>
            <w:t>mont</w:t>
          </w:r>
        </w:smartTag>
      </w:smartTag>
      <w:r>
        <w:t>h, that is stated on the certificate; but</w:t>
      </w:r>
    </w:p>
    <w:p>
      <w:pPr>
        <w:pStyle w:val="Indenta"/>
      </w:pPr>
      <w:r>
        <w:tab/>
        <w:t>(b)</w:t>
      </w:r>
      <w:r>
        <w:tab/>
        <w:t>otherwise has the same effect as an ordinary certificate of authority issued under this section.</w:t>
      </w:r>
    </w:p>
    <w:p>
      <w:pPr>
        <w:pStyle w:val="Heading5"/>
      </w:pPr>
      <w:bookmarkStart w:id="241" w:name="_Toc472669876"/>
      <w:bookmarkStart w:id="242" w:name="_Toc473130267"/>
      <w:bookmarkStart w:id="243" w:name="_Toc493602169"/>
      <w:r>
        <w:rPr>
          <w:rStyle w:val="CharSectno"/>
        </w:rPr>
        <w:t>31</w:t>
      </w:r>
      <w:r>
        <w:t>.</w:t>
      </w:r>
      <w:r>
        <w:tab/>
        <w:t>Issuing and production of certificate of authority for purposes of other written laws</w:t>
      </w:r>
      <w:bookmarkEnd w:id="241"/>
      <w:bookmarkEnd w:id="242"/>
      <w:bookmarkEnd w:id="243"/>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244" w:name="_Toc472669877"/>
      <w:bookmarkStart w:id="245" w:name="_Toc473130268"/>
      <w:bookmarkStart w:id="246" w:name="_Toc493602170"/>
      <w:r>
        <w:rPr>
          <w:rStyle w:val="CharSectno"/>
        </w:rPr>
        <w:t>32</w:t>
      </w:r>
      <w:r>
        <w:t>.</w:t>
      </w:r>
      <w:r>
        <w:tab/>
        <w:t>Certificate of authority to be returned</w:t>
      </w:r>
      <w:bookmarkEnd w:id="244"/>
      <w:bookmarkEnd w:id="245"/>
      <w:bookmarkEnd w:id="246"/>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Next w:val="0"/>
        <w:widowControl w:val="0"/>
      </w:pPr>
      <w:bookmarkStart w:id="247" w:name="_Toc493509158"/>
      <w:bookmarkStart w:id="248" w:name="_Toc493509801"/>
      <w:bookmarkStart w:id="249" w:name="_Toc493598647"/>
      <w:bookmarkStart w:id="250" w:name="_Toc493600407"/>
      <w:bookmarkStart w:id="251" w:name="_Toc493602171"/>
      <w:r>
        <w:rPr>
          <w:rStyle w:val="CharDivNo"/>
        </w:rPr>
        <w:t>Division 5</w:t>
      </w:r>
      <w:r>
        <w:t> — </w:t>
      </w:r>
      <w:r>
        <w:rPr>
          <w:rStyle w:val="CharDivText"/>
        </w:rPr>
        <w:t>Advisory committees</w:t>
      </w:r>
      <w:bookmarkEnd w:id="247"/>
      <w:bookmarkEnd w:id="248"/>
      <w:bookmarkEnd w:id="249"/>
      <w:bookmarkEnd w:id="250"/>
      <w:bookmarkEnd w:id="251"/>
    </w:p>
    <w:p>
      <w:pPr>
        <w:pStyle w:val="Heading5"/>
      </w:pPr>
      <w:bookmarkStart w:id="252" w:name="_Toc493602172"/>
      <w:r>
        <w:rPr>
          <w:rStyle w:val="CharSectno"/>
        </w:rPr>
        <w:t>33</w:t>
      </w:r>
      <w:r>
        <w:t>.</w:t>
      </w:r>
      <w:r>
        <w:tab/>
        <w:t>Establishment and functions of advisory committees</w:t>
      </w:r>
      <w:bookmarkEnd w:id="252"/>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253" w:name="_Toc493509160"/>
      <w:bookmarkStart w:id="254" w:name="_Toc493509803"/>
      <w:bookmarkStart w:id="255" w:name="_Toc493598649"/>
      <w:bookmarkStart w:id="256" w:name="_Toc493600409"/>
      <w:bookmarkStart w:id="257" w:name="_Toc493602173"/>
      <w:r>
        <w:rPr>
          <w:rStyle w:val="CharPartNo"/>
        </w:rPr>
        <w:t>Part 3</w:t>
      </w:r>
      <w:r>
        <w:rPr>
          <w:rStyle w:val="CharDivNo"/>
        </w:rPr>
        <w:t> </w:t>
      </w:r>
      <w:r>
        <w:t>—</w:t>
      </w:r>
      <w:r>
        <w:rPr>
          <w:rStyle w:val="CharDivText"/>
        </w:rPr>
        <w:t> </w:t>
      </w:r>
      <w:r>
        <w:rPr>
          <w:rStyle w:val="CharPartText"/>
        </w:rPr>
        <w:t>General public health duty</w:t>
      </w:r>
      <w:bookmarkEnd w:id="253"/>
      <w:bookmarkEnd w:id="254"/>
      <w:bookmarkEnd w:id="255"/>
      <w:bookmarkEnd w:id="256"/>
      <w:bookmarkEnd w:id="257"/>
    </w:p>
    <w:p>
      <w:pPr>
        <w:pStyle w:val="Heading5"/>
      </w:pPr>
      <w:bookmarkStart w:id="258" w:name="_Toc493602174"/>
      <w:r>
        <w:rPr>
          <w:rStyle w:val="CharSectno"/>
        </w:rPr>
        <w:t>34</w:t>
      </w:r>
      <w:r>
        <w:t>.</w:t>
      </w:r>
      <w:r>
        <w:tab/>
        <w:t>General public health duty</w:t>
      </w:r>
      <w:bookmarkEnd w:id="258"/>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259" w:name="_Toc493602175"/>
      <w:r>
        <w:rPr>
          <w:rStyle w:val="CharSectno"/>
        </w:rPr>
        <w:t>35</w:t>
      </w:r>
      <w:r>
        <w:t>.</w:t>
      </w:r>
      <w:r>
        <w:tab/>
        <w:t>Consequences of failure to comply with general public health duty</w:t>
      </w:r>
      <w:bookmarkEnd w:id="259"/>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260" w:name="_Toc493509163"/>
      <w:bookmarkStart w:id="261" w:name="_Toc493509806"/>
      <w:bookmarkStart w:id="262" w:name="_Toc493598652"/>
      <w:bookmarkStart w:id="263" w:name="_Toc493600412"/>
      <w:bookmarkStart w:id="264" w:name="_Toc493602176"/>
      <w:r>
        <w:rPr>
          <w:rStyle w:val="CharPartNo"/>
        </w:rPr>
        <w:t>Part 4</w:t>
      </w:r>
      <w:r>
        <w:rPr>
          <w:rStyle w:val="CharDivNo"/>
        </w:rPr>
        <w:t> </w:t>
      </w:r>
      <w:r>
        <w:t>—</w:t>
      </w:r>
      <w:r>
        <w:rPr>
          <w:rStyle w:val="CharDivText"/>
        </w:rPr>
        <w:t> </w:t>
      </w:r>
      <w:r>
        <w:rPr>
          <w:rStyle w:val="CharPartText"/>
        </w:rPr>
        <w:t>Serious public health risks and material public health risks</w:t>
      </w:r>
      <w:bookmarkEnd w:id="260"/>
      <w:bookmarkEnd w:id="261"/>
      <w:bookmarkEnd w:id="262"/>
      <w:bookmarkEnd w:id="263"/>
      <w:bookmarkEnd w:id="264"/>
    </w:p>
    <w:p>
      <w:pPr>
        <w:pStyle w:val="Heading5"/>
      </w:pPr>
      <w:bookmarkStart w:id="265" w:name="_Toc493602177"/>
      <w:r>
        <w:rPr>
          <w:rStyle w:val="CharSectno"/>
        </w:rPr>
        <w:t>36</w:t>
      </w:r>
      <w:r>
        <w:t>.</w:t>
      </w:r>
      <w:r>
        <w:tab/>
        <w:t>Term used: engage in conduct</w:t>
      </w:r>
      <w:bookmarkEnd w:id="265"/>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266" w:name="_Toc493602178"/>
      <w:r>
        <w:rPr>
          <w:rStyle w:val="CharSectno"/>
        </w:rPr>
        <w:t>37</w:t>
      </w:r>
      <w:r>
        <w:t>.</w:t>
      </w:r>
      <w:r>
        <w:tab/>
        <w:t>Offences relating to serious public health risks</w:t>
      </w:r>
      <w:bookmarkEnd w:id="266"/>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267" w:name="_Toc493602179"/>
      <w:r>
        <w:rPr>
          <w:rStyle w:val="CharSectno"/>
        </w:rPr>
        <w:t>38</w:t>
      </w:r>
      <w:r>
        <w:t>.</w:t>
      </w:r>
      <w:r>
        <w:tab/>
        <w:t>Offences relating to material public health risks</w:t>
      </w:r>
      <w:bookmarkEnd w:id="267"/>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268" w:name="_Toc493602180"/>
      <w:r>
        <w:rPr>
          <w:rStyle w:val="CharSectno"/>
        </w:rPr>
        <w:t>39</w:t>
      </w:r>
      <w:r>
        <w:t>.</w:t>
      </w:r>
      <w:r>
        <w:tab/>
        <w:t>Defence of due diligence</w:t>
      </w:r>
      <w:bookmarkEnd w:id="268"/>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269" w:name="_Toc493602181"/>
      <w:r>
        <w:rPr>
          <w:rStyle w:val="CharSectno"/>
        </w:rPr>
        <w:t>40</w:t>
      </w:r>
      <w:r>
        <w:t>.</w:t>
      </w:r>
      <w:r>
        <w:tab/>
        <w:t>Alternative verdicts for certain offences</w:t>
      </w:r>
      <w:bookmarkEnd w:id="269"/>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270" w:name="_Toc493602182"/>
      <w:r>
        <w:rPr>
          <w:rStyle w:val="CharSectno"/>
        </w:rPr>
        <w:t>41</w:t>
      </w:r>
      <w:r>
        <w:t>.</w:t>
      </w:r>
      <w:r>
        <w:tab/>
        <w:t>Determination by court of appropriate punishment</w:t>
      </w:r>
      <w:bookmarkEnd w:id="270"/>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bookmarkStart w:id="271" w:name="_Toc493509170"/>
      <w:bookmarkStart w:id="272" w:name="_Toc493509813"/>
      <w:r>
        <w:t>[Parts 5-8 have not come into operation </w:t>
      </w:r>
      <w:r>
        <w:rPr>
          <w:i w:val="0"/>
          <w:vertAlign w:val="superscript"/>
        </w:rPr>
        <w:t>2</w:t>
      </w:r>
      <w:r>
        <w:t>.]</w:t>
      </w:r>
    </w:p>
    <w:p>
      <w:pPr>
        <w:pStyle w:val="Heading2"/>
      </w:pPr>
      <w:bookmarkStart w:id="273" w:name="_Toc493598659"/>
      <w:bookmarkStart w:id="274" w:name="_Toc493600419"/>
      <w:bookmarkStart w:id="275" w:name="_Toc493602183"/>
      <w:r>
        <w:rPr>
          <w:rStyle w:val="CharPartNo"/>
        </w:rPr>
        <w:t>Part 9</w:t>
      </w:r>
      <w:r>
        <w:t> — </w:t>
      </w:r>
      <w:r>
        <w:rPr>
          <w:rStyle w:val="CharPartText"/>
        </w:rPr>
        <w:t>Notifiable infectious diseases and related conditions</w:t>
      </w:r>
      <w:bookmarkEnd w:id="271"/>
      <w:bookmarkEnd w:id="272"/>
      <w:bookmarkEnd w:id="273"/>
      <w:bookmarkEnd w:id="274"/>
      <w:bookmarkEnd w:id="275"/>
    </w:p>
    <w:p>
      <w:pPr>
        <w:pStyle w:val="Heading3"/>
      </w:pPr>
      <w:bookmarkStart w:id="276" w:name="_Toc493509171"/>
      <w:bookmarkStart w:id="277" w:name="_Toc493509814"/>
      <w:bookmarkStart w:id="278" w:name="_Toc493598660"/>
      <w:bookmarkStart w:id="279" w:name="_Toc493600420"/>
      <w:bookmarkStart w:id="280" w:name="_Toc493602184"/>
      <w:r>
        <w:rPr>
          <w:rStyle w:val="CharDivNo"/>
        </w:rPr>
        <w:t>Division 1</w:t>
      </w:r>
      <w:r>
        <w:t> — </w:t>
      </w:r>
      <w:r>
        <w:rPr>
          <w:rStyle w:val="CharDivText"/>
        </w:rPr>
        <w:t>Principles and declarations</w:t>
      </w:r>
      <w:bookmarkEnd w:id="276"/>
      <w:bookmarkEnd w:id="277"/>
      <w:bookmarkEnd w:id="278"/>
      <w:bookmarkEnd w:id="279"/>
      <w:bookmarkEnd w:id="280"/>
    </w:p>
    <w:p>
      <w:pPr>
        <w:pStyle w:val="Heading5"/>
      </w:pPr>
      <w:bookmarkStart w:id="281" w:name="_Toc493602185"/>
      <w:r>
        <w:rPr>
          <w:rStyle w:val="CharSectno"/>
        </w:rPr>
        <w:t>87</w:t>
      </w:r>
      <w:r>
        <w:t>.</w:t>
      </w:r>
      <w:r>
        <w:tab/>
        <w:t>Principles applying in relation to this Part</w:t>
      </w:r>
      <w:bookmarkEnd w:id="281"/>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282" w:name="_Toc493602186"/>
      <w:r>
        <w:rPr>
          <w:rStyle w:val="CharSectno"/>
        </w:rPr>
        <w:t>88</w:t>
      </w:r>
      <w:r>
        <w:t>.</w:t>
      </w:r>
      <w:r>
        <w:tab/>
        <w:t>Principles listed</w:t>
      </w:r>
      <w:bookmarkEnd w:id="282"/>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283" w:name="_Toc493602187"/>
      <w:r>
        <w:rPr>
          <w:rStyle w:val="CharSectno"/>
        </w:rPr>
        <w:t>89</w:t>
      </w:r>
      <w:r>
        <w:t>.</w:t>
      </w:r>
      <w:r>
        <w:tab/>
        <w:t>Further provisions relating to application of principles</w:t>
      </w:r>
      <w:bookmarkEnd w:id="283"/>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284" w:name="_Toc493602188"/>
      <w:r>
        <w:rPr>
          <w:rStyle w:val="CharSectno"/>
        </w:rPr>
        <w:t>90</w:t>
      </w:r>
      <w:r>
        <w:t>.</w:t>
      </w:r>
      <w:r>
        <w:tab/>
        <w:t>Declaration of notifiable infectious diseases</w:t>
      </w:r>
      <w:bookmarkEnd w:id="284"/>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285" w:name="_Toc493602189"/>
      <w:r>
        <w:rPr>
          <w:rStyle w:val="CharSectno"/>
        </w:rPr>
        <w:t>91</w:t>
      </w:r>
      <w:r>
        <w:t>.</w:t>
      </w:r>
      <w:r>
        <w:tab/>
        <w:t>Declaration of notifiable infectious disease</w:t>
      </w:r>
      <w:r>
        <w:noBreakHyphen/>
        <w:t>related conditions</w:t>
      </w:r>
      <w:bookmarkEnd w:id="285"/>
    </w:p>
    <w:p>
      <w:pPr>
        <w:pStyle w:val="Subsection"/>
      </w:pPr>
      <w:r>
        <w:tab/>
        <w:t>(1)</w:t>
      </w:r>
      <w:r>
        <w:tab/>
        <w:t>The regulations may declare a medical condition, other than a notifiable infectious disease, to be a notifiable infectious disease</w:t>
      </w:r>
      <w:r>
        <w:noBreakHyphen/>
        <w:t>related condition.</w:t>
      </w:r>
    </w:p>
    <w:p>
      <w:pPr>
        <w:pStyle w:val="Subsection"/>
      </w:pPr>
      <w:r>
        <w:tab/>
        <w:t>(2)</w:t>
      </w:r>
      <w:r>
        <w:tab/>
        <w:t>A medical condition cannot be declared to be a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Heading5"/>
      </w:pPr>
      <w:bookmarkStart w:id="286" w:name="_Toc493602190"/>
      <w:r>
        <w:rPr>
          <w:rStyle w:val="CharSectno"/>
        </w:rPr>
        <w:t>92</w:t>
      </w:r>
      <w:r>
        <w:t>.</w:t>
      </w:r>
      <w:r>
        <w:tab/>
        <w:t>Orders by Minister</w:t>
      </w:r>
      <w:bookmarkEnd w:id="286"/>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287" w:name="_Toc493509178"/>
      <w:bookmarkStart w:id="288" w:name="_Toc493509821"/>
      <w:bookmarkStart w:id="289" w:name="_Toc493598667"/>
      <w:bookmarkStart w:id="290" w:name="_Toc493600427"/>
      <w:bookmarkStart w:id="291" w:name="_Toc493602191"/>
      <w:r>
        <w:rPr>
          <w:rStyle w:val="CharDivNo"/>
        </w:rPr>
        <w:t>Division 2</w:t>
      </w:r>
      <w:r>
        <w:t> — </w:t>
      </w:r>
      <w:r>
        <w:rPr>
          <w:rStyle w:val="CharDivText"/>
        </w:rPr>
        <w:t>Notification</w:t>
      </w:r>
      <w:bookmarkEnd w:id="287"/>
      <w:bookmarkEnd w:id="288"/>
      <w:bookmarkEnd w:id="289"/>
      <w:bookmarkEnd w:id="290"/>
      <w:bookmarkEnd w:id="291"/>
    </w:p>
    <w:p>
      <w:pPr>
        <w:pStyle w:val="Heading5"/>
      </w:pPr>
      <w:bookmarkStart w:id="292" w:name="_Toc493602192"/>
      <w:r>
        <w:rPr>
          <w:rStyle w:val="CharSectno"/>
        </w:rPr>
        <w:t>93</w:t>
      </w:r>
      <w:r>
        <w:t>.</w:t>
      </w:r>
      <w:r>
        <w:tab/>
        <w:t>Term used: responsible pathologist</w:t>
      </w:r>
      <w:bookmarkEnd w:id="292"/>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293" w:name="_Toc493602193"/>
      <w:r>
        <w:rPr>
          <w:rStyle w:val="CharSectno"/>
        </w:rPr>
        <w:t>94</w:t>
      </w:r>
      <w:r>
        <w:t>.</w:t>
      </w:r>
      <w:r>
        <w:tab/>
        <w:t>Notification of notifiable infectious diseases and notifiable infectious disease</w:t>
      </w:r>
      <w:r>
        <w:noBreakHyphen/>
        <w:t>related conditions</w:t>
      </w:r>
      <w:bookmarkEnd w:id="293"/>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within 24 hours; or</w:t>
      </w:r>
    </w:p>
    <w:p>
      <w:pPr>
        <w:pStyle w:val="Indenti"/>
      </w:pPr>
      <w:r>
        <w:tab/>
        <w:t>(ii)</w:t>
      </w:r>
      <w:r>
        <w:tab/>
        <w:t>in the case of any other notifiable infectious disease or a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Heading5"/>
      </w:pPr>
      <w:bookmarkStart w:id="294" w:name="_Toc493602194"/>
      <w:r>
        <w:rPr>
          <w:rStyle w:val="CharSectno"/>
        </w:rPr>
        <w:t>95</w:t>
      </w:r>
      <w:r>
        <w:t>.</w:t>
      </w:r>
      <w:r>
        <w:tab/>
        <w:t>Offence of failing to notify Chief Health Officer</w:t>
      </w:r>
      <w:bookmarkEnd w:id="294"/>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295" w:name="_Toc493602195"/>
      <w:r>
        <w:rPr>
          <w:rStyle w:val="CharSectno"/>
        </w:rPr>
        <w:t>96</w:t>
      </w:r>
      <w:r>
        <w:t>.</w:t>
      </w:r>
      <w:r>
        <w:tab/>
        <w:t>No liability for notifying Chief Health Officer</w:t>
      </w:r>
      <w:bookmarkEnd w:id="295"/>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296" w:name="_Toc493509183"/>
      <w:bookmarkStart w:id="297" w:name="_Toc493509826"/>
      <w:bookmarkStart w:id="298" w:name="_Toc493598672"/>
      <w:bookmarkStart w:id="299" w:name="_Toc493600432"/>
      <w:bookmarkStart w:id="300" w:name="_Toc493602196"/>
      <w:r>
        <w:rPr>
          <w:rStyle w:val="CharDivNo"/>
        </w:rPr>
        <w:t>Division 3</w:t>
      </w:r>
      <w:r>
        <w:t> — </w:t>
      </w:r>
      <w:r>
        <w:rPr>
          <w:rStyle w:val="CharDivText"/>
        </w:rPr>
        <w:t>Duty to inform</w:t>
      </w:r>
      <w:bookmarkEnd w:id="296"/>
      <w:bookmarkEnd w:id="297"/>
      <w:bookmarkEnd w:id="298"/>
      <w:bookmarkEnd w:id="299"/>
      <w:bookmarkEnd w:id="300"/>
    </w:p>
    <w:p>
      <w:pPr>
        <w:pStyle w:val="Heading5"/>
      </w:pPr>
      <w:bookmarkStart w:id="301" w:name="_Toc493602197"/>
      <w:r>
        <w:rPr>
          <w:rStyle w:val="CharSectno"/>
        </w:rPr>
        <w:t>97</w:t>
      </w:r>
      <w:r>
        <w:t>.</w:t>
      </w:r>
      <w:r>
        <w:tab/>
        <w:t>Practitioners to provide patients with information</w:t>
      </w:r>
      <w:bookmarkEnd w:id="301"/>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302" w:name="_Toc493602198"/>
      <w:r>
        <w:rPr>
          <w:rStyle w:val="CharSectno"/>
        </w:rPr>
        <w:t>98</w:t>
      </w:r>
      <w:r>
        <w:t>.</w:t>
      </w:r>
      <w:r>
        <w:tab/>
        <w:t>Offence of failing to provide patient with information</w:t>
      </w:r>
      <w:bookmarkEnd w:id="302"/>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303" w:name="_Toc493509186"/>
      <w:bookmarkStart w:id="304" w:name="_Toc493509829"/>
      <w:bookmarkStart w:id="305" w:name="_Toc493598675"/>
      <w:bookmarkStart w:id="306" w:name="_Toc493600435"/>
      <w:bookmarkStart w:id="307" w:name="_Toc493602199"/>
      <w:r>
        <w:rPr>
          <w:rStyle w:val="CharDivNo"/>
        </w:rPr>
        <w:t>Division 4</w:t>
      </w:r>
      <w:r>
        <w:t> — </w:t>
      </w:r>
      <w:r>
        <w:rPr>
          <w:rStyle w:val="CharDivText"/>
        </w:rPr>
        <w:t>Test orders</w:t>
      </w:r>
      <w:bookmarkEnd w:id="303"/>
      <w:bookmarkEnd w:id="304"/>
      <w:bookmarkEnd w:id="305"/>
      <w:bookmarkEnd w:id="306"/>
      <w:bookmarkEnd w:id="307"/>
    </w:p>
    <w:p>
      <w:pPr>
        <w:pStyle w:val="Heading5"/>
      </w:pPr>
      <w:bookmarkStart w:id="308" w:name="_Toc493602200"/>
      <w:r>
        <w:rPr>
          <w:rStyle w:val="CharSectno"/>
        </w:rPr>
        <w:t>99</w:t>
      </w:r>
      <w:r>
        <w:t>.</w:t>
      </w:r>
      <w:r>
        <w:tab/>
        <w:t>Terms used</w:t>
      </w:r>
      <w:bookmarkEnd w:id="308"/>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309" w:name="_Toc493602201"/>
      <w:r>
        <w:rPr>
          <w:rStyle w:val="CharSectno"/>
        </w:rPr>
        <w:t>100</w:t>
      </w:r>
      <w:r>
        <w:t>.</w:t>
      </w:r>
      <w:r>
        <w:tab/>
        <w:t>Chief Health Officer may make test orders</w:t>
      </w:r>
      <w:bookmarkEnd w:id="309"/>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310" w:name="_Toc493602202"/>
      <w:r>
        <w:rPr>
          <w:rStyle w:val="CharSectno"/>
        </w:rPr>
        <w:t>101</w:t>
      </w:r>
      <w:r>
        <w:t>.</w:t>
      </w:r>
      <w:r>
        <w:tab/>
        <w:t>Process for making test order</w:t>
      </w:r>
      <w:bookmarkEnd w:id="310"/>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311" w:name="_Toc493602203"/>
      <w:r>
        <w:rPr>
          <w:rStyle w:val="CharSectno"/>
        </w:rPr>
        <w:t>102</w:t>
      </w:r>
      <w:r>
        <w:t>.</w:t>
      </w:r>
      <w:r>
        <w:tab/>
        <w:t>Explanation of test order</w:t>
      </w:r>
      <w:bookmarkEnd w:id="311"/>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312" w:name="_Toc493602204"/>
      <w:r>
        <w:rPr>
          <w:rStyle w:val="CharSectno"/>
        </w:rPr>
        <w:t>103</w:t>
      </w:r>
      <w:r>
        <w:t>.</w:t>
      </w:r>
      <w:r>
        <w:tab/>
        <w:t>Effect of test orders</w:t>
      </w:r>
      <w:bookmarkEnd w:id="312"/>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313" w:name="_Toc493602205"/>
      <w:r>
        <w:rPr>
          <w:rStyle w:val="CharSectno"/>
        </w:rPr>
        <w:t>104</w:t>
      </w:r>
      <w:r>
        <w:t>.</w:t>
      </w:r>
      <w:r>
        <w:tab/>
        <w:t>Offences of failing to comply with test order</w:t>
      </w:r>
      <w:bookmarkEnd w:id="313"/>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314" w:name="_Toc493602206"/>
      <w:r>
        <w:rPr>
          <w:rStyle w:val="CharSectno"/>
        </w:rPr>
        <w:t>105</w:t>
      </w:r>
      <w:r>
        <w:t>.</w:t>
      </w:r>
      <w:r>
        <w:tab/>
        <w:t>No payment may be required in relation to testing under test order</w:t>
      </w:r>
      <w:bookmarkEnd w:id="314"/>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315" w:name="_Toc493602207"/>
      <w:r>
        <w:rPr>
          <w:rStyle w:val="CharSectno"/>
        </w:rPr>
        <w:t>106</w:t>
      </w:r>
      <w:r>
        <w:t>.</w:t>
      </w:r>
      <w:r>
        <w:tab/>
        <w:t>Enforcement of test orders</w:t>
      </w:r>
      <w:bookmarkEnd w:id="315"/>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ageBreakBefore/>
      </w:pPr>
      <w:bookmarkStart w:id="316" w:name="_Toc493602208"/>
      <w:r>
        <w:rPr>
          <w:rStyle w:val="CharSectno"/>
        </w:rPr>
        <w:t>107</w:t>
      </w:r>
      <w:r>
        <w:t>.</w:t>
      </w:r>
      <w:r>
        <w:tab/>
        <w:t>Warrant to enforce test order</w:t>
      </w:r>
      <w:bookmarkEnd w:id="316"/>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317" w:name="_Toc493602209"/>
      <w:r>
        <w:rPr>
          <w:rStyle w:val="CharSectno"/>
        </w:rPr>
        <w:t>108</w:t>
      </w:r>
      <w:r>
        <w:t>.</w:t>
      </w:r>
      <w:r>
        <w:tab/>
        <w:t>Further provisions relating to warrant</w:t>
      </w:r>
      <w:bookmarkEnd w:id="317"/>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318" w:name="_Toc493602210"/>
      <w:r>
        <w:rPr>
          <w:rStyle w:val="CharSectno"/>
        </w:rPr>
        <w:t>109</w:t>
      </w:r>
      <w:r>
        <w:t>.</w:t>
      </w:r>
      <w:r>
        <w:tab/>
        <w:t>Review by State Administrative Tribunal</w:t>
      </w:r>
      <w:bookmarkEnd w:id="318"/>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319" w:name="_Toc493602211"/>
      <w:r>
        <w:rPr>
          <w:rStyle w:val="CharSectno"/>
        </w:rPr>
        <w:t>110</w:t>
      </w:r>
      <w:r>
        <w:t>.</w:t>
      </w:r>
      <w:r>
        <w:tab/>
        <w:t>Obtaining or taking samples under test orders</w:t>
      </w:r>
      <w:bookmarkEnd w:id="319"/>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320" w:name="_Toc493602212"/>
      <w:r>
        <w:rPr>
          <w:rStyle w:val="CharSectno"/>
        </w:rPr>
        <w:t>111</w:t>
      </w:r>
      <w:r>
        <w:t>.</w:t>
      </w:r>
      <w:r>
        <w:tab/>
        <w:t>Test results to be reported</w:t>
      </w:r>
      <w:bookmarkEnd w:id="320"/>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321" w:name="_Toc493602213"/>
      <w:r>
        <w:rPr>
          <w:rStyle w:val="CharSectno"/>
        </w:rPr>
        <w:t>112</w:t>
      </w:r>
      <w:r>
        <w:t>.</w:t>
      </w:r>
      <w:r>
        <w:tab/>
        <w:t>Person tested not to be identified</w:t>
      </w:r>
      <w:bookmarkEnd w:id="321"/>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322" w:name="_Toc493602214"/>
      <w:r>
        <w:rPr>
          <w:rStyle w:val="CharSectno"/>
        </w:rPr>
        <w:t>113</w:t>
      </w:r>
      <w:r>
        <w:t>.</w:t>
      </w:r>
      <w:r>
        <w:tab/>
        <w:t>No liability for reporting test results</w:t>
      </w:r>
      <w:bookmarkEnd w:id="322"/>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323" w:name="_Toc493602215"/>
      <w:r>
        <w:rPr>
          <w:rStyle w:val="CharSectno"/>
        </w:rPr>
        <w:t>114</w:t>
      </w:r>
      <w:r>
        <w:t>.</w:t>
      </w:r>
      <w:r>
        <w:tab/>
        <w:t xml:space="preserve">Division not limited by </w:t>
      </w:r>
      <w:r>
        <w:rPr>
          <w:i/>
        </w:rPr>
        <w:t>Mandatory Testing (Infectious Diseases) Act 2014</w:t>
      </w:r>
      <w:bookmarkEnd w:id="323"/>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324" w:name="_Toc493509203"/>
      <w:bookmarkStart w:id="325" w:name="_Toc493509846"/>
      <w:bookmarkStart w:id="326" w:name="_Toc493598692"/>
      <w:bookmarkStart w:id="327" w:name="_Toc493600452"/>
      <w:bookmarkStart w:id="328" w:name="_Toc493602216"/>
      <w:r>
        <w:rPr>
          <w:rStyle w:val="CharDivNo"/>
        </w:rPr>
        <w:t>Division 5</w:t>
      </w:r>
      <w:r>
        <w:t> — </w:t>
      </w:r>
      <w:r>
        <w:rPr>
          <w:rStyle w:val="CharDivText"/>
        </w:rPr>
        <w:t>Public health orders</w:t>
      </w:r>
      <w:bookmarkEnd w:id="324"/>
      <w:bookmarkEnd w:id="325"/>
      <w:bookmarkEnd w:id="326"/>
      <w:bookmarkEnd w:id="327"/>
      <w:bookmarkEnd w:id="328"/>
    </w:p>
    <w:p>
      <w:pPr>
        <w:pStyle w:val="Heading5"/>
      </w:pPr>
      <w:bookmarkStart w:id="329" w:name="_Toc493602217"/>
      <w:r>
        <w:rPr>
          <w:rStyle w:val="CharSectno"/>
        </w:rPr>
        <w:t>115</w:t>
      </w:r>
      <w:r>
        <w:t>.</w:t>
      </w:r>
      <w:r>
        <w:tab/>
        <w:t>Terms used</w:t>
      </w:r>
      <w:bookmarkEnd w:id="329"/>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330" w:name="_Toc493602218"/>
      <w:r>
        <w:rPr>
          <w:rStyle w:val="CharSectno"/>
        </w:rPr>
        <w:t>116</w:t>
      </w:r>
      <w:r>
        <w:t>.</w:t>
      </w:r>
      <w:r>
        <w:tab/>
        <w:t>Chief Health Officer may make public health orders</w:t>
      </w:r>
      <w:bookmarkEnd w:id="330"/>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331" w:name="_Toc493602219"/>
      <w:r>
        <w:rPr>
          <w:rStyle w:val="CharSectno"/>
        </w:rPr>
        <w:t>117</w:t>
      </w:r>
      <w:r>
        <w:t>.</w:t>
      </w:r>
      <w:r>
        <w:tab/>
        <w:t>Effect of public health orders</w:t>
      </w:r>
      <w:bookmarkEnd w:id="331"/>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332" w:name="_Toc493602220"/>
      <w:r>
        <w:rPr>
          <w:rStyle w:val="CharSectno"/>
        </w:rPr>
        <w:t>118</w:t>
      </w:r>
      <w:r>
        <w:t>.</w:t>
      </w:r>
      <w:r>
        <w:tab/>
        <w:t>Personal service of orders required</w:t>
      </w:r>
      <w:bookmarkEnd w:id="332"/>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333" w:name="_Toc493602221"/>
      <w:r>
        <w:rPr>
          <w:rStyle w:val="CharSectno"/>
        </w:rPr>
        <w:t>119</w:t>
      </w:r>
      <w:r>
        <w:t>.</w:t>
      </w:r>
      <w:r>
        <w:tab/>
        <w:t>Explanation of public health order</w:t>
      </w:r>
      <w:bookmarkEnd w:id="333"/>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334" w:name="_Toc493602222"/>
      <w:r>
        <w:rPr>
          <w:rStyle w:val="CharSectno"/>
        </w:rPr>
        <w:t>120</w:t>
      </w:r>
      <w:r>
        <w:t>.</w:t>
      </w:r>
      <w:r>
        <w:tab/>
        <w:t>Provisions applying if person detained under public health order</w:t>
      </w:r>
      <w:bookmarkEnd w:id="334"/>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335" w:name="_Toc493602223"/>
      <w:r>
        <w:rPr>
          <w:rStyle w:val="CharSectno"/>
        </w:rPr>
        <w:t>121</w:t>
      </w:r>
      <w:r>
        <w:t>.</w:t>
      </w:r>
      <w:r>
        <w:tab/>
        <w:t>Minister to be informed of detention or release from detention under public health order</w:t>
      </w:r>
      <w:bookmarkEnd w:id="335"/>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336" w:name="_Toc493602224"/>
      <w:r>
        <w:rPr>
          <w:rStyle w:val="CharSectno"/>
        </w:rPr>
        <w:t>122</w:t>
      </w:r>
      <w:r>
        <w:t>.</w:t>
      </w:r>
      <w:r>
        <w:tab/>
        <w:t>Offence to fail to comply with public health order</w:t>
      </w:r>
      <w:bookmarkEnd w:id="336"/>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337" w:name="_Toc493602225"/>
      <w:r>
        <w:rPr>
          <w:rStyle w:val="CharSectno"/>
        </w:rPr>
        <w:t>123</w:t>
      </w:r>
      <w:r>
        <w:t>.</w:t>
      </w:r>
      <w:r>
        <w:tab/>
        <w:t>Responsible persons to facilitate compliance with public health order</w:t>
      </w:r>
      <w:bookmarkEnd w:id="337"/>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338" w:name="_Toc493602226"/>
      <w:r>
        <w:rPr>
          <w:rStyle w:val="CharSectno"/>
        </w:rPr>
        <w:t>124</w:t>
      </w:r>
      <w:r>
        <w:t>.</w:t>
      </w:r>
      <w:r>
        <w:tab/>
        <w:t>Enforcement of public health orders</w:t>
      </w:r>
      <w:bookmarkEnd w:id="338"/>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339" w:name="_Toc493602227"/>
      <w:r>
        <w:rPr>
          <w:rStyle w:val="CharSectno"/>
        </w:rPr>
        <w:t>125</w:t>
      </w:r>
      <w:r>
        <w:t>.</w:t>
      </w:r>
      <w:r>
        <w:tab/>
        <w:t>Warrant to apprehend person to whom public health order applies</w:t>
      </w:r>
      <w:bookmarkEnd w:id="339"/>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340" w:name="_Toc493602228"/>
      <w:r>
        <w:rPr>
          <w:rStyle w:val="CharSectno"/>
        </w:rPr>
        <w:t>126</w:t>
      </w:r>
      <w:r>
        <w:t>.</w:t>
      </w:r>
      <w:r>
        <w:tab/>
        <w:t>Further provisions relating to warrant</w:t>
      </w:r>
      <w:bookmarkEnd w:id="340"/>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341" w:name="_Toc493602229"/>
      <w:r>
        <w:rPr>
          <w:rStyle w:val="CharSectno"/>
        </w:rPr>
        <w:t>127</w:t>
      </w:r>
      <w:r>
        <w:t>.</w:t>
      </w:r>
      <w:r>
        <w:tab/>
        <w:t>Review by State Administrative Tribunal</w:t>
      </w:r>
      <w:bookmarkEnd w:id="341"/>
    </w:p>
    <w:p>
      <w:pPr>
        <w:pStyle w:val="Subsection"/>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pPr>
      <w:bookmarkStart w:id="342" w:name="_Toc493602230"/>
      <w:r>
        <w:rPr>
          <w:rStyle w:val="CharSectno"/>
        </w:rPr>
        <w:t>128</w:t>
      </w:r>
      <w:r>
        <w:t>.</w:t>
      </w:r>
      <w:r>
        <w:tab/>
        <w:t>Restriction on making of further public health order</w:t>
      </w:r>
      <w:bookmarkEnd w:id="342"/>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343" w:name="_Toc493602231"/>
      <w:r>
        <w:rPr>
          <w:rStyle w:val="CharSectno"/>
        </w:rPr>
        <w:t>129</w:t>
      </w:r>
      <w:r>
        <w:t>.</w:t>
      </w:r>
      <w:r>
        <w:tab/>
        <w:t>Recognition of interstate public health orders</w:t>
      </w:r>
      <w:bookmarkEnd w:id="343"/>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keepNext w:val="0"/>
        <w:keepLines w:val="0"/>
        <w:pageBreakBefore/>
        <w:widowControl w:val="0"/>
      </w:pPr>
      <w:bookmarkStart w:id="344" w:name="_Toc493602232"/>
      <w:r>
        <w:rPr>
          <w:rStyle w:val="CharSectno"/>
        </w:rPr>
        <w:t>130</w:t>
      </w:r>
      <w:r>
        <w:t>.</w:t>
      </w:r>
      <w:r>
        <w:tab/>
        <w:t>Further provisions applying to interstate public health orders operating in this State</w:t>
      </w:r>
      <w:bookmarkEnd w:id="344"/>
    </w:p>
    <w:p>
      <w:pPr>
        <w:pStyle w:val="Subsection"/>
      </w:pPr>
      <w:r>
        <w:tab/>
        <w:t>(1)</w:t>
      </w:r>
      <w:r>
        <w:tab/>
        <w:t>Section 119 applies, with all necessary changes, to an order to which section 129 applies as if the order were a public health order made under this Division.</w:t>
      </w:r>
    </w:p>
    <w:p>
      <w:pPr>
        <w:pStyle w:val="Subsection"/>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345" w:name="_Toc493509220"/>
      <w:bookmarkStart w:id="346" w:name="_Toc493509863"/>
      <w:bookmarkStart w:id="347" w:name="_Toc493598709"/>
      <w:bookmarkStart w:id="348" w:name="_Toc493600469"/>
      <w:bookmarkStart w:id="349" w:name="_Toc493602233"/>
      <w:r>
        <w:rPr>
          <w:rStyle w:val="CharDivNo"/>
        </w:rPr>
        <w:t>Division 6</w:t>
      </w:r>
      <w:r>
        <w:t> — </w:t>
      </w:r>
      <w:r>
        <w:rPr>
          <w:rStyle w:val="CharDivText"/>
        </w:rPr>
        <w:t>Reporting requirements</w:t>
      </w:r>
      <w:bookmarkEnd w:id="345"/>
      <w:bookmarkEnd w:id="346"/>
      <w:bookmarkEnd w:id="347"/>
      <w:bookmarkEnd w:id="348"/>
      <w:bookmarkEnd w:id="349"/>
    </w:p>
    <w:p>
      <w:pPr>
        <w:pStyle w:val="Heading5"/>
      </w:pPr>
      <w:bookmarkStart w:id="350" w:name="_Toc493602234"/>
      <w:r>
        <w:rPr>
          <w:rStyle w:val="CharSectno"/>
        </w:rPr>
        <w:t>131</w:t>
      </w:r>
      <w:r>
        <w:t>.</w:t>
      </w:r>
      <w:r>
        <w:tab/>
        <w:t>Annual report to include information about test orders and public health orders</w:t>
      </w:r>
      <w:bookmarkEnd w:id="350"/>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351" w:name="_Toc493509222"/>
      <w:bookmarkStart w:id="352" w:name="_Toc493509865"/>
      <w:bookmarkStart w:id="353" w:name="_Toc493598711"/>
      <w:bookmarkStart w:id="354" w:name="_Toc493600471"/>
      <w:bookmarkStart w:id="355" w:name="_Toc493602235"/>
      <w:r>
        <w:rPr>
          <w:rStyle w:val="CharDivNo"/>
        </w:rPr>
        <w:t>Division 7</w:t>
      </w:r>
      <w:r>
        <w:t> — </w:t>
      </w:r>
      <w:r>
        <w:rPr>
          <w:rStyle w:val="CharDivText"/>
        </w:rPr>
        <w:t>Identifying and informing contact persons</w:t>
      </w:r>
      <w:bookmarkEnd w:id="351"/>
      <w:bookmarkEnd w:id="352"/>
      <w:bookmarkEnd w:id="353"/>
      <w:bookmarkEnd w:id="354"/>
      <w:bookmarkEnd w:id="355"/>
    </w:p>
    <w:p>
      <w:pPr>
        <w:pStyle w:val="Heading5"/>
      </w:pPr>
      <w:bookmarkStart w:id="356" w:name="_Toc493602236"/>
      <w:r>
        <w:rPr>
          <w:rStyle w:val="CharSectno"/>
        </w:rPr>
        <w:t>132</w:t>
      </w:r>
      <w:r>
        <w:t>.</w:t>
      </w:r>
      <w:r>
        <w:tab/>
        <w:t>Terms used</w:t>
      </w:r>
      <w:bookmarkEnd w:id="356"/>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357" w:name="_Toc493602237"/>
      <w:r>
        <w:rPr>
          <w:rStyle w:val="CharSectno"/>
        </w:rPr>
        <w:t>133</w:t>
      </w:r>
      <w:r>
        <w:t>.</w:t>
      </w:r>
      <w:r>
        <w:tab/>
        <w:t>Requiring information where person believed to have notifiable infectious disease</w:t>
      </w:r>
      <w:bookmarkEnd w:id="357"/>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58" w:name="_Toc493602238"/>
      <w:r>
        <w:rPr>
          <w:rStyle w:val="CharSectno"/>
        </w:rPr>
        <w:t>134</w:t>
      </w:r>
      <w:r>
        <w:t>.</w:t>
      </w:r>
      <w:r>
        <w:tab/>
        <w:t>Requiring information where person believed to have been exposed to notifiable infectious disease</w:t>
      </w:r>
      <w:bookmarkEnd w:id="358"/>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59" w:name="_Toc493602239"/>
      <w:r>
        <w:rPr>
          <w:rStyle w:val="CharSectno"/>
        </w:rPr>
        <w:t>135</w:t>
      </w:r>
      <w:r>
        <w:t>.</w:t>
      </w:r>
      <w:r>
        <w:tab/>
        <w:t>Requiring other persons to give required information</w:t>
      </w:r>
      <w:bookmarkEnd w:id="359"/>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Heading5"/>
      </w:pPr>
      <w:bookmarkStart w:id="360" w:name="_Toc493602240"/>
      <w:r>
        <w:rPr>
          <w:rStyle w:val="CharSectno"/>
        </w:rPr>
        <w:t>136</w:t>
      </w:r>
      <w:r>
        <w:t>.</w:t>
      </w:r>
      <w:r>
        <w:tab/>
        <w:t>Authorised officer to produce evidence of authority</w:t>
      </w:r>
      <w:bookmarkEnd w:id="360"/>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361" w:name="_Toc493602241"/>
      <w:r>
        <w:rPr>
          <w:rStyle w:val="CharSectno"/>
        </w:rPr>
        <w:t>137</w:t>
      </w:r>
      <w:r>
        <w:t>.</w:t>
      </w:r>
      <w:r>
        <w:tab/>
        <w:t>Offence to fail to comply with requirement to provide information</w:t>
      </w:r>
      <w:bookmarkEnd w:id="361"/>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62" w:name="_Toc493602242"/>
      <w:r>
        <w:rPr>
          <w:rStyle w:val="CharSectno"/>
        </w:rPr>
        <w:t>138</w:t>
      </w:r>
      <w:r>
        <w:t>.</w:t>
      </w:r>
      <w:r>
        <w:tab/>
        <w:t>Protection from liability</w:t>
      </w:r>
      <w:bookmarkEnd w:id="362"/>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363" w:name="_Toc493602243"/>
      <w:r>
        <w:rPr>
          <w:rStyle w:val="CharSectno"/>
        </w:rPr>
        <w:t>139</w:t>
      </w:r>
      <w:r>
        <w:t>.</w:t>
      </w:r>
      <w:r>
        <w:tab/>
        <w:t>Informing contact persons</w:t>
      </w:r>
      <w:bookmarkEnd w:id="363"/>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364" w:name="_Toc493602244"/>
      <w:r>
        <w:rPr>
          <w:rStyle w:val="CharSectno"/>
        </w:rPr>
        <w:t>140</w:t>
      </w:r>
      <w:r>
        <w:t>.</w:t>
      </w:r>
      <w:r>
        <w:tab/>
        <w:t>Chief Health Officer may issue guidelines</w:t>
      </w:r>
      <w:bookmarkEnd w:id="364"/>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365" w:name="_Toc493602245"/>
      <w:r>
        <w:rPr>
          <w:rStyle w:val="CharSectno"/>
        </w:rPr>
        <w:t>141</w:t>
      </w:r>
      <w:r>
        <w:t>.</w:t>
      </w:r>
      <w:r>
        <w:tab/>
        <w:t>Protection from liability</w:t>
      </w:r>
      <w:bookmarkEnd w:id="365"/>
    </w:p>
    <w:p>
      <w:pPr>
        <w:pStyle w:val="Subsection"/>
      </w:pPr>
      <w:r>
        <w:tab/>
        <w:t>(1)</w:t>
      </w:r>
      <w:r>
        <w:tab/>
        <w:t xml:space="preserve">This section applies if — </w:t>
      </w:r>
    </w:p>
    <w:p>
      <w:pPr>
        <w:pStyle w:val="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366" w:name="_Toc493509233"/>
      <w:bookmarkStart w:id="367" w:name="_Toc493509876"/>
      <w:bookmarkStart w:id="368" w:name="_Toc493598722"/>
      <w:bookmarkStart w:id="369" w:name="_Toc493600482"/>
      <w:bookmarkStart w:id="370" w:name="_Toc493602246"/>
      <w:r>
        <w:rPr>
          <w:rStyle w:val="CharDivNo"/>
        </w:rPr>
        <w:t>Division 8</w:t>
      </w:r>
      <w:r>
        <w:t> — </w:t>
      </w:r>
      <w:r>
        <w:rPr>
          <w:rStyle w:val="CharDivText"/>
        </w:rPr>
        <w:t>Regulations relating to immunisation status of children</w:t>
      </w:r>
      <w:bookmarkEnd w:id="366"/>
      <w:bookmarkEnd w:id="367"/>
      <w:bookmarkEnd w:id="368"/>
      <w:bookmarkEnd w:id="369"/>
      <w:bookmarkEnd w:id="370"/>
    </w:p>
    <w:p>
      <w:pPr>
        <w:pStyle w:val="Heading5"/>
      </w:pPr>
      <w:bookmarkStart w:id="371" w:name="_Toc493602247"/>
      <w:r>
        <w:rPr>
          <w:rStyle w:val="CharSectno"/>
        </w:rPr>
        <w:t>142</w:t>
      </w:r>
      <w:r>
        <w:t>.</w:t>
      </w:r>
      <w:r>
        <w:tab/>
        <w:t>Regulations relating to immunisation status of children</w:t>
      </w:r>
      <w:bookmarkEnd w:id="371"/>
    </w:p>
    <w:p>
      <w:pPr>
        <w:pStyle w:val="Subsection"/>
      </w:pPr>
      <w:r>
        <w:tab/>
        <w:t>(1)</w:t>
      </w:r>
      <w:r>
        <w:tab/>
        <w:t xml:space="preserve">In this section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immunisation status</w:t>
      </w:r>
      <w:r>
        <w:t xml:space="preserve">, of a child,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Subsection"/>
        <w:keepNext/>
      </w:pPr>
      <w:r>
        <w:tab/>
        <w:t>(2)</w:t>
      </w:r>
      <w:r>
        <w:tab/>
        <w:t xml:space="preserve">Without limiting section 304(1), regulations may be made under that subsection — </w:t>
      </w:r>
    </w:p>
    <w:p>
      <w:pPr>
        <w:pStyle w:val="Indenta"/>
      </w:pPr>
      <w:r>
        <w:tab/>
        <w:t>(a)</w:t>
      </w:r>
      <w:r>
        <w:tab/>
        <w:t>requiring information about a child’s immunisation status to be given to the person in charge of a school at which the child is to be enrolled or re</w:t>
      </w:r>
      <w:r>
        <w:noBreakHyphen/>
        <w:t>enrolled;</w:t>
      </w:r>
    </w:p>
    <w:p>
      <w:pPr>
        <w:pStyle w:val="Indenta"/>
      </w:pPr>
      <w:r>
        <w:tab/>
        <w:t>(b)</w:t>
      </w:r>
      <w:r>
        <w:tab/>
        <w:t>requiring the person in charge of a school to retain for a specified period information about the immunisation status of a child enrolled at the school;</w:t>
      </w:r>
    </w:p>
    <w:p>
      <w:pPr>
        <w:pStyle w:val="Indenta"/>
      </w:pPr>
      <w:r>
        <w:tab/>
        <w:t>(c)</w:t>
      </w:r>
      <w:r>
        <w:tab/>
        <w:t>requiring information given to the person in charge of a school about a child’s immunisation status to be kept confidential and stored securely;</w:t>
      </w:r>
    </w:p>
    <w:p>
      <w:pPr>
        <w:pStyle w:val="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Indenti"/>
      </w:pPr>
      <w:r>
        <w:tab/>
        <w:t>(i)</w:t>
      </w:r>
      <w:r>
        <w:tab/>
        <w:t>a child enrolled at the school; or</w:t>
      </w:r>
    </w:p>
    <w:p>
      <w:pPr>
        <w:pStyle w:val="Indenti"/>
      </w:pPr>
      <w:r>
        <w:tab/>
        <w:t>(ii)</w:t>
      </w:r>
      <w:r>
        <w:tab/>
        <w:t>children enrolled at the school;</w:t>
      </w:r>
    </w:p>
    <w:p>
      <w:pPr>
        <w:pStyle w:val="Indenta"/>
      </w:pPr>
      <w:r>
        <w:tab/>
        <w:t>(e)</w:t>
      </w:r>
      <w:r>
        <w:tab/>
        <w:t>requiring the person in charge of a school to give a report to the Chief Health Officer in respect of any child at the school who contracts a vaccine preventable notifiable infectious disease;</w:t>
      </w:r>
    </w:p>
    <w:p>
      <w:pPr>
        <w:pStyle w:val="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Heading3"/>
      </w:pPr>
      <w:bookmarkStart w:id="372" w:name="_Toc493509235"/>
      <w:bookmarkStart w:id="373" w:name="_Toc493509878"/>
      <w:bookmarkStart w:id="374" w:name="_Toc493598724"/>
      <w:bookmarkStart w:id="375" w:name="_Toc493600484"/>
      <w:bookmarkStart w:id="376" w:name="_Toc493602248"/>
      <w:r>
        <w:rPr>
          <w:rStyle w:val="CharDivNo"/>
        </w:rPr>
        <w:t>Division 9</w:t>
      </w:r>
      <w:r>
        <w:t> — </w:t>
      </w:r>
      <w:r>
        <w:rPr>
          <w:rStyle w:val="CharDivText"/>
        </w:rPr>
        <w:t>Advisory Panels</w:t>
      </w:r>
      <w:bookmarkEnd w:id="372"/>
      <w:bookmarkEnd w:id="373"/>
      <w:bookmarkEnd w:id="374"/>
      <w:bookmarkEnd w:id="375"/>
      <w:bookmarkEnd w:id="376"/>
    </w:p>
    <w:p>
      <w:pPr>
        <w:pStyle w:val="Heading5"/>
      </w:pPr>
      <w:bookmarkStart w:id="377" w:name="_Toc493602249"/>
      <w:r>
        <w:rPr>
          <w:rStyle w:val="CharSectno"/>
        </w:rPr>
        <w:t>143</w:t>
      </w:r>
      <w:r>
        <w:t>.</w:t>
      </w:r>
      <w:r>
        <w:tab/>
        <w:t>Term used: Advisory Panel</w:t>
      </w:r>
      <w:bookmarkEnd w:id="377"/>
    </w:p>
    <w:p>
      <w:pPr>
        <w:pStyle w:val="Subsection"/>
      </w:pPr>
      <w:r>
        <w:tab/>
      </w:r>
      <w:r>
        <w:tab/>
        <w:t xml:space="preserve">In this Division — </w:t>
      </w:r>
    </w:p>
    <w:p>
      <w:pPr>
        <w:pStyle w:val="Defstart"/>
      </w:pPr>
      <w:r>
        <w:tab/>
      </w:r>
      <w:r>
        <w:rPr>
          <w:rStyle w:val="CharDefText"/>
        </w:rPr>
        <w:t>Advisory Panel</w:t>
      </w:r>
      <w:r>
        <w:t xml:space="preserve"> means a Case Management and Coordination Advisory Panel established under section 144(1).</w:t>
      </w:r>
    </w:p>
    <w:p>
      <w:pPr>
        <w:pStyle w:val="Heading5"/>
      </w:pPr>
      <w:bookmarkStart w:id="378" w:name="_Toc493602250"/>
      <w:r>
        <w:rPr>
          <w:rStyle w:val="CharSectno"/>
        </w:rPr>
        <w:t>144</w:t>
      </w:r>
      <w:r>
        <w:t>.</w:t>
      </w:r>
      <w:r>
        <w:tab/>
        <w:t>Advisory Panels</w:t>
      </w:r>
      <w:bookmarkEnd w:id="378"/>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379" w:name="_Toc493602251"/>
      <w:r>
        <w:rPr>
          <w:rStyle w:val="CharSectno"/>
        </w:rPr>
        <w:t>145</w:t>
      </w:r>
      <w:r>
        <w:t>.</w:t>
      </w:r>
      <w:r>
        <w:tab/>
        <w:t>Performance of functions and procedures</w:t>
      </w:r>
      <w:bookmarkEnd w:id="379"/>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380" w:name="_Toc493602252"/>
      <w:r>
        <w:rPr>
          <w:rStyle w:val="CharSectno"/>
        </w:rPr>
        <w:t>146</w:t>
      </w:r>
      <w:r>
        <w:t>.</w:t>
      </w:r>
      <w:r>
        <w:tab/>
        <w:t>Protocols</w:t>
      </w:r>
      <w:bookmarkEnd w:id="380"/>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381" w:name="_Toc493602253"/>
      <w:r>
        <w:rPr>
          <w:rStyle w:val="CharSectno"/>
        </w:rPr>
        <w:t>147</w:t>
      </w:r>
      <w:r>
        <w:t>.</w:t>
      </w:r>
      <w:r>
        <w:tab/>
        <w:t>Access to information</w:t>
      </w:r>
      <w:bookmarkEnd w:id="381"/>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bookmarkStart w:id="382" w:name="_Toc493509241"/>
      <w:bookmarkStart w:id="383" w:name="_Toc493509884"/>
      <w:r>
        <w:t>[Part 10 has not come into operation </w:t>
      </w:r>
      <w:r>
        <w:rPr>
          <w:i w:val="0"/>
          <w:vertAlign w:val="superscript"/>
        </w:rPr>
        <w:t>2</w:t>
      </w:r>
      <w:r>
        <w:t>.]</w:t>
      </w:r>
    </w:p>
    <w:p>
      <w:pPr>
        <w:pStyle w:val="Heading2"/>
      </w:pPr>
      <w:bookmarkStart w:id="384" w:name="_Toc493598730"/>
      <w:bookmarkStart w:id="385" w:name="_Toc493600490"/>
      <w:bookmarkStart w:id="386" w:name="_Toc493602254"/>
      <w:r>
        <w:rPr>
          <w:rStyle w:val="CharPartNo"/>
        </w:rPr>
        <w:t>Part 11</w:t>
      </w:r>
      <w:r>
        <w:t> — </w:t>
      </w:r>
      <w:r>
        <w:rPr>
          <w:rStyle w:val="CharPartText"/>
        </w:rPr>
        <w:t>Serious public health incident powers</w:t>
      </w:r>
      <w:bookmarkEnd w:id="382"/>
      <w:bookmarkEnd w:id="383"/>
      <w:bookmarkEnd w:id="384"/>
      <w:bookmarkEnd w:id="385"/>
      <w:bookmarkEnd w:id="386"/>
    </w:p>
    <w:p>
      <w:pPr>
        <w:pStyle w:val="Heading3"/>
      </w:pPr>
      <w:bookmarkStart w:id="387" w:name="_Toc493509242"/>
      <w:bookmarkStart w:id="388" w:name="_Toc493509885"/>
      <w:bookmarkStart w:id="389" w:name="_Toc493598731"/>
      <w:bookmarkStart w:id="390" w:name="_Toc493600491"/>
      <w:bookmarkStart w:id="391" w:name="_Toc493602255"/>
      <w:r>
        <w:rPr>
          <w:rStyle w:val="CharDivNo"/>
        </w:rPr>
        <w:t>Division 1</w:t>
      </w:r>
      <w:r>
        <w:t> — </w:t>
      </w:r>
      <w:r>
        <w:rPr>
          <w:rStyle w:val="CharDivText"/>
        </w:rPr>
        <w:t>Authorisation to exercise serious public health incident powers</w:t>
      </w:r>
      <w:bookmarkEnd w:id="387"/>
      <w:bookmarkEnd w:id="388"/>
      <w:bookmarkEnd w:id="389"/>
      <w:bookmarkEnd w:id="390"/>
      <w:bookmarkEnd w:id="391"/>
    </w:p>
    <w:p>
      <w:pPr>
        <w:pStyle w:val="Heading5"/>
      </w:pPr>
      <w:bookmarkStart w:id="392" w:name="_Toc493602256"/>
      <w:r>
        <w:rPr>
          <w:rStyle w:val="CharSectno"/>
        </w:rPr>
        <w:t>152</w:t>
      </w:r>
      <w:r>
        <w:t>.</w:t>
      </w:r>
      <w:r>
        <w:tab/>
        <w:t>Authorisation to exercise serious public health incident powers</w:t>
      </w:r>
      <w:bookmarkEnd w:id="392"/>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393" w:name="_Toc493602257"/>
      <w:r>
        <w:rPr>
          <w:rStyle w:val="CharSectno"/>
        </w:rPr>
        <w:t>153</w:t>
      </w:r>
      <w:r>
        <w:t>.</w:t>
      </w:r>
      <w:r>
        <w:tab/>
        <w:t>Authorisation to state certain matters</w:t>
      </w:r>
      <w:bookmarkEnd w:id="393"/>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394" w:name="_Toc493602258"/>
      <w:r>
        <w:rPr>
          <w:rStyle w:val="CharSectno"/>
        </w:rPr>
        <w:t>154</w:t>
      </w:r>
      <w:r>
        <w:t>.</w:t>
      </w:r>
      <w:r>
        <w:tab/>
        <w:t>Authorisation may be given orally or in writing</w:t>
      </w:r>
      <w:bookmarkEnd w:id="394"/>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395" w:name="_Toc493509246"/>
      <w:bookmarkStart w:id="396" w:name="_Toc493509889"/>
      <w:bookmarkStart w:id="397" w:name="_Toc493598735"/>
      <w:bookmarkStart w:id="398" w:name="_Toc493600495"/>
      <w:bookmarkStart w:id="399" w:name="_Toc493602259"/>
      <w:r>
        <w:rPr>
          <w:rStyle w:val="CharDivNo"/>
        </w:rPr>
        <w:t>Division 2</w:t>
      </w:r>
      <w:r>
        <w:t> — </w:t>
      </w:r>
      <w:r>
        <w:rPr>
          <w:rStyle w:val="CharDivText"/>
        </w:rPr>
        <w:t>Serious public health incident powers</w:t>
      </w:r>
      <w:bookmarkEnd w:id="395"/>
      <w:bookmarkEnd w:id="396"/>
      <w:bookmarkEnd w:id="397"/>
      <w:bookmarkEnd w:id="398"/>
      <w:bookmarkEnd w:id="399"/>
    </w:p>
    <w:p>
      <w:pPr>
        <w:pStyle w:val="Heading5"/>
      </w:pPr>
      <w:bookmarkStart w:id="400" w:name="_Toc493602260"/>
      <w:r>
        <w:rPr>
          <w:rStyle w:val="CharSectno"/>
        </w:rPr>
        <w:t>155</w:t>
      </w:r>
      <w:r>
        <w:t>.</w:t>
      </w:r>
      <w:r>
        <w:tab/>
        <w:t>Terms used</w:t>
      </w:r>
      <w:bookmarkEnd w:id="400"/>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01" w:name="_Toc493602261"/>
      <w:r>
        <w:rPr>
          <w:rStyle w:val="CharSectno"/>
        </w:rPr>
        <w:t>156</w:t>
      </w:r>
      <w:r>
        <w:t>.</w:t>
      </w:r>
      <w:r>
        <w:tab/>
        <w:t>Operation of this Division</w:t>
      </w:r>
      <w:bookmarkEnd w:id="401"/>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402" w:name="_Toc493602262"/>
      <w:r>
        <w:rPr>
          <w:rStyle w:val="CharSectno"/>
        </w:rPr>
        <w:t>157</w:t>
      </w:r>
      <w:r>
        <w:t>.</w:t>
      </w:r>
      <w:r>
        <w:tab/>
        <w:t>Serious public health incident powers</w:t>
      </w:r>
      <w:bookmarkEnd w:id="402"/>
    </w:p>
    <w:p>
      <w:pPr>
        <w:pStyle w:val="Subsection"/>
      </w:pPr>
      <w:r>
        <w:tab/>
        <w:t>(1)</w:t>
      </w:r>
      <w:r>
        <w:tab/>
        <w:t xml:space="preserve">An authorised officer may do all or any of these — </w:t>
      </w:r>
    </w:p>
    <w:p>
      <w:pPr>
        <w:pStyle w:val="Indenta"/>
      </w:pPr>
      <w:r>
        <w:tab/>
        <w:t>(a)</w:t>
      </w:r>
      <w:r>
        <w:tab/>
        <w:t>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Heading5"/>
        <w:keepLines w:val="0"/>
        <w:pageBreakBefore/>
        <w:widowControl w:val="0"/>
        <w:spacing w:before="120"/>
      </w:pPr>
      <w:bookmarkStart w:id="403" w:name="_Toc493602263"/>
      <w:r>
        <w:rPr>
          <w:rStyle w:val="CharSectno"/>
        </w:rPr>
        <w:t>158</w:t>
      </w:r>
      <w:r>
        <w:t>.</w:t>
      </w:r>
      <w:r>
        <w:tab/>
        <w:t>Enforcement of requirement to undergo medical observation, medical examination</w:t>
      </w:r>
      <w:bookmarkEnd w:id="403"/>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404" w:name="_Toc493602264"/>
      <w:r>
        <w:rPr>
          <w:rStyle w:val="CharSectno"/>
        </w:rPr>
        <w:t>159</w:t>
      </w:r>
      <w:r>
        <w:t>.</w:t>
      </w:r>
      <w:r>
        <w:tab/>
        <w:t>Provisions relating to requirement to remain at premises or remain quarantined</w:t>
      </w:r>
      <w:bookmarkEnd w:id="404"/>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Heading5"/>
      </w:pPr>
      <w:bookmarkStart w:id="405" w:name="_Toc493602265"/>
      <w:r>
        <w:rPr>
          <w:rStyle w:val="CharSectno"/>
        </w:rPr>
        <w:t>160</w:t>
      </w:r>
      <w:r>
        <w:t>.</w:t>
      </w:r>
      <w:r>
        <w:tab/>
        <w:t>Review of requirement to remain at premises or remain quarantined</w:t>
      </w:r>
      <w:bookmarkEnd w:id="405"/>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Heading5"/>
      </w:pPr>
      <w:bookmarkStart w:id="406" w:name="_Toc493602266"/>
      <w:r>
        <w:rPr>
          <w:rStyle w:val="CharSectno"/>
        </w:rPr>
        <w:t>161</w:t>
      </w:r>
      <w:r>
        <w:t>.</w:t>
      </w:r>
      <w:r>
        <w:tab/>
        <w:t>Authorised officer may be given assistance, and may use force</w:t>
      </w:r>
      <w:bookmarkEnd w:id="406"/>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407" w:name="_Toc493602267"/>
      <w:r>
        <w:rPr>
          <w:rStyle w:val="CharSectno"/>
        </w:rPr>
        <w:t>162</w:t>
      </w:r>
      <w:r>
        <w:t>.</w:t>
      </w:r>
      <w:r>
        <w:tab/>
        <w:t>Failure to comply with requirements and directions</w:t>
      </w:r>
      <w:bookmarkEnd w:id="407"/>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08" w:name="_Toc493602268"/>
      <w:r>
        <w:rPr>
          <w:rStyle w:val="CharSectno"/>
        </w:rPr>
        <w:t>163</w:t>
      </w:r>
      <w:r>
        <w:t>.</w:t>
      </w:r>
      <w:r>
        <w:tab/>
        <w:t>Review by State Administrative Tribunal</w:t>
      </w:r>
      <w:bookmarkEnd w:id="408"/>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Heading2"/>
      </w:pPr>
      <w:bookmarkStart w:id="409" w:name="_Toc493509256"/>
      <w:bookmarkStart w:id="410" w:name="_Toc493509899"/>
      <w:bookmarkStart w:id="411" w:name="_Toc493598745"/>
      <w:bookmarkStart w:id="412" w:name="_Toc493600505"/>
      <w:bookmarkStart w:id="413" w:name="_Toc493602269"/>
      <w:r>
        <w:rPr>
          <w:rStyle w:val="CharPartNo"/>
        </w:rPr>
        <w:t>Part 12</w:t>
      </w:r>
      <w:r>
        <w:t> — </w:t>
      </w:r>
      <w:r>
        <w:rPr>
          <w:rStyle w:val="CharPartText"/>
        </w:rPr>
        <w:t>Public health emergencies</w:t>
      </w:r>
      <w:bookmarkEnd w:id="409"/>
      <w:bookmarkEnd w:id="410"/>
      <w:bookmarkEnd w:id="411"/>
      <w:bookmarkEnd w:id="412"/>
      <w:bookmarkEnd w:id="413"/>
    </w:p>
    <w:p>
      <w:pPr>
        <w:pStyle w:val="Heading3"/>
      </w:pPr>
      <w:bookmarkStart w:id="414" w:name="_Toc493509257"/>
      <w:bookmarkStart w:id="415" w:name="_Toc493509900"/>
      <w:bookmarkStart w:id="416" w:name="_Toc493598746"/>
      <w:bookmarkStart w:id="417" w:name="_Toc493600506"/>
      <w:bookmarkStart w:id="418" w:name="_Toc493602270"/>
      <w:r>
        <w:rPr>
          <w:rStyle w:val="CharDivNo"/>
        </w:rPr>
        <w:t>Division 1</w:t>
      </w:r>
      <w:r>
        <w:t> — </w:t>
      </w:r>
      <w:r>
        <w:rPr>
          <w:rStyle w:val="CharDivText"/>
        </w:rPr>
        <w:t xml:space="preserve">Relationship to </w:t>
      </w:r>
      <w:r>
        <w:rPr>
          <w:rStyle w:val="CharDivText"/>
          <w:i/>
          <w:iCs/>
        </w:rPr>
        <w:t>Emergency Management Act 2005</w:t>
      </w:r>
      <w:bookmarkEnd w:id="414"/>
      <w:bookmarkEnd w:id="415"/>
      <w:bookmarkEnd w:id="416"/>
      <w:bookmarkEnd w:id="417"/>
      <w:bookmarkEnd w:id="418"/>
    </w:p>
    <w:p>
      <w:pPr>
        <w:pStyle w:val="Heading5"/>
      </w:pPr>
      <w:bookmarkStart w:id="419" w:name="_Toc493602271"/>
      <w:r>
        <w:rPr>
          <w:rStyle w:val="CharSectno"/>
        </w:rPr>
        <w:t>164</w:t>
      </w:r>
      <w:r>
        <w:t>.</w:t>
      </w:r>
      <w:r>
        <w:tab/>
        <w:t xml:space="preserve">Relationship to </w:t>
      </w:r>
      <w:r>
        <w:rPr>
          <w:i/>
          <w:iCs/>
        </w:rPr>
        <w:t>Emergency Management Act 2005</w:t>
      </w:r>
      <w:bookmarkEnd w:id="419"/>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420" w:name="_Toc493509259"/>
      <w:bookmarkStart w:id="421" w:name="_Toc493509902"/>
      <w:bookmarkStart w:id="422" w:name="_Toc493598748"/>
      <w:bookmarkStart w:id="423" w:name="_Toc493600508"/>
      <w:bookmarkStart w:id="424" w:name="_Toc493602272"/>
      <w:r>
        <w:rPr>
          <w:rStyle w:val="CharDivNo"/>
        </w:rPr>
        <w:t>Division 2</w:t>
      </w:r>
      <w:r>
        <w:t> — </w:t>
      </w:r>
      <w:r>
        <w:rPr>
          <w:rStyle w:val="CharDivText"/>
        </w:rPr>
        <w:t>Public health emergency management plans</w:t>
      </w:r>
      <w:bookmarkEnd w:id="420"/>
      <w:bookmarkEnd w:id="421"/>
      <w:bookmarkEnd w:id="422"/>
      <w:bookmarkEnd w:id="423"/>
      <w:bookmarkEnd w:id="424"/>
    </w:p>
    <w:p>
      <w:pPr>
        <w:pStyle w:val="Heading5"/>
      </w:pPr>
      <w:bookmarkStart w:id="425" w:name="_Toc493602273"/>
      <w:r>
        <w:rPr>
          <w:rStyle w:val="CharSectno"/>
        </w:rPr>
        <w:t>165</w:t>
      </w:r>
      <w:r>
        <w:t>.</w:t>
      </w:r>
      <w:r>
        <w:tab/>
        <w:t>Public health emergency management plans</w:t>
      </w:r>
      <w:bookmarkEnd w:id="425"/>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426" w:name="_Toc493602274"/>
      <w:r>
        <w:rPr>
          <w:rStyle w:val="CharSectno"/>
        </w:rPr>
        <w:t>166</w:t>
      </w:r>
      <w:r>
        <w:t>.</w:t>
      </w:r>
      <w:r>
        <w:tab/>
        <w:t>Directions to, and duties of, public authorities</w:t>
      </w:r>
      <w:bookmarkEnd w:id="426"/>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427" w:name="_Toc493509262"/>
      <w:bookmarkStart w:id="428" w:name="_Toc493509905"/>
      <w:bookmarkStart w:id="429" w:name="_Toc493598751"/>
      <w:bookmarkStart w:id="430" w:name="_Toc493600511"/>
      <w:bookmarkStart w:id="431" w:name="_Toc493602275"/>
      <w:r>
        <w:rPr>
          <w:rStyle w:val="CharDivNo"/>
        </w:rPr>
        <w:t>Division 3</w:t>
      </w:r>
      <w:r>
        <w:t> — </w:t>
      </w:r>
      <w:r>
        <w:rPr>
          <w:rStyle w:val="CharDivText"/>
        </w:rPr>
        <w:t>Public health state of emergency declarations</w:t>
      </w:r>
      <w:bookmarkEnd w:id="427"/>
      <w:bookmarkEnd w:id="428"/>
      <w:bookmarkEnd w:id="429"/>
      <w:bookmarkEnd w:id="430"/>
      <w:bookmarkEnd w:id="431"/>
    </w:p>
    <w:p>
      <w:pPr>
        <w:pStyle w:val="Heading5"/>
      </w:pPr>
      <w:bookmarkStart w:id="432" w:name="_Toc493602276"/>
      <w:r>
        <w:rPr>
          <w:rStyle w:val="CharSectno"/>
        </w:rPr>
        <w:t>167</w:t>
      </w:r>
      <w:r>
        <w:t>.</w:t>
      </w:r>
      <w:r>
        <w:tab/>
        <w:t>Minister may make public health state of emergency declaration</w:t>
      </w:r>
      <w:bookmarkEnd w:id="432"/>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433" w:name="_Toc493602277"/>
      <w:r>
        <w:rPr>
          <w:rStyle w:val="CharSectno"/>
        </w:rPr>
        <w:t>168</w:t>
      </w:r>
      <w:r>
        <w:t>.</w:t>
      </w:r>
      <w:r>
        <w:tab/>
        <w:t>Duration of public health state of emergency declaration</w:t>
      </w:r>
      <w:bookmarkEnd w:id="433"/>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434" w:name="_Toc493602278"/>
      <w:r>
        <w:rPr>
          <w:rStyle w:val="CharSectno"/>
        </w:rPr>
        <w:t>169</w:t>
      </w:r>
      <w:r>
        <w:t>.</w:t>
      </w:r>
      <w:r>
        <w:tab/>
        <w:t>Amendment of public health state of emergency declaration</w:t>
      </w:r>
      <w:bookmarkEnd w:id="434"/>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435" w:name="_Toc493602279"/>
      <w:r>
        <w:rPr>
          <w:rStyle w:val="CharSectno"/>
        </w:rPr>
        <w:t>170</w:t>
      </w:r>
      <w:r>
        <w:t>.</w:t>
      </w:r>
      <w:r>
        <w:tab/>
        <w:t>Extension of public health state of emergency declaration</w:t>
      </w:r>
      <w:bookmarkEnd w:id="435"/>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436" w:name="_Toc493602280"/>
      <w:r>
        <w:rPr>
          <w:rStyle w:val="CharSectno"/>
        </w:rPr>
        <w:t>171</w:t>
      </w:r>
      <w:r>
        <w:t>.</w:t>
      </w:r>
      <w:r>
        <w:tab/>
        <w:t>Revocation of public health state of emergency declaration</w:t>
      </w:r>
      <w:bookmarkEnd w:id="436"/>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437" w:name="_Toc493602281"/>
      <w:r>
        <w:rPr>
          <w:rStyle w:val="CharSectno"/>
        </w:rPr>
        <w:t>172</w:t>
      </w:r>
      <w:r>
        <w:t>.</w:t>
      </w:r>
      <w:r>
        <w:tab/>
        <w:t>Notice of declaration</w:t>
      </w:r>
      <w:bookmarkEnd w:id="437"/>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438" w:name="_Toc493602282"/>
      <w:r>
        <w:rPr>
          <w:rStyle w:val="CharSectno"/>
        </w:rPr>
        <w:t>173</w:t>
      </w:r>
      <w:r>
        <w:t>.</w:t>
      </w:r>
      <w:r>
        <w:tab/>
        <w:t>Limitation of stay of operation of public health state of emergency declaration</w:t>
      </w:r>
      <w:bookmarkEnd w:id="438"/>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439" w:name="_Toc493509270"/>
      <w:bookmarkStart w:id="440" w:name="_Toc493509913"/>
      <w:bookmarkStart w:id="441" w:name="_Toc493598759"/>
      <w:bookmarkStart w:id="442" w:name="_Toc493600519"/>
      <w:bookmarkStart w:id="443" w:name="_Toc493602283"/>
      <w:r>
        <w:rPr>
          <w:rStyle w:val="CharDivNo"/>
        </w:rPr>
        <w:t>Division 4</w:t>
      </w:r>
      <w:r>
        <w:t> — </w:t>
      </w:r>
      <w:r>
        <w:rPr>
          <w:rStyle w:val="CharDivText"/>
        </w:rPr>
        <w:t>Authorisation to exercise emergency powers</w:t>
      </w:r>
      <w:bookmarkEnd w:id="439"/>
      <w:bookmarkEnd w:id="440"/>
      <w:bookmarkEnd w:id="441"/>
      <w:bookmarkEnd w:id="442"/>
      <w:bookmarkEnd w:id="443"/>
    </w:p>
    <w:p>
      <w:pPr>
        <w:pStyle w:val="Heading5"/>
      </w:pPr>
      <w:bookmarkStart w:id="444" w:name="_Toc493602284"/>
      <w:r>
        <w:rPr>
          <w:rStyle w:val="CharSectno"/>
        </w:rPr>
        <w:t>174</w:t>
      </w:r>
      <w:r>
        <w:t>.</w:t>
      </w:r>
      <w:r>
        <w:tab/>
        <w:t>Authorisation to exercise emergency powers during public health state of emergency</w:t>
      </w:r>
      <w:bookmarkEnd w:id="444"/>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445" w:name="_Toc493602285"/>
      <w:r>
        <w:rPr>
          <w:rStyle w:val="CharSectno"/>
        </w:rPr>
        <w:t>175</w:t>
      </w:r>
      <w:r>
        <w:t>.</w:t>
      </w:r>
      <w:r>
        <w:tab/>
        <w:t>Authorisation to state certain matters</w:t>
      </w:r>
      <w:bookmarkEnd w:id="445"/>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446" w:name="_Toc493602286"/>
      <w:r>
        <w:rPr>
          <w:rStyle w:val="CharSectno"/>
        </w:rPr>
        <w:t>176</w:t>
      </w:r>
      <w:r>
        <w:t>.</w:t>
      </w:r>
      <w:r>
        <w:tab/>
        <w:t>Authorisation may be given orally or in writing</w:t>
      </w:r>
      <w:bookmarkEnd w:id="446"/>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447" w:name="_Toc493509274"/>
      <w:bookmarkStart w:id="448" w:name="_Toc493509917"/>
      <w:bookmarkStart w:id="449" w:name="_Toc493598763"/>
      <w:bookmarkStart w:id="450" w:name="_Toc493600523"/>
      <w:bookmarkStart w:id="451" w:name="_Toc493602287"/>
      <w:r>
        <w:rPr>
          <w:rStyle w:val="CharDivNo"/>
        </w:rPr>
        <w:t>Division 5</w:t>
      </w:r>
      <w:r>
        <w:t> — </w:t>
      </w:r>
      <w:r>
        <w:rPr>
          <w:rStyle w:val="CharDivText"/>
        </w:rPr>
        <w:t>Emergency powers</w:t>
      </w:r>
      <w:bookmarkEnd w:id="447"/>
      <w:bookmarkEnd w:id="448"/>
      <w:bookmarkEnd w:id="449"/>
      <w:bookmarkEnd w:id="450"/>
      <w:bookmarkEnd w:id="451"/>
    </w:p>
    <w:p>
      <w:pPr>
        <w:pStyle w:val="Heading5"/>
      </w:pPr>
      <w:bookmarkStart w:id="452" w:name="_Toc493602288"/>
      <w:r>
        <w:rPr>
          <w:rStyle w:val="CharSectno"/>
        </w:rPr>
        <w:t>177</w:t>
      </w:r>
      <w:r>
        <w:t>.</w:t>
      </w:r>
      <w:r>
        <w:tab/>
        <w:t>Terms used</w:t>
      </w:r>
      <w:bookmarkEnd w:id="45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53" w:name="_Toc493602289"/>
      <w:r>
        <w:rPr>
          <w:rStyle w:val="CharSectno"/>
        </w:rPr>
        <w:t>178</w:t>
      </w:r>
      <w:r>
        <w:t>.</w:t>
      </w:r>
      <w:r>
        <w:tab/>
        <w:t>Operation of this Division</w:t>
      </w:r>
      <w:bookmarkEnd w:id="453"/>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454" w:name="_Toc493602290"/>
      <w:r>
        <w:rPr>
          <w:rStyle w:val="CharSectno"/>
        </w:rPr>
        <w:t>179</w:t>
      </w:r>
      <w:r>
        <w:t>.</w:t>
      </w:r>
      <w:r>
        <w:tab/>
        <w:t>Powers to obtain identifying particulars</w:t>
      </w:r>
      <w:bookmarkEnd w:id="454"/>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455" w:name="_Toc493602291"/>
      <w:r>
        <w:rPr>
          <w:rStyle w:val="CharSectno"/>
        </w:rPr>
        <w:t>180</w:t>
      </w:r>
      <w:r>
        <w:t>.</w:t>
      </w:r>
      <w:r>
        <w:tab/>
        <w:t>Powers relating to movement and evacuation</w:t>
      </w:r>
      <w:bookmarkEnd w:id="455"/>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w:t>
      </w:r>
    </w:p>
    <w:p>
      <w:pPr>
        <w:pStyle w:val="Heading5"/>
      </w:pPr>
      <w:bookmarkStart w:id="456" w:name="_Toc493602292"/>
      <w:r>
        <w:rPr>
          <w:rStyle w:val="CharSectno"/>
        </w:rPr>
        <w:t>181</w:t>
      </w:r>
      <w:r>
        <w:t>.</w:t>
      </w:r>
      <w:r>
        <w:tab/>
        <w:t>Powers to use vehicles</w:t>
      </w:r>
      <w:bookmarkEnd w:id="456"/>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457" w:name="_Toc493602293"/>
      <w:r>
        <w:rPr>
          <w:rStyle w:val="CharSectno"/>
        </w:rPr>
        <w:t>182</w:t>
      </w:r>
      <w:r>
        <w:t>.</w:t>
      </w:r>
      <w:r>
        <w:tab/>
        <w:t>Powers to control or use premises or property</w:t>
      </w:r>
      <w:bookmarkEnd w:id="457"/>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458" w:name="_Toc493602294"/>
      <w:r>
        <w:rPr>
          <w:rStyle w:val="CharSectno"/>
        </w:rPr>
        <w:t>183</w:t>
      </w:r>
      <w:r>
        <w:t>.</w:t>
      </w:r>
      <w:r>
        <w:tab/>
        <w:t>Powers in relation to drugs and vaccines</w:t>
      </w:r>
      <w:bookmarkEnd w:id="458"/>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459" w:name="_Toc493602295"/>
      <w:r>
        <w:rPr>
          <w:rStyle w:val="CharSectno"/>
        </w:rPr>
        <w:t>184</w:t>
      </w:r>
      <w:r>
        <w:t>.</w:t>
      </w:r>
      <w:r>
        <w:tab/>
        <w:t>Powers in relation to quarantine and medical or other procedures</w:t>
      </w:r>
      <w:bookmarkEnd w:id="459"/>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Heading5"/>
      </w:pPr>
      <w:bookmarkStart w:id="460" w:name="_Toc493602296"/>
      <w:r>
        <w:rPr>
          <w:rStyle w:val="CharSectno"/>
        </w:rPr>
        <w:t>185</w:t>
      </w:r>
      <w:r>
        <w:t>.</w:t>
      </w:r>
      <w:r>
        <w:tab/>
        <w:t>Enforcement of requirement to undergo medical observation or medical or other procedure</w:t>
      </w:r>
      <w:bookmarkEnd w:id="460"/>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461" w:name="_Toc493602297"/>
      <w:r>
        <w:rPr>
          <w:rStyle w:val="CharSectno"/>
        </w:rPr>
        <w:t>186</w:t>
      </w:r>
      <w:r>
        <w:t>.</w:t>
      </w:r>
      <w:r>
        <w:tab/>
        <w:t>Further provisions relating to requirement to remain in area or remain quarantined</w:t>
      </w:r>
      <w:bookmarkEnd w:id="461"/>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Heading5"/>
      </w:pPr>
      <w:bookmarkStart w:id="462" w:name="_Toc493602298"/>
      <w:r>
        <w:rPr>
          <w:rStyle w:val="CharSectno"/>
        </w:rPr>
        <w:t>187</w:t>
      </w:r>
      <w:r>
        <w:t>.</w:t>
      </w:r>
      <w:r>
        <w:tab/>
        <w:t>Review of requirement to remain in area or remain quarantined</w:t>
      </w:r>
      <w:bookmarkEnd w:id="462"/>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Heading5"/>
      </w:pPr>
      <w:bookmarkStart w:id="463" w:name="_Toc493602299"/>
      <w:r>
        <w:rPr>
          <w:rStyle w:val="CharSectno"/>
        </w:rPr>
        <w:t>188</w:t>
      </w:r>
      <w:r>
        <w:t>.</w:t>
      </w:r>
      <w:r>
        <w:tab/>
        <w:t>Information sharing</w:t>
      </w:r>
      <w:bookmarkEnd w:id="463"/>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ageBreakBefore/>
      </w:pPr>
      <w:bookmarkStart w:id="464" w:name="_Toc493602300"/>
      <w:r>
        <w:rPr>
          <w:rStyle w:val="CharSectno"/>
        </w:rPr>
        <w:t>189</w:t>
      </w:r>
      <w:r>
        <w:t>.</w:t>
      </w:r>
      <w:r>
        <w:tab/>
        <w:t>Regulations about information sharing for purposes of section 188</w:t>
      </w:r>
      <w:bookmarkEnd w:id="464"/>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465" w:name="_Toc493602301"/>
      <w:r>
        <w:rPr>
          <w:rStyle w:val="CharSectno"/>
        </w:rPr>
        <w:t>190</w:t>
      </w:r>
      <w:r>
        <w:t>.</w:t>
      </w:r>
      <w:r>
        <w:tab/>
        <w:t>Other emergency powers</w:t>
      </w:r>
      <w:bookmarkEnd w:id="465"/>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466" w:name="_Toc493602302"/>
      <w:r>
        <w:rPr>
          <w:rStyle w:val="CharSectno"/>
        </w:rPr>
        <w:t>191</w:t>
      </w:r>
      <w:r>
        <w:t>.</w:t>
      </w:r>
      <w:r>
        <w:tab/>
        <w:t>Further provisions relating to power to detain under section 185(1) or 190(1)(o)</w:t>
      </w:r>
      <w:bookmarkEnd w:id="466"/>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467" w:name="_Toc493602303"/>
      <w:r>
        <w:rPr>
          <w:rStyle w:val="CharSectno"/>
        </w:rPr>
        <w:t>192</w:t>
      </w:r>
      <w:r>
        <w:t>.</w:t>
      </w:r>
      <w:r>
        <w:tab/>
        <w:t>Review of detention</w:t>
      </w:r>
      <w:bookmarkEnd w:id="467"/>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468" w:name="_Toc493602304"/>
      <w:r>
        <w:rPr>
          <w:rStyle w:val="CharSectno"/>
        </w:rPr>
        <w:t>193</w:t>
      </w:r>
      <w:r>
        <w:t>.</w:t>
      </w:r>
      <w:r>
        <w:tab/>
        <w:t>Minister to be informed of detention or release from detention</w:t>
      </w:r>
      <w:bookmarkEnd w:id="468"/>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469" w:name="_Toc493602305"/>
      <w:r>
        <w:rPr>
          <w:rStyle w:val="CharSectno"/>
        </w:rPr>
        <w:t>194</w:t>
      </w:r>
      <w:r>
        <w:t>.</w:t>
      </w:r>
      <w:r>
        <w:tab/>
        <w:t>Review by State Administrative Tribunal</w:t>
      </w:r>
      <w:bookmarkEnd w:id="469"/>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470" w:name="_Toc493509293"/>
      <w:bookmarkStart w:id="471" w:name="_Toc493509936"/>
      <w:bookmarkStart w:id="472" w:name="_Toc493598782"/>
      <w:bookmarkStart w:id="473" w:name="_Toc493600542"/>
      <w:bookmarkStart w:id="474" w:name="_Toc493602306"/>
      <w:r>
        <w:rPr>
          <w:rStyle w:val="CharDivNo"/>
        </w:rPr>
        <w:t>Division 6</w:t>
      </w:r>
      <w:r>
        <w:t> — </w:t>
      </w:r>
      <w:r>
        <w:rPr>
          <w:rStyle w:val="CharDivText"/>
        </w:rPr>
        <w:t>Other powers exercisable during public health state of emergency</w:t>
      </w:r>
      <w:bookmarkEnd w:id="470"/>
      <w:bookmarkEnd w:id="471"/>
      <w:bookmarkEnd w:id="472"/>
      <w:bookmarkEnd w:id="473"/>
      <w:bookmarkEnd w:id="474"/>
    </w:p>
    <w:p>
      <w:pPr>
        <w:pStyle w:val="Heading5"/>
      </w:pPr>
      <w:bookmarkStart w:id="475" w:name="_Toc493602307"/>
      <w:r>
        <w:rPr>
          <w:rStyle w:val="CharSectno"/>
        </w:rPr>
        <w:t>195</w:t>
      </w:r>
      <w:r>
        <w:t>.</w:t>
      </w:r>
      <w:r>
        <w:tab/>
        <w:t>Powers of police relating to closure of places, movement and evacuation</w:t>
      </w:r>
      <w:bookmarkEnd w:id="475"/>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476" w:name="_Toc493602308"/>
      <w:r>
        <w:rPr>
          <w:rStyle w:val="CharSectno"/>
        </w:rPr>
        <w:t>196</w:t>
      </w:r>
      <w:r>
        <w:t>.</w:t>
      </w:r>
      <w:r>
        <w:tab/>
        <w:t>Power of Chief Health Officer to direct public authorities during public health state of emergency</w:t>
      </w:r>
      <w:bookmarkEnd w:id="476"/>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477" w:name="_Toc493602309"/>
      <w:r>
        <w:rPr>
          <w:rStyle w:val="CharSectno"/>
        </w:rPr>
        <w:t>197</w:t>
      </w:r>
      <w:r>
        <w:t>.</w:t>
      </w:r>
      <w:r>
        <w:tab/>
        <w:t>Chief Health Officer may authorise persons to administer, manufacture, supply or prescribe poisons</w:t>
      </w:r>
      <w:bookmarkEnd w:id="477"/>
    </w:p>
    <w:p>
      <w:pPr>
        <w:pStyle w:val="Subsection"/>
      </w:pPr>
      <w:r>
        <w:tab/>
        <w:t>(1)</w:t>
      </w:r>
      <w:r>
        <w:tab/>
        <w:t xml:space="preserve">In this section — </w:t>
      </w:r>
    </w:p>
    <w:p>
      <w:pPr>
        <w:pStyle w:val="Defstar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478" w:name="_Toc493602310"/>
      <w:r>
        <w:rPr>
          <w:rStyle w:val="CharSectno"/>
        </w:rPr>
        <w:t>198</w:t>
      </w:r>
      <w:r>
        <w:t>.</w:t>
      </w:r>
      <w:r>
        <w:tab/>
        <w:t>Further provisions relating to authority to administer, manufacture, supply or prescribe poisons</w:t>
      </w:r>
      <w:bookmarkEnd w:id="478"/>
    </w:p>
    <w:p>
      <w:pPr>
        <w:pStyle w:val="Subsection"/>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479" w:name="_Toc493509298"/>
      <w:bookmarkStart w:id="480" w:name="_Toc493509941"/>
      <w:bookmarkStart w:id="481" w:name="_Toc493598787"/>
      <w:bookmarkStart w:id="482" w:name="_Toc493600547"/>
      <w:bookmarkStart w:id="483" w:name="_Toc493602311"/>
      <w:r>
        <w:rPr>
          <w:rStyle w:val="CharDivNo"/>
        </w:rPr>
        <w:t>Division 7</w:t>
      </w:r>
      <w:r>
        <w:t> — </w:t>
      </w:r>
      <w:r>
        <w:rPr>
          <w:rStyle w:val="CharDivText"/>
        </w:rPr>
        <w:t>General provisions</w:t>
      </w:r>
      <w:bookmarkEnd w:id="479"/>
      <w:bookmarkEnd w:id="480"/>
      <w:bookmarkEnd w:id="481"/>
      <w:bookmarkEnd w:id="482"/>
      <w:bookmarkEnd w:id="483"/>
    </w:p>
    <w:p>
      <w:pPr>
        <w:pStyle w:val="Heading5"/>
        <w:spacing w:before="180"/>
      </w:pPr>
      <w:bookmarkStart w:id="484" w:name="_Toc493602312"/>
      <w:r>
        <w:rPr>
          <w:rStyle w:val="CharSectno"/>
        </w:rPr>
        <w:t>199</w:t>
      </w:r>
      <w:r>
        <w:t>.</w:t>
      </w:r>
      <w:r>
        <w:tab/>
        <w:t>General provisions regarding powers</w:t>
      </w:r>
      <w:bookmarkEnd w:id="484"/>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485" w:name="_Toc493602313"/>
      <w:r>
        <w:rPr>
          <w:rStyle w:val="CharSectno"/>
        </w:rPr>
        <w:t>200</w:t>
      </w:r>
      <w:r>
        <w:t>.</w:t>
      </w:r>
      <w:r>
        <w:tab/>
        <w:t>General provisions regarding directions</w:t>
      </w:r>
      <w:bookmarkEnd w:id="485"/>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486" w:name="_Toc493602314"/>
      <w:r>
        <w:rPr>
          <w:rStyle w:val="CharSectno"/>
        </w:rPr>
        <w:t>201</w:t>
      </w:r>
      <w:r>
        <w:t>.</w:t>
      </w:r>
      <w:r>
        <w:tab/>
        <w:t xml:space="preserve">Direction under </w:t>
      </w:r>
      <w:r>
        <w:rPr>
          <w:i/>
        </w:rPr>
        <w:t>Emergency Management Act 2005</w:t>
      </w:r>
      <w:r>
        <w:t xml:space="preserve"> prevails over inconsistent direction under this Part</w:t>
      </w:r>
      <w:bookmarkEnd w:id="486"/>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487" w:name="_Toc493602315"/>
      <w:r>
        <w:rPr>
          <w:rStyle w:val="CharSectno"/>
        </w:rPr>
        <w:t>202</w:t>
      </w:r>
      <w:r>
        <w:t>.</w:t>
      </w:r>
      <w:r>
        <w:tab/>
        <w:t>Failure to comply with directions</w:t>
      </w:r>
      <w:bookmarkEnd w:id="487"/>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488" w:name="_Toc493509303"/>
      <w:bookmarkStart w:id="489" w:name="_Toc493509946"/>
      <w:bookmarkStart w:id="490" w:name="_Toc493598792"/>
      <w:bookmarkStart w:id="491" w:name="_Toc493600552"/>
      <w:bookmarkStart w:id="492" w:name="_Toc493602316"/>
      <w:r>
        <w:rPr>
          <w:rStyle w:val="CharPartNo"/>
        </w:rPr>
        <w:t>Part 13</w:t>
      </w:r>
      <w:r>
        <w:t> — </w:t>
      </w:r>
      <w:r>
        <w:rPr>
          <w:rStyle w:val="CharPartText"/>
        </w:rPr>
        <w:t>Compensation and insurance</w:t>
      </w:r>
      <w:bookmarkEnd w:id="488"/>
      <w:bookmarkEnd w:id="489"/>
      <w:bookmarkEnd w:id="490"/>
      <w:bookmarkEnd w:id="491"/>
      <w:bookmarkEnd w:id="492"/>
    </w:p>
    <w:p>
      <w:pPr>
        <w:pStyle w:val="Heading3"/>
      </w:pPr>
      <w:bookmarkStart w:id="493" w:name="_Toc493509304"/>
      <w:bookmarkStart w:id="494" w:name="_Toc493509947"/>
      <w:bookmarkStart w:id="495" w:name="_Toc493598793"/>
      <w:bookmarkStart w:id="496" w:name="_Toc493600553"/>
      <w:bookmarkStart w:id="497" w:name="_Toc493602317"/>
      <w:r>
        <w:rPr>
          <w:rStyle w:val="CharDivNo"/>
        </w:rPr>
        <w:t>Division 1</w:t>
      </w:r>
      <w:r>
        <w:t> — </w:t>
      </w:r>
      <w:r>
        <w:rPr>
          <w:rStyle w:val="CharDivText"/>
        </w:rPr>
        <w:t>Compensation</w:t>
      </w:r>
      <w:bookmarkEnd w:id="493"/>
      <w:bookmarkEnd w:id="494"/>
      <w:bookmarkEnd w:id="495"/>
      <w:bookmarkEnd w:id="496"/>
      <w:bookmarkEnd w:id="497"/>
    </w:p>
    <w:p>
      <w:pPr>
        <w:pStyle w:val="Heading5"/>
      </w:pPr>
      <w:bookmarkStart w:id="498" w:name="_Toc493602318"/>
      <w:r>
        <w:rPr>
          <w:rStyle w:val="CharSectno"/>
        </w:rPr>
        <w:t>203</w:t>
      </w:r>
      <w:r>
        <w:t>.</w:t>
      </w:r>
      <w:r>
        <w:tab/>
        <w:t>Entitlement to compensation</w:t>
      </w:r>
      <w:bookmarkEnd w:id="498"/>
    </w:p>
    <w:p>
      <w:pPr>
        <w:pStyle w:val="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Indenta"/>
      </w:pPr>
      <w:r>
        <w:tab/>
        <w:t>(a)</w:t>
      </w:r>
      <w:r>
        <w:tab/>
        <w:t>a serious public health incident power; or</w:t>
      </w:r>
    </w:p>
    <w:p>
      <w:pPr>
        <w:pStyle w:val="Indenta"/>
      </w:pPr>
      <w:r>
        <w:tab/>
        <w:t>(b)</w:t>
      </w:r>
      <w:r>
        <w:tab/>
        <w:t>an emergency power; or</w:t>
      </w:r>
    </w:p>
    <w:p>
      <w:pPr>
        <w:pStyle w:val="Indenta"/>
      </w:pPr>
      <w:r>
        <w:tab/>
        <w:t>(c)</w:t>
      </w:r>
      <w:r>
        <w:tab/>
        <w:t>a power under Part 12 Division 6 or section 199.</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Heading5"/>
      </w:pPr>
      <w:bookmarkStart w:id="499" w:name="_Toc493602319"/>
      <w:r>
        <w:rPr>
          <w:rStyle w:val="CharSectno"/>
        </w:rPr>
        <w:t>204</w:t>
      </w:r>
      <w:r>
        <w:t>.</w:t>
      </w:r>
      <w:r>
        <w:tab/>
        <w:t>Applying for compensation</w:t>
      </w:r>
      <w:bookmarkEnd w:id="499"/>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500" w:name="_Toc493602320"/>
      <w:r>
        <w:rPr>
          <w:rStyle w:val="CharSectno"/>
        </w:rPr>
        <w:t>205</w:t>
      </w:r>
      <w:r>
        <w:t>.</w:t>
      </w:r>
      <w:r>
        <w:tab/>
        <w:t>Lapsing of application</w:t>
      </w:r>
      <w:bookmarkEnd w:id="500"/>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501" w:name="_Toc493602321"/>
      <w:r>
        <w:rPr>
          <w:rStyle w:val="CharSectno"/>
        </w:rPr>
        <w:t>206</w:t>
      </w:r>
      <w:r>
        <w:t>.</w:t>
      </w:r>
      <w:r>
        <w:tab/>
        <w:t>Notice of decision</w:t>
      </w:r>
      <w:bookmarkEnd w:id="501"/>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502" w:name="_Toc493602322"/>
      <w:r>
        <w:rPr>
          <w:rStyle w:val="CharSectno"/>
        </w:rPr>
        <w:t>207</w:t>
      </w:r>
      <w:r>
        <w:t>.</w:t>
      </w:r>
      <w:r>
        <w:tab/>
        <w:t>Review of decision as to payment of compensation</w:t>
      </w:r>
      <w:bookmarkEnd w:id="502"/>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503" w:name="_Toc493602323"/>
      <w:r>
        <w:rPr>
          <w:rStyle w:val="CharSectno"/>
        </w:rPr>
        <w:t>208</w:t>
      </w:r>
      <w:r>
        <w:t>.</w:t>
      </w:r>
      <w:r>
        <w:tab/>
        <w:t>False compensation claim</w:t>
      </w:r>
      <w:bookmarkEnd w:id="503"/>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504" w:name="_Toc493509311"/>
      <w:bookmarkStart w:id="505" w:name="_Toc493509954"/>
      <w:bookmarkStart w:id="506" w:name="_Toc493598800"/>
      <w:bookmarkStart w:id="507" w:name="_Toc493600560"/>
      <w:bookmarkStart w:id="508" w:name="_Toc493602324"/>
      <w:r>
        <w:rPr>
          <w:rStyle w:val="CharDivNo"/>
        </w:rPr>
        <w:t>Division 2</w:t>
      </w:r>
      <w:r>
        <w:t> — </w:t>
      </w:r>
      <w:r>
        <w:rPr>
          <w:rStyle w:val="CharDivText"/>
        </w:rPr>
        <w:t>Insurance</w:t>
      </w:r>
      <w:bookmarkEnd w:id="504"/>
      <w:bookmarkEnd w:id="505"/>
      <w:bookmarkEnd w:id="506"/>
      <w:bookmarkEnd w:id="507"/>
      <w:bookmarkEnd w:id="508"/>
    </w:p>
    <w:p>
      <w:pPr>
        <w:pStyle w:val="Heading5"/>
      </w:pPr>
      <w:bookmarkStart w:id="509" w:name="_Toc493602325"/>
      <w:r>
        <w:rPr>
          <w:rStyle w:val="CharSectno"/>
        </w:rPr>
        <w:t>209</w:t>
      </w:r>
      <w:r>
        <w:t>.</w:t>
      </w:r>
      <w:r>
        <w:tab/>
        <w:t>Extension of policy of insurance</w:t>
      </w:r>
      <w:bookmarkEnd w:id="509"/>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bookmarkStart w:id="510" w:name="_Toc493509313"/>
      <w:bookmarkStart w:id="511" w:name="_Toc493509956"/>
      <w:r>
        <w:t>[Part 14 has not come into operation </w:t>
      </w:r>
      <w:r>
        <w:rPr>
          <w:i w:val="0"/>
          <w:vertAlign w:val="superscript"/>
        </w:rPr>
        <w:t>2</w:t>
      </w:r>
      <w:r>
        <w:t>.]</w:t>
      </w:r>
    </w:p>
    <w:p>
      <w:pPr>
        <w:pStyle w:val="Heading2"/>
      </w:pPr>
      <w:bookmarkStart w:id="512" w:name="_Toc493598802"/>
      <w:bookmarkStart w:id="513" w:name="_Toc493600562"/>
      <w:bookmarkStart w:id="514" w:name="_Toc493602326"/>
      <w:r>
        <w:rPr>
          <w:rStyle w:val="CharPartNo"/>
        </w:rPr>
        <w:t>Part 15</w:t>
      </w:r>
      <w:r>
        <w:rPr>
          <w:rStyle w:val="CharDivNo"/>
        </w:rPr>
        <w:t> </w:t>
      </w:r>
      <w:r>
        <w:t>—</w:t>
      </w:r>
      <w:r>
        <w:rPr>
          <w:rStyle w:val="CharDivText"/>
        </w:rPr>
        <w:t> </w:t>
      </w:r>
      <w:r>
        <w:rPr>
          <w:rStyle w:val="CharPartText"/>
        </w:rPr>
        <w:t>Inquiries</w:t>
      </w:r>
      <w:bookmarkEnd w:id="510"/>
      <w:bookmarkEnd w:id="511"/>
      <w:bookmarkEnd w:id="512"/>
      <w:bookmarkEnd w:id="513"/>
      <w:bookmarkEnd w:id="514"/>
    </w:p>
    <w:p>
      <w:pPr>
        <w:pStyle w:val="Heading5"/>
      </w:pPr>
      <w:bookmarkStart w:id="515" w:name="_Toc493602327"/>
      <w:r>
        <w:rPr>
          <w:rStyle w:val="CharSectno"/>
        </w:rPr>
        <w:t>227</w:t>
      </w:r>
      <w:r>
        <w:t>.</w:t>
      </w:r>
      <w:r>
        <w:tab/>
        <w:t>Terms used</w:t>
      </w:r>
      <w:bookmarkEnd w:id="515"/>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516" w:name="_Toc493602328"/>
      <w:r>
        <w:rPr>
          <w:rStyle w:val="CharSectno"/>
        </w:rPr>
        <w:t>228</w:t>
      </w:r>
      <w:r>
        <w:t>.</w:t>
      </w:r>
      <w:r>
        <w:tab/>
        <w:t>Chief Health Officer may conduct inquiry</w:t>
      </w:r>
      <w:bookmarkEnd w:id="516"/>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517" w:name="_Toc493602329"/>
      <w:r>
        <w:rPr>
          <w:rStyle w:val="CharSectno"/>
        </w:rPr>
        <w:t>229</w:t>
      </w:r>
      <w:r>
        <w:t>.</w:t>
      </w:r>
      <w:r>
        <w:tab/>
        <w:t>Preliminary matters</w:t>
      </w:r>
      <w:bookmarkEnd w:id="517"/>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518" w:name="_Toc493602330"/>
      <w:r>
        <w:rPr>
          <w:rStyle w:val="CharSectno"/>
        </w:rPr>
        <w:t>230</w:t>
      </w:r>
      <w:r>
        <w:t>.</w:t>
      </w:r>
      <w:r>
        <w:tab/>
        <w:t>Procedure</w:t>
      </w:r>
      <w:bookmarkEnd w:id="518"/>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519" w:name="_Toc493602331"/>
      <w:r>
        <w:rPr>
          <w:rStyle w:val="CharSectno"/>
        </w:rPr>
        <w:t>231</w:t>
      </w:r>
      <w:r>
        <w:t>.</w:t>
      </w:r>
      <w:r>
        <w:tab/>
        <w:t>Hearings</w:t>
      </w:r>
      <w:bookmarkEnd w:id="519"/>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520" w:name="_Toc493602332"/>
      <w:r>
        <w:rPr>
          <w:rStyle w:val="CharSectno"/>
        </w:rPr>
        <w:t>232</w:t>
      </w:r>
      <w:r>
        <w:t>.</w:t>
      </w:r>
      <w:r>
        <w:tab/>
        <w:t>Inquirer’s powers in relation to inquiry</w:t>
      </w:r>
      <w:bookmarkEnd w:id="520"/>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521" w:name="_Toc493602333"/>
      <w:r>
        <w:rPr>
          <w:rStyle w:val="CharSectno"/>
        </w:rPr>
        <w:t>233</w:t>
      </w:r>
      <w:r>
        <w:t>.</w:t>
      </w:r>
      <w:r>
        <w:tab/>
        <w:t>Failure to comply with requirements of notice</w:t>
      </w:r>
      <w:bookmarkEnd w:id="521"/>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522" w:name="_Toc493602334"/>
      <w:r>
        <w:rPr>
          <w:rStyle w:val="CharSectno"/>
        </w:rPr>
        <w:t>234</w:t>
      </w:r>
      <w:r>
        <w:t>.</w:t>
      </w:r>
      <w:r>
        <w:tab/>
        <w:t>Incriminating answers or documents</w:t>
      </w:r>
      <w:bookmarkEnd w:id="522"/>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523" w:name="_Toc493602335"/>
      <w:r>
        <w:rPr>
          <w:rStyle w:val="CharSectno"/>
        </w:rPr>
        <w:t>235</w:t>
      </w:r>
      <w:r>
        <w:t>.</w:t>
      </w:r>
      <w:r>
        <w:tab/>
        <w:t>Disruption of inquiry</w:t>
      </w:r>
      <w:bookmarkEnd w:id="523"/>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524" w:name="_Toc493602336"/>
      <w:r>
        <w:rPr>
          <w:rStyle w:val="CharSectno"/>
        </w:rPr>
        <w:t>236</w:t>
      </w:r>
      <w:r>
        <w:t>.</w:t>
      </w:r>
      <w:r>
        <w:tab/>
        <w:t>False information</w:t>
      </w:r>
      <w:bookmarkEnd w:id="524"/>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525" w:name="_Toc493602337"/>
      <w:r>
        <w:rPr>
          <w:rStyle w:val="CharSectno"/>
        </w:rPr>
        <w:t>237</w:t>
      </w:r>
      <w:r>
        <w:t>.</w:t>
      </w:r>
      <w:r>
        <w:tab/>
        <w:t>Protection for certain purposes</w:t>
      </w:r>
      <w:bookmarkEnd w:id="525"/>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526" w:name="_Toc493602338"/>
      <w:r>
        <w:rPr>
          <w:rStyle w:val="CharSectno"/>
        </w:rPr>
        <w:t>238</w:t>
      </w:r>
      <w:r>
        <w:t>.</w:t>
      </w:r>
      <w:r>
        <w:tab/>
        <w:t>Reports</w:t>
      </w:r>
      <w:bookmarkEnd w:id="526"/>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527" w:name="_Toc493509326"/>
      <w:bookmarkStart w:id="528" w:name="_Toc493509969"/>
      <w:bookmarkStart w:id="529" w:name="_Toc493598815"/>
      <w:bookmarkStart w:id="530" w:name="_Toc493600575"/>
      <w:bookmarkStart w:id="531" w:name="_Toc493602339"/>
      <w:r>
        <w:rPr>
          <w:rStyle w:val="CharPartNo"/>
        </w:rPr>
        <w:t>Part 16</w:t>
      </w:r>
      <w:r>
        <w:t> — </w:t>
      </w:r>
      <w:r>
        <w:rPr>
          <w:rStyle w:val="CharPartText"/>
        </w:rPr>
        <w:t>Powers of entry, inspection and seizure</w:t>
      </w:r>
      <w:bookmarkEnd w:id="527"/>
      <w:bookmarkEnd w:id="528"/>
      <w:bookmarkEnd w:id="529"/>
      <w:bookmarkEnd w:id="530"/>
      <w:bookmarkEnd w:id="531"/>
    </w:p>
    <w:p>
      <w:pPr>
        <w:pStyle w:val="Heading3"/>
      </w:pPr>
      <w:bookmarkStart w:id="532" w:name="_Toc493509327"/>
      <w:bookmarkStart w:id="533" w:name="_Toc493509970"/>
      <w:bookmarkStart w:id="534" w:name="_Toc493598816"/>
      <w:bookmarkStart w:id="535" w:name="_Toc493600576"/>
      <w:bookmarkStart w:id="536" w:name="_Toc493602340"/>
      <w:r>
        <w:rPr>
          <w:rStyle w:val="CharDivNo"/>
        </w:rPr>
        <w:t>Division 1</w:t>
      </w:r>
      <w:r>
        <w:t> — </w:t>
      </w:r>
      <w:r>
        <w:rPr>
          <w:rStyle w:val="CharDivText"/>
        </w:rPr>
        <w:t>Entry, inspection and seizure</w:t>
      </w:r>
      <w:bookmarkEnd w:id="532"/>
      <w:bookmarkEnd w:id="533"/>
      <w:bookmarkEnd w:id="534"/>
      <w:bookmarkEnd w:id="535"/>
      <w:bookmarkEnd w:id="536"/>
    </w:p>
    <w:p>
      <w:pPr>
        <w:pStyle w:val="Heading5"/>
      </w:pPr>
      <w:bookmarkStart w:id="537" w:name="_Toc493602341"/>
      <w:r>
        <w:rPr>
          <w:rStyle w:val="CharSectno"/>
        </w:rPr>
        <w:t>239</w:t>
      </w:r>
      <w:r>
        <w:t>.</w:t>
      </w:r>
      <w:r>
        <w:tab/>
        <w:t>Term used: reasonably suspects</w:t>
      </w:r>
      <w:bookmarkEnd w:id="537"/>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538" w:name="_Toc493602342"/>
      <w:r>
        <w:rPr>
          <w:rStyle w:val="CharSectno"/>
        </w:rPr>
        <w:t>240</w:t>
      </w:r>
      <w:r>
        <w:t>.</w:t>
      </w:r>
      <w:r>
        <w:tab/>
        <w:t>Powers of authorised officers</w:t>
      </w:r>
      <w:bookmarkEnd w:id="538"/>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Heading5"/>
      </w:pPr>
      <w:bookmarkStart w:id="539" w:name="_Toc493602343"/>
      <w:r>
        <w:rPr>
          <w:rStyle w:val="CharSectno"/>
        </w:rPr>
        <w:t>241</w:t>
      </w:r>
      <w:r>
        <w:t>.</w:t>
      </w:r>
      <w:r>
        <w:tab/>
        <w:t>Stopping of vehicles</w:t>
      </w:r>
      <w:bookmarkEnd w:id="539"/>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40" w:name="_Toc493602344"/>
      <w:r>
        <w:rPr>
          <w:rStyle w:val="CharSectno"/>
        </w:rPr>
        <w:t>242</w:t>
      </w:r>
      <w:r>
        <w:t>.</w:t>
      </w:r>
      <w:r>
        <w:tab/>
        <w:t>Incriminating information or answers</w:t>
      </w:r>
      <w:bookmarkEnd w:id="540"/>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541" w:name="_Toc493602345"/>
      <w:r>
        <w:rPr>
          <w:rStyle w:val="CharSectno"/>
        </w:rPr>
        <w:t>243</w:t>
      </w:r>
      <w:r>
        <w:t>.</w:t>
      </w:r>
      <w:r>
        <w:tab/>
        <w:t>Liability for complying with requirement to provide information, answer question or produce document or thing</w:t>
      </w:r>
      <w:bookmarkEnd w:id="541"/>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542" w:name="_Toc493602346"/>
      <w:r>
        <w:rPr>
          <w:rStyle w:val="CharSectno"/>
        </w:rPr>
        <w:t>244</w:t>
      </w:r>
      <w:r>
        <w:t>.</w:t>
      </w:r>
      <w:r>
        <w:tab/>
        <w:t>Power of seizure</w:t>
      </w:r>
      <w:bookmarkEnd w:id="542"/>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543" w:name="_Toc493602347"/>
      <w:r>
        <w:rPr>
          <w:rStyle w:val="CharSectno"/>
        </w:rPr>
        <w:t>245</w:t>
      </w:r>
      <w:r>
        <w:t>.</w:t>
      </w:r>
      <w:r>
        <w:tab/>
        <w:t xml:space="preserve">Application of </w:t>
      </w:r>
      <w:r>
        <w:rPr>
          <w:i/>
          <w:iCs/>
        </w:rPr>
        <w:t>Criminal Investigation Act 2006</w:t>
      </w:r>
      <w:bookmarkEnd w:id="543"/>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544" w:name="_Toc493602348"/>
      <w:r>
        <w:rPr>
          <w:rStyle w:val="CharSectno"/>
        </w:rPr>
        <w:t>246</w:t>
      </w:r>
      <w:r>
        <w:t>.</w:t>
      </w:r>
      <w:r>
        <w:tab/>
        <w:t>Application for warrant to enter premises</w:t>
      </w:r>
      <w:bookmarkEnd w:id="544"/>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545" w:name="_Toc493602349"/>
      <w:r>
        <w:rPr>
          <w:rStyle w:val="CharSectno"/>
        </w:rPr>
        <w:t>247</w:t>
      </w:r>
      <w:r>
        <w:t>.</w:t>
      </w:r>
      <w:r>
        <w:tab/>
        <w:t>How application made</w:t>
      </w:r>
      <w:bookmarkEnd w:id="545"/>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546" w:name="_Toc493602350"/>
      <w:r>
        <w:rPr>
          <w:rStyle w:val="CharSectno"/>
        </w:rPr>
        <w:t>248</w:t>
      </w:r>
      <w:r>
        <w:t>.</w:t>
      </w:r>
      <w:r>
        <w:tab/>
        <w:t>Further provisions relating to application for warrant</w:t>
      </w:r>
      <w:bookmarkEnd w:id="546"/>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547" w:name="_Toc493602351"/>
      <w:r>
        <w:rPr>
          <w:rStyle w:val="CharSectno"/>
        </w:rPr>
        <w:t>249</w:t>
      </w:r>
      <w:r>
        <w:t>.</w:t>
      </w:r>
      <w:r>
        <w:tab/>
        <w:t>Issue of warrant</w:t>
      </w:r>
      <w:bookmarkEnd w:id="547"/>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548" w:name="_Toc493602352"/>
      <w:r>
        <w:rPr>
          <w:rStyle w:val="CharSectno"/>
        </w:rPr>
        <w:t>250</w:t>
      </w:r>
      <w:r>
        <w:t>.</w:t>
      </w:r>
      <w:r>
        <w:tab/>
        <w:t>Duration of warrant</w:t>
      </w:r>
      <w:bookmarkEnd w:id="548"/>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549" w:name="_Toc493602353"/>
      <w:r>
        <w:rPr>
          <w:rStyle w:val="CharSectno"/>
        </w:rPr>
        <w:t>251</w:t>
      </w:r>
      <w:r>
        <w:t>.</w:t>
      </w:r>
      <w:r>
        <w:tab/>
        <w:t>Execution of warrant</w:t>
      </w:r>
      <w:bookmarkEnd w:id="549"/>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550" w:name="_Toc493602354"/>
      <w:r>
        <w:rPr>
          <w:rStyle w:val="CharSectno"/>
        </w:rPr>
        <w:t>252</w:t>
      </w:r>
      <w:r>
        <w:t>.</w:t>
      </w:r>
      <w:r>
        <w:tab/>
        <w:t>Use of force</w:t>
      </w:r>
      <w:bookmarkEnd w:id="550"/>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551" w:name="_Toc493602355"/>
      <w:r>
        <w:rPr>
          <w:rStyle w:val="CharSectno"/>
        </w:rPr>
        <w:t>253</w:t>
      </w:r>
      <w:r>
        <w:t>.</w:t>
      </w:r>
      <w:r>
        <w:tab/>
        <w:t>Failure to comply with requirements of authorised officers</w:t>
      </w:r>
      <w:bookmarkEnd w:id="551"/>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552" w:name="_Toc493602356"/>
      <w:r>
        <w:rPr>
          <w:rStyle w:val="CharSectno"/>
        </w:rPr>
        <w:t>254</w:t>
      </w:r>
      <w:r>
        <w:t>.</w:t>
      </w:r>
      <w:r>
        <w:tab/>
        <w:t>False information</w:t>
      </w:r>
      <w:bookmarkEnd w:id="552"/>
    </w:p>
    <w:p>
      <w:pPr>
        <w:pStyle w:val="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Penstart"/>
      </w:pPr>
      <w:r>
        <w:tab/>
        <w:t>Penalty: a fine of $10 000.</w:t>
      </w:r>
    </w:p>
    <w:p>
      <w:pPr>
        <w:pStyle w:val="Heading5"/>
      </w:pPr>
      <w:bookmarkStart w:id="553" w:name="_Toc493602357"/>
      <w:r>
        <w:rPr>
          <w:rStyle w:val="CharSectno"/>
        </w:rPr>
        <w:t>255</w:t>
      </w:r>
      <w:r>
        <w:t>.</w:t>
      </w:r>
      <w:r>
        <w:tab/>
        <w:t>Obstructing, impersonating or threatening authorised officers</w:t>
      </w:r>
      <w:bookmarkEnd w:id="553"/>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554" w:name="_Toc493509345"/>
      <w:bookmarkStart w:id="555" w:name="_Toc493509988"/>
      <w:bookmarkStart w:id="556" w:name="_Toc493598834"/>
      <w:bookmarkStart w:id="557" w:name="_Toc493600594"/>
      <w:bookmarkStart w:id="558" w:name="_Toc493602358"/>
      <w:r>
        <w:rPr>
          <w:rStyle w:val="CharDivNo"/>
        </w:rPr>
        <w:t xml:space="preserve">Division </w:t>
      </w:r>
      <w:r>
        <w:t>2 — </w:t>
      </w:r>
      <w:r>
        <w:rPr>
          <w:rStyle w:val="CharDivText"/>
        </w:rPr>
        <w:t>Items seized by authorised officers</w:t>
      </w:r>
      <w:bookmarkEnd w:id="554"/>
      <w:bookmarkEnd w:id="555"/>
      <w:bookmarkEnd w:id="556"/>
      <w:bookmarkEnd w:id="557"/>
      <w:bookmarkEnd w:id="558"/>
    </w:p>
    <w:p>
      <w:pPr>
        <w:pStyle w:val="Heading5"/>
      </w:pPr>
      <w:bookmarkStart w:id="559" w:name="_Toc493602359"/>
      <w:r>
        <w:rPr>
          <w:rStyle w:val="CharSectno"/>
        </w:rPr>
        <w:t>256</w:t>
      </w:r>
      <w:r>
        <w:t>.</w:t>
      </w:r>
      <w:r>
        <w:tab/>
        <w:t xml:space="preserve">Application of </w:t>
      </w:r>
      <w:r>
        <w:rPr>
          <w:i/>
        </w:rPr>
        <w:t>Criminal and Found Property Disposal Act 2006</w:t>
      </w:r>
      <w:bookmarkEnd w:id="559"/>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560" w:name="_Toc493602360"/>
      <w:r>
        <w:rPr>
          <w:rStyle w:val="CharSectno"/>
        </w:rPr>
        <w:t>257</w:t>
      </w:r>
      <w:r>
        <w:t>.</w:t>
      </w:r>
      <w:r>
        <w:tab/>
        <w:t>Seized items</w:t>
      </w:r>
      <w:bookmarkEnd w:id="560"/>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561" w:name="_Toc493602361"/>
      <w:r>
        <w:rPr>
          <w:rStyle w:val="CharSectno"/>
        </w:rPr>
        <w:t>258</w:t>
      </w:r>
      <w:r>
        <w:t>.</w:t>
      </w:r>
      <w:r>
        <w:tab/>
        <w:t>Notification of seizure</w:t>
      </w:r>
      <w:bookmarkEnd w:id="561"/>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562" w:name="_Toc493602362"/>
      <w:r>
        <w:rPr>
          <w:rStyle w:val="CharSectno"/>
        </w:rPr>
        <w:t>259</w:t>
      </w:r>
      <w:r>
        <w:t>.</w:t>
      </w:r>
      <w:r>
        <w:tab/>
        <w:t>Immediate destruction or disposal of things seized</w:t>
      </w:r>
      <w:bookmarkEnd w:id="562"/>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563" w:name="_Toc493602363"/>
      <w:r>
        <w:rPr>
          <w:rStyle w:val="CharSectno"/>
        </w:rPr>
        <w:t>260</w:t>
      </w:r>
      <w:r>
        <w:t>.</w:t>
      </w:r>
      <w:r>
        <w:tab/>
        <w:t>Return of seized item</w:t>
      </w:r>
      <w:bookmarkEnd w:id="563"/>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564" w:name="_Toc493602364"/>
      <w:r>
        <w:rPr>
          <w:rStyle w:val="CharSectno"/>
        </w:rPr>
        <w:t>261</w:t>
      </w:r>
      <w:r>
        <w:t>.</w:t>
      </w:r>
      <w:r>
        <w:tab/>
        <w:t>Forfeiture of item</w:t>
      </w:r>
      <w:bookmarkEnd w:id="564"/>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565" w:name="_Toc493602365"/>
      <w:r>
        <w:rPr>
          <w:rStyle w:val="CharSectno"/>
        </w:rPr>
        <w:t>262</w:t>
      </w:r>
      <w:r>
        <w:t>.</w:t>
      </w:r>
      <w:r>
        <w:tab/>
        <w:t>Cost of destruction or disposal of forfeited item</w:t>
      </w:r>
      <w:bookmarkEnd w:id="565"/>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566" w:name="_Toc493602366"/>
      <w:r>
        <w:rPr>
          <w:rStyle w:val="CharSectno"/>
        </w:rPr>
        <w:t>263</w:t>
      </w:r>
      <w:r>
        <w:t>.</w:t>
      </w:r>
      <w:r>
        <w:tab/>
        <w:t>Return of forfeited item</w:t>
      </w:r>
      <w:bookmarkEnd w:id="566"/>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567" w:name="_Toc493602367"/>
      <w:r>
        <w:rPr>
          <w:rStyle w:val="CharSectno"/>
        </w:rPr>
        <w:t>264</w:t>
      </w:r>
      <w:r>
        <w:t>.</w:t>
      </w:r>
      <w:r>
        <w:tab/>
        <w:t>Compensation</w:t>
      </w:r>
      <w:bookmarkEnd w:id="567"/>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568" w:name="_Toc493602368"/>
      <w:r>
        <w:rPr>
          <w:rStyle w:val="CharSectno"/>
        </w:rPr>
        <w:t>265</w:t>
      </w:r>
      <w:r>
        <w:t>.</w:t>
      </w:r>
      <w:r>
        <w:tab/>
        <w:t>Review of decisions relating to compensation</w:t>
      </w:r>
      <w:bookmarkEnd w:id="568"/>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569" w:name="_Toc457228986"/>
      <w:bookmarkStart w:id="570" w:name="_Toc457231375"/>
      <w:bookmarkStart w:id="571" w:name="_Toc457299331"/>
      <w:bookmarkStart w:id="572" w:name="_Toc457395581"/>
      <w:bookmarkStart w:id="573" w:name="_Toc457471955"/>
      <w:bookmarkStart w:id="574" w:name="_Toc462732436"/>
      <w:bookmarkStart w:id="575" w:name="_Toc462751754"/>
      <w:bookmarkStart w:id="576" w:name="_Toc462751793"/>
      <w:bookmarkStart w:id="577" w:name="_Toc472088202"/>
      <w:bookmarkStart w:id="578" w:name="_Toc473036953"/>
      <w:bookmarkStart w:id="579" w:name="_Toc473037750"/>
      <w:bookmarkStart w:id="580" w:name="_Toc473038738"/>
      <w:bookmarkStart w:id="581" w:name="_Toc473130269"/>
      <w:bookmarkStart w:id="582" w:name="_Toc474749112"/>
      <w:bookmarkStart w:id="583" w:name="_Toc474749249"/>
      <w:bookmarkStart w:id="584" w:name="_Toc493509356"/>
      <w:bookmarkStart w:id="585" w:name="_Toc493509999"/>
      <w:bookmarkStart w:id="586" w:name="_Toc493598845"/>
      <w:bookmarkStart w:id="587" w:name="_Toc493600605"/>
      <w:bookmarkStart w:id="588" w:name="_Toc493602369"/>
      <w:r>
        <w:rPr>
          <w:rStyle w:val="CharPartNo"/>
        </w:rPr>
        <w:t>Part 17</w:t>
      </w:r>
      <w:r>
        <w:t> — </w:t>
      </w:r>
      <w:r>
        <w:rPr>
          <w:rStyle w:val="CharPartText"/>
        </w:rPr>
        <w:t>Crown exemptions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3"/>
      </w:pPr>
      <w:bookmarkStart w:id="589" w:name="_Toc402269287"/>
      <w:bookmarkStart w:id="590" w:name="_Toc402269666"/>
      <w:bookmarkStart w:id="591" w:name="_Toc402273935"/>
      <w:bookmarkStart w:id="592" w:name="_Toc402274785"/>
      <w:bookmarkStart w:id="593" w:name="_Toc402279180"/>
      <w:bookmarkStart w:id="594" w:name="_Toc402279559"/>
      <w:bookmarkStart w:id="595" w:name="_Toc402344912"/>
      <w:bookmarkStart w:id="596" w:name="_Toc402419833"/>
      <w:bookmarkStart w:id="597" w:name="_Toc403034885"/>
      <w:bookmarkStart w:id="598" w:name="_Toc403036256"/>
      <w:bookmarkStart w:id="599" w:name="_Toc403468464"/>
      <w:bookmarkStart w:id="600" w:name="_Toc404169873"/>
      <w:bookmarkStart w:id="601" w:name="_Toc404172545"/>
      <w:bookmarkStart w:id="602" w:name="_Toc404178488"/>
      <w:bookmarkStart w:id="603" w:name="_Toc436299063"/>
      <w:bookmarkStart w:id="604" w:name="_Toc436299940"/>
      <w:bookmarkStart w:id="605" w:name="_Toc436302458"/>
      <w:bookmarkStart w:id="606" w:name="_Toc455145697"/>
      <w:bookmarkStart w:id="607" w:name="_Toc455150429"/>
      <w:bookmarkStart w:id="608" w:name="_Toc455748585"/>
      <w:bookmarkStart w:id="609" w:name="_Toc457219247"/>
      <w:bookmarkStart w:id="610" w:name="_Toc457225800"/>
      <w:bookmarkStart w:id="611" w:name="_Toc457228987"/>
      <w:bookmarkStart w:id="612" w:name="_Toc457231376"/>
      <w:bookmarkStart w:id="613" w:name="_Toc457299332"/>
      <w:bookmarkStart w:id="614" w:name="_Toc457395582"/>
      <w:bookmarkStart w:id="615" w:name="_Toc457471956"/>
      <w:bookmarkStart w:id="616" w:name="_Toc462732437"/>
      <w:bookmarkStart w:id="617" w:name="_Toc462751755"/>
      <w:bookmarkStart w:id="618" w:name="_Toc462751794"/>
      <w:bookmarkStart w:id="619" w:name="_Toc472088203"/>
      <w:bookmarkStart w:id="620" w:name="_Toc473036954"/>
      <w:bookmarkStart w:id="621" w:name="_Toc473037751"/>
      <w:bookmarkStart w:id="622" w:name="_Toc473038739"/>
      <w:bookmarkStart w:id="623" w:name="_Toc473130270"/>
      <w:bookmarkStart w:id="624" w:name="_Toc474749113"/>
      <w:bookmarkStart w:id="625" w:name="_Toc474749250"/>
      <w:bookmarkStart w:id="626" w:name="_Toc493509357"/>
      <w:bookmarkStart w:id="627" w:name="_Toc493510000"/>
      <w:bookmarkStart w:id="628" w:name="_Toc493598846"/>
      <w:bookmarkStart w:id="629" w:name="_Toc493600606"/>
      <w:bookmarkStart w:id="630" w:name="_Toc493602370"/>
      <w:r>
        <w:rPr>
          <w:rStyle w:val="CharDivNo"/>
        </w:rPr>
        <w:t>Division 1</w:t>
      </w:r>
      <w:r>
        <w:t> — </w:t>
      </w:r>
      <w:r>
        <w:rPr>
          <w:rStyle w:val="CharDivText"/>
        </w:rPr>
        <w:t>Preliminary</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457219248"/>
      <w:bookmarkStart w:id="632" w:name="_Toc457225801"/>
      <w:bookmarkStart w:id="633" w:name="_Toc473130271"/>
      <w:bookmarkStart w:id="634" w:name="_Toc493602371"/>
      <w:r>
        <w:rPr>
          <w:rStyle w:val="CharSectno"/>
        </w:rPr>
        <w:t>266</w:t>
      </w:r>
      <w:r>
        <w:t>.</w:t>
      </w:r>
      <w:r>
        <w:tab/>
        <w:t>Terms used</w:t>
      </w:r>
      <w:bookmarkEnd w:id="631"/>
      <w:bookmarkEnd w:id="632"/>
      <w:bookmarkEnd w:id="633"/>
      <w:bookmarkEnd w:id="634"/>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635" w:name="_Toc402269289"/>
      <w:bookmarkStart w:id="636" w:name="_Toc402269668"/>
      <w:bookmarkStart w:id="637" w:name="_Toc402273937"/>
      <w:bookmarkStart w:id="638" w:name="_Toc402274787"/>
      <w:bookmarkStart w:id="639" w:name="_Toc402279182"/>
      <w:bookmarkStart w:id="640" w:name="_Toc402279561"/>
      <w:bookmarkStart w:id="641" w:name="_Toc402344914"/>
      <w:bookmarkStart w:id="642" w:name="_Toc402419835"/>
      <w:bookmarkStart w:id="643" w:name="_Toc403034887"/>
      <w:bookmarkStart w:id="644" w:name="_Toc403036258"/>
      <w:bookmarkStart w:id="645" w:name="_Toc403468466"/>
      <w:bookmarkStart w:id="646" w:name="_Toc404169875"/>
      <w:bookmarkStart w:id="647" w:name="_Toc404172547"/>
      <w:bookmarkStart w:id="648" w:name="_Toc404178490"/>
      <w:bookmarkStart w:id="649" w:name="_Toc436299065"/>
      <w:bookmarkStart w:id="650" w:name="_Toc436299942"/>
      <w:bookmarkStart w:id="651" w:name="_Toc436302460"/>
      <w:bookmarkStart w:id="652" w:name="_Toc455145699"/>
      <w:bookmarkStart w:id="653" w:name="_Toc455150431"/>
      <w:bookmarkStart w:id="654" w:name="_Toc455748587"/>
      <w:bookmarkStart w:id="655" w:name="_Toc457219249"/>
      <w:bookmarkStart w:id="656" w:name="_Toc457225802"/>
      <w:bookmarkStart w:id="657" w:name="_Toc457228989"/>
      <w:bookmarkStart w:id="658" w:name="_Toc457231378"/>
      <w:bookmarkStart w:id="659" w:name="_Toc457299334"/>
      <w:bookmarkStart w:id="660" w:name="_Toc457395584"/>
      <w:bookmarkStart w:id="661" w:name="_Toc457471958"/>
      <w:bookmarkStart w:id="662" w:name="_Toc462732439"/>
      <w:bookmarkStart w:id="663" w:name="_Toc462751757"/>
      <w:bookmarkStart w:id="664" w:name="_Toc462751796"/>
      <w:bookmarkStart w:id="665" w:name="_Toc472088205"/>
      <w:bookmarkStart w:id="666" w:name="_Toc473036956"/>
      <w:bookmarkStart w:id="667" w:name="_Toc473037753"/>
      <w:bookmarkStart w:id="668" w:name="_Toc473038741"/>
      <w:bookmarkStart w:id="669" w:name="_Toc473130272"/>
      <w:bookmarkStart w:id="670" w:name="_Toc474749115"/>
      <w:bookmarkStart w:id="671" w:name="_Toc474749252"/>
      <w:bookmarkStart w:id="672" w:name="_Toc493509359"/>
      <w:bookmarkStart w:id="673" w:name="_Toc493510002"/>
      <w:bookmarkStart w:id="674" w:name="_Toc493598848"/>
      <w:bookmarkStart w:id="675" w:name="_Toc493600608"/>
      <w:bookmarkStart w:id="676" w:name="_Toc493602372"/>
      <w:r>
        <w:rPr>
          <w:rStyle w:val="CharDivNo"/>
        </w:rPr>
        <w:t>Division 2</w:t>
      </w:r>
      <w:r>
        <w:t> — </w:t>
      </w:r>
      <w:r>
        <w:rPr>
          <w:rStyle w:val="CharDivText"/>
        </w:rPr>
        <w:t>Ministerial exemptions for Crown and Crown authorities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457219250"/>
      <w:bookmarkStart w:id="678" w:name="_Toc457225803"/>
      <w:bookmarkStart w:id="679" w:name="_Toc473130273"/>
      <w:bookmarkStart w:id="680" w:name="_Toc493602373"/>
      <w:r>
        <w:rPr>
          <w:rStyle w:val="CharSectno"/>
        </w:rPr>
        <w:t>267</w:t>
      </w:r>
      <w:r>
        <w:t>.</w:t>
      </w:r>
      <w:r>
        <w:tab/>
        <w:t>Minister may exempt Crown or Crown authority from certain provisions</w:t>
      </w:r>
      <w:bookmarkEnd w:id="677"/>
      <w:bookmarkEnd w:id="678"/>
      <w:bookmarkEnd w:id="679"/>
      <w:bookmarkEnd w:id="680"/>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681" w:name="_Toc457219251"/>
      <w:bookmarkStart w:id="682" w:name="_Toc457225804"/>
      <w:bookmarkStart w:id="683" w:name="_Toc473130274"/>
      <w:bookmarkStart w:id="684" w:name="_Toc493602374"/>
      <w:r>
        <w:rPr>
          <w:rStyle w:val="CharSectno"/>
        </w:rPr>
        <w:t>268</w:t>
      </w:r>
      <w:r>
        <w:t>.</w:t>
      </w:r>
      <w:r>
        <w:tab/>
        <w:t>Duration of exemption</w:t>
      </w:r>
      <w:bookmarkEnd w:id="681"/>
      <w:bookmarkEnd w:id="682"/>
      <w:bookmarkEnd w:id="683"/>
      <w:bookmarkEnd w:id="684"/>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685" w:name="_Toc457219252"/>
      <w:bookmarkStart w:id="686" w:name="_Toc457225805"/>
      <w:bookmarkStart w:id="687" w:name="_Toc473130275"/>
      <w:bookmarkStart w:id="688" w:name="_Toc493602375"/>
      <w:r>
        <w:rPr>
          <w:rStyle w:val="CharSectno"/>
        </w:rPr>
        <w:t>269</w:t>
      </w:r>
      <w:r>
        <w:t>.</w:t>
      </w:r>
      <w:r>
        <w:tab/>
        <w:t>Content of exemption</w:t>
      </w:r>
      <w:bookmarkEnd w:id="685"/>
      <w:bookmarkEnd w:id="686"/>
      <w:bookmarkEnd w:id="687"/>
      <w:bookmarkEnd w:id="688"/>
    </w:p>
    <w:p>
      <w:pPr>
        <w:pStyle w:val="Subsection"/>
      </w:pPr>
      <w:r>
        <w:tab/>
        <w:t>(1)</w:t>
      </w:r>
      <w:r>
        <w:tab/>
        <w:t>An exemption that is not issued in the name of a Crown authority must be issued in the name of a Minister on behalf of the Crown.</w:t>
      </w:r>
    </w:p>
    <w:p>
      <w:pPr>
        <w:pStyle w:val="Subsection"/>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689" w:name="_Toc457219253"/>
      <w:bookmarkStart w:id="690" w:name="_Toc457225806"/>
      <w:bookmarkStart w:id="691" w:name="_Toc473130276"/>
      <w:bookmarkStart w:id="692" w:name="_Toc493602376"/>
      <w:r>
        <w:rPr>
          <w:rStyle w:val="CharSectno"/>
        </w:rPr>
        <w:t>270</w:t>
      </w:r>
      <w:r>
        <w:t>.</w:t>
      </w:r>
      <w:r>
        <w:tab/>
        <w:t>Effect of exemption</w:t>
      </w:r>
      <w:bookmarkEnd w:id="689"/>
      <w:bookmarkEnd w:id="690"/>
      <w:bookmarkEnd w:id="691"/>
      <w:bookmarkEnd w:id="692"/>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693" w:name="_Toc457219254"/>
      <w:bookmarkStart w:id="694" w:name="_Toc457225807"/>
      <w:bookmarkStart w:id="695" w:name="_Toc473130277"/>
      <w:bookmarkStart w:id="696" w:name="_Toc493602377"/>
      <w:r>
        <w:rPr>
          <w:rStyle w:val="CharSectno"/>
        </w:rPr>
        <w:t>271</w:t>
      </w:r>
      <w:r>
        <w:t>.</w:t>
      </w:r>
      <w:r>
        <w:tab/>
        <w:t>Minister to consult before amending or revoking exemption</w:t>
      </w:r>
      <w:bookmarkEnd w:id="693"/>
      <w:bookmarkEnd w:id="694"/>
      <w:bookmarkEnd w:id="695"/>
      <w:bookmarkEnd w:id="696"/>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pPr>
      <w:r>
        <w:tab/>
        <w:t>(2)</w:t>
      </w:r>
      <w:r>
        <w:tab/>
        <w:t xml:space="preserve">This section does not apply in relation to — </w:t>
      </w:r>
    </w:p>
    <w:p>
      <w:pPr>
        <w:pStyle w:val="Indenta"/>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697" w:name="_Toc457219255"/>
      <w:bookmarkStart w:id="698" w:name="_Toc457225808"/>
      <w:bookmarkStart w:id="699" w:name="_Toc473130278"/>
      <w:bookmarkStart w:id="700" w:name="_Toc493602378"/>
      <w:r>
        <w:rPr>
          <w:rStyle w:val="CharSectno"/>
        </w:rPr>
        <w:t>272</w:t>
      </w:r>
      <w:r>
        <w:t>.</w:t>
      </w:r>
      <w:r>
        <w:tab/>
        <w:t xml:space="preserve">Application of </w:t>
      </w:r>
      <w:r>
        <w:rPr>
          <w:i/>
        </w:rPr>
        <w:t>Interpretation Act 1984</w:t>
      </w:r>
      <w:r>
        <w:t xml:space="preserve"> to exemptions</w:t>
      </w:r>
      <w:bookmarkEnd w:id="697"/>
      <w:bookmarkEnd w:id="698"/>
      <w:bookmarkEnd w:id="699"/>
      <w:bookmarkEnd w:id="700"/>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701" w:name="_Toc402269296"/>
      <w:bookmarkStart w:id="702" w:name="_Toc402269675"/>
      <w:bookmarkStart w:id="703" w:name="_Toc402273944"/>
      <w:bookmarkStart w:id="704" w:name="_Toc402274794"/>
      <w:bookmarkStart w:id="705" w:name="_Toc402279189"/>
      <w:bookmarkStart w:id="706" w:name="_Toc402279568"/>
      <w:bookmarkStart w:id="707" w:name="_Toc402344921"/>
      <w:bookmarkStart w:id="708" w:name="_Toc402419842"/>
      <w:bookmarkStart w:id="709" w:name="_Toc403034894"/>
      <w:bookmarkStart w:id="710" w:name="_Toc403036265"/>
      <w:bookmarkStart w:id="711" w:name="_Toc403468473"/>
      <w:bookmarkStart w:id="712" w:name="_Toc404169882"/>
      <w:bookmarkStart w:id="713" w:name="_Toc404172554"/>
      <w:bookmarkStart w:id="714" w:name="_Toc404178497"/>
      <w:bookmarkStart w:id="715" w:name="_Toc436299072"/>
      <w:bookmarkStart w:id="716" w:name="_Toc436299949"/>
      <w:bookmarkStart w:id="717" w:name="_Toc436302467"/>
      <w:bookmarkStart w:id="718" w:name="_Toc455145706"/>
      <w:bookmarkStart w:id="719" w:name="_Toc455150438"/>
      <w:bookmarkStart w:id="720" w:name="_Toc455748594"/>
      <w:bookmarkStart w:id="721" w:name="_Toc457219256"/>
      <w:bookmarkStart w:id="722" w:name="_Toc457225809"/>
      <w:bookmarkStart w:id="723" w:name="_Toc457228996"/>
      <w:bookmarkStart w:id="724" w:name="_Toc457231385"/>
      <w:bookmarkStart w:id="725" w:name="_Toc457299341"/>
      <w:bookmarkStart w:id="726" w:name="_Toc457395591"/>
      <w:bookmarkStart w:id="727" w:name="_Toc457471965"/>
      <w:bookmarkStart w:id="728" w:name="_Toc462732446"/>
      <w:bookmarkStart w:id="729" w:name="_Toc462751764"/>
      <w:bookmarkStart w:id="730" w:name="_Toc462751803"/>
      <w:bookmarkStart w:id="731" w:name="_Toc472088212"/>
      <w:bookmarkStart w:id="732" w:name="_Toc473036963"/>
      <w:bookmarkStart w:id="733" w:name="_Toc473037760"/>
      <w:bookmarkStart w:id="734" w:name="_Toc473038748"/>
      <w:bookmarkStart w:id="735" w:name="_Toc473130279"/>
      <w:bookmarkStart w:id="736" w:name="_Toc474749122"/>
      <w:bookmarkStart w:id="737" w:name="_Toc474749259"/>
      <w:bookmarkStart w:id="738" w:name="_Toc493509366"/>
      <w:bookmarkStart w:id="739" w:name="_Toc493510009"/>
      <w:bookmarkStart w:id="740" w:name="_Toc493598855"/>
      <w:bookmarkStart w:id="741" w:name="_Toc493600615"/>
      <w:bookmarkStart w:id="742" w:name="_Toc493602379"/>
      <w:r>
        <w:rPr>
          <w:rStyle w:val="CharDivNo"/>
        </w:rPr>
        <w:t>Division 3</w:t>
      </w:r>
      <w:r>
        <w:t> — </w:t>
      </w:r>
      <w:r>
        <w:rPr>
          <w:rStyle w:val="CharDivText"/>
        </w:rPr>
        <w:t>Compliance plans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457219257"/>
      <w:bookmarkStart w:id="744" w:name="_Toc457225810"/>
      <w:bookmarkStart w:id="745" w:name="_Toc473130280"/>
      <w:bookmarkStart w:id="746" w:name="_Toc493602380"/>
      <w:r>
        <w:rPr>
          <w:rStyle w:val="CharSectno"/>
        </w:rPr>
        <w:t>273</w:t>
      </w:r>
      <w:r>
        <w:t>.</w:t>
      </w:r>
      <w:r>
        <w:tab/>
        <w:t>Exemption may require compliance plan</w:t>
      </w:r>
      <w:bookmarkEnd w:id="743"/>
      <w:bookmarkEnd w:id="744"/>
      <w:bookmarkEnd w:id="745"/>
      <w:bookmarkEnd w:id="746"/>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747" w:name="_Toc457219258"/>
      <w:bookmarkStart w:id="748" w:name="_Toc457225811"/>
      <w:bookmarkStart w:id="749" w:name="_Toc473130281"/>
      <w:bookmarkStart w:id="750" w:name="_Toc493602381"/>
      <w:r>
        <w:rPr>
          <w:rStyle w:val="CharSectno"/>
        </w:rPr>
        <w:t>274</w:t>
      </w:r>
      <w:r>
        <w:t>.</w:t>
      </w:r>
      <w:r>
        <w:tab/>
        <w:t>Development and approval of compliance plan</w:t>
      </w:r>
      <w:bookmarkEnd w:id="747"/>
      <w:bookmarkEnd w:id="748"/>
      <w:bookmarkEnd w:id="749"/>
      <w:bookmarkEnd w:id="750"/>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751" w:name="_Toc457219259"/>
      <w:bookmarkStart w:id="752" w:name="_Toc457225812"/>
      <w:bookmarkStart w:id="753" w:name="_Toc473130282"/>
      <w:bookmarkStart w:id="754" w:name="_Toc493602382"/>
      <w:r>
        <w:rPr>
          <w:rStyle w:val="CharSectno"/>
        </w:rPr>
        <w:t>275</w:t>
      </w:r>
      <w:r>
        <w:t>.</w:t>
      </w:r>
      <w:r>
        <w:tab/>
        <w:t>Annual review of compliance plan</w:t>
      </w:r>
      <w:bookmarkEnd w:id="751"/>
      <w:bookmarkEnd w:id="752"/>
      <w:bookmarkEnd w:id="753"/>
      <w:bookmarkEnd w:id="754"/>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755" w:name="_Toc457219260"/>
      <w:bookmarkStart w:id="756" w:name="_Toc457225813"/>
      <w:bookmarkStart w:id="757" w:name="_Toc473130283"/>
      <w:bookmarkStart w:id="758" w:name="_Toc493602383"/>
      <w:r>
        <w:rPr>
          <w:rStyle w:val="CharSectno"/>
        </w:rPr>
        <w:t>276</w:t>
      </w:r>
      <w:r>
        <w:t>.</w:t>
      </w:r>
      <w:r>
        <w:tab/>
        <w:t>Amendment or replacement of compliance plan</w:t>
      </w:r>
      <w:bookmarkEnd w:id="755"/>
      <w:bookmarkEnd w:id="756"/>
      <w:bookmarkEnd w:id="757"/>
      <w:bookmarkEnd w:id="758"/>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759" w:name="_Toc402269301"/>
      <w:bookmarkStart w:id="760" w:name="_Toc402269680"/>
      <w:bookmarkStart w:id="761" w:name="_Toc402273949"/>
      <w:bookmarkStart w:id="762" w:name="_Toc402274799"/>
      <w:bookmarkStart w:id="763" w:name="_Toc402279194"/>
      <w:bookmarkStart w:id="764" w:name="_Toc402279573"/>
      <w:bookmarkStart w:id="765" w:name="_Toc402344926"/>
      <w:bookmarkStart w:id="766" w:name="_Toc402419847"/>
      <w:bookmarkStart w:id="767" w:name="_Toc403034899"/>
      <w:bookmarkStart w:id="768" w:name="_Toc403036270"/>
      <w:bookmarkStart w:id="769" w:name="_Toc403468478"/>
      <w:bookmarkStart w:id="770" w:name="_Toc404169887"/>
      <w:bookmarkStart w:id="771" w:name="_Toc404172559"/>
      <w:bookmarkStart w:id="772" w:name="_Toc404178502"/>
      <w:bookmarkStart w:id="773" w:name="_Toc436299077"/>
      <w:bookmarkStart w:id="774" w:name="_Toc436299954"/>
      <w:bookmarkStart w:id="775" w:name="_Toc436302472"/>
      <w:bookmarkStart w:id="776" w:name="_Toc455145711"/>
      <w:bookmarkStart w:id="777" w:name="_Toc455150443"/>
      <w:bookmarkStart w:id="778" w:name="_Toc455748599"/>
      <w:bookmarkStart w:id="779" w:name="_Toc457219261"/>
      <w:bookmarkStart w:id="780" w:name="_Toc457225814"/>
      <w:bookmarkStart w:id="781" w:name="_Toc457229001"/>
      <w:bookmarkStart w:id="782" w:name="_Toc457231390"/>
      <w:bookmarkStart w:id="783" w:name="_Toc457299346"/>
      <w:bookmarkStart w:id="784" w:name="_Toc457395596"/>
      <w:bookmarkStart w:id="785" w:name="_Toc457471970"/>
      <w:bookmarkStart w:id="786" w:name="_Toc462732451"/>
      <w:bookmarkStart w:id="787" w:name="_Toc462751769"/>
      <w:bookmarkStart w:id="788" w:name="_Toc462751808"/>
      <w:bookmarkStart w:id="789" w:name="_Toc472088217"/>
      <w:bookmarkStart w:id="790" w:name="_Toc473036968"/>
      <w:bookmarkStart w:id="791" w:name="_Toc473037765"/>
      <w:bookmarkStart w:id="792" w:name="_Toc473038753"/>
      <w:bookmarkStart w:id="793" w:name="_Toc473130284"/>
      <w:bookmarkStart w:id="794" w:name="_Toc474749127"/>
      <w:bookmarkStart w:id="795" w:name="_Toc474749264"/>
      <w:bookmarkStart w:id="796" w:name="_Toc493509371"/>
      <w:bookmarkStart w:id="797" w:name="_Toc493510014"/>
      <w:bookmarkStart w:id="798" w:name="_Toc493598860"/>
      <w:bookmarkStart w:id="799" w:name="_Toc493600620"/>
      <w:bookmarkStart w:id="800" w:name="_Toc493602384"/>
      <w:r>
        <w:rPr>
          <w:rStyle w:val="CharDivNo"/>
        </w:rPr>
        <w:t>Division 4</w:t>
      </w:r>
      <w:r>
        <w:t> — </w:t>
      </w:r>
      <w:r>
        <w:rPr>
          <w:rStyle w:val="CharDivText"/>
        </w:rPr>
        <w:t>Publication and reporting obligations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Toc457219262"/>
      <w:bookmarkStart w:id="802" w:name="_Toc457225815"/>
      <w:bookmarkStart w:id="803" w:name="_Toc473130285"/>
      <w:bookmarkStart w:id="804" w:name="_Toc493602385"/>
      <w:r>
        <w:rPr>
          <w:rStyle w:val="CharSectno"/>
        </w:rPr>
        <w:t>277</w:t>
      </w:r>
      <w:r>
        <w:t>.</w:t>
      </w:r>
      <w:r>
        <w:tab/>
        <w:t>Exemption</w:t>
      </w:r>
      <w:r>
        <w:noBreakHyphen/>
        <w:t>holder to make exemption and compliance plan publicly available</w:t>
      </w:r>
      <w:bookmarkEnd w:id="801"/>
      <w:bookmarkEnd w:id="802"/>
      <w:bookmarkEnd w:id="803"/>
      <w:bookmarkEnd w:id="804"/>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805" w:name="_Toc457219263"/>
      <w:bookmarkStart w:id="806" w:name="_Toc457225816"/>
      <w:bookmarkStart w:id="807" w:name="_Toc473130286"/>
      <w:bookmarkStart w:id="808" w:name="_Toc493602386"/>
      <w:r>
        <w:rPr>
          <w:rStyle w:val="CharSectno"/>
        </w:rPr>
        <w:t>278</w:t>
      </w:r>
      <w:r>
        <w:t>.</w:t>
      </w:r>
      <w:r>
        <w:tab/>
        <w:t>Annual report to include information about exemption and compliance plan</w:t>
      </w:r>
      <w:bookmarkEnd w:id="805"/>
      <w:bookmarkEnd w:id="806"/>
      <w:bookmarkEnd w:id="807"/>
      <w:bookmarkEnd w:id="808"/>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809" w:name="_Toc472670173"/>
      <w:bookmarkStart w:id="810" w:name="_Toc473036971"/>
      <w:bookmarkStart w:id="811" w:name="_Toc473037768"/>
      <w:bookmarkStart w:id="812" w:name="_Toc473038756"/>
      <w:bookmarkStart w:id="813" w:name="_Toc473130287"/>
      <w:bookmarkStart w:id="814" w:name="_Toc474749130"/>
      <w:bookmarkStart w:id="815" w:name="_Toc474749267"/>
      <w:bookmarkStart w:id="816" w:name="_Toc493509374"/>
      <w:bookmarkStart w:id="817" w:name="_Toc493510017"/>
      <w:bookmarkStart w:id="818" w:name="_Toc493598863"/>
      <w:bookmarkStart w:id="819" w:name="_Toc493600623"/>
      <w:bookmarkStart w:id="820" w:name="_Toc493602387"/>
      <w:bookmarkStart w:id="821" w:name="_Toc402269323"/>
      <w:bookmarkStart w:id="822" w:name="_Toc402269702"/>
      <w:bookmarkStart w:id="823" w:name="_Toc402273971"/>
      <w:bookmarkStart w:id="824" w:name="_Toc402274821"/>
      <w:bookmarkStart w:id="825" w:name="_Toc402279216"/>
      <w:bookmarkStart w:id="826" w:name="_Toc402279595"/>
      <w:bookmarkStart w:id="827" w:name="_Toc402344948"/>
      <w:bookmarkStart w:id="828" w:name="_Toc402419869"/>
      <w:bookmarkStart w:id="829" w:name="_Toc403034921"/>
      <w:bookmarkStart w:id="830" w:name="_Toc403036292"/>
      <w:bookmarkStart w:id="831" w:name="_Toc403468500"/>
      <w:bookmarkStart w:id="832" w:name="_Toc404169909"/>
      <w:bookmarkStart w:id="833" w:name="_Toc404172581"/>
      <w:bookmarkStart w:id="834" w:name="_Toc404178524"/>
      <w:bookmarkStart w:id="835" w:name="_Toc436299099"/>
      <w:bookmarkStart w:id="836" w:name="_Toc436299976"/>
      <w:bookmarkStart w:id="837" w:name="_Toc436302494"/>
      <w:bookmarkStart w:id="838" w:name="_Toc455145733"/>
      <w:bookmarkStart w:id="839" w:name="_Toc455150465"/>
      <w:bookmarkStart w:id="840" w:name="_Toc455748621"/>
      <w:bookmarkStart w:id="841" w:name="_Toc457219283"/>
      <w:bookmarkStart w:id="842" w:name="_Toc457225836"/>
      <w:bookmarkStart w:id="843" w:name="_Toc457229004"/>
      <w:bookmarkStart w:id="844" w:name="_Toc457231393"/>
      <w:bookmarkStart w:id="845" w:name="_Toc457299349"/>
      <w:bookmarkStart w:id="846" w:name="_Toc457395599"/>
      <w:bookmarkStart w:id="847" w:name="_Toc457471973"/>
      <w:bookmarkStart w:id="848" w:name="_Toc462732454"/>
      <w:bookmarkStart w:id="849" w:name="_Toc462751772"/>
      <w:bookmarkStart w:id="850" w:name="_Toc462751811"/>
      <w:bookmarkStart w:id="851" w:name="_Toc472088220"/>
      <w:r>
        <w:rPr>
          <w:rStyle w:val="CharPartNo"/>
        </w:rPr>
        <w:t>Part 18</w:t>
      </w:r>
      <w:r>
        <w:t> — </w:t>
      </w:r>
      <w:r>
        <w:rPr>
          <w:rStyle w:val="CharPartText"/>
        </w:rPr>
        <w:t>Liability, evidentiary and procedural provisions</w:t>
      </w:r>
      <w:bookmarkEnd w:id="809"/>
      <w:bookmarkEnd w:id="810"/>
      <w:bookmarkEnd w:id="811"/>
      <w:bookmarkEnd w:id="812"/>
      <w:bookmarkEnd w:id="813"/>
      <w:bookmarkEnd w:id="814"/>
      <w:bookmarkEnd w:id="815"/>
      <w:bookmarkEnd w:id="816"/>
      <w:bookmarkEnd w:id="817"/>
      <w:bookmarkEnd w:id="818"/>
      <w:bookmarkEnd w:id="819"/>
      <w:bookmarkEnd w:id="820"/>
    </w:p>
    <w:p>
      <w:pPr>
        <w:pStyle w:val="Heading3"/>
      </w:pPr>
      <w:bookmarkStart w:id="852" w:name="_Toc472670174"/>
      <w:bookmarkStart w:id="853" w:name="_Toc473036972"/>
      <w:bookmarkStart w:id="854" w:name="_Toc473037769"/>
      <w:bookmarkStart w:id="855" w:name="_Toc473038757"/>
      <w:bookmarkStart w:id="856" w:name="_Toc473130288"/>
      <w:bookmarkStart w:id="857" w:name="_Toc474749131"/>
      <w:bookmarkStart w:id="858" w:name="_Toc474749268"/>
      <w:bookmarkStart w:id="859" w:name="_Toc493509375"/>
      <w:bookmarkStart w:id="860" w:name="_Toc493510018"/>
      <w:bookmarkStart w:id="861" w:name="_Toc493598864"/>
      <w:bookmarkStart w:id="862" w:name="_Toc493600624"/>
      <w:bookmarkStart w:id="863" w:name="_Toc493602388"/>
      <w:r>
        <w:rPr>
          <w:rStyle w:val="CharDivNo"/>
        </w:rPr>
        <w:t>Division 1</w:t>
      </w:r>
      <w:r>
        <w:t> — </w:t>
      </w:r>
      <w:r>
        <w:rPr>
          <w:rStyle w:val="CharDivText"/>
        </w:rPr>
        <w:t>Civil liability</w:t>
      </w:r>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472670175"/>
      <w:bookmarkStart w:id="865" w:name="_Toc473130289"/>
      <w:bookmarkStart w:id="866" w:name="_Toc493602389"/>
      <w:r>
        <w:rPr>
          <w:rStyle w:val="CharSectno"/>
        </w:rPr>
        <w:t>279</w:t>
      </w:r>
      <w:r>
        <w:t>.</w:t>
      </w:r>
      <w:r>
        <w:tab/>
        <w:t>Contraventions not breach of statutory duty</w:t>
      </w:r>
      <w:bookmarkEnd w:id="864"/>
      <w:bookmarkEnd w:id="865"/>
      <w:bookmarkEnd w:id="866"/>
    </w:p>
    <w:p>
      <w:pPr>
        <w:pStyle w:val="Subsection"/>
      </w:pPr>
      <w:r>
        <w:tab/>
      </w:r>
      <w:r>
        <w:tab/>
        <w:t>A contravention of this Act is not actionable as a breach of statutory duty.</w:t>
      </w:r>
    </w:p>
    <w:p>
      <w:pPr>
        <w:pStyle w:val="Heading3"/>
      </w:pPr>
      <w:bookmarkStart w:id="867" w:name="_Toc472670176"/>
      <w:bookmarkStart w:id="868" w:name="_Toc473036974"/>
      <w:bookmarkStart w:id="869" w:name="_Toc473037771"/>
      <w:bookmarkStart w:id="870" w:name="_Toc473038759"/>
      <w:bookmarkStart w:id="871" w:name="_Toc473130290"/>
      <w:bookmarkStart w:id="872" w:name="_Toc474749133"/>
      <w:bookmarkStart w:id="873" w:name="_Toc474749270"/>
      <w:bookmarkStart w:id="874" w:name="_Toc493509377"/>
      <w:bookmarkStart w:id="875" w:name="_Toc493510020"/>
      <w:bookmarkStart w:id="876" w:name="_Toc493598866"/>
      <w:bookmarkStart w:id="877" w:name="_Toc493600626"/>
      <w:bookmarkStart w:id="878" w:name="_Toc493602390"/>
      <w:r>
        <w:rPr>
          <w:rStyle w:val="CharDivNo"/>
        </w:rPr>
        <w:t>Division 2</w:t>
      </w:r>
      <w:r>
        <w:t> — </w:t>
      </w:r>
      <w:r>
        <w:rPr>
          <w:rStyle w:val="CharDivText"/>
        </w:rPr>
        <w:t>Criminal liability</w:t>
      </w:r>
      <w:bookmarkEnd w:id="867"/>
      <w:bookmarkEnd w:id="868"/>
      <w:bookmarkEnd w:id="869"/>
      <w:bookmarkEnd w:id="870"/>
      <w:bookmarkEnd w:id="871"/>
      <w:bookmarkEnd w:id="872"/>
      <w:bookmarkEnd w:id="873"/>
      <w:bookmarkEnd w:id="874"/>
      <w:bookmarkEnd w:id="875"/>
      <w:bookmarkEnd w:id="876"/>
      <w:bookmarkEnd w:id="877"/>
      <w:bookmarkEnd w:id="878"/>
    </w:p>
    <w:p>
      <w:pPr>
        <w:pStyle w:val="Heading5"/>
      </w:pPr>
      <w:bookmarkStart w:id="879" w:name="_Toc472670177"/>
      <w:bookmarkStart w:id="880" w:name="_Toc473130291"/>
      <w:bookmarkStart w:id="881" w:name="_Toc493602391"/>
      <w:r>
        <w:rPr>
          <w:rStyle w:val="CharSectno"/>
        </w:rPr>
        <w:t>280</w:t>
      </w:r>
      <w:r>
        <w:t>.</w:t>
      </w:r>
      <w:r>
        <w:tab/>
        <w:t>Commencing proceedings</w:t>
      </w:r>
      <w:bookmarkEnd w:id="879"/>
      <w:bookmarkEnd w:id="880"/>
      <w:bookmarkEnd w:id="881"/>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an enforcement agency other than the Chief Health Officer.</w:t>
      </w:r>
    </w:p>
    <w:p>
      <w:pPr>
        <w:pStyle w:val="Heading5"/>
      </w:pPr>
      <w:bookmarkStart w:id="882" w:name="_Toc472670178"/>
      <w:bookmarkStart w:id="883" w:name="_Toc473130292"/>
      <w:bookmarkStart w:id="884" w:name="_Toc493602392"/>
      <w:r>
        <w:rPr>
          <w:rStyle w:val="CharSectno"/>
        </w:rPr>
        <w:t>281</w:t>
      </w:r>
      <w:r>
        <w:t>.</w:t>
      </w:r>
      <w:r>
        <w:tab/>
        <w:t>Offences by employees — liability of employer</w:t>
      </w:r>
      <w:bookmarkEnd w:id="882"/>
      <w:bookmarkEnd w:id="883"/>
      <w:bookmarkEnd w:id="884"/>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885" w:name="_Toc472670179"/>
      <w:bookmarkStart w:id="886" w:name="_Toc473130293"/>
      <w:bookmarkStart w:id="887" w:name="_Toc493602393"/>
      <w:r>
        <w:rPr>
          <w:rStyle w:val="CharSectno"/>
        </w:rPr>
        <w:t>282</w:t>
      </w:r>
      <w:r>
        <w:t>.</w:t>
      </w:r>
      <w:r>
        <w:tab/>
        <w:t>Liability of officers of body corporate for offence by body corporate</w:t>
      </w:r>
      <w:bookmarkEnd w:id="885"/>
      <w:bookmarkEnd w:id="886"/>
      <w:bookmarkEnd w:id="887"/>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888" w:name="_Toc472670180"/>
      <w:bookmarkStart w:id="889" w:name="_Toc473130294"/>
      <w:bookmarkStart w:id="890" w:name="_Toc493602394"/>
      <w:r>
        <w:rPr>
          <w:rStyle w:val="CharSectno"/>
        </w:rPr>
        <w:t>283</w:t>
      </w:r>
      <w:r>
        <w:t>.</w:t>
      </w:r>
      <w:r>
        <w:tab/>
        <w:t>Further provisions relating to liability of officers of body corporate</w:t>
      </w:r>
      <w:bookmarkEnd w:id="888"/>
      <w:bookmarkEnd w:id="889"/>
      <w:bookmarkEnd w:id="890"/>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891" w:name="_Toc472670181"/>
      <w:bookmarkStart w:id="892" w:name="_Toc473130295"/>
      <w:bookmarkStart w:id="893" w:name="_Toc493602395"/>
      <w:r>
        <w:rPr>
          <w:rStyle w:val="CharSectno"/>
        </w:rPr>
        <w:t>284</w:t>
      </w:r>
      <w:r>
        <w:t>.</w:t>
      </w:r>
      <w:r>
        <w:tab/>
        <w:t>Liability of employees and agents</w:t>
      </w:r>
      <w:bookmarkEnd w:id="891"/>
      <w:bookmarkEnd w:id="892"/>
      <w:bookmarkEnd w:id="893"/>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894" w:name="_Toc472670182"/>
      <w:bookmarkStart w:id="895" w:name="_Toc473130296"/>
      <w:bookmarkStart w:id="896" w:name="_Toc493602396"/>
      <w:r>
        <w:rPr>
          <w:rStyle w:val="CharSectno"/>
        </w:rPr>
        <w:t>285</w:t>
      </w:r>
      <w:r>
        <w:t>.</w:t>
      </w:r>
      <w:r>
        <w:tab/>
        <w:t>Disclosure by witnesses</w:t>
      </w:r>
      <w:bookmarkEnd w:id="894"/>
      <w:bookmarkEnd w:id="895"/>
      <w:bookmarkEnd w:id="896"/>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897" w:name="_Toc472670183"/>
      <w:bookmarkStart w:id="898" w:name="_Toc473130297"/>
      <w:bookmarkStart w:id="899" w:name="_Toc493602397"/>
      <w:r>
        <w:rPr>
          <w:rStyle w:val="CharSectno"/>
        </w:rPr>
        <w:t>286</w:t>
      </w:r>
      <w:r>
        <w:t>.</w:t>
      </w:r>
      <w:r>
        <w:tab/>
        <w:t>Documentary evidence of certain matters</w:t>
      </w:r>
      <w:bookmarkEnd w:id="897"/>
      <w:bookmarkEnd w:id="898"/>
      <w:bookmarkEnd w:id="899"/>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900" w:name="_Toc472670184"/>
      <w:bookmarkStart w:id="901" w:name="_Toc473130298"/>
      <w:bookmarkStart w:id="902" w:name="_Toc493602398"/>
      <w:r>
        <w:rPr>
          <w:rStyle w:val="CharSectno"/>
        </w:rPr>
        <w:t>287</w:t>
      </w:r>
      <w:r>
        <w:t>.</w:t>
      </w:r>
      <w:r>
        <w:tab/>
        <w:t>Court may order costs and expenses</w:t>
      </w:r>
      <w:bookmarkEnd w:id="900"/>
      <w:bookmarkEnd w:id="901"/>
      <w:bookmarkEnd w:id="902"/>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903" w:name="_Toc472670185"/>
      <w:bookmarkStart w:id="904" w:name="_Toc473130299"/>
      <w:bookmarkStart w:id="905" w:name="_Toc493602399"/>
      <w:r>
        <w:rPr>
          <w:rStyle w:val="CharSectno"/>
        </w:rPr>
        <w:t>288</w:t>
      </w:r>
      <w:r>
        <w:t>.</w:t>
      </w:r>
      <w:r>
        <w:tab/>
        <w:t>Court may order forfeiture</w:t>
      </w:r>
      <w:bookmarkEnd w:id="903"/>
      <w:bookmarkEnd w:id="904"/>
      <w:bookmarkEnd w:id="905"/>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906" w:name="_Toc472670186"/>
      <w:bookmarkStart w:id="907" w:name="_Toc473130300"/>
      <w:bookmarkStart w:id="908" w:name="_Toc493602400"/>
      <w:r>
        <w:rPr>
          <w:rStyle w:val="CharSectno"/>
        </w:rPr>
        <w:t>289</w:t>
      </w:r>
      <w:r>
        <w:t>.</w:t>
      </w:r>
      <w:r>
        <w:tab/>
        <w:t>Court’s powers in relation to registration and licences</w:t>
      </w:r>
      <w:bookmarkEnd w:id="906"/>
      <w:bookmarkEnd w:id="907"/>
      <w:bookmarkEnd w:id="908"/>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909" w:name="_Toc472670187"/>
      <w:bookmarkStart w:id="910" w:name="_Toc473130301"/>
      <w:bookmarkStart w:id="911" w:name="_Toc493602401"/>
      <w:r>
        <w:rPr>
          <w:rStyle w:val="CharSectno"/>
        </w:rPr>
        <w:t>290</w:t>
      </w:r>
      <w:r>
        <w:t>.</w:t>
      </w:r>
      <w:r>
        <w:tab/>
        <w:t>Further provisions relating to orders under section 289</w:t>
      </w:r>
      <w:bookmarkEnd w:id="909"/>
      <w:bookmarkEnd w:id="910"/>
      <w:bookmarkEnd w:id="911"/>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 2.]</w:t>
      </w:r>
    </w:p>
    <w:p>
      <w:pPr>
        <w:pStyle w:val="Heading2"/>
      </w:pPr>
      <w:bookmarkStart w:id="912" w:name="_Toc473036986"/>
      <w:bookmarkStart w:id="913" w:name="_Toc473037783"/>
      <w:bookmarkStart w:id="914" w:name="_Toc473038771"/>
      <w:bookmarkStart w:id="915" w:name="_Toc473130302"/>
      <w:bookmarkStart w:id="916" w:name="_Toc474749145"/>
      <w:bookmarkStart w:id="917" w:name="_Toc474749282"/>
      <w:bookmarkStart w:id="918" w:name="_Toc493509389"/>
      <w:bookmarkStart w:id="919" w:name="_Toc493510032"/>
      <w:bookmarkStart w:id="920" w:name="_Toc493598878"/>
      <w:bookmarkStart w:id="921" w:name="_Toc493600638"/>
      <w:bookmarkStart w:id="922" w:name="_Toc493602402"/>
      <w:r>
        <w:rPr>
          <w:rStyle w:val="CharPartNo"/>
        </w:rPr>
        <w:t>Part 19</w:t>
      </w:r>
      <w:r>
        <w:t> — </w:t>
      </w:r>
      <w:r>
        <w:rPr>
          <w:rStyle w:val="CharPartText"/>
        </w:rPr>
        <w:t>Miscellaneous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912"/>
      <w:bookmarkEnd w:id="913"/>
      <w:bookmarkEnd w:id="914"/>
      <w:bookmarkEnd w:id="915"/>
      <w:bookmarkEnd w:id="916"/>
      <w:bookmarkEnd w:id="917"/>
      <w:bookmarkEnd w:id="918"/>
      <w:bookmarkEnd w:id="919"/>
      <w:bookmarkEnd w:id="920"/>
      <w:bookmarkEnd w:id="921"/>
      <w:bookmarkEnd w:id="922"/>
    </w:p>
    <w:p>
      <w:pPr>
        <w:pStyle w:val="Ednotedivision"/>
      </w:pPr>
      <w:bookmarkStart w:id="923" w:name="_Toc402269328"/>
      <w:bookmarkStart w:id="924" w:name="_Toc402269707"/>
      <w:bookmarkStart w:id="925" w:name="_Toc402273976"/>
      <w:bookmarkStart w:id="926" w:name="_Toc402274826"/>
      <w:bookmarkStart w:id="927" w:name="_Toc402279221"/>
      <w:bookmarkStart w:id="928" w:name="_Toc402279600"/>
      <w:bookmarkStart w:id="929" w:name="_Toc402344953"/>
      <w:bookmarkStart w:id="930" w:name="_Toc402419874"/>
      <w:bookmarkStart w:id="931" w:name="_Toc403034926"/>
      <w:bookmarkStart w:id="932" w:name="_Toc403036297"/>
      <w:bookmarkStart w:id="933" w:name="_Toc403468505"/>
      <w:bookmarkStart w:id="934" w:name="_Toc404169914"/>
      <w:bookmarkStart w:id="935" w:name="_Toc404172586"/>
      <w:bookmarkStart w:id="936" w:name="_Toc404178529"/>
      <w:bookmarkStart w:id="937" w:name="_Toc436299104"/>
      <w:bookmarkStart w:id="938" w:name="_Toc436299981"/>
      <w:bookmarkStart w:id="939" w:name="_Toc436302499"/>
      <w:bookmarkStart w:id="940" w:name="_Toc455145738"/>
      <w:bookmarkStart w:id="941" w:name="_Toc455150470"/>
      <w:bookmarkStart w:id="942" w:name="_Toc455748626"/>
      <w:bookmarkStart w:id="943" w:name="_Toc457219288"/>
      <w:bookmarkStart w:id="944" w:name="_Toc457225841"/>
      <w:r>
        <w:t>[Division 1 has not come into operation </w:t>
      </w:r>
      <w:r>
        <w:rPr>
          <w:vertAlign w:val="superscript"/>
        </w:rPr>
        <w:t>2</w:t>
      </w:r>
      <w:r>
        <w:t>.]</w:t>
      </w:r>
    </w:p>
    <w:p>
      <w:pPr>
        <w:pStyle w:val="Heading3"/>
      </w:pPr>
      <w:bookmarkStart w:id="945" w:name="_Toc457229005"/>
      <w:bookmarkStart w:id="946" w:name="_Toc457231394"/>
      <w:bookmarkStart w:id="947" w:name="_Toc457299350"/>
      <w:bookmarkStart w:id="948" w:name="_Toc457395600"/>
      <w:bookmarkStart w:id="949" w:name="_Toc457471974"/>
      <w:bookmarkStart w:id="950" w:name="_Toc462732455"/>
      <w:bookmarkStart w:id="951" w:name="_Toc462751773"/>
      <w:bookmarkStart w:id="952" w:name="_Toc462751812"/>
      <w:bookmarkStart w:id="953" w:name="_Toc472088221"/>
      <w:bookmarkStart w:id="954" w:name="_Toc473036987"/>
      <w:bookmarkStart w:id="955" w:name="_Toc473037784"/>
      <w:bookmarkStart w:id="956" w:name="_Toc473038772"/>
      <w:bookmarkStart w:id="957" w:name="_Toc473130303"/>
      <w:bookmarkStart w:id="958" w:name="_Toc474749146"/>
      <w:bookmarkStart w:id="959" w:name="_Toc474749283"/>
      <w:bookmarkStart w:id="960" w:name="_Toc493509390"/>
      <w:bookmarkStart w:id="961" w:name="_Toc493510033"/>
      <w:bookmarkStart w:id="962" w:name="_Toc493598879"/>
      <w:bookmarkStart w:id="963" w:name="_Toc493600639"/>
      <w:bookmarkStart w:id="964" w:name="_Toc493602403"/>
      <w:r>
        <w:rPr>
          <w:rStyle w:val="CharDivNo"/>
        </w:rPr>
        <w:t>Division 2</w:t>
      </w:r>
      <w:r>
        <w:t> — </w:t>
      </w:r>
      <w:r>
        <w:rPr>
          <w:rStyle w:val="CharDivText"/>
        </w:rPr>
        <w:t>General</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pPr>
      <w:bookmarkStart w:id="965" w:name="_Toc457219289"/>
      <w:bookmarkStart w:id="966" w:name="_Toc457225842"/>
      <w:bookmarkStart w:id="967" w:name="_Toc473130304"/>
      <w:bookmarkStart w:id="968" w:name="_Toc493602404"/>
      <w:r>
        <w:rPr>
          <w:rStyle w:val="CharSectno"/>
        </w:rPr>
        <w:t>297</w:t>
      </w:r>
      <w:r>
        <w:t>.</w:t>
      </w:r>
      <w:r>
        <w:tab/>
        <w:t>Protection from liability for wrongdoing</w:t>
      </w:r>
      <w:bookmarkEnd w:id="965"/>
      <w:bookmarkEnd w:id="966"/>
      <w:bookmarkEnd w:id="967"/>
      <w:bookmarkEnd w:id="96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969" w:name="_Toc493509392"/>
      <w:bookmarkStart w:id="970" w:name="_Toc493510035"/>
      <w:bookmarkStart w:id="971" w:name="_Toc493598881"/>
      <w:bookmarkStart w:id="972" w:name="_Toc493600641"/>
      <w:bookmarkStart w:id="973" w:name="_Toc493602405"/>
      <w:r>
        <w:rPr>
          <w:rStyle w:val="CharDivNo"/>
        </w:rPr>
        <w:t>Division 3</w:t>
      </w:r>
      <w:r>
        <w:t> — </w:t>
      </w:r>
      <w:r>
        <w:rPr>
          <w:rStyle w:val="CharDivText"/>
        </w:rPr>
        <w:t>Provisions relating to information</w:t>
      </w:r>
      <w:bookmarkEnd w:id="969"/>
      <w:bookmarkEnd w:id="970"/>
      <w:bookmarkEnd w:id="971"/>
      <w:bookmarkEnd w:id="972"/>
      <w:bookmarkEnd w:id="973"/>
    </w:p>
    <w:p>
      <w:pPr>
        <w:pStyle w:val="Heading5"/>
      </w:pPr>
      <w:bookmarkStart w:id="974" w:name="_Toc493602406"/>
      <w:r>
        <w:rPr>
          <w:rStyle w:val="CharSectno"/>
        </w:rPr>
        <w:t>298</w:t>
      </w:r>
      <w:r>
        <w:t>.</w:t>
      </w:r>
      <w:r>
        <w:tab/>
        <w:t>Disclosure and use of information provided under Part 9 or 10</w:t>
      </w:r>
      <w:bookmarkEnd w:id="974"/>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975" w:name="_Toc493602407"/>
      <w:r>
        <w:rPr>
          <w:rStyle w:val="CharSectno"/>
        </w:rPr>
        <w:t>299</w:t>
      </w:r>
      <w:r>
        <w:t>.</w:t>
      </w:r>
      <w:r>
        <w:tab/>
        <w:t>Information sharing</w:t>
      </w:r>
      <w:bookmarkEnd w:id="975"/>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976" w:name="_Toc493602408"/>
      <w:r>
        <w:rPr>
          <w:rStyle w:val="CharSectno"/>
        </w:rPr>
        <w:t>300</w:t>
      </w:r>
      <w:r>
        <w:t>.</w:t>
      </w:r>
      <w:r>
        <w:tab/>
        <w:t>Guidelines relating to information sharing</w:t>
      </w:r>
      <w:bookmarkEnd w:id="976"/>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977" w:name="_Toc493602409"/>
      <w:r>
        <w:rPr>
          <w:rStyle w:val="CharSectno"/>
        </w:rPr>
        <w:t>301</w:t>
      </w:r>
      <w:r>
        <w:t>.</w:t>
      </w:r>
      <w:r>
        <w:tab/>
        <w:t>Regulations relating to information sharing</w:t>
      </w:r>
      <w:bookmarkEnd w:id="977"/>
    </w:p>
    <w:p>
      <w:pPr>
        <w:pStyle w:val="Subsection"/>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978" w:name="_Toc493602410"/>
      <w:r>
        <w:rPr>
          <w:rStyle w:val="CharSectno"/>
        </w:rPr>
        <w:t>302</w:t>
      </w:r>
      <w:r>
        <w:t>.</w:t>
      </w:r>
      <w:r>
        <w:tab/>
        <w:t>Confidential information officially obtained</w:t>
      </w:r>
      <w:bookmarkEnd w:id="978"/>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by No. 19 of 2016 s. 320.]</w:t>
      </w:r>
    </w:p>
    <w:p>
      <w:pPr>
        <w:pStyle w:val="Heading3"/>
      </w:pPr>
      <w:bookmarkStart w:id="979" w:name="_Toc493509398"/>
      <w:bookmarkStart w:id="980" w:name="_Toc493510041"/>
      <w:bookmarkStart w:id="981" w:name="_Toc493598887"/>
      <w:bookmarkStart w:id="982" w:name="_Toc493600647"/>
      <w:bookmarkStart w:id="983" w:name="_Toc493602411"/>
      <w:r>
        <w:rPr>
          <w:rStyle w:val="CharDivNo"/>
        </w:rPr>
        <w:t>Division 4</w:t>
      </w:r>
      <w:r>
        <w:t> — </w:t>
      </w:r>
      <w:r>
        <w:rPr>
          <w:rStyle w:val="CharDivText"/>
        </w:rPr>
        <w:t>Guidelines</w:t>
      </w:r>
      <w:bookmarkEnd w:id="979"/>
      <w:bookmarkEnd w:id="980"/>
      <w:bookmarkEnd w:id="981"/>
      <w:bookmarkEnd w:id="982"/>
      <w:bookmarkEnd w:id="983"/>
    </w:p>
    <w:p>
      <w:pPr>
        <w:pStyle w:val="Heading5"/>
      </w:pPr>
      <w:bookmarkStart w:id="984" w:name="_Toc493602412"/>
      <w:r>
        <w:rPr>
          <w:rStyle w:val="CharSectno"/>
        </w:rPr>
        <w:t>303</w:t>
      </w:r>
      <w:r>
        <w:t>.</w:t>
      </w:r>
      <w:r>
        <w:tab/>
        <w:t>Guidelines</w:t>
      </w:r>
      <w:bookmarkEnd w:id="984"/>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985" w:name="_Toc402269338"/>
      <w:bookmarkStart w:id="986" w:name="_Toc402269717"/>
      <w:bookmarkStart w:id="987" w:name="_Toc402273986"/>
      <w:bookmarkStart w:id="988" w:name="_Toc402274836"/>
      <w:bookmarkStart w:id="989" w:name="_Toc402279231"/>
      <w:bookmarkStart w:id="990" w:name="_Toc402279610"/>
      <w:bookmarkStart w:id="991" w:name="_Toc402344963"/>
      <w:bookmarkStart w:id="992" w:name="_Toc402419884"/>
      <w:bookmarkStart w:id="993" w:name="_Toc403034936"/>
      <w:bookmarkStart w:id="994" w:name="_Toc403036307"/>
      <w:bookmarkStart w:id="995" w:name="_Toc403468515"/>
      <w:bookmarkStart w:id="996" w:name="_Toc404169924"/>
      <w:bookmarkStart w:id="997" w:name="_Toc404172596"/>
      <w:bookmarkStart w:id="998" w:name="_Toc404178539"/>
      <w:bookmarkStart w:id="999" w:name="_Toc436299114"/>
      <w:bookmarkStart w:id="1000" w:name="_Toc436299991"/>
      <w:bookmarkStart w:id="1001" w:name="_Toc436302509"/>
      <w:bookmarkStart w:id="1002" w:name="_Toc455145748"/>
      <w:bookmarkStart w:id="1003" w:name="_Toc455150480"/>
      <w:bookmarkStart w:id="1004" w:name="_Toc455748636"/>
      <w:bookmarkStart w:id="1005" w:name="_Toc457219298"/>
      <w:bookmarkStart w:id="1006" w:name="_Toc457225851"/>
      <w:bookmarkStart w:id="1007" w:name="_Toc457229007"/>
      <w:bookmarkStart w:id="1008" w:name="_Toc457231396"/>
      <w:bookmarkStart w:id="1009" w:name="_Toc457299352"/>
      <w:bookmarkStart w:id="1010" w:name="_Toc457395602"/>
      <w:bookmarkStart w:id="1011" w:name="_Toc457471976"/>
      <w:bookmarkStart w:id="1012" w:name="_Toc462732457"/>
      <w:bookmarkStart w:id="1013" w:name="_Toc462751775"/>
      <w:bookmarkStart w:id="1014" w:name="_Toc462751814"/>
      <w:bookmarkStart w:id="1015" w:name="_Toc472088223"/>
      <w:bookmarkStart w:id="1016" w:name="_Toc473036989"/>
      <w:bookmarkStart w:id="1017" w:name="_Toc473037786"/>
      <w:bookmarkStart w:id="1018" w:name="_Toc473038774"/>
      <w:bookmarkStart w:id="1019" w:name="_Toc473130305"/>
      <w:bookmarkStart w:id="1020" w:name="_Toc474749148"/>
      <w:bookmarkStart w:id="1021" w:name="_Toc474749285"/>
      <w:bookmarkStart w:id="1022" w:name="_Toc493509400"/>
      <w:bookmarkStart w:id="1023" w:name="_Toc493510043"/>
      <w:bookmarkStart w:id="1024" w:name="_Toc493598889"/>
      <w:bookmarkStart w:id="1025" w:name="_Toc493600649"/>
      <w:bookmarkStart w:id="1026" w:name="_Toc493602413"/>
      <w:r>
        <w:rPr>
          <w:rStyle w:val="CharDivNo"/>
        </w:rPr>
        <w:t>Division 5</w:t>
      </w:r>
      <w:r>
        <w:t> — </w:t>
      </w:r>
      <w:r>
        <w:rPr>
          <w:rStyle w:val="CharDivText"/>
        </w:rPr>
        <w:t>Regulations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pPr>
      <w:bookmarkStart w:id="1027" w:name="_Toc457219299"/>
      <w:bookmarkStart w:id="1028" w:name="_Toc457225852"/>
      <w:bookmarkStart w:id="1029" w:name="_Toc473130306"/>
      <w:bookmarkStart w:id="1030" w:name="_Toc493602414"/>
      <w:r>
        <w:rPr>
          <w:rStyle w:val="CharSectno"/>
        </w:rPr>
        <w:t>304</w:t>
      </w:r>
      <w:r>
        <w:t>.</w:t>
      </w:r>
      <w:r>
        <w:tab/>
        <w:t>Regulations — general power</w:t>
      </w:r>
      <w:bookmarkEnd w:id="1027"/>
      <w:bookmarkEnd w:id="1028"/>
      <w:bookmarkEnd w:id="1029"/>
      <w:bookmarkEnd w:id="1030"/>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ageBreakBefore/>
        <w:spacing w:before="0"/>
      </w:pPr>
      <w:bookmarkStart w:id="1031" w:name="_Toc457219300"/>
      <w:bookmarkStart w:id="1032" w:name="_Toc457225853"/>
      <w:bookmarkStart w:id="1033" w:name="_Toc473130307"/>
      <w:bookmarkStart w:id="1034" w:name="_Toc493602415"/>
      <w:r>
        <w:rPr>
          <w:rStyle w:val="CharSectno"/>
        </w:rPr>
        <w:t>305</w:t>
      </w:r>
      <w:r>
        <w:t>.</w:t>
      </w:r>
      <w:r>
        <w:tab/>
        <w:t>Regulations may adopt codes or legislation</w:t>
      </w:r>
      <w:bookmarkEnd w:id="1031"/>
      <w:bookmarkEnd w:id="1032"/>
      <w:bookmarkEnd w:id="1033"/>
      <w:bookmarkEnd w:id="1034"/>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035" w:name="_Toc402269341"/>
      <w:bookmarkStart w:id="1036" w:name="_Toc402269720"/>
      <w:bookmarkStart w:id="1037" w:name="_Toc402273989"/>
      <w:bookmarkStart w:id="1038" w:name="_Toc402274839"/>
      <w:bookmarkStart w:id="1039" w:name="_Toc402279234"/>
      <w:bookmarkStart w:id="1040" w:name="_Toc402279613"/>
      <w:bookmarkStart w:id="1041" w:name="_Toc402344966"/>
      <w:bookmarkStart w:id="1042" w:name="_Toc402419887"/>
      <w:bookmarkStart w:id="1043" w:name="_Toc403034939"/>
      <w:bookmarkStart w:id="1044" w:name="_Toc403036310"/>
      <w:bookmarkStart w:id="1045" w:name="_Toc403468518"/>
      <w:bookmarkStart w:id="1046" w:name="_Toc404169927"/>
      <w:bookmarkStart w:id="1047" w:name="_Toc404172599"/>
      <w:bookmarkStart w:id="1048" w:name="_Toc404178542"/>
      <w:bookmarkStart w:id="1049" w:name="_Toc436299117"/>
      <w:bookmarkStart w:id="1050" w:name="_Toc436299994"/>
      <w:bookmarkStart w:id="1051" w:name="_Toc436302512"/>
      <w:bookmarkStart w:id="1052" w:name="_Toc455145751"/>
      <w:bookmarkStart w:id="1053" w:name="_Toc455150483"/>
      <w:bookmarkStart w:id="1054" w:name="_Toc455748639"/>
      <w:bookmarkStart w:id="1055" w:name="_Toc457219301"/>
      <w:bookmarkStart w:id="1056" w:name="_Toc457225854"/>
      <w:bookmarkStart w:id="1057" w:name="_Toc457229010"/>
      <w:bookmarkStart w:id="1058" w:name="_Toc457231399"/>
      <w:bookmarkStart w:id="1059" w:name="_Toc457299355"/>
      <w:bookmarkStart w:id="1060" w:name="_Toc457395605"/>
      <w:bookmarkStart w:id="1061" w:name="_Toc457471979"/>
      <w:bookmarkStart w:id="1062" w:name="_Toc462732460"/>
      <w:bookmarkStart w:id="1063" w:name="_Toc462751778"/>
      <w:bookmarkStart w:id="1064" w:name="_Toc462751817"/>
      <w:bookmarkStart w:id="1065" w:name="_Toc472088226"/>
      <w:bookmarkStart w:id="1066" w:name="_Toc473036992"/>
      <w:bookmarkStart w:id="1067" w:name="_Toc473037789"/>
      <w:bookmarkStart w:id="1068" w:name="_Toc473038777"/>
      <w:bookmarkStart w:id="1069" w:name="_Toc473130308"/>
      <w:bookmarkStart w:id="1070" w:name="_Toc474749151"/>
      <w:bookmarkStart w:id="1071" w:name="_Toc474749288"/>
      <w:bookmarkStart w:id="1072" w:name="_Toc493509403"/>
      <w:bookmarkStart w:id="1073" w:name="_Toc493510046"/>
      <w:bookmarkStart w:id="1074" w:name="_Toc493598892"/>
      <w:bookmarkStart w:id="1075" w:name="_Toc493600652"/>
      <w:bookmarkStart w:id="1076" w:name="_Toc493602416"/>
      <w:r>
        <w:rPr>
          <w:rStyle w:val="CharDivNo"/>
        </w:rPr>
        <w:t>Division 6</w:t>
      </w:r>
      <w:r>
        <w:t> — </w:t>
      </w:r>
      <w:r>
        <w:rPr>
          <w:rStyle w:val="CharDivText"/>
        </w:rPr>
        <w:t>Review of Act</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457219302"/>
      <w:bookmarkStart w:id="1078" w:name="_Toc457225855"/>
      <w:bookmarkStart w:id="1079" w:name="_Toc473130309"/>
      <w:bookmarkStart w:id="1080" w:name="_Toc493602417"/>
      <w:r>
        <w:rPr>
          <w:rStyle w:val="CharSectno"/>
        </w:rPr>
        <w:t>306</w:t>
      </w:r>
      <w:r>
        <w:t>.</w:t>
      </w:r>
      <w:r>
        <w:tab/>
        <w:t>Review of Act</w:t>
      </w:r>
      <w:bookmarkEnd w:id="1077"/>
      <w:bookmarkEnd w:id="1078"/>
      <w:bookmarkEnd w:id="1079"/>
      <w:bookmarkEnd w:id="1080"/>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2"/>
      </w:pPr>
      <w:bookmarkStart w:id="1081" w:name="_Toc402269343"/>
      <w:bookmarkStart w:id="1082" w:name="_Toc402269722"/>
      <w:bookmarkStart w:id="1083" w:name="_Toc402273991"/>
      <w:bookmarkStart w:id="1084" w:name="_Toc402274841"/>
      <w:bookmarkStart w:id="1085" w:name="_Toc402279236"/>
      <w:bookmarkStart w:id="1086" w:name="_Toc402279615"/>
      <w:bookmarkStart w:id="1087" w:name="_Toc402344968"/>
      <w:bookmarkStart w:id="1088" w:name="_Toc402419889"/>
      <w:bookmarkStart w:id="1089" w:name="_Toc403034941"/>
      <w:bookmarkStart w:id="1090" w:name="_Toc403036312"/>
      <w:bookmarkStart w:id="1091" w:name="_Toc403468520"/>
      <w:bookmarkStart w:id="1092" w:name="_Toc404169929"/>
      <w:bookmarkStart w:id="1093" w:name="_Toc404172601"/>
      <w:bookmarkStart w:id="1094" w:name="_Toc404178544"/>
      <w:bookmarkStart w:id="1095" w:name="_Toc436299119"/>
      <w:bookmarkStart w:id="1096" w:name="_Toc436299996"/>
      <w:bookmarkStart w:id="1097" w:name="_Toc436302514"/>
      <w:bookmarkStart w:id="1098" w:name="_Toc455145753"/>
      <w:bookmarkStart w:id="1099" w:name="_Toc455150485"/>
      <w:bookmarkStart w:id="1100" w:name="_Toc455748641"/>
      <w:bookmarkStart w:id="1101" w:name="_Toc457219303"/>
      <w:bookmarkStart w:id="1102" w:name="_Toc457225856"/>
      <w:bookmarkStart w:id="1103" w:name="_Toc457229012"/>
      <w:bookmarkStart w:id="1104" w:name="_Toc457231401"/>
      <w:bookmarkStart w:id="1105" w:name="_Toc457299357"/>
      <w:bookmarkStart w:id="1106" w:name="_Toc457395607"/>
      <w:bookmarkStart w:id="1107" w:name="_Toc457471981"/>
      <w:bookmarkStart w:id="1108" w:name="_Toc462732462"/>
      <w:bookmarkStart w:id="1109" w:name="_Toc462751780"/>
      <w:bookmarkStart w:id="1110" w:name="_Toc462751819"/>
      <w:bookmarkStart w:id="1111" w:name="_Toc472088228"/>
      <w:bookmarkStart w:id="1112" w:name="_Toc473036994"/>
      <w:bookmarkStart w:id="1113" w:name="_Toc473037791"/>
      <w:bookmarkStart w:id="1114" w:name="_Toc473038779"/>
      <w:bookmarkStart w:id="1115" w:name="_Toc473130310"/>
      <w:bookmarkStart w:id="1116" w:name="_Toc474749153"/>
      <w:bookmarkStart w:id="1117" w:name="_Toc474749290"/>
      <w:bookmarkStart w:id="1118" w:name="_Toc493509405"/>
      <w:bookmarkStart w:id="1119" w:name="_Toc493510048"/>
      <w:bookmarkStart w:id="1120" w:name="_Toc493598894"/>
      <w:bookmarkStart w:id="1121" w:name="_Toc493600654"/>
      <w:bookmarkStart w:id="1122" w:name="_Toc493602418"/>
      <w:r>
        <w:rPr>
          <w:rStyle w:val="CharPartNo"/>
        </w:rPr>
        <w:t>Part 20</w:t>
      </w:r>
      <w:r>
        <w:rPr>
          <w:rStyle w:val="CharDivNo"/>
        </w:rPr>
        <w:t> </w:t>
      </w:r>
      <w:r>
        <w:t>—</w:t>
      </w:r>
      <w:r>
        <w:rPr>
          <w:rStyle w:val="CharDivText"/>
        </w:rPr>
        <w:t> </w:t>
      </w:r>
      <w:r>
        <w:rPr>
          <w:rStyle w:val="CharPartText"/>
        </w:rPr>
        <w:t>Transitional and savings provisions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472670213"/>
      <w:bookmarkStart w:id="1124" w:name="_Toc473130311"/>
      <w:bookmarkStart w:id="1125" w:name="_Toc493602419"/>
      <w:r>
        <w:rPr>
          <w:rStyle w:val="CharSectno"/>
        </w:rPr>
        <w:t>307</w:t>
      </w:r>
      <w:r>
        <w:t>.</w:t>
      </w:r>
      <w:r>
        <w:tab/>
        <w:t>Terms used</w:t>
      </w:r>
      <w:bookmarkEnd w:id="1123"/>
      <w:bookmarkEnd w:id="1124"/>
      <w:bookmarkEnd w:id="1125"/>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1126" w:name="_Toc472670214"/>
      <w:bookmarkStart w:id="1127" w:name="_Toc473130312"/>
      <w:bookmarkStart w:id="1128" w:name="_Toc493602420"/>
      <w:r>
        <w:rPr>
          <w:rStyle w:val="CharSectno"/>
        </w:rPr>
        <w:t>308</w:t>
      </w:r>
      <w:r>
        <w:t>.</w:t>
      </w:r>
      <w:r>
        <w:tab/>
        <w:t xml:space="preserve">Application of </w:t>
      </w:r>
      <w:r>
        <w:rPr>
          <w:i/>
          <w:iCs/>
        </w:rPr>
        <w:t>Interpretation Act 1984</w:t>
      </w:r>
      <w:bookmarkEnd w:id="1126"/>
      <w:bookmarkEnd w:id="1127"/>
      <w:bookmarkEnd w:id="1128"/>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1129" w:name="_Toc472670215"/>
      <w:bookmarkStart w:id="1130" w:name="_Toc473130313"/>
      <w:bookmarkStart w:id="1131" w:name="_Toc493602421"/>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129"/>
      <w:bookmarkEnd w:id="1130"/>
      <w:bookmarkEnd w:id="1131"/>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1132" w:name="_Toc457219307"/>
      <w:bookmarkStart w:id="1133" w:name="_Toc457225860"/>
      <w:bookmarkStart w:id="1134" w:name="_Toc473130314"/>
      <w:bookmarkStart w:id="1135" w:name="_Toc493602422"/>
      <w:r>
        <w:rPr>
          <w:rStyle w:val="CharSectno"/>
        </w:rPr>
        <w:t>310</w:t>
      </w:r>
      <w:r>
        <w:t>.</w:t>
      </w:r>
      <w:r>
        <w:tab/>
        <w:t>Reference to Chief Health Officer to be temporarily read as Executive Director, Public Health for purposes of Part 17</w:t>
      </w:r>
      <w:bookmarkEnd w:id="1132"/>
      <w:bookmarkEnd w:id="1133"/>
      <w:bookmarkEnd w:id="1134"/>
      <w:bookmarkEnd w:id="1135"/>
    </w:p>
    <w:p>
      <w:pPr>
        <w:pStyle w:val="Subsection"/>
      </w:pPr>
      <w:r>
        <w:tab/>
      </w:r>
      <w:r>
        <w:tab/>
        <w:t>Until section 311 comes into operation, the reference to the Chief Health Officer in section 267(4)(a) is to be taken to be a reference to the Executive Director, Public Health in the Department.</w:t>
      </w:r>
    </w:p>
    <w:p>
      <w:pPr>
        <w:pStyle w:val="Heading5"/>
      </w:pPr>
      <w:bookmarkStart w:id="1136" w:name="_Toc472670217"/>
      <w:bookmarkStart w:id="1137" w:name="_Toc473130315"/>
      <w:bookmarkStart w:id="1138" w:name="_Toc493602423"/>
      <w:r>
        <w:rPr>
          <w:rStyle w:val="CharSectno"/>
        </w:rPr>
        <w:t>311</w:t>
      </w:r>
      <w:r>
        <w:t>.</w:t>
      </w:r>
      <w:r>
        <w:tab/>
        <w:t>Executive Director, Public Health to hold office as Chief Health Officer</w:t>
      </w:r>
      <w:bookmarkEnd w:id="1136"/>
      <w:bookmarkEnd w:id="1137"/>
      <w:bookmarkEnd w:id="1138"/>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1139" w:name="_Toc472670218"/>
      <w:bookmarkStart w:id="1140" w:name="_Toc473130316"/>
      <w:bookmarkStart w:id="1141" w:name="_Toc493602424"/>
      <w:r>
        <w:rPr>
          <w:rStyle w:val="CharSectno"/>
        </w:rPr>
        <w:t>312</w:t>
      </w:r>
      <w:r>
        <w:t>.</w:t>
      </w:r>
      <w:r>
        <w:tab/>
        <w:t>Environmental health officers to be authorised officers for certain purposes</w:t>
      </w:r>
      <w:bookmarkEnd w:id="1139"/>
      <w:bookmarkEnd w:id="1140"/>
      <w:bookmarkEnd w:id="1141"/>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r>
        <w:rPr>
          <w:i w:val="0"/>
          <w:vertAlign w:val="superscript"/>
        </w:rPr>
        <w:t>2</w:t>
      </w:r>
      <w:r>
        <w:t>.]</w:t>
      </w:r>
    </w:p>
    <w:p>
      <w:pPr>
        <w:pStyle w:val="Heading5"/>
      </w:pPr>
      <w:bookmarkStart w:id="1142" w:name="_Toc493602425"/>
      <w:r>
        <w:rPr>
          <w:rStyle w:val="CharSectno"/>
        </w:rPr>
        <w:t>321</w:t>
      </w:r>
      <w:r>
        <w:t>.</w:t>
      </w:r>
      <w:r>
        <w:tab/>
        <w:t xml:space="preserve">Transitional provisions for </w:t>
      </w:r>
      <w:r>
        <w:rPr>
          <w:i/>
        </w:rPr>
        <w:t>Blood and Tissue (Transmissible Diseases) Regulations 1985</w:t>
      </w:r>
      <w:bookmarkEnd w:id="1142"/>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1143" w:name="_Toc457219319"/>
      <w:bookmarkStart w:id="1144" w:name="_Toc457225872"/>
      <w:bookmarkStart w:id="1145" w:name="_Toc473130317"/>
      <w:bookmarkStart w:id="1146" w:name="_Toc493602426"/>
      <w:r>
        <w:rPr>
          <w:rStyle w:val="CharSectno"/>
        </w:rPr>
        <w:t>322</w:t>
      </w:r>
      <w:r>
        <w:t>.</w:t>
      </w:r>
      <w:r>
        <w:tab/>
        <w:t>Transitional regulations</w:t>
      </w:r>
      <w:bookmarkEnd w:id="1143"/>
      <w:bookmarkEnd w:id="1144"/>
      <w:bookmarkEnd w:id="1145"/>
      <w:bookmarkEnd w:id="1146"/>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1147" w:name="_Toc457231404"/>
      <w:bookmarkStart w:id="1148" w:name="_Toc457299360"/>
      <w:bookmarkStart w:id="1149" w:name="_Toc457395610"/>
      <w:bookmarkStart w:id="1150" w:name="_Toc457471984"/>
      <w:bookmarkStart w:id="1151" w:name="_Toc462732465"/>
      <w:bookmarkStart w:id="1152" w:name="_Toc462751783"/>
      <w:bookmarkStart w:id="1153" w:name="_Toc462751822"/>
      <w:bookmarkStart w:id="1154" w:name="_Toc472088231"/>
      <w:bookmarkStart w:id="1155" w:name="_Toc473037002"/>
      <w:bookmarkStart w:id="1156" w:name="_Toc473037799"/>
      <w:bookmarkStart w:id="1157" w:name="_Toc473038787"/>
      <w:bookmarkStart w:id="1158" w:name="_Toc473130318"/>
      <w:bookmarkStart w:id="1159" w:name="_Toc474749161"/>
      <w:bookmarkStart w:id="1160" w:name="_Toc474749298"/>
      <w:bookmarkStart w:id="1161" w:name="_Toc493509414"/>
      <w:bookmarkStart w:id="1162" w:name="_Toc493510057"/>
      <w:bookmarkStart w:id="1163" w:name="_Toc493598903"/>
      <w:bookmarkStart w:id="1164" w:name="_Toc493600663"/>
      <w:bookmarkStart w:id="1165" w:name="_Toc493602427"/>
      <w:r>
        <w:t>Notes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nSubsection"/>
      </w:pPr>
      <w:r>
        <w:rPr>
          <w:vertAlign w:val="superscript"/>
        </w:rPr>
        <w:t>1</w:t>
      </w:r>
      <w:r>
        <w:tab/>
        <w:t xml:space="preserve">This is a compilation of the </w:t>
      </w:r>
      <w:r>
        <w:rPr>
          <w:i/>
          <w:noProof/>
        </w:rPr>
        <w:t>Public Health Act 2016</w:t>
      </w:r>
      <w:r>
        <w:t xml:space="preserve"> and includes the amendments made by the other written laws referred to in the following table</w:t>
      </w:r>
      <w:r>
        <w:rPr>
          <w:vertAlign w:val="superscript"/>
        </w:rPr>
        <w:t> 1a</w:t>
      </w:r>
      <w:r>
        <w:t>.</w:t>
      </w:r>
    </w:p>
    <w:p>
      <w:pPr>
        <w:pStyle w:val="nHeading3"/>
      </w:pPr>
      <w:bookmarkStart w:id="1166" w:name="_Toc473130319"/>
      <w:bookmarkStart w:id="1167" w:name="_Toc493602428"/>
      <w:r>
        <w:t>Compilation table</w:t>
      </w:r>
      <w:bookmarkEnd w:id="1166"/>
      <w:bookmarkEnd w:id="11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p>
          <w:p>
            <w:pPr>
              <w:pStyle w:val="nTable"/>
            </w:pPr>
            <w:r>
              <w:t>Pt. 17: 26 Jul 2016 (see s. 2(b)(ii));</w:t>
            </w:r>
          </w:p>
          <w:p>
            <w:pPr>
              <w:pStyle w:val="nTable"/>
            </w:pPr>
            <w:r>
              <w:t>Pt. 19 (other than Div. 1, 3 and 4): 26 Jul 2016 (see s. 2(b)(iii));</w:t>
            </w:r>
          </w:p>
          <w:p>
            <w:pPr>
              <w:pStyle w:val="nTable"/>
            </w:pPr>
            <w:r>
              <w:t xml:space="preserve">Pt. 20 (s. 310 and 322): 26 Jul 2016 (see s. 2(b)(iv)); </w:t>
            </w:r>
          </w:p>
          <w:p>
            <w:pPr>
              <w:pStyle w:val="nTable"/>
            </w:pPr>
            <w: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2268" w:type="dxa"/>
            <w:tcBorders>
              <w:top w:val="nil"/>
              <w:bottom w:val="single" w:sz="4" w:space="0" w:color="auto"/>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single" w:sz="4" w:space="0" w:color="auto"/>
              <w:right w:val="nil"/>
            </w:tcBorders>
          </w:tcPr>
          <w:p>
            <w:pPr>
              <w:pStyle w:val="nTable"/>
              <w:spacing w:after="40"/>
            </w:pPr>
            <w:r>
              <w:t>26 of 2016</w:t>
            </w:r>
          </w:p>
        </w:tc>
        <w:tc>
          <w:tcPr>
            <w:tcW w:w="1134" w:type="dxa"/>
            <w:tcBorders>
              <w:top w:val="nil"/>
              <w:left w:val="nil"/>
              <w:bottom w:val="single" w:sz="4" w:space="0" w:color="auto"/>
              <w:right w:val="nil"/>
            </w:tcBorders>
          </w:tcPr>
          <w:p>
            <w:pPr>
              <w:pStyle w:val="nTable"/>
              <w:spacing w:after="40"/>
            </w:pPr>
            <w:r>
              <w:t>21 Sep 2016</w:t>
            </w:r>
          </w:p>
        </w:tc>
        <w:tc>
          <w:tcPr>
            <w:tcW w:w="2552" w:type="dxa"/>
            <w:tcBorders>
              <w:top w:val="nil"/>
              <w:left w:val="nil"/>
              <w:bottom w:val="single" w:sz="4" w:space="0" w:color="auto"/>
            </w:tcBorders>
          </w:tcPr>
          <w:p>
            <w:pPr>
              <w:pStyle w:val="nTable"/>
            </w:pPr>
            <w:r>
              <w:t>21 Jan 2017 (see s. 2(b) and Gazette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8" w:name="_Toc473130320"/>
      <w:bookmarkStart w:id="1169" w:name="_Toc493602429"/>
      <w:r>
        <w:t>Provisions that have not come into operation</w:t>
      </w:r>
      <w:bookmarkEnd w:id="1168"/>
      <w:bookmarkEnd w:id="11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keepNext/>
              <w:spacing w:after="40"/>
              <w:rPr>
                <w:vertAlign w:val="superscript"/>
              </w:rPr>
            </w:pPr>
            <w:r>
              <w:rPr>
                <w:i/>
                <w:noProof/>
              </w:rPr>
              <w:t>Public Health Act 2016</w:t>
            </w:r>
            <w:r>
              <w:t xml:space="preserve"> s. 7 and 8, Pt.  5</w:t>
            </w:r>
            <w:r>
              <w:noBreakHyphen/>
              <w:t>8, 10, 14, Pt. 18 Div. 3, Pt. 19 Div. 1, and Pt. 20 (s. 313</w:t>
            </w:r>
            <w:r>
              <w:noBreakHyphen/>
              <w:t xml:space="preserve">320) </w:t>
            </w:r>
            <w:r>
              <w:rPr>
                <w:vertAlign w:val="superscript"/>
              </w:rPr>
              <w:t>2</w:t>
            </w:r>
          </w:p>
        </w:tc>
        <w:tc>
          <w:tcPr>
            <w:tcW w:w="1134" w:type="dxa"/>
            <w:tcBorders>
              <w:top w:val="single" w:sz="8" w:space="0" w:color="auto"/>
              <w:bottom w:val="single" w:sz="8" w:space="0" w:color="auto"/>
            </w:tcBorders>
          </w:tcPr>
          <w:p>
            <w:pPr>
              <w:pStyle w:val="nTable"/>
              <w:keepNext/>
              <w:spacing w:after="40"/>
            </w:pPr>
            <w:r>
              <w:t>18 of 2016</w:t>
            </w:r>
          </w:p>
        </w:tc>
        <w:tc>
          <w:tcPr>
            <w:tcW w:w="1134" w:type="dxa"/>
            <w:tcBorders>
              <w:top w:val="single" w:sz="8" w:space="0" w:color="auto"/>
              <w:bottom w:val="single" w:sz="8" w:space="0" w:color="auto"/>
            </w:tcBorders>
          </w:tcPr>
          <w:p>
            <w:pPr>
              <w:pStyle w:val="nTable"/>
              <w:keepNext/>
              <w:spacing w:after="40"/>
            </w:pPr>
            <w:r>
              <w:t>25 Jul 2016</w:t>
            </w:r>
          </w:p>
        </w:tc>
        <w:tc>
          <w:tcPr>
            <w:tcW w:w="2552" w:type="dxa"/>
            <w:tcBorders>
              <w:top w:val="single" w:sz="8" w:space="0" w:color="auto"/>
              <w:bottom w:val="single" w:sz="8" w:space="0" w:color="auto"/>
            </w:tcBorders>
          </w:tcPr>
          <w:p>
            <w:pPr>
              <w:pStyle w:val="nTable"/>
              <w:keepNext/>
              <w:spacing w:after="40"/>
            </w:pPr>
            <w:r>
              <w:t>To be proclaimed (see s. 2(c))</w:t>
            </w:r>
          </w:p>
        </w:tc>
      </w:tr>
    </w:tbl>
    <w:p>
      <w:pPr>
        <w:pStyle w:val="nSubsection"/>
        <w:keepNext/>
        <w:spacing w:before="360"/>
        <w:rPr>
          <w:snapToGrid w:val="0"/>
        </w:rPr>
      </w:pPr>
      <w:r>
        <w:rPr>
          <w:vertAlign w:val="superscript"/>
        </w:rPr>
        <w:t>2</w:t>
      </w:r>
      <w:r>
        <w:rPr>
          <w:snapToGrid w:val="0"/>
        </w:rPr>
        <w:tab/>
        <w:t xml:space="preserve">On the date as at which this compilation was prepared, the </w:t>
      </w:r>
      <w:r>
        <w:rPr>
          <w:i/>
          <w:noProof/>
        </w:rPr>
        <w:t>Public Health Act 2016</w:t>
      </w:r>
      <w:r>
        <w:t xml:space="preserve"> s. 7 and 8, Pt. 5</w:t>
      </w:r>
      <w:r>
        <w:noBreakHyphen/>
        <w:t>8, 10, 14, Pt. 18 Div. 3, Pt. 19 Div. 1 and Pt. 20 (s. 313</w:t>
      </w:r>
      <w:r>
        <w:noBreakHyphen/>
        <w:t>320) had not</w:t>
      </w:r>
      <w:r>
        <w:rPr>
          <w:snapToGrid w:val="0"/>
        </w:rPr>
        <w:t xml:space="preserve"> come into operation.  They read as follows:</w:t>
      </w:r>
    </w:p>
    <w:p>
      <w:pPr>
        <w:pStyle w:val="BlankOpen"/>
      </w:pPr>
    </w:p>
    <w:p>
      <w:pPr>
        <w:pStyle w:val="nzHeading5"/>
      </w:pPr>
      <w:bookmarkStart w:id="1170" w:name="_Toc457218939"/>
      <w:bookmarkStart w:id="1171" w:name="_Toc457225492"/>
      <w:r>
        <w:rPr>
          <w:rStyle w:val="CharSectno"/>
        </w:rPr>
        <w:t>7</w:t>
      </w:r>
      <w:r>
        <w:t>.</w:t>
      </w:r>
      <w:r>
        <w:tab/>
        <w:t>Chief Health Officer may give directions to local governments</w:t>
      </w:r>
      <w:bookmarkEnd w:id="1170"/>
      <w:bookmarkEnd w:id="1171"/>
    </w:p>
    <w:p>
      <w:pPr>
        <w:pStyle w:val="nzSubsection"/>
      </w:pPr>
      <w:r>
        <w:tab/>
        <w:t>(1)</w:t>
      </w:r>
      <w:r>
        <w:tab/>
        <w:t xml:space="preserve">This section applies if the Chief Health Officer — </w:t>
      </w:r>
    </w:p>
    <w:p>
      <w:pPr>
        <w:pStyle w:val="nzIndenta"/>
      </w:pPr>
      <w:r>
        <w:tab/>
        <w:t>(a)</w:t>
      </w:r>
      <w:r>
        <w:tab/>
        <w:t>considers that there is, or is likely to be, a material public health risk in a local government district; and</w:t>
      </w:r>
    </w:p>
    <w:p>
      <w:pPr>
        <w:pStyle w:val="nzIndenta"/>
      </w:pPr>
      <w:r>
        <w:tab/>
        <w:t>(b)</w:t>
      </w:r>
      <w:r>
        <w:tab/>
        <w:t>is unable to reach agreement with the local government as to the measures to be taken by the local government to prevent, control or abate that risk.</w:t>
      </w:r>
    </w:p>
    <w:p>
      <w:pPr>
        <w:pStyle w:val="nzSubsection"/>
      </w:pPr>
      <w:r>
        <w:tab/>
        <w:t>(2)</w:t>
      </w:r>
      <w:r>
        <w:tab/>
        <w:t>If this section applies, the Chief Health Officer may, in writing, direct the local government to take the measures that the Chief Health Officer considers necessary to prevent, control or abate that risk.</w:t>
      </w:r>
    </w:p>
    <w:p>
      <w:pPr>
        <w:pStyle w:val="nzSubsection"/>
      </w:pPr>
      <w:r>
        <w:tab/>
        <w:t>(3)</w:t>
      </w:r>
      <w:r>
        <w:tab/>
        <w:t>A local government has power to do anything necessary to comply with a direction under subsection (2).</w:t>
      </w:r>
    </w:p>
    <w:p>
      <w:pPr>
        <w:pStyle w:val="nzSubsection"/>
      </w:pPr>
      <w:r>
        <w:tab/>
        <w:t>(4)</w:t>
      </w:r>
      <w:r>
        <w:tab/>
        <w:t>If a local government that is given a direction under subsection (2) fails to comply with it, the Chief Health Officer may do anything that the Chief Health Officer considers necessary to achieve the purpose for which the direction was given.</w:t>
      </w:r>
    </w:p>
    <w:p>
      <w:pPr>
        <w:pStyle w:val="nzSubsection"/>
      </w:pPr>
      <w:r>
        <w:tab/>
        <w:t>(5)</w:t>
      </w:r>
      <w:r>
        <w:tab/>
        <w:t xml:space="preserve">The amount of any costs incurred by the Chief Health Officer in doing anything under subsection (4) — </w:t>
      </w:r>
    </w:p>
    <w:p>
      <w:pPr>
        <w:pStyle w:val="nzIndenta"/>
      </w:pPr>
      <w:r>
        <w:tab/>
        <w:t>(a)</w:t>
      </w:r>
      <w:r>
        <w:tab/>
        <w:t>is to be taken to be a debt due to the State by the local government that has failed to comply with the direction; and</w:t>
      </w:r>
    </w:p>
    <w:p>
      <w:pPr>
        <w:pStyle w:val="nzIndenta"/>
      </w:pPr>
      <w:r>
        <w:tab/>
        <w:t>(b)</w:t>
      </w:r>
      <w:r>
        <w:tab/>
        <w:t>is recoverable in a court of competent jurisdiction.</w:t>
      </w:r>
    </w:p>
    <w:p>
      <w:pPr>
        <w:pStyle w:val="nzSubsection"/>
      </w:pPr>
      <w:r>
        <w:tab/>
        <w:t>(6)</w:t>
      </w:r>
      <w:r>
        <w:tab/>
        <w:t>In any proceedings for the recovery of the debt, a certificate signed by the Chief Health Officer stating the amount of any costs and the manner in which they were incurred is evidence of the matters certified.</w:t>
      </w:r>
    </w:p>
    <w:p>
      <w:pPr>
        <w:pStyle w:val="nzHeading5"/>
      </w:pPr>
      <w:bookmarkStart w:id="1172" w:name="_Toc457218940"/>
      <w:bookmarkStart w:id="1173" w:name="_Toc457225493"/>
      <w:r>
        <w:rPr>
          <w:rStyle w:val="CharSectno"/>
        </w:rPr>
        <w:t>8</w:t>
      </w:r>
      <w:r>
        <w:t>.</w:t>
      </w:r>
      <w:r>
        <w:tab/>
        <w:t>Chief Health Officer may act without seeking local government agreement in urgent circumstances</w:t>
      </w:r>
      <w:bookmarkEnd w:id="1172"/>
      <w:bookmarkEnd w:id="1173"/>
    </w:p>
    <w:p>
      <w:pPr>
        <w:pStyle w:val="nzSubsection"/>
      </w:pPr>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p>
    <w:p>
      <w:pPr>
        <w:pStyle w:val="nzSubsection"/>
      </w:pPr>
      <w:r>
        <w:tab/>
        <w:t>(2)</w:t>
      </w:r>
      <w:r>
        <w:tab/>
        <w:t>Any costs incurred by the Chief Health Officer in doing anything under subsection (1) are not recoverable from the local government.</w:t>
      </w:r>
    </w:p>
    <w:p>
      <w:pPr>
        <w:pStyle w:val="nzHeading2"/>
      </w:pPr>
      <w:bookmarkStart w:id="1174" w:name="_Toc402269033"/>
      <w:bookmarkStart w:id="1175" w:name="_Toc402269412"/>
      <w:bookmarkStart w:id="1176" w:name="_Toc402273681"/>
      <w:bookmarkStart w:id="1177" w:name="_Toc402274531"/>
      <w:bookmarkStart w:id="1178" w:name="_Toc402278926"/>
      <w:bookmarkStart w:id="1179" w:name="_Toc402279305"/>
      <w:bookmarkStart w:id="1180" w:name="_Toc402344658"/>
      <w:bookmarkStart w:id="1181" w:name="_Toc402419579"/>
      <w:bookmarkStart w:id="1182" w:name="_Toc403034631"/>
      <w:bookmarkStart w:id="1183" w:name="_Toc403036002"/>
      <w:bookmarkStart w:id="1184" w:name="_Toc403468210"/>
      <w:bookmarkStart w:id="1185" w:name="_Toc404169619"/>
      <w:bookmarkStart w:id="1186" w:name="_Toc404172291"/>
      <w:bookmarkStart w:id="1187" w:name="_Toc404178234"/>
      <w:bookmarkStart w:id="1188" w:name="_Toc436298806"/>
      <w:bookmarkStart w:id="1189" w:name="_Toc436299676"/>
      <w:bookmarkStart w:id="1190" w:name="_Toc436302192"/>
      <w:bookmarkStart w:id="1191" w:name="_Toc455145431"/>
      <w:bookmarkStart w:id="1192" w:name="_Toc455150163"/>
      <w:bookmarkStart w:id="1193" w:name="_Toc455748319"/>
      <w:bookmarkStart w:id="1194" w:name="_Toc457218981"/>
      <w:bookmarkStart w:id="1195" w:name="_Toc457225534"/>
      <w:r>
        <w:rPr>
          <w:rStyle w:val="CharPartNo"/>
        </w:rPr>
        <w:t>Part 5</w:t>
      </w:r>
      <w:r>
        <w:rPr>
          <w:rStyle w:val="CharDivNo"/>
        </w:rPr>
        <w:t> </w:t>
      </w:r>
      <w:r>
        <w:t>—</w:t>
      </w:r>
      <w:r>
        <w:rPr>
          <w:rStyle w:val="CharDivText"/>
        </w:rPr>
        <w:t> </w:t>
      </w:r>
      <w:r>
        <w:rPr>
          <w:rStyle w:val="CharPartText"/>
        </w:rPr>
        <w:t>Public health plans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nzHeading5"/>
      </w:pPr>
      <w:bookmarkStart w:id="1196" w:name="_Toc457218982"/>
      <w:bookmarkStart w:id="1197" w:name="_Toc457225535"/>
      <w:r>
        <w:rPr>
          <w:rStyle w:val="CharSectno"/>
        </w:rPr>
        <w:t>42</w:t>
      </w:r>
      <w:r>
        <w:t>.</w:t>
      </w:r>
      <w:r>
        <w:tab/>
        <w:t>Term used: public health plan</w:t>
      </w:r>
      <w:bookmarkEnd w:id="1196"/>
      <w:bookmarkEnd w:id="1197"/>
    </w:p>
    <w:p>
      <w:pPr>
        <w:pStyle w:val="nzSubsection"/>
      </w:pPr>
      <w:r>
        <w:tab/>
      </w:r>
      <w:r>
        <w:tab/>
        <w:t xml:space="preserve">In this Part — </w:t>
      </w:r>
    </w:p>
    <w:p>
      <w:pPr>
        <w:pStyle w:val="nzDefstart"/>
      </w:pPr>
      <w:r>
        <w:rPr>
          <w:b/>
        </w:rPr>
        <w:tab/>
      </w:r>
      <w:r>
        <w:rPr>
          <w:rStyle w:val="CharDefText"/>
        </w:rPr>
        <w:t>public health plan</w:t>
      </w:r>
      <w:r>
        <w:t xml:space="preserve"> means — </w:t>
      </w:r>
    </w:p>
    <w:p>
      <w:pPr>
        <w:pStyle w:val="nzDefpara"/>
      </w:pPr>
      <w:r>
        <w:tab/>
        <w:t>(a)</w:t>
      </w:r>
      <w:r>
        <w:tab/>
        <w:t>the State public health plan prepared by the Chief Health Officer under section 43; or</w:t>
      </w:r>
    </w:p>
    <w:p>
      <w:pPr>
        <w:pStyle w:val="nzDefpara"/>
      </w:pPr>
      <w:r>
        <w:tab/>
        <w:t>(b)</w:t>
      </w:r>
      <w:r>
        <w:tab/>
        <w:t>a local public health plan prepared by a local government under section 45.</w:t>
      </w:r>
    </w:p>
    <w:p>
      <w:pPr>
        <w:pStyle w:val="nzHeading5"/>
      </w:pPr>
      <w:bookmarkStart w:id="1198" w:name="_Toc457218983"/>
      <w:bookmarkStart w:id="1199" w:name="_Toc457225536"/>
      <w:r>
        <w:rPr>
          <w:rStyle w:val="CharSectno"/>
        </w:rPr>
        <w:t>43</w:t>
      </w:r>
      <w:r>
        <w:t>.</w:t>
      </w:r>
      <w:r>
        <w:tab/>
        <w:t>State public health plans</w:t>
      </w:r>
      <w:bookmarkEnd w:id="1198"/>
      <w:bookmarkEnd w:id="1199"/>
    </w:p>
    <w:p>
      <w:pPr>
        <w:pStyle w:val="nzSubsection"/>
      </w:pPr>
      <w:r>
        <w:tab/>
        <w:t>(1)</w:t>
      </w:r>
      <w:r>
        <w:tab/>
        <w:t xml:space="preserve">The Chief Health Officer must prepare a public health plan (the </w:t>
      </w:r>
      <w:r>
        <w:rPr>
          <w:rStyle w:val="CharDefText"/>
        </w:rPr>
        <w:t>State public health plan</w:t>
      </w:r>
      <w:r>
        <w:t>) that applies to the whole of the State.</w:t>
      </w:r>
    </w:p>
    <w:p>
      <w:pPr>
        <w:pStyle w:val="nzSubsection"/>
      </w:pPr>
      <w:r>
        <w:tab/>
        <w:t>(2)</w:t>
      </w:r>
      <w:r>
        <w:tab/>
        <w:t xml:space="preserve">The State public health plan must — </w:t>
      </w:r>
    </w:p>
    <w:p>
      <w:pPr>
        <w:pStyle w:val="nzIndenta"/>
      </w:pPr>
      <w:r>
        <w:tab/>
        <w:t>(a)</w:t>
      </w:r>
      <w:r>
        <w:tab/>
        <w:t>identify the public health needs of the State; and</w:t>
      </w:r>
    </w:p>
    <w:p>
      <w:pPr>
        <w:pStyle w:val="nzIndenta"/>
      </w:pPr>
      <w:r>
        <w:tab/>
        <w:t>(b)</w:t>
      </w:r>
      <w:r>
        <w:tab/>
        <w:t>include an examination of data relating to health status and health determinants in the State; and</w:t>
      </w:r>
    </w:p>
    <w:p>
      <w:pPr>
        <w:pStyle w:val="nzIndenta"/>
      </w:pPr>
      <w:r>
        <w:tab/>
        <w:t>(c)</w:t>
      </w:r>
      <w:r>
        <w:tab/>
        <w:t xml:space="preserve">establish objectives and policy priorities for — </w:t>
      </w:r>
    </w:p>
    <w:p>
      <w:pPr>
        <w:pStyle w:val="nzIndenti"/>
      </w:pPr>
      <w:r>
        <w:tab/>
        <w:t>(i)</w:t>
      </w:r>
      <w:r>
        <w:tab/>
        <w:t>the promotion, improvement and protection of public health in the State; and</w:t>
      </w:r>
    </w:p>
    <w:p>
      <w:pPr>
        <w:pStyle w:val="nzIndenti"/>
      </w:pPr>
      <w:r>
        <w:tab/>
        <w:t>(ii)</w:t>
      </w:r>
      <w:r>
        <w:tab/>
        <w:t>the development and delivery of public health services in the State;</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State and any other matters relating to public health risks in the State — </w:t>
      </w:r>
    </w:p>
    <w:p>
      <w:pPr>
        <w:pStyle w:val="nzIndenti"/>
      </w:pPr>
      <w:r>
        <w:tab/>
        <w:t>(i)</w:t>
      </w:r>
      <w:r>
        <w:tab/>
        <w:t>that the Chief Health Officer considers appropriate to include in the plan; or</w:t>
      </w:r>
    </w:p>
    <w:p>
      <w:pPr>
        <w:pStyle w:val="nzIndenti"/>
      </w:pPr>
      <w:r>
        <w:tab/>
        <w:t>(ii)</w:t>
      </w:r>
      <w:r>
        <w:tab/>
        <w:t>that are required to be included in the plan by the regulations.</w:t>
      </w:r>
    </w:p>
    <w:p>
      <w:pPr>
        <w:pStyle w:val="nzSubsection"/>
      </w:pPr>
      <w:r>
        <w:tab/>
        <w:t>(3)</w:t>
      </w:r>
      <w:r>
        <w:tab/>
        <w:t>The Chief Health Officer must review the State public health plan each year and may amend or replace it at any time.</w:t>
      </w:r>
    </w:p>
    <w:p>
      <w:pPr>
        <w:pStyle w:val="nzSubsection"/>
      </w:pPr>
      <w:r>
        <w:tab/>
        <w:t>(4)</w:t>
      </w:r>
      <w:r>
        <w:tab/>
        <w:t>Unless it is sooner replaced, the State public health plan must be replaced at the end of the period of 5 years after it was prepared.</w:t>
      </w:r>
    </w:p>
    <w:p>
      <w:pPr>
        <w:pStyle w:val="nzSubsection"/>
      </w:pPr>
      <w:r>
        <w:tab/>
        <w:t>(5)</w:t>
      </w:r>
      <w:r>
        <w:tab/>
        <w:t>The Chief Health Officer must prepare the first State public health plan not later than 12 months after this section comes into operation.</w:t>
      </w:r>
    </w:p>
    <w:p>
      <w:pPr>
        <w:pStyle w:val="nzHeading5"/>
      </w:pPr>
      <w:bookmarkStart w:id="1200" w:name="_Toc457218984"/>
      <w:bookmarkStart w:id="1201" w:name="_Toc457225537"/>
      <w:r>
        <w:rPr>
          <w:rStyle w:val="CharSectno"/>
        </w:rPr>
        <w:t>44</w:t>
      </w:r>
      <w:r>
        <w:t>.</w:t>
      </w:r>
      <w:r>
        <w:tab/>
        <w:t>Publication of current State public health plan</w:t>
      </w:r>
      <w:bookmarkEnd w:id="1200"/>
      <w:bookmarkEnd w:id="1201"/>
    </w:p>
    <w:p>
      <w:pPr>
        <w:pStyle w:val="nzSubsection"/>
      </w:pPr>
      <w:r>
        <w:tab/>
        <w:t>(1)</w:t>
      </w:r>
      <w:r>
        <w:tab/>
        <w:t>The Chief Health Officer must make the current State public health plan publicly available without charge.</w:t>
      </w:r>
    </w:p>
    <w:p>
      <w:pPr>
        <w:pStyle w:val="nz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nzSubsection"/>
      </w:pPr>
      <w:r>
        <w:tab/>
        <w:t>(3)</w:t>
      </w:r>
      <w:r>
        <w:tab/>
        <w:t>This section does not limit section 22(3)(b).</w:t>
      </w:r>
    </w:p>
    <w:p>
      <w:pPr>
        <w:pStyle w:val="nzHeading5"/>
      </w:pPr>
      <w:bookmarkStart w:id="1202" w:name="_Toc457218985"/>
      <w:bookmarkStart w:id="1203" w:name="_Toc457225538"/>
      <w:r>
        <w:rPr>
          <w:rStyle w:val="CharSectno"/>
        </w:rPr>
        <w:t>45</w:t>
      </w:r>
      <w:r>
        <w:t>.</w:t>
      </w:r>
      <w:r>
        <w:tab/>
        <w:t>Local public health plans</w:t>
      </w:r>
      <w:bookmarkEnd w:id="1202"/>
      <w:bookmarkEnd w:id="1203"/>
    </w:p>
    <w:p>
      <w:pPr>
        <w:pStyle w:val="nzSubsection"/>
      </w:pPr>
      <w:r>
        <w:tab/>
        <w:t>(1)</w:t>
      </w:r>
      <w:r>
        <w:tab/>
        <w:t xml:space="preserve">A local government must prepare a public health plan (a </w:t>
      </w:r>
      <w:r>
        <w:rPr>
          <w:rStyle w:val="CharDefText"/>
        </w:rPr>
        <w:t>local public health plan</w:t>
      </w:r>
      <w:r>
        <w:t>) that applies to its local government district.</w:t>
      </w:r>
    </w:p>
    <w:p>
      <w:pPr>
        <w:pStyle w:val="nzSubsection"/>
      </w:pPr>
      <w:r>
        <w:tab/>
        <w:t>(2)</w:t>
      </w:r>
      <w:r>
        <w:tab/>
        <w:t>A local public health plan must be consistent with the State public health plan.</w:t>
      </w:r>
    </w:p>
    <w:p>
      <w:pPr>
        <w:pStyle w:val="nz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nzSubsection"/>
      </w:pPr>
      <w:r>
        <w:tab/>
        <w:t>(4)</w:t>
      </w:r>
      <w:r>
        <w:tab/>
        <w:t xml:space="preserve">A local public health plan must — </w:t>
      </w:r>
    </w:p>
    <w:p>
      <w:pPr>
        <w:pStyle w:val="nzIndenta"/>
      </w:pPr>
      <w:r>
        <w:tab/>
        <w:t>(a)</w:t>
      </w:r>
      <w:r>
        <w:tab/>
        <w:t>identify the public health needs of the local government district; and</w:t>
      </w:r>
    </w:p>
    <w:p>
      <w:pPr>
        <w:pStyle w:val="nzIndenta"/>
      </w:pPr>
      <w:r>
        <w:tab/>
        <w:t>(b)</w:t>
      </w:r>
      <w:r>
        <w:tab/>
        <w:t>include an examination of data relating to health status and health determinants in the local government district; and</w:t>
      </w:r>
    </w:p>
    <w:p>
      <w:pPr>
        <w:pStyle w:val="nzIndenta"/>
      </w:pPr>
      <w:r>
        <w:tab/>
        <w:t>(c)</w:t>
      </w:r>
      <w:r>
        <w:tab/>
        <w:t xml:space="preserve">establish objectives and policy priorities for — </w:t>
      </w:r>
    </w:p>
    <w:p>
      <w:pPr>
        <w:pStyle w:val="nzIndenti"/>
      </w:pPr>
      <w:r>
        <w:tab/>
        <w:t>(i)</w:t>
      </w:r>
      <w:r>
        <w:tab/>
        <w:t>the promotion, improvement and protection of public health in the local government district; and</w:t>
      </w:r>
    </w:p>
    <w:p>
      <w:pPr>
        <w:pStyle w:val="nzIndenti"/>
      </w:pPr>
      <w:r>
        <w:tab/>
        <w:t>(ii)</w:t>
      </w:r>
      <w:r>
        <w:tab/>
        <w:t>the development and delivery of public health services in the local government district;</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nzIndenti"/>
      </w:pPr>
      <w:r>
        <w:tab/>
        <w:t>(i)</w:t>
      </w:r>
      <w:r>
        <w:tab/>
        <w:t>that the local government considers appropriate to include in the plan; or</w:t>
      </w:r>
    </w:p>
    <w:p>
      <w:pPr>
        <w:pStyle w:val="nzIndenti"/>
      </w:pPr>
      <w:r>
        <w:tab/>
        <w:t>(ii)</w:t>
      </w:r>
      <w:r>
        <w:tab/>
        <w:t>that are required to be included in the plan by the Chief Health Officer or the regulations;</w:t>
      </w:r>
    </w:p>
    <w:p>
      <w:pPr>
        <w:pStyle w:val="nzIndenta"/>
      </w:pPr>
      <w:r>
        <w:tab/>
      </w:r>
      <w:r>
        <w:tab/>
        <w:t>and</w:t>
      </w:r>
    </w:p>
    <w:p>
      <w:pPr>
        <w:pStyle w:val="nzIndenta"/>
      </w:pPr>
      <w:r>
        <w:tab/>
        <w:t>(g)</w:t>
      </w:r>
      <w:r>
        <w:tab/>
        <w:t>include a report, in accordance with the regulations, on the performance by the local government of its functions under this Act.</w:t>
      </w:r>
    </w:p>
    <w:p>
      <w:pPr>
        <w:pStyle w:val="nzSubsection"/>
      </w:pPr>
      <w:r>
        <w:tab/>
        <w:t>(5)</w:t>
      </w:r>
      <w:r>
        <w:tab/>
        <w:t>A local government must review its local public health plan each year and may amend or replace it at any time.</w:t>
      </w:r>
    </w:p>
    <w:p>
      <w:pPr>
        <w:pStyle w:val="nzSubsection"/>
      </w:pPr>
      <w:r>
        <w:tab/>
        <w:t>(6)</w:t>
      </w:r>
      <w:r>
        <w:tab/>
        <w:t>Unless it is sooner replaced, a local public health plan must be replaced at the end of the period of 5 years after it was prepared.</w:t>
      </w:r>
    </w:p>
    <w:p>
      <w:pPr>
        <w:pStyle w:val="nzSubsection"/>
      </w:pPr>
      <w:r>
        <w:tab/>
        <w:t>(7)</w:t>
      </w:r>
      <w:r>
        <w:tab/>
        <w:t>A local government must prepare its first local public health plan not later than 2 years after this section comes into operation.</w:t>
      </w:r>
    </w:p>
    <w:p>
      <w:pPr>
        <w:pStyle w:val="nzHeading5"/>
      </w:pPr>
      <w:bookmarkStart w:id="1204" w:name="_Toc457218986"/>
      <w:bookmarkStart w:id="1205" w:name="_Toc457225539"/>
      <w:r>
        <w:rPr>
          <w:rStyle w:val="CharSectno"/>
        </w:rPr>
        <w:t>46</w:t>
      </w:r>
      <w:r>
        <w:t>.</w:t>
      </w:r>
      <w:r>
        <w:tab/>
        <w:t>Publication of current local public health plans</w:t>
      </w:r>
      <w:bookmarkEnd w:id="1204"/>
      <w:bookmarkEnd w:id="1205"/>
    </w:p>
    <w:p>
      <w:pPr>
        <w:pStyle w:val="nzSubsection"/>
      </w:pPr>
      <w:r>
        <w:tab/>
        <w:t>(1)</w:t>
      </w:r>
      <w:r>
        <w:tab/>
        <w:t>A local government must make its current local public health plan publicly available without charge.</w:t>
      </w:r>
    </w:p>
    <w:p>
      <w:pPr>
        <w:pStyle w:val="nz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nzHeading5"/>
      </w:pPr>
      <w:bookmarkStart w:id="1206" w:name="_Toc457218987"/>
      <w:bookmarkStart w:id="1207" w:name="_Toc457225540"/>
      <w:r>
        <w:rPr>
          <w:rStyle w:val="CharSectno"/>
        </w:rPr>
        <w:t>47</w:t>
      </w:r>
      <w:r>
        <w:t>.</w:t>
      </w:r>
      <w:r>
        <w:tab/>
        <w:t>Provision of local public health plans to Chief Health Officer</w:t>
      </w:r>
      <w:bookmarkEnd w:id="1206"/>
      <w:bookmarkEnd w:id="1207"/>
    </w:p>
    <w:p>
      <w:pPr>
        <w:pStyle w:val="nzSubsection"/>
      </w:pPr>
      <w:r>
        <w:tab/>
        <w:t>(1)</w:t>
      </w:r>
      <w:r>
        <w:tab/>
        <w:t xml:space="preserve">The Chief Health Officer may, by notice in writing, direct a local government to provide the Chief Health Officer with all or any of the following — </w:t>
      </w:r>
    </w:p>
    <w:p>
      <w:pPr>
        <w:pStyle w:val="nzIndenta"/>
      </w:pPr>
      <w:r>
        <w:tab/>
        <w:t>(a)</w:t>
      </w:r>
      <w:r>
        <w:tab/>
        <w:t>a copy of the local government’s current local public health plan;</w:t>
      </w:r>
    </w:p>
    <w:p>
      <w:pPr>
        <w:pStyle w:val="nzIndenta"/>
      </w:pPr>
      <w:r>
        <w:tab/>
        <w:t>(b)</w:t>
      </w:r>
      <w:r>
        <w:tab/>
        <w:t>a copy of any amendments to the local government’s current local public health plan.</w:t>
      </w:r>
    </w:p>
    <w:p>
      <w:pPr>
        <w:pStyle w:val="nzSubsection"/>
      </w:pPr>
      <w:r>
        <w:tab/>
        <w:t>(2)</w:t>
      </w:r>
      <w:r>
        <w:tab/>
        <w:t xml:space="preserve">A notice under subsection (1) may — </w:t>
      </w:r>
    </w:p>
    <w:p>
      <w:pPr>
        <w:pStyle w:val="nzIndenta"/>
      </w:pPr>
      <w:r>
        <w:tab/>
        <w:t>(a)</w:t>
      </w:r>
      <w:r>
        <w:tab/>
        <w:t>direct a local government to supply a copy of a particular local public health plan or particular amendments to a plan; or</w:t>
      </w:r>
    </w:p>
    <w:p>
      <w:pPr>
        <w:pStyle w:val="nzIndenta"/>
      </w:pPr>
      <w:r>
        <w:tab/>
        <w:t>(b)</w:t>
      </w:r>
      <w:r>
        <w:tab/>
        <w:t>direct a local government to supply, on an ongoing basis, a copy of all local public health plans or amendments to plans prepared after a specific date; or</w:t>
      </w:r>
    </w:p>
    <w:p>
      <w:pPr>
        <w:pStyle w:val="nzIndenta"/>
      </w:pPr>
      <w:r>
        <w:tab/>
        <w:t>(c)</w:t>
      </w:r>
      <w:r>
        <w:tab/>
        <w:t>do both of those things.</w:t>
      </w:r>
    </w:p>
    <w:p>
      <w:pPr>
        <w:pStyle w:val="nzSubsection"/>
      </w:pPr>
      <w:r>
        <w:tab/>
        <w:t>(3)</w:t>
      </w:r>
      <w:r>
        <w:tab/>
        <w:t>A direction under subsection (1) to a local government must specify a time frame for compliance with the direction, and the local government must comply with the direction within that time frame.</w:t>
      </w:r>
    </w:p>
    <w:p>
      <w:pPr>
        <w:pStyle w:val="nzSubsection"/>
      </w:pPr>
      <w:r>
        <w:tab/>
        <w:t>(4)</w:t>
      </w:r>
      <w:r>
        <w:tab/>
        <w:t>The Chief Health Officer may at any time, by notice in writing, amend or revoke a direction given under subsection (1).</w:t>
      </w:r>
    </w:p>
    <w:p>
      <w:pPr>
        <w:pStyle w:val="nzHeading2"/>
      </w:pPr>
      <w:bookmarkStart w:id="1208" w:name="_Toc436298813"/>
      <w:bookmarkStart w:id="1209" w:name="_Toc436299683"/>
      <w:bookmarkStart w:id="1210" w:name="_Toc436302199"/>
      <w:bookmarkStart w:id="1211" w:name="_Toc455145438"/>
      <w:bookmarkStart w:id="1212" w:name="_Toc455150170"/>
      <w:bookmarkStart w:id="1213" w:name="_Toc455748326"/>
      <w:bookmarkStart w:id="1214" w:name="_Toc457218988"/>
      <w:bookmarkStart w:id="1215" w:name="_Toc457225541"/>
      <w:bookmarkStart w:id="1216" w:name="_Toc402269040"/>
      <w:bookmarkStart w:id="1217" w:name="_Toc402269419"/>
      <w:bookmarkStart w:id="1218" w:name="_Toc402273688"/>
      <w:bookmarkStart w:id="1219" w:name="_Toc402274538"/>
      <w:bookmarkStart w:id="1220" w:name="_Toc402278933"/>
      <w:bookmarkStart w:id="1221" w:name="_Toc402279312"/>
      <w:bookmarkStart w:id="1222" w:name="_Toc402344665"/>
      <w:bookmarkStart w:id="1223" w:name="_Toc402419586"/>
      <w:bookmarkStart w:id="1224" w:name="_Toc403034638"/>
      <w:bookmarkStart w:id="1225" w:name="_Toc403036009"/>
      <w:bookmarkStart w:id="1226" w:name="_Toc403468217"/>
      <w:bookmarkStart w:id="1227" w:name="_Toc404169626"/>
      <w:bookmarkStart w:id="1228" w:name="_Toc404172298"/>
      <w:bookmarkStart w:id="1229" w:name="_Toc404178241"/>
      <w:r>
        <w:rPr>
          <w:rStyle w:val="CharPartNo"/>
        </w:rPr>
        <w:t>Part 6</w:t>
      </w:r>
      <w:r>
        <w:rPr>
          <w:rStyle w:val="CharDivNo"/>
        </w:rPr>
        <w:t> </w:t>
      </w:r>
      <w:r>
        <w:t>—</w:t>
      </w:r>
      <w:r>
        <w:rPr>
          <w:rStyle w:val="CharDivText"/>
        </w:rPr>
        <w:t> </w:t>
      </w:r>
      <w:r>
        <w:rPr>
          <w:rStyle w:val="CharPartText"/>
        </w:rPr>
        <w:t>Public health policies</w:t>
      </w:r>
      <w:bookmarkEnd w:id="1208"/>
      <w:bookmarkEnd w:id="1209"/>
      <w:bookmarkEnd w:id="1210"/>
      <w:bookmarkEnd w:id="1211"/>
      <w:bookmarkEnd w:id="1212"/>
      <w:bookmarkEnd w:id="1213"/>
      <w:bookmarkEnd w:id="1214"/>
      <w:bookmarkEnd w:id="1215"/>
    </w:p>
    <w:p>
      <w:pPr>
        <w:pStyle w:val="nzHeading5"/>
      </w:pPr>
      <w:bookmarkStart w:id="1230" w:name="_Toc457218989"/>
      <w:bookmarkStart w:id="1231" w:name="_Toc457225542"/>
      <w:r>
        <w:rPr>
          <w:rStyle w:val="CharSectno"/>
        </w:rPr>
        <w:t>48</w:t>
      </w:r>
      <w:r>
        <w:t>.</w:t>
      </w:r>
      <w:r>
        <w:tab/>
        <w:t>Minister may issue public health policies</w:t>
      </w:r>
      <w:bookmarkEnd w:id="1230"/>
      <w:bookmarkEnd w:id="1231"/>
    </w:p>
    <w:p>
      <w:pPr>
        <w:pStyle w:val="nzSubsection"/>
      </w:pPr>
      <w:r>
        <w:tab/>
        <w:t>(1)</w:t>
      </w:r>
      <w:r>
        <w:tab/>
        <w:t>The Minister may issue public health policies for any purposes relating to the objects of this Act.</w:t>
      </w:r>
    </w:p>
    <w:p>
      <w:pPr>
        <w:pStyle w:val="nzSubsection"/>
      </w:pPr>
      <w:r>
        <w:tab/>
        <w:t>(2)</w:t>
      </w:r>
      <w:r>
        <w:tab/>
        <w:t xml:space="preserve">A public health policy may be issued only if — </w:t>
      </w:r>
    </w:p>
    <w:p>
      <w:pPr>
        <w:pStyle w:val="nzIndenta"/>
      </w:pPr>
      <w:r>
        <w:tab/>
        <w:t>(a)</w:t>
      </w:r>
      <w:r>
        <w:tab/>
        <w:t>sections 49, 50 and 52 have been complied with in relation to a draft of the public health policy; and</w:t>
      </w:r>
    </w:p>
    <w:p>
      <w:pPr>
        <w:pStyle w:val="nzIndenta"/>
      </w:pPr>
      <w:r>
        <w:tab/>
        <w:t>(b)</w:t>
      </w:r>
      <w:r>
        <w:tab/>
        <w:t>the Chief Health Officer has recommended under section 52(2)(d) that the public health policy be issued.</w:t>
      </w:r>
    </w:p>
    <w:p>
      <w:pPr>
        <w:pStyle w:val="nzHeading5"/>
      </w:pPr>
      <w:bookmarkStart w:id="1232" w:name="_Toc457218990"/>
      <w:bookmarkStart w:id="1233" w:name="_Toc457225543"/>
      <w:r>
        <w:rPr>
          <w:rStyle w:val="CharSectno"/>
        </w:rPr>
        <w:t>49</w:t>
      </w:r>
      <w:r>
        <w:t>.</w:t>
      </w:r>
      <w:r>
        <w:tab/>
        <w:t>Chief Health Officer may prepare and publish draft public health policies</w:t>
      </w:r>
      <w:bookmarkEnd w:id="1232"/>
      <w:bookmarkEnd w:id="1233"/>
    </w:p>
    <w:p>
      <w:pPr>
        <w:pStyle w:val="nzSubsection"/>
      </w:pPr>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p>
    <w:p>
      <w:pPr>
        <w:pStyle w:val="nzSubsection"/>
      </w:pPr>
      <w:r>
        <w:tab/>
        <w:t>(2)</w:t>
      </w:r>
      <w:r>
        <w:tab/>
        <w:t xml:space="preserve">The Chief Health Officer must give public notice of the proposal to issue the public health policy, and the notice must — </w:t>
      </w:r>
    </w:p>
    <w:p>
      <w:pPr>
        <w:pStyle w:val="nzIndenta"/>
      </w:pPr>
      <w:r>
        <w:tab/>
        <w:t>(a)</w:t>
      </w:r>
      <w:r>
        <w:tab/>
        <w:t>contain information about the draft policy; and</w:t>
      </w:r>
    </w:p>
    <w:p>
      <w:pPr>
        <w:pStyle w:val="nzIndenta"/>
      </w:pPr>
      <w:r>
        <w:tab/>
        <w:t>(b)</w:t>
      </w:r>
      <w:r>
        <w:tab/>
        <w:t>specify where copies of the draft policy are available without charge; and</w:t>
      </w:r>
    </w:p>
    <w:p>
      <w:pPr>
        <w:pStyle w:val="nzIndenta"/>
      </w:pPr>
      <w:r>
        <w:tab/>
        <w:t>(c)</w:t>
      </w:r>
      <w:r>
        <w:tab/>
        <w:t>invite interested persons to make submissions to the Chief Health Officer on the draft policy within a period specified in the notice; and</w:t>
      </w:r>
    </w:p>
    <w:p>
      <w:pPr>
        <w:pStyle w:val="nzIndenta"/>
      </w:pPr>
      <w:r>
        <w:tab/>
        <w:t>(d)</w:t>
      </w:r>
      <w:r>
        <w:tab/>
        <w:t>specify how those submissions may be made.</w:t>
      </w:r>
    </w:p>
    <w:p>
      <w:pPr>
        <w:pStyle w:val="nzSubsection"/>
      </w:pPr>
      <w:r>
        <w:tab/>
        <w:t>(3)</w:t>
      </w:r>
      <w:r>
        <w:tab/>
        <w:t>The notice required by subsection (2) may be published in any way the Chief Health Officer considers appropriate, including (without limitation) by posting the notice on a website maintained by or on behalf of the Department.</w:t>
      </w:r>
    </w:p>
    <w:p>
      <w:pPr>
        <w:pStyle w:val="nzHeading5"/>
      </w:pPr>
      <w:bookmarkStart w:id="1234" w:name="_Toc457218991"/>
      <w:bookmarkStart w:id="1235" w:name="_Toc457225544"/>
      <w:r>
        <w:rPr>
          <w:rStyle w:val="CharSectno"/>
        </w:rPr>
        <w:t>50</w:t>
      </w:r>
      <w:r>
        <w:t>.</w:t>
      </w:r>
      <w:r>
        <w:tab/>
        <w:t>Chief Health Officer to consult on proposal to issue public health policy</w:t>
      </w:r>
      <w:bookmarkEnd w:id="1234"/>
      <w:bookmarkEnd w:id="1235"/>
    </w:p>
    <w:p>
      <w:pPr>
        <w:pStyle w:val="nzSubsection"/>
      </w:pPr>
      <w:r>
        <w:tab/>
        <w:t>(1)</w:t>
      </w:r>
      <w:r>
        <w:tab/>
        <w:t>The Chief Health Officer must make reasonable efforts to consult any public authority or other person or body that the Chief Health Officer considers may be affected if the draft policy becomes a public health policy under this Part.</w:t>
      </w:r>
    </w:p>
    <w:p>
      <w:pPr>
        <w:pStyle w:val="nzSubsection"/>
      </w:pPr>
      <w:r>
        <w:tab/>
        <w:t>(2)</w:t>
      </w:r>
      <w:r>
        <w:tab/>
        <w:t>Consultation may be undertaken in any way that the Chief Health Officer considers appropriate in the circumstances, having regard to the number of persons or bodies considered likely to be affected as described in subsection (1).</w:t>
      </w:r>
    </w:p>
    <w:p>
      <w:pPr>
        <w:pStyle w:val="nzHeading5"/>
      </w:pPr>
      <w:bookmarkStart w:id="1236" w:name="_Toc457218992"/>
      <w:bookmarkStart w:id="1237" w:name="_Toc457225545"/>
      <w:r>
        <w:rPr>
          <w:rStyle w:val="CharSectno"/>
        </w:rPr>
        <w:t>51</w:t>
      </w:r>
      <w:r>
        <w:t>.</w:t>
      </w:r>
      <w:r>
        <w:tab/>
        <w:t>Submissions may be made to Chief Health Officer</w:t>
      </w:r>
      <w:bookmarkEnd w:id="1236"/>
      <w:bookmarkEnd w:id="1237"/>
    </w:p>
    <w:p>
      <w:pPr>
        <w:pStyle w:val="nzSubsection"/>
      </w:pPr>
      <w:r>
        <w:tab/>
      </w:r>
      <w:r>
        <w:tab/>
        <w:t>A person may make submissions to the Chief Health Officer, in the manner and within the period specified in the relevant notice required by section 49(2), in relation to the draft policy to which that notice relates.</w:t>
      </w:r>
    </w:p>
    <w:p>
      <w:pPr>
        <w:pStyle w:val="nzHeading5"/>
      </w:pPr>
      <w:bookmarkStart w:id="1238" w:name="_Toc457218993"/>
      <w:bookmarkStart w:id="1239" w:name="_Toc457225546"/>
      <w:r>
        <w:rPr>
          <w:rStyle w:val="CharSectno"/>
        </w:rPr>
        <w:t>52</w:t>
      </w:r>
      <w:r>
        <w:t>.</w:t>
      </w:r>
      <w:r>
        <w:tab/>
        <w:t>Chief Health Officer to report to Minister on outcome of consultation on draft policy</w:t>
      </w:r>
      <w:bookmarkEnd w:id="1238"/>
      <w:bookmarkEnd w:id="1239"/>
    </w:p>
    <w:p>
      <w:pPr>
        <w:pStyle w:val="nzSubsection"/>
      </w:pPr>
      <w:r>
        <w:tab/>
        <w:t>(1)</w:t>
      </w:r>
      <w:r>
        <w:tab/>
        <w:t xml:space="preserve">After the end of the period for making submissions under section 49 in relation to a draft policy, the Chief Health Officer — </w:t>
      </w:r>
    </w:p>
    <w:p>
      <w:pPr>
        <w:pStyle w:val="nzIndenta"/>
      </w:pPr>
      <w:r>
        <w:tab/>
        <w:t>(a)</w:t>
      </w:r>
      <w:r>
        <w:tab/>
        <w:t>must consider any submissions made during that period and any views expressed by a public authority, person or body consulted under section 50; and</w:t>
      </w:r>
    </w:p>
    <w:p>
      <w:pPr>
        <w:pStyle w:val="nzIndenta"/>
      </w:pPr>
      <w:r>
        <w:tab/>
        <w:t>(b)</w:t>
      </w:r>
      <w:r>
        <w:tab/>
        <w:t xml:space="preserve">may — </w:t>
      </w:r>
    </w:p>
    <w:p>
      <w:pPr>
        <w:pStyle w:val="nzIndenti"/>
      </w:pPr>
      <w:r>
        <w:tab/>
        <w:t>(i)</w:t>
      </w:r>
      <w:r>
        <w:tab/>
        <w:t>decide to recommend to the Minister that the draft policy be issued as a public health policy without revision; or</w:t>
      </w:r>
    </w:p>
    <w:p>
      <w:pPr>
        <w:pStyle w:val="nzIndenti"/>
      </w:pPr>
      <w:r>
        <w:tab/>
        <w:t>(ii)</w:t>
      </w:r>
      <w:r>
        <w:tab/>
        <w:t>revise the draft policy to any extent the Chief Health Officer considers appropriate, and decide to recommend to the Minister that the draft policy (as revised) be issued as a public health policy; or</w:t>
      </w:r>
    </w:p>
    <w:p>
      <w:pPr>
        <w:pStyle w:val="nzIndenti"/>
      </w:pPr>
      <w:r>
        <w:tab/>
        <w:t>(iii)</w:t>
      </w:r>
      <w:r>
        <w:tab/>
        <w:t>decide not to recommend to the Minister that the draft policy (whether revised or not) be issued as a public health policy.</w:t>
      </w:r>
    </w:p>
    <w:p>
      <w:pPr>
        <w:pStyle w:val="nzSubsection"/>
      </w:pPr>
      <w:r>
        <w:tab/>
        <w:t>(2)</w:t>
      </w:r>
      <w:r>
        <w:tab/>
        <w:t xml:space="preserve">After deciding what to do under subsection (1)(b), the Chief Health Officer must submit a report to the Minister that contains — </w:t>
      </w:r>
    </w:p>
    <w:p>
      <w:pPr>
        <w:pStyle w:val="nzIndenta"/>
      </w:pPr>
      <w:r>
        <w:tab/>
        <w:t>(a)</w:t>
      </w:r>
      <w:r>
        <w:tab/>
        <w:t>a summary of the consultation undertaken by the Chief Health Officer under section 50 in relation to the draft policy; and</w:t>
      </w:r>
    </w:p>
    <w:p>
      <w:pPr>
        <w:pStyle w:val="nzIndenta"/>
      </w:pPr>
      <w:r>
        <w:tab/>
        <w:t>(b)</w:t>
      </w:r>
      <w:r>
        <w:tab/>
        <w:t>a summary of the submissions made to the Chief Health Officer under section 51 on the draft policy; and</w:t>
      </w:r>
    </w:p>
    <w:p>
      <w:pPr>
        <w:pStyle w:val="nzIndenta"/>
      </w:pPr>
      <w:r>
        <w:tab/>
        <w:t>(c)</w:t>
      </w:r>
      <w:r>
        <w:tab/>
        <w:t>the Chief Health Officer’s decision under subsection (1)(b); and</w:t>
      </w:r>
    </w:p>
    <w:p>
      <w:pPr>
        <w:pStyle w:val="nzIndenta"/>
      </w:pPr>
      <w:r>
        <w:tab/>
        <w:t>(d)</w:t>
      </w:r>
      <w:r>
        <w:tab/>
        <w:t xml:space="preserve">if the decision of the Chief Health Officer is to recommend to the Minister that the draft policy (whether revised under subsection (1)(b)(ii) or not) be issued as a public health policy — </w:t>
      </w:r>
    </w:p>
    <w:p>
      <w:pPr>
        <w:pStyle w:val="nzIndenti"/>
      </w:pPr>
      <w:r>
        <w:tab/>
        <w:t>(i)</w:t>
      </w:r>
      <w:r>
        <w:tab/>
        <w:t>the Chief Health Officer’s recommendation; and</w:t>
      </w:r>
    </w:p>
    <w:p>
      <w:pPr>
        <w:pStyle w:val="nzIndenti"/>
      </w:pPr>
      <w:r>
        <w:tab/>
        <w:t>(ii)</w:t>
      </w:r>
      <w:r>
        <w:tab/>
        <w:t>a copy of the draft policy (as revised, if applicable) that the Chief Health Officer recommends be issued as a public health policy; and</w:t>
      </w:r>
    </w:p>
    <w:p>
      <w:pPr>
        <w:pStyle w:val="nzIndenti"/>
      </w:pPr>
      <w:r>
        <w:tab/>
        <w:t>(iii)</w:t>
      </w:r>
      <w:r>
        <w:tab/>
        <w:t>if the Chief Health Officer has revised the draft policy recommended, the reasons for the revision.</w:t>
      </w:r>
    </w:p>
    <w:p>
      <w:pPr>
        <w:pStyle w:val="nzSubsection"/>
      </w:pPr>
      <w:r>
        <w:tab/>
        <w:t>(3)</w:t>
      </w:r>
      <w:r>
        <w:tab/>
        <w:t>Nothing in this section prevents the Chief Health Officer from consulting any public authority, body or person in relation to a draft policy revised under subsection (1)(b)(ii) before submitting the report to the Minister.</w:t>
      </w:r>
    </w:p>
    <w:p>
      <w:pPr>
        <w:pStyle w:val="nzHeading5"/>
      </w:pPr>
      <w:bookmarkStart w:id="1240" w:name="_Toc457218994"/>
      <w:bookmarkStart w:id="1241" w:name="_Toc457225547"/>
      <w:r>
        <w:rPr>
          <w:rStyle w:val="CharSectno"/>
        </w:rPr>
        <w:t>53</w:t>
      </w:r>
      <w:r>
        <w:t>.</w:t>
      </w:r>
      <w:r>
        <w:tab/>
        <w:t>Tabling of reports and public health policies</w:t>
      </w:r>
      <w:bookmarkEnd w:id="1240"/>
      <w:bookmarkEnd w:id="1241"/>
    </w:p>
    <w:p>
      <w:pPr>
        <w:pStyle w:val="nzSubsection"/>
      </w:pPr>
      <w:r>
        <w:tab/>
        <w:t>(1)</w:t>
      </w:r>
      <w:r>
        <w:tab/>
        <w:t>The Minister must cause a copy of a report submitted to the Minister by the Chief Health Officer under section 52(2) to be laid before each House of Parliament as soon as is practicable after the Minister receives the report.</w:t>
      </w:r>
    </w:p>
    <w:p>
      <w:pPr>
        <w:pStyle w:val="nzSubsection"/>
      </w:pPr>
      <w:r>
        <w:tab/>
        <w:t>(2)</w:t>
      </w:r>
      <w:r>
        <w:tab/>
        <w:t>The Minister must cause a copy of a public health policy issued under this Part to be laid before each House of Parliament as soon as is practicable after the policy is issued.</w:t>
      </w:r>
    </w:p>
    <w:p>
      <w:pPr>
        <w:pStyle w:val="nzHeading5"/>
      </w:pPr>
      <w:bookmarkStart w:id="1242" w:name="_Toc457218995"/>
      <w:bookmarkStart w:id="1243" w:name="_Toc457225548"/>
      <w:r>
        <w:rPr>
          <w:rStyle w:val="CharSectno"/>
        </w:rPr>
        <w:t>54</w:t>
      </w:r>
      <w:r>
        <w:t>.</w:t>
      </w:r>
      <w:r>
        <w:tab/>
        <w:t>Publication of reports and public health policies</w:t>
      </w:r>
      <w:bookmarkEnd w:id="1242"/>
      <w:bookmarkEnd w:id="1243"/>
    </w:p>
    <w:p>
      <w:pPr>
        <w:pStyle w:val="nzSubsection"/>
      </w:pPr>
      <w:r>
        <w:tab/>
        <w:t>(1)</w:t>
      </w:r>
      <w:r>
        <w:tab/>
        <w:t xml:space="preserve">The Chief Health Officer must make the following publicly available without charge — </w:t>
      </w:r>
    </w:p>
    <w:p>
      <w:pPr>
        <w:pStyle w:val="nzIndenta"/>
      </w:pPr>
      <w:r>
        <w:tab/>
        <w:t>(a)</w:t>
      </w:r>
      <w:r>
        <w:tab/>
        <w:t>reports submitted to the Minister by the Chief Health Officer under section 52(2);</w:t>
      </w:r>
    </w:p>
    <w:p>
      <w:pPr>
        <w:pStyle w:val="nzIndenta"/>
      </w:pPr>
      <w:r>
        <w:tab/>
        <w:t>(b)</w:t>
      </w:r>
      <w:r>
        <w:tab/>
        <w:t>current public health policies issued under section 48.</w:t>
      </w:r>
    </w:p>
    <w:p>
      <w:pPr>
        <w:pStyle w:val="nzSubsection"/>
      </w:pPr>
      <w:r>
        <w:tab/>
        <w:t>(2)</w:t>
      </w:r>
      <w:r>
        <w:tab/>
        <w:t>The Chief Health Officer may comply with subsection (1) in any way the Chief Health Officer considers appropriate, including (without limitation) by making the documents available on a website maintained by or on behalf of the Department.</w:t>
      </w:r>
    </w:p>
    <w:p>
      <w:pPr>
        <w:pStyle w:val="nzHeading5"/>
      </w:pPr>
      <w:bookmarkStart w:id="1244" w:name="_Toc457218996"/>
      <w:bookmarkStart w:id="1245" w:name="_Toc457225549"/>
      <w:r>
        <w:rPr>
          <w:rStyle w:val="CharSectno"/>
        </w:rPr>
        <w:t>55</w:t>
      </w:r>
      <w:r>
        <w:t>.</w:t>
      </w:r>
      <w:r>
        <w:tab/>
        <w:t xml:space="preserve">Application of </w:t>
      </w:r>
      <w:r>
        <w:rPr>
          <w:i/>
        </w:rPr>
        <w:t>Interpretation Act 1984</w:t>
      </w:r>
      <w:r>
        <w:t xml:space="preserve"> to public health policies</w:t>
      </w:r>
      <w:bookmarkEnd w:id="1244"/>
      <w:bookmarkEnd w:id="1245"/>
    </w:p>
    <w:p>
      <w:pPr>
        <w:pStyle w:val="nzSubsection"/>
      </w:pPr>
      <w:r>
        <w:tab/>
        <w:t>(1)</w:t>
      </w:r>
      <w:r>
        <w:tab/>
        <w:t xml:space="preserve">A public health policy is not subsidiary legislation for the purposes of the </w:t>
      </w:r>
      <w:r>
        <w:rPr>
          <w:i/>
        </w:rPr>
        <w:t>Interpretation Act 1984</w:t>
      </w:r>
      <w:r>
        <w:t>.</w:t>
      </w:r>
    </w:p>
    <w:p>
      <w:pPr>
        <w:pStyle w:val="nzSubsection"/>
      </w:pPr>
      <w:r>
        <w:tab/>
        <w:t>(2)</w:t>
      </w:r>
      <w:r>
        <w:tab/>
        <w:t xml:space="preserve">The </w:t>
      </w:r>
      <w:r>
        <w:rPr>
          <w:i/>
        </w:rPr>
        <w:t>Interpretation Act 1984</w:t>
      </w:r>
      <w:r>
        <w:t xml:space="preserve"> sections 43 (other than subsection (6)) and 44 and Part VIII apply to a public health policy as if it were subsidiary legislation.</w:t>
      </w:r>
    </w:p>
    <w:p>
      <w:pPr>
        <w:pStyle w:val="nzHeading5"/>
      </w:pPr>
      <w:bookmarkStart w:id="1246" w:name="_Toc457218997"/>
      <w:bookmarkStart w:id="1247" w:name="_Toc457225550"/>
      <w:r>
        <w:rPr>
          <w:rStyle w:val="CharSectno"/>
        </w:rPr>
        <w:t>56</w:t>
      </w:r>
      <w:r>
        <w:t>.</w:t>
      </w:r>
      <w:r>
        <w:tab/>
        <w:t>Power to make regulations not limited</w:t>
      </w:r>
      <w:bookmarkEnd w:id="1246"/>
      <w:bookmarkEnd w:id="1247"/>
    </w:p>
    <w:p>
      <w:pPr>
        <w:pStyle w:val="nzSubsection"/>
      </w:pPr>
      <w:r>
        <w:tab/>
      </w:r>
      <w:r>
        <w:tab/>
        <w:t>Nothing in this Part or in any public health policy limits or affects the power to make regulations under section 304 or 322.</w:t>
      </w:r>
    </w:p>
    <w:p>
      <w:pPr>
        <w:pStyle w:val="nzHeading2"/>
      </w:pPr>
      <w:bookmarkStart w:id="1248" w:name="_Toc436298816"/>
      <w:bookmarkStart w:id="1249" w:name="_Toc436299693"/>
      <w:bookmarkStart w:id="1250" w:name="_Toc436302209"/>
      <w:bookmarkStart w:id="1251" w:name="_Toc455145448"/>
      <w:bookmarkStart w:id="1252" w:name="_Toc455150180"/>
      <w:bookmarkStart w:id="1253" w:name="_Toc455748336"/>
      <w:bookmarkStart w:id="1254" w:name="_Toc457218998"/>
      <w:bookmarkStart w:id="1255" w:name="_Toc457225551"/>
      <w:r>
        <w:rPr>
          <w:rStyle w:val="CharPartNo"/>
        </w:rPr>
        <w:t>Part 7</w:t>
      </w:r>
      <w:r>
        <w:rPr>
          <w:rStyle w:val="CharDivNo"/>
        </w:rPr>
        <w:t> </w:t>
      </w:r>
      <w:r>
        <w:t>—</w:t>
      </w:r>
      <w:r>
        <w:rPr>
          <w:rStyle w:val="CharDivText"/>
        </w:rPr>
        <w:t> </w:t>
      </w:r>
      <w:r>
        <w:rPr>
          <w:rStyle w:val="CharPartText"/>
        </w:rPr>
        <w:t>Public health assessments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48"/>
      <w:bookmarkEnd w:id="1249"/>
      <w:bookmarkEnd w:id="1250"/>
      <w:bookmarkEnd w:id="1251"/>
      <w:bookmarkEnd w:id="1252"/>
      <w:bookmarkEnd w:id="1253"/>
      <w:bookmarkEnd w:id="1254"/>
      <w:bookmarkEnd w:id="1255"/>
    </w:p>
    <w:p>
      <w:pPr>
        <w:pStyle w:val="nzHeading5"/>
      </w:pPr>
      <w:bookmarkStart w:id="1256" w:name="_Toc457218999"/>
      <w:bookmarkStart w:id="1257" w:name="_Toc457225552"/>
      <w:r>
        <w:rPr>
          <w:rStyle w:val="CharSectno"/>
        </w:rPr>
        <w:t>57</w:t>
      </w:r>
      <w:r>
        <w:t>.</w:t>
      </w:r>
      <w:r>
        <w:tab/>
        <w:t>Terms used</w:t>
      </w:r>
      <w:bookmarkEnd w:id="1256"/>
      <w:bookmarkEnd w:id="1257"/>
    </w:p>
    <w:p>
      <w:pPr>
        <w:pStyle w:val="nzSubsection"/>
      </w:pPr>
      <w:r>
        <w:tab/>
      </w:r>
      <w:r>
        <w:tab/>
        <w:t xml:space="preserve">In this Part — </w:t>
      </w:r>
    </w:p>
    <w:p>
      <w:pPr>
        <w:pStyle w:val="nzDefstart"/>
      </w:pPr>
      <w:r>
        <w:rPr>
          <w:b/>
        </w:rPr>
        <w:tab/>
      </w:r>
      <w:r>
        <w:rPr>
          <w:rStyle w:val="CharDefText"/>
        </w:rPr>
        <w:t>assessable proposal</w:t>
      </w:r>
      <w:r>
        <w:t xml:space="preserve"> means a proposal that the regulations provide is an assessable proposal;</w:t>
      </w:r>
    </w:p>
    <w:p>
      <w:pPr>
        <w:pStyle w:val="nzDefstart"/>
        <w:keepNext/>
      </w:pPr>
      <w:r>
        <w:rPr>
          <w:b/>
        </w:rPr>
        <w:tab/>
      </w:r>
      <w:r>
        <w:rPr>
          <w:rStyle w:val="CharDefText"/>
        </w:rPr>
        <w:t>decision</w:t>
      </w:r>
      <w:r>
        <w:rPr>
          <w:rStyle w:val="CharDefText"/>
        </w:rPr>
        <w:noBreakHyphen/>
        <w:t>making authority</w:t>
      </w:r>
      <w:r>
        <w:t xml:space="preserve"> — </w:t>
      </w:r>
    </w:p>
    <w:p>
      <w:pPr>
        <w:pStyle w:val="nzDefpara"/>
      </w:pPr>
      <w:r>
        <w:tab/>
        <w:t>(a)</w:t>
      </w:r>
      <w:r>
        <w:tab/>
        <w:t>means a public authority authorised by or under a written law to make a decision in respect of an assessment, approval, review or other process to which a proposal is subject under the written law; and</w:t>
      </w:r>
    </w:p>
    <w:p>
      <w:pPr>
        <w:pStyle w:val="nzDefpara"/>
      </w:pPr>
      <w:r>
        <w:tab/>
        <w:t>(b)</w:t>
      </w:r>
      <w:r>
        <w:tab/>
        <w:t>includes, in relation to a particular proposal, a Minister prescribed by the regulations for the purposes of this definition as being the Minister responsible for the proposal;</w:t>
      </w:r>
    </w:p>
    <w:p>
      <w:pPr>
        <w:pStyle w:val="nzDefstart"/>
      </w:pPr>
      <w:r>
        <w:rPr>
          <w:b/>
        </w:rPr>
        <w:tab/>
      </w:r>
      <w:r>
        <w:rPr>
          <w:rStyle w:val="CharDefText"/>
        </w:rPr>
        <w:t>findings</w:t>
      </w:r>
      <w:r>
        <w:t xml:space="preserve"> includes conclusions and recommendations and, in relation to recommendations, the reasons for them;</w:t>
      </w:r>
    </w:p>
    <w:p>
      <w:pPr>
        <w:pStyle w:val="nzDefstart"/>
      </w:pPr>
      <w:r>
        <w:rPr>
          <w:b/>
        </w:rPr>
        <w:tab/>
      </w:r>
      <w:r>
        <w:rPr>
          <w:rStyle w:val="CharDefText"/>
        </w:rPr>
        <w:t>proponent</w:t>
      </w:r>
      <w:r>
        <w:t xml:space="preserve">, of a proposal, means — </w:t>
      </w:r>
    </w:p>
    <w:p>
      <w:pPr>
        <w:pStyle w:val="nzDefpara"/>
      </w:pPr>
      <w:r>
        <w:tab/>
        <w:t>(a)</w:t>
      </w:r>
      <w:r>
        <w:tab/>
        <w:t>the person responsible for the proposal; or</w:t>
      </w:r>
    </w:p>
    <w:p>
      <w:pPr>
        <w:pStyle w:val="nzDefpara"/>
      </w:pPr>
      <w:r>
        <w:tab/>
        <w:t>(b)</w:t>
      </w:r>
      <w:r>
        <w:tab/>
        <w:t>the public authority on which the responsibility for the proposal is imposed under another written law;</w:t>
      </w:r>
    </w:p>
    <w:p>
      <w:pPr>
        <w:pStyle w:val="nzDefstart"/>
      </w:pPr>
      <w:r>
        <w:rPr>
          <w:b/>
        </w:rPr>
        <w:tab/>
      </w:r>
      <w:r>
        <w:rPr>
          <w:rStyle w:val="CharDefText"/>
        </w:rPr>
        <w:t>proposal</w:t>
      </w:r>
      <w:r>
        <w:t xml:space="preserve"> means a project, plan, programme, policy, operation, undertaking or development;</w:t>
      </w:r>
    </w:p>
    <w:p>
      <w:pPr>
        <w:pStyle w:val="nzDefstart"/>
      </w:pPr>
      <w:r>
        <w:rPr>
          <w:b/>
        </w:rPr>
        <w:tab/>
      </w:r>
      <w:r>
        <w:rPr>
          <w:rStyle w:val="CharDefText"/>
        </w:rPr>
        <w:t>public health assessment</w:t>
      </w:r>
      <w:r>
        <w:t>, in relation to a proposal, means an assessment of any public health risks and any benefits to public health that may result from implementing the proposal.</w:t>
      </w:r>
    </w:p>
    <w:p>
      <w:pPr>
        <w:pStyle w:val="nzHeading5"/>
      </w:pPr>
      <w:bookmarkStart w:id="1258" w:name="_Toc457219000"/>
      <w:bookmarkStart w:id="1259" w:name="_Toc457225553"/>
      <w:r>
        <w:rPr>
          <w:rStyle w:val="CharSectno"/>
        </w:rPr>
        <w:t>58</w:t>
      </w:r>
      <w:r>
        <w:t>.</w:t>
      </w:r>
      <w:r>
        <w:tab/>
        <w:t>Regulations may provide for assessable proposals</w:t>
      </w:r>
      <w:bookmarkEnd w:id="1258"/>
      <w:bookmarkEnd w:id="1259"/>
    </w:p>
    <w:p>
      <w:pPr>
        <w:pStyle w:val="nzSubsection"/>
      </w:pPr>
      <w:r>
        <w:tab/>
      </w:r>
      <w:r>
        <w:tab/>
        <w:t xml:space="preserve">The regulations may — </w:t>
      </w:r>
    </w:p>
    <w:p>
      <w:pPr>
        <w:pStyle w:val="nzIndenta"/>
      </w:pPr>
      <w:r>
        <w:tab/>
        <w:t>(a)</w:t>
      </w:r>
      <w:r>
        <w:tab/>
        <w:t>provide that a proposal that is subject under another written law to a specified assessment, approval, review or other process by a decision</w:t>
      </w:r>
      <w:r>
        <w:noBreakHyphen/>
        <w:t>making authority is an assessable proposal; and</w:t>
      </w:r>
    </w:p>
    <w:p>
      <w:pPr>
        <w:pStyle w:val="nzIndenta"/>
      </w:pPr>
      <w:r>
        <w:tab/>
        <w:t>(b)</w:t>
      </w:r>
      <w:r>
        <w:tab/>
        <w:t>require the proponent of an assessable proposal to give notice of the proposal to the Chief Health Officer; and</w:t>
      </w:r>
    </w:p>
    <w:p>
      <w:pPr>
        <w:pStyle w:val="nzIndenta"/>
      </w:pPr>
      <w:r>
        <w:tab/>
        <w:t>(c)</w:t>
      </w:r>
      <w:r>
        <w:tab/>
        <w:t>provide for the form, content and timing of the notice that the proponent of an assessable proposal is required to give to the Chief Health Officer.</w:t>
      </w:r>
    </w:p>
    <w:p>
      <w:pPr>
        <w:pStyle w:val="nzHeading5"/>
      </w:pPr>
      <w:bookmarkStart w:id="1260" w:name="_Toc457219001"/>
      <w:bookmarkStart w:id="1261" w:name="_Toc457225554"/>
      <w:r>
        <w:rPr>
          <w:rStyle w:val="CharSectno"/>
        </w:rPr>
        <w:t>59</w:t>
      </w:r>
      <w:r>
        <w:t>.</w:t>
      </w:r>
      <w:r>
        <w:tab/>
        <w:t>Chief Health Officer may require public health assessments of assessable proposals</w:t>
      </w:r>
      <w:bookmarkEnd w:id="1260"/>
      <w:bookmarkEnd w:id="1261"/>
    </w:p>
    <w:p>
      <w:pPr>
        <w:pStyle w:val="nzSubsection"/>
      </w:pPr>
      <w:r>
        <w:tab/>
        <w:t>(1)</w:t>
      </w:r>
      <w:r>
        <w:tab/>
        <w:t>The Chief Health Officer may, by written notice given to the proponent of an assessable proposal, require a public health assessment to be carried out in respect of the proposal by and at the expense of the proponent.</w:t>
      </w:r>
    </w:p>
    <w:p>
      <w:pPr>
        <w:pStyle w:val="nzSubsection"/>
      </w:pPr>
      <w:r>
        <w:tab/>
        <w:t>(2)</w:t>
      </w:r>
      <w:r>
        <w:tab/>
        <w:t>The Chief Health Officer must, without delay, give the decision</w:t>
      </w:r>
      <w:r>
        <w:noBreakHyphen/>
        <w:t>making authority in respect of which the proposal is an assessable proposal a copy of the notice given under subsection (1).</w:t>
      </w:r>
    </w:p>
    <w:p>
      <w:pPr>
        <w:pStyle w:val="nzSubsection"/>
      </w:pPr>
      <w:r>
        <w:tab/>
        <w:t>(3)</w:t>
      </w:r>
      <w:r>
        <w:tab/>
        <w:t xml:space="preserve">The proponent of the assessable proposal must — </w:t>
      </w:r>
    </w:p>
    <w:p>
      <w:pPr>
        <w:pStyle w:val="nzIndenta"/>
      </w:pPr>
      <w:r>
        <w:tab/>
        <w:t>(a)</w:t>
      </w:r>
      <w:r>
        <w:tab/>
        <w:t>comply with the notice given under subsection (1); and</w:t>
      </w:r>
    </w:p>
    <w:p>
      <w:pPr>
        <w:pStyle w:val="nzIndenta"/>
      </w:pPr>
      <w:r>
        <w:tab/>
        <w:t>(b)</w:t>
      </w:r>
      <w:r>
        <w:tab/>
        <w:t>provide a written report setting out the findings of the public health assessment to the Chief Health Officer.</w:t>
      </w:r>
    </w:p>
    <w:p>
      <w:pPr>
        <w:pStyle w:val="nzSubsection"/>
      </w:pPr>
      <w:r>
        <w:tab/>
        <w:t>(4)</w:t>
      </w:r>
      <w:r>
        <w:tab/>
        <w:t>On receiving a report under subsection (3)(b), the Chief Health Officer must, without delay, give a copy of the report to the decision</w:t>
      </w:r>
      <w:r>
        <w:noBreakHyphen/>
        <w:t>making authority in respect of which the proposal is an assessable proposal.</w:t>
      </w:r>
    </w:p>
    <w:p>
      <w:pPr>
        <w:pStyle w:val="nzSubsection"/>
      </w:pPr>
      <w:r>
        <w:tab/>
        <w:t>(5)</w:t>
      </w:r>
      <w:r>
        <w:tab/>
        <w:t>The proponent of the assessable proposal may comply with the notice given under subsection (1) by causing a public health assessment to be carried out on behalf of the proponent in respect of the proposal.</w:t>
      </w:r>
    </w:p>
    <w:p>
      <w:pPr>
        <w:pStyle w:val="nzHeading5"/>
      </w:pPr>
      <w:bookmarkStart w:id="1262" w:name="_Toc457219002"/>
      <w:bookmarkStart w:id="1263" w:name="_Toc457225555"/>
      <w:r>
        <w:rPr>
          <w:rStyle w:val="CharSectno"/>
        </w:rPr>
        <w:t>60</w:t>
      </w:r>
      <w:r>
        <w:t>.</w:t>
      </w:r>
      <w:r>
        <w:tab/>
        <w:t>Chief Health Officer may give advice or make recommendations in relation to assessable proposal</w:t>
      </w:r>
      <w:bookmarkEnd w:id="1262"/>
      <w:bookmarkEnd w:id="1263"/>
    </w:p>
    <w:p>
      <w:pPr>
        <w:pStyle w:val="nzSubsection"/>
      </w:pPr>
      <w:r>
        <w:tab/>
        <w:t>(1)</w:t>
      </w:r>
      <w:r>
        <w:tab/>
        <w:t xml:space="preserve">The Chief Health Officer must — </w:t>
      </w:r>
    </w:p>
    <w:p>
      <w:pPr>
        <w:pStyle w:val="nzIndenta"/>
      </w:pPr>
      <w:r>
        <w:tab/>
        <w:t>(a)</w:t>
      </w:r>
      <w:r>
        <w:tab/>
        <w:t>consider a report given to the Chief Health Officer under section 59(3) by the proponent of an assessable proposal; and</w:t>
      </w:r>
    </w:p>
    <w:p>
      <w:pPr>
        <w:pStyle w:val="nzIndenta"/>
      </w:pPr>
      <w:r>
        <w:tab/>
        <w:t>(b)</w:t>
      </w:r>
      <w:r>
        <w:tab/>
        <w:t>give written advice or make written recommendations in relation to the proposal to the decision</w:t>
      </w:r>
      <w:r>
        <w:noBreakHyphen/>
        <w:t>making authority in respect of which the proposal is an assessable proposal.</w:t>
      </w:r>
    </w:p>
    <w:p>
      <w:pPr>
        <w:pStyle w:val="nzSubsection"/>
      </w:pPr>
      <w:r>
        <w:tab/>
        <w:t>(2)</w:t>
      </w:r>
      <w:r>
        <w:tab/>
        <w:t>Without limiting subsection (1), the Chief Health Officer may give advice or make recommendations to the decision</w:t>
      </w:r>
      <w:r>
        <w:noBreakHyphen/>
        <w:t xml:space="preserve">making authority under that subsection — </w:t>
      </w:r>
    </w:p>
    <w:p>
      <w:pPr>
        <w:pStyle w:val="nzIndenta"/>
      </w:pPr>
      <w:r>
        <w:tab/>
        <w:t>(a)</w:t>
      </w:r>
      <w:r>
        <w:tab/>
        <w:t>as to any public health risks and any benefits to public health that may result from implementing the proposal; or</w:t>
      </w:r>
    </w:p>
    <w:p>
      <w:pPr>
        <w:pStyle w:val="nzIndenta"/>
      </w:pPr>
      <w:r>
        <w:tab/>
        <w:t>(b)</w:t>
      </w:r>
      <w:r>
        <w:tab/>
        <w:t>as to whether or not the proposal should be implemented; or</w:t>
      </w:r>
    </w:p>
    <w:p>
      <w:pPr>
        <w:pStyle w:val="nzIndenta"/>
      </w:pPr>
      <w:r>
        <w:tab/>
        <w:t>(c)</w:t>
      </w:r>
      <w:r>
        <w:tab/>
        <w:t>as to any conditions or restrictions subject to which the proposal should be implemented.</w:t>
      </w:r>
    </w:p>
    <w:p>
      <w:pPr>
        <w:pStyle w:val="nzSubsection"/>
      </w:pPr>
      <w:r>
        <w:tab/>
        <w:t>(3)</w:t>
      </w:r>
      <w:r>
        <w:tab/>
        <w:t>The Chief Health Officer must, without delay, give the proponent of the assessable proposal a copy of any advice or recommendations that the Chief Health Officer gives or makes to the decision</w:t>
      </w:r>
      <w:r>
        <w:noBreakHyphen/>
        <w:t>making authority.</w:t>
      </w:r>
    </w:p>
    <w:p>
      <w:pPr>
        <w:pStyle w:val="nzHeading5"/>
      </w:pPr>
      <w:bookmarkStart w:id="1264" w:name="_Toc457219003"/>
      <w:bookmarkStart w:id="1265" w:name="_Toc457225556"/>
      <w:r>
        <w:rPr>
          <w:rStyle w:val="CharSectno"/>
        </w:rPr>
        <w:t>61</w:t>
      </w:r>
      <w:r>
        <w:t>.</w:t>
      </w:r>
      <w:r>
        <w:tab/>
        <w:t>Decision</w:t>
      </w:r>
      <w:r>
        <w:noBreakHyphen/>
        <w:t>making authority to have regard to advice and recommendations of Chief Health Officer</w:t>
      </w:r>
      <w:bookmarkEnd w:id="1264"/>
      <w:bookmarkEnd w:id="1265"/>
    </w:p>
    <w:p>
      <w:pPr>
        <w:pStyle w:val="nzSubsection"/>
      </w:pPr>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p>
    <w:p>
      <w:pPr>
        <w:pStyle w:val="nzSubsection"/>
      </w:pPr>
      <w:r>
        <w:tab/>
        <w:t>(2)</w:t>
      </w:r>
      <w:r>
        <w:tab/>
        <w:t>This section applies despite any other written law.</w:t>
      </w:r>
    </w:p>
    <w:p>
      <w:pPr>
        <w:pStyle w:val="nzHeading5"/>
      </w:pPr>
      <w:bookmarkStart w:id="1266" w:name="_Toc457219004"/>
      <w:bookmarkStart w:id="1267" w:name="_Toc457225557"/>
      <w:r>
        <w:rPr>
          <w:rStyle w:val="CharSectno"/>
        </w:rPr>
        <w:t>62</w:t>
      </w:r>
      <w:r>
        <w:t>.</w:t>
      </w:r>
      <w:r>
        <w:tab/>
        <w:t>Minister may request Chief Health Officer to conduct inquiry into other proposals</w:t>
      </w:r>
      <w:bookmarkEnd w:id="1266"/>
      <w:bookmarkEnd w:id="1267"/>
    </w:p>
    <w:p>
      <w:pPr>
        <w:pStyle w:val="nzSubsection"/>
      </w:pPr>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p>
    <w:p>
      <w:pPr>
        <w:pStyle w:val="nzSubsection"/>
      </w:pPr>
      <w:r>
        <w:tab/>
        <w:t>(2)</w:t>
      </w:r>
      <w:r>
        <w:tab/>
        <w:t>The Chief Health Officer must comply with a request under subsection (1).</w:t>
      </w:r>
    </w:p>
    <w:p>
      <w:pPr>
        <w:pStyle w:val="nzHeading5"/>
      </w:pPr>
      <w:bookmarkStart w:id="1268" w:name="_Toc457219005"/>
      <w:bookmarkStart w:id="1269" w:name="_Toc457225558"/>
      <w:r>
        <w:rPr>
          <w:rStyle w:val="CharSectno"/>
        </w:rPr>
        <w:t>63</w:t>
      </w:r>
      <w:r>
        <w:t>.</w:t>
      </w:r>
      <w:r>
        <w:tab/>
        <w:t>Regulations may provide for certain matters</w:t>
      </w:r>
      <w:bookmarkEnd w:id="1268"/>
      <w:bookmarkEnd w:id="1269"/>
    </w:p>
    <w:p>
      <w:pPr>
        <w:pStyle w:val="nzSubsection"/>
      </w:pPr>
      <w:r>
        <w:tab/>
        <w:t>(1)</w:t>
      </w:r>
      <w:r>
        <w:tab/>
        <w:t xml:space="preserve">In this section — </w:t>
      </w:r>
    </w:p>
    <w:p>
      <w:pPr>
        <w:pStyle w:val="nzDefstart"/>
      </w:pPr>
      <w:r>
        <w:rPr>
          <w:b/>
        </w:rPr>
        <w:tab/>
      </w:r>
      <w:r>
        <w:rPr>
          <w:rStyle w:val="CharDefText"/>
        </w:rPr>
        <w:t>nominated proposal</w:t>
      </w:r>
      <w:r>
        <w:t xml:space="preserve"> means an assessable proposal in respect of which a public health assessment is required to be carried out under section 59;</w:t>
      </w:r>
    </w:p>
    <w:p>
      <w:pPr>
        <w:pStyle w:val="nzDefstart"/>
      </w:pPr>
      <w:r>
        <w:rPr>
          <w:b/>
        </w:rPr>
        <w:tab/>
      </w:r>
      <w:r>
        <w:rPr>
          <w:rStyle w:val="CharDefText"/>
        </w:rPr>
        <w:t>specified</w:t>
      </w:r>
      <w:r>
        <w:t xml:space="preserve"> means specified by the Chief Health Officer.</w:t>
      </w:r>
    </w:p>
    <w:p>
      <w:pPr>
        <w:pStyle w:val="nzSubsection"/>
      </w:pPr>
      <w:r>
        <w:tab/>
        <w:t>(2)</w:t>
      </w:r>
      <w:r>
        <w:tab/>
        <w:t xml:space="preserve">The regulations may — </w:t>
      </w:r>
    </w:p>
    <w:p>
      <w:pPr>
        <w:pStyle w:val="nzIndenta"/>
      </w:pPr>
      <w:r>
        <w:tab/>
        <w:t>(a)</w:t>
      </w:r>
      <w:r>
        <w:tab/>
        <w:t>provide for the form, content, timing and procedure of a public health assessment that is required to be carried out under section 59; and</w:t>
      </w:r>
    </w:p>
    <w:p>
      <w:pPr>
        <w:pStyle w:val="nzIndenta"/>
      </w:pPr>
      <w:r>
        <w:tab/>
        <w:t>(b)</w:t>
      </w:r>
      <w:r>
        <w:tab/>
        <w:t xml:space="preserve">provide for the form, content and timing of the report setting out the findings of the public health assessment, as referred to in section 59(3) (the </w:t>
      </w:r>
      <w:r>
        <w:rPr>
          <w:rStyle w:val="CharDefText"/>
        </w:rPr>
        <w:t>assessment report</w:t>
      </w:r>
      <w:r>
        <w:t>); and</w:t>
      </w:r>
    </w:p>
    <w:p>
      <w:pPr>
        <w:pStyle w:val="nzIndenta"/>
      </w:pPr>
      <w:r>
        <w:tab/>
        <w:t>(c)</w:t>
      </w:r>
      <w:r>
        <w:tab/>
        <w:t xml:space="preserve">provide for — </w:t>
      </w:r>
    </w:p>
    <w:p>
      <w:pPr>
        <w:pStyle w:val="nzIndenti"/>
      </w:pPr>
      <w:r>
        <w:tab/>
        <w:t>(i)</w:t>
      </w:r>
      <w:r>
        <w:tab/>
        <w:t>fees or charges payable by the proponent of a nominated proposal for the Chief Health Officer’s consideration of the assessment report provided in respect of the proposal; and</w:t>
      </w:r>
    </w:p>
    <w:p>
      <w:pPr>
        <w:pStyle w:val="nzIndenti"/>
      </w:pPr>
      <w:r>
        <w:tab/>
        <w:t>(ii)</w:t>
      </w:r>
      <w:r>
        <w:tab/>
        <w:t>the recovery of those fees or charges;</w:t>
      </w:r>
    </w:p>
    <w:p>
      <w:pPr>
        <w:pStyle w:val="nzIndenta"/>
      </w:pPr>
      <w:r>
        <w:tab/>
      </w:r>
      <w:r>
        <w:tab/>
        <w:t>and</w:t>
      </w:r>
    </w:p>
    <w:p>
      <w:pPr>
        <w:pStyle w:val="nzIndenta"/>
        <w:keepNext/>
      </w:pPr>
      <w:r>
        <w:tab/>
        <w:t>(d)</w:t>
      </w:r>
      <w:r>
        <w:tab/>
        <w:t xml:space="preserve">require the proponent of a nominated proposal to make copies of the assessment report available — </w:t>
      </w:r>
    </w:p>
    <w:p>
      <w:pPr>
        <w:pStyle w:val="nzIndenti"/>
      </w:pPr>
      <w:r>
        <w:tab/>
        <w:t>(i)</w:t>
      </w:r>
      <w:r>
        <w:tab/>
        <w:t>without charge to public authorities; and</w:t>
      </w:r>
    </w:p>
    <w:p>
      <w:pPr>
        <w:pStyle w:val="nzIndenti"/>
      </w:pPr>
      <w:r>
        <w:tab/>
        <w:t>(ii)</w:t>
      </w:r>
      <w:r>
        <w:tab/>
        <w:t>at a charge not exceeding the amount prescribed by the regulations to members of the public;</w:t>
      </w:r>
    </w:p>
    <w:p>
      <w:pPr>
        <w:pStyle w:val="nzIndenta"/>
      </w:pPr>
      <w:r>
        <w:tab/>
      </w:r>
      <w:r>
        <w:tab/>
        <w:t>and</w:t>
      </w:r>
    </w:p>
    <w:p>
      <w:pPr>
        <w:pStyle w:val="nzIndenta"/>
      </w:pPr>
      <w:r>
        <w:tab/>
        <w:t>(e)</w:t>
      </w:r>
      <w:r>
        <w:tab/>
        <w:t>require the proponent of a nominated proposal to advertise, in the manner prescribed by the regulations, that copies of the assessment report are available to public authorities and members of the public; and</w:t>
      </w:r>
    </w:p>
    <w:p>
      <w:pPr>
        <w:pStyle w:val="nzIndenta"/>
      </w:pPr>
      <w:r>
        <w:tab/>
        <w:t>(f)</w:t>
      </w:r>
      <w:r>
        <w:tab/>
        <w:t>provide for the period within which, the extent to which and the manner in which written submissions may be made by a person or public authority to the Chief Health Officer in respect of the assessment report; and</w:t>
      </w:r>
    </w:p>
    <w:p>
      <w:pPr>
        <w:pStyle w:val="nzIndenta"/>
      </w:pPr>
      <w:r>
        <w:tab/>
        <w:t>(g)</w:t>
      </w:r>
      <w:r>
        <w:tab/>
        <w:t>require the proponent of a nominated proposal to provide to the Chief Health Officer, within the specified period, a written response to any of those submissions; and</w:t>
      </w:r>
    </w:p>
    <w:p>
      <w:pPr>
        <w:pStyle w:val="nzIndenta"/>
      </w:pPr>
      <w:r>
        <w:tab/>
        <w:t>(h)</w:t>
      </w:r>
      <w:r>
        <w:tab/>
        <w:t>require the proponent of a nominated proposal, or any other person, to provide to the Chief Health Officer within the specified period specified information that is relevant to the proposal; and</w:t>
      </w:r>
    </w:p>
    <w:p>
      <w:pPr>
        <w:pStyle w:val="nzIndenta"/>
      </w:pPr>
      <w:r>
        <w:tab/>
        <w:t>(i)</w:t>
      </w:r>
      <w:r>
        <w:tab/>
        <w:t>confer power on the Chief Health Officer to make any investigation or inquiry in relation to a nominated proposal that the Chief Health Officer thinks fit; and</w:t>
      </w:r>
    </w:p>
    <w:p>
      <w:pPr>
        <w:pStyle w:val="nzIndenta"/>
      </w:pPr>
      <w:r>
        <w:tab/>
        <w:t>(j)</w:t>
      </w:r>
      <w:r>
        <w:tab/>
        <w:t xml:space="preserve">require — </w:t>
      </w:r>
    </w:p>
    <w:p>
      <w:pPr>
        <w:pStyle w:val="nzIndenti"/>
      </w:pPr>
      <w:r>
        <w:tab/>
        <w:t>(i)</w:t>
      </w:r>
      <w:r>
        <w:tab/>
        <w:t>the implementation of a nominated proposal to be monitored in the specified manner by and at the expense of the proponent of the proposal; and</w:t>
      </w:r>
    </w:p>
    <w:p>
      <w:pPr>
        <w:pStyle w:val="nzIndenti"/>
      </w:pPr>
      <w:r>
        <w:tab/>
        <w:t>(ii)</w:t>
      </w:r>
      <w:r>
        <w:tab/>
        <w:t>specified information relating to the monitoring of the implementation of the nominated proposal to be provided by the proponent of the proposal to the Chief Health Officer.</w:t>
      </w:r>
    </w:p>
    <w:p>
      <w:pPr>
        <w:pStyle w:val="nzHeading2"/>
      </w:pPr>
      <w:bookmarkStart w:id="1270" w:name="_Toc402269048"/>
      <w:bookmarkStart w:id="1271" w:name="_Toc402269427"/>
      <w:bookmarkStart w:id="1272" w:name="_Toc402273696"/>
      <w:bookmarkStart w:id="1273" w:name="_Toc402274546"/>
      <w:bookmarkStart w:id="1274" w:name="_Toc402278941"/>
      <w:bookmarkStart w:id="1275" w:name="_Toc402279320"/>
      <w:bookmarkStart w:id="1276" w:name="_Toc402344673"/>
      <w:bookmarkStart w:id="1277" w:name="_Toc402419594"/>
      <w:bookmarkStart w:id="1278" w:name="_Toc403034646"/>
      <w:bookmarkStart w:id="1279" w:name="_Toc403036017"/>
      <w:bookmarkStart w:id="1280" w:name="_Toc403468225"/>
      <w:bookmarkStart w:id="1281" w:name="_Toc404169634"/>
      <w:bookmarkStart w:id="1282" w:name="_Toc404172306"/>
      <w:bookmarkStart w:id="1283" w:name="_Toc404178249"/>
      <w:bookmarkStart w:id="1284" w:name="_Toc436298824"/>
      <w:bookmarkStart w:id="1285" w:name="_Toc436299701"/>
      <w:bookmarkStart w:id="1286" w:name="_Toc436302217"/>
      <w:bookmarkStart w:id="1287" w:name="_Toc455145456"/>
      <w:bookmarkStart w:id="1288" w:name="_Toc455150188"/>
      <w:bookmarkStart w:id="1289" w:name="_Toc455748344"/>
      <w:bookmarkStart w:id="1290" w:name="_Toc457219006"/>
      <w:bookmarkStart w:id="1291" w:name="_Toc457225559"/>
      <w:r>
        <w:rPr>
          <w:rStyle w:val="CharPartNo"/>
        </w:rPr>
        <w:t>Part 8</w:t>
      </w:r>
      <w:r>
        <w:t> — </w:t>
      </w:r>
      <w:r>
        <w:rPr>
          <w:rStyle w:val="CharPartText"/>
        </w:rPr>
        <w:t>Registration and licensing</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nzHeading3"/>
      </w:pPr>
      <w:bookmarkStart w:id="1292" w:name="_Toc402269049"/>
      <w:bookmarkStart w:id="1293" w:name="_Toc402269428"/>
      <w:bookmarkStart w:id="1294" w:name="_Toc402273697"/>
      <w:bookmarkStart w:id="1295" w:name="_Toc402274547"/>
      <w:bookmarkStart w:id="1296" w:name="_Toc402278942"/>
      <w:bookmarkStart w:id="1297" w:name="_Toc402279321"/>
      <w:bookmarkStart w:id="1298" w:name="_Toc402344674"/>
      <w:bookmarkStart w:id="1299" w:name="_Toc402419595"/>
      <w:bookmarkStart w:id="1300" w:name="_Toc403034647"/>
      <w:bookmarkStart w:id="1301" w:name="_Toc403036018"/>
      <w:bookmarkStart w:id="1302" w:name="_Toc403468226"/>
      <w:bookmarkStart w:id="1303" w:name="_Toc404169635"/>
      <w:bookmarkStart w:id="1304" w:name="_Toc404172307"/>
      <w:bookmarkStart w:id="1305" w:name="_Toc404178250"/>
      <w:bookmarkStart w:id="1306" w:name="_Toc436298825"/>
      <w:bookmarkStart w:id="1307" w:name="_Toc436299702"/>
      <w:bookmarkStart w:id="1308" w:name="_Toc436302218"/>
      <w:bookmarkStart w:id="1309" w:name="_Toc455145457"/>
      <w:bookmarkStart w:id="1310" w:name="_Toc455150189"/>
      <w:bookmarkStart w:id="1311" w:name="_Toc455748345"/>
      <w:bookmarkStart w:id="1312" w:name="_Toc457219007"/>
      <w:bookmarkStart w:id="1313" w:name="_Toc457225560"/>
      <w:r>
        <w:rPr>
          <w:rStyle w:val="CharDivNo"/>
        </w:rPr>
        <w:t>Division 1</w:t>
      </w:r>
      <w:r>
        <w:t> — </w:t>
      </w:r>
      <w:r>
        <w:rPr>
          <w:rStyle w:val="CharDivText"/>
        </w:rPr>
        <w:t>Preliminary</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nzHeading5"/>
      </w:pPr>
      <w:bookmarkStart w:id="1314" w:name="_Toc457219008"/>
      <w:bookmarkStart w:id="1315" w:name="_Toc457225561"/>
      <w:r>
        <w:rPr>
          <w:rStyle w:val="CharSectno"/>
        </w:rPr>
        <w:t>64</w:t>
      </w:r>
      <w:r>
        <w:t>.</w:t>
      </w:r>
      <w:r>
        <w:tab/>
        <w:t>Terms used</w:t>
      </w:r>
      <w:bookmarkEnd w:id="1314"/>
      <w:bookmarkEnd w:id="1315"/>
    </w:p>
    <w:p>
      <w:pPr>
        <w:pStyle w:val="nzSubsection"/>
      </w:pPr>
      <w:r>
        <w:tab/>
      </w:r>
      <w:r>
        <w:tab/>
        <w:t xml:space="preserve">In this Part — </w:t>
      </w:r>
    </w:p>
    <w:p>
      <w:pPr>
        <w:pStyle w:val="nzDefstart"/>
      </w:pPr>
      <w:r>
        <w:rPr>
          <w:b/>
        </w:rPr>
        <w:tab/>
      </w:r>
      <w:r>
        <w:rPr>
          <w:rStyle w:val="CharDefText"/>
        </w:rPr>
        <w:t>activity licence</w:t>
      </w:r>
      <w:r>
        <w:t xml:space="preserve"> means a licence granted under section 78;</w:t>
      </w:r>
    </w:p>
    <w:p>
      <w:pPr>
        <w:pStyle w:val="nzDefstart"/>
      </w:pPr>
      <w:r>
        <w:rPr>
          <w:b/>
        </w:rPr>
        <w:tab/>
      </w:r>
      <w:r>
        <w:rPr>
          <w:rStyle w:val="CharDefText"/>
        </w:rPr>
        <w:t>certificate of registration</w:t>
      </w:r>
      <w:r>
        <w:t xml:space="preserve"> means a certificate of registration issued under section 68(6);</w:t>
      </w:r>
    </w:p>
    <w:p>
      <w:pPr>
        <w:pStyle w:val="nz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nzDefstart"/>
      </w:pPr>
      <w:r>
        <w:rPr>
          <w:b/>
        </w:rPr>
        <w:tab/>
      </w:r>
      <w:r>
        <w:rPr>
          <w:rStyle w:val="CharDefText"/>
        </w:rPr>
        <w:t>licensable activity</w:t>
      </w:r>
      <w:r>
        <w:t xml:space="preserve"> means a public health risk activity declared under section 65 to be licensable;</w:t>
      </w:r>
    </w:p>
    <w:p>
      <w:pPr>
        <w:pStyle w:val="nzDefstart"/>
      </w:pPr>
      <w:r>
        <w:rPr>
          <w:b/>
        </w:rPr>
        <w:tab/>
      </w:r>
      <w:r>
        <w:rPr>
          <w:rStyle w:val="CharDefText"/>
        </w:rPr>
        <w:t>registrable activity</w:t>
      </w:r>
      <w:r>
        <w:t xml:space="preserve"> means a public health risk activity declared under section 65 to be registrable;</w:t>
      </w:r>
    </w:p>
    <w:p>
      <w:pPr>
        <w:pStyle w:val="nzDefstart"/>
      </w:pPr>
      <w:r>
        <w:rPr>
          <w:b/>
        </w:rPr>
        <w:tab/>
      </w:r>
      <w:r>
        <w:rPr>
          <w:rStyle w:val="CharDefText"/>
        </w:rPr>
        <w:t>vary</w:t>
      </w:r>
      <w:r>
        <w:t>, a condition, includes to revoke a condition or to impose a condition.</w:t>
      </w:r>
    </w:p>
    <w:p>
      <w:pPr>
        <w:pStyle w:val="nzHeading5"/>
      </w:pPr>
      <w:bookmarkStart w:id="1316" w:name="_Toc457219009"/>
      <w:bookmarkStart w:id="1317" w:name="_Toc457225562"/>
      <w:r>
        <w:rPr>
          <w:rStyle w:val="CharSectno"/>
        </w:rPr>
        <w:t>65</w:t>
      </w:r>
      <w:r>
        <w:t>.</w:t>
      </w:r>
      <w:r>
        <w:tab/>
        <w:t>Regulations may declare licensable and registrable activities</w:t>
      </w:r>
      <w:bookmarkEnd w:id="1316"/>
      <w:bookmarkEnd w:id="1317"/>
    </w:p>
    <w:p>
      <w:pPr>
        <w:pStyle w:val="nzSubsection"/>
      </w:pPr>
      <w:r>
        <w:tab/>
      </w:r>
      <w:r>
        <w:tab/>
        <w:t xml:space="preserve">The regulations may declare that a public health risk activity is — </w:t>
      </w:r>
    </w:p>
    <w:p>
      <w:pPr>
        <w:pStyle w:val="nzIndenta"/>
      </w:pPr>
      <w:r>
        <w:tab/>
        <w:t>(a)</w:t>
      </w:r>
      <w:r>
        <w:tab/>
        <w:t>registrable; or</w:t>
      </w:r>
    </w:p>
    <w:p>
      <w:pPr>
        <w:pStyle w:val="nzIndenta"/>
      </w:pPr>
      <w:r>
        <w:tab/>
        <w:t>(b)</w:t>
      </w:r>
      <w:r>
        <w:tab/>
        <w:t>licensable; or</w:t>
      </w:r>
    </w:p>
    <w:p>
      <w:pPr>
        <w:pStyle w:val="nzIndenta"/>
      </w:pPr>
      <w:r>
        <w:tab/>
        <w:t>(c)</w:t>
      </w:r>
      <w:r>
        <w:tab/>
        <w:t>both registrable and licensable.</w:t>
      </w:r>
    </w:p>
    <w:p>
      <w:pPr>
        <w:pStyle w:val="nzHeading5"/>
      </w:pPr>
      <w:bookmarkStart w:id="1318" w:name="_Toc457219010"/>
      <w:bookmarkStart w:id="1319" w:name="_Toc457225563"/>
      <w:r>
        <w:rPr>
          <w:rStyle w:val="CharSectno"/>
        </w:rPr>
        <w:t>66</w:t>
      </w:r>
      <w:r>
        <w:t>.</w:t>
      </w:r>
      <w:r>
        <w:tab/>
        <w:t>Application of Part to Crown</w:t>
      </w:r>
      <w:bookmarkEnd w:id="1318"/>
      <w:bookmarkEnd w:id="1319"/>
    </w:p>
    <w:p>
      <w:pPr>
        <w:pStyle w:val="nzSubsection"/>
      </w:pPr>
      <w:r>
        <w:tab/>
        <w:t>(1)</w:t>
      </w:r>
      <w:r>
        <w:tab/>
        <w:t xml:space="preserve">To avoid doubt, this Part applies to — </w:t>
      </w:r>
    </w:p>
    <w:p>
      <w:pPr>
        <w:pStyle w:val="nzIndenta"/>
      </w:pPr>
      <w:r>
        <w:tab/>
        <w:t>(a)</w:t>
      </w:r>
      <w:r>
        <w:tab/>
        <w:t>registrable activities carried on by the Crown in any capacity; and</w:t>
      </w:r>
    </w:p>
    <w:p>
      <w:pPr>
        <w:pStyle w:val="nzIndenta"/>
      </w:pPr>
      <w:r>
        <w:tab/>
        <w:t>(b)</w:t>
      </w:r>
      <w:r>
        <w:tab/>
        <w:t>licensable activities carried on by any individual in their capacity as an employee, agent or officer of the Crown.</w:t>
      </w:r>
    </w:p>
    <w:p>
      <w:pPr>
        <w:pStyle w:val="nzSubsection"/>
      </w:pPr>
      <w:r>
        <w:tab/>
        <w:t>(2)</w:t>
      </w:r>
      <w:r>
        <w:tab/>
        <w:t>This section is subject to Part 17.</w:t>
      </w:r>
    </w:p>
    <w:p>
      <w:pPr>
        <w:pStyle w:val="nzHeading3"/>
      </w:pPr>
      <w:bookmarkStart w:id="1320" w:name="_Toc402269053"/>
      <w:bookmarkStart w:id="1321" w:name="_Toc402269432"/>
      <w:bookmarkStart w:id="1322" w:name="_Toc402273701"/>
      <w:bookmarkStart w:id="1323" w:name="_Toc402274551"/>
      <w:bookmarkStart w:id="1324" w:name="_Toc402278946"/>
      <w:bookmarkStart w:id="1325" w:name="_Toc402279325"/>
      <w:bookmarkStart w:id="1326" w:name="_Toc402344678"/>
      <w:bookmarkStart w:id="1327" w:name="_Toc402419599"/>
      <w:bookmarkStart w:id="1328" w:name="_Toc403034651"/>
      <w:bookmarkStart w:id="1329" w:name="_Toc403036022"/>
      <w:bookmarkStart w:id="1330" w:name="_Toc403468230"/>
      <w:bookmarkStart w:id="1331" w:name="_Toc404169639"/>
      <w:bookmarkStart w:id="1332" w:name="_Toc404172311"/>
      <w:bookmarkStart w:id="1333" w:name="_Toc404178254"/>
      <w:bookmarkStart w:id="1334" w:name="_Toc436298829"/>
      <w:bookmarkStart w:id="1335" w:name="_Toc436299706"/>
      <w:bookmarkStart w:id="1336" w:name="_Toc436302222"/>
      <w:bookmarkStart w:id="1337" w:name="_Toc455145461"/>
      <w:bookmarkStart w:id="1338" w:name="_Toc455150193"/>
      <w:bookmarkStart w:id="1339" w:name="_Toc455748349"/>
      <w:bookmarkStart w:id="1340" w:name="_Toc457219011"/>
      <w:bookmarkStart w:id="1341" w:name="_Toc457225564"/>
      <w:r>
        <w:rPr>
          <w:rStyle w:val="CharDivNo"/>
        </w:rPr>
        <w:t>Division 2</w:t>
      </w:r>
      <w:r>
        <w:t> — </w:t>
      </w:r>
      <w:r>
        <w:rPr>
          <w:rStyle w:val="CharDivText"/>
        </w:rPr>
        <w:t>Registration of registrable activities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nzHeading5"/>
      </w:pPr>
      <w:bookmarkStart w:id="1342" w:name="_Toc457219012"/>
      <w:bookmarkStart w:id="1343" w:name="_Toc457225565"/>
      <w:r>
        <w:rPr>
          <w:rStyle w:val="CharSectno"/>
        </w:rPr>
        <w:t>67</w:t>
      </w:r>
      <w:r>
        <w:t>.</w:t>
      </w:r>
      <w:r>
        <w:tab/>
        <w:t>Carrying on unregistered registrable activity</w:t>
      </w:r>
      <w:bookmarkEnd w:id="1342"/>
      <w:bookmarkEnd w:id="1343"/>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registrable activity at any premises unless the registrable activity is registered in respect of those premises under this Division.</w:t>
      </w:r>
    </w:p>
    <w:p>
      <w:pPr>
        <w:pStyle w:val="nzPenstart"/>
      </w:pPr>
      <w:r>
        <w:tab/>
        <w:t>Penalty for an offence under this subsection: a fine of $20 000.</w:t>
      </w:r>
    </w:p>
    <w:p>
      <w:pPr>
        <w:pStyle w:val="nzHeading5"/>
      </w:pPr>
      <w:bookmarkStart w:id="1344" w:name="_Toc457219013"/>
      <w:bookmarkStart w:id="1345" w:name="_Toc457225566"/>
      <w:r>
        <w:rPr>
          <w:rStyle w:val="CharSectno"/>
        </w:rPr>
        <w:t>68</w:t>
      </w:r>
      <w:r>
        <w:t>.</w:t>
      </w:r>
      <w:r>
        <w:tab/>
        <w:t>Registration of registrable activity</w:t>
      </w:r>
      <w:bookmarkEnd w:id="1344"/>
      <w:bookmarkEnd w:id="1345"/>
    </w:p>
    <w:p>
      <w:pPr>
        <w:pStyle w:val="nzSubsection"/>
      </w:pPr>
      <w:r>
        <w:tab/>
        <w:t>(1)</w:t>
      </w:r>
      <w:r>
        <w:tab/>
        <w:t>The appropriate enforcement agency may register a registrable activity in respect of any premises for the purposes of this Division.</w:t>
      </w:r>
    </w:p>
    <w:p>
      <w:pPr>
        <w:pStyle w:val="nz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nzSubsection"/>
      </w:pPr>
      <w:r>
        <w:tab/>
        <w:t>(3)</w:t>
      </w:r>
      <w:r>
        <w:tab/>
        <w:t xml:space="preserve">The application must be accompanied by — </w:t>
      </w:r>
    </w:p>
    <w:p>
      <w:pPr>
        <w:pStyle w:val="nzIndenta"/>
      </w:pPr>
      <w:r>
        <w:tab/>
        <w:t>(a)</w:t>
      </w:r>
      <w:r>
        <w:tab/>
        <w:t>any plans, specifications or other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(4)</w:t>
      </w:r>
      <w:r>
        <w:tab/>
        <w:t xml:space="preserve">After considering the application,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In deciding whether to grant or refuse the application, the appropriate enforcement agency must have regard to any matters prescribed by the regulations for the purposes of this subsection.</w:t>
      </w:r>
    </w:p>
    <w:p>
      <w:pPr>
        <w:pStyle w:val="nzSubsection"/>
      </w:pPr>
      <w:r>
        <w:tab/>
        <w:t>(6)</w:t>
      </w:r>
      <w:r>
        <w:tab/>
        <w:t xml:space="preserve">If the appropriate enforcement agency grants the application, the agency must issue the applicant with a certificate of registration, in the approved form, that — </w:t>
      </w:r>
    </w:p>
    <w:p>
      <w:pPr>
        <w:pStyle w:val="nzIndenta"/>
      </w:pPr>
      <w:r>
        <w:tab/>
        <w:t>(a)</w:t>
      </w:r>
      <w:r>
        <w:tab/>
        <w:t>specifies the premises and the registrable activity in respect of which the registration is granted; and</w:t>
      </w:r>
    </w:p>
    <w:p>
      <w:pPr>
        <w:pStyle w:val="nzIndenta"/>
      </w:pPr>
      <w:r>
        <w:tab/>
        <w:t>(b)</w:t>
      </w:r>
      <w:r>
        <w:tab/>
        <w:t>sets out any conditions to which the registration is subject.</w:t>
      </w:r>
    </w:p>
    <w:p>
      <w:pPr>
        <w:pStyle w:val="nzSubsection"/>
      </w:pPr>
      <w:r>
        <w:tab/>
        <w:t>(7)</w:t>
      </w:r>
      <w:r>
        <w:tab/>
        <w:t>If the appropriate enforcement agency refuses the application, the agency must give written notice of the refusal to the applicant setting out the reasons for the refusal.</w:t>
      </w:r>
    </w:p>
    <w:p>
      <w:pPr>
        <w:pStyle w:val="nzHeading5"/>
      </w:pPr>
      <w:bookmarkStart w:id="1346" w:name="_Toc457219014"/>
      <w:bookmarkStart w:id="1347" w:name="_Toc457225567"/>
      <w:r>
        <w:rPr>
          <w:rStyle w:val="CharSectno"/>
        </w:rPr>
        <w:t>69</w:t>
      </w:r>
      <w:r>
        <w:t>.</w:t>
      </w:r>
      <w:r>
        <w:tab/>
        <w:t>Registration remains in force until cancelled</w:t>
      </w:r>
      <w:bookmarkEnd w:id="1346"/>
      <w:bookmarkEnd w:id="1347"/>
    </w:p>
    <w:p>
      <w:pPr>
        <w:pStyle w:val="nzSubsection"/>
      </w:pPr>
      <w:r>
        <w:tab/>
        <w:t>(1)</w:t>
      </w:r>
      <w:r>
        <w:tab/>
        <w:t>The registration of a registrable activity in respect of any premises under this Division remains in force until cancelled.</w:t>
      </w:r>
    </w:p>
    <w:p>
      <w:pPr>
        <w:pStyle w:val="nzSubsection"/>
      </w:pPr>
      <w:r>
        <w:tab/>
        <w:t>(2)</w:t>
      </w:r>
      <w:r>
        <w:tab/>
        <w:t>Subsection (1) is subject to section 72(2).</w:t>
      </w:r>
    </w:p>
    <w:p>
      <w:pPr>
        <w:pStyle w:val="nzHeading5"/>
      </w:pPr>
      <w:bookmarkStart w:id="1348" w:name="_Toc457219015"/>
      <w:bookmarkStart w:id="1349" w:name="_Toc457225568"/>
      <w:r>
        <w:rPr>
          <w:rStyle w:val="CharSectno"/>
        </w:rPr>
        <w:t>70</w:t>
      </w:r>
      <w:r>
        <w:t>.</w:t>
      </w:r>
      <w:r>
        <w:tab/>
        <w:t>Annual or other fee in relation to registration</w:t>
      </w:r>
      <w:bookmarkEnd w:id="1348"/>
      <w:bookmarkEnd w:id="1349"/>
    </w:p>
    <w:p>
      <w:pPr>
        <w:pStyle w:val="nzSubsection"/>
      </w:pPr>
      <w:r>
        <w:tab/>
        <w:t>(1)</w:t>
      </w:r>
      <w:r>
        <w:tab/>
        <w:t>The regulations may prescribe an annual or other fee in relation to the registration of a registrable activity in respect of any premises,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nzHeading5"/>
      </w:pPr>
      <w:bookmarkStart w:id="1350" w:name="_Toc457219016"/>
      <w:bookmarkStart w:id="1351" w:name="_Toc457225569"/>
      <w:r>
        <w:rPr>
          <w:rStyle w:val="CharSectno"/>
        </w:rPr>
        <w:t>71</w:t>
      </w:r>
      <w:r>
        <w:t>.</w:t>
      </w:r>
      <w:r>
        <w:tab/>
        <w:t>Variation of conditions, suspension or cancellation of registration</w:t>
      </w:r>
      <w:bookmarkEnd w:id="1350"/>
      <w:bookmarkEnd w:id="1351"/>
    </w:p>
    <w:p>
      <w:pPr>
        <w:pStyle w:val="nz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nzSubsection"/>
      </w:pPr>
      <w:r>
        <w:tab/>
        <w:t>(2)</w:t>
      </w:r>
      <w:r>
        <w:tab/>
        <w:t xml:space="preserve">The registration of a registrable activity in respect of any premises may be suspended or cancelled on any grounds prescribed by the regulations or on any of these grounds — </w:t>
      </w:r>
    </w:p>
    <w:p>
      <w:pPr>
        <w:pStyle w:val="nzIndenta"/>
      </w:pPr>
      <w:r>
        <w:tab/>
        <w:t>(a)</w:t>
      </w:r>
      <w:r>
        <w:tab/>
        <w:t>the registration has been obtained by fraud or misrepresentation;</w:t>
      </w:r>
    </w:p>
    <w:p>
      <w:pPr>
        <w:pStyle w:val="nzIndenta"/>
      </w:pPr>
      <w:r>
        <w:tab/>
        <w:t>(b)</w:t>
      </w:r>
      <w:r>
        <w:tab/>
        <w:t>the holder of the certificate of registration has been convicted of an offence under this Act or a corresponding public health law;</w:t>
      </w:r>
    </w:p>
    <w:p>
      <w:pPr>
        <w:pStyle w:val="nzIndenta"/>
      </w:pPr>
      <w:r>
        <w:tab/>
        <w:t>(c)</w:t>
      </w:r>
      <w:r>
        <w:tab/>
        <w:t>the holder of the certificate of registration has failed to comply with a code of practice prescribed by the regulations in respect of the registrable activity that is registered in respect of those premises;</w:t>
      </w:r>
    </w:p>
    <w:p>
      <w:pPr>
        <w:pStyle w:val="nz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nz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nzIndenta"/>
      </w:pPr>
      <w:r>
        <w:tab/>
        <w:t>(f)</w:t>
      </w:r>
      <w:r>
        <w:tab/>
        <w:t>any condition to which the registration of the registrable activity is subject has not been complied with;</w:t>
      </w:r>
    </w:p>
    <w:p>
      <w:pPr>
        <w:pStyle w:val="nzIndenta"/>
      </w:pPr>
      <w:r>
        <w:tab/>
        <w:t>(g)</w:t>
      </w:r>
      <w:r>
        <w:tab/>
        <w:t>the registrable activity has ceased to be carried on at those premises;</w:t>
      </w:r>
    </w:p>
    <w:p>
      <w:pPr>
        <w:pStyle w:val="nzIndenta"/>
      </w:pPr>
      <w:r>
        <w:tab/>
        <w:t>(h)</w:t>
      </w:r>
      <w:r>
        <w:tab/>
        <w:t>the holder of the certificate of registration has applied for the suspension or cancellation.</w:t>
      </w:r>
    </w:p>
    <w:p>
      <w:pPr>
        <w:pStyle w:val="nzSubsection"/>
      </w:pPr>
      <w:r>
        <w:tab/>
        <w:t>(3)</w:t>
      </w:r>
      <w:r>
        <w:tab/>
        <w:t xml:space="preserve">The appropriate enforcement agency may vary the conditions of, suspend or cancel the registration of a registrable activity in respect of any premises only — </w:t>
      </w:r>
    </w:p>
    <w:p>
      <w:pPr>
        <w:pStyle w:val="nzIndenta"/>
      </w:pPr>
      <w:r>
        <w:tab/>
        <w:t>(a)</w:t>
      </w:r>
      <w:r>
        <w:tab/>
        <w:t xml:space="preserve">after having given the holder of the certificate of registration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nzSubsection"/>
      </w:pPr>
      <w:r>
        <w:tab/>
        <w:t>(5)</w:t>
      </w:r>
      <w:r>
        <w:tab/>
        <w:t xml:space="preserve">A variation of the conditions, or the suspension or cancellation, of the registration of a registrable activity in respect of any premises — </w:t>
      </w:r>
    </w:p>
    <w:p>
      <w:pPr>
        <w:pStyle w:val="nzIndenta"/>
      </w:pPr>
      <w:r>
        <w:tab/>
        <w:t>(a)</w:t>
      </w:r>
      <w:r>
        <w:tab/>
        <w:t>must be by written notice; and</w:t>
      </w:r>
    </w:p>
    <w:p>
      <w:pPr>
        <w:pStyle w:val="nzIndenta"/>
      </w:pPr>
      <w:r>
        <w:tab/>
        <w:t>(b)</w:t>
      </w:r>
      <w:r>
        <w:tab/>
        <w:t>must be served on the holder of the certificate of registration; and</w:t>
      </w:r>
    </w:p>
    <w:p>
      <w:pPr>
        <w:pStyle w:val="nzIndenta"/>
      </w:pPr>
      <w:r>
        <w:tab/>
        <w:t>(c)</w:t>
      </w:r>
      <w:r>
        <w:tab/>
        <w:t>takes effect on the day on which the notice is served or on a later day specified in the notice.</w:t>
      </w:r>
    </w:p>
    <w:p>
      <w:pPr>
        <w:pStyle w:val="nzHeading5"/>
      </w:pPr>
      <w:bookmarkStart w:id="1352" w:name="_Toc457219017"/>
      <w:bookmarkStart w:id="1353" w:name="_Toc457225570"/>
      <w:r>
        <w:rPr>
          <w:rStyle w:val="CharSectno"/>
        </w:rPr>
        <w:t>72</w:t>
      </w:r>
      <w:r>
        <w:t>.</w:t>
      </w:r>
      <w:r>
        <w:tab/>
        <w:t>Further provisions relating to suspension of registration</w:t>
      </w:r>
      <w:bookmarkEnd w:id="1352"/>
      <w:bookmarkEnd w:id="1353"/>
    </w:p>
    <w:p>
      <w:pPr>
        <w:pStyle w:val="nz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nzSubsection"/>
      </w:pPr>
      <w:r>
        <w:tab/>
        <w:t>(2)</w:t>
      </w:r>
      <w:r>
        <w:tab/>
        <w:t>While the registration of a registrable activity in respect of any premises is suspended under section 71, the registrable activity is to be regarded as not registered in respect of those premises.</w:t>
      </w:r>
    </w:p>
    <w:p>
      <w:pPr>
        <w:pStyle w:val="nz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71(5) applies with all necessary changes to the extension of a period of suspension as if it were the imposition of a period of suspension.</w:t>
      </w:r>
    </w:p>
    <w:p>
      <w:pPr>
        <w:pStyle w:val="nzSubsection"/>
      </w:pPr>
      <w:r>
        <w:tab/>
        <w:t>(5)</w:t>
      </w:r>
      <w:r>
        <w:tab/>
        <w:t xml:space="preserve">If the registration of a registrable activity in respect of any premises is suspended under section 71 — </w:t>
      </w:r>
    </w:p>
    <w:p>
      <w:pPr>
        <w:pStyle w:val="nz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nzHeading5"/>
      </w:pPr>
      <w:bookmarkStart w:id="1354" w:name="_Toc457219018"/>
      <w:bookmarkStart w:id="1355" w:name="_Toc457225571"/>
      <w:r>
        <w:rPr>
          <w:rStyle w:val="CharSectno"/>
        </w:rPr>
        <w:t>73</w:t>
      </w:r>
      <w:r>
        <w:t>.</w:t>
      </w:r>
      <w:r>
        <w:tab/>
        <w:t>Notification of certain matters relating to registrable activity or premises</w:t>
      </w:r>
      <w:bookmarkEnd w:id="1354"/>
      <w:bookmarkEnd w:id="1355"/>
    </w:p>
    <w:p>
      <w:pPr>
        <w:pStyle w:val="nz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nzIndenta"/>
      </w:pPr>
      <w:r>
        <w:tab/>
        <w:t>(a)</w:t>
      </w:r>
      <w:r>
        <w:tab/>
        <w:t>the registrable activity ceases to be carried on at those premises;</w:t>
      </w:r>
    </w:p>
    <w:p>
      <w:pPr>
        <w:pStyle w:val="nzIndenta"/>
      </w:pPr>
      <w:r>
        <w:tab/>
        <w:t>(b)</w:t>
      </w:r>
      <w:r>
        <w:tab/>
        <w:t>the person ceases to carry on the registrable activity at those premises;</w:t>
      </w:r>
    </w:p>
    <w:p>
      <w:pPr>
        <w:pStyle w:val="nzIndenta"/>
      </w:pPr>
      <w:r>
        <w:tab/>
        <w:t>(c)</w:t>
      </w:r>
      <w:r>
        <w:tab/>
        <w:t>approval of any proposed alteration of those premises is sought from a public authority or other person or body.</w:t>
      </w:r>
    </w:p>
    <w:p>
      <w:pPr>
        <w:pStyle w:val="nzSubsection"/>
      </w:pPr>
      <w:r>
        <w:tab/>
        <w:t>(2)</w:t>
      </w:r>
      <w:r>
        <w:tab/>
        <w:t>A person must give the notification required under subsection (1) within 5 working days after the relevant occurrence takes place.</w:t>
      </w:r>
    </w:p>
    <w:p>
      <w:pPr>
        <w:pStyle w:val="nzPenstart"/>
      </w:pPr>
      <w:r>
        <w:tab/>
        <w:t>Penalty for an offence under this subsection: a fine of $10 000.</w:t>
      </w:r>
    </w:p>
    <w:p>
      <w:pPr>
        <w:pStyle w:val="nz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nzIndenta"/>
      </w:pPr>
      <w:r>
        <w:tab/>
        <w:t>(a)</w:t>
      </w:r>
      <w:r>
        <w:tab/>
        <w:t>the person has given written notification to the appropriate enforcement agency of the proposed change to the registrable activity; and</w:t>
      </w:r>
    </w:p>
    <w:p>
      <w:pPr>
        <w:pStyle w:val="nzIndenta"/>
      </w:pPr>
      <w:r>
        <w:tab/>
        <w:t>(b)</w:t>
      </w:r>
      <w:r>
        <w:tab/>
        <w:t>that change has been approved by the agency.</w:t>
      </w:r>
    </w:p>
    <w:p>
      <w:pPr>
        <w:pStyle w:val="nzPenstart"/>
      </w:pPr>
      <w:r>
        <w:tab/>
        <w:t>Penalty for an offence under this subsection: a fine of $10 000.</w:t>
      </w:r>
    </w:p>
    <w:p>
      <w:pPr>
        <w:pStyle w:val="nzHeading5"/>
      </w:pPr>
      <w:bookmarkStart w:id="1356" w:name="_Toc457219019"/>
      <w:bookmarkStart w:id="1357" w:name="_Toc457225572"/>
      <w:r>
        <w:rPr>
          <w:rStyle w:val="CharSectno"/>
        </w:rPr>
        <w:t>74</w:t>
      </w:r>
      <w:r>
        <w:t>.</w:t>
      </w:r>
      <w:r>
        <w:tab/>
        <w:t>Transfer of certificate of registration</w:t>
      </w:r>
      <w:bookmarkEnd w:id="1356"/>
      <w:bookmarkEnd w:id="1357"/>
    </w:p>
    <w:p>
      <w:pPr>
        <w:pStyle w:val="nzSubsection"/>
      </w:pPr>
      <w:r>
        <w:tab/>
        <w:t>(1)</w:t>
      </w:r>
      <w:r>
        <w:tab/>
        <w:t>The registration of a registrable activity in respect of any premises is not transferable to any other premises.</w:t>
      </w:r>
    </w:p>
    <w:p>
      <w:pPr>
        <w:pStyle w:val="nzSubsection"/>
      </w:pPr>
      <w:r>
        <w:tab/>
        <w:t>(2)</w:t>
      </w:r>
      <w:r>
        <w:tab/>
        <w:t>The holder of a certificate of registration can transfer that certificate to another person, but only if the appropriate enforcement authority first approves the transfer.</w:t>
      </w:r>
    </w:p>
    <w:p>
      <w:pPr>
        <w:pStyle w:val="nz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nzHeading5"/>
      </w:pPr>
      <w:bookmarkStart w:id="1358" w:name="_Toc457219020"/>
      <w:bookmarkStart w:id="1359" w:name="_Toc457225573"/>
      <w:r>
        <w:rPr>
          <w:rStyle w:val="CharSectno"/>
        </w:rPr>
        <w:t>75</w:t>
      </w:r>
      <w:r>
        <w:t>.</w:t>
      </w:r>
      <w:r>
        <w:tab/>
        <w:t>Review of decisions relating to registration</w:t>
      </w:r>
      <w:bookmarkEnd w:id="1358"/>
      <w:bookmarkEnd w:id="1359"/>
    </w:p>
    <w:p>
      <w:pPr>
        <w:pStyle w:val="nz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nzIndenta"/>
      </w:pPr>
      <w:r>
        <w:tab/>
        <w:t>(a)</w:t>
      </w:r>
      <w:r>
        <w:tab/>
        <w:t>the grant or refusal of the application for the registration of the registrable activity in respect of those premises under this Division; or</w:t>
      </w:r>
    </w:p>
    <w:p>
      <w:pPr>
        <w:pStyle w:val="nzIndenta"/>
      </w:pPr>
      <w:r>
        <w:tab/>
        <w:t>(b)</w:t>
      </w:r>
      <w:r>
        <w:tab/>
        <w:t>the imposition of conditions on the registration of the registrable activity in respect of those premises on the application being granted; or</w:t>
      </w:r>
    </w:p>
    <w:p>
      <w:pPr>
        <w:pStyle w:val="nzIndenta"/>
      </w:pPr>
      <w:r>
        <w:tab/>
        <w:t>(c)</w:t>
      </w:r>
      <w:r>
        <w:tab/>
        <w:t>the variation of conditions of the registration of the registrable activity in respect of those premises; or</w:t>
      </w:r>
    </w:p>
    <w:p>
      <w:pPr>
        <w:pStyle w:val="nzIndenta"/>
      </w:pPr>
      <w:r>
        <w:tab/>
        <w:t>(d)</w:t>
      </w:r>
      <w:r>
        <w:tab/>
        <w:t>the suspension or cancellation of the registration of the registrable activity in respect of those premises; or</w:t>
      </w:r>
    </w:p>
    <w:p>
      <w:pPr>
        <w:pStyle w:val="nzIndenta"/>
      </w:pPr>
      <w:r>
        <w:tab/>
        <w:t>(e)</w:t>
      </w:r>
      <w:r>
        <w:tab/>
        <w:t>the refusal of an application to transfer the certificate of registration to another person.</w:t>
      </w:r>
    </w:p>
    <w:p>
      <w:pPr>
        <w:pStyle w:val="nzHeading5"/>
      </w:pPr>
      <w:bookmarkStart w:id="1360" w:name="_Toc457219021"/>
      <w:bookmarkStart w:id="1361" w:name="_Toc457225574"/>
      <w:r>
        <w:rPr>
          <w:rStyle w:val="CharSectno"/>
        </w:rPr>
        <w:t>76</w:t>
      </w:r>
      <w:r>
        <w:t>.</w:t>
      </w:r>
      <w:r>
        <w:tab/>
        <w:t>Register of activities and premises to be maintained</w:t>
      </w:r>
      <w:bookmarkEnd w:id="1360"/>
      <w:bookmarkEnd w:id="1361"/>
    </w:p>
    <w:p>
      <w:pPr>
        <w:pStyle w:val="nz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nzSubsection"/>
      </w:pPr>
      <w:r>
        <w:tab/>
        <w:t>(2)</w:t>
      </w:r>
      <w:r>
        <w:tab/>
        <w:t>The register must contain any details prescribed by the regulations in respect of the registrable activities and premises listed in the register.</w:t>
      </w:r>
    </w:p>
    <w:p>
      <w:pPr>
        <w:pStyle w:val="nzSubsection"/>
      </w:pPr>
      <w:r>
        <w:tab/>
        <w:t>(3)</w:t>
      </w:r>
      <w:r>
        <w:tab/>
        <w:t>The register must be made publicly available, without charge, during normal business hours.</w:t>
      </w:r>
    </w:p>
    <w:p>
      <w:pPr>
        <w:pStyle w:val="nzSubsection"/>
      </w:pPr>
      <w:r>
        <w:tab/>
        <w:t>(4)</w:t>
      </w:r>
      <w:r>
        <w:tab/>
        <w:t>Without limiting subsection (3), the register may be made publicly available on a website maintained by or on behalf of the enforcement agency.</w:t>
      </w:r>
    </w:p>
    <w:p>
      <w:pPr>
        <w:pStyle w:val="nzHeading3"/>
      </w:pPr>
      <w:bookmarkStart w:id="1362" w:name="_Toc402269064"/>
      <w:bookmarkStart w:id="1363" w:name="_Toc402269443"/>
      <w:bookmarkStart w:id="1364" w:name="_Toc402273712"/>
      <w:bookmarkStart w:id="1365" w:name="_Toc402274562"/>
      <w:bookmarkStart w:id="1366" w:name="_Toc402278957"/>
      <w:bookmarkStart w:id="1367" w:name="_Toc402279336"/>
      <w:bookmarkStart w:id="1368" w:name="_Toc402344689"/>
      <w:bookmarkStart w:id="1369" w:name="_Toc402419610"/>
      <w:bookmarkStart w:id="1370" w:name="_Toc403034662"/>
      <w:bookmarkStart w:id="1371" w:name="_Toc403036033"/>
      <w:bookmarkStart w:id="1372" w:name="_Toc403468241"/>
      <w:bookmarkStart w:id="1373" w:name="_Toc404169650"/>
      <w:bookmarkStart w:id="1374" w:name="_Toc404172322"/>
      <w:bookmarkStart w:id="1375" w:name="_Toc404178265"/>
      <w:bookmarkStart w:id="1376" w:name="_Toc436298840"/>
      <w:bookmarkStart w:id="1377" w:name="_Toc436299717"/>
      <w:bookmarkStart w:id="1378" w:name="_Toc436302233"/>
      <w:bookmarkStart w:id="1379" w:name="_Toc455145472"/>
      <w:bookmarkStart w:id="1380" w:name="_Toc455150204"/>
      <w:bookmarkStart w:id="1381" w:name="_Toc455748360"/>
      <w:bookmarkStart w:id="1382" w:name="_Toc457219022"/>
      <w:bookmarkStart w:id="1383" w:name="_Toc457225575"/>
      <w:r>
        <w:rPr>
          <w:rStyle w:val="CharDivNo"/>
        </w:rPr>
        <w:t>Division 3</w:t>
      </w:r>
      <w:r>
        <w:t> — </w:t>
      </w:r>
      <w:r>
        <w:rPr>
          <w:rStyle w:val="CharDivText"/>
        </w:rPr>
        <w:t>Licensing of individuals carrying on licensable activities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nzHeading5"/>
      </w:pPr>
      <w:bookmarkStart w:id="1384" w:name="_Toc457219023"/>
      <w:bookmarkStart w:id="1385" w:name="_Toc457225576"/>
      <w:r>
        <w:rPr>
          <w:rStyle w:val="CharSectno"/>
        </w:rPr>
        <w:t>77</w:t>
      </w:r>
      <w:r>
        <w:t>.</w:t>
      </w:r>
      <w:r>
        <w:tab/>
        <w:t>Unlicensed persons carrying on licensable activities</w:t>
      </w:r>
      <w:bookmarkEnd w:id="1384"/>
      <w:bookmarkEnd w:id="1385"/>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licensable activity unless the person holds an activity licence that authorises the person to carry on that activity.</w:t>
      </w:r>
    </w:p>
    <w:p>
      <w:pPr>
        <w:pStyle w:val="nzPenstart"/>
      </w:pPr>
      <w:r>
        <w:tab/>
        <w:t>Penalty for an offence under this subsection:</w:t>
      </w:r>
    </w:p>
    <w:p>
      <w:pPr>
        <w:pStyle w:val="nzPenpara"/>
      </w:pPr>
      <w:r>
        <w:tab/>
        <w:t>(a)</w:t>
      </w:r>
      <w:r>
        <w:tab/>
        <w:t>for an individual — a fine of $20 000;</w:t>
      </w:r>
    </w:p>
    <w:p>
      <w:pPr>
        <w:pStyle w:val="nzPenpara"/>
      </w:pPr>
      <w:r>
        <w:tab/>
        <w:t>(b)</w:t>
      </w:r>
      <w:r>
        <w:tab/>
        <w:t>for a body corporate convicted under section 281 — a fine of $100 000.</w:t>
      </w:r>
    </w:p>
    <w:p>
      <w:pPr>
        <w:pStyle w:val="nzHeading5"/>
      </w:pPr>
      <w:bookmarkStart w:id="1386" w:name="_Toc457219024"/>
      <w:bookmarkStart w:id="1387" w:name="_Toc457225577"/>
      <w:r>
        <w:rPr>
          <w:rStyle w:val="CharSectno"/>
        </w:rPr>
        <w:t>78</w:t>
      </w:r>
      <w:r>
        <w:t>.</w:t>
      </w:r>
      <w:r>
        <w:tab/>
        <w:t>Activity licences</w:t>
      </w:r>
      <w:bookmarkEnd w:id="1386"/>
      <w:bookmarkEnd w:id="1387"/>
    </w:p>
    <w:p>
      <w:pPr>
        <w:pStyle w:val="nzSubsection"/>
      </w:pPr>
      <w:r>
        <w:tab/>
        <w:t>(1)</w:t>
      </w:r>
      <w:r>
        <w:tab/>
        <w:t>The appropriate enforcement agency may grant an activity licence that authorises a person to carry on one or more licensable activities.</w:t>
      </w:r>
    </w:p>
    <w:p>
      <w:pPr>
        <w:pStyle w:val="nzSubsection"/>
      </w:pPr>
      <w:r>
        <w:tab/>
        <w:t>(2)</w:t>
      </w:r>
      <w:r>
        <w:tab/>
        <w:t xml:space="preserve">An activity licence — </w:t>
      </w:r>
    </w:p>
    <w:p>
      <w:pPr>
        <w:pStyle w:val="nzIndenta"/>
      </w:pPr>
      <w:r>
        <w:tab/>
        <w:t>(a)</w:t>
      </w:r>
      <w:r>
        <w:tab/>
        <w:t>may be granted only to an individual; and</w:t>
      </w:r>
    </w:p>
    <w:p>
      <w:pPr>
        <w:pStyle w:val="nzIndenta"/>
      </w:pPr>
      <w:r>
        <w:tab/>
        <w:t>(b)</w:t>
      </w:r>
      <w:r>
        <w:tab/>
        <w:t>is not transferable to another individual.</w:t>
      </w:r>
    </w:p>
    <w:p>
      <w:pPr>
        <w:pStyle w:val="nzSubsection"/>
      </w:pPr>
      <w:r>
        <w:tab/>
        <w:t>(3)</w:t>
      </w:r>
      <w:r>
        <w:tab/>
        <w:t>A person may apply, in the approved form, to the appropriate enforcement agency for an activity licence, specifying the licensable activity or activities that the person proposes to carry on.</w:t>
      </w:r>
    </w:p>
    <w:p>
      <w:pPr>
        <w:pStyle w:val="nzSubsection"/>
      </w:pPr>
      <w:r>
        <w:tab/>
        <w:t>(4)</w:t>
      </w:r>
      <w:r>
        <w:tab/>
        <w:t xml:space="preserve">The application must be accompanied by — </w:t>
      </w:r>
    </w:p>
    <w:p>
      <w:pPr>
        <w:pStyle w:val="nzIndenta"/>
      </w:pPr>
      <w:r>
        <w:tab/>
        <w:t>(a)</w:t>
      </w:r>
      <w:r>
        <w:tab/>
        <w:t>any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(5)</w:t>
      </w:r>
      <w:r>
        <w:tab/>
        <w:t xml:space="preserve">After considering an application for an activity licence,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(6)</w:t>
      </w:r>
      <w:r>
        <w:tab/>
        <w:t>In deciding whether to grant or refuse the application, the appropriate enforcement agency must have regard to any matters prescribed by the regulations for the purposes of this subsection.</w:t>
      </w:r>
    </w:p>
    <w:p>
      <w:pPr>
        <w:pStyle w:val="nzSubsection"/>
      </w:pPr>
      <w:r>
        <w:tab/>
        <w:t>(7)</w:t>
      </w:r>
      <w:r>
        <w:tab/>
        <w:t xml:space="preserve">If the appropriate enforcement agency grants an application for an activity licence, the agency must issue the applicant with an activity licence, in the approved form, that — </w:t>
      </w:r>
    </w:p>
    <w:p>
      <w:pPr>
        <w:pStyle w:val="nzIndenta"/>
      </w:pPr>
      <w:r>
        <w:tab/>
        <w:t>(a)</w:t>
      </w:r>
      <w:r>
        <w:tab/>
        <w:t>specifies the name of the person to whom the licence is issued; and</w:t>
      </w:r>
    </w:p>
    <w:p>
      <w:pPr>
        <w:pStyle w:val="nzIndenta"/>
      </w:pPr>
      <w:r>
        <w:tab/>
        <w:t>(b)</w:t>
      </w:r>
      <w:r>
        <w:tab/>
        <w:t>specifies the licensable activity or activities authorised to be carried on by the licence; and</w:t>
      </w:r>
    </w:p>
    <w:p>
      <w:pPr>
        <w:pStyle w:val="nzIndenta"/>
      </w:pPr>
      <w:r>
        <w:tab/>
        <w:t>(c)</w:t>
      </w:r>
      <w:r>
        <w:tab/>
        <w:t>sets out any conditions to which the licence is subject; and</w:t>
      </w:r>
    </w:p>
    <w:p>
      <w:pPr>
        <w:pStyle w:val="nzIndenta"/>
      </w:pPr>
      <w:r>
        <w:tab/>
        <w:t>(d)</w:t>
      </w:r>
      <w:r>
        <w:tab/>
        <w:t>specifies the period for which the licence remains in force.</w:t>
      </w:r>
    </w:p>
    <w:p>
      <w:pPr>
        <w:pStyle w:val="nzSubsection"/>
      </w:pPr>
      <w:r>
        <w:tab/>
        <w:t>(8)</w:t>
      </w:r>
      <w:r>
        <w:tab/>
        <w:t>If the appropriate enforcement agency refuses an application for an activity licence, the agency must give written notice of the refusal to the applicant setting out the reasons for the refusal.</w:t>
      </w:r>
    </w:p>
    <w:p>
      <w:pPr>
        <w:pStyle w:val="nzHeading5"/>
      </w:pPr>
      <w:bookmarkStart w:id="1388" w:name="_Toc457219025"/>
      <w:bookmarkStart w:id="1389" w:name="_Toc457225578"/>
      <w:r>
        <w:rPr>
          <w:rStyle w:val="CharSectno"/>
        </w:rPr>
        <w:t>79</w:t>
      </w:r>
      <w:r>
        <w:t>.</w:t>
      </w:r>
      <w:r>
        <w:tab/>
        <w:t>Period an activity licence remains in force</w:t>
      </w:r>
      <w:bookmarkEnd w:id="1388"/>
      <w:bookmarkEnd w:id="1389"/>
    </w:p>
    <w:p>
      <w:pPr>
        <w:pStyle w:val="nzSubsection"/>
      </w:pPr>
      <w:r>
        <w:tab/>
        <w:t>(1)</w:t>
      </w:r>
      <w:r>
        <w:tab/>
        <w:t>Unless it is sooner cancelled, an activity licence remains in force, except while it is suspended, for the period specified in the licence.</w:t>
      </w:r>
    </w:p>
    <w:p>
      <w:pPr>
        <w:pStyle w:val="nzSubsection"/>
      </w:pPr>
      <w:r>
        <w:tab/>
        <w:t>(2)</w:t>
      </w:r>
      <w:r>
        <w:tab/>
        <w:t>An activity licence may be renewed under section 80.</w:t>
      </w:r>
    </w:p>
    <w:p>
      <w:pPr>
        <w:pStyle w:val="nzHeading5"/>
      </w:pPr>
      <w:bookmarkStart w:id="1390" w:name="_Toc457219026"/>
      <w:bookmarkStart w:id="1391" w:name="_Toc457225579"/>
      <w:r>
        <w:rPr>
          <w:rStyle w:val="CharSectno"/>
        </w:rPr>
        <w:t>80</w:t>
      </w:r>
      <w:r>
        <w:t>.</w:t>
      </w:r>
      <w:r>
        <w:tab/>
        <w:t>Renewal of activity licence</w:t>
      </w:r>
      <w:bookmarkEnd w:id="1390"/>
      <w:bookmarkEnd w:id="1391"/>
    </w:p>
    <w:p>
      <w:pPr>
        <w:pStyle w:val="nzSubsection"/>
      </w:pPr>
      <w:r>
        <w:tab/>
        <w:t>(1)</w:t>
      </w:r>
      <w:r>
        <w:tab/>
        <w:t>A person who holds an activity licence may apply to the appropriate enforcement agency to renew the licence.</w:t>
      </w:r>
    </w:p>
    <w:p>
      <w:pPr>
        <w:pStyle w:val="nzSubsection"/>
      </w:pPr>
      <w:r>
        <w:tab/>
        <w:t>(2)</w:t>
      </w:r>
      <w:r>
        <w:tab/>
        <w:t>The application must be made before the activity licence expires.</w:t>
      </w:r>
    </w:p>
    <w:p>
      <w:pPr>
        <w:pStyle w:val="nzSubsection"/>
      </w:pPr>
      <w:r>
        <w:tab/>
        <w:t>(3)</w:t>
      </w:r>
      <w:r>
        <w:tab/>
        <w:t>Section 78(4) to (8) apply, with any necessary changes, to an application under this section.</w:t>
      </w:r>
    </w:p>
    <w:p>
      <w:pPr>
        <w:pStyle w:val="nzSubsection"/>
      </w:pPr>
      <w:r>
        <w:tab/>
        <w:t>(4)</w:t>
      </w:r>
      <w:r>
        <w:tab/>
        <w:t>A suspended activity licence may be renewed under this section, but the renewal of the licence does not affect the period of suspension.</w:t>
      </w:r>
    </w:p>
    <w:p>
      <w:pPr>
        <w:pStyle w:val="nzSubsection"/>
        <w:keepNext/>
      </w:pPr>
      <w:r>
        <w:tab/>
        <w:t>(5)</w:t>
      </w:r>
      <w:r>
        <w:tab/>
        <w:t xml:space="preserve">If an application for the renewal of an activity licence is made but not dealt with before the licence expires — </w:t>
      </w:r>
    </w:p>
    <w:p>
      <w:pPr>
        <w:pStyle w:val="nzIndenta"/>
      </w:pPr>
      <w:r>
        <w:tab/>
        <w:t>(a)</w:t>
      </w:r>
      <w:r>
        <w:tab/>
        <w:t>the licence continues in force until the application is dealt with, but without affecting the period of suspension of a suspended activity licence; and</w:t>
      </w:r>
    </w:p>
    <w:p>
      <w:pPr>
        <w:pStyle w:val="nzIndenta"/>
      </w:pPr>
      <w:r>
        <w:tab/>
        <w:t>(b)</w:t>
      </w:r>
      <w:r>
        <w:tab/>
        <w:t>any renewal in that case is to be taken for all purposes to have taken effect on the day immediately following the day on which the licence would (but for the renewal) have expired.</w:t>
      </w:r>
    </w:p>
    <w:p>
      <w:pPr>
        <w:pStyle w:val="nzHeading5"/>
      </w:pPr>
      <w:bookmarkStart w:id="1392" w:name="_Toc457219027"/>
      <w:bookmarkStart w:id="1393" w:name="_Toc457225580"/>
      <w:r>
        <w:rPr>
          <w:rStyle w:val="CharSectno"/>
        </w:rPr>
        <w:t>81</w:t>
      </w:r>
      <w:r>
        <w:t>.</w:t>
      </w:r>
      <w:r>
        <w:tab/>
        <w:t>Annual or other fee in relation to activity licence</w:t>
      </w:r>
      <w:bookmarkEnd w:id="1392"/>
      <w:bookmarkEnd w:id="1393"/>
    </w:p>
    <w:p>
      <w:pPr>
        <w:pStyle w:val="nzSubsection"/>
      </w:pPr>
      <w:r>
        <w:tab/>
        <w:t>(1)</w:t>
      </w:r>
      <w:r>
        <w:tab/>
        <w:t>The regulations may prescribe an annual or other fee in relation to an activity licence,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nzHeading5"/>
      </w:pPr>
      <w:bookmarkStart w:id="1394" w:name="_Toc457219028"/>
      <w:bookmarkStart w:id="1395" w:name="_Toc457225581"/>
      <w:r>
        <w:rPr>
          <w:rStyle w:val="CharSectno"/>
        </w:rPr>
        <w:t>82</w:t>
      </w:r>
      <w:r>
        <w:t>.</w:t>
      </w:r>
      <w:r>
        <w:tab/>
        <w:t>Variation of conditions, suspension or cancellation of activity licence</w:t>
      </w:r>
      <w:bookmarkEnd w:id="1394"/>
      <w:bookmarkEnd w:id="1395"/>
    </w:p>
    <w:p>
      <w:pPr>
        <w:pStyle w:val="nz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nzSubsection"/>
      </w:pPr>
      <w:r>
        <w:tab/>
        <w:t>(2)</w:t>
      </w:r>
      <w:r>
        <w:tab/>
        <w:t xml:space="preserve">An activity licence may be suspended or cancelled on any grounds prescribed by the regulations or on any of these grounds — </w:t>
      </w:r>
    </w:p>
    <w:p>
      <w:pPr>
        <w:pStyle w:val="nzIndenta"/>
      </w:pPr>
      <w:r>
        <w:tab/>
        <w:t>(a)</w:t>
      </w:r>
      <w:r>
        <w:tab/>
        <w:t>the licence has been obtained by fraud or misrepresentation;</w:t>
      </w:r>
    </w:p>
    <w:p>
      <w:pPr>
        <w:pStyle w:val="nzIndenta"/>
      </w:pPr>
      <w:r>
        <w:tab/>
        <w:t>(b)</w:t>
      </w:r>
      <w:r>
        <w:tab/>
        <w:t>the holder of the licence has been convicted of an offence under this Act or a corresponding public health law;</w:t>
      </w:r>
    </w:p>
    <w:p>
      <w:pPr>
        <w:pStyle w:val="nzIndenta"/>
      </w:pPr>
      <w:r>
        <w:tab/>
        <w:t>(c)</w:t>
      </w:r>
      <w:r>
        <w:tab/>
        <w:t>the holder of the licence has failed to comply with a code of practice prescribed by the regulations in respect of a licensable activity authorised to be carried on by the licence;</w:t>
      </w:r>
    </w:p>
    <w:p>
      <w:pPr>
        <w:pStyle w:val="nzIndenta"/>
      </w:pPr>
      <w:r>
        <w:tab/>
        <w:t>(d)</w:t>
      </w:r>
      <w:r>
        <w:tab/>
        <w:t>if the appropriate enforcement agency is a local government, any annual or other fee imposed by the agency in relation to the licence has not been paid by the time the agency requires the payment to be made;</w:t>
      </w:r>
    </w:p>
    <w:p>
      <w:pPr>
        <w:pStyle w:val="nzIndenta"/>
      </w:pPr>
      <w:r>
        <w:tab/>
        <w:t>(e)</w:t>
      </w:r>
      <w:r>
        <w:tab/>
        <w:t>in a case where paragraph (d) does not apply, any annual or other fee prescribed by the regulations in relation to the licence has not been paid by the time the regulations require the payment to be made;</w:t>
      </w:r>
    </w:p>
    <w:p>
      <w:pPr>
        <w:pStyle w:val="nzIndenta"/>
      </w:pPr>
      <w:r>
        <w:tab/>
        <w:t>(f)</w:t>
      </w:r>
      <w:r>
        <w:tab/>
        <w:t>any condition to which the licence is subject has not been complied with;</w:t>
      </w:r>
    </w:p>
    <w:p>
      <w:pPr>
        <w:pStyle w:val="nzIndenta"/>
      </w:pPr>
      <w:r>
        <w:tab/>
        <w:t>(g)</w:t>
      </w:r>
      <w:r>
        <w:tab/>
        <w:t>the holder of the licence has ceased to carry on the licensable activity or activities authorised to be carried on by the licence;</w:t>
      </w:r>
    </w:p>
    <w:p>
      <w:pPr>
        <w:pStyle w:val="nzIndenta"/>
      </w:pPr>
      <w:r>
        <w:tab/>
        <w:t>(h)</w:t>
      </w:r>
      <w:r>
        <w:tab/>
        <w:t>the holder of the licence has applied for the suspension or cancellation.</w:t>
      </w:r>
    </w:p>
    <w:p>
      <w:pPr>
        <w:pStyle w:val="nzSubsection"/>
      </w:pPr>
      <w:r>
        <w:tab/>
        <w:t>(3)</w:t>
      </w:r>
      <w:r>
        <w:tab/>
        <w:t xml:space="preserve">The appropriate enforcement agency may vary the conditions of, suspend or cancel an activity licence only — </w:t>
      </w:r>
    </w:p>
    <w:p>
      <w:pPr>
        <w:pStyle w:val="nzIndenta"/>
      </w:pPr>
      <w:r>
        <w:tab/>
        <w:t>(a)</w:t>
      </w:r>
      <w:r>
        <w:tab/>
        <w:t xml:space="preserve">after having given the holder of the licence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nzSubsection"/>
      </w:pPr>
      <w:r>
        <w:tab/>
        <w:t>(5)</w:t>
      </w:r>
      <w:r>
        <w:tab/>
        <w:t xml:space="preserve">A variation of the conditions, or the suspension or cancellation, of an activity licence — </w:t>
      </w:r>
    </w:p>
    <w:p>
      <w:pPr>
        <w:pStyle w:val="nzIndenta"/>
      </w:pPr>
      <w:r>
        <w:tab/>
        <w:t>(a)</w:t>
      </w:r>
      <w:r>
        <w:tab/>
        <w:t>must be by written notice; and</w:t>
      </w:r>
    </w:p>
    <w:p>
      <w:pPr>
        <w:pStyle w:val="nzIndenta"/>
      </w:pPr>
      <w:r>
        <w:tab/>
        <w:t>(b)</w:t>
      </w:r>
      <w:r>
        <w:tab/>
        <w:t>must be served on the holder of the licence; and</w:t>
      </w:r>
    </w:p>
    <w:p>
      <w:pPr>
        <w:pStyle w:val="nzIndenta"/>
      </w:pPr>
      <w:r>
        <w:tab/>
        <w:t>(c)</w:t>
      </w:r>
      <w:r>
        <w:tab/>
        <w:t>takes effect on the day on which the notice is served or on a later day specified in the notice.</w:t>
      </w:r>
    </w:p>
    <w:p>
      <w:pPr>
        <w:pStyle w:val="nzHeading5"/>
      </w:pPr>
      <w:bookmarkStart w:id="1396" w:name="_Toc457219029"/>
      <w:bookmarkStart w:id="1397" w:name="_Toc457225582"/>
      <w:r>
        <w:rPr>
          <w:rStyle w:val="CharSectno"/>
        </w:rPr>
        <w:t>83</w:t>
      </w:r>
      <w:r>
        <w:t>.</w:t>
      </w:r>
      <w:r>
        <w:tab/>
        <w:t>Further provisions relating to suspension of activity licence</w:t>
      </w:r>
      <w:bookmarkEnd w:id="1396"/>
      <w:bookmarkEnd w:id="1397"/>
    </w:p>
    <w:p>
      <w:pPr>
        <w:pStyle w:val="nzSubsection"/>
      </w:pPr>
      <w:r>
        <w:tab/>
        <w:t>(1)</w:t>
      </w:r>
      <w:r>
        <w:tab/>
        <w:t>Unless a longer period of suspension is requested by the holder of the activity licence, an activity licence cannot be suspended under section 82 for longer than 3 months.</w:t>
      </w:r>
    </w:p>
    <w:p>
      <w:pPr>
        <w:pStyle w:val="nzSubsection"/>
      </w:pPr>
      <w:r>
        <w:tab/>
        <w:t>(2)</w:t>
      </w:r>
      <w:r>
        <w:tab/>
        <w:t>While an activity licence is suspended under section 82, the holder of the licence is to be regarded as not authorised to carry on the licensable activity to which the licence relates.</w:t>
      </w:r>
    </w:p>
    <w:p>
      <w:pPr>
        <w:pStyle w:val="nz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82(5) applies with all necessary changes to the extension of a period of suspension as if it were the imposition of a period of suspension.</w:t>
      </w:r>
    </w:p>
    <w:p>
      <w:pPr>
        <w:pStyle w:val="nzSubsection"/>
      </w:pPr>
      <w:r>
        <w:tab/>
        <w:t>(5)</w:t>
      </w:r>
      <w:r>
        <w:tab/>
        <w:t xml:space="preserve">If an activity licence is suspended under section 82 — </w:t>
      </w:r>
    </w:p>
    <w:p>
      <w:pPr>
        <w:pStyle w:val="nzIndenta"/>
      </w:pPr>
      <w:r>
        <w:tab/>
        <w:t>(a)</w:t>
      </w:r>
      <w:r>
        <w:tab/>
        <w:t>in any case where the holder of the licence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nzHeading5"/>
      </w:pPr>
      <w:bookmarkStart w:id="1398" w:name="_Toc457219030"/>
      <w:bookmarkStart w:id="1399" w:name="_Toc457225583"/>
      <w:r>
        <w:rPr>
          <w:rStyle w:val="CharSectno"/>
        </w:rPr>
        <w:t>84</w:t>
      </w:r>
      <w:r>
        <w:t>.</w:t>
      </w:r>
      <w:r>
        <w:tab/>
        <w:t>Notification of certain changes to licensable activities</w:t>
      </w:r>
      <w:bookmarkEnd w:id="1398"/>
      <w:bookmarkEnd w:id="1399"/>
    </w:p>
    <w:p>
      <w:pPr>
        <w:pStyle w:val="nzSubsection"/>
      </w:pPr>
      <w:r>
        <w:tab/>
        <w:t>(1)</w:t>
      </w:r>
      <w:r>
        <w:tab/>
        <w:t xml:space="preserve">A person who holds an activity licence must give written notification, in the approved form, to the appropriate enforcement agency of any of these changes in relation to the licence — </w:t>
      </w:r>
    </w:p>
    <w:p>
      <w:pPr>
        <w:pStyle w:val="nzIndenta"/>
      </w:pPr>
      <w:r>
        <w:tab/>
        <w:t>(a)</w:t>
      </w:r>
      <w:r>
        <w:tab/>
        <w:t>the person ceases to carry on a licensable activity authorised to be carried on by the licence;</w:t>
      </w:r>
    </w:p>
    <w:p>
      <w:pPr>
        <w:pStyle w:val="nzIndenta"/>
      </w:pPr>
      <w:r>
        <w:tab/>
        <w:t>(b)</w:t>
      </w:r>
      <w:r>
        <w:tab/>
        <w:t>any change is made to a licensable activity authorised to be carried on by the licence that is likely to affect the nature or extent of the public health risk from that activity;</w:t>
      </w:r>
    </w:p>
    <w:p>
      <w:pPr>
        <w:pStyle w:val="nzIndenta"/>
      </w:pPr>
      <w:r>
        <w:tab/>
        <w:t>(c)</w:t>
      </w:r>
      <w:r>
        <w:tab/>
        <w:t>any other change in relation to the licence that is prescribed by the regulations.</w:t>
      </w:r>
    </w:p>
    <w:p>
      <w:pPr>
        <w:pStyle w:val="nzSubsection"/>
      </w:pPr>
      <w:r>
        <w:tab/>
        <w:t>(2)</w:t>
      </w:r>
      <w:r>
        <w:tab/>
        <w:t>The person must give the notification required under subsection (1) within 5 working days after the relevant change takes place.</w:t>
      </w:r>
    </w:p>
    <w:p>
      <w:pPr>
        <w:pStyle w:val="nzPenstart"/>
      </w:pPr>
      <w:r>
        <w:tab/>
        <w:t>Penalty for an offence under this subsection:</w:t>
      </w:r>
    </w:p>
    <w:p>
      <w:pPr>
        <w:pStyle w:val="nzPenpara"/>
      </w:pPr>
      <w:r>
        <w:tab/>
        <w:t>(a)</w:t>
      </w:r>
      <w:r>
        <w:tab/>
        <w:t>for an individual — a fine of $10 000;</w:t>
      </w:r>
    </w:p>
    <w:p>
      <w:pPr>
        <w:pStyle w:val="nzPenpara"/>
      </w:pPr>
      <w:r>
        <w:tab/>
        <w:t>(b)</w:t>
      </w:r>
      <w:r>
        <w:tab/>
        <w:t>for a body corporate convicted under section 281 — a fine of $50 000.</w:t>
      </w:r>
    </w:p>
    <w:p>
      <w:pPr>
        <w:pStyle w:val="nzHeading5"/>
      </w:pPr>
      <w:bookmarkStart w:id="1400" w:name="_Toc457219031"/>
      <w:bookmarkStart w:id="1401" w:name="_Toc457225584"/>
      <w:r>
        <w:rPr>
          <w:rStyle w:val="CharSectno"/>
        </w:rPr>
        <w:t>85</w:t>
      </w:r>
      <w:r>
        <w:t>.</w:t>
      </w:r>
      <w:r>
        <w:tab/>
        <w:t>Review of decisions relating to activity licences</w:t>
      </w:r>
      <w:bookmarkEnd w:id="1400"/>
      <w:bookmarkEnd w:id="1401"/>
    </w:p>
    <w:p>
      <w:pPr>
        <w:pStyle w:val="nz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nzIndenta"/>
      </w:pPr>
      <w:r>
        <w:tab/>
        <w:t>(a)</w:t>
      </w:r>
      <w:r>
        <w:tab/>
        <w:t>the grant or refusal of the application for, or for the renewal of, the licence; or</w:t>
      </w:r>
    </w:p>
    <w:p>
      <w:pPr>
        <w:pStyle w:val="nzIndenta"/>
      </w:pPr>
      <w:r>
        <w:tab/>
        <w:t>(b)</w:t>
      </w:r>
      <w:r>
        <w:tab/>
        <w:t>the imposition of conditions on the licence on the application being granted; or</w:t>
      </w:r>
    </w:p>
    <w:p>
      <w:pPr>
        <w:pStyle w:val="nzIndenta"/>
      </w:pPr>
      <w:r>
        <w:tab/>
        <w:t>(c)</w:t>
      </w:r>
      <w:r>
        <w:tab/>
        <w:t>the variation of conditions of the licence; or</w:t>
      </w:r>
    </w:p>
    <w:p>
      <w:pPr>
        <w:pStyle w:val="nzIndenta"/>
      </w:pPr>
      <w:r>
        <w:tab/>
        <w:t>(d)</w:t>
      </w:r>
      <w:r>
        <w:tab/>
        <w:t>the suspension or cancellation of the licence.</w:t>
      </w:r>
    </w:p>
    <w:p>
      <w:pPr>
        <w:pStyle w:val="nzHeading5"/>
      </w:pPr>
      <w:bookmarkStart w:id="1402" w:name="_Toc457219032"/>
      <w:bookmarkStart w:id="1403" w:name="_Toc457225585"/>
      <w:r>
        <w:rPr>
          <w:rStyle w:val="CharSectno"/>
        </w:rPr>
        <w:t>86</w:t>
      </w:r>
      <w:r>
        <w:t>.</w:t>
      </w:r>
      <w:r>
        <w:tab/>
        <w:t>Register of licence holders to be maintained</w:t>
      </w:r>
      <w:bookmarkEnd w:id="1402"/>
      <w:bookmarkEnd w:id="1403"/>
    </w:p>
    <w:p>
      <w:pPr>
        <w:pStyle w:val="nzSubsection"/>
      </w:pPr>
      <w:r>
        <w:tab/>
        <w:t>(1)</w:t>
      </w:r>
      <w:r>
        <w:tab/>
        <w:t>An enforcement agency must prepare and maintain, in an approved form, a register listing the persons who hold an activity licence issued by the agency.</w:t>
      </w:r>
    </w:p>
    <w:p>
      <w:pPr>
        <w:pStyle w:val="nzSubsection"/>
      </w:pPr>
      <w:r>
        <w:tab/>
        <w:t>(2)</w:t>
      </w:r>
      <w:r>
        <w:tab/>
        <w:t>The register must contain any details prescribed by the regulations in respect of each person listed in the register.</w:t>
      </w:r>
    </w:p>
    <w:p>
      <w:pPr>
        <w:pStyle w:val="nzSubsection"/>
      </w:pPr>
      <w:r>
        <w:tab/>
        <w:t>(3)</w:t>
      </w:r>
      <w:r>
        <w:tab/>
        <w:t>The register may be prepared and maintained in conjunction with a register prepared and maintained by the enforcement agency under section 76.</w:t>
      </w:r>
    </w:p>
    <w:p>
      <w:pPr>
        <w:pStyle w:val="nzSubsection"/>
      </w:pPr>
      <w:r>
        <w:tab/>
        <w:t>(4)</w:t>
      </w:r>
      <w:r>
        <w:tab/>
        <w:t>The register must be made publicly available, without charge, during normal business hours.</w:t>
      </w:r>
    </w:p>
    <w:p>
      <w:pPr>
        <w:pStyle w:val="nzSubsection"/>
      </w:pPr>
      <w:r>
        <w:tab/>
        <w:t>(5)</w:t>
      </w:r>
      <w:r>
        <w:tab/>
        <w:t>Without limiting subsection (4), the register may be made publicly available on a website maintained by or on behalf of the enforcement agency.</w:t>
      </w:r>
    </w:p>
    <w:p>
      <w:pPr>
        <w:pStyle w:val="nzHeading2"/>
      </w:pPr>
      <w:bookmarkStart w:id="1404" w:name="_Toc402269146"/>
      <w:bookmarkStart w:id="1405" w:name="_Toc402269525"/>
      <w:bookmarkStart w:id="1406" w:name="_Toc402273794"/>
      <w:bookmarkStart w:id="1407" w:name="_Toc402274644"/>
      <w:bookmarkStart w:id="1408" w:name="_Toc402279039"/>
      <w:bookmarkStart w:id="1409" w:name="_Toc402279418"/>
      <w:bookmarkStart w:id="1410" w:name="_Toc402344771"/>
      <w:bookmarkStart w:id="1411" w:name="_Toc402419692"/>
      <w:bookmarkStart w:id="1412" w:name="_Toc403034744"/>
      <w:bookmarkStart w:id="1413" w:name="_Toc403036115"/>
      <w:bookmarkStart w:id="1414" w:name="_Toc403468323"/>
      <w:bookmarkStart w:id="1415" w:name="_Toc404169732"/>
      <w:bookmarkStart w:id="1416" w:name="_Toc404172404"/>
      <w:bookmarkStart w:id="1417" w:name="_Toc404178347"/>
      <w:bookmarkStart w:id="1418" w:name="_Toc436298922"/>
      <w:bookmarkStart w:id="1419" w:name="_Toc436299799"/>
      <w:bookmarkStart w:id="1420" w:name="_Toc436302315"/>
      <w:bookmarkStart w:id="1421" w:name="_Toc455145554"/>
      <w:bookmarkStart w:id="1422" w:name="_Toc455150286"/>
      <w:bookmarkStart w:id="1423" w:name="_Toc455748442"/>
      <w:bookmarkStart w:id="1424" w:name="_Toc457219104"/>
      <w:bookmarkStart w:id="1425" w:name="_Toc457225657"/>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nzHeading5"/>
      </w:pPr>
      <w:bookmarkStart w:id="1426" w:name="_Toc457219105"/>
      <w:bookmarkStart w:id="1427" w:name="_Toc457225658"/>
      <w:r>
        <w:rPr>
          <w:rStyle w:val="CharSectno"/>
        </w:rPr>
        <w:t>148</w:t>
      </w:r>
      <w:r>
        <w:t>.</w:t>
      </w:r>
      <w:r>
        <w:tab/>
        <w:t>Terms used</w:t>
      </w:r>
      <w:bookmarkEnd w:id="1426"/>
      <w:bookmarkEnd w:id="1427"/>
    </w:p>
    <w:p>
      <w:pPr>
        <w:pStyle w:val="nzSubsection"/>
      </w:pPr>
      <w:r>
        <w:tab/>
      </w:r>
      <w:r>
        <w:tab/>
        <w:t xml:space="preserve">In this Part — </w:t>
      </w:r>
    </w:p>
    <w:p>
      <w:pPr>
        <w:pStyle w:val="nzDefstart"/>
      </w:pPr>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p>
    <w:p>
      <w:pPr>
        <w:pStyle w:val="nzDefstart"/>
      </w:pPr>
      <w:r>
        <w:tab/>
      </w:r>
      <w:r>
        <w:rPr>
          <w:rStyle w:val="CharDefText"/>
        </w:rPr>
        <w:t>prescribed condition of health</w:t>
      </w:r>
      <w:r>
        <w:t xml:space="preserve"> — </w:t>
      </w:r>
    </w:p>
    <w:p>
      <w:pPr>
        <w:pStyle w:val="nzDefpara"/>
      </w:pPr>
      <w:r>
        <w:tab/>
        <w:t>(a)</w:t>
      </w:r>
      <w:r>
        <w:tab/>
        <w:t>means a disease process, or physical or functional abnormality, that is prescribed by the regulations as a condition of health to which this Part applies; but</w:t>
      </w:r>
    </w:p>
    <w:p>
      <w:pPr>
        <w:pStyle w:val="nzDefpara"/>
      </w:pPr>
      <w:r>
        <w:tab/>
        <w:t>(b)</w:t>
      </w:r>
      <w:r>
        <w:tab/>
        <w:t xml:space="preserve">does not include — </w:t>
      </w:r>
    </w:p>
    <w:p>
      <w:pPr>
        <w:pStyle w:val="nzDefsubpara"/>
      </w:pPr>
      <w:r>
        <w:tab/>
        <w:t>(i)</w:t>
      </w:r>
      <w:r>
        <w:tab/>
        <w:t>an infectious disease; or</w:t>
      </w:r>
    </w:p>
    <w:p>
      <w:pPr>
        <w:pStyle w:val="nzDefsubpara"/>
      </w:pPr>
      <w:r>
        <w:tab/>
        <w:t>(ii)</w:t>
      </w:r>
      <w:r>
        <w:tab/>
        <w:t>an infectious disease</w:t>
      </w:r>
      <w:r>
        <w:noBreakHyphen/>
        <w:t>related condition.</w:t>
      </w:r>
    </w:p>
    <w:p>
      <w:pPr>
        <w:pStyle w:val="nzHeading5"/>
      </w:pPr>
      <w:bookmarkStart w:id="1428" w:name="_Toc457219106"/>
      <w:bookmarkStart w:id="1429" w:name="_Toc457225659"/>
      <w:r>
        <w:rPr>
          <w:rStyle w:val="CharSectno"/>
        </w:rPr>
        <w:t>149</w:t>
      </w:r>
      <w:r>
        <w:t>.</w:t>
      </w:r>
      <w:r>
        <w:tab/>
        <w:t>Objects of this Part</w:t>
      </w:r>
      <w:bookmarkEnd w:id="1428"/>
      <w:bookmarkEnd w:id="1429"/>
    </w:p>
    <w:p>
      <w:pPr>
        <w:pStyle w:val="nzSubsection"/>
        <w:keepNext/>
      </w:pPr>
      <w:r>
        <w:tab/>
      </w:r>
      <w:r>
        <w:tab/>
        <w:t xml:space="preserve">The objects of this Part are to promote the prevention and alleviation of those disease processes, and of those physical or functional abnormalities, as are — </w:t>
      </w:r>
    </w:p>
    <w:p>
      <w:pPr>
        <w:pStyle w:val="nzIndenta"/>
      </w:pPr>
      <w:r>
        <w:tab/>
        <w:t>(a)</w:t>
      </w:r>
      <w:r>
        <w:tab/>
        <w:t>not infectious and not infectious disease</w:t>
      </w:r>
      <w:r>
        <w:noBreakHyphen/>
        <w:t>related conditions; and</w:t>
      </w:r>
    </w:p>
    <w:p>
      <w:pPr>
        <w:pStyle w:val="nzIndenta"/>
      </w:pPr>
      <w:r>
        <w:tab/>
        <w:t>(b)</w:t>
      </w:r>
      <w:r>
        <w:tab/>
        <w:t>prescribed.</w:t>
      </w:r>
    </w:p>
    <w:p>
      <w:pPr>
        <w:pStyle w:val="nzHeading5"/>
      </w:pPr>
      <w:bookmarkStart w:id="1430" w:name="_Toc457219107"/>
      <w:bookmarkStart w:id="1431" w:name="_Toc457225660"/>
      <w:r>
        <w:rPr>
          <w:rStyle w:val="CharSectno"/>
        </w:rPr>
        <w:t>150</w:t>
      </w:r>
      <w:r>
        <w:t>.</w:t>
      </w:r>
      <w:r>
        <w:tab/>
        <w:t>Regulations for this Part</w:t>
      </w:r>
      <w:bookmarkEnd w:id="1430"/>
      <w:bookmarkEnd w:id="1431"/>
    </w:p>
    <w:p>
      <w:pPr>
        <w:pStyle w:val="nzSubsection"/>
      </w:pPr>
      <w:r>
        <w:tab/>
        <w:t>(1)</w:t>
      </w:r>
      <w:r>
        <w:tab/>
        <w:t>Without limiting section 304(1), regulations may be made under that subsection for the purpose of achieving the objects of this Part.</w:t>
      </w:r>
    </w:p>
    <w:p>
      <w:pPr>
        <w:pStyle w:val="nzSubsection"/>
      </w:pPr>
      <w:r>
        <w:tab/>
        <w:t>(2)</w:t>
      </w:r>
      <w:r>
        <w:tab/>
        <w:t xml:space="preserve">Without limiting subsection (1), the regulations may — </w:t>
      </w:r>
    </w:p>
    <w:p>
      <w:pPr>
        <w:pStyle w:val="nzIndenta"/>
      </w:pPr>
      <w:r>
        <w:tab/>
        <w:t>(a)</w:t>
      </w:r>
      <w:r>
        <w:tab/>
        <w:t>prescribe conditions of health to which this Part applies;</w:t>
      </w:r>
    </w:p>
    <w:p>
      <w:pPr>
        <w:pStyle w:val="nzIndenta"/>
      </w:pPr>
      <w:r>
        <w:tab/>
        <w:t>(b)</w:t>
      </w:r>
      <w:r>
        <w:tab/>
        <w:t>prescribe how, when, by whom, and to whom, cases of prescribed conditions of health must be notified;</w:t>
      </w:r>
    </w:p>
    <w:p>
      <w:pPr>
        <w:pStyle w:val="nzIndenta"/>
      </w:pPr>
      <w:r>
        <w:tab/>
        <w:t>(c)</w:t>
      </w:r>
      <w:r>
        <w:tab/>
        <w:t xml:space="preserve">provide for the establishment and maintenance of registers for the purposes of recording information notified or provided under this Part, and (without limitation) — </w:t>
      </w:r>
    </w:p>
    <w:p>
      <w:pPr>
        <w:pStyle w:val="nzIndenti"/>
      </w:pPr>
      <w:r>
        <w:tab/>
        <w:t>(i)</w:t>
      </w:r>
      <w:r>
        <w:tab/>
        <w:t>regulate, restrict or prohibit access to, and the release of information from, those registers;</w:t>
      </w:r>
    </w:p>
    <w:p>
      <w:pPr>
        <w:pStyle w:val="nzIndenti"/>
      </w:pPr>
      <w:r>
        <w:tab/>
        <w:t>(ii)</w:t>
      </w:r>
      <w:r>
        <w:tab/>
        <w:t>provide for the removal of information from those registers;</w:t>
      </w:r>
    </w:p>
    <w:p>
      <w:pPr>
        <w:pStyle w:val="nzIndenta"/>
      </w:pPr>
      <w:r>
        <w:tab/>
        <w:t>(d)</w:t>
      </w:r>
      <w:r>
        <w:tab/>
        <w:t>prescribe functions, powers, and duties of any person or class of person, whether the Minister, the Chief Health Officer, a medical practitioner, a person having any prescribed condition of health or any other person or class of person.</w:t>
      </w:r>
    </w:p>
    <w:p>
      <w:pPr>
        <w:pStyle w:val="nzSubsection"/>
      </w:pPr>
      <w:r>
        <w:tab/>
        <w:t>(3)</w:t>
      </w:r>
      <w:r>
        <w:tab/>
        <w:t>A regulation made under subsection (2)(d) is limited to prescribing the functions, powers and duties necessary to achieve the objects of this Part, and cannot require any person to submit to treatment without the person’s consent.</w:t>
      </w:r>
    </w:p>
    <w:p>
      <w:pPr>
        <w:pStyle w:val="nzHeading5"/>
      </w:pPr>
      <w:bookmarkStart w:id="1432" w:name="_Toc457219108"/>
      <w:bookmarkStart w:id="1433" w:name="_Toc457225661"/>
      <w:r>
        <w:rPr>
          <w:rStyle w:val="CharSectno"/>
        </w:rPr>
        <w:t>151</w:t>
      </w:r>
      <w:r>
        <w:t>.</w:t>
      </w:r>
      <w:r>
        <w:tab/>
        <w:t>Protection from liability</w:t>
      </w:r>
      <w:bookmarkEnd w:id="1432"/>
      <w:bookmarkEnd w:id="1433"/>
    </w:p>
    <w:p>
      <w:pPr>
        <w:pStyle w:val="nzSubsection"/>
      </w:pPr>
      <w:r>
        <w:tab/>
        <w:t>(1)</w:t>
      </w:r>
      <w:r>
        <w:tab/>
        <w:t xml:space="preserve">If a person is required under regulations made under section 150 to give any information and gives the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(2)</w:t>
      </w:r>
      <w:r>
        <w:tab/>
        <w:t>This section does not limit section 150.</w:t>
      </w:r>
    </w:p>
    <w:p>
      <w:pPr>
        <w:pStyle w:val="nzHeading2"/>
      </w:pPr>
      <w:bookmarkStart w:id="1434" w:name="_Toc402269221"/>
      <w:bookmarkStart w:id="1435" w:name="_Toc402269600"/>
      <w:bookmarkStart w:id="1436" w:name="_Toc402273869"/>
      <w:bookmarkStart w:id="1437" w:name="_Toc402274719"/>
      <w:bookmarkStart w:id="1438" w:name="_Toc402279114"/>
      <w:bookmarkStart w:id="1439" w:name="_Toc402279493"/>
      <w:bookmarkStart w:id="1440" w:name="_Toc402344846"/>
      <w:bookmarkStart w:id="1441" w:name="_Toc402419767"/>
      <w:bookmarkStart w:id="1442" w:name="_Toc403034819"/>
      <w:bookmarkStart w:id="1443" w:name="_Toc403036190"/>
      <w:bookmarkStart w:id="1444" w:name="_Toc403468398"/>
      <w:bookmarkStart w:id="1445" w:name="_Toc404169807"/>
      <w:bookmarkStart w:id="1446" w:name="_Toc404172479"/>
      <w:bookmarkStart w:id="1447" w:name="_Toc404178422"/>
      <w:bookmarkStart w:id="1448" w:name="_Toc436298997"/>
      <w:bookmarkStart w:id="1449" w:name="_Toc436299874"/>
      <w:bookmarkStart w:id="1450" w:name="_Toc436302392"/>
      <w:bookmarkStart w:id="1451" w:name="_Toc455145631"/>
      <w:bookmarkStart w:id="1452" w:name="_Toc455150363"/>
      <w:bookmarkStart w:id="1453" w:name="_Toc455748519"/>
      <w:bookmarkStart w:id="1454" w:name="_Toc457219181"/>
      <w:bookmarkStart w:id="1455" w:name="_Toc457225734"/>
      <w:r>
        <w:rPr>
          <w:rStyle w:val="CharPartNo"/>
        </w:rPr>
        <w:t>Part 14</w:t>
      </w:r>
      <w:r>
        <w:t> — </w:t>
      </w:r>
      <w:r>
        <w:rPr>
          <w:rStyle w:val="CharPartText"/>
        </w:rPr>
        <w:t>Improvement notices and enforcement orders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nzHeading3"/>
      </w:pPr>
      <w:bookmarkStart w:id="1456" w:name="_Toc402269222"/>
      <w:bookmarkStart w:id="1457" w:name="_Toc402269601"/>
      <w:bookmarkStart w:id="1458" w:name="_Toc402273870"/>
      <w:bookmarkStart w:id="1459" w:name="_Toc402274720"/>
      <w:bookmarkStart w:id="1460" w:name="_Toc402279115"/>
      <w:bookmarkStart w:id="1461" w:name="_Toc402279494"/>
      <w:bookmarkStart w:id="1462" w:name="_Toc402344847"/>
      <w:bookmarkStart w:id="1463" w:name="_Toc402419768"/>
      <w:bookmarkStart w:id="1464" w:name="_Toc403034820"/>
      <w:bookmarkStart w:id="1465" w:name="_Toc403036191"/>
      <w:bookmarkStart w:id="1466" w:name="_Toc403468399"/>
      <w:bookmarkStart w:id="1467" w:name="_Toc404169808"/>
      <w:bookmarkStart w:id="1468" w:name="_Toc404172480"/>
      <w:bookmarkStart w:id="1469" w:name="_Toc404178423"/>
      <w:bookmarkStart w:id="1470" w:name="_Toc436298998"/>
      <w:bookmarkStart w:id="1471" w:name="_Toc436299875"/>
      <w:bookmarkStart w:id="1472" w:name="_Toc436302393"/>
      <w:bookmarkStart w:id="1473" w:name="_Toc455145632"/>
      <w:bookmarkStart w:id="1474" w:name="_Toc455150364"/>
      <w:bookmarkStart w:id="1475" w:name="_Toc455748520"/>
      <w:bookmarkStart w:id="1476" w:name="_Toc457219182"/>
      <w:bookmarkStart w:id="1477" w:name="_Toc457225735"/>
      <w:r>
        <w:rPr>
          <w:rStyle w:val="CharDivNo"/>
        </w:rPr>
        <w:t>Division 1</w:t>
      </w:r>
      <w:r>
        <w:t> — </w:t>
      </w:r>
      <w:r>
        <w:rPr>
          <w:rStyle w:val="CharDivText"/>
        </w:rPr>
        <w:t>Preliminary</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nzHeading5"/>
      </w:pPr>
      <w:bookmarkStart w:id="1478" w:name="_Toc457219183"/>
      <w:bookmarkStart w:id="1479" w:name="_Toc457225736"/>
      <w:r>
        <w:rPr>
          <w:rStyle w:val="CharSectno"/>
        </w:rPr>
        <w:t>210</w:t>
      </w:r>
      <w:r>
        <w:t>.</w:t>
      </w:r>
      <w:r>
        <w:tab/>
        <w:t>Terms used</w:t>
      </w:r>
      <w:bookmarkEnd w:id="1478"/>
      <w:bookmarkEnd w:id="1479"/>
    </w:p>
    <w:p>
      <w:pPr>
        <w:pStyle w:val="nzSubsection"/>
      </w:pPr>
      <w:r>
        <w:tab/>
      </w:r>
      <w:r>
        <w:tab/>
        <w:t xml:space="preserve">In this Part — </w:t>
      </w:r>
    </w:p>
    <w:p>
      <w:pPr>
        <w:pStyle w:val="nzDefstart"/>
      </w:pPr>
      <w:r>
        <w:tab/>
      </w:r>
      <w:r>
        <w:rPr>
          <w:rStyle w:val="CharDefText"/>
        </w:rPr>
        <w:t>assessment</w:t>
      </w:r>
      <w:r>
        <w:t xml:space="preserve"> includes inspection;</w:t>
      </w:r>
    </w:p>
    <w:p>
      <w:pPr>
        <w:pStyle w:val="nzDefstart"/>
      </w:pPr>
      <w:r>
        <w:rPr>
          <w:b/>
        </w:rPr>
        <w:tab/>
      </w:r>
      <w:r>
        <w:rPr>
          <w:rStyle w:val="CharDefText"/>
        </w:rPr>
        <w:t>occupier</w:t>
      </w:r>
      <w:r>
        <w:t xml:space="preserve">, of premises, includes — </w:t>
      </w:r>
    </w:p>
    <w:p>
      <w:pPr>
        <w:pStyle w:val="nzDefpara"/>
      </w:pPr>
      <w:r>
        <w:tab/>
        <w:t>(a)</w:t>
      </w:r>
      <w:r>
        <w:tab/>
        <w:t>the owner of the premises; and</w:t>
      </w:r>
    </w:p>
    <w:p>
      <w:pPr>
        <w:pStyle w:val="nzDefpara"/>
      </w:pPr>
      <w:r>
        <w:tab/>
        <w:t>(b)</w:t>
      </w:r>
      <w:r>
        <w:tab/>
        <w:t>the person in charge of the premises; and</w:t>
      </w:r>
    </w:p>
    <w:p>
      <w:pPr>
        <w:pStyle w:val="nzDefpara"/>
      </w:pPr>
      <w:r>
        <w:tab/>
        <w:t>(c)</w:t>
      </w:r>
      <w:r>
        <w:tab/>
        <w:t>a person authorised to be present at the premises as an agent of the owner, or of the person in charge, of the premises.</w:t>
      </w:r>
    </w:p>
    <w:p>
      <w:pPr>
        <w:pStyle w:val="nzHeading5"/>
      </w:pPr>
      <w:bookmarkStart w:id="1480" w:name="_Toc457219184"/>
      <w:bookmarkStart w:id="1481" w:name="_Toc457225737"/>
      <w:r>
        <w:rPr>
          <w:rStyle w:val="CharSectno"/>
        </w:rPr>
        <w:t>211</w:t>
      </w:r>
      <w:r>
        <w:t>.</w:t>
      </w:r>
      <w:r>
        <w:tab/>
        <w:t>Proceedings for offences: how affected</w:t>
      </w:r>
      <w:bookmarkEnd w:id="1480"/>
      <w:bookmarkEnd w:id="1481"/>
    </w:p>
    <w:p>
      <w:pPr>
        <w:pStyle w:val="nz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nzSubsection"/>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nzHeading3"/>
      </w:pPr>
      <w:bookmarkStart w:id="1482" w:name="_Toc402269225"/>
      <w:bookmarkStart w:id="1483" w:name="_Toc402269604"/>
      <w:bookmarkStart w:id="1484" w:name="_Toc402273873"/>
      <w:bookmarkStart w:id="1485" w:name="_Toc402274723"/>
      <w:bookmarkStart w:id="1486" w:name="_Toc402279118"/>
      <w:bookmarkStart w:id="1487" w:name="_Toc402279497"/>
      <w:bookmarkStart w:id="1488" w:name="_Toc402344850"/>
      <w:bookmarkStart w:id="1489" w:name="_Toc402419771"/>
      <w:bookmarkStart w:id="1490" w:name="_Toc403034823"/>
      <w:bookmarkStart w:id="1491" w:name="_Toc403036194"/>
      <w:bookmarkStart w:id="1492" w:name="_Toc403468402"/>
      <w:bookmarkStart w:id="1493" w:name="_Toc404169811"/>
      <w:bookmarkStart w:id="1494" w:name="_Toc404172483"/>
      <w:bookmarkStart w:id="1495" w:name="_Toc404178426"/>
      <w:bookmarkStart w:id="1496" w:name="_Toc436299001"/>
      <w:bookmarkStart w:id="1497" w:name="_Toc436299878"/>
      <w:bookmarkStart w:id="1498" w:name="_Toc436302396"/>
      <w:bookmarkStart w:id="1499" w:name="_Toc455145635"/>
      <w:bookmarkStart w:id="1500" w:name="_Toc455150367"/>
      <w:bookmarkStart w:id="1501" w:name="_Toc455748523"/>
      <w:bookmarkStart w:id="1502" w:name="_Toc457219185"/>
      <w:bookmarkStart w:id="1503" w:name="_Toc457225738"/>
      <w:r>
        <w:rPr>
          <w:rStyle w:val="CharDivNo"/>
        </w:rPr>
        <w:t>Division 2</w:t>
      </w:r>
      <w:r>
        <w:t> — </w:t>
      </w:r>
      <w:r>
        <w:rPr>
          <w:rStyle w:val="CharDivText"/>
        </w:rPr>
        <w:t>Improvement notices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nzHeading5"/>
      </w:pPr>
      <w:bookmarkStart w:id="1504" w:name="_Toc457219186"/>
      <w:bookmarkStart w:id="1505" w:name="_Toc457225739"/>
      <w:r>
        <w:rPr>
          <w:rStyle w:val="CharSectno"/>
        </w:rPr>
        <w:t>212</w:t>
      </w:r>
      <w:r>
        <w:t>.</w:t>
      </w:r>
      <w:r>
        <w:tab/>
        <w:t>Issue of improvement notice</w:t>
      </w:r>
      <w:bookmarkEnd w:id="1504"/>
      <w:bookmarkEnd w:id="1505"/>
    </w:p>
    <w:p>
      <w:pPr>
        <w:pStyle w:val="nzSubsection"/>
      </w:pPr>
      <w:r>
        <w:tab/>
      </w:r>
      <w:r>
        <w:tab/>
        <w:t xml:space="preserve">An authorised officer may give an improvement notice to a person if the officer reasonably believes that — </w:t>
      </w:r>
    </w:p>
    <w:p>
      <w:pPr>
        <w:pStyle w:val="nzIndenta"/>
      </w:pPr>
      <w:r>
        <w:tab/>
        <w:t>(a)</w:t>
      </w:r>
      <w:r>
        <w:tab/>
        <w:t xml:space="preserve">the person — </w:t>
      </w:r>
    </w:p>
    <w:p>
      <w:pPr>
        <w:pStyle w:val="nzIndenti"/>
      </w:pPr>
      <w:r>
        <w:tab/>
        <w:t>(i)</w:t>
      </w:r>
      <w:r>
        <w:tab/>
        <w:t>is carrying on a public health risk activity that contravenes, or is likely to contravene, any provision of this Act; or</w:t>
      </w:r>
    </w:p>
    <w:p>
      <w:pPr>
        <w:pStyle w:val="nzIndenti"/>
      </w:pPr>
      <w:r>
        <w:tab/>
        <w:t>(ii)</w:t>
      </w:r>
      <w:r>
        <w:tab/>
        <w:t>is carrying on a public health risk activity in a manner that contravenes, or is likely to contravene, any provision of this Act; or</w:t>
      </w:r>
    </w:p>
    <w:p>
      <w:pPr>
        <w:pStyle w:val="nzIndenti"/>
      </w:pPr>
      <w:r>
        <w:tab/>
        <w:t>(iii)</w:t>
      </w:r>
      <w:r>
        <w:tab/>
        <w:t>has carried on a public health risk activity that contravened, or in a manner that contravened, any provision of this Act in circumstances that make it likely that the contravention will continue or be repeated;</w:t>
      </w:r>
    </w:p>
    <w:p>
      <w:pPr>
        <w:pStyle w:val="nzIndenta"/>
      </w:pPr>
      <w:r>
        <w:tab/>
      </w:r>
      <w:r>
        <w:tab/>
        <w:t>or</w:t>
      </w:r>
    </w:p>
    <w:p>
      <w:pPr>
        <w:pStyle w:val="nzIndenta"/>
      </w:pPr>
      <w:r>
        <w:tab/>
        <w:t>(b)</w:t>
      </w:r>
      <w:r>
        <w:tab/>
        <w:t xml:space="preserve">the person — </w:t>
      </w:r>
    </w:p>
    <w:p>
      <w:pPr>
        <w:pStyle w:val="nzIndenti"/>
      </w:pPr>
      <w:r>
        <w:tab/>
        <w:t>(i)</w:t>
      </w:r>
      <w:r>
        <w:tab/>
        <w:t>is carrying on an activity that poses a public health risk or that is carried on in a manner that poses a public health risk; and</w:t>
      </w:r>
    </w:p>
    <w:p>
      <w:pPr>
        <w:pStyle w:val="nzIndenti"/>
      </w:pPr>
      <w:r>
        <w:tab/>
        <w:t>(ii)</w:t>
      </w:r>
      <w:r>
        <w:tab/>
        <w:t>has failed to take reasonable and practicable steps to prevent or minimise any harm to public health;</w:t>
      </w:r>
    </w:p>
    <w:p>
      <w:pPr>
        <w:pStyle w:val="nzIndenta"/>
      </w:pPr>
      <w:r>
        <w:tab/>
      </w:r>
      <w:r>
        <w:tab/>
        <w:t>or</w:t>
      </w:r>
    </w:p>
    <w:p>
      <w:pPr>
        <w:pStyle w:val="nzIndenta"/>
      </w:pPr>
      <w:r>
        <w:tab/>
        <w:t>(c)</w:t>
      </w:r>
      <w:r>
        <w:tab/>
        <w:t>the person is failing, or has failed, to comply with the general public health duty; or</w:t>
      </w:r>
    </w:p>
    <w:p>
      <w:pPr>
        <w:pStyle w:val="nzIndenta"/>
      </w:pPr>
      <w:r>
        <w:tab/>
        <w:t>(d)</w:t>
      </w:r>
      <w:r>
        <w:tab/>
        <w:t xml:space="preserve">the person is the occupier of premises where — </w:t>
      </w:r>
    </w:p>
    <w:p>
      <w:pPr>
        <w:pStyle w:val="nzIndenti"/>
      </w:pPr>
      <w:r>
        <w:tab/>
        <w:t>(i)</w:t>
      </w:r>
      <w:r>
        <w:tab/>
        <w:t>a public health risk activity is being carried on that contravenes, or is likely to contravene, any provision of this Act; or</w:t>
      </w:r>
    </w:p>
    <w:p>
      <w:pPr>
        <w:pStyle w:val="nzIndenti"/>
      </w:pPr>
      <w:r>
        <w:tab/>
        <w:t>(ii)</w:t>
      </w:r>
      <w:r>
        <w:tab/>
        <w:t>a public health risk activity is being carried on in a manner that contravenes, or is likely to contravene, any provision of this Act; or</w:t>
      </w:r>
    </w:p>
    <w:p>
      <w:pPr>
        <w:pStyle w:val="nzIndenti"/>
      </w:pPr>
      <w:r>
        <w:tab/>
        <w:t>(iii)</w:t>
      </w:r>
      <w:r>
        <w:tab/>
        <w:t>a public health risk activity has been carried on, or carried on in a manner, that contravened any provision of this Act in circumstances that make it likely that the contravention will continue or be repeated;</w:t>
      </w:r>
    </w:p>
    <w:p>
      <w:pPr>
        <w:pStyle w:val="nzIndenta"/>
      </w:pPr>
      <w:r>
        <w:tab/>
      </w:r>
      <w:r>
        <w:tab/>
        <w:t>or</w:t>
      </w:r>
    </w:p>
    <w:p>
      <w:pPr>
        <w:pStyle w:val="nzIndenta"/>
      </w:pPr>
      <w:r>
        <w:tab/>
        <w:t>(e)</w:t>
      </w:r>
      <w:r>
        <w:tab/>
        <w:t xml:space="preserve">the person is the occupier of premises where — </w:t>
      </w:r>
    </w:p>
    <w:p>
      <w:pPr>
        <w:pStyle w:val="nzIndenti"/>
      </w:pPr>
      <w:r>
        <w:tab/>
        <w:t>(i)</w:t>
      </w:r>
      <w:r>
        <w:tab/>
        <w:t>an activity is being carried on that poses a public health risk or that is carried on in a manner that poses a public health risk; and</w:t>
      </w:r>
    </w:p>
    <w:p>
      <w:pPr>
        <w:pStyle w:val="nzIndenti"/>
      </w:pPr>
      <w:r>
        <w:tab/>
        <w:t>(ii)</w:t>
      </w:r>
      <w:r>
        <w:tab/>
        <w:t>reasonable and practicable steps to prevent or minimise any harm to public health have not been taken;</w:t>
      </w:r>
    </w:p>
    <w:p>
      <w:pPr>
        <w:pStyle w:val="nzIndenta"/>
      </w:pPr>
      <w:r>
        <w:tab/>
      </w:r>
      <w:r>
        <w:tab/>
        <w:t>or</w:t>
      </w:r>
    </w:p>
    <w:p>
      <w:pPr>
        <w:pStyle w:val="nzIndenta"/>
      </w:pPr>
      <w:r>
        <w:tab/>
        <w:t>(f)</w:t>
      </w:r>
      <w:r>
        <w:tab/>
        <w:t>the person is the occupier of premises where there is or has been a failure to comply with the general public health duty.</w:t>
      </w:r>
    </w:p>
    <w:p>
      <w:pPr>
        <w:pStyle w:val="nzHeading5"/>
      </w:pPr>
      <w:bookmarkStart w:id="1506" w:name="_Toc457219187"/>
      <w:bookmarkStart w:id="1507" w:name="_Toc457225740"/>
      <w:r>
        <w:rPr>
          <w:rStyle w:val="CharSectno"/>
        </w:rPr>
        <w:t>213</w:t>
      </w:r>
      <w:r>
        <w:t>.</w:t>
      </w:r>
      <w:r>
        <w:tab/>
        <w:t>Contents of improvement notice</w:t>
      </w:r>
      <w:bookmarkEnd w:id="1506"/>
      <w:bookmarkEnd w:id="1507"/>
    </w:p>
    <w:p>
      <w:pPr>
        <w:pStyle w:val="nzSubsection"/>
      </w:pPr>
      <w:r>
        <w:tab/>
        <w:t>(1)</w:t>
      </w:r>
      <w:r>
        <w:tab/>
        <w:t xml:space="preserve">An improvement notice must take the form of an order requiring the person given the notice to take specified action, which may consist of — </w:t>
      </w:r>
    </w:p>
    <w:p>
      <w:pPr>
        <w:pStyle w:val="nzIndenta"/>
      </w:pPr>
      <w:r>
        <w:tab/>
        <w:t>(a)</w:t>
      </w:r>
      <w:r>
        <w:tab/>
        <w:t>steps the person given the notice is required to take; or</w:t>
      </w:r>
    </w:p>
    <w:p>
      <w:pPr>
        <w:pStyle w:val="nzIndenta"/>
      </w:pPr>
      <w:r>
        <w:tab/>
        <w:t>(b)</w:t>
      </w:r>
      <w:r>
        <w:tab/>
        <w:t>action the person given the notice is required to stop; or</w:t>
      </w:r>
    </w:p>
    <w:p>
      <w:pPr>
        <w:pStyle w:val="nzIndenta"/>
      </w:pPr>
      <w:r>
        <w:tab/>
        <w:t>(c)</w:t>
      </w:r>
      <w:r>
        <w:tab/>
        <w:t>both of those things.</w:t>
      </w:r>
    </w:p>
    <w:p>
      <w:pPr>
        <w:pStyle w:val="nzSubsection"/>
      </w:pPr>
      <w:r>
        <w:tab/>
        <w:t>(2)</w:t>
      </w:r>
      <w:r>
        <w:tab/>
        <w:t xml:space="preserve">An improvement notice must — </w:t>
      </w:r>
    </w:p>
    <w:p>
      <w:pPr>
        <w:pStyle w:val="nzIndenta"/>
      </w:pPr>
      <w:r>
        <w:tab/>
        <w:t>(a)</w:t>
      </w:r>
      <w:r>
        <w:tab/>
        <w:t>be in an approved form; and</w:t>
      </w:r>
    </w:p>
    <w:p>
      <w:pPr>
        <w:pStyle w:val="nzIndenta"/>
      </w:pPr>
      <w:r>
        <w:tab/>
        <w:t>(b)</w:t>
      </w:r>
      <w:r>
        <w:tab/>
        <w:t>state the authorised officer’s belief in terms of section 212(a), (b), (c), (d), (e) or (f); and</w:t>
      </w:r>
    </w:p>
    <w:p>
      <w:pPr>
        <w:pStyle w:val="nzIndenta"/>
      </w:pPr>
      <w:r>
        <w:tab/>
        <w:t>(c)</w:t>
      </w:r>
      <w:r>
        <w:tab/>
        <w:t>state the reasonable grounds for that belief; and</w:t>
      </w:r>
    </w:p>
    <w:p>
      <w:pPr>
        <w:pStyle w:val="nzIndenta"/>
      </w:pPr>
      <w:r>
        <w:tab/>
        <w:t>(d)</w:t>
      </w:r>
      <w:r>
        <w:tab/>
        <w:t>specify any provision of this Act in respect of which that belief is held; and</w:t>
      </w:r>
    </w:p>
    <w:p>
      <w:pPr>
        <w:pStyle w:val="nzIndenta"/>
      </w:pPr>
      <w:r>
        <w:tab/>
        <w:t>(e)</w:t>
      </w:r>
      <w:r>
        <w:tab/>
        <w:t>specify the action that the person given the notice is required to take in order to comply with the notice and the period within which the person must take that action; and</w:t>
      </w:r>
    </w:p>
    <w:p>
      <w:pPr>
        <w:pStyle w:val="nzIndenta"/>
      </w:pPr>
      <w:r>
        <w:tab/>
        <w:t>(f)</w:t>
      </w:r>
      <w:r>
        <w:tab/>
        <w:t>state that the person has the right to apply for a review under section 226(1); and</w:t>
      </w:r>
    </w:p>
    <w:p>
      <w:pPr>
        <w:pStyle w:val="nzIndenta"/>
      </w:pPr>
      <w:r>
        <w:tab/>
        <w:t>(g)</w:t>
      </w:r>
      <w:r>
        <w:tab/>
        <w:t>state the date the notice was given and the name and contact details of the authorised officer who gave it.</w:t>
      </w:r>
    </w:p>
    <w:p>
      <w:pPr>
        <w:pStyle w:val="nzSubsection"/>
      </w:pPr>
      <w:r>
        <w:tab/>
        <w:t>(3)</w:t>
      </w:r>
      <w:r>
        <w:tab/>
        <w:t xml:space="preserve">Without limiting subsection (2)(e), an improvement notice may require the preparation and implementation of a risk management plan that — </w:t>
      </w:r>
    </w:p>
    <w:p>
      <w:pPr>
        <w:pStyle w:val="nzIndenta"/>
      </w:pPr>
      <w:r>
        <w:tab/>
        <w:t>(a)</w:t>
      </w:r>
      <w:r>
        <w:tab/>
        <w:t>identifies public health risks associated with the activities specified in the notice; and</w:t>
      </w:r>
    </w:p>
    <w:p>
      <w:pPr>
        <w:pStyle w:val="nzIndenta"/>
      </w:pPr>
      <w:r>
        <w:tab/>
        <w:t>(b)</w:t>
      </w:r>
      <w:r>
        <w:tab/>
        <w:t xml:space="preserve">sets out the steps to be taken — </w:t>
      </w:r>
    </w:p>
    <w:p>
      <w:pPr>
        <w:pStyle w:val="nzIndenti"/>
      </w:pPr>
      <w:r>
        <w:tab/>
        <w:t>(i)</w:t>
      </w:r>
      <w:r>
        <w:tab/>
        <w:t>to manage those risks; and</w:t>
      </w:r>
    </w:p>
    <w:p>
      <w:pPr>
        <w:pStyle w:val="nzIndenti"/>
      </w:pPr>
      <w:r>
        <w:tab/>
        <w:t>(ii)</w:t>
      </w:r>
      <w:r>
        <w:tab/>
        <w:t>to ensure compliance with any requirements of this Act that relate to those activities.</w:t>
      </w:r>
    </w:p>
    <w:p>
      <w:pPr>
        <w:pStyle w:val="nzSubsection"/>
      </w:pPr>
      <w:r>
        <w:tab/>
        <w:t>(4)</w:t>
      </w:r>
      <w:r>
        <w:tab/>
        <w:t xml:space="preserve">When specifying under subsection (2)(e) the action that the person given the improvement notice is required to take, the authorised officer must have regard to — </w:t>
      </w:r>
    </w:p>
    <w:p>
      <w:pPr>
        <w:pStyle w:val="nzIndenta"/>
      </w:pPr>
      <w:r>
        <w:tab/>
        <w:t>(a)</w:t>
      </w:r>
      <w:r>
        <w:tab/>
        <w:t>the degree, or the potential degree, of the risk or the damage to public health from any activity in relation to which the notice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improvement notice must state that it is issued under section 212.</w:t>
      </w:r>
    </w:p>
    <w:p>
      <w:pPr>
        <w:pStyle w:val="nzSubsection"/>
      </w:pPr>
      <w:r>
        <w:tab/>
        <w:t>(6)</w:t>
      </w:r>
      <w:r>
        <w:tab/>
        <w:t>An improvement notice may include ancillary or incidental directions.</w:t>
      </w:r>
    </w:p>
    <w:p>
      <w:pPr>
        <w:pStyle w:val="nzHeading5"/>
      </w:pPr>
      <w:bookmarkStart w:id="1508" w:name="_Toc457219188"/>
      <w:bookmarkStart w:id="1509" w:name="_Toc457225741"/>
      <w:r>
        <w:rPr>
          <w:rStyle w:val="CharSectno"/>
        </w:rPr>
        <w:t>214</w:t>
      </w:r>
      <w:r>
        <w:t>.</w:t>
      </w:r>
      <w:r>
        <w:tab/>
        <w:t>Extension of period of compliance with improvement notice</w:t>
      </w:r>
      <w:bookmarkEnd w:id="1508"/>
      <w:bookmarkEnd w:id="1509"/>
    </w:p>
    <w:p>
      <w:pPr>
        <w:pStyle w:val="nz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nzHeading5"/>
      </w:pPr>
      <w:bookmarkStart w:id="1510" w:name="_Toc457219189"/>
      <w:bookmarkStart w:id="1511" w:name="_Toc457225742"/>
      <w:r>
        <w:rPr>
          <w:rStyle w:val="CharSectno"/>
        </w:rPr>
        <w:t>215</w:t>
      </w:r>
      <w:r>
        <w:t>.</w:t>
      </w:r>
      <w:r>
        <w:tab/>
        <w:t>Compliance with improvement notice</w:t>
      </w:r>
      <w:bookmarkEnd w:id="1510"/>
      <w:bookmarkEnd w:id="1511"/>
    </w:p>
    <w:p>
      <w:pPr>
        <w:pStyle w:val="nz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nz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nzSubsection"/>
      </w:pPr>
      <w:r>
        <w:tab/>
        <w:t>(3)</w:t>
      </w:r>
      <w:r>
        <w:tab/>
        <w:t>An assessment for the purposes of subsection (1) or (2) may be carried out on the application of the person given the improvement notice or on the initiative of the authorised officer.</w:t>
      </w:r>
    </w:p>
    <w:p>
      <w:pPr>
        <w:pStyle w:val="nzSubsection"/>
      </w:pPr>
      <w:r>
        <w:tab/>
        <w:t>(4)</w:t>
      </w:r>
      <w:r>
        <w:tab/>
        <w:t>An improvement notice in respect of which a notice of compliance is given under subsection (1) is to be taken to have been revoked.</w:t>
      </w:r>
    </w:p>
    <w:p>
      <w:pPr>
        <w:pStyle w:val="nzHeading3"/>
      </w:pPr>
      <w:bookmarkStart w:id="1512" w:name="_Toc402269230"/>
      <w:bookmarkStart w:id="1513" w:name="_Toc402269609"/>
      <w:bookmarkStart w:id="1514" w:name="_Toc402273878"/>
      <w:bookmarkStart w:id="1515" w:name="_Toc402274728"/>
      <w:bookmarkStart w:id="1516" w:name="_Toc402279123"/>
      <w:bookmarkStart w:id="1517" w:name="_Toc402279502"/>
      <w:bookmarkStart w:id="1518" w:name="_Toc402344855"/>
      <w:bookmarkStart w:id="1519" w:name="_Toc402419776"/>
      <w:bookmarkStart w:id="1520" w:name="_Toc403034828"/>
      <w:bookmarkStart w:id="1521" w:name="_Toc403036199"/>
      <w:bookmarkStart w:id="1522" w:name="_Toc403468407"/>
      <w:bookmarkStart w:id="1523" w:name="_Toc404169816"/>
      <w:bookmarkStart w:id="1524" w:name="_Toc404172488"/>
      <w:bookmarkStart w:id="1525" w:name="_Toc404178431"/>
      <w:bookmarkStart w:id="1526" w:name="_Toc436299006"/>
      <w:bookmarkStart w:id="1527" w:name="_Toc436299883"/>
      <w:bookmarkStart w:id="1528" w:name="_Toc436302401"/>
      <w:bookmarkStart w:id="1529" w:name="_Toc455145640"/>
      <w:bookmarkStart w:id="1530" w:name="_Toc455150372"/>
      <w:bookmarkStart w:id="1531" w:name="_Toc455748528"/>
      <w:bookmarkStart w:id="1532" w:name="_Toc457219190"/>
      <w:bookmarkStart w:id="1533" w:name="_Toc457225743"/>
      <w:r>
        <w:rPr>
          <w:rStyle w:val="CharDivNo"/>
        </w:rPr>
        <w:t>Division 3</w:t>
      </w:r>
      <w:r>
        <w:t> — </w:t>
      </w:r>
      <w:r>
        <w:rPr>
          <w:rStyle w:val="CharDivText"/>
        </w:rPr>
        <w:t>Enforcement orders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nzHeading5"/>
      </w:pPr>
      <w:bookmarkStart w:id="1534" w:name="_Toc457219191"/>
      <w:bookmarkStart w:id="1535" w:name="_Toc457225744"/>
      <w:r>
        <w:rPr>
          <w:rStyle w:val="CharSectno"/>
        </w:rPr>
        <w:t>216</w:t>
      </w:r>
      <w:r>
        <w:t>.</w:t>
      </w:r>
      <w:r>
        <w:tab/>
        <w:t>Issue of enforcement orders</w:t>
      </w:r>
      <w:bookmarkEnd w:id="1534"/>
      <w:bookmarkEnd w:id="1535"/>
    </w:p>
    <w:p>
      <w:pPr>
        <w:pStyle w:val="nzSubsection"/>
      </w:pPr>
      <w:r>
        <w:tab/>
        <w:t>(1)</w:t>
      </w:r>
      <w:r>
        <w:tab/>
        <w:t xml:space="preserve">An enforcement agency may give an enforcement order to a person if the agency reasonably believes that — </w:t>
      </w:r>
    </w:p>
    <w:p>
      <w:pPr>
        <w:pStyle w:val="nzIndenta"/>
      </w:pPr>
      <w:r>
        <w:tab/>
        <w:t>(a)</w:t>
      </w:r>
      <w:r>
        <w:tab/>
        <w:t>the person has not complied with an improvement notice given to the person within the period specified in the notice under section 213(2)(e) or any extension of that period under section 214; or</w:t>
      </w:r>
    </w:p>
    <w:p>
      <w:pPr>
        <w:pStyle w:val="nzIndenta"/>
      </w:pPr>
      <w:r>
        <w:tab/>
        <w:t>(b)</w:t>
      </w:r>
      <w:r>
        <w:tab/>
        <w:t>the issue of the order is necessary to prevent or mitigate a serious public health risk.</w:t>
      </w:r>
    </w:p>
    <w:p>
      <w:pPr>
        <w:pStyle w:val="nz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nzHeading5"/>
      </w:pPr>
      <w:bookmarkStart w:id="1536" w:name="_Toc457219192"/>
      <w:bookmarkStart w:id="1537" w:name="_Toc457225745"/>
      <w:r>
        <w:rPr>
          <w:rStyle w:val="CharSectno"/>
        </w:rPr>
        <w:t>217</w:t>
      </w:r>
      <w:r>
        <w:t>.</w:t>
      </w:r>
      <w:r>
        <w:tab/>
        <w:t>Contents of enforcement order</w:t>
      </w:r>
      <w:bookmarkEnd w:id="1536"/>
      <w:bookmarkEnd w:id="1537"/>
    </w:p>
    <w:p>
      <w:pPr>
        <w:pStyle w:val="nzSubsection"/>
      </w:pPr>
      <w:r>
        <w:tab/>
        <w:t>(1)</w:t>
      </w:r>
      <w:r>
        <w:tab/>
        <w:t xml:space="preserve">An enforcement order must take the form of an order that the person given the order is — </w:t>
      </w:r>
    </w:p>
    <w:p>
      <w:pPr>
        <w:pStyle w:val="nzIndenta"/>
      </w:pPr>
      <w:r>
        <w:tab/>
        <w:t>(a)</w:t>
      </w:r>
      <w:r>
        <w:tab/>
        <w:t>required to take specified action; or</w:t>
      </w:r>
    </w:p>
    <w:p>
      <w:pPr>
        <w:pStyle w:val="nzIndenta"/>
      </w:pPr>
      <w:r>
        <w:tab/>
        <w:t>(b)</w:t>
      </w:r>
      <w:r>
        <w:tab/>
        <w:t>prohibited from carrying on a specified activity; or</w:t>
      </w:r>
    </w:p>
    <w:p>
      <w:pPr>
        <w:pStyle w:val="nzIndenta"/>
      </w:pPr>
      <w:r>
        <w:tab/>
        <w:t>(c)</w:t>
      </w:r>
      <w:r>
        <w:tab/>
        <w:t>prohibited from causing or permitting a specified activity to be carried on at specified premises; or</w:t>
      </w:r>
    </w:p>
    <w:p>
      <w:pPr>
        <w:pStyle w:val="nzIndenta"/>
      </w:pPr>
      <w:r>
        <w:tab/>
        <w:t>(d)</w:t>
      </w:r>
      <w:r>
        <w:tab/>
        <w:t>prohibited from using any specified machinery, equipment or other thing; or</w:t>
      </w:r>
    </w:p>
    <w:p>
      <w:pPr>
        <w:pStyle w:val="nzIndenta"/>
      </w:pPr>
      <w:r>
        <w:tab/>
        <w:t>(e)</w:t>
      </w:r>
      <w:r>
        <w:tab/>
        <w:t>prohibited from entering specified premises.</w:t>
      </w:r>
    </w:p>
    <w:p>
      <w:pPr>
        <w:pStyle w:val="nzSubsection"/>
      </w:pPr>
      <w:r>
        <w:tab/>
        <w:t>(2)</w:t>
      </w:r>
      <w:r>
        <w:tab/>
        <w:t xml:space="preserve">A prohibition imposed by an enforcement order may, without limitation — </w:t>
      </w:r>
    </w:p>
    <w:p>
      <w:pPr>
        <w:pStyle w:val="nzIndenta"/>
      </w:pPr>
      <w:r>
        <w:tab/>
        <w:t>(a)</w:t>
      </w:r>
      <w:r>
        <w:tab/>
        <w:t>be limited, for example the prohibition might relate only to the manner in which something is done;</w:t>
      </w:r>
    </w:p>
    <w:p>
      <w:pPr>
        <w:pStyle w:val="nzIndenta"/>
      </w:pPr>
      <w:r>
        <w:tab/>
        <w:t>(b)</w:t>
      </w:r>
      <w:r>
        <w:tab/>
        <w:t>be absolute or conditional.</w:t>
      </w:r>
    </w:p>
    <w:p>
      <w:pPr>
        <w:pStyle w:val="nzSubsection"/>
      </w:pPr>
      <w:r>
        <w:tab/>
        <w:t>(3)</w:t>
      </w:r>
      <w:r>
        <w:tab/>
        <w:t xml:space="preserve">An enforcement order must — </w:t>
      </w:r>
    </w:p>
    <w:p>
      <w:pPr>
        <w:pStyle w:val="nzIndenta"/>
      </w:pPr>
      <w:r>
        <w:tab/>
        <w:t>(a)</w:t>
      </w:r>
      <w:r>
        <w:tab/>
        <w:t>be in an approved form; and</w:t>
      </w:r>
    </w:p>
    <w:p>
      <w:pPr>
        <w:pStyle w:val="nzIndenta"/>
      </w:pPr>
      <w:r>
        <w:tab/>
        <w:t>(b)</w:t>
      </w:r>
      <w:r>
        <w:tab/>
        <w:t>state that it is issued under section 216; and</w:t>
      </w:r>
    </w:p>
    <w:p>
      <w:pPr>
        <w:pStyle w:val="nzIndenta"/>
      </w:pPr>
      <w:r>
        <w:tab/>
        <w:t>(c)</w:t>
      </w:r>
      <w:r>
        <w:tab/>
        <w:t>state the grounds on which the order is given; and</w:t>
      </w:r>
    </w:p>
    <w:p>
      <w:pPr>
        <w:pStyle w:val="nzIndenta"/>
      </w:pPr>
      <w:r>
        <w:tab/>
        <w:t>(d)</w:t>
      </w:r>
      <w:r>
        <w:tab/>
        <w:t>state the period, if applicable, within which the person is required to comply with the order; and</w:t>
      </w:r>
    </w:p>
    <w:p>
      <w:pPr>
        <w:pStyle w:val="nzIndenta"/>
      </w:pPr>
      <w:r>
        <w:tab/>
        <w:t>(e)</w:t>
      </w:r>
      <w:r>
        <w:tab/>
        <w:t>state the date, if applicable, on which the order ceases to have effect; and</w:t>
      </w:r>
    </w:p>
    <w:p>
      <w:pPr>
        <w:pStyle w:val="nzIndenta"/>
      </w:pPr>
      <w:r>
        <w:tab/>
        <w:t>(f)</w:t>
      </w:r>
      <w:r>
        <w:tab/>
        <w:t>state that the person has the right to apply for a review under section 226(2); and</w:t>
      </w:r>
    </w:p>
    <w:p>
      <w:pPr>
        <w:pStyle w:val="nzIndenta"/>
      </w:pPr>
      <w:r>
        <w:tab/>
        <w:t>(g)</w:t>
      </w:r>
      <w:r>
        <w:tab/>
        <w:t>state the date the notice was given and the name and contact details of the enforcement agency that gave it.</w:t>
      </w:r>
    </w:p>
    <w:p>
      <w:pPr>
        <w:pStyle w:val="nzSubsection"/>
      </w:pPr>
      <w:r>
        <w:tab/>
        <w:t>(4)</w:t>
      </w:r>
      <w:r>
        <w:tab/>
        <w:t xml:space="preserve">When specifying in an enforcement order anything that the person given the order is required to do or prohibited from doing, the enforcement agency must have regard to — </w:t>
      </w:r>
    </w:p>
    <w:p>
      <w:pPr>
        <w:pStyle w:val="nzIndenta"/>
      </w:pPr>
      <w:r>
        <w:tab/>
        <w:t>(a)</w:t>
      </w:r>
      <w:r>
        <w:tab/>
        <w:t>the degree, or the potential degree, of the risk or the damage to public health from any activity in relation to which the order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enforcement order may include ancillary or incidental directions, including a direction that a copy of the order be displayed in a specified manner at any premises to which the order applies.</w:t>
      </w:r>
    </w:p>
    <w:p>
      <w:pPr>
        <w:pStyle w:val="nzHeading5"/>
      </w:pPr>
      <w:bookmarkStart w:id="1538" w:name="_Toc457219193"/>
      <w:bookmarkStart w:id="1539" w:name="_Toc457225746"/>
      <w:r>
        <w:rPr>
          <w:rStyle w:val="CharSectno"/>
        </w:rPr>
        <w:t>218</w:t>
      </w:r>
      <w:r>
        <w:t>.</w:t>
      </w:r>
      <w:r>
        <w:tab/>
        <w:t>Extension of period of compliance with enforcement order</w:t>
      </w:r>
      <w:bookmarkEnd w:id="1538"/>
      <w:bookmarkEnd w:id="1539"/>
    </w:p>
    <w:p>
      <w:pPr>
        <w:pStyle w:val="nz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nzHeading5"/>
      </w:pPr>
      <w:bookmarkStart w:id="1540" w:name="_Toc457219194"/>
      <w:bookmarkStart w:id="1541" w:name="_Toc457225747"/>
      <w:r>
        <w:rPr>
          <w:rStyle w:val="CharSectno"/>
        </w:rPr>
        <w:t>219</w:t>
      </w:r>
      <w:r>
        <w:t>.</w:t>
      </w:r>
      <w:r>
        <w:tab/>
        <w:t>Enforcement agency may implement enforcement order</w:t>
      </w:r>
      <w:bookmarkEnd w:id="1540"/>
      <w:bookmarkEnd w:id="1541"/>
    </w:p>
    <w:p>
      <w:pPr>
        <w:pStyle w:val="nzSubsection"/>
      </w:pPr>
      <w:r>
        <w:tab/>
        <w:t>(1)</w:t>
      </w:r>
      <w:r>
        <w:tab/>
        <w:t xml:space="preserve">This section applies if a person given an enforcement order has not complied with the order — </w:t>
      </w:r>
    </w:p>
    <w:p>
      <w:pPr>
        <w:pStyle w:val="nzIndenta"/>
      </w:pPr>
      <w:r>
        <w:tab/>
        <w:t>(a)</w:t>
      </w:r>
      <w:r>
        <w:tab/>
        <w:t>within the period specified in the order under section 217(3)(d) or any extension of that period under section 218; or</w:t>
      </w:r>
    </w:p>
    <w:p>
      <w:pPr>
        <w:pStyle w:val="nzIndenta"/>
      </w:pPr>
      <w:r>
        <w:tab/>
        <w:t>(b)</w:t>
      </w:r>
      <w:r>
        <w:tab/>
        <w:t>if no period for compliance is specified, within the period that the enforcement agency reasonably believes to be sufficient for the order to have been complied with.</w:t>
      </w:r>
    </w:p>
    <w:p>
      <w:pPr>
        <w:pStyle w:val="nzSubsection"/>
      </w:pPr>
      <w:r>
        <w:tab/>
        <w:t>(2)</w:t>
      </w:r>
      <w:r>
        <w:tab/>
        <w:t>If this section applies, the enforcement agency may take any action the agency reasonably believes to be necessary to ensure that the order is complied with.</w:t>
      </w:r>
    </w:p>
    <w:p>
      <w:pPr>
        <w:pStyle w:val="nzSubsection"/>
      </w:pPr>
      <w:r>
        <w:tab/>
        <w:t>(3)</w:t>
      </w:r>
      <w:r>
        <w:tab/>
        <w:t xml:space="preserve">Without limiting subsection (2), for the purposes of that subsection an authorised officer designated by the enforcement agency may — </w:t>
      </w:r>
    </w:p>
    <w:p>
      <w:pPr>
        <w:pStyle w:val="nz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nzIndenti"/>
      </w:pPr>
      <w:r>
        <w:tab/>
        <w:t>(i)</w:t>
      </w:r>
      <w:r>
        <w:tab/>
        <w:t>at any reasonable time; or</w:t>
      </w:r>
    </w:p>
    <w:p>
      <w:pPr>
        <w:pStyle w:val="nzIndenti"/>
      </w:pPr>
      <w:r>
        <w:tab/>
        <w:t>(ii)</w:t>
      </w:r>
      <w:r>
        <w:tab/>
        <w:t>at any time, if the enforcement agency reasonably believes that the circumstances are sufficiently serious or urgent that immediate entry is required;</w:t>
      </w:r>
    </w:p>
    <w:p>
      <w:pPr>
        <w:pStyle w:val="nzIndenta"/>
      </w:pPr>
      <w:r>
        <w:tab/>
      </w:r>
      <w:r>
        <w:tab/>
        <w:t>or</w:t>
      </w:r>
    </w:p>
    <w:p>
      <w:pPr>
        <w:pStyle w:val="nz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nzIndenta"/>
      </w:pPr>
      <w:r>
        <w:tab/>
        <w:t>(c)</w:t>
      </w:r>
      <w:r>
        <w:tab/>
        <w:t>seize, detain, dispose of or isolate anything to which the enforcement order relates.</w:t>
      </w:r>
    </w:p>
    <w:p>
      <w:pPr>
        <w:pStyle w:val="nzSubsection"/>
      </w:pPr>
      <w:r>
        <w:tab/>
        <w:t>(4)</w:t>
      </w:r>
      <w:r>
        <w:tab/>
        <w:t>The regulations may make provision in respect of things detained, disposed of or isolated under subsection (3)(c).</w:t>
      </w:r>
    </w:p>
    <w:p>
      <w:pPr>
        <w:pStyle w:val="nzHeading5"/>
      </w:pPr>
      <w:bookmarkStart w:id="1542" w:name="_Toc457219195"/>
      <w:bookmarkStart w:id="1543" w:name="_Toc457225748"/>
      <w:r>
        <w:rPr>
          <w:rStyle w:val="CharSectno"/>
        </w:rPr>
        <w:t>220</w:t>
      </w:r>
      <w:r>
        <w:t>.</w:t>
      </w:r>
      <w:r>
        <w:tab/>
        <w:t xml:space="preserve">Application of </w:t>
      </w:r>
      <w:r>
        <w:rPr>
          <w:i/>
        </w:rPr>
        <w:t>Criminal and Found Property Disposal Act 2006</w:t>
      </w:r>
      <w:bookmarkEnd w:id="1542"/>
      <w:bookmarkEnd w:id="1543"/>
    </w:p>
    <w:p>
      <w:pPr>
        <w:pStyle w:val="nzSubsection"/>
      </w:pPr>
      <w:r>
        <w:tab/>
        <w:t>(1)</w:t>
      </w:r>
      <w:r>
        <w:tab/>
        <w:t xml:space="preserve">The </w:t>
      </w:r>
      <w:r>
        <w:rPr>
          <w:i/>
        </w:rPr>
        <w:t>Criminal and Found Property Disposal Act 2006</w:t>
      </w:r>
      <w:r>
        <w:t xml:space="preserve"> applies to and in relation to anything that is seized under section 219(3)(c).</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1544" w:name="_Toc457219196"/>
      <w:bookmarkStart w:id="1545" w:name="_Toc457225749"/>
      <w:r>
        <w:rPr>
          <w:rStyle w:val="CharSectno"/>
        </w:rPr>
        <w:t>221</w:t>
      </w:r>
      <w:r>
        <w:t>.</w:t>
      </w:r>
      <w:r>
        <w:tab/>
        <w:t>Recovery of costs incurred by or on behalf of enforcement agency</w:t>
      </w:r>
      <w:bookmarkEnd w:id="1544"/>
      <w:bookmarkEnd w:id="1545"/>
    </w:p>
    <w:p>
      <w:pPr>
        <w:pStyle w:val="nzSubsection"/>
      </w:pPr>
      <w:r>
        <w:tab/>
        <w:t>(1)</w:t>
      </w:r>
      <w:r>
        <w:tab/>
        <w:t xml:space="preserve">The amount of any costs incurred by or on behalf of the enforcement agency in taking action under section 219 — </w:t>
      </w:r>
    </w:p>
    <w:p>
      <w:pPr>
        <w:pStyle w:val="nzIndenta"/>
      </w:pPr>
      <w:r>
        <w:tab/>
        <w:t>(a)</w:t>
      </w:r>
      <w:r>
        <w:tab/>
        <w:t>is to be taken to be a debt due to the enforcement agency, or to the State if the enforcement agency is the Chief Health Officer, from the person who has not complied with the enforcement order; and</w:t>
      </w:r>
    </w:p>
    <w:p>
      <w:pPr>
        <w:pStyle w:val="nzIndenta"/>
      </w:pPr>
      <w:r>
        <w:tab/>
        <w:t>(b)</w:t>
      </w:r>
      <w:r>
        <w:tab/>
        <w:t>is recoverable in a court of competent jurisdiction.</w:t>
      </w:r>
    </w:p>
    <w:p>
      <w:pPr>
        <w:pStyle w:val="nzSubsection"/>
      </w:pPr>
      <w:r>
        <w:tab/>
        <w:t>(2)</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1546" w:name="_Toc457219197"/>
      <w:bookmarkStart w:id="1547" w:name="_Toc457225750"/>
      <w:r>
        <w:rPr>
          <w:rStyle w:val="CharSectno"/>
        </w:rPr>
        <w:t>222</w:t>
      </w:r>
      <w:r>
        <w:t>.</w:t>
      </w:r>
      <w:r>
        <w:tab/>
        <w:t>Criminal liability not affected</w:t>
      </w:r>
      <w:bookmarkEnd w:id="1546"/>
      <w:bookmarkEnd w:id="1547"/>
    </w:p>
    <w:p>
      <w:pPr>
        <w:pStyle w:val="nzSubsection"/>
      </w:pPr>
      <w:r>
        <w:tab/>
      </w:r>
      <w:r>
        <w:tab/>
        <w:t>Nothing in section 219 affects the liability of a person to be proceeded against for an offence under this Act or any other written law or the recovery of a penalty in proceedings of that kind.</w:t>
      </w:r>
    </w:p>
    <w:p>
      <w:pPr>
        <w:pStyle w:val="nzHeading5"/>
      </w:pPr>
      <w:bookmarkStart w:id="1548" w:name="_Toc457219198"/>
      <w:bookmarkStart w:id="1549" w:name="_Toc457225751"/>
      <w:r>
        <w:rPr>
          <w:rStyle w:val="CharSectno"/>
        </w:rPr>
        <w:t>223</w:t>
      </w:r>
      <w:r>
        <w:t>.</w:t>
      </w:r>
      <w:r>
        <w:tab/>
        <w:t>Certificate of clearance to be given in certain circumstances</w:t>
      </w:r>
      <w:bookmarkEnd w:id="1548"/>
      <w:bookmarkEnd w:id="1549"/>
    </w:p>
    <w:p>
      <w:pPr>
        <w:pStyle w:val="nz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nzIndenta"/>
      </w:pPr>
      <w:r>
        <w:tab/>
        <w:t>(a)</w:t>
      </w:r>
      <w:r>
        <w:tab/>
        <w:t>the person has complied with the order; and</w:t>
      </w:r>
    </w:p>
    <w:p>
      <w:pPr>
        <w:pStyle w:val="nzIndenta"/>
      </w:pPr>
      <w:r>
        <w:tab/>
        <w:t>(b)</w:t>
      </w:r>
      <w:r>
        <w:tab/>
        <w:t>if applicable, there is no longer a serious public health risk to be prevented or mitigated.</w:t>
      </w:r>
    </w:p>
    <w:p>
      <w:pPr>
        <w:pStyle w:val="nzSubsection"/>
      </w:pPr>
      <w:r>
        <w:tab/>
        <w:t>(2)</w:t>
      </w:r>
      <w:r>
        <w:tab/>
        <w:t>A certificate of clearance must be in the approved form.</w:t>
      </w:r>
    </w:p>
    <w:p>
      <w:pPr>
        <w:pStyle w:val="nzSubsection"/>
      </w:pPr>
      <w:r>
        <w:tab/>
        <w:t>(3)</w:t>
      </w:r>
      <w:r>
        <w:tab/>
        <w:t>An enforcement order in respect of which a certificate of clearance is given is to be taken to have been revoked.</w:t>
      </w:r>
    </w:p>
    <w:p>
      <w:pPr>
        <w:pStyle w:val="nzHeading5"/>
      </w:pPr>
      <w:bookmarkStart w:id="1550" w:name="_Toc457219199"/>
      <w:bookmarkStart w:id="1551" w:name="_Toc457225752"/>
      <w:r>
        <w:rPr>
          <w:rStyle w:val="CharSectno"/>
        </w:rPr>
        <w:t>224</w:t>
      </w:r>
      <w:r>
        <w:t>.</w:t>
      </w:r>
      <w:r>
        <w:tab/>
        <w:t>Request for assessment</w:t>
      </w:r>
      <w:bookmarkEnd w:id="1550"/>
      <w:bookmarkEnd w:id="1551"/>
    </w:p>
    <w:p>
      <w:pPr>
        <w:pStyle w:val="nz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nzSubsection"/>
      </w:pPr>
      <w:r>
        <w:tab/>
        <w:t>(2)</w:t>
      </w:r>
      <w:r>
        <w:tab/>
        <w:t xml:space="preserve">A certificate of clearance is to be taken to have been given to the person under section 223 if — </w:t>
      </w:r>
    </w:p>
    <w:p>
      <w:pPr>
        <w:pStyle w:val="nzIndenta"/>
      </w:pPr>
      <w:r>
        <w:tab/>
        <w:t>(a)</w:t>
      </w:r>
      <w:r>
        <w:tab/>
        <w:t>a request for an assessment is made under subsection (1); and</w:t>
      </w:r>
    </w:p>
    <w:p>
      <w:pPr>
        <w:pStyle w:val="nzIndenta"/>
      </w:pPr>
      <w:r>
        <w:tab/>
        <w:t>(b)</w:t>
      </w:r>
      <w:r>
        <w:tab/>
        <w:t>through no fault of the person who made the request, the assessment is not made within the period of 5 working days after the receipt of the request by the enforcement agency.</w:t>
      </w:r>
    </w:p>
    <w:p>
      <w:pPr>
        <w:pStyle w:val="nzSubsection"/>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nzHeading5"/>
      </w:pPr>
      <w:bookmarkStart w:id="1552" w:name="_Toc457219200"/>
      <w:bookmarkStart w:id="1553" w:name="_Toc457225753"/>
      <w:r>
        <w:rPr>
          <w:rStyle w:val="CharSectno"/>
        </w:rPr>
        <w:t>225</w:t>
      </w:r>
      <w:r>
        <w:t>.</w:t>
      </w:r>
      <w:r>
        <w:tab/>
        <w:t>Contravention of enforcement order</w:t>
      </w:r>
      <w:bookmarkEnd w:id="1552"/>
      <w:bookmarkEnd w:id="1553"/>
    </w:p>
    <w:p>
      <w:pPr>
        <w:pStyle w:val="nzSubsection"/>
      </w:pPr>
      <w:r>
        <w:tab/>
      </w:r>
      <w:r>
        <w:tab/>
        <w:t>A person must not, without reasonable excuse, contravene or fail to comply with an enforcement order given to the person under this Division.</w:t>
      </w:r>
    </w:p>
    <w:p>
      <w:pPr>
        <w:pStyle w:val="nzPenstart"/>
      </w:pPr>
      <w:r>
        <w:tab/>
        <w:t>Penalty: a fine of $50 000.</w:t>
      </w:r>
    </w:p>
    <w:p>
      <w:pPr>
        <w:pStyle w:val="nzPenstart"/>
      </w:pPr>
      <w:r>
        <w:tab/>
        <w:t>Daily penalty: a fine of $10 000.</w:t>
      </w:r>
    </w:p>
    <w:p>
      <w:pPr>
        <w:pStyle w:val="nzHeading3"/>
      </w:pPr>
      <w:bookmarkStart w:id="1554" w:name="_Toc402269241"/>
      <w:bookmarkStart w:id="1555" w:name="_Toc402269620"/>
      <w:bookmarkStart w:id="1556" w:name="_Toc402273889"/>
      <w:bookmarkStart w:id="1557" w:name="_Toc402274739"/>
      <w:bookmarkStart w:id="1558" w:name="_Toc402279134"/>
      <w:bookmarkStart w:id="1559" w:name="_Toc402279513"/>
      <w:bookmarkStart w:id="1560" w:name="_Toc402344866"/>
      <w:bookmarkStart w:id="1561" w:name="_Toc402419787"/>
      <w:bookmarkStart w:id="1562" w:name="_Toc403034839"/>
      <w:bookmarkStart w:id="1563" w:name="_Toc403036210"/>
      <w:bookmarkStart w:id="1564" w:name="_Toc403468418"/>
      <w:bookmarkStart w:id="1565" w:name="_Toc404169827"/>
      <w:bookmarkStart w:id="1566" w:name="_Toc404172499"/>
      <w:bookmarkStart w:id="1567" w:name="_Toc404178442"/>
      <w:bookmarkStart w:id="1568" w:name="_Toc436299017"/>
      <w:bookmarkStart w:id="1569" w:name="_Toc436299894"/>
      <w:bookmarkStart w:id="1570" w:name="_Toc436302412"/>
      <w:bookmarkStart w:id="1571" w:name="_Toc455145651"/>
      <w:bookmarkStart w:id="1572" w:name="_Toc455150383"/>
      <w:bookmarkStart w:id="1573" w:name="_Toc455748539"/>
      <w:bookmarkStart w:id="1574" w:name="_Toc457219201"/>
      <w:bookmarkStart w:id="1575" w:name="_Toc457225754"/>
      <w:r>
        <w:rPr>
          <w:rStyle w:val="CharDivNo"/>
        </w:rPr>
        <w:t>Division 4</w:t>
      </w:r>
      <w:r>
        <w:t> — </w:t>
      </w:r>
      <w:r>
        <w:rPr>
          <w:rStyle w:val="CharDivText"/>
        </w:rPr>
        <w:t>Review by State Administrative Tribunal</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nzHeading5"/>
      </w:pPr>
      <w:bookmarkStart w:id="1576" w:name="_Toc457219202"/>
      <w:bookmarkStart w:id="1577" w:name="_Toc457225755"/>
      <w:r>
        <w:rPr>
          <w:rStyle w:val="CharSectno"/>
        </w:rPr>
        <w:t>226</w:t>
      </w:r>
      <w:r>
        <w:t>.</w:t>
      </w:r>
      <w:r>
        <w:tab/>
        <w:t>Review of decisions relating to improvement notices and enforcement orders</w:t>
      </w:r>
      <w:bookmarkEnd w:id="1576"/>
      <w:bookmarkEnd w:id="1577"/>
    </w:p>
    <w:p>
      <w:pPr>
        <w:pStyle w:val="nzSubsection"/>
      </w:pPr>
      <w:r>
        <w:tab/>
        <w:t>(1)</w:t>
      </w:r>
      <w:r>
        <w:tab/>
        <w:t xml:space="preserve">A person given an improvement notice may apply to the State Administrative Tribunal for a review of — </w:t>
      </w:r>
    </w:p>
    <w:p>
      <w:pPr>
        <w:pStyle w:val="nzIndenta"/>
      </w:pPr>
      <w:r>
        <w:tab/>
        <w:t>(a)</w:t>
      </w:r>
      <w:r>
        <w:tab/>
        <w:t>the decision to give the improvement notice; or</w:t>
      </w:r>
    </w:p>
    <w:p>
      <w:pPr>
        <w:pStyle w:val="nzIndenta"/>
      </w:pPr>
      <w:r>
        <w:tab/>
        <w:t>(b)</w:t>
      </w:r>
      <w:r>
        <w:tab/>
        <w:t>a decision of an authorised officer not to give a notice of compliance to the person under section 215.</w:t>
      </w:r>
    </w:p>
    <w:p>
      <w:pPr>
        <w:pStyle w:val="nzSubsection"/>
      </w:pPr>
      <w:r>
        <w:tab/>
        <w:t>(2)</w:t>
      </w:r>
      <w:r>
        <w:tab/>
        <w:t xml:space="preserve">A person given an enforcement order may apply to the State Administrative Tribunal for a review of — </w:t>
      </w:r>
    </w:p>
    <w:p>
      <w:pPr>
        <w:pStyle w:val="nzIndenta"/>
      </w:pPr>
      <w:r>
        <w:tab/>
        <w:t>(a)</w:t>
      </w:r>
      <w:r>
        <w:tab/>
        <w:t>the decision to give the enforcement order; or</w:t>
      </w:r>
    </w:p>
    <w:p>
      <w:pPr>
        <w:pStyle w:val="nzIndenta"/>
      </w:pPr>
      <w:r>
        <w:tab/>
        <w:t>(b)</w:t>
      </w:r>
      <w:r>
        <w:tab/>
        <w:t>a decision of the enforcement agency that gave the order not to give a certificate of clearance to the person under section 223.</w:t>
      </w:r>
    </w:p>
    <w:p>
      <w:pPr>
        <w:pStyle w:val="nzHeading2"/>
      </w:pPr>
      <w:bookmarkStart w:id="1578" w:name="_Toc402269304"/>
      <w:bookmarkStart w:id="1579" w:name="_Toc402269683"/>
      <w:bookmarkStart w:id="1580" w:name="_Toc402273952"/>
      <w:bookmarkStart w:id="1581" w:name="_Toc402274802"/>
      <w:bookmarkStart w:id="1582" w:name="_Toc402279197"/>
      <w:bookmarkStart w:id="1583" w:name="_Toc402279576"/>
      <w:bookmarkStart w:id="1584" w:name="_Toc402344929"/>
      <w:bookmarkStart w:id="1585" w:name="_Toc402419850"/>
      <w:bookmarkStart w:id="1586" w:name="_Toc403034902"/>
      <w:bookmarkStart w:id="1587" w:name="_Toc403036273"/>
      <w:bookmarkStart w:id="1588" w:name="_Toc403468481"/>
      <w:bookmarkStart w:id="1589" w:name="_Toc404169890"/>
      <w:bookmarkStart w:id="1590" w:name="_Toc404172562"/>
      <w:bookmarkStart w:id="1591" w:name="_Toc404178505"/>
      <w:bookmarkStart w:id="1592" w:name="_Toc436299080"/>
      <w:bookmarkStart w:id="1593" w:name="_Toc436299957"/>
      <w:bookmarkStart w:id="1594" w:name="_Toc436302475"/>
      <w:bookmarkStart w:id="1595" w:name="_Toc455145714"/>
      <w:bookmarkStart w:id="1596" w:name="_Toc455150446"/>
      <w:bookmarkStart w:id="1597" w:name="_Toc455748602"/>
      <w:bookmarkStart w:id="1598" w:name="_Toc457219264"/>
      <w:bookmarkStart w:id="1599" w:name="_Toc457225817"/>
      <w:r>
        <w:rPr>
          <w:rStyle w:val="CharPartNo"/>
        </w:rPr>
        <w:t>Part 18</w:t>
      </w:r>
      <w:r>
        <w:t> — </w:t>
      </w:r>
      <w:r>
        <w:rPr>
          <w:rStyle w:val="CharPartText"/>
        </w:rPr>
        <w:t>Liability, evidentiary and procedural provisions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nzHeading3"/>
      </w:pPr>
      <w:bookmarkStart w:id="1600" w:name="_Toc402269319"/>
      <w:bookmarkStart w:id="1601" w:name="_Toc402269698"/>
      <w:bookmarkStart w:id="1602" w:name="_Toc402273967"/>
      <w:bookmarkStart w:id="1603" w:name="_Toc402274817"/>
      <w:bookmarkStart w:id="1604" w:name="_Toc402279212"/>
      <w:bookmarkStart w:id="1605" w:name="_Toc402279591"/>
      <w:bookmarkStart w:id="1606" w:name="_Toc402344944"/>
      <w:bookmarkStart w:id="1607" w:name="_Toc402419865"/>
      <w:bookmarkStart w:id="1608" w:name="_Toc403034917"/>
      <w:bookmarkStart w:id="1609" w:name="_Toc403036288"/>
      <w:bookmarkStart w:id="1610" w:name="_Toc403468496"/>
      <w:bookmarkStart w:id="1611" w:name="_Toc404169905"/>
      <w:bookmarkStart w:id="1612" w:name="_Toc404172577"/>
      <w:bookmarkStart w:id="1613" w:name="_Toc404178520"/>
      <w:bookmarkStart w:id="1614" w:name="_Toc436299095"/>
      <w:bookmarkStart w:id="1615" w:name="_Toc436299972"/>
      <w:bookmarkStart w:id="1616" w:name="_Toc436302490"/>
      <w:bookmarkStart w:id="1617" w:name="_Toc455145729"/>
      <w:bookmarkStart w:id="1618" w:name="_Toc455150461"/>
      <w:bookmarkStart w:id="1619" w:name="_Toc455748617"/>
      <w:bookmarkStart w:id="1620" w:name="_Toc457219279"/>
      <w:bookmarkStart w:id="1621" w:name="_Toc457225832"/>
      <w:r>
        <w:rPr>
          <w:rStyle w:val="CharDivNo"/>
        </w:rPr>
        <w:t>Division 3</w:t>
      </w:r>
      <w:r>
        <w:t> — </w:t>
      </w:r>
      <w:r>
        <w:rPr>
          <w:rStyle w:val="CharDivText"/>
        </w:rPr>
        <w:t>Enforcement action against Crown</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nzHeading5"/>
      </w:pPr>
      <w:bookmarkStart w:id="1622" w:name="_Toc457219280"/>
      <w:bookmarkStart w:id="1623" w:name="_Toc457225833"/>
      <w:r>
        <w:rPr>
          <w:rStyle w:val="CharSectno"/>
        </w:rPr>
        <w:t>291</w:t>
      </w:r>
      <w:r>
        <w:t>.</w:t>
      </w:r>
      <w:r>
        <w:tab/>
        <w:t>Term used: responsible agency</w:t>
      </w:r>
      <w:bookmarkEnd w:id="1622"/>
      <w:bookmarkEnd w:id="1623"/>
    </w:p>
    <w:p>
      <w:pPr>
        <w:pStyle w:val="nzSubsection"/>
      </w:pPr>
      <w:r>
        <w:tab/>
      </w:r>
      <w:r>
        <w:tab/>
        <w:t xml:space="preserve">In this Division — </w:t>
      </w:r>
    </w:p>
    <w:p>
      <w:pPr>
        <w:pStyle w:val="nzDefstart"/>
      </w:pPr>
      <w:r>
        <w:tab/>
      </w:r>
      <w:r>
        <w:rPr>
          <w:rStyle w:val="CharDefText"/>
        </w:rPr>
        <w:t>responsible agency</w:t>
      </w:r>
      <w:r>
        <w:t>, in relation to an improvement notice, is the agency of the Crown the acts or omissions of which are alleged to form the basis for the giving of the notice.</w:t>
      </w:r>
    </w:p>
    <w:p>
      <w:pPr>
        <w:pStyle w:val="nzHeading5"/>
      </w:pPr>
      <w:bookmarkStart w:id="1624" w:name="_Toc457219281"/>
      <w:bookmarkStart w:id="1625" w:name="_Toc457225834"/>
      <w:r>
        <w:rPr>
          <w:rStyle w:val="CharSectno"/>
        </w:rPr>
        <w:t>292</w:t>
      </w:r>
      <w:r>
        <w:t>.</w:t>
      </w:r>
      <w:r>
        <w:tab/>
        <w:t>Improvement notices may be given to Crown</w:t>
      </w:r>
      <w:bookmarkEnd w:id="1624"/>
      <w:bookmarkEnd w:id="1625"/>
    </w:p>
    <w:p>
      <w:pPr>
        <w:pStyle w:val="nzSubsection"/>
      </w:pPr>
      <w:r>
        <w:tab/>
        <w:t>(1)</w:t>
      </w:r>
      <w:r>
        <w:tab/>
        <w:t>An improvement notice may be given under this Act to the Crown in any of its capacities.</w:t>
      </w:r>
    </w:p>
    <w:p>
      <w:pPr>
        <w:pStyle w:val="nzSubsection"/>
      </w:pPr>
      <w:r>
        <w:tab/>
        <w:t>(2)</w:t>
      </w:r>
      <w:r>
        <w:tab/>
        <w:t>An improvement notice to be given to the Crown under this Act may be given to the responsible agency.</w:t>
      </w:r>
    </w:p>
    <w:p>
      <w:pPr>
        <w:pStyle w:val="nzHeading5"/>
      </w:pPr>
      <w:bookmarkStart w:id="1626" w:name="_Toc457219282"/>
      <w:bookmarkStart w:id="1627" w:name="_Toc457225835"/>
      <w:r>
        <w:rPr>
          <w:rStyle w:val="CharSectno"/>
        </w:rPr>
        <w:t>293</w:t>
      </w:r>
      <w:r>
        <w:t>.</w:t>
      </w:r>
      <w:r>
        <w:tab/>
        <w:t>Enforcement orders cannot be given to Crown</w:t>
      </w:r>
      <w:bookmarkEnd w:id="1626"/>
      <w:bookmarkEnd w:id="1627"/>
    </w:p>
    <w:p>
      <w:pPr>
        <w:pStyle w:val="nzSubsection"/>
      </w:pPr>
      <w:r>
        <w:tab/>
      </w:r>
      <w:r>
        <w:tab/>
        <w:t>An enforcement order cannot be given under this Act to the Crown in any of its capacities.</w:t>
      </w:r>
    </w:p>
    <w:p>
      <w:pPr>
        <w:pStyle w:val="nzHeading2"/>
      </w:pPr>
      <w:r>
        <w:rPr>
          <w:rStyle w:val="CharPartNo"/>
        </w:rPr>
        <w:t>Part 19</w:t>
      </w:r>
      <w:r>
        <w:t> — </w:t>
      </w:r>
      <w:r>
        <w:rPr>
          <w:rStyle w:val="CharPartText"/>
        </w:rPr>
        <w:t>Miscellaneous</w:t>
      </w:r>
    </w:p>
    <w:p>
      <w:pPr>
        <w:pStyle w:val="nzHeading3"/>
      </w:pPr>
      <w:bookmarkStart w:id="1628" w:name="_Toc402269324"/>
      <w:bookmarkStart w:id="1629" w:name="_Toc402269703"/>
      <w:bookmarkStart w:id="1630" w:name="_Toc402273972"/>
      <w:bookmarkStart w:id="1631" w:name="_Toc402274822"/>
      <w:bookmarkStart w:id="1632" w:name="_Toc402279217"/>
      <w:bookmarkStart w:id="1633" w:name="_Toc402279596"/>
      <w:bookmarkStart w:id="1634" w:name="_Toc402344949"/>
      <w:bookmarkStart w:id="1635" w:name="_Toc402419870"/>
      <w:bookmarkStart w:id="1636" w:name="_Toc403034922"/>
      <w:bookmarkStart w:id="1637" w:name="_Toc403036293"/>
      <w:bookmarkStart w:id="1638" w:name="_Toc403468501"/>
      <w:bookmarkStart w:id="1639" w:name="_Toc404169910"/>
      <w:bookmarkStart w:id="1640" w:name="_Toc404172582"/>
      <w:bookmarkStart w:id="1641" w:name="_Toc404178525"/>
      <w:bookmarkStart w:id="1642" w:name="_Toc436299100"/>
      <w:bookmarkStart w:id="1643" w:name="_Toc436299977"/>
      <w:bookmarkStart w:id="1644" w:name="_Toc436302495"/>
      <w:bookmarkStart w:id="1645" w:name="_Toc455145734"/>
      <w:bookmarkStart w:id="1646" w:name="_Toc455150466"/>
      <w:bookmarkStart w:id="1647" w:name="_Toc455748622"/>
      <w:bookmarkStart w:id="1648" w:name="_Toc457219284"/>
      <w:bookmarkStart w:id="1649" w:name="_Toc457225837"/>
      <w:r>
        <w:rPr>
          <w:rStyle w:val="CharDivNo"/>
        </w:rPr>
        <w:t>Division 1</w:t>
      </w:r>
      <w:r>
        <w:t> — </w:t>
      </w:r>
      <w:r>
        <w:rPr>
          <w:rStyle w:val="CharDivText"/>
        </w:rPr>
        <w:t>Provisions relating to local governments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nzHeading5"/>
      </w:pPr>
      <w:bookmarkStart w:id="1650" w:name="_Toc457219285"/>
      <w:bookmarkStart w:id="1651" w:name="_Toc457225838"/>
      <w:r>
        <w:rPr>
          <w:rStyle w:val="CharSectno"/>
        </w:rPr>
        <w:t>294</w:t>
      </w:r>
      <w:r>
        <w:t>.</w:t>
      </w:r>
      <w:r>
        <w:tab/>
        <w:t>Fees and charges may be fixed and recovered by enforcement agencies that are local governments</w:t>
      </w:r>
      <w:bookmarkEnd w:id="1650"/>
      <w:bookmarkEnd w:id="1651"/>
    </w:p>
    <w:p>
      <w:pPr>
        <w:pStyle w:val="nz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nzHeading5"/>
      </w:pPr>
      <w:bookmarkStart w:id="1652" w:name="_Toc457219286"/>
      <w:bookmarkStart w:id="1653" w:name="_Toc457225839"/>
      <w:r>
        <w:rPr>
          <w:rStyle w:val="CharSectno"/>
        </w:rPr>
        <w:t>295</w:t>
      </w:r>
      <w:r>
        <w:t>.</w:t>
      </w:r>
      <w:r>
        <w:tab/>
        <w:t>Exercise of functions of local government outside its district</w:t>
      </w:r>
      <w:bookmarkEnd w:id="1652"/>
      <w:bookmarkEnd w:id="1653"/>
    </w:p>
    <w:p>
      <w:pPr>
        <w:pStyle w:val="nzSubsection"/>
      </w:pPr>
      <w:r>
        <w:tab/>
        <w:t>(1)</w:t>
      </w:r>
      <w:r>
        <w:tab/>
        <w:t xml:space="preserve">This section applies if — </w:t>
      </w:r>
    </w:p>
    <w:p>
      <w:pPr>
        <w:pStyle w:val="nzIndenta"/>
      </w:pPr>
      <w:r>
        <w:tab/>
        <w:t>(a)</w:t>
      </w:r>
      <w:r>
        <w:tab/>
        <w:t xml:space="preserve">a local government (the </w:t>
      </w:r>
      <w:r>
        <w:rPr>
          <w:rStyle w:val="CharDefText"/>
        </w:rPr>
        <w:t>affected local government</w:t>
      </w:r>
      <w:r>
        <w:t xml:space="preserve">) reasonably considers that — </w:t>
      </w:r>
    </w:p>
    <w:p>
      <w:pPr>
        <w:pStyle w:val="nzIndenti"/>
      </w:pPr>
      <w:r>
        <w:tab/>
        <w:t>(i)</w:t>
      </w:r>
      <w:r>
        <w:tab/>
        <w:t>there is a material public health risk in its local government district; and</w:t>
      </w:r>
    </w:p>
    <w:p>
      <w:pPr>
        <w:pStyle w:val="nzIndenti"/>
      </w:pPr>
      <w:r>
        <w:tab/>
        <w:t>(ii)</w:t>
      </w:r>
      <w:r>
        <w:tab/>
        <w:t xml:space="preserve">the risk is wholly or partly caused by some act or default in the local government district of another local government (the </w:t>
      </w:r>
      <w:r>
        <w:rPr>
          <w:rStyle w:val="CharDefText"/>
        </w:rPr>
        <w:t>other local government</w:t>
      </w:r>
      <w:r>
        <w:t>); and</w:t>
      </w:r>
    </w:p>
    <w:p>
      <w:pPr>
        <w:pStyle w:val="nzIndenti"/>
      </w:pPr>
      <w:r>
        <w:tab/>
        <w:t>(iii)</w:t>
      </w:r>
      <w:r>
        <w:tab/>
        <w:t>it is necessary for either or both of those local governments to take measures to control or abate that risk;</w:t>
      </w:r>
    </w:p>
    <w:p>
      <w:pPr>
        <w:pStyle w:val="nzIndenta"/>
      </w:pPr>
      <w:r>
        <w:tab/>
      </w:r>
      <w:r>
        <w:tab/>
        <w:t>and</w:t>
      </w:r>
    </w:p>
    <w:p>
      <w:pPr>
        <w:pStyle w:val="nzIndenta"/>
      </w:pPr>
      <w:r>
        <w:tab/>
        <w:t>(b)</w:t>
      </w:r>
      <w:r>
        <w:tab/>
        <w:t>those local governments are unable to reach agreement as to the measures to be taken by either or both of them to control or abate that risk.</w:t>
      </w:r>
    </w:p>
    <w:p>
      <w:pPr>
        <w:pStyle w:val="nzSubsection"/>
      </w:pPr>
      <w:r>
        <w:tab/>
        <w:t>(2)</w:t>
      </w:r>
      <w:r>
        <w:tab/>
        <w:t xml:space="preserve">If this section applies — </w:t>
      </w:r>
    </w:p>
    <w:p>
      <w:pPr>
        <w:pStyle w:val="nzIndenta"/>
      </w:pPr>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p>
    <w:p>
      <w:pPr>
        <w:pStyle w:val="nzIndenta"/>
      </w:pPr>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p>
    <w:p>
      <w:pPr>
        <w:pStyle w:val="nzIndenta"/>
      </w:pPr>
      <w:r>
        <w:tab/>
        <w:t>(c)</w:t>
      </w:r>
      <w:r>
        <w:tab/>
        <w:t xml:space="preserve">the amount of any costs incurred by the affected local government in performing functions under paragraph (b) — </w:t>
      </w:r>
    </w:p>
    <w:p>
      <w:pPr>
        <w:pStyle w:val="nzIndenti"/>
      </w:pPr>
      <w:r>
        <w:tab/>
        <w:t>(i)</w:t>
      </w:r>
      <w:r>
        <w:tab/>
        <w:t>is to be taken to be a debt due to the affected local government by the other local government; and</w:t>
      </w:r>
    </w:p>
    <w:p>
      <w:pPr>
        <w:pStyle w:val="nzIndenti"/>
      </w:pPr>
      <w:r>
        <w:tab/>
        <w:t>(ii)</w:t>
      </w:r>
      <w:r>
        <w:tab/>
        <w:t>is recoverable in a court of competent jurisdiction.</w:t>
      </w:r>
    </w:p>
    <w:p>
      <w:pPr>
        <w:pStyle w:val="nzSubsection"/>
      </w:pPr>
      <w:r>
        <w:tab/>
        <w:t>(3)</w:t>
      </w:r>
      <w:r>
        <w:tab/>
        <w:t>In any proceedings for the recovery of the debt, a certificate signed by the chief executive officer of the affected local government stating the amount of any costs and the manner in which they were incurred is evidence of the matters certified.</w:t>
      </w:r>
    </w:p>
    <w:p>
      <w:pPr>
        <w:pStyle w:val="nzSubsection"/>
      </w:pPr>
      <w:r>
        <w:tab/>
        <w:t>(4)</w:t>
      </w:r>
      <w:r>
        <w:tab/>
        <w:t xml:space="preserve">Nothing in this section limits — </w:t>
      </w:r>
    </w:p>
    <w:p>
      <w:pPr>
        <w:pStyle w:val="nzIndenta"/>
      </w:pPr>
      <w:r>
        <w:tab/>
        <w:t>(a)</w:t>
      </w:r>
      <w:r>
        <w:tab/>
        <w:t>sections 7 and 8; or</w:t>
      </w:r>
    </w:p>
    <w:p>
      <w:pPr>
        <w:pStyle w:val="nzIndenta"/>
      </w:pPr>
      <w:r>
        <w:tab/>
        <w:t>(b)</w:t>
      </w:r>
      <w:r>
        <w:tab/>
        <w:t xml:space="preserve">the </w:t>
      </w:r>
      <w:r>
        <w:rPr>
          <w:i/>
        </w:rPr>
        <w:t>Local Government Act 1995</w:t>
      </w:r>
      <w:r>
        <w:t xml:space="preserve"> section 3.19.</w:t>
      </w:r>
    </w:p>
    <w:p>
      <w:pPr>
        <w:pStyle w:val="nzHeading5"/>
      </w:pPr>
      <w:bookmarkStart w:id="1654" w:name="_Toc457219287"/>
      <w:bookmarkStart w:id="1655" w:name="_Toc457225840"/>
      <w:r>
        <w:rPr>
          <w:rStyle w:val="CharSectno"/>
        </w:rPr>
        <w:t>296</w:t>
      </w:r>
      <w:r>
        <w:t>.</w:t>
      </w:r>
      <w:r>
        <w:tab/>
        <w:t>Chief Health Officer may act where no local government</w:t>
      </w:r>
      <w:bookmarkEnd w:id="1654"/>
      <w:bookmarkEnd w:id="1655"/>
    </w:p>
    <w:p>
      <w:pPr>
        <w:pStyle w:val="nzSubsection"/>
      </w:pPr>
      <w:r>
        <w:tab/>
        <w:t>(1)</w:t>
      </w:r>
      <w:r>
        <w:tab/>
        <w:t>The Chief Health Officer may perform all the functions of a local government in any place that is not within the boundaries of a local government district.</w:t>
      </w:r>
    </w:p>
    <w:p>
      <w:pPr>
        <w:pStyle w:val="nzSubsection"/>
      </w:pPr>
      <w:r>
        <w:tab/>
        <w:t>(2)</w:t>
      </w:r>
      <w:r>
        <w:tab/>
        <w:t>Subsection (1) does not limit or affect any other provision of this Act that confers functions on the Chief Health Officer.</w:t>
      </w:r>
    </w:p>
    <w:p>
      <w:pPr>
        <w:pStyle w:val="nzHeading2"/>
      </w:pPr>
      <w:r>
        <w:rPr>
          <w:rStyle w:val="CharPartNo"/>
        </w:rPr>
        <w:t>Part 20</w:t>
      </w:r>
      <w:r>
        <w:rPr>
          <w:rStyle w:val="CharDivNo"/>
        </w:rPr>
        <w:t> </w:t>
      </w:r>
      <w:r>
        <w:t>—</w:t>
      </w:r>
      <w:r>
        <w:rPr>
          <w:rStyle w:val="CharDivText"/>
        </w:rPr>
        <w:t> </w:t>
      </w:r>
      <w:r>
        <w:rPr>
          <w:rStyle w:val="CharPartText"/>
        </w:rPr>
        <w:t>Transitional and savings provisions</w:t>
      </w:r>
    </w:p>
    <w:p>
      <w:pPr>
        <w:pStyle w:val="nzHeading5"/>
      </w:pPr>
      <w:bookmarkStart w:id="1656" w:name="_Toc457219310"/>
      <w:bookmarkStart w:id="1657" w:name="_Toc457225863"/>
      <w:r>
        <w:rPr>
          <w:rStyle w:val="CharSectno"/>
        </w:rPr>
        <w:t>313</w:t>
      </w:r>
      <w:r>
        <w:t>.</w:t>
      </w:r>
      <w:r>
        <w:tab/>
        <w:t>Unpaid rates levied under Health Act Part III remain recoverable</w:t>
      </w:r>
      <w:bookmarkEnd w:id="1656"/>
      <w:bookmarkEnd w:id="1657"/>
    </w:p>
    <w:p>
      <w:pPr>
        <w:pStyle w:val="nz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nzHeading5"/>
      </w:pPr>
      <w:bookmarkStart w:id="1658" w:name="_Toc457219311"/>
      <w:bookmarkStart w:id="1659" w:name="_Toc457225864"/>
      <w:r>
        <w:rPr>
          <w:rStyle w:val="CharSectno"/>
        </w:rPr>
        <w:t>314</w:t>
      </w:r>
      <w:r>
        <w:t>.</w:t>
      </w:r>
      <w:r>
        <w:tab/>
        <w:t>Transitional provisions relating to deletion of Health Act Part IV</w:t>
      </w:r>
      <w:bookmarkEnd w:id="1658"/>
      <w:bookmarkEnd w:id="1659"/>
    </w:p>
    <w:p>
      <w:pPr>
        <w:pStyle w:val="nz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nzHeading5"/>
      </w:pPr>
      <w:bookmarkStart w:id="1660" w:name="_Toc457219312"/>
      <w:bookmarkStart w:id="1661" w:name="_Toc457225865"/>
      <w:r>
        <w:rPr>
          <w:rStyle w:val="CharSectno"/>
        </w:rPr>
        <w:t>315</w:t>
      </w:r>
      <w:r>
        <w:t>.</w:t>
      </w:r>
      <w:r>
        <w:tab/>
        <w:t>Transitional provisions relating to notices and orders issued under Health Act Part V Division 1 or 2</w:t>
      </w:r>
      <w:bookmarkEnd w:id="1660"/>
      <w:bookmarkEnd w:id="1661"/>
    </w:p>
    <w:p>
      <w:pPr>
        <w:pStyle w:val="nz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nz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1662" w:name="_Toc457219313"/>
      <w:bookmarkStart w:id="1663" w:name="_Toc457225866"/>
      <w:r>
        <w:rPr>
          <w:rStyle w:val="CharSectno"/>
        </w:rPr>
        <w:t>316</w:t>
      </w:r>
      <w:r>
        <w:t>.</w:t>
      </w:r>
      <w:r>
        <w:tab/>
        <w:t>Transitional provisions relating to deletion of Health Act Part VII</w:t>
      </w:r>
      <w:bookmarkEnd w:id="1662"/>
      <w:bookmarkEnd w:id="1663"/>
    </w:p>
    <w:p>
      <w:pPr>
        <w:pStyle w:val="nz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1664" w:name="_Toc457219314"/>
      <w:bookmarkStart w:id="1665" w:name="_Toc457225867"/>
      <w:r>
        <w:rPr>
          <w:rStyle w:val="CharSectno"/>
        </w:rPr>
        <w:t>317</w:t>
      </w:r>
      <w:r>
        <w:t>.</w:t>
      </w:r>
      <w:r>
        <w:tab/>
        <w:t>Transitional provisions relating to deletion of Health Act Part IX</w:t>
      </w:r>
      <w:bookmarkEnd w:id="1664"/>
      <w:bookmarkEnd w:id="1665"/>
    </w:p>
    <w:p>
      <w:pPr>
        <w:pStyle w:val="nz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1666" w:name="_Toc457219315"/>
      <w:bookmarkStart w:id="1667" w:name="_Toc457225868"/>
      <w:r>
        <w:rPr>
          <w:rStyle w:val="CharSectno"/>
        </w:rPr>
        <w:t>318</w:t>
      </w:r>
      <w:r>
        <w:t>.</w:t>
      </w:r>
      <w:r>
        <w:tab/>
        <w:t>Transitional provisions relating to recovery for work done by local government, and charges on land or premises</w:t>
      </w:r>
      <w:bookmarkEnd w:id="1666"/>
      <w:bookmarkEnd w:id="1667"/>
    </w:p>
    <w:p>
      <w:pPr>
        <w:pStyle w:val="nzSubsection"/>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nzSubsection"/>
      </w:pPr>
      <w:r>
        <w:tab/>
        <w:t>(2)</w:t>
      </w:r>
      <w:r>
        <w:tab/>
        <w:t xml:space="preserve">Any amount that, under the Health Act section 371, is recoverable by a local government from the owner of any land immediately before the deletion of that section effected by the </w:t>
      </w:r>
      <w:r>
        <w:rPr>
          <w:i/>
        </w:rPr>
        <w:t>Public Health (Consequential Provisions) Act 2016</w:t>
      </w:r>
      <w:r>
        <w:t xml:space="preserve"> continues to be recoverable by that local government from that owner in any court of competent jurisdiction, and until paid is a charge on that land.</w:t>
      </w:r>
    </w:p>
    <w:p>
      <w:pPr>
        <w:pStyle w:val="nzSubsection"/>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rPr>
        <w:t>Public Health (Consequential Provisions) Act 2016</w:t>
      </w:r>
      <w: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nzSubsection"/>
      </w:pPr>
      <w:r>
        <w:tab/>
        <w:t>(4)</w:t>
      </w:r>
      <w:r>
        <w:tab/>
        <w:t>The Health Act section 372 applies or, as the case requires, continues to apply to and in relation to any charge on land or premises in any case where the charge arises or is continued under this section.</w:t>
      </w:r>
    </w:p>
    <w:p>
      <w:pPr>
        <w:pStyle w:val="nzSubsection"/>
      </w:pPr>
      <w:r>
        <w:tab/>
        <w:t>(5)</w:t>
      </w:r>
      <w:r>
        <w:tab/>
        <w:t xml:space="preserve">Subsections (1) and (2) are subject to the </w:t>
      </w:r>
      <w:r>
        <w:rPr>
          <w:i/>
        </w:rPr>
        <w:t>Limitation Act 1935</w:t>
      </w:r>
      <w:r>
        <w:t xml:space="preserve"> and the </w:t>
      </w:r>
      <w:r>
        <w:rPr>
          <w:i/>
        </w:rPr>
        <w:t>Limitation Act 2005</w:t>
      </w:r>
      <w:r>
        <w:t>.</w:t>
      </w:r>
    </w:p>
    <w:p>
      <w:pPr>
        <w:pStyle w:val="nzHeading5"/>
      </w:pPr>
      <w:bookmarkStart w:id="1668" w:name="_Toc457219316"/>
      <w:bookmarkStart w:id="1669" w:name="_Toc457225869"/>
      <w:r>
        <w:rPr>
          <w:rStyle w:val="CharSectno"/>
        </w:rPr>
        <w:t>319</w:t>
      </w:r>
      <w:r>
        <w:t>.</w:t>
      </w:r>
      <w:r>
        <w:tab/>
        <w:t>Pesticides Advisory Committee</w:t>
      </w:r>
      <w:bookmarkEnd w:id="1668"/>
      <w:bookmarkEnd w:id="1669"/>
    </w:p>
    <w:p>
      <w:pPr>
        <w:pStyle w:val="nz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nzSubsection"/>
      </w:pPr>
      <w:r>
        <w:tab/>
        <w:t>(2)</w:t>
      </w:r>
      <w:r>
        <w:tab/>
        <w:t xml:space="preserve">Until the Chief Health Officer determines otherwise under section 33 — </w:t>
      </w:r>
    </w:p>
    <w:p>
      <w:pPr>
        <w:pStyle w:val="nzIndenta"/>
      </w:pPr>
      <w:r>
        <w:tab/>
        <w:t>(a)</w:t>
      </w:r>
      <w:r>
        <w:tab/>
        <w:t>the Committee continues to have the members (including co</w:t>
      </w:r>
      <w:r>
        <w:noBreakHyphen/>
        <w:t>opted members) that it had immediately before the commencement day; and</w:t>
      </w:r>
    </w:p>
    <w:p>
      <w:pPr>
        <w:pStyle w:val="nz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nzIndenta"/>
      </w:pPr>
      <w:r>
        <w:tab/>
        <w:t>(c)</w:t>
      </w:r>
      <w:r>
        <w:tab/>
        <w:t>any person who, immediately before the commencement day, was a deputy for a member of the Committee continues to be deputy for that member; and</w:t>
      </w:r>
    </w:p>
    <w:p>
      <w:pPr>
        <w:pStyle w:val="nzIndenta"/>
      </w:pPr>
      <w:r>
        <w:tab/>
        <w:t>(d)</w:t>
      </w:r>
      <w:r>
        <w:tab/>
        <w:t>the Chief Health Officer may appoint a deputy for any member of the Committee who does not have a deputy; and</w:t>
      </w:r>
    </w:p>
    <w:p>
      <w:pPr>
        <w:pStyle w:val="nzIndenta"/>
      </w:pPr>
      <w:r>
        <w:tab/>
        <w:t>(e)</w:t>
      </w:r>
      <w:r>
        <w:tab/>
        <w:t>at any meeting of the Committee at which a member (other than a co</w:t>
      </w:r>
      <w:r>
        <w:noBreakHyphen/>
        <w:t>opted member) is not present, that member’s deputy has all the functions of that member; and</w:t>
      </w:r>
    </w:p>
    <w:p>
      <w:pPr>
        <w:pStyle w:val="nzIndenta"/>
      </w:pPr>
      <w:r>
        <w:tab/>
        <w:t>(f)</w:t>
      </w:r>
      <w:r>
        <w:tab/>
        <w:t>the person who, immediately before the commencement day, held the office of Secretary of the Pesticides Advisory Committee continues to hold that office; and</w:t>
      </w:r>
    </w:p>
    <w:p>
      <w:pPr>
        <w:pStyle w:val="nz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nz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nzIndenta"/>
      </w:pPr>
      <w:r>
        <w:tab/>
        <w:t>(i)</w:t>
      </w:r>
      <w:r>
        <w:tab/>
        <w:t>the Committee’s function is to advise the Chief Health Officer on any matter whatsoever concerning pesticides, whether that matter is referred to it by the Chief Health Officer or not.</w:t>
      </w:r>
    </w:p>
    <w:p>
      <w:pPr>
        <w:pStyle w:val="nzHeading5"/>
      </w:pPr>
      <w:bookmarkStart w:id="1670" w:name="_Toc457219317"/>
      <w:bookmarkStart w:id="1671" w:name="_Toc457225870"/>
      <w:r>
        <w:rPr>
          <w:rStyle w:val="CharSectno"/>
        </w:rPr>
        <w:t>320</w:t>
      </w:r>
      <w:r>
        <w:t>.</w:t>
      </w:r>
      <w:r>
        <w:tab/>
        <w:t>Transitional provisions for Health Act Part IXA</w:t>
      </w:r>
      <w:bookmarkEnd w:id="1670"/>
      <w:bookmarkEnd w:id="1671"/>
    </w:p>
    <w:p>
      <w:pPr>
        <w:pStyle w:val="nz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nzSubsection"/>
      </w:pPr>
      <w:r>
        <w:tab/>
        <w:t>(2)</w:t>
      </w:r>
      <w:r>
        <w:tab/>
        <w:t xml:space="preserve">However, the following regulations, and no other regulations, continue in force under this section as if those regulations were regulations made under section 150 — </w:t>
      </w:r>
    </w:p>
    <w:p>
      <w:pPr>
        <w:pStyle w:val="nzIndenta"/>
      </w:pPr>
      <w:r>
        <w:tab/>
        <w:t>(a)</w:t>
      </w:r>
      <w:r>
        <w:tab/>
        <w:t xml:space="preserve">the </w:t>
      </w:r>
      <w:r>
        <w:rPr>
          <w:i/>
        </w:rPr>
        <w:t>Health (Cervical Screening Register) Regulations 1991</w:t>
      </w:r>
      <w:r>
        <w:t>;</w:t>
      </w:r>
    </w:p>
    <w:p>
      <w:pPr>
        <w:pStyle w:val="nzIndenta"/>
      </w:pPr>
      <w:r>
        <w:tab/>
        <w:t>(b)</w:t>
      </w:r>
      <w:r>
        <w:tab/>
        <w:t xml:space="preserve">the </w:t>
      </w:r>
      <w:r>
        <w:rPr>
          <w:i/>
        </w:rPr>
        <w:t>Health (Notification of Lead Poisoning) Regulations 1985</w:t>
      </w:r>
      <w:r>
        <w:t>;</w:t>
      </w:r>
    </w:p>
    <w:p>
      <w:pPr>
        <w:pStyle w:val="nzIndenta"/>
      </w:pPr>
      <w:r>
        <w:tab/>
        <w:t>(c)</w:t>
      </w:r>
      <w:r>
        <w:tab/>
        <w:t xml:space="preserve">the </w:t>
      </w:r>
      <w:r>
        <w:rPr>
          <w:i/>
        </w:rPr>
        <w:t>Health (Notification of Stimulant Induced Psychosis) Regulations 2010</w:t>
      </w:r>
      <w:r>
        <w:t>;</w:t>
      </w:r>
    </w:p>
    <w:p>
      <w:pPr>
        <w:pStyle w:val="nzIndenta"/>
      </w:pPr>
      <w:r>
        <w:tab/>
        <w:t>(d)</w:t>
      </w:r>
      <w:r>
        <w:tab/>
        <w:t xml:space="preserve">the </w:t>
      </w:r>
      <w:r>
        <w:rPr>
          <w:i/>
        </w:rPr>
        <w:t>Health (Western Australian Cancer Register) Regulations 2011</w:t>
      </w:r>
      <w:r>
        <w:t>;</w:t>
      </w:r>
    </w:p>
    <w:p>
      <w:pPr>
        <w:pStyle w:val="nzIndenta"/>
      </w:pPr>
      <w:r>
        <w:tab/>
        <w:t>(e)</w:t>
      </w:r>
      <w:r>
        <w:tab/>
        <w:t xml:space="preserve">the </w:t>
      </w:r>
      <w:r>
        <w:rPr>
          <w:i/>
        </w:rPr>
        <w:t>Health (Western Australian Register of Developmental Anomalies) Regulations 2010</w:t>
      </w:r>
      <w:r>
        <w:t>.</w:t>
      </w: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authorisation</w:t>
      </w:r>
      <w:r>
        <w:tab/>
        <w:t>154(1), 176(1), 181(1), 198(1)</w:t>
      </w:r>
    </w:p>
    <w:p>
      <w:pPr>
        <w:pStyle w:val="DefinedTerms"/>
      </w:pPr>
      <w:r>
        <w:t>authorised officer</w:t>
      </w:r>
      <w:r>
        <w:tab/>
        <w:t>4(1), 4(2)</w:t>
      </w:r>
    </w:p>
    <w:p>
      <w:pPr>
        <w:pStyle w:val="DefinedTerms"/>
      </w:pPr>
      <w:r>
        <w:t>CEO</w:t>
      </w:r>
      <w:r>
        <w:tab/>
        <w:t>4(1)</w:t>
      </w:r>
    </w:p>
    <w:p>
      <w:pPr>
        <w:pStyle w:val="DefinedTerms"/>
      </w:pPr>
      <w:r>
        <w:t>certificate of registration</w:t>
      </w:r>
      <w:r>
        <w:tab/>
        <w:t>4(1)</w:t>
      </w:r>
    </w:p>
    <w:p>
      <w:pPr>
        <w:pStyle w:val="DefinedTerms"/>
      </w:pPr>
      <w:r>
        <w:t>certificate requirement</w:t>
      </w:r>
      <w:r>
        <w:tab/>
        <w:t>31(1)</w:t>
      </w:r>
    </w:p>
    <w:p>
      <w:pPr>
        <w:pStyle w:val="DefinedTerms"/>
      </w:pPr>
      <w:r>
        <w:t>Chief Health Officer</w:t>
      </w:r>
      <w:r>
        <w:tab/>
        <w:t>4(1)</w:t>
      </w:r>
    </w:p>
    <w:p>
      <w:pPr>
        <w:pStyle w:val="DefinedTerms"/>
      </w:pPr>
      <w:r>
        <w:t>child</w:t>
      </w:r>
      <w:r>
        <w:tab/>
        <w:t>99, 115, 132, 142(1), 155, 177</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w:t>
      </w:r>
    </w:p>
    <w:p>
      <w:pPr>
        <w:pStyle w:val="DefinedTerms"/>
      </w:pPr>
      <w:r>
        <w:t>Commissioner of Police</w:t>
      </w:r>
      <w:r>
        <w:tab/>
        <w:t>4(1)</w:t>
      </w:r>
    </w:p>
    <w:p>
      <w:pPr>
        <w:pStyle w:val="DefinedTerms"/>
      </w:pPr>
      <w:r>
        <w:t>compliance plan</w:t>
      </w:r>
      <w:r>
        <w:tab/>
        <w:t>266</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Crown</w:t>
      </w:r>
      <w:r>
        <w:tab/>
        <w:t>266</w:t>
      </w:r>
    </w:p>
    <w:p>
      <w:pPr>
        <w:pStyle w:val="DefinedTerms"/>
      </w:pPr>
      <w:r>
        <w:t>Crown authority</w:t>
      </w:r>
      <w:r>
        <w:tab/>
        <w:t>266</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t>direction</w:t>
      </w:r>
      <w:r>
        <w:tab/>
        <w:t>198(1)</w:t>
      </w:r>
    </w:p>
    <w:p>
      <w:pPr>
        <w:pStyle w:val="DefinedTerms"/>
      </w:pPr>
      <w:r>
        <w:t>disability</w:t>
      </w:r>
      <w:r>
        <w:tab/>
        <w:t>115, 155, 177</w:t>
      </w:r>
    </w:p>
    <w:p>
      <w:pPr>
        <w:pStyle w:val="DefinedTerms"/>
      </w:pPr>
      <w:r>
        <w:t>emergency area</w:t>
      </w:r>
      <w:r>
        <w:tab/>
        <w:t>4(1)</w:t>
      </w:r>
    </w:p>
    <w:p>
      <w:pPr>
        <w:pStyle w:val="DefinedTerms"/>
      </w:pPr>
      <w:r>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environmental health officer</w:t>
      </w:r>
      <w:r>
        <w:tab/>
        <w:t>4(1)</w:t>
      </w:r>
    </w:p>
    <w:p>
      <w:pPr>
        <w:pStyle w:val="DefinedTerms"/>
      </w:pPr>
      <w:r>
        <w:t>exemption</w:t>
      </w:r>
      <w:r>
        <w:tab/>
        <w:t>266</w:t>
      </w:r>
    </w:p>
    <w:p>
      <w:pPr>
        <w:pStyle w:val="DefinedTerms"/>
      </w:pPr>
      <w:r>
        <w:t>exemption</w:t>
      </w:r>
      <w:r>
        <w:noBreakHyphen/>
        <w:t>holder</w:t>
      </w:r>
      <w:r>
        <w:tab/>
        <w:t>266</w:t>
      </w:r>
    </w:p>
    <w:p>
      <w:pPr>
        <w:pStyle w:val="DefinedTerms"/>
      </w:pPr>
      <w:r>
        <w:t>exposed person</w:t>
      </w:r>
      <w:r>
        <w:tab/>
        <w:t>132</w:t>
      </w:r>
    </w:p>
    <w:p>
      <w:pPr>
        <w:pStyle w:val="DefinedTerms"/>
      </w:pPr>
      <w:r>
        <w:t>general public health duty</w:t>
      </w:r>
      <w:r>
        <w:tab/>
        <w:t>4(1)</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professional</w:t>
      </w:r>
      <w:r>
        <w:tab/>
        <w:t>174(1)</w:t>
      </w:r>
    </w:p>
    <w:p>
      <w:pPr>
        <w:pStyle w:val="DefinedTerms"/>
      </w:pPr>
      <w:r>
        <w:t>identity card</w:t>
      </w:r>
      <w:r>
        <w:tab/>
        <w:t>31(1)</w:t>
      </w:r>
    </w:p>
    <w:p>
      <w:pPr>
        <w:pStyle w:val="DefinedTerms"/>
      </w:pPr>
      <w:r>
        <w:t>immunisation status</w:t>
      </w:r>
      <w:r>
        <w:tab/>
        <w:t>142(1)</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t>inquirer</w:t>
      </w:r>
      <w:r>
        <w:tab/>
        <w:t>227</w:t>
      </w:r>
    </w:p>
    <w:p>
      <w:pPr>
        <w:pStyle w:val="DefinedTerms"/>
      </w:pPr>
      <w:r>
        <w:t>inquiry</w:t>
      </w:r>
      <w:r>
        <w:tab/>
        <w:t>227</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w:t>
      </w:r>
      <w:r>
        <w:noBreakHyphen/>
        <w:t>SES organisation</w:t>
      </w:r>
      <w:r>
        <w:tab/>
        <w:t>266</w:t>
      </w:r>
    </w:p>
    <w:p>
      <w:pPr>
        <w:pStyle w:val="DefinedTerms"/>
      </w:pPr>
      <w:r>
        <w:t>notifiable infectious disease</w:t>
      </w:r>
      <w:r>
        <w:tab/>
        <w:t>4(1)</w:t>
      </w:r>
    </w:p>
    <w:p>
      <w:pPr>
        <w:pStyle w:val="DefinedTerms"/>
      </w:pPr>
      <w:r>
        <w:t>notifiable infectious disease</w:t>
      </w:r>
      <w:r>
        <w:noBreakHyphen/>
        <w:t>related condition</w:t>
      </w:r>
      <w:r>
        <w:tab/>
        <w:t>4(1)</w:t>
      </w:r>
    </w:p>
    <w:p>
      <w:pPr>
        <w:pStyle w:val="DefinedTerms"/>
      </w:pPr>
      <w:r>
        <w:t>nurse</w:t>
      </w:r>
      <w:r>
        <w:tab/>
        <w:t>4(1)</w:t>
      </w:r>
    </w:p>
    <w:p>
      <w:pPr>
        <w:pStyle w:val="DefinedTerms"/>
      </w:pPr>
      <w:r>
        <w:t>nurse practitioner</w:t>
      </w:r>
      <w:r>
        <w:tab/>
        <w:t>4(1)</w:t>
      </w:r>
    </w:p>
    <w:p>
      <w:pPr>
        <w:pStyle w:val="DefinedTerms"/>
      </w:pPr>
      <w:r>
        <w:t>officer</w:t>
      </w:r>
      <w:r>
        <w:tab/>
        <w:t>4(1), 282(1), 299(1)</w:t>
      </w:r>
    </w:p>
    <w:p>
      <w:pPr>
        <w:pStyle w:val="DefinedTerms"/>
      </w:pPr>
      <w:r>
        <w:t>order</w:t>
      </w:r>
      <w:r>
        <w:tab/>
        <w:t>92(1), 129(1)</w:t>
      </w:r>
    </w:p>
    <w:p>
      <w:pPr>
        <w:pStyle w:val="DefinedTerms"/>
      </w:pPr>
      <w:r>
        <w:t>person A</w:t>
      </w:r>
      <w:r>
        <w:tab/>
        <w:t>26(1)</w:t>
      </w:r>
    </w:p>
    <w:p>
      <w:pPr>
        <w:pStyle w:val="DefinedTerms"/>
      </w:pPr>
      <w:r>
        <w:t>person in charge</w:t>
      </w:r>
      <w:r>
        <w:tab/>
        <w:t>142(1)</w:t>
      </w:r>
    </w:p>
    <w:p>
      <w:pPr>
        <w:pStyle w:val="DefinedTerms"/>
      </w:pPr>
      <w:r>
        <w:t>personal details</w:t>
      </w:r>
      <w:r>
        <w:tab/>
        <w:t>4(1)</w:t>
      </w:r>
    </w:p>
    <w:p>
      <w:pPr>
        <w:pStyle w:val="DefinedTerms"/>
      </w:pPr>
      <w:r>
        <w:t>poison</w:t>
      </w:r>
      <w:r>
        <w:tab/>
        <w:t>197(1)</w:t>
      </w:r>
    </w:p>
    <w:p>
      <w:pPr>
        <w:pStyle w:val="DefinedTerms"/>
      </w:pPr>
      <w:r>
        <w:t>premises</w:t>
      </w:r>
      <w:r>
        <w:tab/>
        <w:t>4(1)</w:t>
      </w:r>
    </w:p>
    <w:p>
      <w:pPr>
        <w:pStyle w:val="DefinedTerms"/>
      </w:pPr>
      <w:r>
        <w:t>prescribed condition of health</w:t>
      </w:r>
      <w:r>
        <w:tab/>
        <w:t>4(1)</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reasonably suspects</w:t>
      </w:r>
      <w:r>
        <w:tab/>
        <w:t>239</w:t>
      </w:r>
    </w:p>
    <w:p>
      <w:pPr>
        <w:pStyle w:val="DefinedTerms"/>
      </w:pPr>
      <w:r>
        <w:t>record</w:t>
      </w:r>
      <w:r>
        <w:tab/>
        <w:t>244(1)</w:t>
      </w:r>
    </w:p>
    <w:p>
      <w:pPr>
        <w:pStyle w:val="DefinedTerms"/>
      </w:pPr>
      <w:r>
        <w:t>relative</w:t>
      </w:r>
      <w:r>
        <w:tab/>
        <w:t>99, 115, 132, 155, 177</w:t>
      </w:r>
    </w:p>
    <w:p>
      <w:pPr>
        <w:pStyle w:val="DefinedTerms"/>
      </w:pPr>
      <w:r>
        <w:t>relevant counselling</w:t>
      </w:r>
      <w:r>
        <w:tab/>
        <w:t>99</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w:t>
      </w:r>
    </w:p>
    <w:p>
      <w:pPr>
        <w:pStyle w:val="DefinedTerms"/>
      </w:pPr>
      <w:r>
        <w:t>relevant to an offence</w:t>
      </w:r>
      <w:r>
        <w:tab/>
        <w:t>244(1)</w:t>
      </w:r>
    </w:p>
    <w:p>
      <w:pPr>
        <w:pStyle w:val="DefinedTerms"/>
      </w:pPr>
      <w:r>
        <w:t>remote communication</w:t>
      </w:r>
      <w:r>
        <w:tab/>
        <w:t>4(1)</w:t>
      </w:r>
    </w:p>
    <w:p>
      <w:pPr>
        <w:pStyle w:val="DefinedTerms"/>
      </w:pPr>
      <w:r>
        <w:t>required information</w:t>
      </w:r>
      <w:r>
        <w:tab/>
        <w:t>132</w:t>
      </w:r>
    </w:p>
    <w:p>
      <w:pPr>
        <w:pStyle w:val="DefinedTerms"/>
      </w:pPr>
      <w:r>
        <w:t>residual term</w:t>
      </w:r>
      <w:r>
        <w:tab/>
        <w:t>311(1)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99, 115, 155, 177</w:t>
      </w:r>
    </w:p>
    <w:p>
      <w:pPr>
        <w:pStyle w:val="DefinedTerms"/>
      </w:pPr>
      <w:r>
        <w:t>reviewable decisions</w:t>
      </w:r>
      <w:r>
        <w:tab/>
        <w:t>163(1), 194(1)</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specified information</w:t>
      </w:r>
      <w:r>
        <w:tab/>
        <w:t>298(1)</w:t>
      </w:r>
    </w:p>
    <w:p>
      <w:pPr>
        <w:pStyle w:val="DefinedTerms"/>
      </w:pPr>
      <w:r>
        <w:t>subsidiary legislation</w:t>
      </w:r>
      <w:r>
        <w:tab/>
        <w:t>305(1)</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urgently notifiable infectious disease</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1672" w:name="Compilation"/>
    <w:bookmarkEnd w:id="167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3" w:name="DefinedTerms"/>
    <w:bookmarkEnd w:id="167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4" w:name="Coversheet"/>
    <w:bookmarkEnd w:id="16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4"/>
  </w:num>
  <w:num w:numId="18">
    <w:abstractNumId w:val="16"/>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3113848"/>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ACC89-F6B8-4646-AB9E-0AA67BA0B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247</Pages>
  <Words>59661</Words>
  <Characters>297710</Characters>
  <Application>Microsoft Office Word</Application>
  <DocSecurity>0</DocSecurity>
  <Lines>7834</Lines>
  <Paragraphs>4411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352960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2016 - 00-e0-00</dc:title>
  <dc:subject/>
  <dc:creator/>
  <cp:keywords/>
  <dc:description/>
  <cp:lastModifiedBy>svcMRProcess</cp:lastModifiedBy>
  <cp:revision>4</cp:revision>
  <cp:lastPrinted>2017-09-19T09:06:00Z</cp:lastPrinted>
  <dcterms:created xsi:type="dcterms:W3CDTF">2018-09-19T23:30:00Z</dcterms:created>
  <dcterms:modified xsi:type="dcterms:W3CDTF">2018-09-19T23:30:00Z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20 Sep 2017</vt:lpwstr>
  </property>
  <property fmtid="{D5CDD505-2E9C-101B-9397-08002B2CF9AE}" pid="6" name="Suffix">
    <vt:lpwstr>00-e0-00</vt:lpwstr>
  </property>
  <property fmtid="{D5CDD505-2E9C-101B-9397-08002B2CF9AE}" pid="7" name="CommencementDate">
    <vt:lpwstr>20170920</vt:lpwstr>
  </property>
</Properties>
</file>