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Local Government Act 1995</w:t>
      </w:r>
    </w:p>
    <w:p>
      <w:pPr>
        <w:pStyle w:val="NameofActReg"/>
        <w:spacing w:before="3760" w:after="4200"/>
        <w:ind w:left="360" w:right="608"/>
      </w:pPr>
      <w:r>
        <w:rPr>
          <w:noProof/>
        </w:rPr>
        <w:t>Local Government (Administration)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 November 2006</w:t>
            </w:r>
          </w:p>
        </w:tc>
      </w:tr>
    </w:tbl>
    <w:p>
      <w:pPr>
        <w:pStyle w:val="WA"/>
      </w:pPr>
      <w:r>
        <w:t>Western Australia</w:t>
      </w:r>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_Toc153784521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_Toc153784522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_Toc153784523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Resignation of committee members</w:t>
      </w:r>
      <w:r>
        <w:tab/>
      </w:r>
      <w:r>
        <w:fldChar w:fldCharType="begin"/>
      </w:r>
      <w:r>
        <w:instrText xml:space="preserve"> PAGEREF _Toc153784524 \h </w:instrText>
      </w:r>
      <w:r>
        <w:fldChar w:fldCharType="separate"/>
      </w:r>
      <w:r>
        <w:t>2</w:t>
      </w:r>
      <w:r>
        <w:fldChar w:fldCharType="end"/>
      </w:r>
    </w:p>
    <w:p>
      <w:pPr>
        <w:pStyle w:val="TOC8"/>
        <w:rPr>
          <w:sz w:val="24"/>
          <w:szCs w:val="24"/>
        </w:rPr>
      </w:pPr>
      <w:r>
        <w:rPr>
          <w:szCs w:val="24"/>
        </w:rPr>
        <w:t>4A.</w:t>
      </w:r>
      <w:r>
        <w:rPr>
          <w:szCs w:val="24"/>
        </w:rPr>
        <w:tab/>
        <w:t>Meeting, or part of meeting, may be closed to public — s. 5.23(2)(h)</w:t>
      </w:r>
      <w:r>
        <w:tab/>
      </w:r>
      <w:r>
        <w:fldChar w:fldCharType="begin"/>
      </w:r>
      <w:r>
        <w:instrText xml:space="preserve"> PAGEREF _Toc153784525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Question time for the public at certain meetings — s. 5.24(1)(b)</w:t>
      </w:r>
      <w:r>
        <w:tab/>
      </w:r>
      <w:r>
        <w:fldChar w:fldCharType="begin"/>
      </w:r>
      <w:r>
        <w:instrText xml:space="preserve"> PAGEREF _Toc153784526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Minimum question time for the public — s. 5.24(2)</w:t>
      </w:r>
      <w:r>
        <w:tab/>
      </w:r>
      <w:r>
        <w:fldChar w:fldCharType="begin"/>
      </w:r>
      <w:r>
        <w:instrText xml:space="preserve"> PAGEREF _Toc153784527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Procedures for question time for the public — s. 5.24(2)</w:t>
      </w:r>
      <w:r>
        <w:tab/>
      </w:r>
      <w:r>
        <w:fldChar w:fldCharType="begin"/>
      </w:r>
      <w:r>
        <w:instrText xml:space="preserve"> PAGEREF _Toc153784528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Procedure where no quorum at council or committee meetings — s. </w:t>
      </w:r>
      <w:r>
        <w:rPr>
          <w:szCs w:val="24"/>
        </w:rPr>
        <w:t>5</w:t>
      </w:r>
      <w:r>
        <w:rPr>
          <w:snapToGrid w:val="0"/>
          <w:szCs w:val="24"/>
        </w:rPr>
        <w:t>.25(1)(c)</w:t>
      </w:r>
      <w:r>
        <w:tab/>
      </w:r>
      <w:r>
        <w:fldChar w:fldCharType="begin"/>
      </w:r>
      <w:r>
        <w:instrText xml:space="preserve"> PAGEREF _Toc153784529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Voting at council or committee meetings — s. 5.25(1)(d)</w:t>
      </w:r>
      <w:r>
        <w:tab/>
      </w:r>
      <w:r>
        <w:fldChar w:fldCharType="begin"/>
      </w:r>
      <w:r>
        <w:instrText xml:space="preserve"> PAGEREF _Toc153784530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Revoking or changing decisions made at council or committee meetings — s. </w:t>
      </w:r>
      <w:r>
        <w:rPr>
          <w:szCs w:val="24"/>
        </w:rPr>
        <w:t>5</w:t>
      </w:r>
      <w:r>
        <w:rPr>
          <w:snapToGrid w:val="0"/>
          <w:szCs w:val="24"/>
        </w:rPr>
        <w:t>.25(1)(e)</w:t>
      </w:r>
      <w:r>
        <w:tab/>
      </w:r>
      <w:r>
        <w:fldChar w:fldCharType="begin"/>
      </w:r>
      <w:r>
        <w:instrText xml:space="preserve"> PAGEREF _Toc153784531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Content of minutes of council or committee meetings — s. </w:t>
      </w:r>
      <w:r>
        <w:rPr>
          <w:szCs w:val="24"/>
        </w:rPr>
        <w:t>5</w:t>
      </w:r>
      <w:r>
        <w:rPr>
          <w:snapToGrid w:val="0"/>
          <w:szCs w:val="24"/>
        </w:rPr>
        <w:t>.25(1)(f)</w:t>
      </w:r>
      <w:r>
        <w:tab/>
      </w:r>
      <w:r>
        <w:fldChar w:fldCharType="begin"/>
      </w:r>
      <w:r>
        <w:instrText xml:space="preserve"> PAGEREF _Toc153784532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Public notice of council or committee meetings — s. 5.25(1)(g)</w:t>
      </w:r>
      <w:r>
        <w:tab/>
      </w:r>
      <w:r>
        <w:fldChar w:fldCharType="begin"/>
      </w:r>
      <w:r>
        <w:instrText xml:space="preserve"> PAGEREF _Toc153784533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 xml:space="preserve">Public inspection of unconfirmed minutes of council or committee meetings — s. </w:t>
      </w:r>
      <w:r>
        <w:rPr>
          <w:szCs w:val="24"/>
        </w:rPr>
        <w:t>5</w:t>
      </w:r>
      <w:r>
        <w:rPr>
          <w:snapToGrid w:val="0"/>
          <w:szCs w:val="24"/>
        </w:rPr>
        <w:t>.25(1)(i)</w:t>
      </w:r>
      <w:r>
        <w:tab/>
      </w:r>
      <w:r>
        <w:fldChar w:fldCharType="begin"/>
      </w:r>
      <w:r>
        <w:instrText xml:space="preserve"> PAGEREF _Toc153784534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Public inspection of certain documents relating to council or committee meetings — s. </w:t>
      </w:r>
      <w:r>
        <w:rPr>
          <w:szCs w:val="24"/>
        </w:rPr>
        <w:t>5</w:t>
      </w:r>
      <w:r>
        <w:rPr>
          <w:snapToGrid w:val="0"/>
          <w:szCs w:val="24"/>
        </w:rPr>
        <w:t>.25(1)(j)</w:t>
      </w:r>
      <w:r>
        <w:tab/>
      </w:r>
      <w:r>
        <w:fldChar w:fldCharType="begin"/>
      </w:r>
      <w:r>
        <w:instrText xml:space="preserve"> PAGEREF _Toc153784535 \h </w:instrText>
      </w:r>
      <w:r>
        <w:fldChar w:fldCharType="separate"/>
      </w:r>
      <w:r>
        <w:t>7</w:t>
      </w:r>
      <w:r>
        <w:fldChar w:fldCharType="end"/>
      </w:r>
    </w:p>
    <w:p>
      <w:pPr>
        <w:pStyle w:val="TOC8"/>
        <w:rPr>
          <w:sz w:val="24"/>
          <w:szCs w:val="24"/>
        </w:rPr>
      </w:pPr>
      <w:r>
        <w:rPr>
          <w:szCs w:val="24"/>
        </w:rPr>
        <w:t>14A.</w:t>
      </w:r>
      <w:r>
        <w:rPr>
          <w:szCs w:val="24"/>
        </w:rPr>
        <w:tab/>
        <w:t>Attendance at meetings by means of instantaneous communication — s. 5.25(1)(ba)</w:t>
      </w:r>
      <w:r>
        <w:tab/>
      </w:r>
      <w:r>
        <w:fldChar w:fldCharType="begin"/>
      </w:r>
      <w:r>
        <w:instrText xml:space="preserve"> PAGEREF _Toc153784536 \h </w:instrText>
      </w:r>
      <w:r>
        <w:fldChar w:fldCharType="separate"/>
      </w:r>
      <w:r>
        <w:t>8</w:t>
      </w:r>
      <w:r>
        <w:fldChar w:fldCharType="end"/>
      </w:r>
    </w:p>
    <w:p>
      <w:pPr>
        <w:pStyle w:val="TOC8"/>
        <w:rPr>
          <w:sz w:val="24"/>
          <w:szCs w:val="24"/>
        </w:rPr>
      </w:pPr>
      <w:r>
        <w:rPr>
          <w:szCs w:val="24"/>
        </w:rPr>
        <w:t>14B.</w:t>
      </w:r>
      <w:r>
        <w:rPr>
          <w:szCs w:val="24"/>
        </w:rPr>
        <w:tab/>
        <w:t>Attendance at meetings by means of instantaneous communication after natural emergency — s. 5.25(1)(ba)</w:t>
      </w:r>
      <w:r>
        <w:tab/>
      </w:r>
      <w:r>
        <w:fldChar w:fldCharType="begin"/>
      </w:r>
      <w:r>
        <w:instrText xml:space="preserve"> PAGEREF _Toc153784537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Matters for discussion at general electors’ meetings — s. </w:t>
      </w:r>
      <w:r>
        <w:rPr>
          <w:szCs w:val="24"/>
        </w:rPr>
        <w:t>5</w:t>
      </w:r>
      <w:r>
        <w:rPr>
          <w:snapToGrid w:val="0"/>
          <w:szCs w:val="24"/>
        </w:rPr>
        <w:t>.27(3)</w:t>
      </w:r>
      <w:r>
        <w:tab/>
      </w:r>
      <w:r>
        <w:fldChar w:fldCharType="begin"/>
      </w:r>
      <w:r>
        <w:instrText xml:space="preserve"> PAGEREF _Toc153784538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Requests for electors’ special meetings — s. 5.28(2)</w:t>
      </w:r>
      <w:r>
        <w:tab/>
      </w:r>
      <w:r>
        <w:fldChar w:fldCharType="begin"/>
      </w:r>
      <w:r>
        <w:instrText xml:space="preserve"> PAGEREF _Toc153784539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Voting at electors’ meetings — s. 5.31</w:t>
      </w:r>
      <w:r>
        <w:tab/>
      </w:r>
      <w:r>
        <w:fldChar w:fldCharType="begin"/>
      </w:r>
      <w:r>
        <w:instrText xml:space="preserve"> PAGEREF _Toc153784540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Procedures at electors’ meetings — s. 5.31</w:t>
      </w:r>
      <w:r>
        <w:tab/>
      </w:r>
      <w:r>
        <w:fldChar w:fldCharType="begin"/>
      </w:r>
      <w:r>
        <w:instrText xml:space="preserve"> PAGEREF _Toc153784541 \h </w:instrText>
      </w:r>
      <w:r>
        <w:fldChar w:fldCharType="separate"/>
      </w:r>
      <w:r>
        <w:t>11</w:t>
      </w:r>
      <w:r>
        <w:fldChar w:fldCharType="end"/>
      </w:r>
    </w:p>
    <w:p>
      <w:pPr>
        <w:pStyle w:val="TOC8"/>
        <w:rPr>
          <w:sz w:val="24"/>
          <w:szCs w:val="24"/>
        </w:rPr>
      </w:pPr>
      <w:r>
        <w:rPr>
          <w:szCs w:val="24"/>
        </w:rPr>
        <w:t>18A.</w:t>
      </w:r>
      <w:r>
        <w:rPr>
          <w:szCs w:val="24"/>
        </w:rPr>
        <w:tab/>
        <w:t>Advertisement for position of CEO or senior employee — s. 5.36(4) and 5.37(3)</w:t>
      </w:r>
      <w:r>
        <w:tab/>
      </w:r>
      <w:r>
        <w:fldChar w:fldCharType="begin"/>
      </w:r>
      <w:r>
        <w:instrText xml:space="preserve"> PAGEREF _Toc153784542 \h </w:instrText>
      </w:r>
      <w:r>
        <w:fldChar w:fldCharType="separate"/>
      </w:r>
      <w:r>
        <w:t>11</w:t>
      </w:r>
      <w:r>
        <w:fldChar w:fldCharType="end"/>
      </w:r>
    </w:p>
    <w:p>
      <w:pPr>
        <w:pStyle w:val="TOC8"/>
        <w:rPr>
          <w:sz w:val="24"/>
          <w:szCs w:val="24"/>
        </w:rPr>
      </w:pPr>
      <w:r>
        <w:rPr>
          <w:szCs w:val="24"/>
        </w:rPr>
        <w:t>18B.</w:t>
      </w:r>
      <w:r>
        <w:rPr>
          <w:szCs w:val="24"/>
        </w:rPr>
        <w:tab/>
        <w:t>Matters to be included in contracts for CEO’s and senior employees — s. 5.39(3)(c)</w:t>
      </w:r>
      <w:r>
        <w:tab/>
      </w:r>
      <w:r>
        <w:fldChar w:fldCharType="begin"/>
      </w:r>
      <w:r>
        <w:instrText xml:space="preserve"> PAGEREF _Toc153784543 \h </w:instrText>
      </w:r>
      <w:r>
        <w:fldChar w:fldCharType="separate"/>
      </w:r>
      <w:r>
        <w:t>12</w:t>
      </w:r>
      <w:r>
        <w:fldChar w:fldCharType="end"/>
      </w:r>
    </w:p>
    <w:p>
      <w:pPr>
        <w:pStyle w:val="TOC8"/>
        <w:rPr>
          <w:sz w:val="24"/>
          <w:szCs w:val="24"/>
        </w:rPr>
      </w:pPr>
      <w:r>
        <w:rPr>
          <w:szCs w:val="24"/>
        </w:rPr>
        <w:t>18C.</w:t>
      </w:r>
      <w:r>
        <w:rPr>
          <w:szCs w:val="24"/>
        </w:rPr>
        <w:tab/>
        <w:t>Selection and appointment process for CEO’s</w:t>
      </w:r>
      <w:r>
        <w:tab/>
      </w:r>
      <w:r>
        <w:fldChar w:fldCharType="begin"/>
      </w:r>
      <w:r>
        <w:instrText xml:space="preserve"> PAGEREF _Toc153784544 \h </w:instrText>
      </w:r>
      <w:r>
        <w:fldChar w:fldCharType="separate"/>
      </w:r>
      <w:r>
        <w:t>12</w:t>
      </w:r>
      <w:r>
        <w:fldChar w:fldCharType="end"/>
      </w:r>
    </w:p>
    <w:p>
      <w:pPr>
        <w:pStyle w:val="TOC8"/>
        <w:rPr>
          <w:sz w:val="24"/>
          <w:szCs w:val="24"/>
        </w:rPr>
      </w:pPr>
      <w:r>
        <w:rPr>
          <w:szCs w:val="24"/>
        </w:rPr>
        <w:t>18D.</w:t>
      </w:r>
      <w:r>
        <w:rPr>
          <w:szCs w:val="24"/>
        </w:rPr>
        <w:tab/>
        <w:t>Local government to consider performance review on CEO</w:t>
      </w:r>
      <w:r>
        <w:tab/>
      </w:r>
      <w:r>
        <w:fldChar w:fldCharType="begin"/>
      </w:r>
      <w:r>
        <w:instrText xml:space="preserve"> PAGEREF _Toc153784545 \h </w:instrText>
      </w:r>
      <w:r>
        <w:fldChar w:fldCharType="separate"/>
      </w:r>
      <w:r>
        <w:t>12</w:t>
      </w:r>
      <w:r>
        <w:fldChar w:fldCharType="end"/>
      </w:r>
    </w:p>
    <w:p>
      <w:pPr>
        <w:pStyle w:val="TOC8"/>
        <w:rPr>
          <w:sz w:val="24"/>
          <w:szCs w:val="24"/>
        </w:rPr>
      </w:pPr>
      <w:r>
        <w:rPr>
          <w:szCs w:val="24"/>
        </w:rPr>
        <w:t>18E.</w:t>
      </w:r>
      <w:r>
        <w:rPr>
          <w:szCs w:val="24"/>
        </w:rPr>
        <w:tab/>
        <w:t>Offence to give false information in application for employment with local government</w:t>
      </w:r>
      <w:r>
        <w:tab/>
      </w:r>
      <w:r>
        <w:fldChar w:fldCharType="begin"/>
      </w:r>
      <w:r>
        <w:instrText xml:space="preserve"> PAGEREF _Toc153784546 \h </w:instrText>
      </w:r>
      <w:r>
        <w:fldChar w:fldCharType="separate"/>
      </w:r>
      <w:r>
        <w:t>13</w:t>
      </w:r>
      <w:r>
        <w:fldChar w:fldCharType="end"/>
      </w:r>
    </w:p>
    <w:p>
      <w:pPr>
        <w:pStyle w:val="TOC8"/>
        <w:rPr>
          <w:sz w:val="24"/>
          <w:szCs w:val="24"/>
        </w:rPr>
      </w:pPr>
      <w:r>
        <w:rPr>
          <w:szCs w:val="24"/>
        </w:rPr>
        <w:t>18F.</w:t>
      </w:r>
      <w:r>
        <w:rPr>
          <w:szCs w:val="24"/>
        </w:rPr>
        <w:tab/>
        <w:t>Remuneration and benefits of CEO to be as advertised</w:t>
      </w:r>
      <w:r>
        <w:tab/>
      </w:r>
      <w:r>
        <w:fldChar w:fldCharType="begin"/>
      </w:r>
      <w:r>
        <w:instrText xml:space="preserve"> PAGEREF _Toc153784547 \h </w:instrText>
      </w:r>
      <w:r>
        <w:fldChar w:fldCharType="separate"/>
      </w:r>
      <w:r>
        <w:t>13</w:t>
      </w:r>
      <w:r>
        <w:fldChar w:fldCharType="end"/>
      </w:r>
    </w:p>
    <w:p>
      <w:pPr>
        <w:pStyle w:val="TOC8"/>
        <w:rPr>
          <w:sz w:val="24"/>
          <w:szCs w:val="24"/>
        </w:rPr>
      </w:pPr>
      <w:r>
        <w:rPr>
          <w:szCs w:val="24"/>
        </w:rPr>
        <w:t>18G.</w:t>
      </w:r>
      <w:r>
        <w:rPr>
          <w:szCs w:val="24"/>
        </w:rPr>
        <w:tab/>
        <w:t>Limits on delegations to CEO’s — s. 5.43</w:t>
      </w:r>
      <w:r>
        <w:tab/>
      </w:r>
      <w:r>
        <w:fldChar w:fldCharType="begin"/>
      </w:r>
      <w:r>
        <w:instrText xml:space="preserve"> PAGEREF _Toc153784548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Records to be kept by delegates — s. 5.46(3)</w:t>
      </w:r>
      <w:r>
        <w:tab/>
      </w:r>
      <w:r>
        <w:fldChar w:fldCharType="begin"/>
      </w:r>
      <w:r>
        <w:instrText xml:space="preserve"> PAGEREF _Toc153784549 \h </w:instrText>
      </w:r>
      <w:r>
        <w:fldChar w:fldCharType="separate"/>
      </w:r>
      <w:r>
        <w:t>14</w:t>
      </w:r>
      <w:r>
        <w:fldChar w:fldCharType="end"/>
      </w:r>
    </w:p>
    <w:p>
      <w:pPr>
        <w:pStyle w:val="TOC8"/>
        <w:rPr>
          <w:sz w:val="24"/>
          <w:szCs w:val="24"/>
        </w:rPr>
      </w:pPr>
      <w:r>
        <w:rPr>
          <w:szCs w:val="24"/>
        </w:rPr>
        <w:t>19A.</w:t>
      </w:r>
      <w:r>
        <w:rPr>
          <w:szCs w:val="24"/>
        </w:rPr>
        <w:tab/>
        <w:t>Payments to employee in addition to contract or award — s. 5.50(3)</w:t>
      </w:r>
      <w:r>
        <w:tab/>
      </w:r>
      <w:r>
        <w:fldChar w:fldCharType="begin"/>
      </w:r>
      <w:r>
        <w:instrText xml:space="preserve"> PAGEREF _Toc153784550 \h </w:instrText>
      </w:r>
      <w:r>
        <w:fldChar w:fldCharType="separate"/>
      </w:r>
      <w:r>
        <w:t>14</w:t>
      </w:r>
      <w:r>
        <w:fldChar w:fldCharType="end"/>
      </w:r>
    </w:p>
    <w:p>
      <w:pPr>
        <w:pStyle w:val="TOC8"/>
        <w:rPr>
          <w:sz w:val="24"/>
          <w:szCs w:val="24"/>
        </w:rPr>
      </w:pPr>
      <w:r>
        <w:rPr>
          <w:szCs w:val="24"/>
        </w:rPr>
        <w:t>19B.</w:t>
      </w:r>
      <w:r>
        <w:rPr>
          <w:szCs w:val="24"/>
        </w:rPr>
        <w:tab/>
        <w:t>Annual report to contain information on payments to employees — s. 5.53(2)(g)</w:t>
      </w:r>
      <w:r>
        <w:tab/>
      </w:r>
      <w:r>
        <w:fldChar w:fldCharType="begin"/>
      </w:r>
      <w:r>
        <w:instrText xml:space="preserve"> PAGEREF _Toc153784551 \h </w:instrText>
      </w:r>
      <w:r>
        <w:fldChar w:fldCharType="separate"/>
      </w:r>
      <w:r>
        <w:t>15</w:t>
      </w:r>
      <w:r>
        <w:fldChar w:fldCharType="end"/>
      </w:r>
    </w:p>
    <w:p>
      <w:pPr>
        <w:pStyle w:val="TOC8"/>
        <w:rPr>
          <w:sz w:val="24"/>
          <w:szCs w:val="24"/>
        </w:rPr>
      </w:pPr>
      <w:r>
        <w:rPr>
          <w:szCs w:val="24"/>
        </w:rPr>
        <w:t>19C.</w:t>
      </w:r>
      <w:r>
        <w:rPr>
          <w:szCs w:val="24"/>
        </w:rPr>
        <w:tab/>
        <w:t>Planning for the future — s. 5.56</w:t>
      </w:r>
      <w:r>
        <w:tab/>
      </w:r>
      <w:r>
        <w:fldChar w:fldCharType="begin"/>
      </w:r>
      <w:r>
        <w:instrText xml:space="preserve"> PAGEREF _Toc153784552 \h </w:instrText>
      </w:r>
      <w:r>
        <w:fldChar w:fldCharType="separate"/>
      </w:r>
      <w:r>
        <w:t>15</w:t>
      </w:r>
      <w:r>
        <w:fldChar w:fldCharType="end"/>
      </w:r>
    </w:p>
    <w:p>
      <w:pPr>
        <w:pStyle w:val="TOC8"/>
        <w:rPr>
          <w:sz w:val="24"/>
          <w:szCs w:val="24"/>
        </w:rPr>
      </w:pPr>
      <w:r>
        <w:rPr>
          <w:szCs w:val="24"/>
        </w:rPr>
        <w:t>19D.</w:t>
      </w:r>
      <w:r>
        <w:rPr>
          <w:szCs w:val="24"/>
        </w:rPr>
        <w:tab/>
        <w:t>Notice of plan to be given</w:t>
      </w:r>
      <w:r>
        <w:tab/>
      </w:r>
      <w:r>
        <w:fldChar w:fldCharType="begin"/>
      </w:r>
      <w:r>
        <w:instrText xml:space="preserve"> PAGEREF _Toc153784553 \h </w:instrText>
      </w:r>
      <w:r>
        <w:fldChar w:fldCharType="separate"/>
      </w:r>
      <w:r>
        <w:t>16</w:t>
      </w:r>
      <w:r>
        <w:fldChar w:fldCharType="end"/>
      </w:r>
    </w:p>
    <w:p>
      <w:pPr>
        <w:pStyle w:val="TOC8"/>
        <w:rPr>
          <w:sz w:val="24"/>
          <w:szCs w:val="24"/>
        </w:rPr>
      </w:pPr>
      <w:r>
        <w:rPr>
          <w:szCs w:val="24"/>
        </w:rPr>
        <w:t>20.</w:t>
      </w:r>
      <w:r>
        <w:rPr>
          <w:szCs w:val="24"/>
        </w:rPr>
        <w:tab/>
        <w:t>Closely associated persons — s. 5.62</w:t>
      </w:r>
      <w:r>
        <w:tab/>
      </w:r>
      <w:r>
        <w:fldChar w:fldCharType="begin"/>
      </w:r>
      <w:r>
        <w:instrText xml:space="preserve"> PAGEREF _Toc153784554 \h </w:instrText>
      </w:r>
      <w:r>
        <w:fldChar w:fldCharType="separate"/>
      </w:r>
      <w:r>
        <w:t>17</w:t>
      </w:r>
      <w:r>
        <w:fldChar w:fldCharType="end"/>
      </w:r>
    </w:p>
    <w:p>
      <w:pPr>
        <w:pStyle w:val="TOC8"/>
        <w:rPr>
          <w:sz w:val="24"/>
          <w:szCs w:val="24"/>
        </w:rPr>
      </w:pPr>
      <w:r>
        <w:rPr>
          <w:szCs w:val="24"/>
        </w:rPr>
        <w:t>21.</w:t>
      </w:r>
      <w:r>
        <w:rPr>
          <w:szCs w:val="24"/>
        </w:rPr>
        <w:tab/>
        <w:t>Interests that need not be disclosed — s. 5.63(1)(h)</w:t>
      </w:r>
      <w:r>
        <w:tab/>
      </w:r>
      <w:r>
        <w:fldChar w:fldCharType="begin"/>
      </w:r>
      <w:r>
        <w:instrText xml:space="preserve"> PAGEREF _Toc153784555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Form for primary returns — s. 5.75(1) and (2)</w:t>
      </w:r>
      <w:r>
        <w:tab/>
      </w:r>
      <w:r>
        <w:fldChar w:fldCharType="begin"/>
      </w:r>
      <w:r>
        <w:instrText xml:space="preserve"> PAGEREF _Toc153784556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Form for annual returns — s. 5.76(1) and (2)</w:t>
      </w:r>
      <w:r>
        <w:tab/>
      </w:r>
      <w:r>
        <w:fldChar w:fldCharType="begin"/>
      </w:r>
      <w:r>
        <w:instrText xml:space="preserve"> PAGEREF _Toc153784557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 xml:space="preserve">Amount of income up to which disclosure of the income’s source is not required — s. </w:t>
      </w:r>
      <w:r>
        <w:rPr>
          <w:szCs w:val="24"/>
        </w:rPr>
        <w:t>5</w:t>
      </w:r>
      <w:r>
        <w:rPr>
          <w:snapToGrid w:val="0"/>
          <w:szCs w:val="24"/>
        </w:rPr>
        <w:t>.80(3)</w:t>
      </w:r>
      <w:r>
        <w:tab/>
      </w:r>
      <w:r>
        <w:fldChar w:fldCharType="begin"/>
      </w:r>
      <w:r>
        <w:instrText xml:space="preserve"> PAGEREF _Toc153784558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 xml:space="preserve">Amount of gift up to which disclosure of the gift is not required — s. </w:t>
      </w:r>
      <w:r>
        <w:rPr>
          <w:szCs w:val="24"/>
        </w:rPr>
        <w:t>5</w:t>
      </w:r>
      <w:r>
        <w:rPr>
          <w:snapToGrid w:val="0"/>
          <w:szCs w:val="24"/>
        </w:rPr>
        <w:t>.82(2)(a)</w:t>
      </w:r>
      <w:r>
        <w:tab/>
      </w:r>
      <w:r>
        <w:fldChar w:fldCharType="begin"/>
      </w:r>
      <w:r>
        <w:instrText xml:space="preserve"> PAGEREF _Toc153784559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Amount of contribution to travel up to which disclosure of the contribution is not required — s. </w:t>
      </w:r>
      <w:r>
        <w:rPr>
          <w:szCs w:val="24"/>
        </w:rPr>
        <w:t>5</w:t>
      </w:r>
      <w:r>
        <w:rPr>
          <w:snapToGrid w:val="0"/>
          <w:szCs w:val="24"/>
        </w:rPr>
        <w:t>.83(2)(d)</w:t>
      </w:r>
      <w:r>
        <w:tab/>
      </w:r>
      <w:r>
        <w:fldChar w:fldCharType="begin"/>
      </w:r>
      <w:r>
        <w:instrText xml:space="preserve"> PAGEREF _Toc153784560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Amount of debt up to which disclosure of the liability to pay the debt is not required — s. </w:t>
      </w:r>
      <w:r>
        <w:rPr>
          <w:szCs w:val="24"/>
        </w:rPr>
        <w:t>5</w:t>
      </w:r>
      <w:r>
        <w:rPr>
          <w:snapToGrid w:val="0"/>
          <w:szCs w:val="24"/>
        </w:rPr>
        <w:t>.85(2)(a)</w:t>
      </w:r>
      <w:r>
        <w:tab/>
      </w:r>
      <w:r>
        <w:fldChar w:fldCharType="begin"/>
      </w:r>
      <w:r>
        <w:instrText xml:space="preserve"> PAGEREF _Toc153784561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Register of financial interests — s. 5.88(2)</w:t>
      </w:r>
      <w:r>
        <w:tab/>
      </w:r>
      <w:r>
        <w:fldChar w:fldCharType="begin"/>
      </w:r>
      <w:r>
        <w:instrText xml:space="preserve"> PAGEREF _Toc153784562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Information to be available for public inspection — s. 5.94</w:t>
      </w:r>
      <w:r>
        <w:tab/>
      </w:r>
      <w:r>
        <w:fldChar w:fldCharType="begin"/>
      </w:r>
      <w:r>
        <w:instrText xml:space="preserve"> PAGEREF _Toc153784563 \h </w:instrText>
      </w:r>
      <w:r>
        <w:fldChar w:fldCharType="separate"/>
      </w:r>
      <w:r>
        <w:t>20</w:t>
      </w:r>
      <w:r>
        <w:fldChar w:fldCharType="end"/>
      </w:r>
    </w:p>
    <w:p>
      <w:pPr>
        <w:pStyle w:val="TOC8"/>
        <w:rPr>
          <w:sz w:val="24"/>
          <w:szCs w:val="24"/>
        </w:rPr>
      </w:pPr>
      <w:r>
        <w:rPr>
          <w:szCs w:val="24"/>
        </w:rPr>
        <w:t>29A.</w:t>
      </w:r>
      <w:r>
        <w:rPr>
          <w:szCs w:val="24"/>
        </w:rPr>
        <w:tab/>
        <w:t>Limits on right to inspect local government information — s. 5.95</w:t>
      </w:r>
      <w:r>
        <w:tab/>
      </w:r>
      <w:r>
        <w:fldChar w:fldCharType="begin"/>
      </w:r>
      <w:r>
        <w:instrText xml:space="preserve"> PAGEREF _Toc153784564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Meeting attendance fees — s. 5.98(1)</w:t>
      </w:r>
      <w:r>
        <w:tab/>
      </w:r>
      <w:r>
        <w:fldChar w:fldCharType="begin"/>
      </w:r>
      <w:r>
        <w:instrText xml:space="preserve"> PAGEREF _Toc153784565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Expenses that are to be reimbursed — s. 5.98(2)(a) and (3)</w:t>
      </w:r>
      <w:r>
        <w:tab/>
      </w:r>
      <w:r>
        <w:fldChar w:fldCharType="begin"/>
      </w:r>
      <w:r>
        <w:instrText xml:space="preserve"> PAGEREF _Toc153784566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Expenses that may be approved for reimbursement —s. </w:t>
      </w:r>
      <w:r>
        <w:rPr>
          <w:szCs w:val="24"/>
        </w:rPr>
        <w:t>5</w:t>
      </w:r>
      <w:r>
        <w:rPr>
          <w:snapToGrid w:val="0"/>
          <w:szCs w:val="24"/>
        </w:rPr>
        <w:t>.98(2)(b) and (3)</w:t>
      </w:r>
      <w:r>
        <w:tab/>
      </w:r>
      <w:r>
        <w:fldChar w:fldCharType="begin"/>
      </w:r>
      <w:r>
        <w:instrText xml:space="preserve"> PAGEREF _Toc153784567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 xml:space="preserve">Annual local government allowance for mayors or presidents — s. </w:t>
      </w:r>
      <w:r>
        <w:rPr>
          <w:szCs w:val="24"/>
        </w:rPr>
        <w:t>5</w:t>
      </w:r>
      <w:r>
        <w:rPr>
          <w:snapToGrid w:val="0"/>
          <w:szCs w:val="24"/>
        </w:rPr>
        <w:t>.98(5)</w:t>
      </w:r>
      <w:r>
        <w:tab/>
      </w:r>
      <w:r>
        <w:fldChar w:fldCharType="begin"/>
      </w:r>
      <w:r>
        <w:instrText xml:space="preserve"> PAGEREF _Toc153784568 \h </w:instrText>
      </w:r>
      <w:r>
        <w:fldChar w:fldCharType="separate"/>
      </w:r>
      <w:r>
        <w:t>26</w:t>
      </w:r>
      <w:r>
        <w:fldChar w:fldCharType="end"/>
      </w:r>
    </w:p>
    <w:p>
      <w:pPr>
        <w:pStyle w:val="TOC8"/>
        <w:rPr>
          <w:sz w:val="24"/>
          <w:szCs w:val="24"/>
        </w:rPr>
      </w:pPr>
      <w:r>
        <w:rPr>
          <w:szCs w:val="24"/>
        </w:rPr>
        <w:t>33A.</w:t>
      </w:r>
      <w:r>
        <w:rPr>
          <w:szCs w:val="24"/>
        </w:rPr>
        <w:tab/>
        <w:t>Annual local government allowance for deputies — s. 5.98A</w:t>
      </w:r>
      <w:r>
        <w:tab/>
      </w:r>
      <w:r>
        <w:fldChar w:fldCharType="begin"/>
      </w:r>
      <w:r>
        <w:instrText xml:space="preserve"> PAGEREF _Toc153784569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Annual attendance fees — s. 5.99</w:t>
      </w:r>
      <w:r>
        <w:tab/>
      </w:r>
      <w:r>
        <w:fldChar w:fldCharType="begin"/>
      </w:r>
      <w:r>
        <w:instrText xml:space="preserve"> PAGEREF _Toc153784570 \h </w:instrText>
      </w:r>
      <w:r>
        <w:fldChar w:fldCharType="separate"/>
      </w:r>
      <w:r>
        <w:t>27</w:t>
      </w:r>
      <w:r>
        <w:fldChar w:fldCharType="end"/>
      </w:r>
    </w:p>
    <w:p>
      <w:pPr>
        <w:pStyle w:val="TOC8"/>
        <w:rPr>
          <w:sz w:val="24"/>
          <w:szCs w:val="24"/>
        </w:rPr>
      </w:pPr>
      <w:r>
        <w:rPr>
          <w:szCs w:val="24"/>
        </w:rPr>
        <w:t>34A.</w:t>
      </w:r>
      <w:r>
        <w:rPr>
          <w:szCs w:val="24"/>
        </w:rPr>
        <w:tab/>
        <w:t>Allowances in lieu of reimbursement of telecommunications expenses — s. 5.99A</w:t>
      </w:r>
      <w:r>
        <w:tab/>
      </w:r>
      <w:r>
        <w:fldChar w:fldCharType="begin"/>
      </w:r>
      <w:r>
        <w:instrText xml:space="preserve"> PAGEREF _Toc153784571 \h </w:instrText>
      </w:r>
      <w:r>
        <w:fldChar w:fldCharType="separate"/>
      </w:r>
      <w:r>
        <w:t>28</w:t>
      </w:r>
      <w:r>
        <w:fldChar w:fldCharType="end"/>
      </w:r>
    </w:p>
    <w:p>
      <w:pPr>
        <w:pStyle w:val="TOC8"/>
        <w:rPr>
          <w:sz w:val="24"/>
          <w:szCs w:val="24"/>
        </w:rPr>
      </w:pPr>
      <w:r>
        <w:rPr>
          <w:szCs w:val="24"/>
        </w:rPr>
        <w:t>34AA.</w:t>
      </w:r>
      <w:r>
        <w:rPr>
          <w:szCs w:val="24"/>
        </w:rPr>
        <w:tab/>
        <w:t>Allowances in lieu of reimbursement of information technology expenses — s. 5.99A</w:t>
      </w:r>
      <w:r>
        <w:tab/>
      </w:r>
      <w:r>
        <w:fldChar w:fldCharType="begin"/>
      </w:r>
      <w:r>
        <w:instrText xml:space="preserve"> PAGEREF _Toc153784572 \h </w:instrText>
      </w:r>
      <w:r>
        <w:fldChar w:fldCharType="separate"/>
      </w:r>
      <w:r>
        <w:t>28</w:t>
      </w:r>
      <w:r>
        <w:fldChar w:fldCharType="end"/>
      </w:r>
    </w:p>
    <w:p>
      <w:pPr>
        <w:pStyle w:val="TOC8"/>
        <w:rPr>
          <w:sz w:val="24"/>
          <w:szCs w:val="24"/>
        </w:rPr>
      </w:pPr>
      <w:r>
        <w:rPr>
          <w:szCs w:val="24"/>
        </w:rPr>
        <w:t>34AB.</w:t>
      </w:r>
      <w:r>
        <w:rPr>
          <w:szCs w:val="24"/>
        </w:rPr>
        <w:tab/>
        <w:t>Allowances in lieu of reimbursement of travelling and accommodation expenses — s. 5.99A</w:t>
      </w:r>
      <w:r>
        <w:tab/>
      </w:r>
      <w:r>
        <w:fldChar w:fldCharType="begin"/>
      </w:r>
      <w:r>
        <w:instrText xml:space="preserve"> PAGEREF _Toc153784573 \h </w:instrText>
      </w:r>
      <w:r>
        <w:fldChar w:fldCharType="separate"/>
      </w:r>
      <w:r>
        <w:t>28</w:t>
      </w:r>
      <w:r>
        <w:fldChar w:fldCharType="end"/>
      </w:r>
    </w:p>
    <w:p>
      <w:pPr>
        <w:pStyle w:val="TOC8"/>
        <w:rPr>
          <w:sz w:val="24"/>
          <w:szCs w:val="24"/>
        </w:rPr>
      </w:pPr>
      <w:r>
        <w:rPr>
          <w:szCs w:val="24"/>
        </w:rPr>
        <w:t>34B.</w:t>
      </w:r>
      <w:r>
        <w:rPr>
          <w:szCs w:val="24"/>
        </w:rPr>
        <w:tab/>
        <w:t>Codes of conduct (token gifts) — s. 5.103(3)</w:t>
      </w:r>
      <w:r>
        <w:tab/>
      </w:r>
      <w:r>
        <w:fldChar w:fldCharType="begin"/>
      </w:r>
      <w:r>
        <w:instrText xml:space="preserve"> PAGEREF _Toc153784574 \h </w:instrText>
      </w:r>
      <w:r>
        <w:fldChar w:fldCharType="separate"/>
      </w:r>
      <w:r>
        <w:t>29</w:t>
      </w:r>
      <w:r>
        <w:fldChar w:fldCharType="end"/>
      </w:r>
    </w:p>
    <w:p>
      <w:pPr>
        <w:pStyle w:val="TOC8"/>
        <w:rPr>
          <w:sz w:val="24"/>
          <w:szCs w:val="24"/>
        </w:rPr>
      </w:pPr>
      <w:r>
        <w:rPr>
          <w:szCs w:val="24"/>
        </w:rPr>
        <w:t>34C.</w:t>
      </w:r>
      <w:r>
        <w:rPr>
          <w:szCs w:val="24"/>
        </w:rPr>
        <w:tab/>
        <w:t>Codes of conduct (disclosure of interests affecting impartiality) — s. 5.103(3)</w:t>
      </w:r>
      <w:r>
        <w:tab/>
      </w:r>
      <w:r>
        <w:fldChar w:fldCharType="begin"/>
      </w:r>
      <w:r>
        <w:instrText xml:space="preserve"> PAGEREF _Toc153784575 \h </w:instrText>
      </w:r>
      <w:r>
        <w:fldChar w:fldCharType="separate"/>
      </w:r>
      <w:r>
        <w:t>30</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_Toc153784578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w:t>
            </w:r>
            <w:r>
              <w:rPr>
                <w:b/>
                <w:snapToGrid w:val="0"/>
                <w:sz w:val="22"/>
              </w:rPr>
              <w:t xml:space="preserve"> November 2006</w:t>
            </w:r>
          </w:p>
        </w:tc>
      </w:tr>
    </w:tbl>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2" w:name="_Toc12955287"/>
      <w:bookmarkStart w:id="3" w:name="_Toc12955574"/>
      <w:bookmarkStart w:id="4" w:name="_Toc112152175"/>
      <w:bookmarkStart w:id="5" w:name="_Toc153784521"/>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12955288"/>
      <w:bookmarkStart w:id="7" w:name="_Toc12955575"/>
      <w:bookmarkStart w:id="8" w:name="_Toc112152176"/>
      <w:bookmarkStart w:id="9" w:name="_Toc153784522"/>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12955289"/>
      <w:bookmarkStart w:id="11" w:name="_Toc12955576"/>
      <w:bookmarkStart w:id="12" w:name="_Toc112152177"/>
      <w:bookmarkStart w:id="13" w:name="_Toc153784523"/>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code of conduct</w:t>
      </w:r>
      <w:r>
        <w:rPr>
          <w:b/>
        </w:rPr>
        <w:t>”</w:t>
      </w:r>
      <w:r>
        <w:t xml:space="preserve"> means a code of conduct prepared or adopted under section 5.103(1);</w:t>
      </w:r>
    </w:p>
    <w:p>
      <w:pPr>
        <w:pStyle w:val="Defstart"/>
      </w:pPr>
      <w:r>
        <w:rPr>
          <w:b/>
        </w:rPr>
        <w:tab/>
        <w:t>“</w:t>
      </w:r>
      <w:r>
        <w:rPr>
          <w:rStyle w:val="CharDefText"/>
        </w:rPr>
        <w:t>committee</w:t>
      </w:r>
      <w:r>
        <w:rPr>
          <w:b/>
        </w:rPr>
        <w:t>”</w:t>
      </w:r>
      <w:r>
        <w:t xml:space="preserve"> means a committee of a council;</w:t>
      </w:r>
    </w:p>
    <w:p>
      <w:pPr>
        <w:pStyle w:val="Defstart"/>
      </w:pPr>
      <w:r>
        <w:tab/>
      </w:r>
      <w:r>
        <w:rPr>
          <w:b/>
        </w:rPr>
        <w:t>“</w:t>
      </w:r>
      <w:r>
        <w:rPr>
          <w:rStyle w:val="CharDefText"/>
        </w:rPr>
        <w:t>relevant person</w:t>
      </w:r>
      <w:r>
        <w:rPr>
          <w:b/>
        </w:rPr>
        <w:t>”</w:t>
      </w:r>
      <w:r>
        <w:t xml:space="preserve"> has the meaning that it has in section 5.59;</w:t>
      </w:r>
    </w:p>
    <w:p>
      <w:pPr>
        <w:pStyle w:val="Defstart"/>
      </w:pPr>
      <w:r>
        <w:rPr>
          <w:b/>
        </w:rPr>
        <w:tab/>
        <w:t>“</w:t>
      </w:r>
      <w:r>
        <w:rPr>
          <w:rStyle w:val="CharDefText"/>
        </w:rPr>
        <w:t>Schedule</w:t>
      </w:r>
      <w:r>
        <w:rPr>
          <w:b/>
        </w:rPr>
        <w:t>”</w:t>
      </w:r>
      <w:r>
        <w:t xml:space="preserve"> means Schedule to the Act;</w:t>
      </w:r>
    </w:p>
    <w:p>
      <w:pPr>
        <w:pStyle w:val="Defstart"/>
      </w:pPr>
      <w:r>
        <w:rPr>
          <w:b/>
        </w:rPr>
        <w:tab/>
        <w:t>“</w:t>
      </w:r>
      <w:r>
        <w:rPr>
          <w:rStyle w:val="CharDefText"/>
        </w:rPr>
        <w:t>section</w:t>
      </w:r>
      <w:r>
        <w:rPr>
          <w:b/>
        </w:rPr>
        <w:t>”</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4" w:name="_Toc12955290"/>
      <w:bookmarkStart w:id="15" w:name="_Toc12955577"/>
      <w:bookmarkStart w:id="16" w:name="_Toc112152178"/>
      <w:bookmarkStart w:id="17" w:name="_Toc153784524"/>
      <w:r>
        <w:rPr>
          <w:rStyle w:val="CharSectno"/>
        </w:rPr>
        <w:t>4</w:t>
      </w:r>
      <w:r>
        <w:rPr>
          <w:snapToGrid w:val="0"/>
        </w:rPr>
        <w:t>.</w:t>
      </w:r>
      <w:r>
        <w:rPr>
          <w:snapToGrid w:val="0"/>
        </w:rPr>
        <w:tab/>
        <w:t>Resignation of committee members</w:t>
      </w:r>
      <w:bookmarkEnd w:id="14"/>
      <w:bookmarkEnd w:id="15"/>
      <w:bookmarkEnd w:id="16"/>
      <w:bookmarkEnd w:id="17"/>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8" w:name="_Toc112152179"/>
      <w:bookmarkStart w:id="19" w:name="_Toc153784525"/>
      <w:bookmarkStart w:id="20" w:name="_Toc12955291"/>
      <w:bookmarkStart w:id="21" w:name="_Toc12955578"/>
      <w:r>
        <w:rPr>
          <w:rStyle w:val="CharSectno"/>
        </w:rPr>
        <w:t>4A</w:t>
      </w:r>
      <w:r>
        <w:t>.</w:t>
      </w:r>
      <w:r>
        <w:tab/>
        <w:t>Meeting, or part of meeting, may be closed to public — s. 5.23(2)(h)</w:t>
      </w:r>
      <w:bookmarkEnd w:id="18"/>
      <w:bookmarkEnd w:id="19"/>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2" w:name="_Toc112152180"/>
      <w:bookmarkStart w:id="23" w:name="_Toc153784526"/>
      <w:r>
        <w:rPr>
          <w:rStyle w:val="CharSectno"/>
        </w:rPr>
        <w:t>5</w:t>
      </w:r>
      <w:r>
        <w:rPr>
          <w:snapToGrid w:val="0"/>
        </w:rPr>
        <w:t>.</w:t>
      </w:r>
      <w:r>
        <w:rPr>
          <w:snapToGrid w:val="0"/>
        </w:rPr>
        <w:tab/>
        <w:t>Question time for the public at certain meetings — s. 5.24(1)(b)</w:t>
      </w:r>
      <w:bookmarkEnd w:id="20"/>
      <w:bookmarkEnd w:id="21"/>
      <w:bookmarkEnd w:id="22"/>
      <w:bookmarkEnd w:id="23"/>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4" w:name="_Toc12955292"/>
      <w:bookmarkStart w:id="25" w:name="_Toc12955579"/>
      <w:bookmarkStart w:id="26" w:name="_Toc112152181"/>
      <w:bookmarkStart w:id="27" w:name="_Toc153784527"/>
      <w:r>
        <w:rPr>
          <w:rStyle w:val="CharSectno"/>
        </w:rPr>
        <w:t>6</w:t>
      </w:r>
      <w:r>
        <w:rPr>
          <w:snapToGrid w:val="0"/>
        </w:rPr>
        <w:t>.</w:t>
      </w:r>
      <w:r>
        <w:rPr>
          <w:snapToGrid w:val="0"/>
        </w:rPr>
        <w:tab/>
        <w:t>Minimum question time for the public — s. 5.24(2)</w:t>
      </w:r>
      <w:bookmarkEnd w:id="24"/>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8" w:name="_Toc12955293"/>
      <w:bookmarkStart w:id="29" w:name="_Toc12955580"/>
      <w:bookmarkStart w:id="30" w:name="_Toc112152182"/>
      <w:bookmarkStart w:id="31" w:name="_Toc153784528"/>
      <w:r>
        <w:rPr>
          <w:rStyle w:val="CharSectno"/>
        </w:rPr>
        <w:t>7</w:t>
      </w:r>
      <w:r>
        <w:rPr>
          <w:snapToGrid w:val="0"/>
        </w:rPr>
        <w:t>.</w:t>
      </w:r>
      <w:r>
        <w:rPr>
          <w:snapToGrid w:val="0"/>
        </w:rPr>
        <w:tab/>
        <w:t>Procedures for question time for the public — s. 5.24(2)</w:t>
      </w:r>
      <w:bookmarkEnd w:id="28"/>
      <w:bookmarkEnd w:id="29"/>
      <w:bookmarkEnd w:id="30"/>
      <w:bookmarkEnd w:id="31"/>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2" w:name="_Toc12955294"/>
      <w:bookmarkStart w:id="33" w:name="_Toc12955581"/>
      <w:bookmarkStart w:id="34" w:name="_Toc112152183"/>
      <w:bookmarkStart w:id="35" w:name="_Toc153784529"/>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2"/>
      <w:bookmarkEnd w:id="33"/>
      <w:bookmarkEnd w:id="34"/>
      <w:bookmarkEnd w:id="3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6" w:name="_Toc12955295"/>
      <w:bookmarkStart w:id="37" w:name="_Toc12955582"/>
      <w:bookmarkStart w:id="38" w:name="_Toc112152184"/>
      <w:bookmarkStart w:id="39" w:name="_Toc153784530"/>
      <w:r>
        <w:rPr>
          <w:rStyle w:val="CharSectno"/>
        </w:rPr>
        <w:t>9</w:t>
      </w:r>
      <w:r>
        <w:rPr>
          <w:snapToGrid w:val="0"/>
        </w:rPr>
        <w:t>.</w:t>
      </w:r>
      <w:r>
        <w:rPr>
          <w:snapToGrid w:val="0"/>
        </w:rPr>
        <w:tab/>
        <w:t>Voting at council or committee meetings — s. 5.25(1)(d)</w:t>
      </w:r>
      <w:bookmarkEnd w:id="36"/>
      <w:bookmarkEnd w:id="37"/>
      <w:bookmarkEnd w:id="38"/>
      <w:bookmarkEnd w:id="39"/>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0" w:name="_Toc12955296"/>
      <w:bookmarkStart w:id="41" w:name="_Toc12955583"/>
      <w:bookmarkStart w:id="42" w:name="_Toc112152185"/>
      <w:bookmarkStart w:id="43" w:name="_Toc153784531"/>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40"/>
      <w:bookmarkEnd w:id="41"/>
      <w:bookmarkEnd w:id="42"/>
      <w:bookmarkEnd w:id="4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44" w:name="_Toc12955297"/>
      <w:bookmarkStart w:id="45" w:name="_Toc12955584"/>
      <w:bookmarkStart w:id="46" w:name="_Toc112152186"/>
      <w:bookmarkStart w:id="47" w:name="_Toc153784532"/>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44"/>
      <w:bookmarkEnd w:id="45"/>
      <w:bookmarkEnd w:id="46"/>
      <w:bookmarkEnd w:id="47"/>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48" w:name="_Toc12955298"/>
      <w:bookmarkStart w:id="49" w:name="_Toc12955585"/>
      <w:bookmarkStart w:id="50" w:name="_Toc112152187"/>
      <w:bookmarkStart w:id="51" w:name="_Toc153784533"/>
      <w:r>
        <w:rPr>
          <w:rStyle w:val="CharSectno"/>
        </w:rPr>
        <w:t>12</w:t>
      </w:r>
      <w:r>
        <w:rPr>
          <w:snapToGrid w:val="0"/>
        </w:rPr>
        <w:t>.</w:t>
      </w:r>
      <w:r>
        <w:rPr>
          <w:snapToGrid w:val="0"/>
        </w:rPr>
        <w:tab/>
        <w:t>Public notice of council or committee meetings — s. 5.25(1)(g)</w:t>
      </w:r>
      <w:bookmarkEnd w:id="48"/>
      <w:bookmarkEnd w:id="49"/>
      <w:bookmarkEnd w:id="50"/>
      <w:bookmarkEnd w:id="51"/>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52" w:name="_Toc12955299"/>
      <w:bookmarkStart w:id="53" w:name="_Toc12955586"/>
      <w:bookmarkStart w:id="54" w:name="_Toc112152188"/>
      <w:bookmarkStart w:id="55" w:name="_Toc153784534"/>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52"/>
      <w:bookmarkEnd w:id="53"/>
      <w:bookmarkEnd w:id="54"/>
      <w:bookmarkEnd w:id="55"/>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56" w:name="_Toc12955300"/>
      <w:bookmarkStart w:id="57" w:name="_Toc12955587"/>
      <w:bookmarkStart w:id="58" w:name="_Toc112152189"/>
      <w:bookmarkStart w:id="59" w:name="_Toc153784535"/>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56"/>
      <w:bookmarkEnd w:id="57"/>
      <w:bookmarkEnd w:id="58"/>
      <w:bookmarkEnd w:id="59"/>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60" w:name="_Toc112152190"/>
      <w:bookmarkStart w:id="61" w:name="_Toc153784536"/>
      <w:bookmarkStart w:id="62" w:name="_Toc12955301"/>
      <w:bookmarkStart w:id="63" w:name="_Toc12955588"/>
      <w:r>
        <w:rPr>
          <w:rStyle w:val="CharSectno"/>
        </w:rPr>
        <w:t>14A</w:t>
      </w:r>
      <w:r>
        <w:t>.</w:t>
      </w:r>
      <w:r>
        <w:tab/>
        <w:t>Attendance at meetings by means of instantaneous communication — s. 5.25(1)(ba)</w:t>
      </w:r>
      <w:bookmarkEnd w:id="60"/>
      <w:bookmarkEnd w:id="61"/>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t>“</w:t>
      </w:r>
      <w:r>
        <w:rPr>
          <w:rStyle w:val="CharDefText"/>
        </w:rPr>
        <w:t>suitable place</w:t>
      </w:r>
      <w:r>
        <w:rPr>
          <w:b/>
        </w:rPr>
        <w:t>”</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t>“</w:t>
      </w:r>
      <w:r>
        <w:rPr>
          <w:rStyle w:val="CharDefText"/>
        </w:rPr>
        <w:t>townsite</w:t>
      </w:r>
      <w:r>
        <w:rPr>
          <w:b/>
        </w:rPr>
        <w:t>”</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64" w:name="_Toc112152191"/>
      <w:bookmarkStart w:id="65" w:name="_Toc153784537"/>
      <w:r>
        <w:rPr>
          <w:rStyle w:val="CharSectno"/>
        </w:rPr>
        <w:t>14B</w:t>
      </w:r>
      <w:r>
        <w:t>.</w:t>
      </w:r>
      <w:r>
        <w:tab/>
        <w:t>Attendance at meetings by means of instantaneous communication after natural emergency — s. 5.25(1)(ba)</w:t>
      </w:r>
      <w:bookmarkEnd w:id="64"/>
      <w:bookmarkEnd w:id="6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t>“</w:t>
      </w:r>
      <w:r>
        <w:rPr>
          <w:rStyle w:val="CharDefText"/>
        </w:rPr>
        <w:t>person referred to in this regulation</w:t>
      </w:r>
      <w:r>
        <w:rPr>
          <w:b/>
          <w:bCs/>
        </w:rPr>
        <w:t>”</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66" w:name="_Toc112152192"/>
      <w:bookmarkStart w:id="67" w:name="_Toc153784538"/>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62"/>
      <w:bookmarkEnd w:id="63"/>
      <w:bookmarkEnd w:id="66"/>
      <w:bookmarkEnd w:id="67"/>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8" w:name="_Toc12955302"/>
      <w:bookmarkStart w:id="69" w:name="_Toc12955589"/>
      <w:bookmarkStart w:id="70" w:name="_Toc112152193"/>
      <w:bookmarkStart w:id="71" w:name="_Toc153784539"/>
      <w:r>
        <w:rPr>
          <w:rStyle w:val="CharSectno"/>
        </w:rPr>
        <w:t>16</w:t>
      </w:r>
      <w:r>
        <w:rPr>
          <w:snapToGrid w:val="0"/>
        </w:rPr>
        <w:t>.</w:t>
      </w:r>
      <w:r>
        <w:rPr>
          <w:snapToGrid w:val="0"/>
        </w:rPr>
        <w:tab/>
        <w:t>Requests for electors’ special meetings — s. 5.28(2)</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2" w:name="_Toc12955303"/>
      <w:bookmarkStart w:id="73" w:name="_Toc12955590"/>
      <w:bookmarkStart w:id="74" w:name="_Toc112152194"/>
      <w:bookmarkStart w:id="75" w:name="_Toc153784540"/>
      <w:r>
        <w:rPr>
          <w:rStyle w:val="CharSectno"/>
        </w:rPr>
        <w:t>17</w:t>
      </w:r>
      <w:r>
        <w:rPr>
          <w:snapToGrid w:val="0"/>
        </w:rPr>
        <w:t>.</w:t>
      </w:r>
      <w:r>
        <w:rPr>
          <w:snapToGrid w:val="0"/>
        </w:rPr>
        <w:tab/>
        <w:t>Voting at electors’ meetings — s. 5.31</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76" w:name="_Toc12955304"/>
      <w:bookmarkStart w:id="77" w:name="_Toc12955591"/>
      <w:bookmarkStart w:id="78" w:name="_Toc112152195"/>
      <w:bookmarkStart w:id="79" w:name="_Toc153784541"/>
      <w:r>
        <w:rPr>
          <w:rStyle w:val="CharSectno"/>
        </w:rPr>
        <w:t>18</w:t>
      </w:r>
      <w:r>
        <w:rPr>
          <w:snapToGrid w:val="0"/>
        </w:rPr>
        <w:t>.</w:t>
      </w:r>
      <w:r>
        <w:rPr>
          <w:snapToGrid w:val="0"/>
        </w:rPr>
        <w:tab/>
        <w:t>Procedures at electors’ meetings — s. 5.31</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80" w:name="_Toc112152196"/>
      <w:bookmarkStart w:id="81" w:name="_Toc153784542"/>
      <w:bookmarkStart w:id="82" w:name="_Toc12955305"/>
      <w:bookmarkStart w:id="83" w:name="_Toc12955592"/>
      <w:r>
        <w:rPr>
          <w:rStyle w:val="CharSectno"/>
        </w:rPr>
        <w:t>18A</w:t>
      </w:r>
      <w:r>
        <w:t>.</w:t>
      </w:r>
      <w:r>
        <w:tab/>
        <w:t>Advertisement for position of CEO or senior employee — s. 5.36(4) and 5.37(3)</w:t>
      </w:r>
      <w:bookmarkEnd w:id="80"/>
      <w:bookmarkEnd w:id="81"/>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p>
    <w:p>
      <w:pPr>
        <w:pStyle w:val="Indenta"/>
      </w:pPr>
      <w:r>
        <w:tab/>
      </w:r>
      <w:r>
        <w:tab/>
        <w:t>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84" w:name="_Toc112152197"/>
      <w:bookmarkStart w:id="85" w:name="_Toc153784543"/>
      <w:r>
        <w:rPr>
          <w:rStyle w:val="CharSectno"/>
        </w:rPr>
        <w:t>18B</w:t>
      </w:r>
      <w:r>
        <w:t>.</w:t>
      </w:r>
      <w:r>
        <w:tab/>
        <w:t>Matters to be included in contracts for CEO’s and senior employees — s. 5.39(3)(c)</w:t>
      </w:r>
      <w:bookmarkEnd w:id="84"/>
      <w:bookmarkEnd w:id="85"/>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86" w:name="_Toc112152198"/>
      <w:bookmarkStart w:id="87" w:name="_Toc153784544"/>
      <w:r>
        <w:rPr>
          <w:rStyle w:val="CharSectno"/>
        </w:rPr>
        <w:t>18C</w:t>
      </w:r>
      <w:r>
        <w:t>.</w:t>
      </w:r>
      <w:r>
        <w:tab/>
        <w:t>Selection and appointment process for CEO’s</w:t>
      </w:r>
      <w:bookmarkEnd w:id="86"/>
      <w:bookmarkEnd w:id="87"/>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88" w:name="_Toc112152199"/>
      <w:bookmarkStart w:id="89" w:name="_Toc153784545"/>
      <w:r>
        <w:rPr>
          <w:rStyle w:val="CharSectno"/>
        </w:rPr>
        <w:t>18D</w:t>
      </w:r>
      <w:r>
        <w:t>.</w:t>
      </w:r>
      <w:r>
        <w:tab/>
        <w:t>Local government to consider performance review on CEO</w:t>
      </w:r>
      <w:bookmarkEnd w:id="88"/>
      <w:bookmarkEnd w:id="8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90" w:name="_Toc112152200"/>
      <w:bookmarkStart w:id="91" w:name="_Toc153784546"/>
      <w:r>
        <w:rPr>
          <w:rStyle w:val="CharSectno"/>
        </w:rPr>
        <w:t>18E</w:t>
      </w:r>
      <w:r>
        <w:t>.</w:t>
      </w:r>
      <w:r>
        <w:tab/>
        <w:t>Offence to give false information in application for employment with local government</w:t>
      </w:r>
      <w:bookmarkEnd w:id="90"/>
      <w:bookmarkEnd w:id="91"/>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92" w:name="_Toc112152201"/>
      <w:bookmarkStart w:id="93" w:name="_Toc153784547"/>
      <w:r>
        <w:rPr>
          <w:rStyle w:val="CharSectno"/>
        </w:rPr>
        <w:t>18F</w:t>
      </w:r>
      <w:r>
        <w:t>.</w:t>
      </w:r>
      <w:r>
        <w:tab/>
        <w:t>Remuneration and benefits of CEO to be as advertised</w:t>
      </w:r>
      <w:bookmarkEnd w:id="92"/>
      <w:bookmarkEnd w:id="9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94" w:name="_Toc112152202"/>
      <w:bookmarkStart w:id="95" w:name="_Toc153784548"/>
      <w:r>
        <w:rPr>
          <w:rStyle w:val="CharSectno"/>
        </w:rPr>
        <w:t>18G</w:t>
      </w:r>
      <w:r>
        <w:t>.</w:t>
      </w:r>
      <w:r>
        <w:tab/>
        <w:t>Limits on delegations to CEO’s — s. 5.43</w:t>
      </w:r>
      <w:bookmarkEnd w:id="94"/>
      <w:bookmarkEnd w:id="95"/>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96" w:name="_Toc112152203"/>
      <w:bookmarkStart w:id="97" w:name="_Toc153784549"/>
      <w:r>
        <w:rPr>
          <w:rStyle w:val="CharSectno"/>
        </w:rPr>
        <w:t>19</w:t>
      </w:r>
      <w:r>
        <w:rPr>
          <w:snapToGrid w:val="0"/>
        </w:rPr>
        <w:t>.</w:t>
      </w:r>
      <w:r>
        <w:rPr>
          <w:snapToGrid w:val="0"/>
        </w:rPr>
        <w:tab/>
        <w:t>Records to be kept by delegates — s. 5.46(3)</w:t>
      </w:r>
      <w:bookmarkEnd w:id="82"/>
      <w:bookmarkEnd w:id="83"/>
      <w:bookmarkEnd w:id="96"/>
      <w:bookmarkEnd w:id="97"/>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8" w:name="_Toc112152204"/>
      <w:bookmarkStart w:id="99" w:name="_Toc153784550"/>
      <w:bookmarkStart w:id="100" w:name="_Toc12955306"/>
      <w:bookmarkStart w:id="101" w:name="_Toc12955593"/>
      <w:r>
        <w:rPr>
          <w:rStyle w:val="CharSectno"/>
        </w:rPr>
        <w:t>19A</w:t>
      </w:r>
      <w:r>
        <w:t>.</w:t>
      </w:r>
      <w:r>
        <w:tab/>
        <w:t>Payments to employee in addition to contract or award — s. 5.50(3)</w:t>
      </w:r>
      <w:bookmarkEnd w:id="98"/>
      <w:bookmarkEnd w:id="99"/>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t>“</w:t>
      </w:r>
      <w:r>
        <w:rPr>
          <w:rStyle w:val="CharDefText"/>
        </w:rPr>
        <w:t>final annual remuneration</w:t>
      </w:r>
      <w:r>
        <w:rPr>
          <w:b/>
        </w:rPr>
        <w:t>”</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02" w:name="_Toc112152205"/>
      <w:bookmarkStart w:id="103" w:name="_Toc153784551"/>
      <w:r>
        <w:rPr>
          <w:rStyle w:val="CharSectno"/>
        </w:rPr>
        <w:t>19B</w:t>
      </w:r>
      <w:r>
        <w:t>.</w:t>
      </w:r>
      <w:r>
        <w:tab/>
        <w:t>Annual report to contain information on payments to employees — s. 5.53(2)(g)</w:t>
      </w:r>
      <w:bookmarkEnd w:id="102"/>
      <w:bookmarkEnd w:id="103"/>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4" w:name="_Toc112152206"/>
      <w:bookmarkStart w:id="105" w:name="_Toc153784552"/>
      <w:r>
        <w:rPr>
          <w:rStyle w:val="CharSectno"/>
        </w:rPr>
        <w:t>19C</w:t>
      </w:r>
      <w:r>
        <w:t>.</w:t>
      </w:r>
      <w:r>
        <w:tab/>
        <w:t>Planning for the future — s. 5.56</w:t>
      </w:r>
      <w:bookmarkEnd w:id="104"/>
      <w:bookmarkEnd w:id="105"/>
    </w:p>
    <w:p>
      <w:pPr>
        <w:pStyle w:val="Subsection"/>
      </w:pPr>
      <w:r>
        <w:tab/>
        <w:t>(1)</w:t>
      </w:r>
      <w:r>
        <w:tab/>
        <w:t xml:space="preserve">In this regulation and regulation 19D — </w:t>
      </w:r>
    </w:p>
    <w:p>
      <w:pPr>
        <w:pStyle w:val="Defstart"/>
      </w:pPr>
      <w:r>
        <w:rPr>
          <w:b/>
        </w:rPr>
        <w:tab/>
        <w:t>“</w:t>
      </w:r>
      <w:r>
        <w:rPr>
          <w:rStyle w:val="CharDefText"/>
        </w:rPr>
        <w:t>plan for the future</w:t>
      </w:r>
      <w:r>
        <w:rPr>
          <w:b/>
        </w:rPr>
        <w:t>”</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06" w:name="_Toc112152207"/>
      <w:bookmarkStart w:id="107" w:name="_Toc153784553"/>
      <w:r>
        <w:rPr>
          <w:rStyle w:val="CharSectno"/>
        </w:rPr>
        <w:t>19D</w:t>
      </w:r>
      <w:r>
        <w:t>.</w:t>
      </w:r>
      <w:r>
        <w:tab/>
        <w:t>Notice of plan to be given</w:t>
      </w:r>
      <w:bookmarkEnd w:id="106"/>
      <w:bookmarkEnd w:id="107"/>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08" w:name="_Toc112152208"/>
      <w:bookmarkStart w:id="109" w:name="_Toc153784554"/>
      <w:bookmarkStart w:id="110" w:name="_Toc12955307"/>
      <w:bookmarkStart w:id="111" w:name="_Toc12955594"/>
      <w:bookmarkEnd w:id="100"/>
      <w:bookmarkEnd w:id="101"/>
      <w:r>
        <w:rPr>
          <w:rStyle w:val="CharSectno"/>
        </w:rPr>
        <w:t>20</w:t>
      </w:r>
      <w:r>
        <w:t>.</w:t>
      </w:r>
      <w:r>
        <w:tab/>
        <w:t>Closely associated persons — s. 5.62</w:t>
      </w:r>
      <w:bookmarkEnd w:id="108"/>
      <w:bookmarkEnd w:id="109"/>
    </w:p>
    <w:p>
      <w:pPr>
        <w:pStyle w:val="Subsection"/>
      </w:pPr>
      <w:r>
        <w:tab/>
        <w:t>(1)</w:t>
      </w:r>
      <w:r>
        <w:tab/>
        <w:t xml:space="preserve">In subregulation (2) — </w:t>
      </w:r>
    </w:p>
    <w:p>
      <w:pPr>
        <w:pStyle w:val="Defstart"/>
      </w:pPr>
      <w:r>
        <w:rPr>
          <w:b/>
        </w:rPr>
        <w:tab/>
        <w:t>“</w:t>
      </w:r>
      <w:r>
        <w:rPr>
          <w:rStyle w:val="CharDefText"/>
        </w:rPr>
        <w:t>client or adviser</w:t>
      </w:r>
      <w:r>
        <w:rPr>
          <w:b/>
        </w:rPr>
        <w:t>”</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12" w:name="_Toc112152209"/>
      <w:bookmarkStart w:id="113" w:name="_Toc153784555"/>
      <w:r>
        <w:rPr>
          <w:rStyle w:val="CharSectno"/>
        </w:rPr>
        <w:t>21</w:t>
      </w:r>
      <w:r>
        <w:t>.</w:t>
      </w:r>
      <w:r>
        <w:tab/>
        <w:t>Interests that need not be disclosed — s. 5.63(1)(h)</w:t>
      </w:r>
      <w:bookmarkEnd w:id="110"/>
      <w:bookmarkEnd w:id="111"/>
      <w:bookmarkEnd w:id="112"/>
      <w:bookmarkEnd w:id="113"/>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Indenti"/>
      </w:pPr>
      <w:r>
        <w:tab/>
        <w:t>(i)</w:t>
      </w:r>
      <w:r>
        <w:tab/>
        <w:t>the specification by a local government of a value for the purposes of the definition of “token gift” in regulation 34B(1);</w:t>
      </w:r>
    </w:p>
    <w:p>
      <w:pPr>
        <w:pStyle w:val="Indenti"/>
      </w:pPr>
      <w:r>
        <w:tab/>
        <w:t>(ii)</w:t>
      </w:r>
      <w:r>
        <w:tab/>
        <w:t>the making of a decision by a local government under regulation 34B(5); or</w:t>
      </w:r>
    </w:p>
    <w:p>
      <w:pPr>
        <w:pStyle w:val="Indenti"/>
      </w:pPr>
      <w:r>
        <w:tab/>
        <w:t>(iii)</w:t>
      </w:r>
      <w:r>
        <w:tab/>
        <w:t>a gift that can be accepted by a relevant person in accordance with a code of conduct to be observed by the relevant person.</w:t>
      </w:r>
    </w:p>
    <w:p>
      <w:pPr>
        <w:pStyle w:val="Footnotesection"/>
      </w:pPr>
      <w:r>
        <w:tab/>
        <w:t>[Regulation 21 inserted in Gazette 28 Jun 2002 p. 3080</w:t>
      </w:r>
      <w:r>
        <w:noBreakHyphen/>
        <w:t>1.]</w:t>
      </w:r>
    </w:p>
    <w:p>
      <w:pPr>
        <w:pStyle w:val="Heading5"/>
        <w:spacing w:before="200"/>
        <w:rPr>
          <w:snapToGrid w:val="0"/>
        </w:rPr>
      </w:pPr>
      <w:bookmarkStart w:id="114" w:name="_Toc12955308"/>
      <w:bookmarkStart w:id="115" w:name="_Toc12955595"/>
      <w:bookmarkStart w:id="116" w:name="_Toc112152210"/>
      <w:bookmarkStart w:id="117" w:name="_Toc153784556"/>
      <w:r>
        <w:rPr>
          <w:rStyle w:val="CharSectno"/>
        </w:rPr>
        <w:t>22</w:t>
      </w:r>
      <w:r>
        <w:rPr>
          <w:snapToGrid w:val="0"/>
        </w:rPr>
        <w:t>.</w:t>
      </w:r>
      <w:r>
        <w:rPr>
          <w:snapToGrid w:val="0"/>
        </w:rPr>
        <w:tab/>
        <w:t>Form for primary returns — s. 5.75(1) and (2)</w:t>
      </w:r>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18" w:name="_Toc12955309"/>
      <w:bookmarkStart w:id="119" w:name="_Toc12955596"/>
      <w:bookmarkStart w:id="120" w:name="_Toc112152211"/>
      <w:bookmarkStart w:id="121" w:name="_Toc153784557"/>
      <w:r>
        <w:rPr>
          <w:rStyle w:val="CharSectno"/>
        </w:rPr>
        <w:t>23</w:t>
      </w:r>
      <w:r>
        <w:rPr>
          <w:snapToGrid w:val="0"/>
        </w:rPr>
        <w:t>.</w:t>
      </w:r>
      <w:r>
        <w:rPr>
          <w:snapToGrid w:val="0"/>
        </w:rPr>
        <w:tab/>
        <w:t>Form for annual returns — s. 5.76(1) and (2)</w:t>
      </w:r>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22" w:name="_Toc12955310"/>
      <w:bookmarkStart w:id="123" w:name="_Toc12955597"/>
      <w:bookmarkStart w:id="124" w:name="_Toc112152212"/>
      <w:bookmarkStart w:id="125" w:name="_Toc153784558"/>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26" w:name="_Toc12955311"/>
      <w:bookmarkStart w:id="127" w:name="_Toc12955598"/>
      <w:bookmarkStart w:id="128" w:name="_Toc112152213"/>
      <w:bookmarkStart w:id="129" w:name="_Toc153784559"/>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30" w:name="_Toc12955312"/>
      <w:bookmarkStart w:id="131" w:name="_Toc12955599"/>
      <w:bookmarkStart w:id="132" w:name="_Toc112152214"/>
      <w:bookmarkStart w:id="133" w:name="_Toc153784560"/>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34" w:name="_Toc12955313"/>
      <w:bookmarkStart w:id="135" w:name="_Toc12955600"/>
      <w:bookmarkStart w:id="136" w:name="_Toc112152215"/>
      <w:bookmarkStart w:id="137" w:name="_Toc153784561"/>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8" w:name="_Toc12955314"/>
      <w:bookmarkStart w:id="139" w:name="_Toc12955601"/>
      <w:bookmarkStart w:id="140" w:name="_Toc112152216"/>
      <w:bookmarkStart w:id="141" w:name="_Toc153784562"/>
      <w:r>
        <w:rPr>
          <w:rStyle w:val="CharSectno"/>
        </w:rPr>
        <w:t>28</w:t>
      </w:r>
      <w:r>
        <w:rPr>
          <w:snapToGrid w:val="0"/>
        </w:rPr>
        <w:t>.</w:t>
      </w:r>
      <w:r>
        <w:rPr>
          <w:snapToGrid w:val="0"/>
        </w:rPr>
        <w:tab/>
        <w:t>Register of financial interests — s. 5.88(2)</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42" w:name="_Toc12955315"/>
      <w:bookmarkStart w:id="143" w:name="_Toc12955602"/>
      <w:bookmarkStart w:id="144" w:name="_Toc112152217"/>
      <w:bookmarkStart w:id="145" w:name="_Toc153784563"/>
      <w:r>
        <w:rPr>
          <w:rStyle w:val="CharSectno"/>
        </w:rPr>
        <w:t>29</w:t>
      </w:r>
      <w:r>
        <w:rPr>
          <w:snapToGrid w:val="0"/>
        </w:rPr>
        <w:t>.</w:t>
      </w:r>
      <w:r>
        <w:rPr>
          <w:snapToGrid w:val="0"/>
        </w:rPr>
        <w:tab/>
        <w:t>Information to be available for public inspection — s. 5.94</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rPr>
          <w:snapToGrid w:val="0"/>
        </w:rPr>
      </w:pPr>
      <w:r>
        <w:tab/>
        <w:t>(bb)</w:t>
      </w:r>
      <w:r>
        <w:tab/>
        <w:t>the information contained in a register of token gifts referred to in regulation 34B(3);</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w:t>
      </w:r>
    </w:p>
    <w:p>
      <w:pPr>
        <w:pStyle w:val="Heading5"/>
      </w:pPr>
      <w:bookmarkStart w:id="146" w:name="_Toc112152218"/>
      <w:bookmarkStart w:id="147" w:name="_Toc153784564"/>
      <w:bookmarkStart w:id="148" w:name="_Toc12955316"/>
      <w:bookmarkStart w:id="149" w:name="_Toc12955603"/>
      <w:r>
        <w:rPr>
          <w:rStyle w:val="CharSectno"/>
        </w:rPr>
        <w:t>29A</w:t>
      </w:r>
      <w:r>
        <w:t>.</w:t>
      </w:r>
      <w:r>
        <w:tab/>
        <w:t>Limits on right to inspect local government information — s. 5.95</w:t>
      </w:r>
      <w:bookmarkEnd w:id="146"/>
      <w:bookmarkEnd w:id="147"/>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150" w:name="_Toc112152219"/>
      <w:bookmarkStart w:id="151" w:name="_Toc153784565"/>
      <w:r>
        <w:rPr>
          <w:rStyle w:val="CharSectno"/>
        </w:rPr>
        <w:t>30</w:t>
      </w:r>
      <w:r>
        <w:rPr>
          <w:snapToGrid w:val="0"/>
        </w:rPr>
        <w:t>.</w:t>
      </w:r>
      <w:r>
        <w:rPr>
          <w:snapToGrid w:val="0"/>
        </w:rPr>
        <w:tab/>
        <w:t>Meeting attendance fees — s. 5.98(1)</w:t>
      </w:r>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152" w:name="_Toc12955317"/>
      <w:bookmarkStart w:id="153" w:name="_Toc12955604"/>
      <w:bookmarkStart w:id="154" w:name="_Toc112152220"/>
      <w:bookmarkStart w:id="155" w:name="_Toc153784566"/>
      <w:r>
        <w:rPr>
          <w:rStyle w:val="CharSectno"/>
        </w:rPr>
        <w:t>31</w:t>
      </w:r>
      <w:r>
        <w:rPr>
          <w:snapToGrid w:val="0"/>
        </w:rPr>
        <w:t>.</w:t>
      </w:r>
      <w:r>
        <w:rPr>
          <w:snapToGrid w:val="0"/>
        </w:rPr>
        <w:tab/>
        <w:t>Expenses that are to be reimbursed — s. 5.98(2)(a) and (3)</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56" w:name="_Toc12955318"/>
      <w:bookmarkStart w:id="157" w:name="_Toc12955605"/>
      <w:r>
        <w:tab/>
        <w:t>[Regulation 31 amended in Gazette 31 Mar 2005 p. 1034.]</w:t>
      </w:r>
    </w:p>
    <w:p>
      <w:pPr>
        <w:pStyle w:val="Heading5"/>
        <w:rPr>
          <w:snapToGrid w:val="0"/>
        </w:rPr>
      </w:pPr>
      <w:bookmarkStart w:id="158" w:name="_Toc112152221"/>
      <w:bookmarkStart w:id="159" w:name="_Toc153784567"/>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60" w:name="_Toc12955319"/>
      <w:bookmarkStart w:id="161" w:name="_Toc12955606"/>
      <w:bookmarkStart w:id="162" w:name="_Toc112152222"/>
      <w:bookmarkStart w:id="163" w:name="_Toc153784568"/>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t>“</w:t>
      </w:r>
      <w:r>
        <w:rPr>
          <w:rStyle w:val="CharDefText"/>
        </w:rPr>
        <w:t>operating revenue</w:t>
      </w:r>
      <w:r>
        <w:rPr>
          <w:b/>
        </w:rPr>
        <w:t>”</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64" w:name="_Toc12955320"/>
      <w:bookmarkStart w:id="165" w:name="_Toc12955607"/>
      <w:bookmarkStart w:id="166" w:name="_Toc112152223"/>
      <w:bookmarkStart w:id="167" w:name="_Toc153784569"/>
      <w:r>
        <w:rPr>
          <w:rStyle w:val="CharSectno"/>
        </w:rPr>
        <w:t>33A</w:t>
      </w:r>
      <w:r>
        <w:t>.</w:t>
      </w:r>
      <w:r>
        <w:tab/>
        <w:t>Annual local government allowance for deputies — s. 5.98A</w:t>
      </w:r>
      <w:bookmarkEnd w:id="164"/>
      <w:bookmarkEnd w:id="165"/>
      <w:bookmarkEnd w:id="166"/>
      <w:bookmarkEnd w:id="167"/>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68" w:name="_Toc12955321"/>
      <w:bookmarkStart w:id="169" w:name="_Toc12955608"/>
      <w:bookmarkStart w:id="170" w:name="_Toc112152224"/>
      <w:bookmarkStart w:id="171" w:name="_Toc153784570"/>
      <w:r>
        <w:rPr>
          <w:rStyle w:val="CharSectno"/>
        </w:rPr>
        <w:t>34</w:t>
      </w:r>
      <w:r>
        <w:rPr>
          <w:snapToGrid w:val="0"/>
        </w:rPr>
        <w:t>.</w:t>
      </w:r>
      <w:r>
        <w:rPr>
          <w:snapToGrid w:val="0"/>
        </w:rPr>
        <w:tab/>
        <w:t>Annual attendance fees — s. 5.99</w:t>
      </w:r>
      <w:bookmarkEnd w:id="168"/>
      <w:bookmarkEnd w:id="169"/>
      <w:bookmarkEnd w:id="170"/>
      <w:bookmarkEnd w:id="171"/>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72" w:name="_Toc12955322"/>
      <w:bookmarkStart w:id="173" w:name="_Toc12955609"/>
      <w:bookmarkStart w:id="174" w:name="_Toc112152225"/>
      <w:bookmarkStart w:id="175" w:name="_Toc153784571"/>
      <w:r>
        <w:rPr>
          <w:rStyle w:val="CharSectno"/>
        </w:rPr>
        <w:t>34A</w:t>
      </w:r>
      <w:r>
        <w:t>.</w:t>
      </w:r>
      <w:r>
        <w:tab/>
        <w:t>Allowances in lieu of reimbursement of telecommunications expenses — s. 5.99A</w:t>
      </w:r>
      <w:bookmarkEnd w:id="172"/>
      <w:bookmarkEnd w:id="173"/>
      <w:bookmarkEnd w:id="174"/>
      <w:bookmarkEnd w:id="17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176" w:name="_Toc112152226"/>
      <w:bookmarkStart w:id="177" w:name="_Toc153784572"/>
      <w:bookmarkStart w:id="178" w:name="_Toc12955323"/>
      <w:bookmarkStart w:id="179" w:name="_Toc12955610"/>
      <w:r>
        <w:rPr>
          <w:rStyle w:val="CharSectno"/>
        </w:rPr>
        <w:t>34AA</w:t>
      </w:r>
      <w:r>
        <w:t>.</w:t>
      </w:r>
      <w:r>
        <w:tab/>
        <w:t>Allowances in lieu of reimbursement of information technology expenses — s. 5.99A</w:t>
      </w:r>
      <w:bookmarkEnd w:id="176"/>
      <w:bookmarkEnd w:id="177"/>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180" w:name="_Toc112152227"/>
      <w:bookmarkStart w:id="181" w:name="_Toc153784573"/>
      <w:r>
        <w:rPr>
          <w:rStyle w:val="CharSectno"/>
        </w:rPr>
        <w:t>34AB</w:t>
      </w:r>
      <w:r>
        <w:t>.</w:t>
      </w:r>
      <w:r>
        <w:tab/>
        <w:t>Allowances in lieu of reimbursement of travelling and accommodation expenses — s. 5.99A</w:t>
      </w:r>
      <w:bookmarkEnd w:id="180"/>
      <w:bookmarkEnd w:id="181"/>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t>“</w:t>
      </w:r>
      <w:r>
        <w:rPr>
          <w:rStyle w:val="CharDefText"/>
        </w:rPr>
        <w:t>Public Service Award</w:t>
      </w:r>
      <w:r>
        <w:rPr>
          <w:b/>
        </w:rPr>
        <w:t>”</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182" w:name="_Toc112152228"/>
      <w:bookmarkStart w:id="183" w:name="_Toc153784574"/>
      <w:r>
        <w:rPr>
          <w:rStyle w:val="CharSectno"/>
        </w:rPr>
        <w:t>34B</w:t>
      </w:r>
      <w:r>
        <w:t>.</w:t>
      </w:r>
      <w:r>
        <w:tab/>
        <w:t>Codes of conduct (token gifts) — s. 5.103(3)</w:t>
      </w:r>
      <w:bookmarkEnd w:id="178"/>
      <w:bookmarkEnd w:id="179"/>
      <w:bookmarkEnd w:id="182"/>
      <w:bookmarkEnd w:id="183"/>
    </w:p>
    <w:p>
      <w:pPr>
        <w:pStyle w:val="Subsection"/>
      </w:pPr>
      <w:r>
        <w:tab/>
        <w:t>(1)</w:t>
      </w:r>
      <w:r>
        <w:tab/>
        <w:t>In this regulation —</w:t>
      </w:r>
    </w:p>
    <w:p>
      <w:pPr>
        <w:pStyle w:val="Defstart"/>
      </w:pPr>
      <w:r>
        <w:tab/>
      </w:r>
      <w:r>
        <w:rPr>
          <w:b/>
        </w:rPr>
        <w:t>“</w:t>
      </w:r>
      <w:r>
        <w:rPr>
          <w:rStyle w:val="CharDefText"/>
        </w:rPr>
        <w:t>gift</w:t>
      </w:r>
      <w:r>
        <w:rPr>
          <w:b/>
        </w:rPr>
        <w:t>”</w:t>
      </w:r>
      <w:r>
        <w:t xml:space="preserve"> </w:t>
      </w:r>
      <w:r>
        <w:fldChar w:fldCharType="begin"/>
      </w:r>
      <w:r>
        <w:instrText xml:space="preserve"> LISTNUM ScheduleDefinitionNumbers \l1 </w:instrText>
      </w:r>
      <w:r>
        <w:fldChar w:fldCharType="end"/>
      </w:r>
      <w:r>
        <w:t xml:space="preserve">does not include — </w:t>
      </w:r>
    </w:p>
    <w:p>
      <w:pPr>
        <w:pStyle w:val="Defpara"/>
      </w:pPr>
      <w:r>
        <w:tab/>
        <w:t>(a)</w:t>
      </w:r>
      <w:r>
        <w:tab/>
        <w:t>a gift from a relative as defined in section 5.74(1);</w:t>
      </w:r>
    </w:p>
    <w:p>
      <w:pPr>
        <w:pStyle w:val="Defpara"/>
      </w:pPr>
      <w:r>
        <w:tab/>
        <w:t>(b)</w:t>
      </w:r>
      <w:r>
        <w:tab/>
        <w:t xml:space="preserve">a gift as defined in regulation 30A of the </w:t>
      </w:r>
      <w:r>
        <w:rPr>
          <w:i/>
        </w:rPr>
        <w:t>Local Government (Elections) Regulations 1997</w:t>
      </w:r>
      <w:r>
        <w:t>;</w:t>
      </w:r>
    </w:p>
    <w:p>
      <w:pPr>
        <w:pStyle w:val="Defpara"/>
      </w:pPr>
      <w:r>
        <w:tab/>
        <w:t>(c)</w:t>
      </w:r>
      <w:r>
        <w:tab/>
        <w:t>an educational or professional benefit conferred on an employee to further or improve the knowledge or skill of the employee by —</w:t>
      </w:r>
    </w:p>
    <w:p>
      <w:pPr>
        <w:pStyle w:val="Defsubpara"/>
      </w:pPr>
      <w:r>
        <w:tab/>
        <w:t>(i)</w:t>
      </w:r>
      <w:r>
        <w:tab/>
        <w:t xml:space="preserve">this State, another State, a Territory, the Commonwealth or </w:t>
      </w:r>
      <w:r>
        <w:rPr>
          <w:spacing w:val="-4"/>
        </w:rPr>
        <w:t>a body established under a written law;</w:t>
      </w:r>
      <w:r>
        <w:t xml:space="preserve"> or </w:t>
      </w:r>
    </w:p>
    <w:p>
      <w:pPr>
        <w:pStyle w:val="Defsubpara"/>
      </w:pPr>
      <w:r>
        <w:tab/>
        <w:t>(ii)</w:t>
      </w:r>
      <w:r>
        <w:tab/>
        <w:t xml:space="preserve">an incorporated association under the </w:t>
      </w:r>
      <w:r>
        <w:rPr>
          <w:i/>
        </w:rPr>
        <w:t>Associations Incorporation Act 1987</w:t>
      </w:r>
      <w:r>
        <w:rPr>
          <w:iCs/>
        </w:rPr>
        <w:t>,</w:t>
      </w:r>
      <w:r>
        <w:t xml:space="preserve"> or a corresponding law of another State or Territory, if the employee is eligible for membership of that body on the basis of tasks he or she performs for the local government;</w:t>
      </w:r>
    </w:p>
    <w:p>
      <w:pPr>
        <w:pStyle w:val="Defstart"/>
      </w:pPr>
      <w:r>
        <w:tab/>
      </w:r>
      <w:r>
        <w:rPr>
          <w:b/>
        </w:rPr>
        <w:t>“</w:t>
      </w:r>
      <w:r>
        <w:rPr>
          <w:rStyle w:val="CharDefText"/>
        </w:rPr>
        <w:t>token gift</w:t>
      </w:r>
      <w:r>
        <w:rPr>
          <w:b/>
        </w:rPr>
        <w:t>”</w:t>
      </w:r>
      <w:r>
        <w:t xml:space="preserve"> means a gift of, or below, a value specified by the particular local government.</w:t>
      </w:r>
    </w:p>
    <w:p>
      <w:pPr>
        <w:pStyle w:val="Subsection"/>
      </w:pPr>
      <w:r>
        <w:tab/>
        <w:t>(2)</w:t>
      </w:r>
      <w:r>
        <w:tab/>
        <w:t>A code of conduct is to contain a requirement that a council member or an employee cannot accept a gift, other than a token gift, from a person who is undertaking, or is likely to undertake, business —</w:t>
      </w:r>
    </w:p>
    <w:p>
      <w:pPr>
        <w:pStyle w:val="Indenta"/>
      </w:pPr>
      <w:r>
        <w:tab/>
        <w:t>(a)</w:t>
      </w:r>
      <w:r>
        <w:tab/>
        <w:t>that requires the person to obtain any authorisation from the local government;</w:t>
      </w:r>
    </w:p>
    <w:p>
      <w:pPr>
        <w:pStyle w:val="Indenta"/>
      </w:pPr>
      <w:r>
        <w:tab/>
        <w:t>(b)</w:t>
      </w:r>
      <w:r>
        <w:tab/>
        <w:t>by way of contract between the person and the local government; or</w:t>
      </w:r>
    </w:p>
    <w:p>
      <w:pPr>
        <w:pStyle w:val="Indenta"/>
      </w:pPr>
      <w:r>
        <w:tab/>
        <w:t>(c)</w:t>
      </w:r>
      <w:r>
        <w:tab/>
        <w:t>by way of providing any service to the local government.</w:t>
      </w:r>
    </w:p>
    <w:p>
      <w:pPr>
        <w:pStyle w:val="Subsection"/>
      </w:pPr>
      <w:r>
        <w:tab/>
        <w:t>(3)</w:t>
      </w:r>
      <w:r>
        <w:tab/>
        <w:t>A code of conduct is to contain a requirement that the CEO is to keep a register of token gifts that are recorded under subregulation (4).</w:t>
      </w:r>
    </w:p>
    <w:p>
      <w:pPr>
        <w:pStyle w:val="Subsection"/>
      </w:pPr>
      <w:r>
        <w:tab/>
        <w:t>(4)</w:t>
      </w:r>
      <w:r>
        <w:tab/>
        <w:t>A code of conduct is to contain a requirement that a council member or an employee who accepts a token gift from a person referred to in subregulation (2) is, subject to subregulation (5), to record —</w:t>
      </w:r>
    </w:p>
    <w:p>
      <w:pPr>
        <w:pStyle w:val="Indenta"/>
      </w:pPr>
      <w:r>
        <w:tab/>
        <w:t>(a)</w:t>
      </w:r>
      <w:r>
        <w:tab/>
        <w:t>the names of the persons who gave, and received, the token gift;</w:t>
      </w:r>
    </w:p>
    <w:p>
      <w:pPr>
        <w:pStyle w:val="Indenta"/>
      </w:pPr>
      <w:r>
        <w:tab/>
        <w:t>(b)</w:t>
      </w:r>
      <w:r>
        <w:tab/>
        <w:t>the date of receipt of the token gift; and</w:t>
      </w:r>
    </w:p>
    <w:p>
      <w:pPr>
        <w:pStyle w:val="Indenta"/>
      </w:pPr>
      <w:r>
        <w:tab/>
        <w:t>(c)</w:t>
      </w:r>
      <w:r>
        <w:tab/>
        <w:t>a description, and the estimated value, of the token gift.</w:t>
      </w:r>
    </w:p>
    <w:p>
      <w:pPr>
        <w:pStyle w:val="Subsection"/>
      </w:pPr>
      <w:r>
        <w:tab/>
        <w:t>(5)</w:t>
      </w:r>
      <w:r>
        <w:tab/>
        <w:t>If the particular local government decides that —</w:t>
      </w:r>
    </w:p>
    <w:p>
      <w:pPr>
        <w:pStyle w:val="Indenta"/>
      </w:pPr>
      <w:r>
        <w:tab/>
        <w:t>(a)</w:t>
      </w:r>
      <w:r>
        <w:tab/>
        <w:t>a specified thing given by way of hospitality; or</w:t>
      </w:r>
    </w:p>
    <w:p>
      <w:pPr>
        <w:pStyle w:val="Indenta"/>
      </w:pPr>
      <w:r>
        <w:tab/>
        <w:t>(b)</w:t>
      </w:r>
      <w:r>
        <w:tab/>
        <w:t>a thing given by way of hospitality that belongs to a specified class of things,</w:t>
      </w:r>
    </w:p>
    <w:p>
      <w:pPr>
        <w:pStyle w:val="Subsection"/>
      </w:pPr>
      <w:r>
        <w:tab/>
      </w:r>
      <w:r>
        <w:tab/>
        <w:t>does not need to be recorded under subregulation (4), the specified thing, and things belonging to the specified class, do not need to be so recorded.</w:t>
      </w:r>
    </w:p>
    <w:p>
      <w:pPr>
        <w:pStyle w:val="Footnotesection"/>
      </w:pPr>
      <w:r>
        <w:tab/>
        <w:t>[Regulation 34B inserted in Gazette 23 Apr 1999 p. 1720</w:t>
      </w:r>
      <w:r>
        <w:noBreakHyphen/>
        <w:t>1; amended in Gazette 31 Mar 2005 p. 1036.]</w:t>
      </w:r>
    </w:p>
    <w:p>
      <w:pPr>
        <w:pStyle w:val="Heading5"/>
      </w:pPr>
      <w:bookmarkStart w:id="184" w:name="_Toc12955324"/>
      <w:bookmarkStart w:id="185" w:name="_Toc12955611"/>
      <w:bookmarkStart w:id="186" w:name="_Toc112152229"/>
      <w:bookmarkStart w:id="187" w:name="_Toc153784575"/>
      <w:r>
        <w:rPr>
          <w:rStyle w:val="CharSectno"/>
        </w:rPr>
        <w:t>34C</w:t>
      </w:r>
      <w:r>
        <w:t>.</w:t>
      </w:r>
      <w:r>
        <w:tab/>
        <w:t>Codes of conduct (disclosure of interests affecting impartiality) — s. 5.103(3)</w:t>
      </w:r>
      <w:bookmarkEnd w:id="184"/>
      <w:bookmarkEnd w:id="185"/>
      <w:bookmarkEnd w:id="186"/>
      <w:bookmarkEnd w:id="187"/>
    </w:p>
    <w:p>
      <w:pPr>
        <w:pStyle w:val="Subsection"/>
      </w:pPr>
      <w:r>
        <w:tab/>
        <w:t>(1)</w:t>
      </w:r>
      <w:r>
        <w:tab/>
        <w:t>In this regulation —</w:t>
      </w:r>
    </w:p>
    <w:p>
      <w:pPr>
        <w:pStyle w:val="Defstart"/>
      </w:pPr>
      <w:r>
        <w:tab/>
      </w:r>
      <w:r>
        <w:rPr>
          <w:b/>
        </w:rPr>
        <w:t>“</w:t>
      </w:r>
      <w:r>
        <w:rPr>
          <w:rStyle w:val="CharDefText"/>
        </w:rPr>
        <w:t>employee</w:t>
      </w:r>
      <w:r>
        <w:rPr>
          <w:b/>
        </w:rPr>
        <w:t>”</w:t>
      </w:r>
      <w:r>
        <w:t xml:space="preserve"> has the meaning given by section 5.70; </w:t>
      </w:r>
    </w:p>
    <w:p>
      <w:pPr>
        <w:pStyle w:val="Defstart"/>
      </w:pPr>
      <w:r>
        <w:tab/>
      </w:r>
      <w:r>
        <w:rPr>
          <w:b/>
        </w:rPr>
        <w:t>“</w:t>
      </w:r>
      <w:r>
        <w:rPr>
          <w:rStyle w:val="CharDefText"/>
        </w:rPr>
        <w:t>interest</w:t>
      </w:r>
      <w:r>
        <w:rPr>
          <w:b/>
        </w:rPr>
        <w:t>”</w:t>
      </w:r>
      <w:r>
        <w:t xml:space="preserve"> means an interest that would give rise to a reasonable belief that the impartiality of the person having the interest would be adversely affected but does not include an interest as referred to in section 5.60.</w:t>
      </w:r>
    </w:p>
    <w:p>
      <w:pPr>
        <w:pStyle w:val="Subsection"/>
      </w:pPr>
      <w:r>
        <w:tab/>
        <w:t>(2)</w:t>
      </w:r>
      <w:r>
        <w:tab/>
        <w:t>A code of conduct is to contain a requirement that a council member or an employee is to disclose any interest that he or she has in any matter to be discussed at a council or committee meeting that will be attended by the member or employee.</w:t>
      </w:r>
    </w:p>
    <w:p>
      <w:pPr>
        <w:pStyle w:val="Subsection"/>
      </w:pPr>
      <w:r>
        <w:tab/>
        <w:t>(3)</w:t>
      </w:r>
      <w:r>
        <w:tab/>
        <w:t>A code of conduct is to contain a requirement that a council member or an employee is to disclose any interest that he or she has in any matter to be discussed at a council or committee meeting in respect of which the member or employee has given, or will give, advice.</w:t>
      </w:r>
    </w:p>
    <w:p>
      <w:pPr>
        <w:pStyle w:val="Subsection"/>
      </w:pPr>
      <w:r>
        <w:tab/>
        <w:t>(4)</w:t>
      </w:r>
      <w:r>
        <w:tab/>
        <w:t>A code of conduct is to contain a requirement that disclosure of an interest under subregulation (2) or (3) is to be made at the meeting immediately before the matter is discussed or at the time the advice is given, and is to be recorded in the minutes of the relevant meeting.</w:t>
      </w:r>
    </w:p>
    <w:p>
      <w:pPr>
        <w:pStyle w:val="Footnotesection"/>
      </w:pPr>
      <w:r>
        <w:tab/>
        <w:t>[Regulation 34C inserted in Gazette 23 Apr 1999 p. 1721.]</w:t>
      </w:r>
    </w:p>
    <w:p>
      <w:pPr>
        <w:pStyle w:val="Ednotesection"/>
      </w:pPr>
      <w:r>
        <w:t>[</w:t>
      </w:r>
      <w:r>
        <w:rPr>
          <w:b/>
        </w:rPr>
        <w:t>35-39.</w:t>
      </w:r>
      <w:r>
        <w:tab/>
        <w:t>Omitted under the Reprints Act 1984 s. 7(4)(e).]</w:t>
      </w:r>
    </w:p>
    <w:p>
      <w:bookmarkStart w:id="188" w:name="_Toc12955618"/>
    </w:p>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89" w:name="_Toc112152230"/>
      <w:bookmarkStart w:id="190" w:name="_Toc148333709"/>
      <w:bookmarkStart w:id="191" w:name="_Toc148426325"/>
      <w:bookmarkStart w:id="192" w:name="_Toc148860533"/>
      <w:bookmarkStart w:id="193" w:name="_Toc148922761"/>
      <w:bookmarkStart w:id="194" w:name="_Toc151178012"/>
      <w:bookmarkStart w:id="195" w:name="_Toc151191131"/>
      <w:bookmarkStart w:id="196" w:name="_Toc153784576"/>
      <w:r>
        <w:rPr>
          <w:rStyle w:val="CharSchNo"/>
        </w:rPr>
        <w:t>Schedule 1</w:t>
      </w:r>
      <w:r>
        <w:t> — </w:t>
      </w:r>
      <w:r>
        <w:rPr>
          <w:rStyle w:val="CharSchText"/>
        </w:rPr>
        <w:t>Forms</w:t>
      </w:r>
      <w:bookmarkEnd w:id="188"/>
      <w:bookmarkEnd w:id="189"/>
      <w:bookmarkEnd w:id="190"/>
      <w:bookmarkEnd w:id="191"/>
      <w:bookmarkEnd w:id="192"/>
      <w:bookmarkEnd w:id="193"/>
      <w:bookmarkEnd w:id="194"/>
      <w:bookmarkEnd w:id="195"/>
      <w:bookmarkEnd w:id="196"/>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4.</w:t>
      </w:r>
      <w:r>
        <w:rPr>
          <w:b/>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gift</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giver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Contributions to travel</w:t>
      </w:r>
    </w:p>
    <w:p>
      <w:pPr>
        <w:pStyle w:val="yTable"/>
        <w:tabs>
          <w:tab w:val="right" w:leader="dot" w:pos="7088"/>
        </w:tabs>
        <w:spacing w:after="60"/>
        <w:ind w:left="567" w:hanging="567"/>
        <w:rPr>
          <w:snapToGrid w:val="0"/>
        </w:rPr>
      </w:pPr>
      <w:r>
        <w:rPr>
          <w:snapToGrid w:val="0"/>
        </w:rPr>
        <w:tab/>
        <w:t>Section 5.83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contributor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97" w:name="_Toc103151956"/>
      <w:bookmarkStart w:id="198" w:name="_Toc103664189"/>
      <w:bookmarkStart w:id="199" w:name="_Toc103741399"/>
      <w:bookmarkStart w:id="200" w:name="_Toc112135397"/>
      <w:bookmarkStart w:id="201" w:name="_Toc112152231"/>
      <w:bookmarkStart w:id="202" w:name="_Toc148333710"/>
      <w:bookmarkStart w:id="203" w:name="_Toc148426326"/>
      <w:bookmarkStart w:id="204" w:name="_Toc148860534"/>
      <w:bookmarkStart w:id="205" w:name="_Toc148922762"/>
      <w:bookmarkStart w:id="206" w:name="_Toc151178013"/>
      <w:bookmarkStart w:id="207" w:name="_Toc151191132"/>
      <w:bookmarkStart w:id="208" w:name="_Toc153784577"/>
      <w:r>
        <w:t>Notes</w:t>
      </w:r>
      <w:bookmarkEnd w:id="197"/>
      <w:bookmarkEnd w:id="198"/>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reprint is a compilation as at 17 November 2006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153784578"/>
      <w:r>
        <w:rPr>
          <w:snapToGrid w:val="0"/>
        </w:rPr>
        <w:t>Compilation table</w:t>
      </w:r>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100"/>
    <w:docVar w:name="WAFER_20151207141100" w:val="RemoveTrackChanges"/>
    <w:docVar w:name="WAFER_20151207141100_GUID" w:val="29bc18ff-3c96-4bef-a3f0-df77e22eee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9753</Words>
  <Characters>50231</Characters>
  <Application>Microsoft Office Word</Application>
  <DocSecurity>0</DocSecurity>
  <Lines>1732</Lines>
  <Paragraphs>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59115</CharactersWithSpaces>
  <SharedDoc>false</SharedDoc>
  <HLinks>
    <vt:vector size="12" baseType="variant">
      <vt:variant>
        <vt:i4>3014716</vt:i4>
      </vt:variant>
      <vt:variant>
        <vt:i4>7118</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1996 - 02-a0-04</dc:title>
  <dc:subject/>
  <dc:creator/>
  <cp:keywords/>
  <dc:description/>
  <cp:lastModifiedBy>svcMRProcess</cp:lastModifiedBy>
  <cp:revision>4</cp:revision>
  <cp:lastPrinted>2006-11-13T06:23:00Z</cp:lastPrinted>
  <dcterms:created xsi:type="dcterms:W3CDTF">2018-09-12T11:16:00Z</dcterms:created>
  <dcterms:modified xsi:type="dcterms:W3CDTF">2018-09-12T11:17:00Z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AsAtDate">
    <vt:lpwstr>17 Nov 2006</vt:lpwstr>
  </property>
  <property fmtid="{D5CDD505-2E9C-101B-9397-08002B2CF9AE}" pid="8" name="Suffix">
    <vt:lpwstr>02-a0-04</vt:lpwstr>
  </property>
</Properties>
</file>