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Betting Control Act 1954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Betting Control Regulations 1978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Betting Control Regulations 1978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_Toc498094083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Transitional provision</w:t>
      </w:r>
      <w:r>
        <w:tab/>
      </w:r>
      <w:r>
        <w:fldChar w:fldCharType="begin"/>
      </w:r>
      <w:r>
        <w:instrText xml:space="preserve"> PAGEREF _Toc498094084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_Toc498094085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Licences, fees and commissions</w:t>
      </w:r>
    </w:p>
    <w:p>
      <w:pPr>
        <w:pStyle w:val="TOC8"/>
        <w:rPr>
          <w:rFonts w:asciiTheme="minorHAnsi" w:eastAsiaTheme="minorEastAsia" w:hAnsiTheme="minorHAnsi" w:cstheme="minorBidi"/>
          <w:szCs w:val="22"/>
        </w:rPr>
      </w:pPr>
      <w:r>
        <w:t>9</w:t>
      </w:r>
      <w:r>
        <w:rPr>
          <w:snapToGrid w:val="0"/>
        </w:rPr>
        <w:t>.</w:t>
      </w:r>
      <w:r>
        <w:rPr>
          <w:snapToGrid w:val="0"/>
        </w:rPr>
        <w:tab/>
        <w:t>Application for licence</w:t>
      </w:r>
      <w:r>
        <w:tab/>
      </w:r>
      <w:r>
        <w:fldChar w:fldCharType="begin"/>
      </w:r>
      <w:r>
        <w:instrText xml:space="preserve"> PAGEREF _Toc498094087 \h </w:instrText>
      </w:r>
      <w:r>
        <w:fldChar w:fldCharType="separate"/>
      </w:r>
      <w:r>
        <w:t>5</w:t>
      </w:r>
      <w:r>
        <w:fldChar w:fldCharType="end"/>
      </w:r>
    </w:p>
    <w:p>
      <w:pPr>
        <w:pStyle w:val="TOC8"/>
        <w:rPr>
          <w:rFonts w:asciiTheme="minorHAnsi" w:eastAsiaTheme="minorEastAsia" w:hAnsiTheme="minorHAnsi" w:cstheme="minorBidi"/>
          <w:szCs w:val="22"/>
        </w:rPr>
      </w:pPr>
      <w:r>
        <w:t>9A.</w:t>
      </w:r>
      <w:r>
        <w:tab/>
        <w:t>Application to conduct a designated sporting event</w:t>
      </w:r>
      <w:r>
        <w:tab/>
      </w:r>
      <w:r>
        <w:fldChar w:fldCharType="begin"/>
      </w:r>
      <w:r>
        <w:instrText xml:space="preserve"> PAGEREF _Toc498094088 \h </w:instrText>
      </w:r>
      <w:r>
        <w:fldChar w:fldCharType="separate"/>
      </w:r>
      <w:r>
        <w:t>5</w:t>
      </w:r>
      <w:r>
        <w:fldChar w:fldCharType="end"/>
      </w:r>
    </w:p>
    <w:p>
      <w:pPr>
        <w:pStyle w:val="TOC8"/>
        <w:rPr>
          <w:rFonts w:asciiTheme="minorHAnsi" w:eastAsiaTheme="minorEastAsia" w:hAnsiTheme="minorHAnsi" w:cstheme="minorBidi"/>
          <w:szCs w:val="22"/>
        </w:rPr>
      </w:pPr>
      <w:r>
        <w:t>10.</w:t>
      </w:r>
      <w:r>
        <w:tab/>
        <w:t>Application for approval</w:t>
      </w:r>
      <w:r>
        <w:tab/>
      </w:r>
      <w:r>
        <w:fldChar w:fldCharType="begin"/>
      </w:r>
      <w:r>
        <w:instrText xml:space="preserve"> PAGEREF _Toc498094089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When licence may be renewed</w:t>
      </w:r>
      <w:r>
        <w:tab/>
      </w:r>
      <w:r>
        <w:fldChar w:fldCharType="begin"/>
      </w:r>
      <w:r>
        <w:instrText xml:space="preserve"> PAGEREF _Toc498094090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Grant of licence</w:t>
      </w:r>
      <w:r>
        <w:tab/>
      </w:r>
      <w:r>
        <w:fldChar w:fldCharType="begin"/>
      </w:r>
      <w:r>
        <w:instrText xml:space="preserve"> PAGEREF _Toc498094091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Effect of licence</w:t>
      </w:r>
      <w:r>
        <w:tab/>
      </w:r>
      <w:r>
        <w:fldChar w:fldCharType="begin"/>
      </w:r>
      <w:r>
        <w:instrText xml:space="preserve"> PAGEREF _Toc498094092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Duplicate licences</w:t>
      </w:r>
      <w:r>
        <w:tab/>
      </w:r>
      <w:r>
        <w:fldChar w:fldCharType="begin"/>
      </w:r>
      <w:r>
        <w:instrText xml:space="preserve"> PAGEREF _Toc498094093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Fees and charges</w:t>
      </w:r>
      <w:r>
        <w:tab/>
      </w:r>
      <w:r>
        <w:fldChar w:fldCharType="begin"/>
      </w:r>
      <w:r>
        <w:instrText xml:space="preserve"> PAGEREF _Toc498094094 \h </w:instrText>
      </w:r>
      <w:r>
        <w:fldChar w:fldCharType="separate"/>
      </w:r>
      <w:r>
        <w:t>9</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Bookmakers’ annual licence fee</w:t>
      </w:r>
      <w:r>
        <w:tab/>
      </w:r>
      <w:r>
        <w:fldChar w:fldCharType="begin"/>
      </w:r>
      <w:r>
        <w:instrText xml:space="preserve"> PAGEREF _Toc498094095 \h </w:instrText>
      </w:r>
      <w:r>
        <w:fldChar w:fldCharType="separate"/>
      </w:r>
      <w:r>
        <w:t>11</w:t>
      </w:r>
      <w:r>
        <w:fldChar w:fldCharType="end"/>
      </w:r>
    </w:p>
    <w:p>
      <w:pPr>
        <w:pStyle w:val="TOC8"/>
        <w:rPr>
          <w:rFonts w:asciiTheme="minorHAnsi" w:eastAsiaTheme="minorEastAsia" w:hAnsiTheme="minorHAnsi" w:cstheme="minorBidi"/>
          <w:szCs w:val="22"/>
        </w:rPr>
      </w:pPr>
      <w:r>
        <w:t>17B</w:t>
      </w:r>
      <w:r>
        <w:rPr>
          <w:snapToGrid w:val="0"/>
        </w:rPr>
        <w:t>.</w:t>
      </w:r>
      <w:r>
        <w:rPr>
          <w:snapToGrid w:val="0"/>
        </w:rPr>
        <w:tab/>
        <w:t>On</w:t>
      </w:r>
      <w:r>
        <w:rPr>
          <w:snapToGrid w:val="0"/>
        </w:rPr>
        <w:noBreakHyphen/>
        <w:t>course totalisator annual licence fee</w:t>
      </w:r>
      <w:r>
        <w:tab/>
      </w:r>
      <w:r>
        <w:fldChar w:fldCharType="begin"/>
      </w:r>
      <w:r>
        <w:instrText xml:space="preserve"> PAGEREF _Toc498094096 \h </w:instrText>
      </w:r>
      <w:r>
        <w:fldChar w:fldCharType="separate"/>
      </w:r>
      <w:r>
        <w:t>12</w:t>
      </w:r>
      <w:r>
        <w:fldChar w:fldCharType="end"/>
      </w:r>
    </w:p>
    <w:p>
      <w:pPr>
        <w:pStyle w:val="TOC8"/>
        <w:rPr>
          <w:rFonts w:asciiTheme="minorHAnsi" w:eastAsiaTheme="minorEastAsia" w:hAnsiTheme="minorHAnsi" w:cstheme="minorBidi"/>
          <w:szCs w:val="22"/>
        </w:rPr>
      </w:pPr>
      <w:r>
        <w:t>17C</w:t>
      </w:r>
      <w:r>
        <w:rPr>
          <w:spacing w:val="-2"/>
        </w:rPr>
        <w:t>.</w:t>
      </w:r>
      <w:r>
        <w:rPr>
          <w:spacing w:val="-2"/>
        </w:rPr>
        <w:tab/>
      </w:r>
      <w:r>
        <w:t>Percentage of bets to belong to RWWA</w:t>
      </w:r>
      <w:r>
        <w:tab/>
      </w:r>
      <w:r>
        <w:fldChar w:fldCharType="begin"/>
      </w:r>
      <w:r>
        <w:instrText xml:space="preserve"> PAGEREF _Toc498094097 \h </w:instrText>
      </w:r>
      <w:r>
        <w:fldChar w:fldCharType="separate"/>
      </w:r>
      <w:r>
        <w:t>13</w:t>
      </w:r>
      <w:r>
        <w:fldChar w:fldCharType="end"/>
      </w:r>
    </w:p>
    <w:p>
      <w:pPr>
        <w:pStyle w:val="TOC8"/>
        <w:rPr>
          <w:rFonts w:asciiTheme="minorHAnsi" w:eastAsiaTheme="minorEastAsia" w:hAnsiTheme="minorHAnsi" w:cstheme="minorBidi"/>
          <w:szCs w:val="22"/>
        </w:rPr>
      </w:pPr>
      <w:r>
        <w:t>17D.</w:t>
      </w:r>
      <w:r>
        <w:tab/>
        <w:t>Percentage of bets to belong to racing club</w:t>
      </w:r>
      <w:r>
        <w:tab/>
      </w:r>
      <w:r>
        <w:fldChar w:fldCharType="begin"/>
      </w:r>
      <w:r>
        <w:instrText xml:space="preserve"> PAGEREF _Toc498094098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Provisions relating to bookmakers</w:t>
      </w:r>
    </w:p>
    <w:p>
      <w:pPr>
        <w:pStyle w:val="TOC8"/>
        <w:rPr>
          <w:rFonts w:asciiTheme="minorHAnsi" w:eastAsiaTheme="minorEastAsia" w:hAnsiTheme="minorHAnsi" w:cstheme="minorBidi"/>
          <w:szCs w:val="22"/>
        </w:rPr>
      </w:pPr>
      <w:r>
        <w:t>17E.</w:t>
      </w:r>
      <w:r>
        <w:tab/>
        <w:t>Levy which may be retained</w:t>
      </w:r>
      <w:r>
        <w:tab/>
      </w:r>
      <w:r>
        <w:fldChar w:fldCharType="begin"/>
      </w:r>
      <w:r>
        <w:instrText xml:space="preserve"> PAGEREF _Toc498094100 \h </w:instrText>
      </w:r>
      <w:r>
        <w:fldChar w:fldCharType="separate"/>
      </w:r>
      <w:r>
        <w:t>15</w:t>
      </w:r>
      <w:r>
        <w:fldChar w:fldCharType="end"/>
      </w:r>
    </w:p>
    <w:p>
      <w:pPr>
        <w:pStyle w:val="TOC8"/>
        <w:rPr>
          <w:rFonts w:asciiTheme="minorHAnsi" w:eastAsiaTheme="minorEastAsia" w:hAnsiTheme="minorHAnsi" w:cstheme="minorBidi"/>
          <w:szCs w:val="22"/>
        </w:rPr>
      </w:pPr>
      <w:r>
        <w:t>18.</w:t>
      </w:r>
      <w:r>
        <w:tab/>
        <w:t>Security to be given</w:t>
      </w:r>
      <w:r>
        <w:tab/>
      </w:r>
      <w:r>
        <w:fldChar w:fldCharType="begin"/>
      </w:r>
      <w:r>
        <w:instrText xml:space="preserve"> PAGEREF _Toc498094101 \h </w:instrText>
      </w:r>
      <w:r>
        <w:fldChar w:fldCharType="separate"/>
      </w:r>
      <w:r>
        <w:t>15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Register</w:t>
      </w:r>
      <w:r>
        <w:tab/>
      </w:r>
      <w:r>
        <w:fldChar w:fldCharType="begin"/>
      </w:r>
      <w:r>
        <w:instrText xml:space="preserve"> PAGEREF _Toc498094102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Change of address</w:t>
      </w:r>
      <w:r>
        <w:tab/>
      </w:r>
      <w:r>
        <w:fldChar w:fldCharType="begin"/>
      </w:r>
      <w:r>
        <w:instrText xml:space="preserve"> PAGEREF _Toc498094103 \h </w:instrText>
      </w:r>
      <w:r>
        <w:fldChar w:fldCharType="separate"/>
      </w:r>
      <w:r>
        <w:t>17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Return of licence</w:t>
      </w:r>
      <w:r>
        <w:tab/>
      </w:r>
      <w:r>
        <w:fldChar w:fldCharType="begin"/>
      </w:r>
      <w:r>
        <w:instrText xml:space="preserve"> PAGEREF _Toc498094104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Production of licence</w:t>
      </w:r>
      <w:r>
        <w:tab/>
      </w:r>
      <w:r>
        <w:fldChar w:fldCharType="begin"/>
      </w:r>
      <w:r>
        <w:instrText xml:space="preserve"> PAGEREF _Toc498094105 \h </w:instrText>
      </w:r>
      <w:r>
        <w:fldChar w:fldCharType="separate"/>
      </w:r>
      <w:r>
        <w:t>18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Advertising</w:t>
      </w:r>
      <w:r>
        <w:tab/>
      </w:r>
      <w:r>
        <w:fldChar w:fldCharType="begin"/>
      </w:r>
      <w:r>
        <w:instrText xml:space="preserve"> PAGEREF _Toc498094106 \h </w:instrText>
      </w:r>
      <w:r>
        <w:fldChar w:fldCharType="separate"/>
      </w:r>
      <w:r>
        <w:t>18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Betting tickets</w:t>
      </w:r>
      <w:r>
        <w:tab/>
      </w:r>
      <w:r>
        <w:fldChar w:fldCharType="begin"/>
      </w:r>
      <w:r>
        <w:instrText xml:space="preserve"> PAGEREF _Toc498094107 \h </w:instrText>
      </w:r>
      <w:r>
        <w:fldChar w:fldCharType="separate"/>
      </w:r>
      <w:r>
        <w:t>19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Written record of betting transactions</w:t>
      </w:r>
      <w:r>
        <w:tab/>
      </w:r>
      <w:r>
        <w:fldChar w:fldCharType="begin"/>
      </w:r>
      <w:r>
        <w:instrText xml:space="preserve"> PAGEREF _Toc498094108 \h </w:instrText>
      </w:r>
      <w:r>
        <w:fldChar w:fldCharType="separate"/>
      </w:r>
      <w:r>
        <w:t>20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Supply of books</w:t>
      </w:r>
      <w:r>
        <w:tab/>
      </w:r>
      <w:r>
        <w:fldChar w:fldCharType="begin"/>
      </w:r>
      <w:r>
        <w:instrText xml:space="preserve"> PAGEREF _Toc498094109 \h </w:instrText>
      </w:r>
      <w:r>
        <w:fldChar w:fldCharType="separate"/>
      </w:r>
      <w:r>
        <w:t>23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Loss of books etc.</w:t>
      </w:r>
      <w:r>
        <w:tab/>
      </w:r>
      <w:r>
        <w:fldChar w:fldCharType="begin"/>
      </w:r>
      <w:r>
        <w:instrText xml:space="preserve"> PAGEREF _Toc498094110 \h </w:instrText>
      </w:r>
      <w:r>
        <w:fldChar w:fldCharType="separate"/>
      </w:r>
      <w:r>
        <w:t>23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Betting material</w:t>
      </w:r>
      <w:r>
        <w:tab/>
      </w:r>
      <w:r>
        <w:fldChar w:fldCharType="begin"/>
      </w:r>
      <w:r>
        <w:instrText xml:space="preserve"> PAGEREF _Toc498094111 \h </w:instrText>
      </w:r>
      <w:r>
        <w:fldChar w:fldCharType="separate"/>
      </w:r>
      <w:r>
        <w:t>24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Rules of Betting</w:t>
      </w:r>
      <w:r>
        <w:tab/>
      </w:r>
      <w:r>
        <w:fldChar w:fldCharType="begin"/>
      </w:r>
      <w:r>
        <w:instrText xml:space="preserve"> PAGEREF _Toc498094112 \h </w:instrText>
      </w:r>
      <w:r>
        <w:fldChar w:fldCharType="separate"/>
      </w:r>
      <w:r>
        <w:t>24</w:t>
      </w:r>
      <w:r>
        <w:fldChar w:fldCharType="end"/>
      </w:r>
    </w:p>
    <w:p>
      <w:pPr>
        <w:pStyle w:val="TOC8"/>
        <w:rPr>
          <w:rFonts w:asciiTheme="minorHAnsi" w:eastAsiaTheme="minorEastAsia" w:hAnsiTheme="minorHAnsi" w:cstheme="minorBidi"/>
          <w:szCs w:val="22"/>
        </w:rPr>
      </w:pPr>
      <w:r>
        <w:t>48A.</w:t>
      </w:r>
      <w:r>
        <w:tab/>
        <w:t>Minimum bet obligations</w:t>
      </w:r>
      <w:r>
        <w:tab/>
      </w:r>
      <w:r>
        <w:fldChar w:fldCharType="begin"/>
      </w:r>
      <w:r>
        <w:instrText xml:space="preserve"> PAGEREF _Toc498094113 \h </w:instrText>
      </w:r>
      <w:r>
        <w:fldChar w:fldCharType="separate"/>
      </w:r>
      <w:r>
        <w:t>24</w:t>
      </w:r>
      <w:r>
        <w:fldChar w:fldCharType="end"/>
      </w:r>
    </w:p>
    <w:p>
      <w:pPr>
        <w:pStyle w:val="TOC8"/>
        <w:rPr>
          <w:rFonts w:asciiTheme="minorHAnsi" w:eastAsiaTheme="minorEastAsia" w:hAnsiTheme="minorHAnsi" w:cstheme="minorBidi"/>
          <w:szCs w:val="22"/>
        </w:rPr>
      </w:pPr>
      <w:r>
        <w:t>49.</w:t>
      </w:r>
      <w:r>
        <w:tab/>
        <w:t>Bets on more than one result</w:t>
      </w:r>
      <w:r>
        <w:tab/>
      </w:r>
      <w:r>
        <w:fldChar w:fldCharType="begin"/>
      </w:r>
      <w:r>
        <w:instrText xml:space="preserve"> PAGEREF _Toc498094114 \h </w:instrText>
      </w:r>
      <w:r>
        <w:fldChar w:fldCharType="separate"/>
      </w:r>
      <w:r>
        <w:t>24</w:t>
      </w:r>
      <w:r>
        <w:fldChar w:fldCharType="end"/>
      </w:r>
    </w:p>
    <w:p>
      <w:pPr>
        <w:pStyle w:val="TOC8"/>
        <w:rPr>
          <w:rFonts w:asciiTheme="minorHAnsi" w:eastAsiaTheme="minorEastAsia" w:hAnsiTheme="minorHAnsi" w:cstheme="minorBidi"/>
          <w:szCs w:val="22"/>
        </w:rPr>
      </w:pPr>
      <w:r>
        <w:t>50.</w:t>
      </w:r>
      <w:r>
        <w:tab/>
        <w:t>Permitted bets</w:t>
      </w:r>
      <w:r>
        <w:tab/>
      </w:r>
      <w:r>
        <w:fldChar w:fldCharType="begin"/>
      </w:r>
      <w:r>
        <w:instrText xml:space="preserve"> PAGEREF _Toc498094115 \h </w:instrText>
      </w:r>
      <w:r>
        <w:fldChar w:fldCharType="separate"/>
      </w:r>
      <w:r>
        <w:t>25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Place betting</w:t>
      </w:r>
      <w:r>
        <w:tab/>
      </w:r>
      <w:r>
        <w:fldChar w:fldCharType="begin"/>
      </w:r>
      <w:r>
        <w:instrText xml:space="preserve"> PAGEREF _Toc498094116 \h </w:instrText>
      </w:r>
      <w:r>
        <w:fldChar w:fldCharType="separate"/>
      </w:r>
      <w:r>
        <w:t>25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Concession betting</w:t>
      </w:r>
      <w:r>
        <w:tab/>
      </w:r>
      <w:r>
        <w:fldChar w:fldCharType="begin"/>
      </w:r>
      <w:r>
        <w:instrText xml:space="preserve"> PAGEREF _Toc498094117 \h </w:instrText>
      </w:r>
      <w:r>
        <w:fldChar w:fldCharType="separate"/>
      </w:r>
      <w:r>
        <w:t>26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Doubles other than multiple doubles</w:t>
      </w:r>
      <w:r>
        <w:tab/>
      </w:r>
      <w:r>
        <w:fldChar w:fldCharType="begin"/>
      </w:r>
      <w:r>
        <w:instrText xml:space="preserve"> PAGEREF _Toc498094118 \h </w:instrText>
      </w:r>
      <w:r>
        <w:fldChar w:fldCharType="separate"/>
      </w:r>
      <w:r>
        <w:t>26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Trebles</w:t>
      </w:r>
      <w:r>
        <w:tab/>
      </w:r>
      <w:r>
        <w:fldChar w:fldCharType="begin"/>
      </w:r>
      <w:r>
        <w:instrText xml:space="preserve"> PAGEREF _Toc498094119 \h </w:instrText>
      </w:r>
      <w:r>
        <w:fldChar w:fldCharType="separate"/>
      </w:r>
      <w:r>
        <w:t>27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All</w:t>
      </w:r>
      <w:r>
        <w:rPr>
          <w:snapToGrid w:val="0"/>
        </w:rPr>
        <w:noBreakHyphen/>
        <w:t>up</w:t>
      </w:r>
      <w:r>
        <w:tab/>
      </w:r>
      <w:r>
        <w:fldChar w:fldCharType="begin"/>
      </w:r>
      <w:r>
        <w:instrText xml:space="preserve"> PAGEREF _Toc498094120 \h </w:instrText>
      </w:r>
      <w:r>
        <w:fldChar w:fldCharType="separate"/>
      </w:r>
      <w:r>
        <w:t>27</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Stand</w:t>
      </w:r>
      <w:r>
        <w:tab/>
      </w:r>
      <w:r>
        <w:fldChar w:fldCharType="begin"/>
      </w:r>
      <w:r>
        <w:instrText xml:space="preserve"> PAGEREF _Toc498094121 \h </w:instrText>
      </w:r>
      <w:r>
        <w:fldChar w:fldCharType="separate"/>
      </w:r>
      <w:r>
        <w:t>27</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Use of stand</w:t>
      </w:r>
      <w:r>
        <w:tab/>
      </w:r>
      <w:r>
        <w:fldChar w:fldCharType="begin"/>
      </w:r>
      <w:r>
        <w:instrText xml:space="preserve"> PAGEREF _Toc498094122 \h </w:instrText>
      </w:r>
      <w:r>
        <w:fldChar w:fldCharType="separate"/>
      </w:r>
      <w:r>
        <w:t>27</w:t>
      </w:r>
      <w:r>
        <w:fldChar w:fldCharType="end"/>
      </w:r>
    </w:p>
    <w:p>
      <w:pPr>
        <w:pStyle w:val="TOC8"/>
        <w:rPr>
          <w:rFonts w:asciiTheme="minorHAnsi" w:eastAsiaTheme="minorEastAsia" w:hAnsiTheme="minorHAnsi" w:cstheme="minorBidi"/>
          <w:szCs w:val="22"/>
        </w:rPr>
      </w:pPr>
      <w:r>
        <w:t>59.</w:t>
      </w:r>
      <w:r>
        <w:tab/>
        <w:t>Name of bookmaker to be shown</w:t>
      </w:r>
      <w:r>
        <w:tab/>
      </w:r>
      <w:r>
        <w:fldChar w:fldCharType="begin"/>
      </w:r>
      <w:r>
        <w:instrText xml:space="preserve"> PAGEREF _Toc498094123 \h </w:instrText>
      </w:r>
      <w:r>
        <w:fldChar w:fldCharType="separate"/>
      </w:r>
      <w:r>
        <w:t>28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Betting boards etc. to be approved</w:t>
      </w:r>
      <w:r>
        <w:tab/>
      </w:r>
      <w:r>
        <w:fldChar w:fldCharType="begin"/>
      </w:r>
      <w:r>
        <w:instrText xml:space="preserve"> PAGEREF _Toc498094124 \h </w:instrText>
      </w:r>
      <w:r>
        <w:fldChar w:fldCharType="separate"/>
      </w:r>
      <w:r>
        <w:t>28</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Betting boards</w:t>
      </w:r>
      <w:r>
        <w:tab/>
      </w:r>
      <w:r>
        <w:fldChar w:fldCharType="begin"/>
      </w:r>
      <w:r>
        <w:instrText xml:space="preserve"> PAGEREF _Toc498094125 \h </w:instrText>
      </w:r>
      <w:r>
        <w:fldChar w:fldCharType="separate"/>
      </w:r>
      <w:r>
        <w:t>29</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Omissions from betting board etc.</w:t>
      </w:r>
      <w:r>
        <w:tab/>
      </w:r>
      <w:r>
        <w:fldChar w:fldCharType="begin"/>
      </w:r>
      <w:r>
        <w:instrText xml:space="preserve"> PAGEREF _Toc498094126 \h </w:instrText>
      </w:r>
      <w:r>
        <w:fldChar w:fldCharType="separate"/>
      </w:r>
      <w:r>
        <w:t>30</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Bets with domestic betting operators and totalisators</w:t>
      </w:r>
      <w:r>
        <w:tab/>
      </w:r>
      <w:r>
        <w:fldChar w:fldCharType="begin"/>
      </w:r>
      <w:r>
        <w:instrText xml:space="preserve"> PAGEREF _Toc498094127 \h </w:instrText>
      </w:r>
      <w:r>
        <w:fldChar w:fldCharType="separate"/>
      </w:r>
      <w:r>
        <w:t>30</w:t>
      </w:r>
      <w:r>
        <w:fldChar w:fldCharType="end"/>
      </w:r>
    </w:p>
    <w:p>
      <w:pPr>
        <w:pStyle w:val="TOC8"/>
        <w:rPr>
          <w:rFonts w:asciiTheme="minorHAnsi" w:eastAsiaTheme="minorEastAsia" w:hAnsiTheme="minorHAnsi" w:cstheme="minorBidi"/>
          <w:szCs w:val="22"/>
        </w:rPr>
      </w:pPr>
      <w:r>
        <w:t>64.</w:t>
      </w:r>
      <w:r>
        <w:tab/>
        <w:t>Bet back by means of a betting exchange</w:t>
      </w:r>
      <w:r>
        <w:tab/>
      </w:r>
      <w:r>
        <w:fldChar w:fldCharType="begin"/>
      </w:r>
      <w:r>
        <w:instrText xml:space="preserve"> PAGEREF _Toc498094128 \h </w:instrText>
      </w:r>
      <w:r>
        <w:fldChar w:fldCharType="separate"/>
      </w:r>
      <w:r>
        <w:t>31</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 xml:space="preserve">Cooperation with </w:t>
      </w:r>
      <w:r>
        <w:t>Commission</w:t>
      </w:r>
      <w:r>
        <w:rPr>
          <w:snapToGrid w:val="0"/>
        </w:rPr>
        <w:t xml:space="preserve"> in matters relating to betting disputes</w:t>
      </w:r>
      <w:r>
        <w:tab/>
      </w:r>
      <w:r>
        <w:fldChar w:fldCharType="begin"/>
      </w:r>
      <w:r>
        <w:instrText xml:space="preserve"> PAGEREF _Toc498094129 \h </w:instrText>
      </w:r>
      <w:r>
        <w:fldChar w:fldCharType="separate"/>
      </w:r>
      <w:r>
        <w:t>32</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Telephone betting on sporting events</w:t>
      </w:r>
      <w:r>
        <w:tab/>
      </w:r>
      <w:r>
        <w:fldChar w:fldCharType="begin"/>
      </w:r>
      <w:r>
        <w:instrText xml:space="preserve"> PAGEREF _Toc498094130 \h </w:instrText>
      </w:r>
      <w:r>
        <w:fldChar w:fldCharType="separate"/>
      </w:r>
      <w:r>
        <w:t>32</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Telephone betting on racing</w:t>
      </w:r>
      <w:r>
        <w:tab/>
      </w:r>
      <w:r>
        <w:fldChar w:fldCharType="begin"/>
      </w:r>
      <w:r>
        <w:instrText xml:space="preserve"> PAGEREF _Toc498094131 \h </w:instrText>
      </w:r>
      <w:r>
        <w:fldChar w:fldCharType="separate"/>
      </w:r>
      <w:r>
        <w:t>34</w:t>
      </w:r>
      <w:r>
        <w:fldChar w:fldCharType="end"/>
      </w:r>
    </w:p>
    <w:p>
      <w:pPr>
        <w:pStyle w:val="TOC8"/>
        <w:rPr>
          <w:rFonts w:asciiTheme="minorHAnsi" w:eastAsiaTheme="minorEastAsia" w:hAnsiTheme="minorHAnsi" w:cstheme="minorBidi"/>
          <w:szCs w:val="22"/>
        </w:rPr>
      </w:pPr>
      <w:r>
        <w:t>73.</w:t>
      </w:r>
      <w:r>
        <w:tab/>
        <w:t>Credit betting other than by telephone</w:t>
      </w:r>
      <w:r>
        <w:tab/>
      </w:r>
      <w:r>
        <w:fldChar w:fldCharType="begin"/>
      </w:r>
      <w:r>
        <w:instrText xml:space="preserve"> PAGEREF _Toc498094132 \h </w:instrText>
      </w:r>
      <w:r>
        <w:fldChar w:fldCharType="separate"/>
      </w:r>
      <w:r>
        <w:t>36</w:t>
      </w:r>
      <w:r>
        <w:fldChar w:fldCharType="end"/>
      </w:r>
    </w:p>
    <w:p>
      <w:pPr>
        <w:pStyle w:val="TOC8"/>
        <w:rPr>
          <w:rFonts w:asciiTheme="minorHAnsi" w:eastAsiaTheme="minorEastAsia" w:hAnsiTheme="minorHAnsi" w:cstheme="minorBidi"/>
          <w:szCs w:val="22"/>
        </w:rPr>
      </w:pPr>
      <w:r>
        <w:t>74.</w:t>
      </w:r>
      <w:r>
        <w:tab/>
        <w:t>Internet betting (sporting events)</w:t>
      </w:r>
      <w:r>
        <w:tab/>
      </w:r>
      <w:r>
        <w:fldChar w:fldCharType="begin"/>
      </w:r>
      <w:r>
        <w:instrText xml:space="preserve"> PAGEREF _Toc498094133 \h </w:instrText>
      </w:r>
      <w:r>
        <w:fldChar w:fldCharType="separate"/>
      </w:r>
      <w:r>
        <w:t>36</w:t>
      </w:r>
      <w:r>
        <w:fldChar w:fldCharType="end"/>
      </w:r>
    </w:p>
    <w:p>
      <w:pPr>
        <w:pStyle w:val="TOC8"/>
        <w:rPr>
          <w:rFonts w:asciiTheme="minorHAnsi" w:eastAsiaTheme="minorEastAsia" w:hAnsiTheme="minorHAnsi" w:cstheme="minorBidi"/>
          <w:szCs w:val="22"/>
        </w:rPr>
      </w:pPr>
      <w:r>
        <w:t>75.</w:t>
      </w:r>
      <w:r>
        <w:tab/>
        <w:t>Internet betting (racing)</w:t>
      </w:r>
      <w:r>
        <w:tab/>
      </w:r>
      <w:r>
        <w:fldChar w:fldCharType="begin"/>
      </w:r>
      <w:r>
        <w:instrText xml:space="preserve"> PAGEREF _Toc498094134 \h </w:instrText>
      </w:r>
      <w:r>
        <w:fldChar w:fldCharType="separate"/>
      </w:r>
      <w:r>
        <w:t>37</w:t>
      </w:r>
      <w:r>
        <w:fldChar w:fldCharType="end"/>
      </w:r>
    </w:p>
    <w:p>
      <w:pPr>
        <w:pStyle w:val="TOC8"/>
        <w:rPr>
          <w:rFonts w:asciiTheme="minorHAnsi" w:eastAsiaTheme="minorEastAsia" w:hAnsiTheme="minorHAnsi" w:cstheme="minorBidi"/>
          <w:szCs w:val="22"/>
        </w:rPr>
      </w:pPr>
      <w:r>
        <w:t>76.</w:t>
      </w:r>
      <w:r>
        <w:tab/>
        <w:t>Procedures for internet betting</w:t>
      </w:r>
      <w:r>
        <w:tab/>
      </w:r>
      <w:r>
        <w:fldChar w:fldCharType="begin"/>
      </w:r>
      <w:r>
        <w:instrText xml:space="preserve"> PAGEREF _Toc498094135 \h </w:instrText>
      </w:r>
      <w:r>
        <w:fldChar w:fldCharType="separate"/>
      </w:r>
      <w:r>
        <w:t>37</w:t>
      </w:r>
      <w:r>
        <w:fldChar w:fldCharType="end"/>
      </w:r>
    </w:p>
    <w:p>
      <w:pPr>
        <w:pStyle w:val="TOC8"/>
        <w:rPr>
          <w:rFonts w:asciiTheme="minorHAnsi" w:eastAsiaTheme="minorEastAsia" w:hAnsiTheme="minorHAnsi" w:cstheme="minorBidi"/>
          <w:szCs w:val="22"/>
        </w:rPr>
      </w:pPr>
      <w:r>
        <w:t>77.</w:t>
      </w:r>
      <w:r>
        <w:tab/>
        <w:t>Form of search warrant</w:t>
      </w:r>
      <w:r>
        <w:tab/>
      </w:r>
      <w:r>
        <w:fldChar w:fldCharType="begin"/>
      </w:r>
      <w:r>
        <w:instrText xml:space="preserve"> PAGEREF _Toc498094136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4 — General conditions relating to bets made at or through on</w:t>
      </w:r>
      <w:r>
        <w:noBreakHyphen/>
        <w:t>course totalisators and local on</w:t>
      </w:r>
      <w:r>
        <w:noBreakHyphen/>
        <w:t>course totalisators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78.</w:t>
      </w:r>
      <w:r>
        <w:tab/>
        <w:t>Terms used</w:t>
      </w:r>
      <w:r>
        <w:tab/>
      </w:r>
      <w:r>
        <w:fldChar w:fldCharType="begin"/>
      </w:r>
      <w:r>
        <w:instrText xml:space="preserve"> PAGEREF _Toc498094139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Betting with on</w:t>
      </w:r>
      <w:r>
        <w:noBreakHyphen/>
        <w:t>course and local on</w:t>
      </w:r>
      <w:r>
        <w:noBreakHyphen/>
        <w:t>course totalisators</w:t>
      </w:r>
    </w:p>
    <w:p>
      <w:pPr>
        <w:pStyle w:val="TOC8"/>
        <w:rPr>
          <w:rFonts w:asciiTheme="minorHAnsi" w:eastAsiaTheme="minorEastAsia" w:hAnsiTheme="minorHAnsi" w:cstheme="minorBidi"/>
          <w:szCs w:val="22"/>
        </w:rPr>
      </w:pPr>
      <w:r>
        <w:t>79.</w:t>
      </w:r>
      <w:r>
        <w:tab/>
        <w:t>On</w:t>
      </w:r>
      <w:r>
        <w:noBreakHyphen/>
        <w:t>course totalisator bets accepted subject to the rules and these regulations</w:t>
      </w:r>
      <w:r>
        <w:tab/>
      </w:r>
      <w:r>
        <w:fldChar w:fldCharType="begin"/>
      </w:r>
      <w:r>
        <w:instrText xml:space="preserve"> PAGEREF _Toc498094141 \h </w:instrText>
      </w:r>
      <w:r>
        <w:fldChar w:fldCharType="separate"/>
      </w:r>
      <w:r>
        <w:t>40</w:t>
      </w:r>
      <w:r>
        <w:fldChar w:fldCharType="end"/>
      </w:r>
    </w:p>
    <w:p>
      <w:pPr>
        <w:pStyle w:val="TOC8"/>
        <w:rPr>
          <w:rFonts w:asciiTheme="minorHAnsi" w:eastAsiaTheme="minorEastAsia" w:hAnsiTheme="minorHAnsi" w:cstheme="minorBidi"/>
          <w:szCs w:val="22"/>
        </w:rPr>
      </w:pPr>
      <w:r>
        <w:t>80.</w:t>
      </w:r>
      <w:r>
        <w:tab/>
        <w:t>Local on</w:t>
      </w:r>
      <w:r>
        <w:noBreakHyphen/>
        <w:t>course totalisator bets accepted subject to the rules and these regulations</w:t>
      </w:r>
      <w:r>
        <w:tab/>
      </w:r>
      <w:r>
        <w:fldChar w:fldCharType="begin"/>
      </w:r>
      <w:r>
        <w:instrText xml:space="preserve"> PAGEREF _Toc498094142 \h </w:instrText>
      </w:r>
      <w:r>
        <w:fldChar w:fldCharType="separate"/>
      </w:r>
      <w:r>
        <w:t>41</w:t>
      </w:r>
      <w:r>
        <w:fldChar w:fldCharType="end"/>
      </w:r>
    </w:p>
    <w:p>
      <w:pPr>
        <w:pStyle w:val="TOC8"/>
        <w:rPr>
          <w:rFonts w:asciiTheme="minorHAnsi" w:eastAsiaTheme="minorEastAsia" w:hAnsiTheme="minorHAnsi" w:cstheme="minorBidi"/>
          <w:szCs w:val="22"/>
        </w:rPr>
      </w:pPr>
      <w:r>
        <w:t>81.</w:t>
      </w:r>
      <w:r>
        <w:tab/>
        <w:t>All bets to be 50 cents or multiples of 50 cents</w:t>
      </w:r>
      <w:r>
        <w:tab/>
      </w:r>
      <w:r>
        <w:fldChar w:fldCharType="begin"/>
      </w:r>
      <w:r>
        <w:instrText xml:space="preserve"> PAGEREF _Toc498094143 \h </w:instrText>
      </w:r>
      <w:r>
        <w:fldChar w:fldCharType="separate"/>
      </w:r>
      <w:r>
        <w:t>41</w:t>
      </w:r>
      <w:r>
        <w:fldChar w:fldCharType="end"/>
      </w:r>
    </w:p>
    <w:p>
      <w:pPr>
        <w:pStyle w:val="TOC8"/>
        <w:rPr>
          <w:rFonts w:asciiTheme="minorHAnsi" w:eastAsiaTheme="minorEastAsia" w:hAnsiTheme="minorHAnsi" w:cstheme="minorBidi"/>
          <w:szCs w:val="22"/>
        </w:rPr>
      </w:pPr>
      <w:r>
        <w:t>82.</w:t>
      </w:r>
      <w:r>
        <w:tab/>
        <w:t>On</w:t>
      </w:r>
      <w:r>
        <w:noBreakHyphen/>
        <w:t>course totalisator dividend as declared</w:t>
      </w:r>
      <w:r>
        <w:tab/>
      </w:r>
      <w:r>
        <w:fldChar w:fldCharType="begin"/>
      </w:r>
      <w:r>
        <w:instrText xml:space="preserve"> PAGEREF _Toc498094144 \h </w:instrText>
      </w:r>
      <w:r>
        <w:fldChar w:fldCharType="separate"/>
      </w:r>
      <w:r>
        <w:t>42</w:t>
      </w:r>
      <w:r>
        <w:fldChar w:fldCharType="end"/>
      </w:r>
    </w:p>
    <w:p>
      <w:pPr>
        <w:pStyle w:val="TOC8"/>
        <w:rPr>
          <w:rFonts w:asciiTheme="minorHAnsi" w:eastAsiaTheme="minorEastAsia" w:hAnsiTheme="minorHAnsi" w:cstheme="minorBidi"/>
          <w:szCs w:val="22"/>
        </w:rPr>
      </w:pPr>
      <w:r>
        <w:t>83.</w:t>
      </w:r>
      <w:r>
        <w:tab/>
        <w:t>Local on</w:t>
      </w:r>
      <w:r>
        <w:noBreakHyphen/>
        <w:t>course totalisator dividend as declared</w:t>
      </w:r>
      <w:r>
        <w:tab/>
      </w:r>
      <w:r>
        <w:fldChar w:fldCharType="begin"/>
      </w:r>
      <w:r>
        <w:instrText xml:space="preserve"> PAGEREF _Toc498094145 \h </w:instrText>
      </w:r>
      <w:r>
        <w:fldChar w:fldCharType="separate"/>
      </w:r>
      <w:r>
        <w:t>43</w:t>
      </w:r>
      <w:r>
        <w:fldChar w:fldCharType="end"/>
      </w:r>
    </w:p>
    <w:p>
      <w:pPr>
        <w:pStyle w:val="TOC8"/>
        <w:rPr>
          <w:rFonts w:asciiTheme="minorHAnsi" w:eastAsiaTheme="minorEastAsia" w:hAnsiTheme="minorHAnsi" w:cstheme="minorBidi"/>
          <w:szCs w:val="22"/>
        </w:rPr>
      </w:pPr>
      <w:r>
        <w:t>84.</w:t>
      </w:r>
      <w:r>
        <w:tab/>
        <w:t>Bets may be refused</w:t>
      </w:r>
      <w:r>
        <w:tab/>
      </w:r>
      <w:r>
        <w:fldChar w:fldCharType="begin"/>
      </w:r>
      <w:r>
        <w:instrText xml:space="preserve"> PAGEREF _Toc498094146 \h </w:instrText>
      </w:r>
      <w:r>
        <w:fldChar w:fldCharType="separate"/>
      </w:r>
      <w:r>
        <w:t>43</w:t>
      </w:r>
      <w:r>
        <w:fldChar w:fldCharType="end"/>
      </w:r>
    </w:p>
    <w:p>
      <w:pPr>
        <w:pStyle w:val="TOC8"/>
        <w:rPr>
          <w:rFonts w:asciiTheme="minorHAnsi" w:eastAsiaTheme="minorEastAsia" w:hAnsiTheme="minorHAnsi" w:cstheme="minorBidi"/>
          <w:szCs w:val="22"/>
        </w:rPr>
      </w:pPr>
      <w:r>
        <w:t>85.</w:t>
      </w:r>
      <w:r>
        <w:tab/>
        <w:t>Only authorised bets to be accepted</w:t>
      </w:r>
      <w:r>
        <w:tab/>
      </w:r>
      <w:r>
        <w:fldChar w:fldCharType="begin"/>
      </w:r>
      <w:r>
        <w:instrText xml:space="preserve"> PAGEREF _Toc498094147 \h </w:instrText>
      </w:r>
      <w:r>
        <w:fldChar w:fldCharType="separate"/>
      </w:r>
      <w:r>
        <w:t>44</w:t>
      </w:r>
      <w:r>
        <w:fldChar w:fldCharType="end"/>
      </w:r>
    </w:p>
    <w:p>
      <w:pPr>
        <w:pStyle w:val="TOC8"/>
        <w:rPr>
          <w:rFonts w:asciiTheme="minorHAnsi" w:eastAsiaTheme="minorEastAsia" w:hAnsiTheme="minorHAnsi" w:cstheme="minorBidi"/>
          <w:szCs w:val="22"/>
        </w:rPr>
      </w:pPr>
      <w:r>
        <w:t>86.</w:t>
      </w:r>
      <w:r>
        <w:tab/>
        <w:t>Hours for opening</w:t>
      </w:r>
      <w:r>
        <w:tab/>
      </w:r>
      <w:r>
        <w:fldChar w:fldCharType="begin"/>
      </w:r>
      <w:r>
        <w:instrText xml:space="preserve"> PAGEREF _Toc498094148 \h </w:instrText>
      </w:r>
      <w:r>
        <w:fldChar w:fldCharType="separate"/>
      </w:r>
      <w:r>
        <w:t>44</w:t>
      </w:r>
      <w:r>
        <w:fldChar w:fldCharType="end"/>
      </w:r>
    </w:p>
    <w:p>
      <w:pPr>
        <w:pStyle w:val="TOC8"/>
        <w:rPr>
          <w:rFonts w:asciiTheme="minorHAnsi" w:eastAsiaTheme="minorEastAsia" w:hAnsiTheme="minorHAnsi" w:cstheme="minorBidi"/>
          <w:szCs w:val="22"/>
        </w:rPr>
      </w:pPr>
      <w:r>
        <w:t>87.</w:t>
      </w:r>
      <w:r>
        <w:tab/>
        <w:t>Bets may be made by various methods</w:t>
      </w:r>
      <w:r>
        <w:tab/>
      </w:r>
      <w:r>
        <w:fldChar w:fldCharType="begin"/>
      </w:r>
      <w:r>
        <w:instrText xml:space="preserve"> PAGEREF _Toc498094149 \h </w:instrText>
      </w:r>
      <w:r>
        <w:fldChar w:fldCharType="separate"/>
      </w:r>
      <w:r>
        <w:t>45</w:t>
      </w:r>
      <w:r>
        <w:fldChar w:fldCharType="end"/>
      </w:r>
    </w:p>
    <w:p>
      <w:pPr>
        <w:pStyle w:val="TOC8"/>
        <w:rPr>
          <w:rFonts w:asciiTheme="minorHAnsi" w:eastAsiaTheme="minorEastAsia" w:hAnsiTheme="minorHAnsi" w:cstheme="minorBidi"/>
          <w:szCs w:val="22"/>
        </w:rPr>
      </w:pPr>
      <w:r>
        <w:t>88.</w:t>
      </w:r>
      <w:r>
        <w:tab/>
        <w:t>On</w:t>
      </w:r>
      <w:r>
        <w:noBreakHyphen/>
        <w:t>course totalisator bets to be properly marked</w:t>
      </w:r>
      <w:r>
        <w:tab/>
      </w:r>
      <w:r>
        <w:fldChar w:fldCharType="begin"/>
      </w:r>
      <w:r>
        <w:instrText xml:space="preserve"> PAGEREF _Toc498094150 \h </w:instrText>
      </w:r>
      <w:r>
        <w:fldChar w:fldCharType="separate"/>
      </w:r>
      <w:r>
        <w:t>45</w:t>
      </w:r>
      <w:r>
        <w:fldChar w:fldCharType="end"/>
      </w:r>
    </w:p>
    <w:p>
      <w:pPr>
        <w:pStyle w:val="TOC8"/>
        <w:rPr>
          <w:rFonts w:asciiTheme="minorHAnsi" w:eastAsiaTheme="minorEastAsia" w:hAnsiTheme="minorHAnsi" w:cstheme="minorBidi"/>
          <w:szCs w:val="22"/>
        </w:rPr>
      </w:pPr>
      <w:r>
        <w:t>89.</w:t>
      </w:r>
      <w:r>
        <w:tab/>
        <w:t>Local on</w:t>
      </w:r>
      <w:r>
        <w:noBreakHyphen/>
        <w:t>course totalisator bets to be properly marked</w:t>
      </w:r>
      <w:r>
        <w:tab/>
      </w:r>
      <w:r>
        <w:fldChar w:fldCharType="begin"/>
      </w:r>
      <w:r>
        <w:instrText xml:space="preserve"> PAGEREF _Toc498094151 \h </w:instrText>
      </w:r>
      <w:r>
        <w:fldChar w:fldCharType="separate"/>
      </w:r>
      <w:r>
        <w:t>46</w:t>
      </w:r>
      <w:r>
        <w:fldChar w:fldCharType="end"/>
      </w:r>
    </w:p>
    <w:p>
      <w:pPr>
        <w:pStyle w:val="TOC8"/>
        <w:rPr>
          <w:rFonts w:asciiTheme="minorHAnsi" w:eastAsiaTheme="minorEastAsia" w:hAnsiTheme="minorHAnsi" w:cstheme="minorBidi"/>
          <w:szCs w:val="22"/>
        </w:rPr>
      </w:pPr>
      <w:r>
        <w:t>90.</w:t>
      </w:r>
      <w:r>
        <w:tab/>
        <w:t>Tickets to be properly marked</w:t>
      </w:r>
      <w:r>
        <w:tab/>
      </w:r>
      <w:r>
        <w:fldChar w:fldCharType="begin"/>
      </w:r>
      <w:r>
        <w:instrText xml:space="preserve"> PAGEREF _Toc498094152 \h </w:instrText>
      </w:r>
      <w:r>
        <w:fldChar w:fldCharType="separate"/>
      </w:r>
      <w:r>
        <w:t>46</w:t>
      </w:r>
      <w:r>
        <w:fldChar w:fldCharType="end"/>
      </w:r>
    </w:p>
    <w:p>
      <w:pPr>
        <w:pStyle w:val="TOC8"/>
        <w:rPr>
          <w:rFonts w:asciiTheme="minorHAnsi" w:eastAsiaTheme="minorEastAsia" w:hAnsiTheme="minorHAnsi" w:cstheme="minorBidi"/>
          <w:szCs w:val="22"/>
        </w:rPr>
      </w:pPr>
      <w:r>
        <w:t>91.</w:t>
      </w:r>
      <w:r>
        <w:tab/>
        <w:t>Host racing club to exhibit notices at on</w:t>
      </w:r>
      <w:r>
        <w:noBreakHyphen/>
        <w:t>course totalisator and local on</w:t>
      </w:r>
      <w:r>
        <w:noBreakHyphen/>
        <w:t>course totalisator</w:t>
      </w:r>
      <w:r>
        <w:tab/>
      </w:r>
      <w:r>
        <w:fldChar w:fldCharType="begin"/>
      </w:r>
      <w:r>
        <w:instrText xml:space="preserve"> PAGEREF _Toc498094153 \h </w:instrText>
      </w:r>
      <w:r>
        <w:fldChar w:fldCharType="separate"/>
      </w:r>
      <w:r>
        <w:t>47</w:t>
      </w:r>
      <w:r>
        <w:fldChar w:fldCharType="end"/>
      </w:r>
    </w:p>
    <w:p>
      <w:pPr>
        <w:pStyle w:val="TOC8"/>
        <w:rPr>
          <w:rFonts w:asciiTheme="minorHAnsi" w:eastAsiaTheme="minorEastAsia" w:hAnsiTheme="minorHAnsi" w:cstheme="minorBidi"/>
          <w:szCs w:val="22"/>
        </w:rPr>
      </w:pPr>
      <w:r>
        <w:t>92.</w:t>
      </w:r>
      <w:r>
        <w:tab/>
        <w:t>Correction of errors and omissions and the giving of certain refunds</w:t>
      </w:r>
      <w:r>
        <w:tab/>
      </w:r>
      <w:r>
        <w:fldChar w:fldCharType="begin"/>
      </w:r>
      <w:r>
        <w:instrText xml:space="preserve"> PAGEREF _Toc498094154 \h </w:instrText>
      </w:r>
      <w:r>
        <w:fldChar w:fldCharType="separate"/>
      </w:r>
      <w:r>
        <w:t>48</w:t>
      </w:r>
      <w:r>
        <w:fldChar w:fldCharType="end"/>
      </w:r>
    </w:p>
    <w:p>
      <w:pPr>
        <w:pStyle w:val="TOC8"/>
        <w:rPr>
          <w:rFonts w:asciiTheme="minorHAnsi" w:eastAsiaTheme="minorEastAsia" w:hAnsiTheme="minorHAnsi" w:cstheme="minorBidi"/>
          <w:szCs w:val="22"/>
        </w:rPr>
      </w:pPr>
      <w:r>
        <w:t>93.</w:t>
      </w:r>
      <w:r>
        <w:tab/>
        <w:t>Time for payment of dividends or refunds for cash bets</w:t>
      </w:r>
      <w:r>
        <w:tab/>
      </w:r>
      <w:r>
        <w:fldChar w:fldCharType="begin"/>
      </w:r>
      <w:r>
        <w:instrText xml:space="preserve"> PAGEREF _Toc498094155 \h </w:instrText>
      </w:r>
      <w:r>
        <w:fldChar w:fldCharType="separate"/>
      </w:r>
      <w:r>
        <w:t>50</w:t>
      </w:r>
      <w:r>
        <w:fldChar w:fldCharType="end"/>
      </w:r>
    </w:p>
    <w:p>
      <w:pPr>
        <w:pStyle w:val="TOC8"/>
        <w:rPr>
          <w:rFonts w:asciiTheme="minorHAnsi" w:eastAsiaTheme="minorEastAsia" w:hAnsiTheme="minorHAnsi" w:cstheme="minorBidi"/>
          <w:szCs w:val="22"/>
        </w:rPr>
      </w:pPr>
      <w:r>
        <w:t>94.</w:t>
      </w:r>
      <w:r>
        <w:tab/>
        <w:t>Presentation of tickets or claims</w:t>
      </w:r>
      <w:r>
        <w:tab/>
      </w:r>
      <w:r>
        <w:fldChar w:fldCharType="begin"/>
      </w:r>
      <w:r>
        <w:instrText xml:space="preserve"> PAGEREF _Toc498094156 \h </w:instrText>
      </w:r>
      <w:r>
        <w:fldChar w:fldCharType="separate"/>
      </w:r>
      <w:r>
        <w:t>50</w:t>
      </w:r>
      <w:r>
        <w:fldChar w:fldCharType="end"/>
      </w:r>
    </w:p>
    <w:p>
      <w:pPr>
        <w:pStyle w:val="TOC8"/>
        <w:rPr>
          <w:rFonts w:asciiTheme="minorHAnsi" w:eastAsiaTheme="minorEastAsia" w:hAnsiTheme="minorHAnsi" w:cstheme="minorBidi"/>
          <w:szCs w:val="22"/>
        </w:rPr>
      </w:pPr>
      <w:r>
        <w:t>95.</w:t>
      </w:r>
      <w:r>
        <w:tab/>
        <w:t>When refunds of bets are payable</w:t>
      </w:r>
      <w:r>
        <w:tab/>
      </w:r>
      <w:r>
        <w:fldChar w:fldCharType="begin"/>
      </w:r>
      <w:r>
        <w:instrText xml:space="preserve"> PAGEREF _Toc498094157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3 — Miscellaneous discipline and offence provisions</w:t>
      </w:r>
    </w:p>
    <w:p>
      <w:pPr>
        <w:pStyle w:val="TOC8"/>
        <w:rPr>
          <w:rFonts w:asciiTheme="minorHAnsi" w:eastAsiaTheme="minorEastAsia" w:hAnsiTheme="minorHAnsi" w:cstheme="minorBidi"/>
          <w:szCs w:val="22"/>
        </w:rPr>
      </w:pPr>
      <w:r>
        <w:t>96.</w:t>
      </w:r>
      <w:r>
        <w:tab/>
        <w:t>Person making bet bound by these regulations, the rules of wagering and instructions</w:t>
      </w:r>
      <w:r>
        <w:tab/>
      </w:r>
      <w:r>
        <w:fldChar w:fldCharType="begin"/>
      </w:r>
      <w:r>
        <w:instrText xml:space="preserve"> PAGEREF _Toc498094159 \h </w:instrText>
      </w:r>
      <w:r>
        <w:fldChar w:fldCharType="separate"/>
      </w:r>
      <w:r>
        <w:t>53</w:t>
      </w:r>
      <w:r>
        <w:fldChar w:fldCharType="end"/>
      </w:r>
    </w:p>
    <w:p>
      <w:pPr>
        <w:pStyle w:val="TOC8"/>
        <w:rPr>
          <w:rFonts w:asciiTheme="minorHAnsi" w:eastAsiaTheme="minorEastAsia" w:hAnsiTheme="minorHAnsi" w:cstheme="minorBidi"/>
          <w:szCs w:val="22"/>
        </w:rPr>
      </w:pPr>
      <w:r>
        <w:t>97.</w:t>
      </w:r>
      <w:r>
        <w:tab/>
        <w:t>Offences relating to making and accepting wagers</w:t>
      </w:r>
      <w:r>
        <w:tab/>
      </w:r>
      <w:r>
        <w:fldChar w:fldCharType="begin"/>
      </w:r>
      <w:r>
        <w:instrText xml:space="preserve"> PAGEREF _Toc498094160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5 — Approval to publish or make available WA race fields</w:t>
      </w:r>
    </w:p>
    <w:p>
      <w:pPr>
        <w:pStyle w:val="TOC8"/>
        <w:rPr>
          <w:rFonts w:asciiTheme="minorHAnsi" w:eastAsiaTheme="minorEastAsia" w:hAnsiTheme="minorHAnsi" w:cstheme="minorBidi"/>
          <w:szCs w:val="22"/>
        </w:rPr>
      </w:pPr>
      <w:r>
        <w:t>98.</w:t>
      </w:r>
      <w:r>
        <w:tab/>
        <w:t>Terms used</w:t>
      </w:r>
      <w:r>
        <w:tab/>
      </w:r>
      <w:r>
        <w:fldChar w:fldCharType="begin"/>
      </w:r>
      <w:r>
        <w:instrText xml:space="preserve"> PAGEREF _Toc498094162 \h </w:instrText>
      </w:r>
      <w:r>
        <w:fldChar w:fldCharType="separate"/>
      </w:r>
      <w:r>
        <w:t>55</w:t>
      </w:r>
      <w:r>
        <w:fldChar w:fldCharType="end"/>
      </w:r>
    </w:p>
    <w:p>
      <w:pPr>
        <w:pStyle w:val="TOC8"/>
        <w:rPr>
          <w:rFonts w:asciiTheme="minorHAnsi" w:eastAsiaTheme="minorEastAsia" w:hAnsiTheme="minorHAnsi" w:cstheme="minorBidi"/>
          <w:szCs w:val="22"/>
        </w:rPr>
      </w:pPr>
      <w:r>
        <w:t>99.</w:t>
      </w:r>
      <w:r>
        <w:tab/>
        <w:t>Prescribed criteria: section 27D(5)</w:t>
      </w:r>
      <w:r>
        <w:tab/>
      </w:r>
      <w:r>
        <w:fldChar w:fldCharType="begin"/>
      </w:r>
      <w:r>
        <w:instrText xml:space="preserve"> PAGEREF _Toc498094163 \h </w:instrText>
      </w:r>
      <w:r>
        <w:fldChar w:fldCharType="separate"/>
      </w:r>
      <w:r>
        <w:t>55</w:t>
      </w:r>
      <w:r>
        <w:fldChar w:fldCharType="end"/>
      </w:r>
    </w:p>
    <w:p>
      <w:pPr>
        <w:pStyle w:val="TOC8"/>
        <w:rPr>
          <w:rFonts w:asciiTheme="minorHAnsi" w:eastAsiaTheme="minorEastAsia" w:hAnsiTheme="minorHAnsi" w:cstheme="minorBidi"/>
          <w:szCs w:val="22"/>
        </w:rPr>
      </w:pPr>
      <w:r>
        <w:t>100.</w:t>
      </w:r>
      <w:r>
        <w:tab/>
        <w:t>Application for approval</w:t>
      </w:r>
      <w:r>
        <w:tab/>
      </w:r>
      <w:r>
        <w:fldChar w:fldCharType="begin"/>
      </w:r>
      <w:r>
        <w:instrText xml:space="preserve"> PAGEREF _Toc498094164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6</w:t>
      </w:r>
      <w:r>
        <w:rPr>
          <w:b w:val="0"/>
        </w:rPr>
        <w:t> </w:t>
      </w:r>
      <w:r>
        <w:t>—</w:t>
      </w:r>
      <w:r>
        <w:rPr>
          <w:b w:val="0"/>
        </w:rPr>
        <w:t> </w:t>
      </w:r>
      <w:r>
        <w:t>Racing bets levy</w:t>
      </w:r>
    </w:p>
    <w:p>
      <w:pPr>
        <w:pStyle w:val="TOC8"/>
        <w:rPr>
          <w:rFonts w:asciiTheme="minorHAnsi" w:eastAsiaTheme="minorEastAsia" w:hAnsiTheme="minorHAnsi" w:cstheme="minorBidi"/>
          <w:szCs w:val="22"/>
        </w:rPr>
      </w:pPr>
      <w:r>
        <w:t>101.</w:t>
      </w:r>
      <w:r>
        <w:tab/>
        <w:t>Term used: approved offshore betting operator</w:t>
      </w:r>
      <w:r>
        <w:tab/>
      </w:r>
      <w:r>
        <w:fldChar w:fldCharType="begin"/>
      </w:r>
      <w:r>
        <w:instrText xml:space="preserve"> PAGEREF _Toc498094166 \h </w:instrText>
      </w:r>
      <w:r>
        <w:fldChar w:fldCharType="separate"/>
      </w:r>
      <w:r>
        <w:t>58</w:t>
      </w:r>
      <w:r>
        <w:fldChar w:fldCharType="end"/>
      </w:r>
    </w:p>
    <w:p>
      <w:pPr>
        <w:pStyle w:val="TOC8"/>
        <w:rPr>
          <w:rFonts w:asciiTheme="minorHAnsi" w:eastAsiaTheme="minorEastAsia" w:hAnsiTheme="minorHAnsi" w:cstheme="minorBidi"/>
          <w:szCs w:val="22"/>
        </w:rPr>
      </w:pPr>
      <w:r>
        <w:t>102.</w:t>
      </w:r>
      <w:r>
        <w:tab/>
        <w:t>Prescribed period: section 14A(2)(a)</w:t>
      </w:r>
      <w:r>
        <w:tab/>
      </w:r>
      <w:r>
        <w:fldChar w:fldCharType="begin"/>
      </w:r>
      <w:r>
        <w:instrText xml:space="preserve"> PAGEREF _Toc498094167 \h </w:instrText>
      </w:r>
      <w:r>
        <w:fldChar w:fldCharType="separate"/>
      </w:r>
      <w:r>
        <w:t>58</w:t>
      </w:r>
      <w:r>
        <w:fldChar w:fldCharType="end"/>
      </w:r>
    </w:p>
    <w:p>
      <w:pPr>
        <w:pStyle w:val="TOC8"/>
        <w:rPr>
          <w:rFonts w:asciiTheme="minorHAnsi" w:eastAsiaTheme="minorEastAsia" w:hAnsiTheme="minorHAnsi" w:cstheme="minorBidi"/>
          <w:szCs w:val="22"/>
        </w:rPr>
      </w:pPr>
      <w:r>
        <w:t>103.</w:t>
      </w:r>
      <w:r>
        <w:tab/>
        <w:t>Information prescribed: section 27D(4A)(a)</w:t>
      </w:r>
      <w:r>
        <w:tab/>
      </w:r>
      <w:r>
        <w:fldChar w:fldCharType="begin"/>
      </w:r>
      <w:r>
        <w:instrText xml:space="preserve"> PAGEREF _Toc498094168 \h </w:instrText>
      </w:r>
      <w:r>
        <w:fldChar w:fldCharType="separate"/>
      </w:r>
      <w:r>
        <w:t>58</w:t>
      </w:r>
      <w:r>
        <w:fldChar w:fldCharType="end"/>
      </w:r>
    </w:p>
    <w:p>
      <w:pPr>
        <w:pStyle w:val="TOC8"/>
        <w:rPr>
          <w:rFonts w:asciiTheme="minorHAnsi" w:eastAsiaTheme="minorEastAsia" w:hAnsiTheme="minorHAnsi" w:cstheme="minorBidi"/>
          <w:szCs w:val="22"/>
        </w:rPr>
      </w:pPr>
      <w:r>
        <w:t>104.</w:t>
      </w:r>
      <w:r>
        <w:tab/>
        <w:t>Manner of access to prescribed information: section 27D(4A)(a)</w:t>
      </w:r>
      <w:r>
        <w:tab/>
      </w:r>
      <w:r>
        <w:fldChar w:fldCharType="begin"/>
      </w:r>
      <w:r>
        <w:instrText xml:space="preserve"> PAGEREF _Toc498094169 \h </w:instrText>
      </w:r>
      <w:r>
        <w:fldChar w:fldCharType="separate"/>
      </w:r>
      <w:r>
        <w:t>58</w:t>
      </w:r>
      <w:r>
        <w:fldChar w:fldCharType="end"/>
      </w:r>
    </w:p>
    <w:p>
      <w:pPr>
        <w:pStyle w:val="TOC8"/>
        <w:rPr>
          <w:rFonts w:asciiTheme="minorHAnsi" w:eastAsiaTheme="minorEastAsia" w:hAnsiTheme="minorHAnsi" w:cstheme="minorBidi"/>
          <w:szCs w:val="22"/>
        </w:rPr>
      </w:pPr>
      <w:r>
        <w:t>105.</w:t>
      </w:r>
      <w:r>
        <w:tab/>
        <w:t>Prescribed conditions: section 27D(4A)(b)</w:t>
      </w:r>
      <w:r>
        <w:tab/>
      </w:r>
      <w:r>
        <w:fldChar w:fldCharType="begin"/>
      </w:r>
      <w:r>
        <w:instrText xml:space="preserve"> PAGEREF _Toc498094170 \h </w:instrText>
      </w:r>
      <w:r>
        <w:fldChar w:fldCharType="separate"/>
      </w:r>
      <w:r>
        <w:t>59</w:t>
      </w:r>
      <w:r>
        <w:fldChar w:fldCharType="end"/>
      </w:r>
    </w:p>
    <w:p>
      <w:pPr>
        <w:pStyle w:val="TOC8"/>
        <w:rPr>
          <w:rFonts w:asciiTheme="minorHAnsi" w:eastAsiaTheme="minorEastAsia" w:hAnsiTheme="minorHAnsi" w:cstheme="minorBidi"/>
          <w:szCs w:val="22"/>
        </w:rPr>
      </w:pPr>
      <w:r>
        <w:t>106.</w:t>
      </w:r>
      <w:r>
        <w:tab/>
        <w:t>Information prescribed: section 27F(2)(a)</w:t>
      </w:r>
      <w:r>
        <w:tab/>
      </w:r>
      <w:r>
        <w:fldChar w:fldCharType="begin"/>
      </w:r>
      <w:r>
        <w:instrText xml:space="preserve"> PAGEREF _Toc498094171 \h </w:instrText>
      </w:r>
      <w:r>
        <w:fldChar w:fldCharType="separate"/>
      </w:r>
      <w:r>
        <w:t>61</w:t>
      </w:r>
      <w:r>
        <w:fldChar w:fldCharType="end"/>
      </w:r>
    </w:p>
    <w:p>
      <w:pPr>
        <w:pStyle w:val="TOC8"/>
        <w:rPr>
          <w:rFonts w:asciiTheme="minorHAnsi" w:eastAsiaTheme="minorEastAsia" w:hAnsiTheme="minorHAnsi" w:cstheme="minorBidi"/>
          <w:szCs w:val="22"/>
        </w:rPr>
      </w:pPr>
      <w:r>
        <w:t>107.</w:t>
      </w:r>
      <w:r>
        <w:tab/>
        <w:t>Manner of access to prescribed information: section 27F(2)(a)</w:t>
      </w:r>
      <w:r>
        <w:tab/>
      </w:r>
      <w:r>
        <w:fldChar w:fldCharType="begin"/>
      </w:r>
      <w:r>
        <w:instrText xml:space="preserve"> PAGEREF _Toc498094172 \h </w:instrText>
      </w:r>
      <w:r>
        <w:fldChar w:fldCharType="separate"/>
      </w:r>
      <w:r>
        <w:t>61</w:t>
      </w:r>
      <w:r>
        <w:fldChar w:fldCharType="end"/>
      </w:r>
    </w:p>
    <w:p>
      <w:pPr>
        <w:pStyle w:val="TOC8"/>
        <w:rPr>
          <w:rFonts w:asciiTheme="minorHAnsi" w:eastAsiaTheme="minorEastAsia" w:hAnsiTheme="minorHAnsi" w:cstheme="minorBidi"/>
          <w:szCs w:val="22"/>
        </w:rPr>
      </w:pPr>
      <w:r>
        <w:t>108.</w:t>
      </w:r>
      <w:r>
        <w:tab/>
        <w:t>Prescribed conditions: section 27F(2)(b)</w:t>
      </w:r>
      <w:r>
        <w:tab/>
      </w:r>
      <w:r>
        <w:fldChar w:fldCharType="begin"/>
      </w:r>
      <w:r>
        <w:instrText xml:space="preserve"> PAGEREF _Toc498094173 \h </w:instrText>
      </w:r>
      <w:r>
        <w:fldChar w:fldCharType="separate"/>
      </w:r>
      <w:r>
        <w:t>62</w:t>
      </w:r>
      <w:r>
        <w:fldChar w:fldCharType="end"/>
      </w:r>
    </w:p>
    <w:p>
      <w:pPr>
        <w:pStyle w:val="TOC8"/>
        <w:rPr>
          <w:rFonts w:asciiTheme="minorHAnsi" w:eastAsiaTheme="minorEastAsia" w:hAnsiTheme="minorHAnsi" w:cstheme="minorBidi"/>
          <w:szCs w:val="22"/>
        </w:rPr>
      </w:pPr>
      <w:r>
        <w:t>109.</w:t>
      </w:r>
      <w:r>
        <w:tab/>
        <w:t>Prescribed criteria: section 27F(4)</w:t>
      </w:r>
      <w:r>
        <w:tab/>
      </w:r>
      <w:r>
        <w:fldChar w:fldCharType="begin"/>
      </w:r>
      <w:r>
        <w:instrText xml:space="preserve"> PAGEREF _Toc498094174 \h </w:instrText>
      </w:r>
      <w:r>
        <w:fldChar w:fldCharType="separate"/>
      </w:r>
      <w:r>
        <w:t>63</w:t>
      </w:r>
      <w:r>
        <w:fldChar w:fldCharType="end"/>
      </w:r>
    </w:p>
    <w:p>
      <w:pPr>
        <w:pStyle w:val="TOC8"/>
        <w:rPr>
          <w:rFonts w:asciiTheme="minorHAnsi" w:eastAsiaTheme="minorEastAsia" w:hAnsiTheme="minorHAnsi" w:cstheme="minorBidi"/>
          <w:szCs w:val="22"/>
        </w:rPr>
      </w:pPr>
      <w:r>
        <w:t>110.</w:t>
      </w:r>
      <w:r>
        <w:tab/>
        <w:t>Audited return</w:t>
      </w:r>
      <w:r>
        <w:tab/>
      </w:r>
      <w:r>
        <w:fldChar w:fldCharType="begin"/>
      </w:r>
      <w:r>
        <w:instrText xml:space="preserve"> PAGEREF _Toc498094175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Appendix</w:t>
      </w:r>
    </w:p>
    <w:p>
      <w:pPr>
        <w:pStyle w:val="TOC2"/>
        <w:tabs>
          <w:tab w:val="right" w:leader="dot" w:pos="7077"/>
        </w:tabs>
        <w:rPr>
          <w:rFonts w:asciiTheme="minorHAnsi" w:eastAsiaTheme="minorEastAsia" w:hAnsiTheme="minorHAnsi" w:cstheme="minorBidi"/>
          <w:b w:val="0"/>
          <w:sz w:val="22"/>
          <w:szCs w:val="22"/>
        </w:rPr>
      </w:pPr>
      <w:r>
        <w:t>Rules of Betting</w:t>
      </w:r>
    </w:p>
    <w:p>
      <w:pPr>
        <w:pStyle w:val="TOC4"/>
        <w:tabs>
          <w:tab w:val="right" w:leader="dot" w:pos="7077"/>
        </w:tabs>
        <w:rPr>
          <w:rFonts w:asciiTheme="minorHAnsi" w:eastAsiaTheme="minorEastAsia" w:hAnsiTheme="minorHAnsi" w:cstheme="minorBidi"/>
          <w:b w:val="0"/>
          <w:szCs w:val="22"/>
        </w:rPr>
      </w:pPr>
      <w:r>
        <w:t>Part 1 — Betting under the rules of racing</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_Toc498094179 \h </w:instrText>
      </w:r>
      <w:r>
        <w:fldChar w:fldCharType="separate"/>
      </w:r>
      <w:r>
        <w:t>65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Bets void in certain circumstances</w:t>
      </w:r>
      <w:r>
        <w:tab/>
      </w:r>
      <w:r>
        <w:fldChar w:fldCharType="begin"/>
      </w:r>
      <w:r>
        <w:instrText xml:space="preserve"> PAGEREF _Toc498094180 \h </w:instrText>
      </w:r>
      <w:r>
        <w:fldChar w:fldCharType="separate"/>
      </w:r>
      <w:r>
        <w:t>66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When bets are off</w:t>
      </w:r>
      <w:r>
        <w:tab/>
      </w:r>
      <w:r>
        <w:fldChar w:fldCharType="begin"/>
      </w:r>
      <w:r>
        <w:instrText xml:space="preserve"> PAGEREF _Toc498094181 \h </w:instrText>
      </w:r>
      <w:r>
        <w:fldChar w:fldCharType="separate"/>
      </w:r>
      <w:r>
        <w:t>66</w:t>
      </w:r>
      <w:r>
        <w:fldChar w:fldCharType="end"/>
      </w:r>
    </w:p>
    <w:p>
      <w:pPr>
        <w:pStyle w:val="TOC8"/>
        <w:rPr>
          <w:rFonts w:asciiTheme="minorHAnsi" w:eastAsiaTheme="minorEastAsia" w:hAnsiTheme="minorHAnsi" w:cstheme="minorBidi"/>
          <w:szCs w:val="22"/>
        </w:rPr>
      </w:pPr>
      <w:r>
        <w:t>4A.</w:t>
      </w:r>
      <w:r>
        <w:tab/>
        <w:t>Determination of bets where runner withdrawn</w:t>
      </w:r>
      <w:r>
        <w:tab/>
      </w:r>
      <w:r>
        <w:fldChar w:fldCharType="begin"/>
      </w:r>
      <w:r>
        <w:instrText xml:space="preserve"> PAGEREF _Toc498094182 \h </w:instrText>
      </w:r>
      <w:r>
        <w:fldChar w:fldCharType="separate"/>
      </w:r>
      <w:r>
        <w:t>67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Determination and settlement of bets</w:t>
      </w:r>
      <w:r>
        <w:tab/>
      </w:r>
      <w:r>
        <w:fldChar w:fldCharType="begin"/>
      </w:r>
      <w:r>
        <w:instrText xml:space="preserve"> PAGEREF _Toc498094183 \h </w:instrText>
      </w:r>
      <w:r>
        <w:fldChar w:fldCharType="separate"/>
      </w:r>
      <w:r>
        <w:t>70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Bets in respect of postponed race or race meeting</w:t>
      </w:r>
      <w:r>
        <w:tab/>
      </w:r>
      <w:r>
        <w:fldChar w:fldCharType="begin"/>
      </w:r>
      <w:r>
        <w:instrText xml:space="preserve"> PAGEREF _Toc498094184 \h </w:instrText>
      </w:r>
      <w:r>
        <w:fldChar w:fldCharType="separate"/>
      </w:r>
      <w:r>
        <w:t>71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Each way bets</w:t>
      </w:r>
      <w:r>
        <w:tab/>
      </w:r>
      <w:r>
        <w:fldChar w:fldCharType="begin"/>
      </w:r>
      <w:r>
        <w:instrText xml:space="preserve"> PAGEREF _Toc498094185 \h </w:instrText>
      </w:r>
      <w:r>
        <w:fldChar w:fldCharType="separate"/>
      </w:r>
      <w:r>
        <w:t>71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All bets to be “play or pay” except in certain circumstances</w:t>
      </w:r>
      <w:r>
        <w:tab/>
      </w:r>
      <w:r>
        <w:fldChar w:fldCharType="begin"/>
      </w:r>
      <w:r>
        <w:instrText xml:space="preserve"> PAGEREF _Toc498094186 \h </w:instrText>
      </w:r>
      <w:r>
        <w:fldChar w:fldCharType="separate"/>
      </w:r>
      <w:r>
        <w:t>71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Provisions as to settlement of bets following dead heat</w:t>
      </w:r>
      <w:r>
        <w:tab/>
      </w:r>
      <w:r>
        <w:fldChar w:fldCharType="begin"/>
      </w:r>
      <w:r>
        <w:instrText xml:space="preserve"> PAGEREF _Toc498094187 \h </w:instrText>
      </w:r>
      <w:r>
        <w:fldChar w:fldCharType="separate"/>
      </w:r>
      <w:r>
        <w:t>72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Doubles</w:t>
      </w:r>
      <w:r>
        <w:tab/>
      </w:r>
      <w:r>
        <w:fldChar w:fldCharType="begin"/>
      </w:r>
      <w:r>
        <w:instrText xml:space="preserve"> PAGEREF _Toc498094188 \h </w:instrText>
      </w:r>
      <w:r>
        <w:fldChar w:fldCharType="separate"/>
      </w:r>
      <w:r>
        <w:t>73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Multiple doubles</w:t>
      </w:r>
      <w:r>
        <w:tab/>
      </w:r>
      <w:r>
        <w:fldChar w:fldCharType="begin"/>
      </w:r>
      <w:r>
        <w:instrText xml:space="preserve"> PAGEREF _Toc498094189 \h </w:instrText>
      </w:r>
      <w:r>
        <w:fldChar w:fldCharType="separate"/>
      </w:r>
      <w:r>
        <w:t>75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“All up” bets</w:t>
      </w:r>
      <w:r>
        <w:tab/>
      </w:r>
      <w:r>
        <w:fldChar w:fldCharType="begin"/>
      </w:r>
      <w:r>
        <w:instrText xml:space="preserve"> PAGEREF _Toc498094190 \h </w:instrText>
      </w:r>
      <w:r>
        <w:fldChar w:fldCharType="separate"/>
      </w:r>
      <w:r>
        <w:t>75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Provisions as to races that are re</w:t>
      </w:r>
      <w:r>
        <w:rPr>
          <w:snapToGrid w:val="0"/>
        </w:rPr>
        <w:noBreakHyphen/>
        <w:t>run</w:t>
      </w:r>
      <w:r>
        <w:tab/>
      </w:r>
      <w:r>
        <w:fldChar w:fldCharType="begin"/>
      </w:r>
      <w:r>
        <w:instrText xml:space="preserve"> PAGEREF _Toc498094191 \h </w:instrText>
      </w:r>
      <w:r>
        <w:fldChar w:fldCharType="separate"/>
      </w:r>
      <w:r>
        <w:t>75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Provisions as to bets on runners that are entered for 2 or more races on same day</w:t>
      </w:r>
      <w:r>
        <w:tab/>
      </w:r>
      <w:r>
        <w:fldChar w:fldCharType="begin"/>
      </w:r>
      <w:r>
        <w:instrText xml:space="preserve"> PAGEREF _Toc498094192 \h </w:instrText>
      </w:r>
      <w:r>
        <w:fldChar w:fldCharType="separate"/>
      </w:r>
      <w:r>
        <w:t>76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Prohibition on betting after race</w:t>
      </w:r>
      <w:r>
        <w:tab/>
      </w:r>
      <w:r>
        <w:fldChar w:fldCharType="begin"/>
      </w:r>
      <w:r>
        <w:instrText xml:space="preserve"> PAGEREF _Toc498094193 \h </w:instrText>
      </w:r>
      <w:r>
        <w:fldChar w:fldCharType="separate"/>
      </w:r>
      <w:r>
        <w:t>76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Settlement of bets on deaths of parties thereto</w:t>
      </w:r>
      <w:r>
        <w:tab/>
      </w:r>
      <w:r>
        <w:fldChar w:fldCharType="begin"/>
      </w:r>
      <w:r>
        <w:instrText xml:space="preserve"> PAGEREF _Toc498094194 \h </w:instrText>
      </w:r>
      <w:r>
        <w:fldChar w:fldCharType="separate"/>
      </w:r>
      <w:r>
        <w:t>77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Settlement of bets on suspension or cancellation of licence of bookmaker</w:t>
      </w:r>
      <w:r>
        <w:tab/>
      </w:r>
      <w:r>
        <w:fldChar w:fldCharType="begin"/>
      </w:r>
      <w:r>
        <w:instrText xml:space="preserve"> PAGEREF _Toc498094195 \h </w:instrText>
      </w:r>
      <w:r>
        <w:fldChar w:fldCharType="separate"/>
      </w:r>
      <w:r>
        <w:t>77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Settling</w:t>
      </w:r>
      <w:r>
        <w:tab/>
      </w:r>
      <w:r>
        <w:fldChar w:fldCharType="begin"/>
      </w:r>
      <w:r>
        <w:instrText xml:space="preserve"> PAGEREF _Toc498094196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Part 2 — Betting on a sporting event, or a contingency, approved under section 4B</w:t>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_Toc498094200 \h </w:instrText>
      </w:r>
      <w:r>
        <w:fldChar w:fldCharType="separate"/>
      </w:r>
      <w:r>
        <w:t>86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_Toc498094201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p>
        </w:tc>
      </w:tr>
    </w:tbl>
    <w:p>
      <w:pPr>
        <w:pStyle w:val="WA"/>
        <w:spacing w:before="12"/>
      </w:pPr>
      <w:r>
        <w:t>Western Australia</w:t>
      </w:r>
    </w:p>
    <w:p>
      <w:pPr>
        <w:pStyle w:val="PrincipalActReg"/>
        <w:rPr>
          <w:snapToGrid w:val="0"/>
        </w:rPr>
      </w:pPr>
      <w:r>
        <w:rPr>
          <w:snapToGrid w:val="0"/>
        </w:rPr>
        <w:t>Betting Control Act 1954</w:t>
      </w:r>
    </w:p>
    <w:p>
      <w:pPr>
        <w:pStyle w:val="NameofActReg"/>
        <w:spacing w:before="720"/>
      </w:pPr>
      <w:r>
        <w:t>Betting Control Regulations 1978</w:t>
      </w:r>
    </w:p>
    <w:p>
      <w:pPr>
        <w:pStyle w:val="Heading2"/>
        <w:pageBreakBefore w:val="0"/>
      </w:pPr>
      <w:bookmarkStart w:id="3" w:name="_Toc498093755"/>
      <w:bookmarkStart w:id="4" w:name="_Toc498094082"/>
      <w:r>
        <w:rPr>
          <w:rStyle w:val="CharPartNo"/>
        </w:rPr>
        <w:t>Part 1</w:t>
      </w:r>
      <w:r>
        <w:rPr>
          <w:rStyle w:val="CharDivNo"/>
        </w:rPr>
        <w:t> </w:t>
      </w:r>
      <w:r>
        <w:t>—</w:t>
      </w:r>
      <w:r>
        <w:rPr>
          <w:rStyle w:val="CharDivText"/>
        </w:rPr>
        <w:t> </w:t>
      </w:r>
      <w:r>
        <w:rPr>
          <w:rStyle w:val="CharPartText"/>
        </w:rPr>
        <w:t>Preliminary</w:t>
      </w:r>
      <w:bookmarkEnd w:id="3"/>
      <w:bookmarkEnd w:id="4"/>
    </w:p>
    <w:p>
      <w:pPr>
        <w:pStyle w:val="Footnoteheading"/>
      </w:pPr>
      <w:r>
        <w:tab/>
        <w:t>[Heading inserted in Gazette 21 Jul 2006 p. 2671.]</w:t>
      </w:r>
    </w:p>
    <w:p>
      <w:pPr>
        <w:pStyle w:val="Heading5"/>
        <w:rPr>
          <w:snapToGrid w:val="0"/>
        </w:rPr>
      </w:pPr>
      <w:bookmarkStart w:id="5" w:name="_Toc498094083"/>
      <w:r>
        <w:rPr>
          <w:rStyle w:val="CharSectno"/>
        </w:rPr>
        <w:t>1</w:t>
      </w:r>
      <w:r>
        <w:rPr>
          <w:snapToGrid w:val="0"/>
        </w:rPr>
        <w:t>.</w:t>
      </w:r>
      <w:r>
        <w:rPr>
          <w:snapToGrid w:val="0"/>
        </w:rPr>
        <w:tab/>
        <w:t>Citation</w:t>
      </w:r>
      <w:bookmarkEnd w:id="5"/>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 xml:space="preserve"> </w:t>
      </w:r>
      <w:r>
        <w:rPr>
          <w:snapToGrid w:val="0"/>
          <w:vertAlign w:val="superscript"/>
        </w:rPr>
        <w:t>1</w:t>
      </w:r>
      <w:r>
        <w:rPr>
          <w:snapToGrid w:val="0"/>
        </w:rPr>
        <w:t>.</w:t>
      </w:r>
    </w:p>
    <w:p>
      <w:pPr>
        <w:pStyle w:val="Heading5"/>
        <w:rPr>
          <w:snapToGrid w:val="0"/>
        </w:rPr>
      </w:pPr>
      <w:bookmarkStart w:id="6" w:name="_Toc498094084"/>
      <w:r>
        <w:rPr>
          <w:rStyle w:val="CharSectno"/>
        </w:rPr>
        <w:t>2</w:t>
      </w:r>
      <w:r>
        <w:rPr>
          <w:snapToGrid w:val="0"/>
        </w:rPr>
        <w:t>.</w:t>
      </w:r>
      <w:r>
        <w:rPr>
          <w:snapToGrid w:val="0"/>
        </w:rPr>
        <w:tab/>
        <w:t>Transitional provision</w:t>
      </w:r>
      <w:bookmarkEnd w:id="6"/>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rPr>
        <w:t xml:space="preserve"> certain responsibilities of the person holding the office of Commissioner of State Taxation</w:t>
      </w:r>
      <w:r>
        <w:rPr>
          <w:snapToGrid w:val="0"/>
          <w:vertAlign w:val="superscript"/>
        </w:rPr>
        <w:t> 2</w:t>
      </w:r>
      <w:r>
        <w:rPr>
          <w:snapToGrid w:val="0"/>
        </w:rPr>
        <w:t xml:space="preserve"> were transferred to the Board, where under these regulations any form or activity was approved by the Commissioner of State Taxation</w:t>
      </w:r>
      <w:r>
        <w:rPr>
          <w:snapToGrid w:val="0"/>
          <w:vertAlign w:val="superscript"/>
        </w:rPr>
        <w:t> 2</w:t>
      </w:r>
      <w:r>
        <w:rPr>
          <w:snapToGrid w:val="0"/>
        </w:rPr>
        <w:t xml:space="preserve"> that form or activity shall be taken to have been approved by the Commission in the absence of any specific decision by the Commission to the contrary.</w:t>
      </w:r>
    </w:p>
    <w:p>
      <w:pPr>
        <w:pStyle w:val="Footnotesection"/>
      </w:pPr>
      <w:r>
        <w:tab/>
        <w:t>[Regulation 2 inserted in Gazette 25 Jun 1996 p. 2975; amended in Gazette 22 Oct 1996 p. 5619; 30 Jan 2004 p. 412.]</w:t>
      </w:r>
    </w:p>
    <w:p>
      <w:pPr>
        <w:pStyle w:val="Heading5"/>
        <w:keepLines w:val="0"/>
        <w:rPr>
          <w:snapToGrid w:val="0"/>
        </w:rPr>
      </w:pPr>
      <w:bookmarkStart w:id="7" w:name="_Toc498094085"/>
      <w:r>
        <w:rPr>
          <w:rStyle w:val="CharSectno"/>
        </w:rPr>
        <w:t>3</w:t>
      </w:r>
      <w:r>
        <w:rPr>
          <w:snapToGrid w:val="0"/>
        </w:rPr>
        <w:t>.</w:t>
      </w:r>
      <w:r>
        <w:rPr>
          <w:snapToGrid w:val="0"/>
        </w:rPr>
        <w:tab/>
        <w:t>Terms used</w:t>
      </w:r>
      <w:bookmarkEnd w:id="7"/>
    </w:p>
    <w:p>
      <w:pPr>
        <w:pStyle w:val="Subsection"/>
        <w:keepNext/>
        <w:rPr>
          <w:snapToGrid w:val="0"/>
        </w:rPr>
      </w:pPr>
      <w:r>
        <w:rPr>
          <w:snapToGrid w:val="0"/>
        </w:rPr>
        <w:tab/>
        <w:t>(1)</w:t>
      </w:r>
      <w:r>
        <w:rPr>
          <w:snapToGrid w:val="0"/>
        </w:rPr>
        <w:tab/>
        <w:t>In these regulations unless the context requires otherwise —</w:t>
      </w:r>
    </w:p>
    <w:p>
      <w:pPr>
        <w:pStyle w:val="Defstart"/>
      </w:pPr>
      <w:r>
        <w:tab/>
      </w:r>
      <w:r>
        <w:rPr>
          <w:rStyle w:val="CharDefText"/>
        </w:rPr>
        <w:t>bet back</w:t>
      </w:r>
      <w:r>
        <w:t xml:space="preserve"> means a bet made by, or on behalf of, a bookmaker — </w:t>
      </w:r>
    </w:p>
    <w:p>
      <w:pPr>
        <w:pStyle w:val="Defpara"/>
      </w:pPr>
      <w:r>
        <w:tab/>
        <w:t>(a)</w:t>
      </w:r>
      <w:r>
        <w:tab/>
        <w:t>on a runner or, in the context of a sporting event, on a competitor or contingency; and</w:t>
      </w:r>
    </w:p>
    <w:p>
      <w:pPr>
        <w:pStyle w:val="Defpara"/>
      </w:pPr>
      <w:r>
        <w:tab/>
        <w:t>(b)</w:t>
      </w:r>
      <w:r>
        <w:tab/>
        <w:t>for the purpose of reducing the bookmaker’s liability for bets already accepted by the bookmaker against that runner, competitor or contingency;</w:t>
      </w:r>
    </w:p>
    <w:p>
      <w:pPr>
        <w:pStyle w:val="Defstart"/>
        <w:spacing w:before="100"/>
      </w:pPr>
      <w:r>
        <w:tab/>
      </w:r>
      <w:r>
        <w:rPr>
          <w:rStyle w:val="CharDefText"/>
        </w:rPr>
        <w:t>cash</w:t>
      </w:r>
      <w:r>
        <w:t xml:space="preserve"> means bank notes or coins;</w:t>
      </w:r>
    </w:p>
    <w:p>
      <w:pPr>
        <w:pStyle w:val="Defstart"/>
        <w:spacing w:before="100"/>
      </w:pPr>
      <w:r>
        <w:rPr>
          <w:b/>
        </w:rPr>
        <w:tab/>
      </w:r>
      <w:r>
        <w:rPr>
          <w:rStyle w:val="CharDefText"/>
        </w:rPr>
        <w:t>concession bet</w:t>
      </w:r>
      <w:r>
        <w:t xml:space="preserve"> means a bet to win at special odds, the stake being refunded if the runner concerned is placed second or third, subject to the number of starters;</w:t>
      </w:r>
    </w:p>
    <w:p>
      <w:pPr>
        <w:pStyle w:val="Defstart"/>
        <w:spacing w:before="100"/>
      </w:pPr>
      <w:r>
        <w:rPr>
          <w:b/>
        </w:rPr>
        <w:tab/>
      </w:r>
      <w:r>
        <w:rPr>
          <w:rStyle w:val="CharDefText"/>
        </w:rPr>
        <w:t>country</w:t>
      </w:r>
      <w:r>
        <w:t xml:space="preserve"> means any part of the State outside the metropolitan area;</w:t>
      </w:r>
    </w:p>
    <w:p>
      <w:pPr>
        <w:pStyle w:val="Defstart"/>
        <w:spacing w:before="100"/>
      </w:pPr>
      <w:r>
        <w:rPr>
          <w:b/>
        </w:rPr>
        <w:tab/>
      </w:r>
      <w:r>
        <w:rPr>
          <w:rStyle w:val="CharDefText"/>
        </w:rPr>
        <w:t>each way bet</w:t>
      </w:r>
      <w:r>
        <w:t xml:space="preserve"> means a bet comprising 2 equal amounts, one amount being for a win and one for a place and both being taken or laid on the same runner or other competitor or contingency at the same time, at stated odds for a win;</w:t>
      </w:r>
    </w:p>
    <w:p>
      <w:pPr>
        <w:pStyle w:val="Defstart"/>
        <w:spacing w:before="100"/>
      </w:pPr>
      <w:r>
        <w:rPr>
          <w:b/>
        </w:rPr>
        <w:tab/>
      </w:r>
      <w:r>
        <w:rPr>
          <w:rStyle w:val="CharDefText"/>
        </w:rPr>
        <w:t>Flexi Bet</w:t>
      </w:r>
      <w:r>
        <w:t xml:space="preserve"> means a method of betting an amount on one or more combinations of outcomes, where the amount of the investment on each combination covered by the bet can be a percentage, or fraction, of the unit of investment;</w:t>
      </w:r>
    </w:p>
    <w:p>
      <w:pPr>
        <w:pStyle w:val="Defstart"/>
        <w:spacing w:before="100"/>
      </w:pPr>
      <w:r>
        <w:rPr>
          <w:b/>
        </w:rPr>
        <w:tab/>
      </w:r>
      <w:r>
        <w:rPr>
          <w:rStyle w:val="CharDefText"/>
        </w:rPr>
        <w:t>grandstand enclosure</w:t>
      </w:r>
      <w:r>
        <w:t xml:space="preserve"> means that portion of a racecourse which is set aside as such by the committee or other authority controlling the racecourse, and commonly known as the “grandstand enclosure”;</w:t>
      </w:r>
    </w:p>
    <w:p>
      <w:pPr>
        <w:pStyle w:val="Defstart"/>
        <w:spacing w:before="100"/>
      </w:pPr>
      <w:r>
        <w:tab/>
      </w:r>
      <w:r>
        <w:rPr>
          <w:rStyle w:val="CharDefText"/>
        </w:rPr>
        <w:t>internet betting</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spacing w:before="100"/>
      </w:pPr>
      <w:r>
        <w:rPr>
          <w:b/>
        </w:rPr>
        <w:tab/>
      </w:r>
      <w:r>
        <w:rPr>
          <w:rStyle w:val="CharDefText"/>
        </w:rPr>
        <w:t>leger</w:t>
      </w:r>
      <w:r>
        <w:t xml:space="preserve"> means that portion of a racecourse which is set aside as such by the committee or other authority controlling the racecourse, and commonly known as “the leger”;</w:t>
      </w:r>
    </w:p>
    <w:p>
      <w:pPr>
        <w:pStyle w:val="Defstart"/>
        <w:spacing w:before="100"/>
      </w:pPr>
      <w:r>
        <w:rPr>
          <w:b/>
        </w:rPr>
        <w:tab/>
      </w:r>
      <w:r>
        <w:rPr>
          <w:rStyle w:val="CharDefText"/>
        </w:rPr>
        <w:t>rules of racing</w:t>
      </w:r>
      <w:r>
        <w:t xml:space="preserve"> means the rules of racing made under, or continued for the purposes of, the RWWA Act;</w:t>
      </w:r>
    </w:p>
    <w:p>
      <w:pPr>
        <w:pStyle w:val="Defstart"/>
        <w:spacing w:before="100"/>
      </w:pPr>
      <w:r>
        <w:rPr>
          <w:b/>
        </w:rPr>
        <w:tab/>
      </w:r>
      <w:r>
        <w:rPr>
          <w:rStyle w:val="CharDefText"/>
        </w:rPr>
        <w:t>rules of wagering</w:t>
      </w:r>
      <w:r>
        <w:t xml:space="preserve"> means the rules of wagering made under, or continued for the purposes of, the RWWA Act;</w:t>
      </w:r>
    </w:p>
    <w:p>
      <w:pPr>
        <w:pStyle w:val="Defstart"/>
        <w:keepNext/>
      </w:pPr>
      <w:r>
        <w:tab/>
      </w:r>
      <w:r>
        <w:rPr>
          <w:rStyle w:val="CharDefText"/>
        </w:rPr>
        <w:t>runner</w:t>
      </w:r>
      <w:r>
        <w:t xml:space="preserve"> means —</w:t>
      </w:r>
    </w:p>
    <w:p>
      <w:pPr>
        <w:pStyle w:val="Defpara"/>
      </w:pPr>
      <w:r>
        <w:tab/>
        <w:t>(a)</w:t>
      </w:r>
      <w:r>
        <w:tab/>
        <w:t>in the context of a horse race, a horse running in the race; or</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rStyle w:val="CharDefText"/>
        </w:rPr>
        <w:t>sporting event</w:t>
      </w:r>
      <w:r>
        <w:t xml:space="preserve"> does not include a designated sporting event.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in the context of a sporting event, an approval under section 4B,</w:t>
      </w:r>
    </w:p>
    <w:p>
      <w:pPr>
        <w:pStyle w:val="Subsection"/>
        <w:keepNext/>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pPr>
      <w:r>
        <w:tab/>
        <w:t>(4)</w:t>
      </w:r>
      <w:r>
        <w:tab/>
        <w:t>For the purpose of these regulations, a bet is an on</w:t>
      </w:r>
      <w:r>
        <w:noBreakHyphen/>
        <w:t>course totalisator bet if —</w:t>
      </w:r>
    </w:p>
    <w:p>
      <w:pPr>
        <w:pStyle w:val="Indenta"/>
      </w:pPr>
      <w:r>
        <w:tab/>
        <w:t>(a)</w:t>
      </w:r>
      <w:r>
        <w:tab/>
        <w:t>the person making the bet is physically present at the racecourse; and</w:t>
      </w:r>
    </w:p>
    <w:p>
      <w:pPr>
        <w:pStyle w:val="Indenta"/>
      </w:pPr>
      <w:r>
        <w:tab/>
        <w:t>(b)</w:t>
      </w:r>
      <w:r>
        <w:tab/>
        <w:t>the bet is placed through a totalisator located on that racecourse (whether personally, or digitally using a mobile device and a telecommunications network); and</w:t>
      </w:r>
    </w:p>
    <w:p>
      <w:pPr>
        <w:pStyle w:val="Indenta"/>
      </w:pPr>
      <w:r>
        <w:tab/>
        <w:t>(c)</w:t>
      </w:r>
      <w:r>
        <w:tab/>
        <w:t>payment for the bet is made at the time the bet is placed, either in cash or from an established RWWA wagering account; and</w:t>
      </w:r>
    </w:p>
    <w:p>
      <w:pPr>
        <w:pStyle w:val="Indenta"/>
        <w:keepNext/>
        <w:keepLines/>
      </w:pPr>
      <w:r>
        <w:tab/>
        <w:t>(d)</w:t>
      </w:r>
      <w:r>
        <w:tab/>
        <w:t>the bet is placed in person and not by a traditional telephone voice transmission to the RWWA call centre.</w:t>
      </w:r>
    </w:p>
    <w:p>
      <w:pPr>
        <w:pStyle w:val="Footnotesection"/>
      </w:pPr>
      <w:r>
        <w:tab/>
        <w:t>[Regulation 3 amended in Gazette 24 Jun 1988 p. 2003; 14 Feb 1992 p. 857; 10 Jul 1992 p. 3286</w:t>
      </w:r>
      <w:r>
        <w:noBreakHyphen/>
        <w:t>7; 21 Jul 1998 p. 3851, 3854, 3855 and 3856; 26 Nov 1999 p. 5908; 30 Jan 2004 p. 403; 21 Jul 2006 p. 2672; 18 Sep 2007 p. 4717; 25 Sep 2009 p. 3752; 14 Jun 2013 p. 2241; 13 May 2016 p. 1427.]</w:t>
      </w:r>
    </w:p>
    <w:p>
      <w:pPr>
        <w:pStyle w:val="Heading2"/>
      </w:pPr>
      <w:bookmarkStart w:id="8" w:name="_Toc498093759"/>
      <w:bookmarkStart w:id="9" w:name="_Toc498094086"/>
      <w:r>
        <w:rPr>
          <w:rStyle w:val="CharPartNo"/>
        </w:rPr>
        <w:t>Part 2</w:t>
      </w:r>
      <w:r>
        <w:rPr>
          <w:b w:val="0"/>
        </w:rPr>
        <w:t> </w:t>
      </w:r>
      <w:r>
        <w:t>—</w:t>
      </w:r>
      <w:r>
        <w:rPr>
          <w:b w:val="0"/>
        </w:rPr>
        <w:t> </w:t>
      </w:r>
      <w:r>
        <w:rPr>
          <w:rStyle w:val="CharPartText"/>
        </w:rPr>
        <w:t>Licences, fees and commissions</w:t>
      </w:r>
      <w:bookmarkEnd w:id="8"/>
      <w:bookmarkEnd w:id="9"/>
    </w:p>
    <w:p>
      <w:pPr>
        <w:pStyle w:val="Footnoteheading"/>
      </w:pPr>
      <w:r>
        <w:tab/>
        <w:t>[Heading inserted in Gazette 21 Jul 2006 p. 2672.]</w:t>
      </w:r>
    </w:p>
    <w:p>
      <w:pPr>
        <w:pStyle w:val="Ednotesection"/>
      </w:pPr>
      <w:r>
        <w:t>[</w:t>
      </w:r>
      <w:r>
        <w:rPr>
          <w:b/>
        </w:rPr>
        <w:t>3A</w:t>
      </w:r>
      <w:r>
        <w:rPr>
          <w:b/>
        </w:rPr>
        <w:noBreakHyphen/>
        <w:t>8.</w:t>
      </w:r>
      <w:r>
        <w:rPr>
          <w:b/>
        </w:rPr>
        <w:tab/>
      </w:r>
      <w:r>
        <w:t>Deleted in Gazette 30 Jan 2004 p. 403.]</w:t>
      </w:r>
    </w:p>
    <w:p>
      <w:pPr>
        <w:pStyle w:val="Heading5"/>
        <w:rPr>
          <w:snapToGrid w:val="0"/>
        </w:rPr>
      </w:pPr>
      <w:bookmarkStart w:id="10" w:name="_Toc498094087"/>
      <w:r>
        <w:rPr>
          <w:rStyle w:val="CharSectno"/>
        </w:rPr>
        <w:t>9</w:t>
      </w:r>
      <w:r>
        <w:rPr>
          <w:snapToGrid w:val="0"/>
        </w:rPr>
        <w:t>.</w:t>
      </w:r>
      <w:r>
        <w:rPr>
          <w:snapToGrid w:val="0"/>
        </w:rPr>
        <w:tab/>
        <w:t>Application for licence</w:t>
      </w:r>
      <w:bookmarkEnd w:id="10"/>
    </w:p>
    <w:p>
      <w:pPr>
        <w:pStyle w:val="Subsection"/>
        <w:rPr>
          <w:snapToGrid w:val="0"/>
        </w:rPr>
      </w:pPr>
      <w:r>
        <w:rPr>
          <w:snapToGrid w:val="0"/>
        </w:rPr>
        <w:tab/>
        <w:t>(1)</w:t>
      </w:r>
      <w:r>
        <w:rPr>
          <w:snapToGrid w:val="0"/>
        </w:rPr>
        <w:tab/>
        <w:t>A person who desires to make application for a licence shall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in Gazette 14 Jul 1989 p. 2133; 10 Jul 1992 p. 3286</w:t>
      </w:r>
      <w:r>
        <w:noBreakHyphen/>
        <w:t>7; 20 Sep 2002 p. 4698; 30 Jan 2004 p. 404 and 412.]</w:t>
      </w:r>
    </w:p>
    <w:p>
      <w:pPr>
        <w:pStyle w:val="Heading5"/>
      </w:pPr>
      <w:bookmarkStart w:id="11" w:name="_Toc498094088"/>
      <w:r>
        <w:rPr>
          <w:rStyle w:val="CharSectno"/>
        </w:rPr>
        <w:t>9A</w:t>
      </w:r>
      <w:r>
        <w:t>.</w:t>
      </w:r>
      <w:r>
        <w:tab/>
        <w:t>Application to conduct a designated sporting event</w:t>
      </w:r>
      <w:bookmarkEnd w:id="11"/>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in Gazette 21 Jul 1998 p. 3852; amended in Gazette 20 Sep 2002 p. 4698; 30 Jan 2004 p. 412.]</w:t>
      </w:r>
    </w:p>
    <w:p>
      <w:pPr>
        <w:pStyle w:val="Heading5"/>
      </w:pPr>
      <w:bookmarkStart w:id="12" w:name="_Toc498094089"/>
      <w:r>
        <w:rPr>
          <w:rStyle w:val="CharSectno"/>
        </w:rPr>
        <w:t>10</w:t>
      </w:r>
      <w:r>
        <w:t>.</w:t>
      </w:r>
      <w:r>
        <w:tab/>
        <w:t>Application for approval</w:t>
      </w:r>
      <w:bookmarkEnd w:id="12"/>
    </w:p>
    <w:p>
      <w:pPr>
        <w:pStyle w:val="Subsection"/>
      </w:pPr>
      <w:r>
        <w:tab/>
      </w:r>
      <w:r>
        <w:tab/>
        <w:t>A person who desires to make application for approval under section 11B(4) or 11C(2) of the Act shall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in Gazette 20 Sep 2002 p. 4698; amended in Gazette 30 Jan 2004 p. 404 and 412.]</w:t>
      </w:r>
    </w:p>
    <w:p>
      <w:pPr>
        <w:pStyle w:val="Heading5"/>
        <w:rPr>
          <w:snapToGrid w:val="0"/>
        </w:rPr>
      </w:pPr>
      <w:bookmarkStart w:id="13" w:name="_Toc498094090"/>
      <w:r>
        <w:rPr>
          <w:rStyle w:val="CharSectno"/>
        </w:rPr>
        <w:t>11</w:t>
      </w:r>
      <w:r>
        <w:rPr>
          <w:snapToGrid w:val="0"/>
        </w:rPr>
        <w:t>.</w:t>
      </w:r>
      <w:r>
        <w:rPr>
          <w:snapToGrid w:val="0"/>
        </w:rPr>
        <w:tab/>
        <w:t>When licence may be renewed</w:t>
      </w:r>
      <w:bookmarkEnd w:id="13"/>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in Gazette 10 Jul 1992 p. 3286</w:t>
      </w:r>
      <w:r>
        <w:noBreakHyphen/>
        <w:t>7; 20 Sep 2002 p. 4698.]</w:t>
      </w:r>
    </w:p>
    <w:p>
      <w:pPr>
        <w:pStyle w:val="Heading5"/>
        <w:rPr>
          <w:snapToGrid w:val="0"/>
        </w:rPr>
      </w:pPr>
      <w:bookmarkStart w:id="14" w:name="_Toc498094091"/>
      <w:r>
        <w:rPr>
          <w:rStyle w:val="CharSectno"/>
        </w:rPr>
        <w:t>12</w:t>
      </w:r>
      <w:r>
        <w:rPr>
          <w:snapToGrid w:val="0"/>
        </w:rPr>
        <w:t>.</w:t>
      </w:r>
      <w:r>
        <w:rPr>
          <w:snapToGrid w:val="0"/>
        </w:rPr>
        <w:tab/>
        <w:t>Grant of licence</w:t>
      </w:r>
      <w:bookmarkEnd w:id="14"/>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deleted]</w:t>
      </w:r>
    </w:p>
    <w:p>
      <w:pPr>
        <w:pStyle w:val="Footnotesection"/>
      </w:pPr>
      <w:r>
        <w:tab/>
        <w:t>[Regulation 12 amended in Gazette 10 Jul 1992 p. 3286</w:t>
      </w:r>
      <w:r>
        <w:noBreakHyphen/>
        <w:t>8; 30 Jan 2004 p. 404 and 412.]</w:t>
      </w:r>
    </w:p>
    <w:p>
      <w:pPr>
        <w:pStyle w:val="Ednotesection"/>
      </w:pPr>
      <w:r>
        <w:t>[</w:t>
      </w:r>
      <w:r>
        <w:rPr>
          <w:b/>
        </w:rPr>
        <w:t>13.</w:t>
      </w:r>
      <w:r>
        <w:tab/>
        <w:t>Deleted in Gazette 20 Sep 2002 p. 4698.]</w:t>
      </w:r>
    </w:p>
    <w:p>
      <w:pPr>
        <w:pStyle w:val="Heading5"/>
        <w:rPr>
          <w:snapToGrid w:val="0"/>
        </w:rPr>
      </w:pPr>
      <w:bookmarkStart w:id="15" w:name="_Toc498094092"/>
      <w:r>
        <w:rPr>
          <w:rStyle w:val="CharSectno"/>
        </w:rPr>
        <w:t>14</w:t>
      </w:r>
      <w:r>
        <w:rPr>
          <w:snapToGrid w:val="0"/>
        </w:rPr>
        <w:t>.</w:t>
      </w:r>
      <w:r>
        <w:rPr>
          <w:snapToGrid w:val="0"/>
        </w:rPr>
        <w:tab/>
        <w:t>Effect of licence</w:t>
      </w:r>
      <w:bookmarkEnd w:id="15"/>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Lines/>
      </w:pPr>
      <w:r>
        <w:tab/>
        <w:t>(7)</w:t>
      </w:r>
      <w:r>
        <w:tab/>
        <w:t>A bookmaker’s licence which is endorsed to that effect authorises the licensee to carry on the business of a bookmaker, in relation to sporting events or contingencies approved under section 4B,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in Gazette 24 Jun 1988 p. 2004; 10 Jul 1992 p. 3286 and 3288; 31 Aug 1993 p. 4677 (correction in Gazette 10 Sep 1993 p. 4975); 24 Dec 1993 p. 6839; 21 Jul 1998 p. 3852 and 3855; 26 Nov 1999 p. 5908</w:t>
      </w:r>
      <w:r>
        <w:noBreakHyphen/>
        <w:t>9; 20 Sep 2002 p. 4699; 30 Jan 2004 p. 412.]</w:t>
      </w:r>
    </w:p>
    <w:p>
      <w:pPr>
        <w:pStyle w:val="Ednotesection"/>
      </w:pPr>
      <w:r>
        <w:t>[</w:t>
      </w:r>
      <w:r>
        <w:rPr>
          <w:b/>
        </w:rPr>
        <w:t>15.</w:t>
      </w:r>
      <w:r>
        <w:tab/>
        <w:t>Deleted in Gazette 10 Jul 1992 p. 3288.]</w:t>
      </w:r>
    </w:p>
    <w:p>
      <w:pPr>
        <w:pStyle w:val="Heading5"/>
        <w:rPr>
          <w:snapToGrid w:val="0"/>
        </w:rPr>
      </w:pPr>
      <w:bookmarkStart w:id="16" w:name="_Toc498094093"/>
      <w:r>
        <w:rPr>
          <w:rStyle w:val="CharSectno"/>
        </w:rPr>
        <w:t>16</w:t>
      </w:r>
      <w:r>
        <w:rPr>
          <w:snapToGrid w:val="0"/>
        </w:rPr>
        <w:t>.</w:t>
      </w:r>
      <w:r>
        <w:rPr>
          <w:snapToGrid w:val="0"/>
        </w:rPr>
        <w:tab/>
        <w:t>Duplicate licences</w:t>
      </w:r>
      <w:bookmarkEnd w:id="16"/>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[Regulation 16 amended in Gazette 10 Jul 1992 p. 3286 and 3288; 30 Jan 2004 p. 412.]</w:t>
      </w:r>
    </w:p>
    <w:p>
      <w:pPr>
        <w:pStyle w:val="Heading5"/>
        <w:rPr>
          <w:snapToGrid w:val="0"/>
        </w:rPr>
      </w:pPr>
      <w:bookmarkStart w:id="17" w:name="_Toc498094094"/>
      <w:r>
        <w:rPr>
          <w:rStyle w:val="CharSectno"/>
        </w:rPr>
        <w:t>17</w:t>
      </w:r>
      <w:r>
        <w:rPr>
          <w:snapToGrid w:val="0"/>
        </w:rPr>
        <w:t>.</w:t>
      </w:r>
      <w:r>
        <w:rPr>
          <w:snapToGrid w:val="0"/>
        </w:rPr>
        <w:tab/>
        <w:t>Fees and charges</w:t>
      </w:r>
      <w:bookmarkEnd w:id="17"/>
    </w:p>
    <w:p>
      <w:pPr>
        <w:pStyle w:val="Subsection"/>
        <w:rPr>
          <w:snapToGrid w:val="0"/>
        </w:rPr>
      </w:pPr>
      <w:r>
        <w:rPr>
          <w:snapToGrid w:val="0"/>
        </w:rPr>
        <w:tab/>
        <w:t>(1)</w:t>
      </w:r>
      <w:r>
        <w:rPr>
          <w:snapToGrid w:val="0"/>
        </w:rPr>
        <w:tab/>
        <w:t>The Commission shall charge the following fees —</w:t>
      </w:r>
    </w:p>
    <w:p>
      <w:pPr>
        <w:pStyle w:val="Indenta"/>
        <w:rPr>
          <w:snapToGrid w:val="0"/>
        </w:rPr>
      </w:pPr>
      <w:r>
        <w:rPr>
          <w:snapToGrid w:val="0"/>
        </w:rPr>
        <w:tab/>
        <w:t>(aa)</w:t>
      </w:r>
      <w:r>
        <w:rPr>
          <w:snapToGrid w:val="0"/>
        </w:rPr>
        <w:tab/>
        <w:t>On the grant of a permit under section 4A</w:t>
      </w:r>
      <w:r>
        <w:rPr>
          <w:snapToGrid w:val="0"/>
        </w:rPr>
        <w:br/>
        <w:t xml:space="preserve">for a designated sporting event ................................ </w:t>
      </w:r>
      <w:r>
        <w:t>$48</w:t>
      </w:r>
      <w:r>
        <w:rPr>
          <w:snapToGrid w:val="0"/>
        </w:rPr>
        <w:t>;</w:t>
      </w:r>
    </w:p>
    <w:p>
      <w:pPr>
        <w:pStyle w:val="Indenta"/>
        <w:rPr>
          <w:snapToGrid w:val="0"/>
        </w:rPr>
      </w:pPr>
      <w:r>
        <w:rPr>
          <w:snapToGrid w:val="0"/>
        </w:rPr>
        <w:tab/>
        <w:t>(ab)</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 xml:space="preserve">telephone betting ..................................................... </w:t>
      </w:r>
      <w:r>
        <w:t>$69</w:t>
      </w:r>
      <w:r>
        <w:rPr>
          <w:snapToGrid w:val="0"/>
        </w:rPr>
        <w:t>;</w:t>
      </w:r>
    </w:p>
    <w:p>
      <w:pPr>
        <w:pStyle w:val="Indenta"/>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 xml:space="preserve">internet betting........................................................ </w:t>
      </w:r>
      <w:r>
        <w:t>$348</w:t>
      </w:r>
      <w:r>
        <w:rPr>
          <w:snapToGrid w:val="0"/>
        </w:rPr>
        <w:t>;</w:t>
      </w:r>
    </w:p>
    <w:p>
      <w:pPr>
        <w:pStyle w:val="Indenta"/>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 xml:space="preserve">betting ledger system................................................ </w:t>
      </w:r>
      <w:r>
        <w:t>$74</w:t>
      </w:r>
      <w:r>
        <w:rPr>
          <w:snapToGrid w:val="0"/>
        </w:rPr>
        <w:t>;</w:t>
      </w:r>
    </w:p>
    <w:p>
      <w:pPr>
        <w:pStyle w:val="Indenta"/>
        <w:spacing w:before="100"/>
        <w:rPr>
          <w:snapToGrid w:val="0"/>
        </w:rPr>
      </w:pPr>
      <w:r>
        <w:rPr>
          <w:snapToGrid w:val="0"/>
        </w:rPr>
        <w:tab/>
        <w:t>(a)</w:t>
      </w:r>
      <w:r>
        <w:rPr>
          <w:snapToGrid w:val="0"/>
        </w:rPr>
        <w:tab/>
        <w:t>On an application for a bookmaker’s</w:t>
      </w:r>
      <w:r>
        <w:rPr>
          <w:snapToGrid w:val="0"/>
        </w:rPr>
        <w:br/>
        <w:t xml:space="preserve">licence..................................................................... </w:t>
      </w:r>
      <w:r>
        <w:t>$702</w:t>
      </w:r>
      <w:r>
        <w:rPr>
          <w:snapToGrid w:val="0"/>
        </w:rPr>
        <w:t>;</w:t>
      </w:r>
    </w:p>
    <w:p>
      <w:pPr>
        <w:pStyle w:val="Indenta"/>
        <w:spacing w:before="100"/>
        <w:rPr>
          <w:snapToGrid w:val="0"/>
        </w:rPr>
      </w:pPr>
      <w:r>
        <w:rPr>
          <w:snapToGrid w:val="0"/>
        </w:rPr>
        <w:tab/>
        <w:t>(b)</w:t>
      </w:r>
      <w:r>
        <w:rPr>
          <w:snapToGrid w:val="0"/>
        </w:rPr>
        <w:tab/>
        <w:t>On an application for, or for the renewal</w:t>
      </w:r>
      <w:r>
        <w:rPr>
          <w:snapToGrid w:val="0"/>
        </w:rPr>
        <w:br/>
        <w:t>of, a bookmaker’s employee licence........................ $30;</w:t>
      </w:r>
    </w:p>
    <w:p>
      <w:pPr>
        <w:pStyle w:val="Indenta"/>
        <w:spacing w:before="100"/>
        <w:rPr>
          <w:snapToGrid w:val="0"/>
        </w:rPr>
      </w:pPr>
      <w:r>
        <w:rPr>
          <w:snapToGrid w:val="0"/>
        </w:rPr>
        <w:tab/>
        <w:t>(ba)</w:t>
      </w:r>
      <w:r>
        <w:rPr>
          <w:snapToGrid w:val="0"/>
        </w:rPr>
        <w:tab/>
        <w:t>On an application for a bookmaker’s</w:t>
      </w:r>
      <w:r>
        <w:rPr>
          <w:snapToGrid w:val="0"/>
        </w:rPr>
        <w:br/>
        <w:t xml:space="preserve">manager licence...................................................... </w:t>
      </w:r>
      <w:r>
        <w:t>$171</w:t>
      </w:r>
      <w:r>
        <w:rPr>
          <w:snapToGrid w:val="0"/>
        </w:rPr>
        <w:t>;</w:t>
      </w:r>
    </w:p>
    <w:p>
      <w:pPr>
        <w:pStyle w:val="Indenta"/>
        <w:spacing w:before="100"/>
        <w:rPr>
          <w:snapToGrid w:val="0"/>
        </w:rPr>
      </w:pPr>
      <w:r>
        <w:rPr>
          <w:snapToGrid w:val="0"/>
        </w:rPr>
        <w:tab/>
        <w:t>(bb)</w:t>
      </w:r>
      <w:r>
        <w:rPr>
          <w:snapToGrid w:val="0"/>
        </w:rPr>
        <w:tab/>
        <w:t>On an application for the renewal of a</w:t>
      </w:r>
      <w:r>
        <w:rPr>
          <w:snapToGrid w:val="0"/>
        </w:rPr>
        <w:br/>
        <w:t xml:space="preserve">bookmaker’s manager licence.................................. </w:t>
      </w:r>
      <w:r>
        <w:t>$92</w:t>
      </w:r>
      <w:r>
        <w:rPr>
          <w:snapToGrid w:val="0"/>
        </w:rPr>
        <w:t>;</w:t>
      </w:r>
    </w:p>
    <w:p>
      <w:pPr>
        <w:pStyle w:val="Indenta"/>
        <w:spacing w:before="100"/>
        <w:rPr>
          <w:snapToGrid w:val="0"/>
        </w:rPr>
      </w:pPr>
      <w:r>
        <w:rPr>
          <w:snapToGrid w:val="0"/>
        </w:rPr>
        <w:tab/>
        <w:t>(c)</w:t>
      </w:r>
      <w:r>
        <w:rPr>
          <w:snapToGrid w:val="0"/>
        </w:rPr>
        <w:tab/>
        <w:t>For an appeal to the Commission in</w:t>
      </w:r>
      <w:r>
        <w:rPr>
          <w:snapToGrid w:val="0"/>
        </w:rPr>
        <w:br/>
        <w:t xml:space="preserve">connection with a betting dispute........................... </w:t>
      </w:r>
      <w:r>
        <w:t>$166</w:t>
      </w:r>
      <w:r>
        <w:rPr>
          <w:snapToGrid w:val="0"/>
        </w:rPr>
        <w:t>;</w:t>
      </w:r>
    </w:p>
    <w:p>
      <w:pPr>
        <w:pStyle w:val="Indenta"/>
        <w:spacing w:before="100"/>
        <w:rPr>
          <w:snapToGrid w:val="0"/>
        </w:rPr>
      </w:pPr>
      <w:r>
        <w:rPr>
          <w:snapToGrid w:val="0"/>
        </w:rPr>
        <w:tab/>
        <w:t>(d)</w:t>
      </w:r>
      <w:r>
        <w:rPr>
          <w:snapToGrid w:val="0"/>
        </w:rPr>
        <w:tab/>
        <w:t>On provision of a copy of a transcript of</w:t>
      </w:r>
      <w:r>
        <w:rPr>
          <w:snapToGrid w:val="0"/>
        </w:rPr>
        <w:br/>
        <w:t>an appeal hearing, for each page ............................... $4;</w:t>
      </w:r>
    </w:p>
    <w:p>
      <w:pPr>
        <w:pStyle w:val="Indenta"/>
        <w:spacing w:before="100"/>
        <w:rPr>
          <w:snapToGrid w:val="0"/>
        </w:rPr>
      </w:pPr>
      <w:r>
        <w:rPr>
          <w:snapToGrid w:val="0"/>
        </w:rPr>
        <w:tab/>
        <w:t>(e)</w:t>
      </w:r>
      <w:r>
        <w:rPr>
          <w:snapToGrid w:val="0"/>
        </w:rPr>
        <w:tab/>
        <w:t>On applying for the issue of a duplicate</w:t>
      </w:r>
      <w:r>
        <w:rPr>
          <w:snapToGrid w:val="0"/>
        </w:rPr>
        <w:br/>
        <w:t>licence....................................................................... $30;</w:t>
      </w:r>
    </w:p>
    <w:p>
      <w:pPr>
        <w:pStyle w:val="Indenta"/>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section 27A of the Act ...........................................</w:t>
      </w:r>
      <w:r>
        <w:t xml:space="preserve"> $672</w:t>
      </w:r>
      <w:r>
        <w:rPr>
          <w:snapToGrid w:val="0"/>
        </w:rPr>
        <w:t>.</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$109</w:t>
      </w:r>
      <w:r>
        <w:rPr>
          <w:snapToGrid w:val="0"/>
        </w:rPr>
        <w:t>.</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w:t>
      </w:r>
      <w:r>
        <w:t>$109</w:t>
      </w:r>
      <w:r>
        <w:rPr>
          <w:snapToGrid w:val="0"/>
        </w:rPr>
        <w:t>.</w:t>
      </w:r>
    </w:p>
    <w:p>
      <w:pPr>
        <w:pStyle w:val="Footnotesection"/>
      </w:pPr>
      <w:r>
        <w:tab/>
        <w:t>[Regulation 17 amended in Gazette 14 Jul 1989 p. 2133; 10 Jul 1992 p. 3288; 21 Jul 1998 p. 3852; 2 Oct 2001 p. 5454; 20 Sep 2002 p. 4699; 26 Sep 2003 p. 4226; 30 Jan 2004 p. 404 and 412; 9 Jul 2004 p. 2781; 14 Oct 2005 p. 4559; 14 Nov 2006 p. 4729</w:t>
      </w:r>
      <w:r>
        <w:noBreakHyphen/>
        <w:t>30; 9 Oct 2007 p. 5348</w:t>
      </w:r>
      <w:r>
        <w:noBreakHyphen/>
        <w:t>9; 28 Oct 2008 p. 4732</w:t>
      </w:r>
      <w:r>
        <w:noBreakHyphen/>
        <w:t xml:space="preserve">3; 30 Oct 2009 p. 4312-13; 19 Nov 2010 p. 5739; 4 Nov 2011 p. 4635; 16 Nov 2012 p. 5646-7; </w:t>
      </w:r>
      <w:r>
        <w:rPr>
          <w:szCs w:val="24"/>
        </w:rPr>
        <w:t>8 Nov 2013 p.</w:t>
      </w:r>
      <w:r>
        <w:t> 4972; 14 Nov 2014 p. 4279-80; 6 Nov 2015 p. 4581</w:t>
      </w:r>
      <w:r>
        <w:noBreakHyphen/>
        <w:t>2; 28 Oct 2016 p. 4911.]</w:t>
      </w:r>
    </w:p>
    <w:p>
      <w:pPr>
        <w:pStyle w:val="Heading5"/>
        <w:pageBreakBefore/>
        <w:spacing w:before="0"/>
        <w:rPr>
          <w:snapToGrid w:val="0"/>
        </w:rPr>
      </w:pPr>
      <w:bookmarkStart w:id="18" w:name="_Toc498094095"/>
      <w:r>
        <w:rPr>
          <w:rStyle w:val="CharSectno"/>
        </w:rPr>
        <w:t>17A</w:t>
      </w:r>
      <w:r>
        <w:rPr>
          <w:snapToGrid w:val="0"/>
        </w:rPr>
        <w:t>.</w:t>
      </w:r>
      <w:r>
        <w:rPr>
          <w:snapToGrid w:val="0"/>
        </w:rPr>
        <w:tab/>
        <w:t>Bookmakers’ annual licence fee</w:t>
      </w:r>
      <w:bookmarkEnd w:id="18"/>
    </w:p>
    <w:p>
      <w:pPr>
        <w:pStyle w:val="Subsection"/>
        <w:keepNext/>
        <w:spacing w:before="180"/>
        <w:rPr>
          <w:snapToGrid w:val="0"/>
        </w:rPr>
      </w:pPr>
      <w:r>
        <w:rPr>
          <w:snapToGrid w:val="0"/>
        </w:rPr>
        <w:tab/>
        <w:t>(1)</w:t>
      </w:r>
      <w:r>
        <w:rPr>
          <w:snapToGrid w:val="0"/>
        </w:rPr>
        <w:tab/>
        <w:t>The bookmakers’ annual licence fee payable under section 13(1) shall be —</w:t>
      </w:r>
    </w:p>
    <w:p>
      <w:pPr>
        <w:pStyle w:val="Indenta"/>
        <w:keepNext/>
        <w:rPr>
          <w:snapToGrid w:val="0"/>
        </w:rPr>
      </w:pPr>
      <w:r>
        <w:rPr>
          <w:snapToGrid w:val="0"/>
        </w:rPr>
        <w:tab/>
        <w:t>(a)</w:t>
      </w:r>
      <w:r>
        <w:rPr>
          <w:snapToGrid w:val="0"/>
        </w:rPr>
        <w:tab/>
        <w:t>paid, in respect of each assessment year commencing on 1 August and ending on 31 July, at the following rates for that year —</w:t>
      </w:r>
    </w:p>
    <w:p>
      <w:pPr>
        <w:pStyle w:val="Indenti"/>
      </w:pPr>
      <w:r>
        <w:tab/>
        <w:t>(i)</w:t>
      </w:r>
      <w:r>
        <w:tab/>
        <w:t>on total turnover not exceeding</w:t>
      </w:r>
      <w:r>
        <w:br/>
        <w:t>$250 000 ..................................................... $393;</w:t>
      </w:r>
    </w:p>
    <w:p>
      <w:pPr>
        <w:pStyle w:val="Indenti"/>
      </w:pPr>
      <w:r>
        <w:tab/>
        <w:t>(ii)</w:t>
      </w:r>
      <w:r>
        <w:tab/>
        <w:t xml:space="preserve">on total turnover greater than </w:t>
      </w:r>
      <w:r>
        <w:br/>
        <w:t>$250 000 but not exceeding</w:t>
      </w:r>
      <w:r>
        <w:br/>
        <w:t>$1 000 000 .................................................. $801;</w:t>
      </w:r>
    </w:p>
    <w:p>
      <w:pPr>
        <w:pStyle w:val="Indenti"/>
      </w:pPr>
      <w:r>
        <w:tab/>
        <w:t>(iii)</w:t>
      </w:r>
      <w:r>
        <w:tab/>
        <w:t>on total turnover greater than</w:t>
      </w:r>
      <w:r>
        <w:br/>
        <w:t>$1 000 000 ............................................... $1 203;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 xml:space="preserve">[Regulation 17A inserted in Gazette 25 Jun 1996 p. 2975; amended in Gazette 10 Jul 1988 p. 3647; 21 Jul 1998 p. 3852; 26 Sep 2003 p. 4226; 30 Jan 2004 p. 412; 9 Jul 2004 p. 2781; 14 Oct 2005 p. 4559; 14 Nov 2006 p. 4730; 9 Oct 2007 p. 5349; 28 Oct 2008 p. 4733; 30 Oct 2009 p. 4313; 19 Nov 2010 p. 5740; 4 Nov 2011 p. 4636; 16 Nov 2012 p. 5647; </w:t>
      </w:r>
      <w:r>
        <w:rPr>
          <w:szCs w:val="24"/>
        </w:rPr>
        <w:t>8 Nov 2013 p. 4</w:t>
      </w:r>
      <w:r>
        <w:t>973; 14 Nov 2014 p. 4280; 6 Nov 2015 p. 4582; 28 Oct 2016 p. 4911.]</w:t>
      </w:r>
    </w:p>
    <w:p>
      <w:pPr>
        <w:pStyle w:val="Heading5"/>
        <w:rPr>
          <w:snapToGrid w:val="0"/>
        </w:rPr>
      </w:pPr>
      <w:bookmarkStart w:id="19" w:name="_Toc498094096"/>
      <w:r>
        <w:rPr>
          <w:rStyle w:val="CharSectno"/>
        </w:rPr>
        <w:t>17B</w:t>
      </w:r>
      <w:r>
        <w:rPr>
          <w:snapToGrid w:val="0"/>
        </w:rPr>
        <w:t>.</w:t>
      </w:r>
      <w:r>
        <w:rPr>
          <w:snapToGrid w:val="0"/>
        </w:rPr>
        <w:tab/>
        <w:t>On</w:t>
      </w:r>
      <w:r>
        <w:rPr>
          <w:snapToGrid w:val="0"/>
        </w:rPr>
        <w:noBreakHyphen/>
        <w:t>course totalisator annual licence fee</w:t>
      </w:r>
      <w:bookmarkEnd w:id="19"/>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w:t>
      </w:r>
    </w:p>
    <w:p>
      <w:pPr>
        <w:pStyle w:val="Indenta"/>
        <w:rPr>
          <w:snapToGrid w:val="0"/>
        </w:rPr>
      </w:pPr>
      <w:r>
        <w:rPr>
          <w:snapToGrid w:val="0"/>
        </w:rPr>
        <w:tab/>
        <w:t>(a)</w:t>
      </w:r>
      <w:r>
        <w:rPr>
          <w:snapToGrid w:val="0"/>
        </w:rPr>
        <w:tab/>
        <w:t>paid, in respect of each assessment year commencing on 1 August and ending on 31 July, at the following rates —</w:t>
      </w:r>
    </w:p>
    <w:p>
      <w:pPr>
        <w:pStyle w:val="Indenti"/>
      </w:pPr>
      <w:r>
        <w:tab/>
        <w:t>(i)</w:t>
      </w:r>
      <w:r>
        <w:tab/>
        <w:t>on total turnover not exceeding $10 000 — no fee;</w:t>
      </w:r>
    </w:p>
    <w:p>
      <w:pPr>
        <w:pStyle w:val="Indenti"/>
      </w:pPr>
      <w:r>
        <w:tab/>
        <w:t>(ii)</w:t>
      </w:r>
      <w:r>
        <w:tab/>
        <w:t>on total turnover greater than $10 000 but not exceeding $160 000 — $48;</w:t>
      </w:r>
    </w:p>
    <w:p>
      <w:pPr>
        <w:pStyle w:val="Indenti"/>
      </w:pPr>
      <w:r>
        <w:tab/>
        <w:t>(iii)</w:t>
      </w:r>
      <w:r>
        <w:tab/>
        <w:t>on total turnover greater than $160 000 — 0.03% of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in Gazette 25 Jun 1996 p. 2976; amended in Gazette 10 Jul 1998 p. 3647; 26 Sep 2003 p. 4226; 30 Jan 2004 p. 412; 28 Apr 2006 p. 1659; 9 Oct 2007 p. 5349</w:t>
      </w:r>
      <w:r>
        <w:noBreakHyphen/>
        <w:t>50; 19 Nov 2010 p. 5740; 16 Nov 2012 p. 5647; 8 Nov 2013 p. 4973; 14 Nov 2014 p. 4280; 6 Nov 2015 p. 4582.]</w:t>
      </w:r>
    </w:p>
    <w:p>
      <w:pPr>
        <w:pStyle w:val="Heading5"/>
      </w:pPr>
      <w:bookmarkStart w:id="20" w:name="_Toc498094097"/>
      <w:r>
        <w:rPr>
          <w:rStyle w:val="CharSectno"/>
        </w:rPr>
        <w:t>17C</w:t>
      </w:r>
      <w:r>
        <w:rPr>
          <w:spacing w:val="-2"/>
        </w:rPr>
        <w:t>.</w:t>
      </w:r>
      <w:r>
        <w:rPr>
          <w:spacing w:val="-2"/>
        </w:rPr>
        <w:tab/>
      </w:r>
      <w:r>
        <w:t>Percentage of bets to belong to RWWA</w:t>
      </w:r>
      <w:bookmarkEnd w:id="20"/>
    </w:p>
    <w:p>
      <w:pPr>
        <w:pStyle w:val="Subsection"/>
      </w:pPr>
      <w:r>
        <w:tab/>
      </w:r>
      <w:r>
        <w:tab/>
        <w:t>For the purpose of section 17E(1)(a), the amount prescribed as the commission for a bet is —</w:t>
      </w:r>
    </w:p>
    <w:p>
      <w:pPr>
        <w:pStyle w:val="Indenta"/>
      </w:pPr>
      <w:r>
        <w:tab/>
        <w:t>(a)</w:t>
      </w:r>
      <w:r>
        <w:tab/>
        <w:t>where the totalisator is conducted on the system whereby all winning bets, for a win or a place, are deducted before the commission is deducted —</w:t>
      </w:r>
    </w:p>
    <w:p>
      <w:pPr>
        <w:pStyle w:val="Indenti"/>
      </w:pPr>
      <w:r>
        <w:tab/>
        <w:t>(i)</w:t>
      </w:r>
      <w:r>
        <w:tab/>
        <w:t>for a losing bet for a win..............20%; and</w:t>
      </w:r>
    </w:p>
    <w:p>
      <w:pPr>
        <w:pStyle w:val="Indenti"/>
      </w:pPr>
      <w:r>
        <w:tab/>
        <w:t>(ii)</w:t>
      </w:r>
      <w:r>
        <w:tab/>
        <w:t>for a losing bet for a place...........25%;</w:t>
      </w:r>
    </w:p>
    <w:p>
      <w:pPr>
        <w:pStyle w:val="Indenta"/>
      </w:pPr>
      <w:r>
        <w:tab/>
      </w:r>
      <w:r>
        <w:tab/>
        <w:t>and</w:t>
      </w:r>
    </w:p>
    <w:p>
      <w:pPr>
        <w:pStyle w:val="Indenta"/>
      </w:pPr>
      <w:r>
        <w:tab/>
        <w:t>(b)</w:t>
      </w:r>
      <w:r>
        <w:tab/>
        <w:t>for all win bets that are not pooled, 14.5% of those win bets; and</w:t>
      </w:r>
    </w:p>
    <w:p>
      <w:pPr>
        <w:pStyle w:val="Indenta"/>
      </w:pPr>
      <w:r>
        <w:tab/>
        <w:t>(ba)</w:t>
      </w:r>
      <w:r>
        <w:tab/>
        <w:t>for all place bets that are not pooled, 14.25% of those place bets; and</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in Gazette 25 Jun 1996 p. 2976</w:t>
      </w:r>
      <w:r>
        <w:noBreakHyphen/>
        <w:t>7; amended in Gazette 11 Sep 2001 p. 5001; 18 Jan 2002 p. 284; 28 Apr 2006 p. 1659; 21 Jul 2006 p. 2672.]</w:t>
      </w:r>
    </w:p>
    <w:p>
      <w:pPr>
        <w:pStyle w:val="Heading5"/>
      </w:pPr>
      <w:bookmarkStart w:id="21" w:name="_Toc498094098"/>
      <w:r>
        <w:rPr>
          <w:rStyle w:val="CharSectno"/>
        </w:rPr>
        <w:t>17D</w:t>
      </w:r>
      <w:r>
        <w:t>.</w:t>
      </w:r>
      <w:r>
        <w:tab/>
        <w:t>Percentage of bets to belong to racing club</w:t>
      </w:r>
      <w:bookmarkEnd w:id="21"/>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in Gazette 25 Jun 1996 p. 2977; amended in Gazette 30 Jan 2004 p. 404.]</w:t>
      </w:r>
    </w:p>
    <w:p>
      <w:pPr>
        <w:pStyle w:val="Heading2"/>
      </w:pPr>
      <w:bookmarkStart w:id="22" w:name="_Toc498093772"/>
      <w:bookmarkStart w:id="23" w:name="_Toc498094099"/>
      <w:r>
        <w:rPr>
          <w:rStyle w:val="CharPartNo"/>
        </w:rPr>
        <w:t>Part 3</w:t>
      </w:r>
      <w:r>
        <w:rPr>
          <w:b w:val="0"/>
        </w:rPr>
        <w:t> </w:t>
      </w:r>
      <w:r>
        <w:t>—</w:t>
      </w:r>
      <w:r>
        <w:rPr>
          <w:b w:val="0"/>
        </w:rPr>
        <w:t> </w:t>
      </w:r>
      <w:r>
        <w:rPr>
          <w:rStyle w:val="CharPartText"/>
        </w:rPr>
        <w:t>Provisions relating to bookmakers</w:t>
      </w:r>
      <w:bookmarkEnd w:id="22"/>
      <w:bookmarkEnd w:id="23"/>
    </w:p>
    <w:p>
      <w:pPr>
        <w:pStyle w:val="Footnoteheading"/>
      </w:pPr>
      <w:r>
        <w:tab/>
        <w:t>[Heading inserted in Gazette 21 Jul 2006 p. 2672.]</w:t>
      </w:r>
    </w:p>
    <w:p>
      <w:pPr>
        <w:pStyle w:val="Heading5"/>
      </w:pPr>
      <w:bookmarkStart w:id="24" w:name="_Toc498094100"/>
      <w:r>
        <w:rPr>
          <w:rStyle w:val="CharSectno"/>
        </w:rPr>
        <w:t>17E</w:t>
      </w:r>
      <w:r>
        <w:t>.</w:t>
      </w:r>
      <w:r>
        <w:tab/>
        <w:t>Levy which may be retained</w:t>
      </w:r>
      <w:bookmarkEnd w:id="24"/>
    </w:p>
    <w:p>
      <w:pPr>
        <w:pStyle w:val="Subsection"/>
      </w:pPr>
      <w:r>
        <w:tab/>
      </w:r>
      <w:r>
        <w:tab/>
        <w:t>For the purpose of section 15(5)(a), a racing club may retain out of the sum of bookmakers’ betting levy received by that club in respect of —</w:t>
      </w:r>
    </w:p>
    <w:p>
      <w:pPr>
        <w:pStyle w:val="Indenta"/>
      </w:pPr>
      <w:r>
        <w:tab/>
        <w:t>(a)</w:t>
      </w:r>
      <w:r>
        <w:tab/>
        <w:t>sports betting to which section 4A applies, no percentage; and</w:t>
      </w:r>
    </w:p>
    <w:p>
      <w:pPr>
        <w:pStyle w:val="Indenta"/>
      </w:pPr>
      <w:r>
        <w:tab/>
        <w:t>(b)</w:t>
      </w:r>
      <w:r>
        <w:tab/>
        <w:t>sports betting to which section 4B applies, 50%; and</w:t>
      </w:r>
    </w:p>
    <w:p>
      <w:pPr>
        <w:pStyle w:val="Indenta"/>
      </w:pPr>
      <w:r>
        <w:tab/>
        <w:t>(c)</w:t>
      </w:r>
      <w:r>
        <w:tab/>
        <w:t>all other betting, 100%.</w:t>
      </w:r>
    </w:p>
    <w:p>
      <w:pPr>
        <w:pStyle w:val="Footnotesection"/>
      </w:pPr>
      <w:r>
        <w:tab/>
        <w:t>[Regulation 17E inserted in Gazette 25 Jun 1996 p. 2977; amended in Gazette 21 Jul 1998 p. 3854.]</w:t>
      </w:r>
    </w:p>
    <w:p>
      <w:pPr>
        <w:pStyle w:val="Heading5"/>
      </w:pPr>
      <w:bookmarkStart w:id="25" w:name="_Toc498094101"/>
      <w:r>
        <w:rPr>
          <w:rStyle w:val="CharSectno"/>
        </w:rPr>
        <w:t>18</w:t>
      </w:r>
      <w:r>
        <w:t>.</w:t>
      </w:r>
      <w:r>
        <w:tab/>
        <w:t>Security to be given</w:t>
      </w:r>
      <w:bookmarkEnd w:id="25"/>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200" w:type="dxa"/>
        <w:tblInd w:w="71" w:type="dxa"/>
        <w:tblLayout w:type="fixed"/>
        <w:tblCellMar>
          <w:left w:w="71" w:type="dxa"/>
          <w:right w:w="71" w:type="dxa"/>
        </w:tblCellMar>
        <w:tblLook w:val="0000" w:firstRow="0" w:lastRow="0" w:firstColumn="0" w:lastColumn="0" w:noHBand="0" w:noVBand="0"/>
      </w:tblPr>
      <w:tblGrid>
        <w:gridCol w:w="6000"/>
        <w:gridCol w:w="1200"/>
      </w:tblGrid>
      <w:tr>
        <w:tc>
          <w:tcPr>
            <w:tcW w:w="6000" w:type="dxa"/>
          </w:tcPr>
          <w:p>
            <w:pPr>
              <w:pStyle w:val="TableNAm"/>
              <w:tabs>
                <w:tab w:val="clear" w:pos="567"/>
                <w:tab w:val="right" w:pos="1249"/>
              </w:tabs>
              <w:ind w:left="1565" w:hanging="1565"/>
            </w:pPr>
            <w:r>
              <w:tab/>
              <w:t>(a)</w:t>
            </w:r>
            <w:r>
              <w:tab/>
              <w:t>for a licence endorsed for metropolitan grandstand enclosure operations with The Western Australian Turf Club......................</w:t>
            </w:r>
          </w:p>
        </w:tc>
        <w:tc>
          <w:tcPr>
            <w:tcW w:w="1200" w:type="dxa"/>
          </w:tcPr>
          <w:p>
            <w:pPr>
              <w:pStyle w:val="TableNAm"/>
              <w:ind w:right="57"/>
              <w:jc w:val="right"/>
            </w:pPr>
            <w:r>
              <w:br/>
            </w:r>
            <w:r>
              <w:br/>
              <w:t>$100 000;</w:t>
            </w:r>
          </w:p>
        </w:tc>
      </w:tr>
      <w:tr>
        <w:tc>
          <w:tcPr>
            <w:tcW w:w="6000" w:type="dxa"/>
          </w:tcPr>
          <w:p>
            <w:pPr>
              <w:pStyle w:val="TableNAm"/>
              <w:tabs>
                <w:tab w:val="clear" w:pos="567"/>
                <w:tab w:val="right" w:pos="1249"/>
              </w:tabs>
              <w:ind w:left="1565" w:hanging="1565"/>
            </w:pPr>
            <w:r>
              <w:tab/>
              <w:t>(b)</w:t>
            </w:r>
            <w:r>
              <w:tab/>
              <w:t>for a licence endorsed for metropolitan grandstand enclosure operations with the Western Australian Trotting Association.....</w:t>
            </w:r>
          </w:p>
        </w:tc>
        <w:tc>
          <w:tcPr>
            <w:tcW w:w="1200" w:type="dxa"/>
          </w:tcPr>
          <w:p>
            <w:pPr>
              <w:pStyle w:val="TableNAm"/>
              <w:ind w:right="57"/>
              <w:jc w:val="right"/>
            </w:pPr>
            <w:r>
              <w:br/>
            </w:r>
            <w:r>
              <w:br/>
              <w:t>$40 000;</w:t>
            </w:r>
          </w:p>
        </w:tc>
      </w:tr>
      <w:tr>
        <w:tc>
          <w:tcPr>
            <w:tcW w:w="6000" w:type="dxa"/>
          </w:tcPr>
          <w:p>
            <w:pPr>
              <w:pStyle w:val="TableNAm"/>
              <w:tabs>
                <w:tab w:val="clear" w:pos="567"/>
                <w:tab w:val="right" w:pos="1249"/>
              </w:tabs>
              <w:ind w:left="1565" w:hanging="1565"/>
            </w:pPr>
            <w:r>
              <w:tab/>
              <w:t>(c)</w:t>
            </w:r>
            <w:r>
              <w:tab/>
              <w:t>for a licence endorsed for metropolitan grandstand enclosure operations with the Western Australian Greyhound Racing Association...................................................</w:t>
            </w:r>
          </w:p>
        </w:tc>
        <w:tc>
          <w:tcPr>
            <w:tcW w:w="1200" w:type="dxa"/>
          </w:tcPr>
          <w:p>
            <w:pPr>
              <w:pStyle w:val="TableNAm"/>
              <w:ind w:right="57"/>
              <w:jc w:val="right"/>
            </w:pPr>
            <w:r>
              <w:br/>
            </w:r>
            <w:r>
              <w:br/>
            </w:r>
            <w:r>
              <w:br/>
              <w:t>$25 000;</w:t>
            </w:r>
          </w:p>
        </w:tc>
      </w:tr>
      <w:tr>
        <w:trPr>
          <w:cantSplit/>
        </w:trPr>
        <w:tc>
          <w:tcPr>
            <w:tcW w:w="6000" w:type="dxa"/>
          </w:tcPr>
          <w:p>
            <w:pPr>
              <w:pStyle w:val="TableNAm"/>
              <w:tabs>
                <w:tab w:val="clear" w:pos="567"/>
                <w:tab w:val="right" w:pos="1249"/>
              </w:tabs>
              <w:ind w:left="1565" w:hanging="1565"/>
            </w:pPr>
            <w:r>
              <w:tab/>
              <w:t>(d)</w:t>
            </w:r>
            <w:r>
              <w:tab/>
              <w:t>for a licence endorsed for metropolitan leger or country racecourse operations with The Western Australian Turf Club, the Western Australian Trotting Association, or the Western Australian Greyhound Racing Association...................................................</w:t>
            </w:r>
          </w:p>
        </w:tc>
        <w:tc>
          <w:tcPr>
            <w:tcW w:w="1200" w:type="dxa"/>
          </w:tcPr>
          <w:p>
            <w:pPr>
              <w:pStyle w:val="TableNAm"/>
              <w:ind w:right="57"/>
              <w:jc w:val="right"/>
            </w:pPr>
            <w:r>
              <w:br/>
            </w:r>
            <w:r>
              <w:br/>
            </w:r>
            <w:r>
              <w:br/>
            </w:r>
            <w:r>
              <w:br/>
            </w:r>
            <w:r>
              <w:br/>
              <w:t>$25 000;</w:t>
            </w:r>
          </w:p>
        </w:tc>
      </w:tr>
      <w:tr>
        <w:tc>
          <w:tcPr>
            <w:tcW w:w="6000" w:type="dxa"/>
          </w:tcPr>
          <w:p>
            <w:pPr>
              <w:pStyle w:val="TableNAm"/>
              <w:tabs>
                <w:tab w:val="clear" w:pos="567"/>
                <w:tab w:val="right" w:pos="1249"/>
              </w:tabs>
              <w:ind w:left="1565" w:hanging="1565"/>
            </w:pPr>
            <w:r>
              <w:tab/>
              <w:t>(e)</w:t>
            </w:r>
            <w:r>
              <w:tab/>
              <w:t>for a licence endorsed to authorise the conduct of sports betting or double event betting, or both.............................................</w:t>
            </w:r>
          </w:p>
        </w:tc>
        <w:tc>
          <w:tcPr>
            <w:tcW w:w="1200" w:type="dxa"/>
          </w:tcPr>
          <w:p>
            <w:pPr>
              <w:pStyle w:val="TableNAm"/>
              <w:ind w:right="57"/>
              <w:jc w:val="right"/>
            </w:pPr>
            <w:r>
              <w:br/>
            </w:r>
            <w:r>
              <w:br/>
              <w:t>$100 000.</w:t>
            </w:r>
          </w:p>
        </w:tc>
      </w:tr>
    </w:tbl>
    <w:p>
      <w:pPr>
        <w:pStyle w:val="Subsection"/>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Omitted under the Reprints Act 1984 s. 7(4)(e).]</w:t>
      </w:r>
    </w:p>
    <w:p>
      <w:pPr>
        <w:pStyle w:val="Footnotesection"/>
      </w:pPr>
      <w:r>
        <w:tab/>
        <w:t>[Regulation 18 amended in Gazette 24 Jun 1988 p. 2004; 10 Jul 1992 p. 3288</w:t>
      </w:r>
      <w:r>
        <w:noBreakHyphen/>
        <w:t>9; 4 Mar 1997 p. 1396 (as amended in Gazette 24 Jun 1997 p. 3014); 21 Jul 1998 p. 3854; 20 Sep 2002 p. 4699</w:t>
      </w:r>
      <w:r>
        <w:noBreakHyphen/>
        <w:t>700; 17 Dec 2002 p. 5923</w:t>
      </w:r>
      <w:r>
        <w:noBreakHyphen/>
        <w:t>4; 30 Jan 2004 p. 412.]</w:t>
      </w:r>
    </w:p>
    <w:p>
      <w:pPr>
        <w:pStyle w:val="Ednotesection"/>
      </w:pPr>
      <w:r>
        <w:t>[</w:t>
      </w:r>
      <w:r>
        <w:rPr>
          <w:b/>
        </w:rPr>
        <w:t>19</w:t>
      </w:r>
      <w:r>
        <w:rPr>
          <w:b/>
        </w:rPr>
        <w:noBreakHyphen/>
        <w:t>24.</w:t>
      </w:r>
      <w:r>
        <w:tab/>
        <w:t>Deleted in Gazette 10 Jul 1992 p. 3289.]</w:t>
      </w:r>
    </w:p>
    <w:p>
      <w:pPr>
        <w:pStyle w:val="Heading5"/>
        <w:rPr>
          <w:snapToGrid w:val="0"/>
        </w:rPr>
      </w:pPr>
      <w:bookmarkStart w:id="26" w:name="_Toc498094102"/>
      <w:r>
        <w:rPr>
          <w:rStyle w:val="CharSectno"/>
        </w:rPr>
        <w:t>25</w:t>
      </w:r>
      <w:r>
        <w:rPr>
          <w:snapToGrid w:val="0"/>
        </w:rPr>
        <w:t>.</w:t>
      </w:r>
      <w:r>
        <w:rPr>
          <w:snapToGrid w:val="0"/>
        </w:rPr>
        <w:tab/>
        <w:t>Register</w:t>
      </w:r>
      <w:bookmarkEnd w:id="26"/>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in Gazette 20 Sep 2002 p. 4700; 30 Jan 2004 p. 404.]</w:t>
      </w:r>
    </w:p>
    <w:p>
      <w:pPr>
        <w:pStyle w:val="Ednotesection"/>
      </w:pPr>
      <w:r>
        <w:t>[</w:t>
      </w:r>
      <w:r>
        <w:rPr>
          <w:b/>
        </w:rPr>
        <w:t>26.</w:t>
      </w:r>
      <w:r>
        <w:tab/>
        <w:t>Deleted in Gazette 10 Jul 1992 p. 3289.]</w:t>
      </w:r>
    </w:p>
    <w:p>
      <w:pPr>
        <w:pStyle w:val="Heading5"/>
        <w:rPr>
          <w:snapToGrid w:val="0"/>
        </w:rPr>
      </w:pPr>
      <w:bookmarkStart w:id="27" w:name="_Toc498094103"/>
      <w:r>
        <w:rPr>
          <w:rStyle w:val="CharSectno"/>
        </w:rPr>
        <w:t>27</w:t>
      </w:r>
      <w:r>
        <w:rPr>
          <w:snapToGrid w:val="0"/>
        </w:rPr>
        <w:t>.</w:t>
      </w:r>
      <w:r>
        <w:rPr>
          <w:snapToGrid w:val="0"/>
        </w:rPr>
        <w:tab/>
        <w:t>Change of address</w:t>
      </w:r>
      <w:bookmarkEnd w:id="27"/>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[Regulation 27 amended in Gazette 24 Jun 1988 p. 2004; 10 Jul 1992 p. 3286 and 3289; 25 Jun 1996 p. 2977; 20 Sep 2002 p. 4700; 30 Jan 2004 p. 412.]</w:t>
      </w:r>
    </w:p>
    <w:p>
      <w:pPr>
        <w:pStyle w:val="Heading5"/>
        <w:rPr>
          <w:snapToGrid w:val="0"/>
        </w:rPr>
      </w:pPr>
      <w:bookmarkStart w:id="28" w:name="_Toc498094104"/>
      <w:r>
        <w:rPr>
          <w:rStyle w:val="CharSectno"/>
        </w:rPr>
        <w:t>28</w:t>
      </w:r>
      <w:r>
        <w:rPr>
          <w:snapToGrid w:val="0"/>
        </w:rPr>
        <w:t>.</w:t>
      </w:r>
      <w:r>
        <w:rPr>
          <w:snapToGrid w:val="0"/>
        </w:rPr>
        <w:tab/>
        <w:t>Return of licence</w:t>
      </w:r>
      <w:bookmarkEnd w:id="28"/>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in Gazette 24 Jun 1988 p. 2004; 10 Jul 1992 p. 3286 and 3289; 20 Sep 2002 p. 4700</w:t>
      </w:r>
      <w:r>
        <w:noBreakHyphen/>
        <w:t>1; 30 Jan 2004 p. 404 and 412.]</w:t>
      </w:r>
    </w:p>
    <w:p>
      <w:pPr>
        <w:pStyle w:val="Heading5"/>
        <w:spacing w:before="180"/>
        <w:rPr>
          <w:snapToGrid w:val="0"/>
        </w:rPr>
      </w:pPr>
      <w:bookmarkStart w:id="29" w:name="_Toc498094105"/>
      <w:r>
        <w:rPr>
          <w:rStyle w:val="CharSectno"/>
        </w:rPr>
        <w:t>29</w:t>
      </w:r>
      <w:r>
        <w:rPr>
          <w:snapToGrid w:val="0"/>
        </w:rPr>
        <w:t>.</w:t>
      </w:r>
      <w:r>
        <w:rPr>
          <w:snapToGrid w:val="0"/>
        </w:rPr>
        <w:tab/>
        <w:t>Production of licence</w:t>
      </w:r>
      <w:bookmarkEnd w:id="29"/>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[Regulation 29 amended in Gazette 24 Jun 1988 p. 2004; 10 Jul 1992 p. 3286 and 3289; 20 Sep 2002 p. 4701; 30 Jan 2004 p. 405 and 412.]</w:t>
      </w:r>
    </w:p>
    <w:p>
      <w:pPr>
        <w:pStyle w:val="Heading5"/>
        <w:spacing w:before="180"/>
        <w:rPr>
          <w:snapToGrid w:val="0"/>
        </w:rPr>
      </w:pPr>
      <w:bookmarkStart w:id="30" w:name="_Toc498094106"/>
      <w:r>
        <w:rPr>
          <w:rStyle w:val="CharSectno"/>
        </w:rPr>
        <w:t>30</w:t>
      </w:r>
      <w:r>
        <w:rPr>
          <w:snapToGrid w:val="0"/>
        </w:rPr>
        <w:t>.</w:t>
      </w:r>
      <w:r>
        <w:rPr>
          <w:snapToGrid w:val="0"/>
        </w:rPr>
        <w:tab/>
        <w:t>Advertising</w:t>
      </w:r>
      <w:bookmarkEnd w:id="30"/>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[Regulation 30 inserted in Gazette 12 Aug 1983 p. 2918; amended in Gazette 10 Jul 1992 p. 3289; 13 Oct 2000 p. 5726; 20 Sep 2002 p. 4701.]</w:t>
      </w:r>
    </w:p>
    <w:p>
      <w:pPr>
        <w:pStyle w:val="Ednotesection"/>
        <w:spacing w:before="160"/>
        <w:ind w:left="890" w:hanging="890"/>
      </w:pPr>
      <w:r>
        <w:t>[</w:t>
      </w:r>
      <w:r>
        <w:rPr>
          <w:b/>
        </w:rPr>
        <w:t>31</w:t>
      </w:r>
      <w:r>
        <w:rPr>
          <w:b/>
        </w:rPr>
        <w:noBreakHyphen/>
        <w:t>35.</w:t>
      </w:r>
      <w:r>
        <w:tab/>
        <w:t>Deleted in Gazette 10 Jul 1992 p. 3289.]</w:t>
      </w:r>
    </w:p>
    <w:p>
      <w:pPr>
        <w:pStyle w:val="Heading5"/>
        <w:rPr>
          <w:snapToGrid w:val="0"/>
        </w:rPr>
      </w:pPr>
      <w:bookmarkStart w:id="31" w:name="_Toc498094107"/>
      <w:r>
        <w:rPr>
          <w:rStyle w:val="CharSectno"/>
        </w:rPr>
        <w:t>36</w:t>
      </w:r>
      <w:r>
        <w:rPr>
          <w:snapToGrid w:val="0"/>
        </w:rPr>
        <w:t>.</w:t>
      </w:r>
      <w:r>
        <w:rPr>
          <w:snapToGrid w:val="0"/>
        </w:rPr>
        <w:tab/>
        <w:t>Betting tickets</w:t>
      </w:r>
      <w:bookmarkEnd w:id="31"/>
    </w:p>
    <w:p>
      <w:pPr>
        <w:pStyle w:val="Subsection"/>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pPr>
      <w:r>
        <w:tab/>
        <w:t>[(2)</w:t>
      </w:r>
      <w:r>
        <w:tab/>
        <w:t>deleted]</w:t>
      </w:r>
    </w:p>
    <w:p>
      <w:pPr>
        <w:pStyle w:val="Subsection"/>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rPr>
          <w:snapToGrid w:val="0"/>
        </w:rPr>
      </w:pPr>
      <w:r>
        <w:rPr>
          <w:snapToGrid w:val="0"/>
        </w:rPr>
        <w:tab/>
        <w:t>(5)</w:t>
      </w:r>
      <w:r>
        <w:rPr>
          <w:snapToGrid w:val="0"/>
        </w:rPr>
        <w:tab/>
        <w:t>Betting tickets shall —</w:t>
      </w:r>
    </w:p>
    <w:p>
      <w:pPr>
        <w:pStyle w:val="Indenta"/>
        <w:rPr>
          <w:snapToGrid w:val="0"/>
        </w:rPr>
      </w:pPr>
      <w:r>
        <w:rPr>
          <w:snapToGrid w:val="0"/>
        </w:rPr>
        <w:tab/>
        <w:t>(a)</w:t>
      </w:r>
      <w:r>
        <w:rPr>
          <w:snapToGrid w:val="0"/>
        </w:rPr>
        <w:tab/>
        <w:t>bear consecutive numbers, and be issued in consecutive order; and</w:t>
      </w:r>
    </w:p>
    <w:p>
      <w:pPr>
        <w:pStyle w:val="Indenta"/>
        <w:rPr>
          <w:snapToGrid w:val="0"/>
        </w:rPr>
      </w:pPr>
      <w:r>
        <w:rPr>
          <w:snapToGrid w:val="0"/>
        </w:rPr>
        <w:tab/>
        <w:t>(b)</w:t>
      </w:r>
      <w:r>
        <w:rPr>
          <w:snapToGrid w:val="0"/>
        </w:rPr>
        <w:tab/>
        <w:t>be provided for the use of a bookmaker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if the record of betting is to be made using a computer, by that bookmaker in a form, size and colour approved by the Commission;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keepNext/>
        <w:keepLines/>
        <w:rPr>
          <w:snapToGrid w:val="0"/>
        </w:rPr>
      </w:pPr>
      <w:r>
        <w:rPr>
          <w:snapToGrid w:val="0"/>
        </w:rPr>
        <w:tab/>
        <w:t>(6)</w:t>
      </w:r>
      <w:r>
        <w:rPr>
          <w:snapToGrid w:val="0"/>
        </w:rPr>
        <w:tab/>
        <w:t>A bookmaker who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This regulation applies to a partnership that is a bookmaker as if the partnership were a person, but it applies with the following changes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in Gazette 12 Aug 1983 p. 2918; 14 Feb 1992 p. 859</w:t>
      </w:r>
      <w:r>
        <w:noBreakHyphen/>
        <w:t>60; 10 Jul 1992 p. 3289</w:t>
      </w:r>
      <w:r>
        <w:noBreakHyphen/>
        <w:t>90; 25 Jun 1996 p. 2977; 13 Oct 2000 p. 5726; 20 Sep 2002 p. 4701</w:t>
      </w:r>
      <w:r>
        <w:noBreakHyphen/>
        <w:t>2; 30 Jan 2004 p. 412.]</w:t>
      </w:r>
    </w:p>
    <w:p>
      <w:pPr>
        <w:pStyle w:val="Heading5"/>
        <w:rPr>
          <w:snapToGrid w:val="0"/>
        </w:rPr>
      </w:pPr>
      <w:bookmarkStart w:id="32" w:name="_Toc498094108"/>
      <w:r>
        <w:rPr>
          <w:rStyle w:val="CharSectno"/>
        </w:rPr>
        <w:t>37</w:t>
      </w:r>
      <w:r>
        <w:rPr>
          <w:snapToGrid w:val="0"/>
        </w:rPr>
        <w:t>.</w:t>
      </w:r>
      <w:r>
        <w:rPr>
          <w:snapToGrid w:val="0"/>
        </w:rPr>
        <w:tab/>
        <w:t>Written record of betting transactions</w:t>
      </w:r>
      <w:bookmarkEnd w:id="32"/>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w:t>
      </w:r>
    </w:p>
    <w:p>
      <w:pPr>
        <w:pStyle w:val="Indenta"/>
        <w:rPr>
          <w:snapToGrid w:val="0"/>
        </w:rPr>
      </w:pPr>
      <w:r>
        <w:rPr>
          <w:snapToGrid w:val="0"/>
        </w:rPr>
        <w:tab/>
        <w:t>(a)</w:t>
      </w:r>
      <w:r>
        <w:rPr>
          <w:snapToGrid w:val="0"/>
        </w:rPr>
        <w:tab/>
        <w:t xml:space="preserve">the name of the bookmaker; </w:t>
      </w:r>
    </w:p>
    <w:p>
      <w:pPr>
        <w:pStyle w:val="Indenta"/>
        <w:rPr>
          <w:snapToGrid w:val="0"/>
        </w:rPr>
      </w:pPr>
      <w:r>
        <w:rPr>
          <w:snapToGrid w:val="0"/>
        </w:rPr>
        <w:tab/>
        <w:t>(b)</w:t>
      </w:r>
      <w:r>
        <w:rPr>
          <w:snapToGrid w:val="0"/>
        </w:rPr>
        <w:tab/>
        <w:t xml:space="preserve">the name of the racecourse; </w:t>
      </w:r>
    </w:p>
    <w:p>
      <w:pPr>
        <w:pStyle w:val="Indenta"/>
        <w:rPr>
          <w:snapToGrid w:val="0"/>
        </w:rPr>
      </w:pPr>
      <w:r>
        <w:rPr>
          <w:snapToGrid w:val="0"/>
        </w:rPr>
        <w:tab/>
        <w:t>(c)</w:t>
      </w:r>
      <w:r>
        <w:rPr>
          <w:snapToGrid w:val="0"/>
        </w:rPr>
        <w:tab/>
        <w:t xml:space="preserve">the date of the meeting; </w:t>
      </w:r>
    </w:p>
    <w:p>
      <w:pPr>
        <w:pStyle w:val="Indenta"/>
        <w:rPr>
          <w:snapToGrid w:val="0"/>
        </w:rPr>
      </w:pPr>
      <w:r>
        <w:rPr>
          <w:snapToGrid w:val="0"/>
        </w:rPr>
        <w:tab/>
        <w:t>(d)</w:t>
      </w:r>
      <w:r>
        <w:rPr>
          <w:snapToGrid w:val="0"/>
        </w:rPr>
        <w:tab/>
        <w:t xml:space="preserve">where appropriate, the race number; </w:t>
      </w:r>
    </w:p>
    <w:p>
      <w:pPr>
        <w:pStyle w:val="Indenta"/>
        <w:rPr>
          <w:snapToGrid w:val="0"/>
        </w:rPr>
      </w:pPr>
      <w:r>
        <w:rPr>
          <w:snapToGrid w:val="0"/>
        </w:rPr>
        <w:tab/>
        <w:t>(e)</w:t>
      </w:r>
      <w:r>
        <w:rPr>
          <w:snapToGrid w:val="0"/>
        </w:rPr>
        <w:tab/>
        <w:t xml:space="preserve">the number of the betting ticket; </w:t>
      </w:r>
    </w:p>
    <w:p>
      <w:pPr>
        <w:pStyle w:val="Indenta"/>
        <w:rPr>
          <w:snapToGrid w:val="0"/>
        </w:rPr>
      </w:pPr>
      <w:r>
        <w:rPr>
          <w:snapToGrid w:val="0"/>
        </w:rPr>
        <w:tab/>
        <w:t>(f)</w:t>
      </w:r>
      <w:r>
        <w:rPr>
          <w:snapToGrid w:val="0"/>
        </w:rPr>
        <w:tab/>
        <w:t xml:space="preserve">the name of the runner, or the nature of the event or contingency, on which the bet is made; </w:t>
      </w:r>
    </w:p>
    <w:p>
      <w:pPr>
        <w:pStyle w:val="Indenta"/>
        <w:rPr>
          <w:snapToGrid w:val="0"/>
        </w:rPr>
      </w:pPr>
      <w:r>
        <w:rPr>
          <w:snapToGrid w:val="0"/>
        </w:rPr>
        <w:tab/>
        <w:t>(g)</w:t>
      </w:r>
      <w:r>
        <w:rPr>
          <w:snapToGrid w:val="0"/>
        </w:rPr>
        <w:tab/>
        <w:t xml:space="preserve">the kind of bet made, in sufficient detail to identify the bet; </w:t>
      </w:r>
    </w:p>
    <w:p>
      <w:pPr>
        <w:pStyle w:val="Indenta"/>
      </w:pPr>
      <w:r>
        <w:tab/>
        <w:t>(h)</w:t>
      </w:r>
      <w:r>
        <w:tab/>
        <w:t xml:space="preserve">the amount of the bet and the odds at which it was made or the method by which the odds will be calculated (if the odds are not known); </w:t>
      </w:r>
    </w:p>
    <w:p>
      <w:pPr>
        <w:pStyle w:val="Indenta"/>
        <w:rPr>
          <w:snapToGrid w:val="0"/>
        </w:rPr>
      </w:pPr>
      <w:r>
        <w:rPr>
          <w:snapToGrid w:val="0"/>
        </w:rPr>
        <w:tab/>
        <w:t>(j)</w:t>
      </w:r>
      <w:r>
        <w:rPr>
          <w:snapToGrid w:val="0"/>
        </w:rPr>
        <w:tab/>
        <w:t xml:space="preserve">where the bet is not made for cash, the name of the person with whom the bet is made; </w:t>
      </w:r>
    </w:p>
    <w:p>
      <w:pPr>
        <w:pStyle w:val="Indenta"/>
        <w:rPr>
          <w:snapToGrid w:val="0"/>
        </w:rPr>
      </w:pPr>
      <w:r>
        <w:rPr>
          <w:snapToGrid w:val="0"/>
        </w:rPr>
        <w:tab/>
        <w:t>(k)</w:t>
      </w:r>
      <w:r>
        <w:rPr>
          <w:snapToGrid w:val="0"/>
        </w:rPr>
        <w:tab/>
        <w:t xml:space="preserve">where the bet is on a sporting event, such other particulars as are specified in an approval under section 4B approving the conduct of betting; </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pPr>
      <w:r>
        <w:tab/>
        <w:t>(2A)</w:t>
      </w:r>
      <w:r>
        <w:tab/>
        <w:t>For the purposes of subregulation (1)(j) —</w:t>
      </w:r>
    </w:p>
    <w:p>
      <w:pPr>
        <w:pStyle w:val="Indenta"/>
      </w:pPr>
      <w:r>
        <w:tab/>
        <w:t>(a)</w:t>
      </w:r>
      <w:r>
        <w:tab/>
        <w:t>if a person (agent) makes a bet for or on behalf of another person (principal), the principal is the person with whom the bet is made; and</w:t>
      </w:r>
    </w:p>
    <w:p>
      <w:pPr>
        <w:pStyle w:val="Indenta"/>
      </w:pPr>
      <w:r>
        <w:tab/>
        <w:t>(b)</w:t>
      </w:r>
      <w:r>
        <w:tab/>
        <w:t>if a bet is received by way of internet betting, the requirement to name the person with whom the bet was made is not satisfied by stating —</w:t>
      </w:r>
    </w:p>
    <w:p>
      <w:pPr>
        <w:pStyle w:val="Indenti"/>
      </w:pPr>
      <w:r>
        <w:tab/>
        <w:t>(i)</w:t>
      </w:r>
      <w:r>
        <w:tab/>
        <w:t>that the bet was received via the internet; or</w:t>
      </w:r>
    </w:p>
    <w:p>
      <w:pPr>
        <w:pStyle w:val="Indenti"/>
      </w:pPr>
      <w:r>
        <w:tab/>
        <w:t>(ii)</w:t>
      </w:r>
      <w:r>
        <w:tab/>
        <w:t>the name the internet betting system used to place that bet.</w:t>
      </w:r>
    </w:p>
    <w:p>
      <w:pPr>
        <w:pStyle w:val="Subsection"/>
        <w:keepNext/>
        <w:rPr>
          <w:snapToGrid w:val="0"/>
        </w:rPr>
      </w:pPr>
      <w:r>
        <w:rPr>
          <w:snapToGrid w:val="0"/>
        </w:rPr>
        <w:tab/>
        <w:t>(2)</w:t>
      </w:r>
      <w:r>
        <w:rPr>
          <w:snapToGrid w:val="0"/>
        </w:rPr>
        <w:tab/>
        <w:t>The details of the amount of the bet may be shown in either of the following ways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pPr>
      <w:r>
        <w:tab/>
        <w:t>(3A)</w:t>
      </w:r>
      <w:r>
        <w:tab/>
        <w:t>For the purposes of subregulation (2)(a) if the odds are not known at the time the bet is made, the method by which the odds will be calculated must be recorded.</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rPr>
          <w:snapToGrid w:val="0"/>
        </w:rPr>
      </w:pPr>
      <w:r>
        <w:rPr>
          <w:snapToGrid w:val="0"/>
        </w:rPr>
        <w:tab/>
        <w:t>(4)</w:t>
      </w:r>
      <w:r>
        <w:rPr>
          <w:snapToGrid w:val="0"/>
        </w:rPr>
        <w:tab/>
        <w:t>Except where approval is granted under subregulation (5) the record shall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w:t>
      </w:r>
    </w:p>
    <w:p>
      <w:pPr>
        <w:pStyle w:val="Indenta"/>
        <w:rPr>
          <w:snapToGrid w:val="0"/>
        </w:rPr>
      </w:pPr>
      <w:r>
        <w:rPr>
          <w:snapToGrid w:val="0"/>
        </w:rPr>
        <w:tab/>
        <w:t>(a)</w:t>
      </w:r>
      <w:r>
        <w:rPr>
          <w:snapToGrid w:val="0"/>
        </w:rPr>
        <w:tab/>
        <w:t>to facilitate the recording of bets; and</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w:t>
      </w:r>
    </w:p>
    <w:p>
      <w:pPr>
        <w:pStyle w:val="Indenta"/>
        <w:rPr>
          <w:snapToGrid w:val="0"/>
        </w:rPr>
      </w:pPr>
      <w:r>
        <w:rPr>
          <w:snapToGrid w:val="0"/>
        </w:rPr>
        <w:tab/>
        <w:t>(a)</w:t>
      </w:r>
      <w:r>
        <w:rPr>
          <w:snapToGrid w:val="0"/>
        </w:rPr>
        <w:tab/>
        <w:t>such conditions as to —</w:t>
      </w:r>
    </w:p>
    <w:p>
      <w:pPr>
        <w:pStyle w:val="Indenti"/>
        <w:rPr>
          <w:snapToGrid w:val="0"/>
        </w:rPr>
      </w:pPr>
      <w:r>
        <w:rPr>
          <w:snapToGrid w:val="0"/>
        </w:rPr>
        <w:tab/>
        <w:t>(i)</w:t>
      </w:r>
      <w:r>
        <w:rPr>
          <w:snapToGrid w:val="0"/>
        </w:rPr>
        <w:tab/>
        <w:t>the use of; and</w:t>
      </w:r>
    </w:p>
    <w:p>
      <w:pPr>
        <w:pStyle w:val="Indenti"/>
        <w:rPr>
          <w:snapToGrid w:val="0"/>
        </w:rPr>
      </w:pPr>
      <w:r>
        <w:rPr>
          <w:snapToGrid w:val="0"/>
        </w:rPr>
        <w:tab/>
        <w:t>(ii)</w:t>
      </w:r>
      <w:r>
        <w:rPr>
          <w:snapToGrid w:val="0"/>
        </w:rPr>
        <w:tab/>
        <w:t>the time or circumstances of the use of; and</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rPr>
          <w:snapToGrid w:val="0"/>
        </w:rPr>
      </w:pPr>
      <w:r>
        <w:rPr>
          <w:snapToGrid w:val="0"/>
        </w:rPr>
        <w:tab/>
      </w:r>
      <w:r>
        <w:rPr>
          <w:snapToGrid w:val="0"/>
        </w:rPr>
        <w:tab/>
        <w:t>that computer as the Commission specifies in that approval may be imposed; and</w:t>
      </w:r>
    </w:p>
    <w:p>
      <w:pPr>
        <w:pStyle w:val="Indenta"/>
        <w:keepNext/>
        <w:keepLines/>
        <w:rPr>
          <w:snapToGrid w:val="0"/>
        </w:rPr>
      </w:pPr>
      <w:r>
        <w:rPr>
          <w:snapToGrid w:val="0"/>
        </w:rPr>
        <w:tab/>
        <w:t>(b)</w:t>
      </w:r>
      <w:r>
        <w:rPr>
          <w:snapToGrid w:val="0"/>
        </w:rPr>
        <w:tab/>
        <w:t>the Commission, at any time by notice in writing given to the bookmaker, may —</w:t>
      </w:r>
    </w:p>
    <w:p>
      <w:pPr>
        <w:pStyle w:val="Indenti"/>
        <w:spacing w:before="60"/>
        <w:rPr>
          <w:snapToGrid w:val="0"/>
        </w:rPr>
      </w:pPr>
      <w:r>
        <w:rPr>
          <w:snapToGrid w:val="0"/>
        </w:rPr>
        <w:tab/>
        <w:t>(i)</w:t>
      </w:r>
      <w:r>
        <w:rPr>
          <w:snapToGrid w:val="0"/>
        </w:rPr>
        <w:tab/>
        <w:t>cancel or vary a condition imposed; or</w:t>
      </w:r>
    </w:p>
    <w:p>
      <w:pPr>
        <w:pStyle w:val="Indenti"/>
        <w:spacing w:before="60"/>
        <w:rPr>
          <w:snapToGrid w:val="0"/>
        </w:rPr>
      </w:pPr>
      <w:r>
        <w:rPr>
          <w:snapToGrid w:val="0"/>
        </w:rPr>
        <w:tab/>
        <w:t>(ii)</w:t>
      </w:r>
      <w:r>
        <w:rPr>
          <w:snapToGrid w:val="0"/>
        </w:rPr>
        <w:tab/>
        <w:t>withdraw the approval.</w:t>
      </w:r>
    </w:p>
    <w:p>
      <w:pPr>
        <w:pStyle w:val="Footnotesection"/>
        <w:spacing w:before="100"/>
        <w:ind w:left="890" w:hanging="890"/>
      </w:pPr>
      <w:r>
        <w:tab/>
        <w:t>[Regulation 37 inserted in Gazette 14 Feb 1992 p. 860</w:t>
      </w:r>
      <w:r>
        <w:noBreakHyphen/>
        <w:t>1; amended in Gazette 25 Jun 1996 p. 2977; 21 Jul 1998 p. 3853 and 3855; 2 Oct 2001 p. 5455; 30 Jan 2004 p. 412; 25 Sep 2009 p. 3752; 29 Nov 2013 p. 5467.]</w:t>
      </w:r>
    </w:p>
    <w:p>
      <w:pPr>
        <w:pStyle w:val="Heading5"/>
        <w:rPr>
          <w:snapToGrid w:val="0"/>
        </w:rPr>
      </w:pPr>
      <w:bookmarkStart w:id="33" w:name="_Toc498094109"/>
      <w:r>
        <w:rPr>
          <w:rStyle w:val="CharSectno"/>
        </w:rPr>
        <w:t>38</w:t>
      </w:r>
      <w:r>
        <w:rPr>
          <w:snapToGrid w:val="0"/>
        </w:rPr>
        <w:t>.</w:t>
      </w:r>
      <w:r>
        <w:rPr>
          <w:snapToGrid w:val="0"/>
        </w:rPr>
        <w:tab/>
        <w:t>Supply of books</w:t>
      </w:r>
      <w:bookmarkEnd w:id="33"/>
    </w:p>
    <w:p>
      <w:pPr>
        <w:pStyle w:val="Subsection"/>
        <w:spacing w:before="140"/>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spacing w:before="100"/>
        <w:ind w:left="890" w:hanging="890"/>
      </w:pPr>
      <w:r>
        <w:tab/>
        <w:t>[Regulation 38 amended in Gazette 10 Jul 1992 p. 3290; 25 Jun 1996 p. 2977; 30 Jan 2004 p. 412.]</w:t>
      </w:r>
    </w:p>
    <w:p>
      <w:pPr>
        <w:pStyle w:val="Heading5"/>
        <w:rPr>
          <w:snapToGrid w:val="0"/>
        </w:rPr>
      </w:pPr>
      <w:bookmarkStart w:id="34" w:name="_Toc498094110"/>
      <w:r>
        <w:rPr>
          <w:rStyle w:val="CharSectno"/>
        </w:rPr>
        <w:t>39</w:t>
      </w:r>
      <w:r>
        <w:rPr>
          <w:snapToGrid w:val="0"/>
        </w:rPr>
        <w:t>.</w:t>
      </w:r>
      <w:r>
        <w:rPr>
          <w:snapToGrid w:val="0"/>
        </w:rPr>
        <w:tab/>
        <w:t>Loss of books etc.</w:t>
      </w:r>
      <w:bookmarkEnd w:id="34"/>
    </w:p>
    <w:p>
      <w:pPr>
        <w:pStyle w:val="Subsection"/>
        <w:spacing w:before="140"/>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spacing w:before="100"/>
        <w:ind w:left="890" w:hanging="890"/>
      </w:pPr>
      <w:r>
        <w:tab/>
        <w:t>[Regulation 39 amended in Gazette 14 Feb 1992 p. 861; 25 Jun 1996 p. 2977; 30 Jan 2004 p. 412.]</w:t>
      </w:r>
    </w:p>
    <w:p>
      <w:pPr>
        <w:pStyle w:val="Ednotesection"/>
        <w:spacing w:before="180"/>
        <w:ind w:left="890" w:hanging="890"/>
      </w:pPr>
      <w:r>
        <w:t>[</w:t>
      </w:r>
      <w:r>
        <w:rPr>
          <w:b/>
        </w:rPr>
        <w:t>40</w:t>
      </w:r>
      <w:r>
        <w:rPr>
          <w:b/>
        </w:rPr>
        <w:noBreakHyphen/>
        <w:t>42.</w:t>
      </w:r>
      <w:r>
        <w:tab/>
        <w:t>Deleted in Gazette 10 Jul 1992 p. 3290.]</w:t>
      </w:r>
    </w:p>
    <w:p>
      <w:pPr>
        <w:pStyle w:val="Heading5"/>
        <w:spacing w:before="180"/>
        <w:rPr>
          <w:snapToGrid w:val="0"/>
        </w:rPr>
      </w:pPr>
      <w:bookmarkStart w:id="35" w:name="_Toc498094111"/>
      <w:r>
        <w:rPr>
          <w:rStyle w:val="CharSectno"/>
        </w:rPr>
        <w:t>43</w:t>
      </w:r>
      <w:r>
        <w:rPr>
          <w:snapToGrid w:val="0"/>
        </w:rPr>
        <w:t>.</w:t>
      </w:r>
      <w:r>
        <w:rPr>
          <w:snapToGrid w:val="0"/>
        </w:rPr>
        <w:tab/>
        <w:t>Betting material</w:t>
      </w:r>
      <w:bookmarkEnd w:id="35"/>
    </w:p>
    <w:p>
      <w:pPr>
        <w:pStyle w:val="Ednotesubsection"/>
        <w:spacing w:before="140"/>
      </w:pPr>
      <w:r>
        <w:tab/>
        <w:t>[(1)</w:t>
      </w:r>
      <w:r>
        <w:tab/>
        <w:t>deleted]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[Regulation 43 amended in Gazette 10 Jul 1992 p. 3290; 20 Sep 2002 p. 4702; 30 Jan 2004 p. 412.]</w:t>
      </w:r>
    </w:p>
    <w:p>
      <w:pPr>
        <w:pStyle w:val="Ednotesection"/>
        <w:spacing w:before="180"/>
      </w:pPr>
      <w:r>
        <w:t>[</w:t>
      </w:r>
      <w:r>
        <w:rPr>
          <w:b/>
        </w:rPr>
        <w:t>44</w:t>
      </w:r>
      <w:r>
        <w:rPr>
          <w:b/>
        </w:rPr>
        <w:noBreakHyphen/>
        <w:t>47.</w:t>
      </w:r>
      <w:r>
        <w:tab/>
        <w:t>Deleted in Gazette 10 Jul 1992 p. 3290.]</w:t>
      </w:r>
    </w:p>
    <w:p>
      <w:pPr>
        <w:pStyle w:val="Heading5"/>
        <w:spacing w:before="180"/>
        <w:rPr>
          <w:snapToGrid w:val="0"/>
        </w:rPr>
      </w:pPr>
      <w:bookmarkStart w:id="36" w:name="_Toc498094112"/>
      <w:r>
        <w:rPr>
          <w:rStyle w:val="CharSectno"/>
        </w:rPr>
        <w:t>48</w:t>
      </w:r>
      <w:r>
        <w:rPr>
          <w:snapToGrid w:val="0"/>
        </w:rPr>
        <w:t>.</w:t>
      </w:r>
      <w:r>
        <w:rPr>
          <w:snapToGrid w:val="0"/>
        </w:rPr>
        <w:tab/>
        <w:t>Rules of Betting</w:t>
      </w:r>
      <w:bookmarkEnd w:id="36"/>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in Gazette 30 Jan 2004 p. 405.]</w:t>
      </w:r>
    </w:p>
    <w:p>
      <w:pPr>
        <w:pStyle w:val="Heading5"/>
      </w:pPr>
      <w:bookmarkStart w:id="37" w:name="_Toc498094113"/>
      <w:r>
        <w:rPr>
          <w:rStyle w:val="CharSectno"/>
        </w:rPr>
        <w:t>48A</w:t>
      </w:r>
      <w:r>
        <w:t>.</w:t>
      </w:r>
      <w:r>
        <w:tab/>
        <w:t>Minimum bet obligations</w:t>
      </w:r>
      <w:bookmarkEnd w:id="37"/>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in Gazette 30 Jan 2004 p. 405.]</w:t>
      </w:r>
    </w:p>
    <w:p>
      <w:pPr>
        <w:pStyle w:val="Heading5"/>
      </w:pPr>
      <w:bookmarkStart w:id="38" w:name="_Toc498094114"/>
      <w:r>
        <w:rPr>
          <w:rStyle w:val="CharSectno"/>
        </w:rPr>
        <w:t>49</w:t>
      </w:r>
      <w:r>
        <w:t>.</w:t>
      </w:r>
      <w:r>
        <w:tab/>
        <w:t>Bets on more than one result</w:t>
      </w:r>
      <w:bookmarkEnd w:id="38"/>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w:t>
      </w:r>
    </w:p>
    <w:p>
      <w:pPr>
        <w:pStyle w:val="Footnotesection"/>
      </w:pPr>
      <w:r>
        <w:tab/>
        <w:t>[Regulation 49 inserted in Gazette 21 Jul 1998 p. 3853.]</w:t>
      </w:r>
    </w:p>
    <w:p>
      <w:pPr>
        <w:pStyle w:val="Heading5"/>
      </w:pPr>
      <w:bookmarkStart w:id="39" w:name="_Toc498094115"/>
      <w:r>
        <w:rPr>
          <w:rStyle w:val="CharSectno"/>
        </w:rPr>
        <w:t>50</w:t>
      </w:r>
      <w:r>
        <w:t>.</w:t>
      </w:r>
      <w:r>
        <w:tab/>
        <w:t>Permitted bets</w:t>
      </w:r>
      <w:bookmarkEnd w:id="39"/>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in Gazette 21 Jul 1998 p. 3853; amended in Gazette 30 Jan 2004 p. 405.]</w:t>
      </w:r>
    </w:p>
    <w:p>
      <w:pPr>
        <w:pStyle w:val="Heading5"/>
        <w:rPr>
          <w:snapToGrid w:val="0"/>
        </w:rPr>
      </w:pPr>
      <w:bookmarkStart w:id="40" w:name="_Toc498094116"/>
      <w:r>
        <w:rPr>
          <w:rStyle w:val="CharSectno"/>
        </w:rPr>
        <w:t>51</w:t>
      </w:r>
      <w:r>
        <w:rPr>
          <w:snapToGrid w:val="0"/>
        </w:rPr>
        <w:t>.</w:t>
      </w:r>
      <w:r>
        <w:rPr>
          <w:snapToGrid w:val="0"/>
        </w:rPr>
        <w:tab/>
        <w:t>Place betting</w:t>
      </w:r>
      <w:bookmarkEnd w:id="40"/>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 or</w:t>
      </w:r>
    </w:p>
    <w:p>
      <w:pPr>
        <w:pStyle w:val="Indenta"/>
        <w:rPr>
          <w:snapToGrid w:val="0"/>
        </w:rPr>
      </w:pPr>
      <w:r>
        <w:rPr>
          <w:snapToGrid w:val="0"/>
        </w:rPr>
        <w:tab/>
        <w:t>(b)</w:t>
      </w:r>
      <w:r>
        <w:rPr>
          <w:snapToGrid w:val="0"/>
        </w:rPr>
        <w:tab/>
        <w:t>in the context of a sporting event an approval under section 4B provides otherwise; or</w:t>
      </w:r>
    </w:p>
    <w:p>
      <w:pPr>
        <w:pStyle w:val="Indenta"/>
        <w:keepNext/>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deleted]</w:t>
      </w:r>
    </w:p>
    <w:p>
      <w:pPr>
        <w:pStyle w:val="Subsection"/>
        <w:rPr>
          <w:snapToGrid w:val="0"/>
        </w:rPr>
      </w:pPr>
      <w:r>
        <w:rPr>
          <w:snapToGrid w:val="0"/>
        </w:rPr>
        <w:tab/>
        <w:t>(3)</w:t>
      </w:r>
      <w:r>
        <w:rPr>
          <w:snapToGrid w:val="0"/>
        </w:rPr>
        <w:tab/>
        <w:t>Where place betting is permitted a bookmaker who offers odds against a runner, or competitor or contingency in the context of a sporting event, shall, unless the favourite is at “odds on” at the time the bet is laid, accept a win and place bet on that runner, or competitor or contingency in the context of a sporting event, if that bet is demanded by the backer.</w:t>
      </w:r>
    </w:p>
    <w:p>
      <w:pPr>
        <w:pStyle w:val="Penstart"/>
        <w:rPr>
          <w:snapToGrid w:val="0"/>
        </w:rPr>
      </w:pPr>
      <w:r>
        <w:rPr>
          <w:snapToGrid w:val="0"/>
        </w:rPr>
        <w:tab/>
        <w:t>Penalty: $200.</w:t>
      </w:r>
    </w:p>
    <w:p>
      <w:pPr>
        <w:pStyle w:val="Footnotesection"/>
      </w:pPr>
      <w:r>
        <w:tab/>
        <w:t>[Regulation 51 amended in Gazette 24 Jun 1988 p. 2005; 14 Sep 1990 p. 4863; 10 Jul 1992 p. 3291; 21 Jul 1998 p. 3854 and 3855; 20 Sep 2002 p. 4702.]</w:t>
      </w:r>
    </w:p>
    <w:p>
      <w:pPr>
        <w:pStyle w:val="Heading5"/>
        <w:spacing w:before="260"/>
        <w:rPr>
          <w:snapToGrid w:val="0"/>
        </w:rPr>
      </w:pPr>
      <w:bookmarkStart w:id="41" w:name="_Toc498094117"/>
      <w:r>
        <w:rPr>
          <w:rStyle w:val="CharSectno"/>
        </w:rPr>
        <w:t>52</w:t>
      </w:r>
      <w:r>
        <w:rPr>
          <w:snapToGrid w:val="0"/>
        </w:rPr>
        <w:t>.</w:t>
      </w:r>
      <w:r>
        <w:rPr>
          <w:snapToGrid w:val="0"/>
        </w:rPr>
        <w:tab/>
        <w:t>Concession betting</w:t>
      </w:r>
      <w:bookmarkEnd w:id="41"/>
    </w:p>
    <w:p>
      <w:pPr>
        <w:pStyle w:val="Subsection"/>
        <w:spacing w:before="180"/>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[Regulation 52 amended in Gazette 24 Jun 1988 p. 2005; 10 Jul 1992 p. 3291.]</w:t>
      </w:r>
    </w:p>
    <w:p>
      <w:pPr>
        <w:pStyle w:val="Heading5"/>
        <w:rPr>
          <w:snapToGrid w:val="0"/>
        </w:rPr>
      </w:pPr>
      <w:bookmarkStart w:id="42" w:name="_Toc498094118"/>
      <w:r>
        <w:rPr>
          <w:rStyle w:val="CharSectno"/>
        </w:rPr>
        <w:t>53</w:t>
      </w:r>
      <w:r>
        <w:rPr>
          <w:snapToGrid w:val="0"/>
        </w:rPr>
        <w:t>.</w:t>
      </w:r>
      <w:r>
        <w:rPr>
          <w:snapToGrid w:val="0"/>
        </w:rPr>
        <w:tab/>
        <w:t>Doubles other than multiple doubles</w:t>
      </w:r>
      <w:bookmarkEnd w:id="42"/>
    </w:p>
    <w:p>
      <w:pPr>
        <w:pStyle w:val="Subsection"/>
        <w:spacing w:before="180"/>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53 amended in Gazette 24 Jun 1988 p. 2005; 30 Jan 2004 p. 412.]</w:t>
      </w:r>
    </w:p>
    <w:p>
      <w:pPr>
        <w:pStyle w:val="Heading5"/>
        <w:rPr>
          <w:snapToGrid w:val="0"/>
        </w:rPr>
      </w:pPr>
      <w:bookmarkStart w:id="43" w:name="_Toc498094119"/>
      <w:r>
        <w:rPr>
          <w:rStyle w:val="CharSectno"/>
        </w:rPr>
        <w:t>54</w:t>
      </w:r>
      <w:r>
        <w:rPr>
          <w:snapToGrid w:val="0"/>
        </w:rPr>
        <w:t>.</w:t>
      </w:r>
      <w:r>
        <w:rPr>
          <w:snapToGrid w:val="0"/>
        </w:rPr>
        <w:tab/>
        <w:t>Trebles</w:t>
      </w:r>
      <w:bookmarkEnd w:id="43"/>
    </w:p>
    <w:p>
      <w:pPr>
        <w:pStyle w:val="Subsection"/>
        <w:spacing w:before="180"/>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54 amended in Gazette 24 Jun 1988 p. 2005; 30 Jan 2004 p. 412.]</w:t>
      </w:r>
    </w:p>
    <w:p>
      <w:pPr>
        <w:pStyle w:val="Heading5"/>
        <w:spacing w:before="260"/>
        <w:rPr>
          <w:snapToGrid w:val="0"/>
        </w:rPr>
      </w:pPr>
      <w:bookmarkStart w:id="44" w:name="_Toc498094120"/>
      <w:r>
        <w:rPr>
          <w:rStyle w:val="CharSectno"/>
        </w:rPr>
        <w:t>55</w:t>
      </w:r>
      <w:r>
        <w:rPr>
          <w:snapToGrid w:val="0"/>
        </w:rPr>
        <w:t>.</w:t>
      </w:r>
      <w:r>
        <w:rPr>
          <w:snapToGrid w:val="0"/>
        </w:rPr>
        <w:tab/>
        <w:t>All</w:t>
      </w:r>
      <w:r>
        <w:rPr>
          <w:snapToGrid w:val="0"/>
        </w:rPr>
        <w:noBreakHyphen/>
        <w:t>up</w:t>
      </w:r>
      <w:bookmarkEnd w:id="44"/>
    </w:p>
    <w:p>
      <w:pPr>
        <w:pStyle w:val="Subsection"/>
        <w:spacing w:before="20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[Regulation 55 amended in Gazette 24 Jun 1988 p. 2005.]</w:t>
      </w:r>
    </w:p>
    <w:p>
      <w:pPr>
        <w:pStyle w:val="Ednotesection"/>
        <w:keepNext/>
        <w:spacing w:before="180"/>
        <w:ind w:left="890" w:hanging="890"/>
      </w:pPr>
      <w:r>
        <w:t>[</w:t>
      </w:r>
      <w:r>
        <w:rPr>
          <w:rStyle w:val="CharSectno"/>
          <w:b/>
        </w:rPr>
        <w:t>56</w:t>
      </w:r>
      <w:r>
        <w:rPr>
          <w:b/>
        </w:rPr>
        <w:t>.</w:t>
      </w:r>
      <w:r>
        <w:tab/>
        <w:t>Deleted in Gazette 13 Oct 2000 p. 5726.]</w:t>
      </w:r>
    </w:p>
    <w:p>
      <w:pPr>
        <w:pStyle w:val="Heading5"/>
        <w:spacing w:before="260"/>
        <w:rPr>
          <w:snapToGrid w:val="0"/>
        </w:rPr>
      </w:pPr>
      <w:bookmarkStart w:id="45" w:name="_Toc498094121"/>
      <w:r>
        <w:rPr>
          <w:rStyle w:val="CharSectno"/>
        </w:rPr>
        <w:t>57</w:t>
      </w:r>
      <w:r>
        <w:rPr>
          <w:snapToGrid w:val="0"/>
        </w:rPr>
        <w:t>.</w:t>
      </w:r>
      <w:r>
        <w:rPr>
          <w:snapToGrid w:val="0"/>
        </w:rPr>
        <w:tab/>
        <w:t>Stand</w:t>
      </w:r>
      <w:bookmarkEnd w:id="45"/>
    </w:p>
    <w:p>
      <w:pPr>
        <w:pStyle w:val="Subsection"/>
        <w:spacing w:before="20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keepLines w:val="0"/>
        <w:spacing w:before="100"/>
        <w:ind w:left="890" w:hanging="890"/>
      </w:pPr>
      <w:r>
        <w:tab/>
        <w:t>[Regulation 57 amended in Gazette 24 Jun 1988 p. 2005; 10 Jul 1992 p. 3291; 21 Jul 1998 p. 3854.]</w:t>
      </w:r>
    </w:p>
    <w:p>
      <w:pPr>
        <w:pStyle w:val="Heading5"/>
        <w:spacing w:before="260"/>
        <w:rPr>
          <w:snapToGrid w:val="0"/>
        </w:rPr>
      </w:pPr>
      <w:bookmarkStart w:id="46" w:name="_Toc498094122"/>
      <w:r>
        <w:rPr>
          <w:rStyle w:val="CharSectno"/>
        </w:rPr>
        <w:t>58</w:t>
      </w:r>
      <w:r>
        <w:rPr>
          <w:snapToGrid w:val="0"/>
        </w:rPr>
        <w:t>.</w:t>
      </w:r>
      <w:r>
        <w:rPr>
          <w:snapToGrid w:val="0"/>
        </w:rPr>
        <w:tab/>
        <w:t>Use of stand</w:t>
      </w:r>
      <w:bookmarkEnd w:id="46"/>
    </w:p>
    <w:p>
      <w:pPr>
        <w:pStyle w:val="Subsection"/>
        <w:spacing w:before="200"/>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spacing w:before="200"/>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[Regulation 58 amended in Gazette 24 Jun 1988 p. 2005; 10 Jul 1992 p. 3291; 20 Sep 2002 p. 4702.]</w:t>
      </w:r>
    </w:p>
    <w:p>
      <w:pPr>
        <w:pStyle w:val="Heading5"/>
      </w:pPr>
      <w:bookmarkStart w:id="47" w:name="_Toc498094123"/>
      <w:r>
        <w:rPr>
          <w:rStyle w:val="CharSectno"/>
        </w:rPr>
        <w:t>59</w:t>
      </w:r>
      <w:r>
        <w:t>.</w:t>
      </w:r>
      <w:r>
        <w:tab/>
        <w:t>Name of bookmaker to be shown</w:t>
      </w:r>
      <w:bookmarkEnd w:id="47"/>
    </w:p>
    <w:p>
      <w:pPr>
        <w:pStyle w:val="Subsection"/>
      </w:pPr>
      <w:r>
        <w:tab/>
        <w:t>(1)</w:t>
      </w:r>
      <w:r>
        <w:tab/>
        <w:t>A bookmaker shall not carry on business as a bookmaker at a race meeting unless there is displayed on the betting stand of that bookmaker a tablet or sign showing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in Gazette 11 Nov 2003 p. 4673</w:t>
      </w:r>
      <w:r>
        <w:noBreakHyphen/>
        <w:t>4; amended in Gazette 30 Jan 2004 p. 405 and 412.]</w:t>
      </w:r>
    </w:p>
    <w:p>
      <w:pPr>
        <w:pStyle w:val="Heading5"/>
        <w:spacing w:before="240"/>
        <w:rPr>
          <w:snapToGrid w:val="0"/>
        </w:rPr>
      </w:pPr>
      <w:bookmarkStart w:id="48" w:name="_Toc498094124"/>
      <w:r>
        <w:rPr>
          <w:rStyle w:val="CharSectno"/>
        </w:rPr>
        <w:t>60</w:t>
      </w:r>
      <w:r>
        <w:rPr>
          <w:snapToGrid w:val="0"/>
        </w:rPr>
        <w:t>.</w:t>
      </w:r>
      <w:r>
        <w:rPr>
          <w:snapToGrid w:val="0"/>
        </w:rPr>
        <w:tab/>
        <w:t>Betting boards etc. to be approved</w:t>
      </w:r>
      <w:bookmarkEnd w:id="48"/>
    </w:p>
    <w:p>
      <w:pPr>
        <w:pStyle w:val="Subsection"/>
        <w:spacing w:before="180"/>
        <w:rPr>
          <w:snapToGrid w:val="0"/>
        </w:rPr>
      </w:pPr>
      <w:r>
        <w:rPr>
          <w:snapToGrid w:val="0"/>
        </w:rPr>
        <w:tab/>
      </w:r>
      <w:r>
        <w:rPr>
          <w:snapToGrid w:val="0"/>
        </w:rPr>
        <w:tab/>
        <w:t>No bookmaker carrying on business as a bookmaker at a race meeting shall use or display any betting board, tablet or sign, or display the name of that bookmaker or the names of runners, or in the context of a sporting event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[Regulation 60 amended in Gazette 24 Jun 1988 p. 2005; 10 Jul 1992 p. 3291; 21 Jul 1998 p. 3856.]</w:t>
      </w:r>
    </w:p>
    <w:p>
      <w:pPr>
        <w:pStyle w:val="Heading5"/>
        <w:spacing w:before="240"/>
        <w:rPr>
          <w:snapToGrid w:val="0"/>
        </w:rPr>
      </w:pPr>
      <w:bookmarkStart w:id="49" w:name="_Toc498094125"/>
      <w:r>
        <w:rPr>
          <w:rStyle w:val="CharSectno"/>
        </w:rPr>
        <w:t>61</w:t>
      </w:r>
      <w:r>
        <w:rPr>
          <w:snapToGrid w:val="0"/>
        </w:rPr>
        <w:t>.</w:t>
      </w:r>
      <w:r>
        <w:rPr>
          <w:snapToGrid w:val="0"/>
        </w:rPr>
        <w:tab/>
        <w:t>Betting boards</w:t>
      </w:r>
      <w:bookmarkEnd w:id="49"/>
    </w:p>
    <w:p>
      <w:pPr>
        <w:pStyle w:val="Subsection"/>
        <w:rPr>
          <w:snapToGrid w:val="0"/>
        </w:rPr>
      </w:pPr>
      <w:r>
        <w:rPr>
          <w:snapToGrid w:val="0"/>
        </w:rPr>
        <w:tab/>
        <w:t>(1)</w:t>
      </w:r>
      <w:r>
        <w:rPr>
          <w:snapToGrid w:val="0"/>
        </w:rPr>
        <w:tab/>
        <w:t>A licensed bookmaker who carries on business as a bookmaker at a race meeting shall display a betting board on which is listed the names of the runners in each race in the same order as they appear in the official race book published for that race meeting or in the context of a sporting event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[Regulation 61 amended in Gazette 24 Jun 1988 p. 2005; 10 Jul 1992 p. 3292; 21 Jul 1998 p. 3855 and 3856; 20 Sep 2002 p. 4703; 30 Jan 2004 p. 405.]</w:t>
      </w:r>
    </w:p>
    <w:p>
      <w:pPr>
        <w:pStyle w:val="Heading5"/>
        <w:rPr>
          <w:snapToGrid w:val="0"/>
        </w:rPr>
      </w:pPr>
      <w:bookmarkStart w:id="50" w:name="_Toc498094126"/>
      <w:r>
        <w:rPr>
          <w:rStyle w:val="CharSectno"/>
        </w:rPr>
        <w:t>62</w:t>
      </w:r>
      <w:r>
        <w:rPr>
          <w:snapToGrid w:val="0"/>
        </w:rPr>
        <w:t>.</w:t>
      </w:r>
      <w:r>
        <w:rPr>
          <w:snapToGrid w:val="0"/>
        </w:rPr>
        <w:tab/>
        <w:t>Omissions from betting board etc.</w:t>
      </w:r>
      <w:bookmarkEnd w:id="50"/>
    </w:p>
    <w:p>
      <w:pPr>
        <w:pStyle w:val="Subsection"/>
        <w:keepNext/>
        <w:rPr>
          <w:snapToGrid w:val="0"/>
        </w:rPr>
      </w:pPr>
      <w:r>
        <w:rPr>
          <w:snapToGrid w:val="0"/>
        </w:rPr>
        <w:tab/>
        <w:t>(1)</w:t>
      </w:r>
      <w:r>
        <w:rPr>
          <w:snapToGrid w:val="0"/>
        </w:rPr>
        <w:tab/>
      </w:r>
      <w:r>
        <w:t>A bookmaker or a manager of a bookmaker who</w:t>
      </w:r>
      <w:r>
        <w:rPr>
          <w:snapToGrid w:val="0"/>
        </w:rPr>
        <w:t>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No bookmaker shall bet or offer to bet on any runner, or in the context of a sporting event any competitor or contingency, which is not at that time included in the official list.</w:t>
      </w:r>
    </w:p>
    <w:p>
      <w:pPr>
        <w:pStyle w:val="Footnotesection"/>
      </w:pPr>
      <w:r>
        <w:tab/>
        <w:t>[Regulation 62 amended in Gazette 10 Jul 1992 p. 3292; 21 Jul 1998 p. 3855; 20 Sep 2002 p. 4703.]</w:t>
      </w:r>
    </w:p>
    <w:p>
      <w:pPr>
        <w:pStyle w:val="Heading5"/>
        <w:rPr>
          <w:snapToGrid w:val="0"/>
        </w:rPr>
      </w:pPr>
      <w:bookmarkStart w:id="51" w:name="_Toc498094127"/>
      <w:r>
        <w:rPr>
          <w:rStyle w:val="CharSectno"/>
        </w:rPr>
        <w:t>63</w:t>
      </w:r>
      <w:r>
        <w:rPr>
          <w:snapToGrid w:val="0"/>
        </w:rPr>
        <w:t>.</w:t>
      </w:r>
      <w:r>
        <w:rPr>
          <w:snapToGrid w:val="0"/>
        </w:rPr>
        <w:tab/>
        <w:t>Bets with domestic betting operators and totalisators</w:t>
      </w:r>
      <w:bookmarkEnd w:id="51"/>
    </w:p>
    <w:p>
      <w:pPr>
        <w:pStyle w:val="Subsection"/>
      </w:pPr>
      <w:r>
        <w:tab/>
        <w:t>(1A)</w:t>
      </w:r>
      <w:r>
        <w:tab/>
        <w:t xml:space="preserve">In this regulation — </w:t>
      </w:r>
    </w:p>
    <w:p>
      <w:pPr>
        <w:pStyle w:val="Defstart"/>
      </w:pPr>
      <w:r>
        <w:tab/>
      </w:r>
      <w:r>
        <w:rPr>
          <w:rStyle w:val="CharDefText"/>
        </w:rPr>
        <w:t>totalisator</w:t>
      </w:r>
      <w:r>
        <w:t xml:space="preserve"> includes a totalisator (however described) operated in another State or a Territory.</w:t>
      </w:r>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 (3)</w:t>
      </w:r>
      <w:r>
        <w:tab/>
        <w:t>deleted]</w:t>
      </w:r>
    </w:p>
    <w:p>
      <w:pPr>
        <w:pStyle w:val="Subsection"/>
        <w:spacing w:before="180"/>
        <w:rPr>
          <w:snapToGrid w:val="0"/>
        </w:rPr>
      </w:pPr>
      <w:r>
        <w:rPr>
          <w:snapToGrid w:val="0"/>
        </w:rPr>
        <w:tab/>
        <w:t>(4)</w:t>
      </w:r>
      <w:r>
        <w:rPr>
          <w:snapToGrid w:val="0"/>
        </w:rPr>
        <w:tab/>
        <w:t>Where a bet is made by or on behalf of a bookmaker with</w:t>
      </w:r>
      <w:r>
        <w:t xml:space="preserve"> a domestic betting operator —</w:t>
      </w:r>
    </w:p>
    <w:p>
      <w:pPr>
        <w:pStyle w:val="Indenta"/>
        <w:rPr>
          <w:snapToGrid w:val="0"/>
        </w:rPr>
      </w:pPr>
      <w:r>
        <w:rPr>
          <w:snapToGrid w:val="0"/>
        </w:rPr>
        <w:tab/>
        <w:t>(a)</w:t>
      </w:r>
      <w:r>
        <w:rPr>
          <w:snapToGrid w:val="0"/>
        </w:rPr>
        <w:tab/>
      </w:r>
      <w:r>
        <w:t>if the domestic betting operator is another bookmaker, the bookmaker receiving</w:t>
      </w:r>
      <w:r>
        <w:rPr>
          <w:snapToGrid w:val="0"/>
        </w:rPr>
        <w:t xml:space="preserve"> the bet shall record the name of the bookmaker making the bet, or on whose behalf the bet is made, alongside the record of the bet whether or not the bet is made in cash; and</w:t>
      </w:r>
    </w:p>
    <w:p>
      <w:pPr>
        <w:pStyle w:val="Indenta"/>
      </w:pPr>
      <w:r>
        <w:tab/>
        <w:t>(b)</w:t>
      </w:r>
      <w:r>
        <w:tab/>
        <w:t>if the bet is a bet back, the bookmaker who makes the bet or on whose behalf the bet is made shall record —</w:t>
      </w:r>
    </w:p>
    <w:p>
      <w:pPr>
        <w:pStyle w:val="Indenti"/>
      </w:pPr>
      <w:r>
        <w:tab/>
        <w:t>(i)</w:t>
      </w:r>
      <w:r>
        <w:tab/>
        <w:t>the details of the bet; and</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 xml:space="preserve">Where a bet by way of </w:t>
      </w:r>
      <w:r>
        <w:t>a bet back is</w:t>
      </w:r>
      <w:r>
        <w:rPr>
          <w:snapToGrid w:val="0"/>
        </w:rPr>
        <w:t xml:space="preserve"> made by a bookmaker or by any person on behalf of a bookmaker on any totalisator, the bookmaker who makes the bet or on whose behalf the bet is made shall record the transaction as </w:t>
      </w:r>
      <w:r>
        <w:t>a bet back on</w:t>
      </w:r>
      <w:r>
        <w:rPr>
          <w:snapToGrid w:val="0"/>
        </w:rPr>
        <w:t xml:space="preserve"> the totalisator and shall retain the totalisator ticket or tickets of all losing bets for a period of one month.</w:t>
      </w:r>
    </w:p>
    <w:p>
      <w:pPr>
        <w:pStyle w:val="Subsection"/>
      </w:pPr>
      <w:r>
        <w:tab/>
        <w:t>(6)</w:t>
      </w:r>
      <w:r>
        <w:tab/>
        <w:t xml:space="preserve">A bookmaker who makes a bet back, or on whose behalf a bet back is made, with a domestic betting operator or a totalisator is not permitted to deduct the amount of the bet back from the total of the bets the bookmaker has received — </w:t>
      </w:r>
    </w:p>
    <w:p>
      <w:pPr>
        <w:pStyle w:val="Indenta"/>
      </w:pPr>
      <w:r>
        <w:tab/>
        <w:t>(a)</w:t>
      </w:r>
      <w:r>
        <w:tab/>
        <w:t>for the race, race meeting or sporting event to which the bet relates; or</w:t>
      </w:r>
    </w:p>
    <w:p>
      <w:pPr>
        <w:pStyle w:val="Indenta"/>
      </w:pPr>
      <w:r>
        <w:tab/>
        <w:t>(b)</w:t>
      </w:r>
      <w:r>
        <w:tab/>
        <w:t>for any other races, race meetings or sporting events in relation to which the bookmaker has accepted bets.</w:t>
      </w:r>
    </w:p>
    <w:p>
      <w:pPr>
        <w:pStyle w:val="Footnotesection"/>
      </w:pPr>
      <w:r>
        <w:tab/>
        <w:t>[Regulation 63 amended in Gazette 24 Jun 1988 p. 2005; 10 Jul 1992 p. 3293; 21 Jul 1998 p. 3855 and 3856; 17 Dec 2002 p. 5924; 14 Jun 2013 p. 2241-2.]</w:t>
      </w:r>
    </w:p>
    <w:p>
      <w:pPr>
        <w:pStyle w:val="Heading5"/>
      </w:pPr>
      <w:bookmarkStart w:id="52" w:name="_Toc498094128"/>
      <w:r>
        <w:rPr>
          <w:rStyle w:val="CharSectno"/>
        </w:rPr>
        <w:t>64</w:t>
      </w:r>
      <w:r>
        <w:t>.</w:t>
      </w:r>
      <w:r>
        <w:tab/>
        <w:t>Bet back by means of a betting exchange</w:t>
      </w:r>
      <w:bookmarkEnd w:id="52"/>
    </w:p>
    <w:p>
      <w:pPr>
        <w:pStyle w:val="Subsection"/>
      </w:pPr>
      <w:r>
        <w:tab/>
        <w:t>(1)</w:t>
      </w:r>
      <w:r>
        <w:tab/>
        <w:t>This regulation applies if a bet back is made by means of a betting exchange.</w:t>
      </w:r>
    </w:p>
    <w:p>
      <w:pPr>
        <w:pStyle w:val="Subsection"/>
      </w:pPr>
      <w:r>
        <w:tab/>
        <w:t>(2)</w:t>
      </w:r>
      <w:r>
        <w:tab/>
        <w:t xml:space="preserve">The bookmaker who makes the bet back, or on whose behalf the bet back is made, must record — </w:t>
      </w:r>
    </w:p>
    <w:p>
      <w:pPr>
        <w:pStyle w:val="Indenta"/>
      </w:pPr>
      <w:r>
        <w:tab/>
        <w:t>(a)</w:t>
      </w:r>
      <w:r>
        <w:tab/>
        <w:t>the details of the bet; and</w:t>
      </w:r>
    </w:p>
    <w:p>
      <w:pPr>
        <w:pStyle w:val="Indenta"/>
      </w:pPr>
      <w:r>
        <w:tab/>
        <w:t>(b)</w:t>
      </w:r>
      <w:r>
        <w:tab/>
        <w:t>the bet as a bet back; and</w:t>
      </w:r>
    </w:p>
    <w:p>
      <w:pPr>
        <w:pStyle w:val="Indenta"/>
      </w:pPr>
      <w:r>
        <w:tab/>
        <w:t>(c)</w:t>
      </w:r>
      <w:r>
        <w:tab/>
        <w:t>the number of the betting ticket.</w:t>
      </w:r>
    </w:p>
    <w:p>
      <w:pPr>
        <w:pStyle w:val="Subsection"/>
      </w:pPr>
      <w:r>
        <w:tab/>
        <w:t>(3)</w:t>
      </w:r>
      <w:r>
        <w:tab/>
        <w:t xml:space="preserve">The bookmaker who makes the bet back, or on whose behalf the bet back is made, is not permitted to deduct the amount of the bet back from the total of the bets the bookmaker has received — </w:t>
      </w:r>
    </w:p>
    <w:p>
      <w:pPr>
        <w:pStyle w:val="Indenta"/>
        <w:spacing w:before="60"/>
      </w:pPr>
      <w:r>
        <w:tab/>
        <w:t>(a)</w:t>
      </w:r>
      <w:r>
        <w:tab/>
        <w:t>for the race, race meeting or sporting event to which the bet relates; or</w:t>
      </w:r>
    </w:p>
    <w:p>
      <w:pPr>
        <w:pStyle w:val="Indenta"/>
        <w:spacing w:before="60"/>
      </w:pPr>
      <w:r>
        <w:tab/>
        <w:t>(b)</w:t>
      </w:r>
      <w:r>
        <w:tab/>
        <w:t>for any other races, race meetings or sporting events in relation to which the bookmaker has accepted bets.</w:t>
      </w:r>
    </w:p>
    <w:p>
      <w:pPr>
        <w:pStyle w:val="Footnotesection"/>
        <w:spacing w:before="100"/>
      </w:pPr>
      <w:r>
        <w:tab/>
        <w:t>[Regulation 64 inserted in Gazette 14 Jun 2013 p. 2242-3.]</w:t>
      </w:r>
    </w:p>
    <w:p>
      <w:pPr>
        <w:pStyle w:val="Ednotesection"/>
        <w:spacing w:before="200"/>
      </w:pPr>
      <w:r>
        <w:t>[</w:t>
      </w:r>
      <w:r>
        <w:rPr>
          <w:b/>
        </w:rPr>
        <w:t>65.</w:t>
      </w:r>
      <w:r>
        <w:tab/>
        <w:t>Deleted in Gazette 13 Oct 2000 p. 5726.]</w:t>
      </w:r>
    </w:p>
    <w:p>
      <w:pPr>
        <w:pStyle w:val="Ednotesection"/>
        <w:spacing w:before="200"/>
      </w:pPr>
      <w:r>
        <w:t>[</w:t>
      </w:r>
      <w:r>
        <w:rPr>
          <w:b/>
        </w:rPr>
        <w:t>66</w:t>
      </w:r>
      <w:r>
        <w:rPr>
          <w:b/>
        </w:rPr>
        <w:noBreakHyphen/>
        <w:t>67.</w:t>
      </w:r>
      <w:r>
        <w:rPr>
          <w:b/>
        </w:rPr>
        <w:tab/>
      </w:r>
      <w:r>
        <w:t>Deleted in Gazette 10 Jul 1992 p. 3293.]</w:t>
      </w:r>
    </w:p>
    <w:p>
      <w:pPr>
        <w:pStyle w:val="Heading5"/>
        <w:spacing w:before="200"/>
        <w:rPr>
          <w:snapToGrid w:val="0"/>
        </w:rPr>
      </w:pPr>
      <w:bookmarkStart w:id="53" w:name="_Toc498094129"/>
      <w:r>
        <w:rPr>
          <w:rStyle w:val="CharSectno"/>
        </w:rPr>
        <w:t>68</w:t>
      </w:r>
      <w:r>
        <w:rPr>
          <w:snapToGrid w:val="0"/>
        </w:rPr>
        <w:t>.</w:t>
      </w:r>
      <w:r>
        <w:rPr>
          <w:snapToGrid w:val="0"/>
        </w:rPr>
        <w:tab/>
        <w:t xml:space="preserve">Cooperation with </w:t>
      </w:r>
      <w:r>
        <w:t>Commission</w:t>
      </w:r>
      <w:r>
        <w:rPr>
          <w:snapToGrid w:val="0"/>
        </w:rPr>
        <w:t xml:space="preserve"> in matters relating to betting disputes</w:t>
      </w:r>
      <w:bookmarkEnd w:id="53"/>
    </w:p>
    <w:p>
      <w:pPr>
        <w:pStyle w:val="Subsection"/>
        <w:spacing w:before="140"/>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spacing w:before="100"/>
      </w:pPr>
      <w:r>
        <w:tab/>
        <w:t>[Regulation 68 amended in Gazette 30 Jan 2004 p. 405; 1 Jul 2004 p. 2625.]</w:t>
      </w:r>
    </w:p>
    <w:p>
      <w:pPr>
        <w:pStyle w:val="Ednotesection"/>
        <w:spacing w:before="200"/>
      </w:pPr>
      <w:r>
        <w:t>[</w:t>
      </w:r>
      <w:r>
        <w:rPr>
          <w:b/>
        </w:rPr>
        <w:t>69.</w:t>
      </w:r>
      <w:r>
        <w:tab/>
        <w:t>Deleted in Gazette 21 Jul 1998 p. 3854.]</w:t>
      </w:r>
    </w:p>
    <w:p>
      <w:pPr>
        <w:pStyle w:val="Ednotesection"/>
        <w:spacing w:before="200"/>
      </w:pPr>
      <w:r>
        <w:t>[</w:t>
      </w:r>
      <w:r>
        <w:rPr>
          <w:b/>
        </w:rPr>
        <w:t>70.</w:t>
      </w:r>
      <w:r>
        <w:tab/>
        <w:t>Deleted in Gazette 21 Jul 2006 p. 2673.]</w:t>
      </w:r>
    </w:p>
    <w:p>
      <w:pPr>
        <w:pStyle w:val="Heading5"/>
        <w:spacing w:before="200"/>
        <w:rPr>
          <w:snapToGrid w:val="0"/>
        </w:rPr>
      </w:pPr>
      <w:bookmarkStart w:id="54" w:name="_Toc498094130"/>
      <w:r>
        <w:rPr>
          <w:rStyle w:val="CharSectno"/>
        </w:rPr>
        <w:t>71</w:t>
      </w:r>
      <w:r>
        <w:rPr>
          <w:snapToGrid w:val="0"/>
        </w:rPr>
        <w:t>.</w:t>
      </w:r>
      <w:r>
        <w:rPr>
          <w:snapToGrid w:val="0"/>
        </w:rPr>
        <w:tab/>
        <w:t>Telephone betting on sporting events</w:t>
      </w:r>
      <w:bookmarkEnd w:id="54"/>
    </w:p>
    <w:p>
      <w:pPr>
        <w:pStyle w:val="Subsection"/>
        <w:spacing w:before="140"/>
        <w:rPr>
          <w:snapToGrid w:val="0"/>
        </w:rPr>
      </w:pPr>
      <w:r>
        <w:rPr>
          <w:snapToGrid w:val="0"/>
        </w:rPr>
        <w:tab/>
        <w:t>(1)</w:t>
      </w:r>
      <w:r>
        <w:rPr>
          <w:snapToGrid w:val="0"/>
        </w:rPr>
        <w:tab/>
        <w:t>When betting on a sporting event, or a contingency, is approved under section 4B a licensee who is so authorised by endorsement on the licence may carry on business as a bookmaker by means of on</w:t>
      </w:r>
      <w:r>
        <w:rPr>
          <w:snapToGrid w:val="0"/>
        </w:rPr>
        <w:noBreakHyphen/>
        <w:t>course telephone betting in relation to that sporting event or contingency —</w:t>
      </w:r>
    </w:p>
    <w:p>
      <w:pPr>
        <w:pStyle w:val="Indenta"/>
        <w:spacing w:before="60"/>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spacing w:before="60"/>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w:t>
      </w:r>
    </w:p>
    <w:p>
      <w:pPr>
        <w:pStyle w:val="Indenta"/>
        <w:spacing w:before="60"/>
        <w:rPr>
          <w:snapToGrid w:val="0"/>
        </w:rPr>
      </w:pPr>
      <w:r>
        <w:rPr>
          <w:snapToGrid w:val="0"/>
        </w:rPr>
        <w:tab/>
        <w:t>(a)</w:t>
      </w:r>
      <w:r>
        <w:rPr>
          <w:snapToGrid w:val="0"/>
        </w:rPr>
        <w:tab/>
        <w:t>the telephone system to be used shall be of a type approved by the Commission; and</w:t>
      </w:r>
    </w:p>
    <w:p>
      <w:pPr>
        <w:pStyle w:val="Indenta"/>
        <w:spacing w:before="60"/>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spacing w:before="60"/>
        <w:rPr>
          <w:snapToGrid w:val="0"/>
        </w:rPr>
      </w:pPr>
      <w:r>
        <w:rPr>
          <w:snapToGrid w:val="0"/>
        </w:rPr>
        <w:tab/>
        <w:t>(c)</w:t>
      </w:r>
      <w:r>
        <w:rPr>
          <w:snapToGrid w:val="0"/>
        </w:rPr>
        <w:tab/>
        <w:t>consent to the voice logging of the betting transactions is to be obtained from all telephone bettors; and</w:t>
      </w:r>
    </w:p>
    <w:p>
      <w:pPr>
        <w:pStyle w:val="Indenta"/>
        <w:spacing w:before="60"/>
        <w:rPr>
          <w:snapToGrid w:val="0"/>
        </w:rPr>
      </w:pPr>
      <w:r>
        <w:rPr>
          <w:snapToGrid w:val="0"/>
        </w:rPr>
        <w:tab/>
        <w:t>(d)</w:t>
      </w:r>
      <w:r>
        <w:rPr>
          <w:snapToGrid w:val="0"/>
        </w:rPr>
        <w:tab/>
        <w:t>all betting transactions by telephone shall be recorded through the voice logging equipment; and</w:t>
      </w:r>
    </w:p>
    <w:p>
      <w:pPr>
        <w:pStyle w:val="Indenta"/>
        <w:keepNext/>
        <w:keepLines/>
        <w:spacing w:before="60"/>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keepNext/>
        <w:keepLines/>
        <w:spacing w:before="60"/>
        <w:rPr>
          <w:snapToGrid w:val="0"/>
        </w:rPr>
      </w:pPr>
      <w:r>
        <w:rPr>
          <w:snapToGrid w:val="0"/>
        </w:rPr>
        <w:tab/>
        <w:t>(f)</w:t>
      </w:r>
      <w:r>
        <w:rPr>
          <w:snapToGrid w:val="0"/>
        </w:rPr>
        <w:tab/>
        <w:t>tapes, when used to record betting transactions, shall —</w:t>
      </w:r>
    </w:p>
    <w:p>
      <w:pPr>
        <w:pStyle w:val="Indenti"/>
        <w:spacing w:before="60"/>
        <w:rPr>
          <w:snapToGrid w:val="0"/>
        </w:rPr>
      </w:pPr>
      <w:r>
        <w:rPr>
          <w:snapToGrid w:val="0"/>
        </w:rPr>
        <w:tab/>
        <w:t>(i)</w:t>
      </w:r>
      <w:r>
        <w:rPr>
          <w:snapToGrid w:val="0"/>
        </w:rPr>
        <w:tab/>
        <w:t>be held and distributed by stewards; and</w:t>
      </w:r>
    </w:p>
    <w:p>
      <w:pPr>
        <w:pStyle w:val="Indenti"/>
        <w:spacing w:before="60"/>
        <w:rPr>
          <w:snapToGrid w:val="0"/>
        </w:rPr>
      </w:pPr>
      <w:r>
        <w:rPr>
          <w:snapToGrid w:val="0"/>
        </w:rPr>
        <w:tab/>
        <w:t>(ii)</w:t>
      </w:r>
      <w:r>
        <w:rPr>
          <w:snapToGrid w:val="0"/>
        </w:rPr>
        <w:tab/>
        <w:t>at the end of each race meeting, be collected by the Betting Steward, together with the duplicate sports betting sheets; and</w:t>
      </w:r>
    </w:p>
    <w:p>
      <w:pPr>
        <w:pStyle w:val="Indenti"/>
        <w:spacing w:before="60"/>
        <w:rPr>
          <w:snapToGrid w:val="0"/>
        </w:rPr>
      </w:pPr>
      <w:r>
        <w:rPr>
          <w:snapToGrid w:val="0"/>
        </w:rPr>
        <w:tab/>
        <w:t>(iii)</w:t>
      </w:r>
      <w:r>
        <w:rPr>
          <w:snapToGrid w:val="0"/>
        </w:rPr>
        <w:tab/>
        <w:t>be maintained as betting records for inspection or audit by any authorised person;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[Regulation 71 inserted in Gazette 31 Aug 1993 p. 4677; amended in Gazette 24 Dec 1993 p. 6839; 21 Jul 1998 p. 3854; 20 Sep 2002 p. 4703; 30 Jan 2004 p. 412.]</w:t>
      </w:r>
    </w:p>
    <w:p>
      <w:pPr>
        <w:pStyle w:val="Heading5"/>
        <w:rPr>
          <w:snapToGrid w:val="0"/>
        </w:rPr>
      </w:pPr>
      <w:bookmarkStart w:id="55" w:name="_Toc498094131"/>
      <w:r>
        <w:rPr>
          <w:rStyle w:val="CharSectno"/>
        </w:rPr>
        <w:t>72</w:t>
      </w:r>
      <w:r>
        <w:rPr>
          <w:snapToGrid w:val="0"/>
        </w:rPr>
        <w:t>.</w:t>
      </w:r>
      <w:r>
        <w:rPr>
          <w:snapToGrid w:val="0"/>
        </w:rPr>
        <w:tab/>
        <w:t>Telephone betting on racing</w:t>
      </w:r>
      <w:bookmarkEnd w:id="55"/>
    </w:p>
    <w:p>
      <w:pPr>
        <w:pStyle w:val="Subsection"/>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keepNext/>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w:t>
      </w:r>
    </w:p>
    <w:p>
      <w:pPr>
        <w:pStyle w:val="Indenta"/>
        <w:rPr>
          <w:snapToGrid w:val="0"/>
        </w:rPr>
      </w:pPr>
      <w:r>
        <w:rPr>
          <w:snapToGrid w:val="0"/>
        </w:rPr>
        <w:tab/>
        <w:t>(a)</w:t>
      </w:r>
      <w:r>
        <w:rPr>
          <w:snapToGrid w:val="0"/>
        </w:rPr>
        <w:tab/>
        <w:t>the telephone system to be used shall be of a type approved by the Commission; and</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rPr>
          <w:snapToGrid w:val="0"/>
        </w:rPr>
      </w:pPr>
      <w:r>
        <w:rPr>
          <w:snapToGrid w:val="0"/>
        </w:rPr>
        <w:tab/>
        <w:t>(c)</w:t>
      </w:r>
      <w:r>
        <w:rPr>
          <w:snapToGrid w:val="0"/>
        </w:rPr>
        <w:tab/>
        <w:t>consent to the voice logging of the betting transactions is to be obtained from all telephone bettors; and</w:t>
      </w:r>
    </w:p>
    <w:p>
      <w:pPr>
        <w:pStyle w:val="Indenta"/>
        <w:rPr>
          <w:snapToGrid w:val="0"/>
        </w:rPr>
      </w:pPr>
      <w:r>
        <w:rPr>
          <w:snapToGrid w:val="0"/>
        </w:rPr>
        <w:tab/>
        <w:t>(d)</w:t>
      </w:r>
      <w:r>
        <w:rPr>
          <w:snapToGrid w:val="0"/>
        </w:rPr>
        <w:tab/>
        <w:t>all betting transactions by telephone shall be recorded through the voice logging equipment; and</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 and</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in Gazette 24 Dec 1993 p. 6839</w:t>
      </w:r>
      <w:r>
        <w:noBreakHyphen/>
        <w:t>40; amended in Gazette 24 Jun 1997 p. 3014; 21 Jul 1998 p. 3854 and 3855; 13 Oct 2000 p. 5727; 20 Sep 2002 p. 4703; 25 Mar 2003 p. 921</w:t>
      </w:r>
      <w:r>
        <w:noBreakHyphen/>
        <w:t>2; 20 Jun 2003 p. 2250; 30 Jan 2004 p. 412; 1 Jul 2004 p. 2625</w:t>
      </w:r>
      <w:r>
        <w:noBreakHyphen/>
        <w:t>6.]</w:t>
      </w:r>
    </w:p>
    <w:p>
      <w:pPr>
        <w:pStyle w:val="Heading5"/>
        <w:pageBreakBefore/>
        <w:spacing w:before="120"/>
      </w:pPr>
      <w:bookmarkStart w:id="56" w:name="_Toc498094132"/>
      <w:r>
        <w:rPr>
          <w:rStyle w:val="CharSectno"/>
        </w:rPr>
        <w:t>73</w:t>
      </w:r>
      <w:r>
        <w:t>.</w:t>
      </w:r>
      <w:r>
        <w:tab/>
        <w:t>Credit betting other than by telephone</w:t>
      </w:r>
      <w:bookmarkEnd w:id="56"/>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w:t>
      </w:r>
    </w:p>
    <w:p>
      <w:pPr>
        <w:pStyle w:val="PermNoteHeading"/>
      </w:pPr>
      <w:r>
        <w:tab/>
        <w:t>Note:</w:t>
      </w:r>
    </w:p>
    <w:p>
      <w:pPr>
        <w:pStyle w:val="PermNoteText"/>
      </w:pPr>
      <w:r>
        <w:tab/>
      </w:r>
      <w:r>
        <w:tab/>
        <w:t>The requirement to write and deliver to the bettor a betting ticket does not apply to bets made by telephone in accordance with the regulations, see section 31(1)(b)(iii) of the Act.</w:t>
      </w:r>
    </w:p>
    <w:p>
      <w:pPr>
        <w:pStyle w:val="Footnotesection"/>
      </w:pPr>
      <w:r>
        <w:tab/>
        <w:t>[Regulation 73 inserted in Gazette 21 Jul 1998 p. 3854; amended in Gazette 17 Dec 2002 p. 5924; 14 Jun 2013 p. 2243.]</w:t>
      </w:r>
    </w:p>
    <w:p>
      <w:pPr>
        <w:pStyle w:val="Heading5"/>
      </w:pPr>
      <w:bookmarkStart w:id="57" w:name="_Toc498094133"/>
      <w:r>
        <w:rPr>
          <w:rStyle w:val="CharSectno"/>
        </w:rPr>
        <w:t>74</w:t>
      </w:r>
      <w:r>
        <w:t>.</w:t>
      </w:r>
      <w:r>
        <w:tab/>
        <w:t>Internet betting (sporting events)</w:t>
      </w:r>
      <w:bookmarkEnd w:id="57"/>
    </w:p>
    <w:p>
      <w:pPr>
        <w:pStyle w:val="Subsection"/>
      </w:pPr>
      <w:r>
        <w:tab/>
      </w:r>
      <w:r>
        <w:tab/>
        <w:t>When betting on a sporting event, or a contingency, is approved under section 4B a licensee who is so authorised by endorsement on the licence may carry on business as a bookmaker by means of on</w:t>
      </w:r>
      <w:r>
        <w:noBreakHyphen/>
        <w:t>course internet betting, in relation to that sporting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spacing w:before="120"/>
      </w:pPr>
      <w:r>
        <w:tab/>
      </w:r>
      <w:r>
        <w:tab/>
        <w:t>and not otherwise.</w:t>
      </w:r>
    </w:p>
    <w:p>
      <w:pPr>
        <w:pStyle w:val="Footnotesection"/>
        <w:keepLines w:val="0"/>
      </w:pPr>
      <w:r>
        <w:tab/>
        <w:t>[Regulation 74 inserted in Gazette 26 Nov 1999 p. 5909; amended in Gazette 30 Jan 2004 p. 412.]</w:t>
      </w:r>
    </w:p>
    <w:p>
      <w:pPr>
        <w:pStyle w:val="Heading5"/>
      </w:pPr>
      <w:bookmarkStart w:id="58" w:name="_Toc498094134"/>
      <w:r>
        <w:rPr>
          <w:rStyle w:val="CharSectno"/>
        </w:rPr>
        <w:t>75</w:t>
      </w:r>
      <w:r>
        <w:t>.</w:t>
      </w:r>
      <w:r>
        <w:tab/>
        <w:t>Internet betting (racing)</w:t>
      </w:r>
      <w:bookmarkEnd w:id="58"/>
    </w:p>
    <w:p>
      <w:pPr>
        <w:pStyle w:val="Subsection"/>
        <w:keepNext/>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if the committee or other authority controlling the racecourse so permits;</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in Gazette 26 Nov 1999 p. 5909</w:t>
      </w:r>
      <w:r>
        <w:noBreakHyphen/>
        <w:t>10; amended in Gazette 20 Sep 2002 p. 4703</w:t>
      </w:r>
      <w:r>
        <w:noBreakHyphen/>
        <w:t>4; 25 Mar 2003 p. 922; 20 Jun 2003 p. 225; 30 Jan 2004 p. 412; 1 Jul 2004 p. 2626.]</w:t>
      </w:r>
    </w:p>
    <w:p>
      <w:pPr>
        <w:pStyle w:val="Heading5"/>
      </w:pPr>
      <w:bookmarkStart w:id="59" w:name="_Toc498094135"/>
      <w:r>
        <w:rPr>
          <w:rStyle w:val="CharSectno"/>
        </w:rPr>
        <w:t>76</w:t>
      </w:r>
      <w:r>
        <w:t>.</w:t>
      </w:r>
      <w:r>
        <w:tab/>
        <w:t>Procedures for internet betting</w:t>
      </w:r>
      <w:bookmarkEnd w:id="59"/>
    </w:p>
    <w:p>
      <w:pPr>
        <w:pStyle w:val="Subsection"/>
      </w:pPr>
      <w:r>
        <w:tab/>
        <w:t>(1)</w:t>
      </w:r>
      <w:r>
        <w:tab/>
        <w:t xml:space="preserve">For the purposes of regulations 74 and 75 the </w:t>
      </w:r>
      <w:r>
        <w:rPr>
          <w:snapToGrid w:val="0"/>
        </w:rPr>
        <w:t>Commission</w:t>
      </w:r>
      <w:r>
        <w:t xml:space="preserve"> has established the following procedures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keepNext/>
        <w:keepLines/>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notwithstanding section 31(1)(b)(iii), is to be delivered (or not delivered) in a manner,</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 and, for the purposes of section 15, included in the returns to be delivered under the Act.</w:t>
      </w:r>
    </w:p>
    <w:p>
      <w:pPr>
        <w:pStyle w:val="Footnotesection"/>
      </w:pPr>
      <w:r>
        <w:tab/>
        <w:t>[Regulation 76 inserted in Gazette 26 Nov 1999 p. 5910; amended in Gazette 30 Jan 2004 p. 406 and 412.]</w:t>
      </w:r>
    </w:p>
    <w:p>
      <w:pPr>
        <w:pStyle w:val="Heading5"/>
      </w:pPr>
      <w:bookmarkStart w:id="60" w:name="_Toc498094136"/>
      <w:r>
        <w:rPr>
          <w:rStyle w:val="CharSectno"/>
        </w:rPr>
        <w:t>77</w:t>
      </w:r>
      <w:r>
        <w:t>.</w:t>
      </w:r>
      <w:r>
        <w:tab/>
        <w:t>Form of search warrant</w:t>
      </w:r>
      <w:bookmarkEnd w:id="60"/>
    </w:p>
    <w:p>
      <w:pPr>
        <w:pStyle w:val="Subsection"/>
      </w:pPr>
      <w:r>
        <w:tab/>
      </w:r>
      <w:r>
        <w:tab/>
        <w:t>A search warrant for the purposes of section 28A of the Act is to be in the form of Form 1 in Schedule 1.</w:t>
      </w:r>
    </w:p>
    <w:p>
      <w:pPr>
        <w:pStyle w:val="Footnotesection"/>
      </w:pPr>
      <w:r>
        <w:tab/>
        <w:t>[Regulation 77 inserted in Gazette 30 Jan 2004 p. 406.]</w:t>
      </w:r>
    </w:p>
    <w:p>
      <w:pPr>
        <w:pStyle w:val="Heading2"/>
      </w:pPr>
      <w:bookmarkStart w:id="61" w:name="_Toc498093810"/>
      <w:bookmarkStart w:id="62" w:name="_Toc498094137"/>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61"/>
      <w:bookmarkEnd w:id="62"/>
    </w:p>
    <w:p>
      <w:pPr>
        <w:pStyle w:val="Footnoteheading"/>
      </w:pPr>
      <w:r>
        <w:tab/>
        <w:t>[Heading inserted in Gazette 21 Jul 2006 p. 2673.]</w:t>
      </w:r>
    </w:p>
    <w:p>
      <w:pPr>
        <w:pStyle w:val="Heading3"/>
      </w:pPr>
      <w:bookmarkStart w:id="63" w:name="_Toc498093811"/>
      <w:bookmarkStart w:id="64" w:name="_Toc498094138"/>
      <w:r>
        <w:rPr>
          <w:rStyle w:val="CharDivNo"/>
        </w:rPr>
        <w:t>Division 1</w:t>
      </w:r>
      <w:r>
        <w:t> — </w:t>
      </w:r>
      <w:r>
        <w:rPr>
          <w:rStyle w:val="CharDivText"/>
        </w:rPr>
        <w:t>Preliminary</w:t>
      </w:r>
      <w:bookmarkEnd w:id="63"/>
      <w:bookmarkEnd w:id="64"/>
    </w:p>
    <w:p>
      <w:pPr>
        <w:pStyle w:val="Footnoteheading"/>
      </w:pPr>
      <w:r>
        <w:tab/>
        <w:t>[Heading inserted in Gazette 21 Jul 2006 p. 2673.]</w:t>
      </w:r>
    </w:p>
    <w:p>
      <w:pPr>
        <w:pStyle w:val="Heading5"/>
      </w:pPr>
      <w:bookmarkStart w:id="65" w:name="_Toc498094139"/>
      <w:r>
        <w:rPr>
          <w:rStyle w:val="CharSectno"/>
        </w:rPr>
        <w:t>78</w:t>
      </w:r>
      <w:r>
        <w:t>.</w:t>
      </w:r>
      <w:r>
        <w:tab/>
        <w:t>Terms used</w:t>
      </w:r>
      <w:bookmarkEnd w:id="65"/>
    </w:p>
    <w:p>
      <w:pPr>
        <w:pStyle w:val="Subsection"/>
      </w:pPr>
      <w:r>
        <w:tab/>
        <w:t>(1)</w:t>
      </w:r>
      <w:r>
        <w:tab/>
        <w:t>In this Part —</w:t>
      </w:r>
    </w:p>
    <w:p>
      <w:pPr>
        <w:pStyle w:val="Defstart"/>
        <w:spacing w:before="60"/>
      </w:pPr>
      <w:r>
        <w:rPr>
          <w:b/>
        </w:rPr>
        <w:tab/>
      </w:r>
      <w:r>
        <w:rPr>
          <w:rStyle w:val="CharDefText"/>
        </w:rPr>
        <w:t>Australian Greyhound Racing Rules</w:t>
      </w:r>
      <w:r>
        <w:t>,</w:t>
      </w:r>
      <w:r>
        <w:rPr>
          <w:b/>
        </w:rPr>
        <w:t xml:space="preserve"> </w:t>
      </w:r>
      <w:r>
        <w:rPr>
          <w:rStyle w:val="CharDefText"/>
        </w:rPr>
        <w:t>Australian Rules of Harness Racing</w:t>
      </w:r>
      <w:r>
        <w:t xml:space="preserve"> and </w:t>
      </w:r>
      <w:r>
        <w:rPr>
          <w:rStyle w:val="CharDefText"/>
        </w:rPr>
        <w:t>Australian Rules of Racing</w:t>
      </w:r>
      <w:r>
        <w:rPr>
          <w:b/>
        </w:rPr>
        <w:t xml:space="preserve"> </w:t>
      </w:r>
      <w:r>
        <w:t>have the meanings given in the RWWA Act;</w:t>
      </w:r>
    </w:p>
    <w:p>
      <w:pPr>
        <w:pStyle w:val="Defstart"/>
        <w:spacing w:before="60"/>
        <w:rPr>
          <w:b/>
        </w:rPr>
      </w:pPr>
      <w:r>
        <w:rPr>
          <w:b/>
        </w:rPr>
        <w:tab/>
      </w:r>
      <w:r>
        <w:rPr>
          <w:rStyle w:val="CharDefText"/>
        </w:rPr>
        <w:t>local on</w:t>
      </w:r>
      <w:r>
        <w:rPr>
          <w:rStyle w:val="CharDefText"/>
        </w:rPr>
        <w:noBreakHyphen/>
        <w:t>course totalisator</w:t>
      </w:r>
      <w:r>
        <w:t xml:space="preserve"> means —</w:t>
      </w:r>
    </w:p>
    <w:p>
      <w:pPr>
        <w:pStyle w:val="Defpara"/>
        <w:spacing w:before="60"/>
      </w:pPr>
      <w:r>
        <w:tab/>
        <w:t>(a)</w:t>
      </w:r>
      <w:r>
        <w:tab/>
        <w:t>a totalisator operated at a racecourse by the authority conducting the particular race meeting where totalisator betting is conducted independently of RWWA;</w:t>
      </w:r>
    </w:p>
    <w:p>
      <w:pPr>
        <w:pStyle w:val="Defpara"/>
        <w:spacing w:before="60"/>
      </w:pPr>
      <w:r>
        <w:tab/>
        <w:t>(b)</w:t>
      </w:r>
      <w:r>
        <w:tab/>
        <w:t>where the context requires, a person representing the authority operating the totalisator in paragraph (a);</w:t>
      </w:r>
    </w:p>
    <w:p>
      <w:pPr>
        <w:pStyle w:val="Defpara"/>
        <w:spacing w:before="60"/>
      </w:pPr>
      <w:r>
        <w:tab/>
        <w:t>(c)</w:t>
      </w:r>
      <w:r>
        <w:tab/>
        <w:t>where the context requires, the premises in which the betting for a totalisator in paragraph (a) is conducted;</w:t>
      </w:r>
    </w:p>
    <w:p>
      <w:pPr>
        <w:pStyle w:val="Defstart"/>
        <w:spacing w:before="60"/>
      </w:pPr>
      <w:r>
        <w:rPr>
          <w:b/>
        </w:rPr>
        <w:tab/>
      </w:r>
      <w:r>
        <w:rPr>
          <w:rStyle w:val="CharDefText"/>
        </w:rPr>
        <w:t>on</w:t>
      </w:r>
      <w:r>
        <w:rPr>
          <w:rStyle w:val="CharDefText"/>
        </w:rPr>
        <w:noBreakHyphen/>
        <w:t>course totalisator</w:t>
      </w:r>
      <w:r>
        <w:t xml:space="preserve"> means —</w:t>
      </w:r>
    </w:p>
    <w:p>
      <w:pPr>
        <w:pStyle w:val="Defpara"/>
        <w:spacing w:before="60"/>
      </w:pPr>
      <w:r>
        <w:tab/>
        <w:t>(a)</w:t>
      </w:r>
      <w:r>
        <w:tab/>
        <w:t>a totalisator operated at a racecourse by the racing club, where bets form a part of the RWWA totalisator scheme under section 58 of the RWWA Act;</w:t>
      </w:r>
    </w:p>
    <w:p>
      <w:pPr>
        <w:pStyle w:val="Defpara"/>
        <w:spacing w:before="60"/>
      </w:pPr>
      <w:r>
        <w:tab/>
        <w:t>(b)</w:t>
      </w:r>
      <w:r>
        <w:tab/>
        <w:t>where the context requires, a representative of the racing club operating the totalisator in paragraph (a);</w:t>
      </w:r>
    </w:p>
    <w:p>
      <w:pPr>
        <w:pStyle w:val="Defpara"/>
        <w:spacing w:before="60"/>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t>bet includes a reference to a wager.</w:t>
      </w:r>
    </w:p>
    <w:p>
      <w:pPr>
        <w:pStyle w:val="Footnotesection"/>
      </w:pPr>
      <w:r>
        <w:tab/>
        <w:t>[Regulation 78 inserted in Gazette 21 Jul 2006 p. 2673</w:t>
      </w:r>
      <w:r>
        <w:noBreakHyphen/>
        <w:t>4.]</w:t>
      </w:r>
    </w:p>
    <w:p>
      <w:pPr>
        <w:pStyle w:val="Heading3"/>
      </w:pPr>
      <w:bookmarkStart w:id="66" w:name="_Toc498093813"/>
      <w:bookmarkStart w:id="67" w:name="_Toc498094140"/>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66"/>
      <w:bookmarkEnd w:id="67"/>
    </w:p>
    <w:p>
      <w:pPr>
        <w:pStyle w:val="Footnoteheading"/>
      </w:pPr>
      <w:r>
        <w:tab/>
        <w:t>[Heading inserted in Gazette 21 Jul 2006 p. 2674.]</w:t>
      </w:r>
    </w:p>
    <w:p>
      <w:pPr>
        <w:pStyle w:val="Heading5"/>
      </w:pPr>
      <w:bookmarkStart w:id="68" w:name="_Toc498094141"/>
      <w:r>
        <w:rPr>
          <w:rStyle w:val="CharSectno"/>
        </w:rPr>
        <w:t>79</w:t>
      </w:r>
      <w:r>
        <w:t>.</w:t>
      </w:r>
      <w:r>
        <w:tab/>
        <w:t>On</w:t>
      </w:r>
      <w:r>
        <w:noBreakHyphen/>
        <w:t>course totalisator bets accepted subject to the rules and these regulations</w:t>
      </w:r>
      <w:bookmarkEnd w:id="68"/>
    </w:p>
    <w:p>
      <w:pPr>
        <w:pStyle w:val="Subsection"/>
      </w:pPr>
      <w:r>
        <w:tab/>
        <w:t>(1)</w:t>
      </w:r>
      <w:r>
        <w:tab/>
        <w:t>Subject to these regulations, regulations made under the RWWA Act and the rules of wagering, a bet made with or through an on</w:t>
      </w:r>
      <w:r>
        <w:noBreakHyphen/>
        <w:t>course totalisator is taken to be accepted subject to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in Gazette 21 Jul 2006 p. 2674</w:t>
      </w:r>
      <w:r>
        <w:noBreakHyphen/>
        <w:t>5.]</w:t>
      </w:r>
    </w:p>
    <w:p>
      <w:pPr>
        <w:pStyle w:val="Heading5"/>
      </w:pPr>
      <w:bookmarkStart w:id="69" w:name="_Toc498094142"/>
      <w:r>
        <w:rPr>
          <w:rStyle w:val="CharSectno"/>
        </w:rPr>
        <w:t>80</w:t>
      </w:r>
      <w:r>
        <w:t>.</w:t>
      </w:r>
      <w:r>
        <w:tab/>
        <w:t>Local on</w:t>
      </w:r>
      <w:r>
        <w:noBreakHyphen/>
        <w:t>course totalisator bets accepted subject to the rules and these regulations</w:t>
      </w:r>
      <w:bookmarkEnd w:id="69"/>
    </w:p>
    <w:p>
      <w:pPr>
        <w:pStyle w:val="Subsection"/>
      </w:pPr>
      <w:r>
        <w:tab/>
      </w:r>
      <w:r>
        <w:tab/>
        <w:t>Subject to these regulations and the rules of wagering, a bet made with or through a local on</w:t>
      </w:r>
      <w:r>
        <w:noBreakHyphen/>
        <w:t>course totalisator is taken to be accepted subject to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r>
        <w:tab/>
        <w:t>[Regulation 80 inserted in Gazette 21 Jul 2006 p. 2675</w:t>
      </w:r>
      <w:r>
        <w:noBreakHyphen/>
        <w:t>6.]</w:t>
      </w:r>
    </w:p>
    <w:p>
      <w:pPr>
        <w:pStyle w:val="Heading5"/>
      </w:pPr>
      <w:bookmarkStart w:id="70" w:name="_Toc498094143"/>
      <w:r>
        <w:rPr>
          <w:rStyle w:val="CharSectno"/>
        </w:rPr>
        <w:t>81</w:t>
      </w:r>
      <w:r>
        <w:t>.</w:t>
      </w:r>
      <w:r>
        <w:tab/>
        <w:t>All bets to be 50 cents or multiples of 50 cents</w:t>
      </w:r>
      <w:bookmarkEnd w:id="70"/>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Ednotesubsection"/>
      </w:pPr>
      <w:r>
        <w:tab/>
        <w:t>[(2)</w:t>
      </w:r>
      <w:r>
        <w:tab/>
        <w:t>deleted]</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r>
        <w:tab/>
        <w:t>[Regulation 81 inserted in Gazette 21 Jul 2006 p. 2676; amended in Gazette 18 Sep 2007 p. 4717; 8 Mar 2016 p. 669.]</w:t>
      </w:r>
    </w:p>
    <w:p>
      <w:pPr>
        <w:pStyle w:val="Heading5"/>
      </w:pPr>
      <w:bookmarkStart w:id="71" w:name="_Toc498094144"/>
      <w:r>
        <w:rPr>
          <w:rStyle w:val="CharSectno"/>
        </w:rPr>
        <w:t>82</w:t>
      </w:r>
      <w:r>
        <w:t>.</w:t>
      </w:r>
      <w:r>
        <w:tab/>
        <w:t>On</w:t>
      </w:r>
      <w:r>
        <w:noBreakHyphen/>
        <w:t>course totalisator dividend as declared</w:t>
      </w:r>
      <w:bookmarkEnd w:id="71"/>
    </w:p>
    <w:p>
      <w:pPr>
        <w:pStyle w:val="Subsection"/>
      </w:pPr>
      <w:r>
        <w:tab/>
        <w:t>(1)</w:t>
      </w:r>
      <w:r>
        <w:tab/>
        <w:t>The on</w:t>
      </w:r>
      <w:r>
        <w:noBreakHyphen/>
        <w:t>course totalisator dividend for a unit of 50 cents is to be as declared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Subject to these regulations and the rules of wagering, where a totalisator pool is conducted by RWWA, RWWA is to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Except where a race or sporting event results in a dead heat, tie or draw, and a dead heat, tie or draw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as a dividend somewhere between 50 cents and 55 cents, as determined by RWWA or the organiser of the other totalisator pool.</w:t>
      </w:r>
    </w:p>
    <w:p>
      <w:pPr>
        <w:pStyle w:val="Footnotesection"/>
      </w:pPr>
      <w:r>
        <w:tab/>
        <w:t>[Regulation 82 inserted in Gazette 21 Jul 2006 p. 2676</w:t>
      </w:r>
      <w:r>
        <w:noBreakHyphen/>
        <w:t>7; amended in Gazette 8 Mar 2016 p. 669.]</w:t>
      </w:r>
    </w:p>
    <w:p>
      <w:pPr>
        <w:pStyle w:val="Heading5"/>
      </w:pPr>
      <w:bookmarkStart w:id="72" w:name="_Toc498094145"/>
      <w:r>
        <w:rPr>
          <w:rStyle w:val="CharSectno"/>
        </w:rPr>
        <w:t>83</w:t>
      </w:r>
      <w:r>
        <w:t>.</w:t>
      </w:r>
      <w:r>
        <w:tab/>
        <w:t>Local on</w:t>
      </w:r>
      <w:r>
        <w:noBreakHyphen/>
        <w:t>course totalisator dividend as declared</w:t>
      </w:r>
      <w:bookmarkEnd w:id="72"/>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course totalisator is to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Except where a race results in a dead heat, and a dead heat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as a dividend somewhere between 50 cents and 55 cents, as determined by the local on</w:t>
      </w:r>
      <w:r>
        <w:noBreakHyphen/>
        <w:t>course totalisator or the organiser of the other totalisator pool.</w:t>
      </w:r>
    </w:p>
    <w:p>
      <w:pPr>
        <w:pStyle w:val="Footnotesection"/>
      </w:pPr>
      <w:r>
        <w:tab/>
        <w:t>[Regulation 83 inserted in Gazette 21 Jul 2006 p. 2677</w:t>
      </w:r>
      <w:r>
        <w:noBreakHyphen/>
        <w:t>8; amended in Gazette 8 Mar 2016 p. 669.]</w:t>
      </w:r>
    </w:p>
    <w:p>
      <w:pPr>
        <w:pStyle w:val="Heading5"/>
      </w:pPr>
      <w:bookmarkStart w:id="73" w:name="_Toc498094146"/>
      <w:r>
        <w:rPr>
          <w:rStyle w:val="CharSectno"/>
        </w:rPr>
        <w:t>84</w:t>
      </w:r>
      <w:r>
        <w:t>.</w:t>
      </w:r>
      <w:r>
        <w:tab/>
        <w:t>Bets may be refused</w:t>
      </w:r>
      <w:bookmarkEnd w:id="73"/>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Regulations 2003</w:t>
      </w:r>
      <w:r>
        <w:t>, while that notice is in force, must not be accepted.</w:t>
      </w:r>
    </w:p>
    <w:p>
      <w:pPr>
        <w:pStyle w:val="Footnotesection"/>
        <w:spacing w:before="100"/>
      </w:pPr>
      <w:r>
        <w:tab/>
        <w:t>[Regulation 84 inserted in Gazette 21 Jul 2006 p. 2678.]</w:t>
      </w:r>
    </w:p>
    <w:p>
      <w:pPr>
        <w:pStyle w:val="Heading5"/>
      </w:pPr>
      <w:bookmarkStart w:id="74" w:name="_Toc498094147"/>
      <w:r>
        <w:rPr>
          <w:rStyle w:val="CharSectno"/>
        </w:rPr>
        <w:t>85</w:t>
      </w:r>
      <w:r>
        <w:t>.</w:t>
      </w:r>
      <w:r>
        <w:tab/>
        <w:t>Only authorised bets to be accepted</w:t>
      </w:r>
      <w:bookmarkEnd w:id="74"/>
    </w:p>
    <w:p>
      <w:pPr>
        <w:pStyle w:val="Subsection"/>
        <w:spacing w:before="140"/>
      </w:pPr>
      <w:r>
        <w:tab/>
      </w:r>
      <w:r>
        <w:tab/>
        <w:t>Bets with or through an on</w:t>
      </w:r>
      <w:r>
        <w:noBreakHyphen/>
        <w:t>course totalisator or a local on</w:t>
      </w:r>
      <w:r>
        <w:noBreakHyphen/>
        <w:t>course totalisator are to be accepted —</w:t>
      </w:r>
    </w:p>
    <w:p>
      <w:pPr>
        <w:pStyle w:val="Indenta"/>
        <w:spacing w:before="60"/>
      </w:pPr>
      <w:r>
        <w:tab/>
        <w:t>(a)</w:t>
      </w:r>
      <w:r>
        <w:tab/>
        <w:t>subject to these regulations and the rules of wagering; and</w:t>
      </w:r>
    </w:p>
    <w:p>
      <w:pPr>
        <w:pStyle w:val="Indenta"/>
        <w:spacing w:before="60"/>
      </w:pPr>
      <w:r>
        <w:tab/>
        <w:t>(b)</w:t>
      </w:r>
      <w:r>
        <w:tab/>
        <w:t>only in respect of such race meetings or races, or (where applicable) such sporting events, as RWWA authorises in relation to that on</w:t>
      </w:r>
      <w:r>
        <w:noBreakHyphen/>
        <w:t>course totalisator.</w:t>
      </w:r>
    </w:p>
    <w:p>
      <w:pPr>
        <w:pStyle w:val="Footnotesection"/>
        <w:spacing w:before="100"/>
      </w:pPr>
      <w:r>
        <w:tab/>
        <w:t>[Regulation 85 inserted in Gazette 21 Jul 2006 p. 2678</w:t>
      </w:r>
      <w:r>
        <w:noBreakHyphen/>
        <w:t>9.]</w:t>
      </w:r>
    </w:p>
    <w:p>
      <w:pPr>
        <w:pStyle w:val="Heading5"/>
        <w:spacing w:before="200"/>
      </w:pPr>
      <w:bookmarkStart w:id="75" w:name="_Toc498094148"/>
      <w:r>
        <w:rPr>
          <w:rStyle w:val="CharSectno"/>
        </w:rPr>
        <w:t>86</w:t>
      </w:r>
      <w:r>
        <w:t>.</w:t>
      </w:r>
      <w:r>
        <w:tab/>
        <w:t>Hours for opening</w:t>
      </w:r>
      <w:bookmarkEnd w:id="75"/>
    </w:p>
    <w:p>
      <w:pPr>
        <w:pStyle w:val="Subsection"/>
        <w:spacing w:before="140"/>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spacing w:before="140"/>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spacing w:before="140"/>
      </w:pPr>
      <w:r>
        <w:tab/>
        <w:t>(3)</w:t>
      </w:r>
      <w:r>
        <w:tab/>
        <w:t>A local on</w:t>
      </w:r>
      <w:r>
        <w:noBreakHyphen/>
        <w:t>course totalisator may at any time close that totalisator and decline to accepts bets or bets of a particular kind.</w:t>
      </w:r>
    </w:p>
    <w:p>
      <w:pPr>
        <w:pStyle w:val="Footnotesection"/>
        <w:spacing w:before="100"/>
      </w:pPr>
      <w:r>
        <w:tab/>
        <w:t>[Regulation 86 inserted in Gazette 21 Jul 2006 p. 2679.]</w:t>
      </w:r>
    </w:p>
    <w:p>
      <w:pPr>
        <w:pStyle w:val="Heading5"/>
        <w:spacing w:before="200"/>
      </w:pPr>
      <w:bookmarkStart w:id="76" w:name="_Toc498094149"/>
      <w:r>
        <w:rPr>
          <w:rStyle w:val="CharSectno"/>
        </w:rPr>
        <w:t>87</w:t>
      </w:r>
      <w:r>
        <w:t>.</w:t>
      </w:r>
      <w:r>
        <w:tab/>
        <w:t>Bets may be made by various methods</w:t>
      </w:r>
      <w:bookmarkEnd w:id="76"/>
    </w:p>
    <w:p>
      <w:pPr>
        <w:pStyle w:val="Subsection"/>
        <w:spacing w:before="140"/>
      </w:pPr>
      <w:r>
        <w:tab/>
        <w:t>(1)</w:t>
      </w:r>
      <w:r>
        <w:tab/>
        <w:t>Subject to these regulations and the rules of wagering, bets with or through an on</w:t>
      </w:r>
      <w:r>
        <w:noBreakHyphen/>
        <w:t>course totalisator will be accepted from a person at that totalisator —</w:t>
      </w:r>
    </w:p>
    <w:p>
      <w:pPr>
        <w:pStyle w:val="Indenta"/>
        <w:spacing w:before="60"/>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course totalisator may accept a bet where part or full payment for the bet is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course totalisator may accept a bet where part or full payment for the bet is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r>
        <w:tab/>
        <w:t>[Regulation 87 inserted in Gazette 21 Jul 2006 p. 2679</w:t>
      </w:r>
      <w:r>
        <w:noBreakHyphen/>
        <w:t>80.]</w:t>
      </w:r>
    </w:p>
    <w:p>
      <w:pPr>
        <w:pStyle w:val="Heading5"/>
      </w:pPr>
      <w:bookmarkStart w:id="77" w:name="_Toc498094150"/>
      <w:r>
        <w:rPr>
          <w:rStyle w:val="CharSectno"/>
        </w:rPr>
        <w:t>88</w:t>
      </w:r>
      <w:r>
        <w:t>.</w:t>
      </w:r>
      <w:r>
        <w:tab/>
        <w:t>On</w:t>
      </w:r>
      <w:r>
        <w:noBreakHyphen/>
        <w:t>course totalisator bets to be properly marked</w:t>
      </w:r>
      <w:bookmarkEnd w:id="77"/>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in Gazette 21 Jul 2006 p. 2680.]</w:t>
      </w:r>
    </w:p>
    <w:p>
      <w:pPr>
        <w:pStyle w:val="Heading5"/>
        <w:spacing w:before="180"/>
      </w:pPr>
      <w:bookmarkStart w:id="78" w:name="_Toc498094151"/>
      <w:r>
        <w:rPr>
          <w:rStyle w:val="CharSectno"/>
        </w:rPr>
        <w:t>89</w:t>
      </w:r>
      <w:r>
        <w:t>.</w:t>
      </w:r>
      <w:r>
        <w:tab/>
        <w:t>Local on</w:t>
      </w:r>
      <w:r>
        <w:noBreakHyphen/>
        <w:t>course totalisator bets to be properly marked</w:t>
      </w:r>
      <w:bookmarkEnd w:id="78"/>
    </w:p>
    <w:p>
      <w:pPr>
        <w:pStyle w:val="Subsection"/>
        <w:spacing w:before="140"/>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spacing w:before="140"/>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spacing w:before="140"/>
      </w:pPr>
      <w:r>
        <w:tab/>
        <w:t>(3)</w:t>
      </w:r>
      <w:r>
        <w:tab/>
        <w:t>A local on</w:t>
      </w:r>
      <w:r>
        <w:noBreakHyphen/>
        <w:t>course totalisator is not to accept instructions for alternative bets in the event of the horse or greyhound selected being scratched.</w:t>
      </w:r>
    </w:p>
    <w:p>
      <w:pPr>
        <w:pStyle w:val="Footnotesection"/>
      </w:pPr>
      <w:r>
        <w:tab/>
        <w:t>[Regulation 89 inserted in Gazette 21 Jul 2006 p. 2681.]</w:t>
      </w:r>
    </w:p>
    <w:p>
      <w:pPr>
        <w:pStyle w:val="Heading5"/>
        <w:spacing w:before="180"/>
      </w:pPr>
      <w:bookmarkStart w:id="79" w:name="_Toc498094152"/>
      <w:r>
        <w:rPr>
          <w:rStyle w:val="CharSectno"/>
        </w:rPr>
        <w:t>90</w:t>
      </w:r>
      <w:r>
        <w:t>.</w:t>
      </w:r>
      <w:r>
        <w:tab/>
        <w:t>Tickets to be properly marked</w:t>
      </w:r>
      <w:bookmarkEnd w:id="79"/>
    </w:p>
    <w:p>
      <w:pPr>
        <w:pStyle w:val="Subsection"/>
      </w:pPr>
      <w:r>
        <w:tab/>
        <w:t>(1)</w:t>
      </w:r>
      <w:r>
        <w:tab/>
        <w:t>Every ticket issued by an on</w:t>
      </w:r>
      <w:r>
        <w:noBreakHyphen/>
        <w:t>course totalisator or local on</w:t>
      </w:r>
      <w:r>
        <w:noBreakHyphen/>
        <w:t>course totalisator is to be printed, written, stamped, punched or marked to show the kind of bet and, in the case of a bet on a race or races, other than a favourite numbers bet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tab/>
        <w:t>(c)</w:t>
      </w:r>
      <w:r>
        <w:tab/>
        <w:t>the code number that has been allocated by RWWA to the horse or greyhound or horses or greyhounds on which the bet in respect of which the ticket is issued is made,</w:t>
      </w:r>
    </w:p>
    <w:p>
      <w:pPr>
        <w:pStyle w:val="Subsection"/>
        <w:spacing w:before="120"/>
      </w:pPr>
      <w:r>
        <w:tab/>
      </w:r>
      <w:r>
        <w:tab/>
        <w:t>together with sufficient details to identify the bet accepted.</w:t>
      </w:r>
    </w:p>
    <w:p>
      <w:pPr>
        <w:pStyle w:val="Subsection"/>
        <w:spacing w:before="120"/>
      </w:pPr>
      <w:r>
        <w:tab/>
        <w:t>(1a)</w:t>
      </w:r>
      <w:r>
        <w:tab/>
        <w:t>A ticket issued by an on</w:t>
      </w:r>
      <w:r>
        <w:noBreakHyphen/>
        <w:t>course totalisator or local on</w:t>
      </w:r>
      <w:r>
        <w:noBreakHyphen/>
        <w:t>course totalisator must show details of the amount of the bet and —</w:t>
      </w:r>
    </w:p>
    <w:p>
      <w:pPr>
        <w:pStyle w:val="Indenta"/>
        <w:spacing w:before="60"/>
      </w:pPr>
      <w:r>
        <w:tab/>
        <w:t>(a)</w:t>
      </w:r>
      <w:r>
        <w:tab/>
        <w:t>where the bet is not a Flexi Bet, the amount is to be expressed in units of 50 cents;</w:t>
      </w:r>
    </w:p>
    <w:p>
      <w:pPr>
        <w:pStyle w:val="Indenta"/>
        <w:spacing w:before="60"/>
      </w:pPr>
      <w:r>
        <w:tab/>
        <w:t>(b)</w:t>
      </w:r>
      <w:r>
        <w:tab/>
        <w:t>where the bet is a Flexi Bet, the amount may be expressed in units of 50 cents, percentages of 50 cent units or fractions of units of 50 cents.</w:t>
      </w:r>
    </w:p>
    <w:p>
      <w:pPr>
        <w:pStyle w:val="Subsection"/>
        <w:spacing w:before="120"/>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in Gazette 21 Jul 2006 p. 2681</w:t>
      </w:r>
      <w:r>
        <w:noBreakHyphen/>
        <w:t>2; amended in Gazette 18 Sep 2007 p. 4717</w:t>
      </w:r>
      <w:r>
        <w:noBreakHyphen/>
        <w:t>18.]</w:t>
      </w:r>
    </w:p>
    <w:p>
      <w:pPr>
        <w:pStyle w:val="Heading5"/>
        <w:spacing w:before="180"/>
      </w:pPr>
      <w:bookmarkStart w:id="80" w:name="_Toc498094153"/>
      <w:r>
        <w:rPr>
          <w:rStyle w:val="CharSectno"/>
        </w:rPr>
        <w:t>91</w:t>
      </w:r>
      <w:r>
        <w:t>.</w:t>
      </w:r>
      <w:r>
        <w:tab/>
        <w:t>Host racing club to exhibit notices at on</w:t>
      </w:r>
      <w:r>
        <w:noBreakHyphen/>
        <w:t>course totalisator and local on</w:t>
      </w:r>
      <w:r>
        <w:noBreakHyphen/>
        <w:t>course totalisator</w:t>
      </w:r>
      <w:bookmarkEnd w:id="80"/>
    </w:p>
    <w:p>
      <w:pPr>
        <w:pStyle w:val="Subsection"/>
        <w:spacing w:before="120"/>
      </w:pPr>
      <w:r>
        <w:tab/>
        <w:t>(1)</w:t>
      </w:r>
      <w:r>
        <w:tab/>
        <w:t>The authority controlling the race meeting (</w:t>
      </w:r>
      <w:r>
        <w:rPr>
          <w:rStyle w:val="CharDefText"/>
        </w:rPr>
        <w:t>host club</w:t>
      </w:r>
      <w:r>
        <w:t>)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r>
        <w:tab/>
        <w:t>[Regulation 91 inserted in Gazette 21 Jul 2006 p. 2682.]</w:t>
      </w:r>
    </w:p>
    <w:p>
      <w:pPr>
        <w:pStyle w:val="Heading5"/>
      </w:pPr>
      <w:bookmarkStart w:id="81" w:name="_Toc498094154"/>
      <w:r>
        <w:rPr>
          <w:rStyle w:val="CharSectno"/>
        </w:rPr>
        <w:t>92</w:t>
      </w:r>
      <w:r>
        <w:t>.</w:t>
      </w:r>
      <w:r>
        <w:tab/>
        <w:t>Correction of errors and omissions and the giving of certain refunds</w:t>
      </w:r>
      <w:bookmarkEnd w:id="81"/>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course totalisator may cancel that ticket —</w:t>
      </w:r>
    </w:p>
    <w:p>
      <w:pPr>
        <w:pStyle w:val="Indenta"/>
      </w:pPr>
      <w:r>
        <w:tab/>
        <w:t>(a)</w:t>
      </w:r>
      <w:r>
        <w:tab/>
        <w:t>more than 30 minutes prior to the advertised starting time for the race or sporting event, for any reason; or</w:t>
      </w:r>
    </w:p>
    <w:p>
      <w:pPr>
        <w:pStyle w:val="Indenta"/>
      </w:pPr>
      <w:r>
        <w:tab/>
        <w:t>(b)</w:t>
      </w:r>
      <w:r>
        <w:tab/>
        <w:t>within 30 minutes prior to the advertised starting time for the race or sporting event, if the cancellation is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Unless subregulation (1) applies, where a ticket is incomplete as to any of the particulars required to be shown on the ticket, or if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r>
        <w:tab/>
        <w:t>[Regulation 92 inserted in Gazette 21 Jul 2006 p. 2683</w:t>
      </w:r>
      <w:r>
        <w:noBreakHyphen/>
        <w:t>4; amended in Gazette 10 Oct 2006 p. 4392.]</w:t>
      </w:r>
    </w:p>
    <w:p>
      <w:pPr>
        <w:pStyle w:val="Heading5"/>
      </w:pPr>
      <w:bookmarkStart w:id="82" w:name="_Toc498094155"/>
      <w:r>
        <w:rPr>
          <w:rStyle w:val="CharSectno"/>
        </w:rPr>
        <w:t>93</w:t>
      </w:r>
      <w:r>
        <w:t>.</w:t>
      </w:r>
      <w:r>
        <w:tab/>
        <w:t>Time for payment of dividends or refunds for cash bets</w:t>
      </w:r>
      <w:bookmarkEnd w:id="82"/>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r>
        <w:tab/>
        <w:t>[Regulation 93 inserted in Gazette 21 Jul 2006 p. 2684</w:t>
      </w:r>
      <w:r>
        <w:noBreakHyphen/>
        <w:t>5.]</w:t>
      </w:r>
    </w:p>
    <w:p>
      <w:pPr>
        <w:pStyle w:val="Heading5"/>
      </w:pPr>
      <w:bookmarkStart w:id="83" w:name="_Toc498094156"/>
      <w:r>
        <w:rPr>
          <w:rStyle w:val="CharSectno"/>
        </w:rPr>
        <w:t>94</w:t>
      </w:r>
      <w:r>
        <w:t>.</w:t>
      </w:r>
      <w:r>
        <w:tab/>
        <w:t>Presentation of tickets or claims</w:t>
      </w:r>
      <w:bookmarkEnd w:id="83"/>
    </w:p>
    <w:p>
      <w:pPr>
        <w:pStyle w:val="Subsection"/>
      </w:pPr>
      <w:r>
        <w:tab/>
        <w:t>(1)</w:t>
      </w:r>
      <w:r>
        <w:tab/>
        <w:t>Subject to subregulations (2) and (6), a dividend or refund in respect of a bet, other than a bet against 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course totalisator may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r>
        <w:tab/>
        <w:t>[Regulation 94 inserted in Gazette 21 Jul 2006 p. 2685</w:t>
      </w:r>
      <w:r>
        <w:noBreakHyphen/>
        <w:t>6.]</w:t>
      </w:r>
    </w:p>
    <w:p>
      <w:pPr>
        <w:pStyle w:val="Heading5"/>
      </w:pPr>
      <w:bookmarkStart w:id="84" w:name="_Toc498094157"/>
      <w:r>
        <w:rPr>
          <w:rStyle w:val="CharSectno"/>
        </w:rPr>
        <w:t>95</w:t>
      </w:r>
      <w:r>
        <w:t>.</w:t>
      </w:r>
      <w:r>
        <w:tab/>
        <w:t>When refunds of bets are payable</w:t>
      </w:r>
      <w:bookmarkEnd w:id="84"/>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pPr>
      <w:r>
        <w:tab/>
        <w:t>(2)</w:t>
      </w:r>
      <w:r>
        <w:tab/>
        <w:t>Where a refund is payable under subregulation (1) due to a scratching, and the person entitled to the refund wishes to obtain that refund prior to the running of the race, that person may, on request, obtain a refund of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course totalisator is to refund all of the amounts of bets made in respect of races that were to be but were not held on that day at that race meeting other than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spacing w:before="140"/>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spacing w:before="100"/>
        <w:ind w:left="890" w:hanging="890"/>
      </w:pPr>
      <w:r>
        <w:tab/>
        <w:t>[Regulation 95 inserted in Gazette 21 Jul 2006 p. 2686</w:t>
      </w:r>
      <w:r>
        <w:noBreakHyphen/>
        <w:t>8.]</w:t>
      </w:r>
    </w:p>
    <w:p>
      <w:pPr>
        <w:pStyle w:val="Heading3"/>
      </w:pPr>
      <w:bookmarkStart w:id="85" w:name="_Toc498093831"/>
      <w:bookmarkStart w:id="86" w:name="_Toc498094158"/>
      <w:r>
        <w:rPr>
          <w:rStyle w:val="CharDivNo"/>
        </w:rPr>
        <w:t>Division 3</w:t>
      </w:r>
      <w:r>
        <w:t> — </w:t>
      </w:r>
      <w:r>
        <w:rPr>
          <w:rStyle w:val="CharDivText"/>
        </w:rPr>
        <w:t>Miscellaneous discipline and offence provisions</w:t>
      </w:r>
      <w:bookmarkEnd w:id="85"/>
      <w:bookmarkEnd w:id="86"/>
    </w:p>
    <w:p>
      <w:pPr>
        <w:pStyle w:val="Footnoteheading"/>
        <w:spacing w:before="100"/>
      </w:pPr>
      <w:r>
        <w:tab/>
        <w:t>[Heading inserted in Gazette 21 Jul 2006 p. 2688.]</w:t>
      </w:r>
    </w:p>
    <w:p>
      <w:pPr>
        <w:pStyle w:val="Heading5"/>
      </w:pPr>
      <w:bookmarkStart w:id="87" w:name="_Toc498094159"/>
      <w:r>
        <w:rPr>
          <w:rStyle w:val="CharSectno"/>
        </w:rPr>
        <w:t>96</w:t>
      </w:r>
      <w:r>
        <w:t>.</w:t>
      </w:r>
      <w:r>
        <w:tab/>
        <w:t>Person making bet bound by these regulations, the rules of wagering and instructions</w:t>
      </w:r>
      <w:bookmarkEnd w:id="87"/>
    </w:p>
    <w:p>
      <w:pPr>
        <w:pStyle w:val="Subsection"/>
        <w:spacing w:before="140"/>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spacing w:before="140"/>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spacing w:before="100"/>
        <w:ind w:left="890" w:hanging="890"/>
      </w:pPr>
      <w:r>
        <w:tab/>
        <w:t>[Regulation 96 inserted in Gazette 21 Jul 2006 p. 2688.]</w:t>
      </w:r>
    </w:p>
    <w:p>
      <w:pPr>
        <w:pStyle w:val="Heading5"/>
      </w:pPr>
      <w:bookmarkStart w:id="88" w:name="_Toc498094160"/>
      <w:r>
        <w:rPr>
          <w:rStyle w:val="CharSectno"/>
        </w:rPr>
        <w:t>97</w:t>
      </w:r>
      <w:r>
        <w:t>.</w:t>
      </w:r>
      <w:r>
        <w:tab/>
        <w:t>Offences relating to making and accepting wagers</w:t>
      </w:r>
      <w:bookmarkEnd w:id="88"/>
    </w:p>
    <w:p>
      <w:pPr>
        <w:pStyle w:val="Subsection"/>
        <w:spacing w:before="140"/>
      </w:pPr>
      <w:r>
        <w:tab/>
        <w:t>(1)</w:t>
      </w:r>
      <w:r>
        <w:tab/>
        <w:t>The offences set out in this regulation are committed by a person if that person is —</w:t>
      </w:r>
    </w:p>
    <w:p>
      <w:pPr>
        <w:pStyle w:val="Defpara"/>
        <w:spacing w:before="60"/>
      </w:pPr>
      <w:r>
        <w:tab/>
        <w:t>(a)</w:t>
      </w:r>
      <w:r>
        <w:tab/>
        <w:t>a person representing the authority operating a local on</w:t>
      </w:r>
      <w:r>
        <w:noBreakHyphen/>
        <w:t>course totalisator; or</w:t>
      </w:r>
    </w:p>
    <w:p>
      <w:pPr>
        <w:pStyle w:val="Defpara"/>
        <w:spacing w:before="60"/>
      </w:pPr>
      <w:r>
        <w:tab/>
        <w:t>(b)</w:t>
      </w:r>
      <w:r>
        <w:tab/>
        <w:t>a representative of the racing club operating an on</w:t>
      </w:r>
      <w:r>
        <w:noBreakHyphen/>
        <w:t>course totalisator; or</w:t>
      </w:r>
    </w:p>
    <w:p>
      <w:pPr>
        <w:pStyle w:val="Defpara"/>
        <w:spacing w:before="60"/>
      </w:pPr>
      <w:r>
        <w:tab/>
        <w:t>(c)</w:t>
      </w:r>
      <w:r>
        <w:tab/>
        <w:t>a person employed or otherwise engaged to assist in the operation of an on</w:t>
      </w:r>
      <w:r>
        <w:noBreakHyphen/>
        <w:t>course totalisator or a local on</w:t>
      </w:r>
      <w:r>
        <w:noBreakHyphen/>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A person who accepts a wager contrary to —</w:t>
      </w:r>
    </w:p>
    <w:p>
      <w:pPr>
        <w:pStyle w:val="Indenta"/>
      </w:pPr>
      <w:r>
        <w:tab/>
        <w:t>(a)</w:t>
      </w:r>
      <w:r>
        <w:tab/>
        <w:t>a method allowed by regulation 87; or</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in Gazette 21 Jul 2006 p. 2688</w:t>
      </w:r>
      <w:r>
        <w:noBreakHyphen/>
        <w:t>9.]</w:t>
      </w:r>
    </w:p>
    <w:p>
      <w:pPr>
        <w:pStyle w:val="Heading2"/>
      </w:pPr>
      <w:bookmarkStart w:id="89" w:name="_Toc498093834"/>
      <w:bookmarkStart w:id="90" w:name="_Toc498094161"/>
      <w:r>
        <w:rPr>
          <w:rStyle w:val="CharPartNo"/>
        </w:rPr>
        <w:t>Part 5</w:t>
      </w:r>
      <w:r>
        <w:rPr>
          <w:rStyle w:val="CharDivNo"/>
        </w:rPr>
        <w:t> </w:t>
      </w:r>
      <w:r>
        <w:t>—</w:t>
      </w:r>
      <w:r>
        <w:rPr>
          <w:rStyle w:val="CharDivText"/>
        </w:rPr>
        <w:t> </w:t>
      </w:r>
      <w:r>
        <w:rPr>
          <w:rStyle w:val="CharPartText"/>
        </w:rPr>
        <w:t>Approval to publish or make available WA race fields</w:t>
      </w:r>
      <w:bookmarkEnd w:id="89"/>
      <w:bookmarkEnd w:id="90"/>
    </w:p>
    <w:p>
      <w:pPr>
        <w:pStyle w:val="Footnoteheading"/>
      </w:pPr>
      <w:r>
        <w:tab/>
        <w:t>[Heading inserted in Gazette 22 Jun 2007 p. 2863.]</w:t>
      </w:r>
    </w:p>
    <w:p>
      <w:pPr>
        <w:pStyle w:val="Heading5"/>
      </w:pPr>
      <w:bookmarkStart w:id="91" w:name="_Toc498094162"/>
      <w:r>
        <w:rPr>
          <w:rStyle w:val="CharSectno"/>
        </w:rPr>
        <w:t>98</w:t>
      </w:r>
      <w:r>
        <w:t>.</w:t>
      </w:r>
      <w:r>
        <w:tab/>
        <w:t>Terms used</w:t>
      </w:r>
      <w:bookmarkEnd w:id="91"/>
    </w:p>
    <w:p>
      <w:pPr>
        <w:pStyle w:val="Subsection"/>
        <w:spacing w:before="120"/>
      </w:pPr>
      <w:r>
        <w:tab/>
      </w:r>
      <w:r>
        <w:tab/>
        <w:t>In this Part —</w:t>
      </w:r>
    </w:p>
    <w:p>
      <w:pPr>
        <w:pStyle w:val="Defstart"/>
        <w:spacing w:before="60"/>
      </w:pPr>
      <w:r>
        <w:tab/>
      </w:r>
      <w:r>
        <w:rPr>
          <w:rStyle w:val="CharDefText"/>
        </w:rPr>
        <w:t>another jurisdiction</w:t>
      </w:r>
      <w:r>
        <w:t xml:space="preserve"> means a jurisdiction outside </w:t>
      </w:r>
      <w:smartTag w:uri="urn:schemas-microsoft-com:office:smarttags" w:element="place">
        <w:smartTag w:uri="urn:schemas-microsoft-com:office:smarttags" w:element="country-region">
          <w:r>
            <w:t>Australia</w:t>
          </w:r>
        </w:smartTag>
      </w:smartTag>
      <w:r>
        <w:t>;</w:t>
      </w:r>
    </w:p>
    <w:p>
      <w:pPr>
        <w:pStyle w:val="Defstart"/>
        <w:spacing w:before="60"/>
      </w:pPr>
      <w:r>
        <w:tab/>
      </w:r>
      <w:r>
        <w:rPr>
          <w:rStyle w:val="CharDefText"/>
        </w:rPr>
        <w:t>approval</w:t>
      </w:r>
      <w:r>
        <w:t xml:space="preserve"> means an approval under section 27D(2) of the Act;</w:t>
      </w:r>
    </w:p>
    <w:p>
      <w:pPr>
        <w:pStyle w:val="Defstart"/>
        <w:spacing w:before="60"/>
      </w:pPr>
      <w:r>
        <w:tab/>
      </w:r>
      <w:r>
        <w:rPr>
          <w:rStyle w:val="CharDefText"/>
        </w:rPr>
        <w:t>authorisation</w:t>
      </w:r>
      <w:r>
        <w:t xml:space="preserve"> includes a licence;</w:t>
      </w:r>
    </w:p>
    <w:p>
      <w:pPr>
        <w:pStyle w:val="Defstart"/>
        <w:spacing w:before="60"/>
      </w:pPr>
      <w:r>
        <w:tab/>
      </w:r>
      <w:r>
        <w:rPr>
          <w:rStyle w:val="CharDefText"/>
        </w:rPr>
        <w:t>betting</w:t>
      </w:r>
      <w:r>
        <w:t xml:space="preserve"> includes —</w:t>
      </w:r>
    </w:p>
    <w:p>
      <w:pPr>
        <w:pStyle w:val="Defpara"/>
        <w:spacing w:before="60"/>
      </w:pPr>
      <w:r>
        <w:tab/>
        <w:t>(a)</w:t>
      </w:r>
      <w:r>
        <w:tab/>
        <w:t>carrying on the business or vocation of, or acting as, a bookmaker; or</w:t>
      </w:r>
    </w:p>
    <w:p>
      <w:pPr>
        <w:pStyle w:val="Defpara"/>
        <w:spacing w:before="60"/>
      </w:pPr>
      <w:r>
        <w:tab/>
        <w:t>(b)</w:t>
      </w:r>
      <w:r>
        <w:tab/>
        <w:t>conducting betting by the operation of a totalisator; or</w:t>
      </w:r>
    </w:p>
    <w:p>
      <w:pPr>
        <w:pStyle w:val="Defpara"/>
        <w:spacing w:before="60"/>
      </w:pPr>
      <w:r>
        <w:tab/>
        <w:t>(c)</w:t>
      </w:r>
      <w:r>
        <w:tab/>
        <w:t>operating a betting exchange (however described); or</w:t>
      </w:r>
    </w:p>
    <w:p>
      <w:pPr>
        <w:pStyle w:val="Defpara"/>
        <w:spacing w:before="60"/>
      </w:pPr>
      <w:r>
        <w:tab/>
        <w:t>(d)</w:t>
      </w:r>
      <w:r>
        <w:tab/>
        <w:t>gaining or endeavouring to gain a livelihood wholly or partly by making bets;</w:t>
      </w:r>
    </w:p>
    <w:p>
      <w:pPr>
        <w:pStyle w:val="Defstart"/>
        <w:spacing w:before="60"/>
      </w:pPr>
      <w:r>
        <w:tab/>
      </w:r>
      <w:r>
        <w:rPr>
          <w:rStyle w:val="CharDefText"/>
        </w:rPr>
        <w:t>relevant person</w:t>
      </w:r>
      <w:r>
        <w:t>, in relation to a decision by the Commission under section 27D(5) of the Act relating to an approval, means the person applying for, or holding, the approval, as the case requires.</w:t>
      </w:r>
    </w:p>
    <w:p>
      <w:pPr>
        <w:pStyle w:val="Footnotesection"/>
      </w:pPr>
      <w:r>
        <w:tab/>
        <w:t>[Regulation 98 inserted in Gazette 8 Jan 2010 p. 20.]</w:t>
      </w:r>
    </w:p>
    <w:p>
      <w:pPr>
        <w:pStyle w:val="Heading5"/>
      </w:pPr>
      <w:bookmarkStart w:id="92" w:name="_Toc498094163"/>
      <w:r>
        <w:rPr>
          <w:rStyle w:val="CharSectno"/>
        </w:rPr>
        <w:t>99</w:t>
      </w:r>
      <w:r>
        <w:t>.</w:t>
      </w:r>
      <w:r>
        <w:tab/>
        <w:t>Prescribed criteria: section 27D(5)</w:t>
      </w:r>
      <w:bookmarkEnd w:id="92"/>
    </w:p>
    <w:p>
      <w:pPr>
        <w:pStyle w:val="Subsection"/>
        <w:spacing w:before="120"/>
      </w:pPr>
      <w:r>
        <w:tab/>
        <w:t>(1)</w:t>
      </w:r>
      <w:r>
        <w:tab/>
        <w:t>For the purposes of section 27D(5) of the Act the prescribed criteria are as follows —</w:t>
      </w:r>
    </w:p>
    <w:p>
      <w:pPr>
        <w:pStyle w:val="Indenta"/>
        <w:spacing w:before="60"/>
      </w:pPr>
      <w:r>
        <w:tab/>
        <w:t>(a)</w:t>
      </w:r>
      <w:r>
        <w:tab/>
        <w:t>whether the Commission is satisfied that —</w:t>
      </w:r>
    </w:p>
    <w:p>
      <w:pPr>
        <w:pStyle w:val="Indenti"/>
        <w:spacing w:before="60"/>
      </w:pPr>
      <w:r>
        <w:tab/>
        <w:t>(i)</w:t>
      </w:r>
      <w:r>
        <w:tab/>
        <w:t>the relevant person; or</w:t>
      </w:r>
    </w:p>
    <w:p>
      <w:pPr>
        <w:pStyle w:val="Indenti"/>
        <w:spacing w:before="60"/>
      </w:pPr>
      <w:r>
        <w:tab/>
        <w:t>(ii)</w:t>
      </w:r>
      <w:r>
        <w:tab/>
        <w:t>if the relevant person is a partnership, each member of the partnership who is a natural person,</w:t>
      </w:r>
    </w:p>
    <w:p>
      <w:pPr>
        <w:pStyle w:val="Indenta"/>
        <w:spacing w:before="60"/>
      </w:pPr>
      <w:r>
        <w:tab/>
      </w:r>
      <w:r>
        <w:tab/>
        <w:t>is, or continues to be, a fit and proper person to be granted, or continue to hold, an approval;</w:t>
      </w:r>
    </w:p>
    <w:p>
      <w:pPr>
        <w:pStyle w:val="Indenta"/>
        <w:keepNext/>
      </w:pPr>
      <w:r>
        <w:tab/>
        <w:t>(b)</w:t>
      </w:r>
      <w:r>
        <w:tab/>
        <w:t>if the relevant person is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Commission is satisfied that each person who occupies a position of authority in the body corporate would be a fit and proper person to be granted, or continue to hold, an approval if the person were to apply for, or hold, the approval personally;</w:t>
      </w:r>
    </w:p>
    <w:p>
      <w:pPr>
        <w:pStyle w:val="Indenta"/>
      </w:pPr>
      <w:r>
        <w:tab/>
        <w:t>(c)</w:t>
      </w:r>
      <w:r>
        <w:tab/>
        <w:t>whether a member of the staff of the relevant person is under 18 years of age;</w:t>
      </w:r>
    </w:p>
    <w:p>
      <w:pPr>
        <w:pStyle w:val="Indenta"/>
      </w:pPr>
      <w:r>
        <w:tab/>
        <w:t>(d)</w:t>
      </w:r>
      <w:r>
        <w:tab/>
        <w:t>if the relevant person conducts, or intends to conduct, betting that is required under the laws of this State, another State, a Territory or another jurisdiction to be licensed or otherwise authorised, whether the relevant person holds, or continues to hold, the required authorisation to do so;</w:t>
      </w:r>
    </w:p>
    <w:p>
      <w:pPr>
        <w:pStyle w:val="Indenta"/>
      </w:pPr>
      <w:r>
        <w:tab/>
        <w:t>(e)</w:t>
      </w:r>
      <w:r>
        <w:tab/>
        <w:t>whether the relevant person has failed to comply with a condition on an approval imposed under section 27D(3) of the Act or a condition to which an approval is subject under section 27D(4A) of the Act.</w:t>
      </w:r>
    </w:p>
    <w:p>
      <w:pPr>
        <w:pStyle w:val="Subsection"/>
      </w:pPr>
      <w:r>
        <w:tab/>
        <w:t>(2)</w:t>
      </w:r>
      <w:r>
        <w:tab/>
        <w:t>For the purpose of, and without limiting, subregulation (1)(a) and (b), the Commission may take into account —</w:t>
      </w:r>
    </w:p>
    <w:p>
      <w:pPr>
        <w:pStyle w:val="Indenta"/>
      </w:pPr>
      <w:r>
        <w:tab/>
        <w:t>(a)</w:t>
      </w:r>
      <w:r>
        <w:tab/>
        <w:t>the reputation and background of persons suspected by the Commission to be associated with the relevant person; and</w:t>
      </w:r>
    </w:p>
    <w:p>
      <w:pPr>
        <w:pStyle w:val="Indenta"/>
      </w:pPr>
      <w:r>
        <w:tab/>
        <w:t>(b)</w:t>
      </w:r>
      <w:r>
        <w:tab/>
        <w:t>the number and nature of any convictions recorded, or charges pending, against the relevant person or another person referred to in subregulation (1)(a)(ii) or (b) for offences against the laws of this State, another State, a Territory or another jurisdiction, having particular regard to offences against laws relating to wagering.</w:t>
      </w:r>
    </w:p>
    <w:p>
      <w:pPr>
        <w:pStyle w:val="Footnotesection"/>
      </w:pPr>
      <w:r>
        <w:tab/>
        <w:t>[Regulation 99 inserted in Gazette 8 Jan 2010 p. 20-1.]</w:t>
      </w:r>
    </w:p>
    <w:p>
      <w:pPr>
        <w:pStyle w:val="Heading5"/>
        <w:pageBreakBefore/>
        <w:spacing w:before="0"/>
      </w:pPr>
      <w:bookmarkStart w:id="93" w:name="_Toc498094164"/>
      <w:r>
        <w:rPr>
          <w:rStyle w:val="CharSectno"/>
        </w:rPr>
        <w:t>100</w:t>
      </w:r>
      <w:r>
        <w:t>.</w:t>
      </w:r>
      <w:r>
        <w:tab/>
        <w:t>Application for approval</w:t>
      </w:r>
      <w:bookmarkEnd w:id="93"/>
    </w:p>
    <w:p>
      <w:pPr>
        <w:pStyle w:val="Subsection"/>
      </w:pPr>
      <w:r>
        <w:tab/>
        <w:t>(1)</w:t>
      </w:r>
      <w:r>
        <w:tab/>
        <w:t>An application for an approval —</w:t>
      </w:r>
    </w:p>
    <w:p>
      <w:pPr>
        <w:pStyle w:val="Indenta"/>
      </w:pPr>
      <w:r>
        <w:tab/>
        <w:t>(a)</w:t>
      </w:r>
      <w:r>
        <w:tab/>
        <w:t>is to be in the form approved by the Commission; and</w:t>
      </w:r>
    </w:p>
    <w:p>
      <w:pPr>
        <w:pStyle w:val="Indenta"/>
      </w:pPr>
      <w:r>
        <w:tab/>
        <w:t>(b)</w:t>
      </w:r>
      <w:r>
        <w:tab/>
        <w:t>is to be accompanied by any information required by the application form.</w:t>
      </w:r>
    </w:p>
    <w:p>
      <w:pPr>
        <w:pStyle w:val="Subsection"/>
      </w:pPr>
      <w:r>
        <w:tab/>
        <w:t>(2)</w:t>
      </w:r>
      <w:r>
        <w:tab/>
        <w:t>An applicant for an approval is to provide to the Commission any further information that the Commission reasonably requires for the proper consideration of the application.</w:t>
      </w:r>
    </w:p>
    <w:p>
      <w:pPr>
        <w:pStyle w:val="Footnotesection"/>
      </w:pPr>
      <w:r>
        <w:tab/>
        <w:t>[Regulation 100 inserted in Gazette 22 Jun 2007 p. 2865; amended in Gazette 8 Jan 2010 p. 21.]</w:t>
      </w:r>
    </w:p>
    <w:p>
      <w:pPr>
        <w:pStyle w:val="Heading2"/>
      </w:pPr>
      <w:bookmarkStart w:id="94" w:name="_Toc498093838"/>
      <w:bookmarkStart w:id="95" w:name="_Toc498094165"/>
      <w:r>
        <w:rPr>
          <w:rStyle w:val="CharPartNo"/>
        </w:rPr>
        <w:t>Part 6</w:t>
      </w:r>
      <w:r>
        <w:rPr>
          <w:b w:val="0"/>
        </w:rPr>
        <w:t> </w:t>
      </w:r>
      <w:r>
        <w:t>—</w:t>
      </w:r>
      <w:r>
        <w:rPr>
          <w:b w:val="0"/>
        </w:rPr>
        <w:t> </w:t>
      </w:r>
      <w:r>
        <w:rPr>
          <w:rStyle w:val="CharPartText"/>
        </w:rPr>
        <w:t>Racing bets levy</w:t>
      </w:r>
      <w:bookmarkEnd w:id="94"/>
      <w:bookmarkEnd w:id="95"/>
    </w:p>
    <w:p>
      <w:pPr>
        <w:pStyle w:val="Footnoteheading"/>
        <w:spacing w:before="100"/>
      </w:pPr>
      <w:r>
        <w:tab/>
        <w:t>[Heading inserted in Gazette 8 Jan 2010 p. 22.]</w:t>
      </w:r>
    </w:p>
    <w:p>
      <w:pPr>
        <w:pStyle w:val="Heading5"/>
        <w:spacing w:before="200"/>
      </w:pPr>
      <w:bookmarkStart w:id="96" w:name="_Toc498094166"/>
      <w:r>
        <w:rPr>
          <w:rStyle w:val="CharSectno"/>
        </w:rPr>
        <w:t>101</w:t>
      </w:r>
      <w:r>
        <w:t>.</w:t>
      </w:r>
      <w:r>
        <w:tab/>
        <w:t>Term used: approved offshore betting operator</w:t>
      </w:r>
      <w:bookmarkEnd w:id="96"/>
    </w:p>
    <w:p>
      <w:pPr>
        <w:pStyle w:val="Subsection"/>
        <w:spacing w:before="140"/>
      </w:pPr>
      <w:r>
        <w:tab/>
      </w:r>
      <w:r>
        <w:tab/>
        <w:t>In this Part —</w:t>
      </w:r>
    </w:p>
    <w:p>
      <w:pPr>
        <w:pStyle w:val="Defstart"/>
      </w:pPr>
      <w:r>
        <w:tab/>
      </w:r>
      <w:r>
        <w:rPr>
          <w:rStyle w:val="CharDefText"/>
        </w:rPr>
        <w:t>approved offshore betting operator</w:t>
      </w:r>
      <w:r>
        <w:t xml:space="preserve"> means the holder of an approval under section 27D(2) of the Act.</w:t>
      </w:r>
    </w:p>
    <w:p>
      <w:pPr>
        <w:pStyle w:val="Footnotesection"/>
        <w:spacing w:before="100"/>
      </w:pPr>
      <w:r>
        <w:tab/>
        <w:t>[Regulation 101 inserted in Gazette 8 Jan 2010 p. 22.]</w:t>
      </w:r>
    </w:p>
    <w:p>
      <w:pPr>
        <w:pStyle w:val="Heading5"/>
        <w:spacing w:before="200"/>
      </w:pPr>
      <w:bookmarkStart w:id="97" w:name="_Toc498094167"/>
      <w:r>
        <w:rPr>
          <w:rStyle w:val="CharSectno"/>
        </w:rPr>
        <w:t>102</w:t>
      </w:r>
      <w:r>
        <w:t>.</w:t>
      </w:r>
      <w:r>
        <w:tab/>
        <w:t>Prescribed period: section 14A(2)(a)</w:t>
      </w:r>
      <w:bookmarkEnd w:id="97"/>
    </w:p>
    <w:p>
      <w:pPr>
        <w:pStyle w:val="Subsection"/>
        <w:spacing w:before="140"/>
      </w:pPr>
      <w:r>
        <w:tab/>
        <w:t>(1)</w:t>
      </w:r>
      <w:r>
        <w:tab/>
        <w:t xml:space="preserve">For the purposes of section 14A(2)(a) of the Act, in respect of racing bets placed with, or placed or accepted through, a betting operator on or after 1 September 2008 and before the day on which the paragraph comes into operation (the </w:t>
      </w:r>
      <w:r>
        <w:rPr>
          <w:rStyle w:val="CharDefText"/>
        </w:rPr>
        <w:t>commencement day</w:t>
      </w:r>
      <w:r>
        <w:t>), the period prescribed is 28 days beginning on the commencement day.</w:t>
      </w:r>
    </w:p>
    <w:p>
      <w:pPr>
        <w:pStyle w:val="Subsection"/>
        <w:spacing w:before="140"/>
      </w:pPr>
      <w:r>
        <w:tab/>
        <w:t>(2)</w:t>
      </w:r>
      <w:r>
        <w:tab/>
        <w:t>For the purposes of section 14A(2)(a) of the Act, in respect of racing bets placed with, or placed or accepted through, a betting operator on or after the commencement day, the period prescribed is 14 days beginning on the first day of each month.</w:t>
      </w:r>
    </w:p>
    <w:p>
      <w:pPr>
        <w:pStyle w:val="Footnotesection"/>
        <w:spacing w:before="100"/>
      </w:pPr>
      <w:r>
        <w:tab/>
        <w:t>[Regulation 102 inserted in Gazette 8 Jan 2010 p. 22.]</w:t>
      </w:r>
    </w:p>
    <w:p>
      <w:pPr>
        <w:pStyle w:val="Heading5"/>
        <w:spacing w:before="200"/>
      </w:pPr>
      <w:bookmarkStart w:id="98" w:name="_Toc498094168"/>
      <w:r>
        <w:rPr>
          <w:rStyle w:val="CharSectno"/>
        </w:rPr>
        <w:t>103</w:t>
      </w:r>
      <w:r>
        <w:t>.</w:t>
      </w:r>
      <w:r>
        <w:tab/>
        <w:t>Information prescribed: section 27D(4A)(a)</w:t>
      </w:r>
      <w:bookmarkEnd w:id="98"/>
    </w:p>
    <w:p>
      <w:pPr>
        <w:pStyle w:val="Subsection"/>
        <w:spacing w:before="140"/>
      </w:pPr>
      <w:r>
        <w:tab/>
      </w:r>
      <w:r>
        <w:tab/>
        <w:t>For the purposes of section 27D(4A)(a) of the Act, the prescribed information is information in documents, records or accounts relating to racing bets placed with, or placed or accepted through, an approved offshore betting operator on or after 1 September 2008.</w:t>
      </w:r>
    </w:p>
    <w:p>
      <w:pPr>
        <w:pStyle w:val="Footnotesection"/>
        <w:spacing w:before="100"/>
      </w:pPr>
      <w:r>
        <w:tab/>
        <w:t>[Regulation 103 inserted in Gazette 8 Jan 2010 p. 22.]</w:t>
      </w:r>
    </w:p>
    <w:p>
      <w:pPr>
        <w:pStyle w:val="Heading5"/>
        <w:spacing w:before="200"/>
      </w:pPr>
      <w:bookmarkStart w:id="99" w:name="_Toc498094169"/>
      <w:r>
        <w:rPr>
          <w:rStyle w:val="CharSectno"/>
        </w:rPr>
        <w:t>104</w:t>
      </w:r>
      <w:r>
        <w:t>.</w:t>
      </w:r>
      <w:r>
        <w:tab/>
        <w:t>Manner of access to prescribed information: section 27D(4A)(a)</w:t>
      </w:r>
      <w:bookmarkEnd w:id="99"/>
    </w:p>
    <w:p>
      <w:pPr>
        <w:pStyle w:val="Subsection"/>
        <w:spacing w:before="140"/>
      </w:pPr>
      <w:r>
        <w:tab/>
        <w:t>(1)</w:t>
      </w:r>
      <w:r>
        <w:tab/>
        <w:t>For the purposes of section 27D(4A)(a) of the Act, this regulation sets out the prescribed manner of access to information prescribed under regulation 103 (</w:t>
      </w:r>
      <w:r>
        <w:rPr>
          <w:rStyle w:val="CharDefText"/>
        </w:rPr>
        <w:t>prescribed information</w:t>
      </w:r>
      <w:r>
        <w:t>).</w:t>
      </w:r>
    </w:p>
    <w:p>
      <w:pPr>
        <w:pStyle w:val="Subsection"/>
      </w:pPr>
      <w:r>
        <w:tab/>
        <w:t>(2)</w:t>
      </w:r>
      <w:r>
        <w:tab/>
        <w:t xml:space="preserve">An approved offshore betting operator must give the Commission or an officer of RWWA approved under section 27D(4A)(a)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An approved offshore betting operator must give the Commission or an approved officer access to prescribed information by —</w:t>
      </w:r>
    </w:p>
    <w:p>
      <w:pPr>
        <w:pStyle w:val="Indenta"/>
        <w:spacing w:before="70"/>
      </w:pPr>
      <w:r>
        <w:tab/>
        <w:t>(a)</w:t>
      </w:r>
      <w:r>
        <w:tab/>
        <w:t>allowing the Commission or the approved officer to have real</w:t>
      </w:r>
      <w:r>
        <w:noBreakHyphen/>
        <w:t>time access to any computerised betting system of the holder if it is reasonably practicable to do so; and</w:t>
      </w:r>
    </w:p>
    <w:p>
      <w:pPr>
        <w:pStyle w:val="Indenta"/>
        <w:spacing w:before="70"/>
      </w:pPr>
      <w:r>
        <w:tab/>
        <w:t>(b)</w:t>
      </w:r>
      <w:r>
        <w:tab/>
        <w:t>giving the Commission or the approved officer the capability to download and print out any such information.</w:t>
      </w:r>
    </w:p>
    <w:p>
      <w:pPr>
        <w:pStyle w:val="Footnotesection"/>
        <w:spacing w:before="100"/>
      </w:pPr>
      <w:r>
        <w:tab/>
        <w:t>[Regulation 104 inserted in Gazette 8 Jan 2010 p. 22-3]</w:t>
      </w:r>
    </w:p>
    <w:p>
      <w:pPr>
        <w:pStyle w:val="Heading5"/>
      </w:pPr>
      <w:bookmarkStart w:id="100" w:name="_Toc498094170"/>
      <w:r>
        <w:rPr>
          <w:rStyle w:val="CharSectno"/>
        </w:rPr>
        <w:t>105</w:t>
      </w:r>
      <w:r>
        <w:t>.</w:t>
      </w:r>
      <w:r>
        <w:tab/>
        <w:t>Prescribed conditions: section 27D(4A)(b)</w:t>
      </w:r>
      <w:bookmarkEnd w:id="100"/>
    </w:p>
    <w:p>
      <w:pPr>
        <w:pStyle w:val="Subsection"/>
      </w:pPr>
      <w:r>
        <w:tab/>
        <w:t>(1)</w:t>
      </w:r>
      <w:r>
        <w:tab/>
        <w:t>For the purposes of section 27D(4A)(b) of the Act, the prescribed conditions that an approved offshore betting operator must comply with are set out in this regulation.</w:t>
      </w:r>
    </w:p>
    <w:p>
      <w:pPr>
        <w:pStyle w:val="Subsection"/>
      </w:pPr>
      <w:r>
        <w:tab/>
        <w:t>(2)</w:t>
      </w:r>
      <w:r>
        <w:tab/>
        <w:t>An approved offshore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40"/>
      </w:pPr>
      <w:r>
        <w:tab/>
        <w:t>(3)</w:t>
      </w:r>
      <w:r>
        <w:tab/>
        <w:t>An approved offshore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40"/>
      </w:pPr>
      <w:r>
        <w:tab/>
        <w:t>(4)</w:t>
      </w:r>
      <w:r>
        <w:tab/>
        <w:t>An approved offshore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40"/>
      </w:pPr>
      <w:r>
        <w:tab/>
        <w:t>(5)</w:t>
      </w:r>
      <w:r>
        <w:tab/>
        <w:t>An approved offshore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spacing w:before="130"/>
      </w:pPr>
      <w:r>
        <w:tab/>
        <w:t>(6)</w:t>
      </w:r>
      <w:r>
        <w:tab/>
        <w:t>An approved offshore betting operator must report to an authorised officer of the Commission and the Chief Steward of RWWA any matter that the operator considers may affect the integrity or reputation of the Western Australian racing industry.</w:t>
      </w:r>
    </w:p>
    <w:p>
      <w:pPr>
        <w:pStyle w:val="Subsection"/>
        <w:spacing w:before="130"/>
      </w:pPr>
      <w:r>
        <w:tab/>
        <w:t>(7)</w:t>
      </w:r>
      <w:r>
        <w:tab/>
        <w:t>An approved offshore betting operator must, when requested by an authorised officer of the Commission and the Chief Steward of RWWA, assist in any inquiry relating to the integrity of or reputation of the Western Australian racing industry and —</w:t>
      </w:r>
    </w:p>
    <w:p>
      <w:pPr>
        <w:pStyle w:val="Indenta"/>
        <w:spacing w:before="60"/>
      </w:pPr>
      <w:r>
        <w:tab/>
        <w:t>(a)</w:t>
      </w:r>
      <w:r>
        <w:tab/>
        <w:t>allow the person conducting the inquiry to view any document relevant to the inquiry; and</w:t>
      </w:r>
    </w:p>
    <w:p>
      <w:pPr>
        <w:pStyle w:val="Indenta"/>
        <w:spacing w:before="60"/>
      </w:pPr>
      <w:r>
        <w:tab/>
        <w:t>(b)</w:t>
      </w:r>
      <w:r>
        <w:tab/>
        <w:t>give the person conducting the inquiry a copy of any document relevant to the inquiry.</w:t>
      </w:r>
    </w:p>
    <w:p>
      <w:pPr>
        <w:pStyle w:val="Subsection"/>
        <w:spacing w:before="140"/>
      </w:pPr>
      <w:r>
        <w:tab/>
        <w:t>(8)</w:t>
      </w:r>
      <w:r>
        <w:tab/>
        <w:t>An approved offshore betting operator must in relation to races referred to in a WA race field maintain appropriate and adequate internal procedures, systems and controls to —</w:t>
      </w:r>
    </w:p>
    <w:p>
      <w:pPr>
        <w:pStyle w:val="Indenta"/>
        <w:spacing w:before="60"/>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105 inserted in Gazette 8 Jan 2010 p. 23-4.]</w:t>
      </w:r>
    </w:p>
    <w:p>
      <w:pPr>
        <w:pStyle w:val="Heading5"/>
      </w:pPr>
      <w:bookmarkStart w:id="101" w:name="_Toc498094171"/>
      <w:r>
        <w:rPr>
          <w:rStyle w:val="CharSectno"/>
        </w:rPr>
        <w:t>106</w:t>
      </w:r>
      <w:r>
        <w:t>.</w:t>
      </w:r>
      <w:r>
        <w:tab/>
        <w:t>Information prescribed: section 27F(2)(a)</w:t>
      </w:r>
      <w:bookmarkEnd w:id="101"/>
    </w:p>
    <w:p>
      <w:pPr>
        <w:pStyle w:val="Subsection"/>
      </w:pPr>
      <w:r>
        <w:tab/>
      </w:r>
      <w:r>
        <w:tab/>
        <w:t>For the purposes of section 27F(2)(a) of the Act, the prescribed information is information in documents, records or accounts relating to racing bets placed with, or placed or accepted through, a domestic betting operator on or after 1 September 2008.</w:t>
      </w:r>
    </w:p>
    <w:p>
      <w:pPr>
        <w:pStyle w:val="Footnotesection"/>
      </w:pPr>
      <w:r>
        <w:tab/>
        <w:t>[Regulation 106 inserted in Gazette 8 Jan 2010 p. 24.]</w:t>
      </w:r>
    </w:p>
    <w:p>
      <w:pPr>
        <w:pStyle w:val="Heading5"/>
      </w:pPr>
      <w:bookmarkStart w:id="102" w:name="_Toc498094172"/>
      <w:r>
        <w:rPr>
          <w:rStyle w:val="CharSectno"/>
        </w:rPr>
        <w:t>107</w:t>
      </w:r>
      <w:r>
        <w:t>.</w:t>
      </w:r>
      <w:r>
        <w:tab/>
        <w:t>Manner of access to prescribed information: section 27F(2)(a)</w:t>
      </w:r>
      <w:bookmarkEnd w:id="102"/>
    </w:p>
    <w:p>
      <w:pPr>
        <w:pStyle w:val="Subsection"/>
      </w:pPr>
      <w:r>
        <w:tab/>
        <w:t>(1)</w:t>
      </w:r>
      <w:r>
        <w:tab/>
        <w:t>For the purposes of section 27F(2)(a) of the Act, this regulation sets out the prescribed manner of access to information prescribed under regulation 106 (</w:t>
      </w:r>
      <w:r>
        <w:rPr>
          <w:rStyle w:val="CharDefText"/>
        </w:rPr>
        <w:t>prescribed information</w:t>
      </w:r>
      <w:r>
        <w:t>).</w:t>
      </w:r>
    </w:p>
    <w:p>
      <w:pPr>
        <w:pStyle w:val="Subsection"/>
      </w:pPr>
      <w:r>
        <w:tab/>
        <w:t>(2)</w:t>
      </w:r>
      <w:r>
        <w:tab/>
        <w:t xml:space="preserve">A domestic betting operator must give the Commission or an officer of RWWA approved under section 27F(2)(a)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 domestic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spacing w:before="60"/>
      </w:pPr>
      <w:r>
        <w:tab/>
        <w:t>(b)</w:t>
      </w:r>
      <w:r>
        <w:tab/>
        <w:t>giving the Commission or the approved officer the capability to download and print out any such information.</w:t>
      </w:r>
    </w:p>
    <w:p>
      <w:pPr>
        <w:pStyle w:val="Footnotesection"/>
        <w:spacing w:before="100"/>
      </w:pPr>
      <w:r>
        <w:tab/>
        <w:t>[Regulation 107 inserted in Gazette 8 Jan 2010 p. 24-5.]</w:t>
      </w:r>
    </w:p>
    <w:p>
      <w:pPr>
        <w:pStyle w:val="Heading5"/>
      </w:pPr>
      <w:bookmarkStart w:id="103" w:name="_Toc498094173"/>
      <w:r>
        <w:rPr>
          <w:rStyle w:val="CharSectno"/>
        </w:rPr>
        <w:t>108</w:t>
      </w:r>
      <w:r>
        <w:t>.</w:t>
      </w:r>
      <w:r>
        <w:tab/>
        <w:t>Prescribed conditions: section 27F(2)(b)</w:t>
      </w:r>
      <w:bookmarkEnd w:id="103"/>
    </w:p>
    <w:p>
      <w:pPr>
        <w:pStyle w:val="Subsection"/>
        <w:spacing w:before="150"/>
      </w:pPr>
      <w:r>
        <w:tab/>
        <w:t>(1)</w:t>
      </w:r>
      <w:r>
        <w:tab/>
        <w:t>For the purposes of section 27F(2)(b) of the Act, the prescribed conditions that a domestic betting operator must comply with are set out in this regulation.</w:t>
      </w:r>
    </w:p>
    <w:p>
      <w:pPr>
        <w:pStyle w:val="Subsection"/>
        <w:spacing w:before="150"/>
      </w:pPr>
      <w:r>
        <w:tab/>
        <w:t>(2)</w:t>
      </w:r>
      <w:r>
        <w:tab/>
        <w:t>A domestic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50"/>
      </w:pPr>
      <w:r>
        <w:tab/>
        <w:t>(3)</w:t>
      </w:r>
      <w:r>
        <w:tab/>
        <w:t>A domestic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50"/>
      </w:pPr>
      <w:r>
        <w:tab/>
        <w:t>(4)</w:t>
      </w:r>
      <w:r>
        <w:tab/>
        <w:t>A domestic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50"/>
      </w:pPr>
      <w:r>
        <w:tab/>
        <w:t>(5)</w:t>
      </w:r>
      <w:r>
        <w:tab/>
        <w:t>A domestic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pPr>
      <w:r>
        <w:tab/>
        <w:t>(6)</w:t>
      </w:r>
      <w:r>
        <w:tab/>
        <w:t>A domestic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 domestic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 domestic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108 inserted in Gazette 8 Jan 2010 p. 25-6.]</w:t>
      </w:r>
    </w:p>
    <w:p>
      <w:pPr>
        <w:pStyle w:val="Heading5"/>
      </w:pPr>
      <w:bookmarkStart w:id="104" w:name="_Toc498094174"/>
      <w:r>
        <w:rPr>
          <w:rStyle w:val="CharSectno"/>
        </w:rPr>
        <w:t>109</w:t>
      </w:r>
      <w:r>
        <w:t>.</w:t>
      </w:r>
      <w:r>
        <w:tab/>
        <w:t>Prescribed criteria: section 27F(4)</w:t>
      </w:r>
      <w:bookmarkEnd w:id="104"/>
    </w:p>
    <w:p>
      <w:pPr>
        <w:pStyle w:val="Subsection"/>
      </w:pPr>
      <w:r>
        <w:tab/>
        <w:t>(1)</w:t>
      </w:r>
      <w:r>
        <w:tab/>
        <w:t>For the purposes of section 27F(4) of the Act, the prescribed criteria are as follows —</w:t>
      </w:r>
    </w:p>
    <w:p>
      <w:pPr>
        <w:pStyle w:val="Indenta"/>
      </w:pPr>
      <w:r>
        <w:tab/>
        <w:t>(a)</w:t>
      </w:r>
      <w:r>
        <w:tab/>
        <w:t>whether the domestic betting operator has engaged in conduct that would tend to undermine the integrity or reputation of the Western Australian racing industry;</w:t>
      </w:r>
    </w:p>
    <w:p>
      <w:pPr>
        <w:pStyle w:val="Indenta"/>
      </w:pPr>
      <w:r>
        <w:tab/>
        <w:t>(b)</w:t>
      </w:r>
      <w:r>
        <w:tab/>
        <w:t>whether the domestic betting operator is fit and proper to hold an authorisation;</w:t>
      </w:r>
    </w:p>
    <w:p>
      <w:pPr>
        <w:pStyle w:val="Indenta"/>
      </w:pPr>
      <w:r>
        <w:tab/>
        <w:t>(c)</w:t>
      </w:r>
      <w:r>
        <w:tab/>
        <w:t>whether the domestic betting operator is authorised in this State or another State or a Territory under a law of that State or Territory to engage in or conduct the business of betting on races.</w:t>
      </w:r>
    </w:p>
    <w:p>
      <w:pPr>
        <w:pStyle w:val="Subsection"/>
      </w:pPr>
      <w:r>
        <w:tab/>
        <w:t>(2)</w:t>
      </w:r>
      <w:r>
        <w:tab/>
        <w:t>For the purpose of, and without limiting, subregulation (1)(b), the Commission may take into account the number and nature of any convictions recorded, or charges pending, against the domestic betting operator for offences against the laws of this State or another State or a Territory, having particular regard to offences against laws relating to wagering.</w:t>
      </w:r>
    </w:p>
    <w:p>
      <w:pPr>
        <w:pStyle w:val="Footnotesection"/>
      </w:pPr>
      <w:r>
        <w:tab/>
        <w:t>[Regulation 109 inserted in Gazette 8 Jan 2010 p. 26.]</w:t>
      </w:r>
    </w:p>
    <w:p>
      <w:pPr>
        <w:pStyle w:val="Heading5"/>
      </w:pPr>
      <w:bookmarkStart w:id="105" w:name="_Toc498094175"/>
      <w:r>
        <w:rPr>
          <w:rStyle w:val="CharSectno"/>
        </w:rPr>
        <w:t>110</w:t>
      </w:r>
      <w:r>
        <w:t>.</w:t>
      </w:r>
      <w:r>
        <w:tab/>
        <w:t>Audited return</w:t>
      </w:r>
      <w:bookmarkEnd w:id="105"/>
    </w:p>
    <w:p>
      <w:pPr>
        <w:pStyle w:val="Subsection"/>
      </w:pPr>
      <w:r>
        <w:tab/>
        <w:t>(1)</w:t>
      </w:r>
      <w:r>
        <w:tab/>
        <w:t>A betting operator must submit an audited return to the Commission before 30 August in each year unless the Commission has advised the operator in writing before that date that the operator is not required to submit an audited return that year.</w:t>
      </w:r>
    </w:p>
    <w:p>
      <w:pPr>
        <w:pStyle w:val="Penstart"/>
      </w:pPr>
      <w:r>
        <w:tab/>
        <w:t>Penalty: a fine of $1 000.</w:t>
      </w:r>
    </w:p>
    <w:p>
      <w:pPr>
        <w:pStyle w:val="Subsection"/>
      </w:pPr>
      <w:r>
        <w:tab/>
        <w:t>(2)</w:t>
      </w:r>
      <w:r>
        <w:tab/>
        <w:t>The audited return referred to in subregulation (1) must, for the 12 months ending on 31 July immediately preceding 30 August, show —</w:t>
      </w:r>
    </w:p>
    <w:p>
      <w:pPr>
        <w:pStyle w:val="Indenta"/>
      </w:pPr>
      <w:r>
        <w:tab/>
        <w:t>(a)</w:t>
      </w:r>
      <w:r>
        <w:tab/>
        <w:t>the amount of all racing bets placed with, or placed or accepted through, the betting operator; and</w:t>
      </w:r>
    </w:p>
    <w:p>
      <w:pPr>
        <w:pStyle w:val="Indenta"/>
      </w:pPr>
      <w:r>
        <w:tab/>
        <w:t>(b)</w:t>
      </w:r>
      <w:r>
        <w:tab/>
        <w:t>the amount by way of levy paid on those bets under section 14A(2) of the Act; and</w:t>
      </w:r>
    </w:p>
    <w:p>
      <w:pPr>
        <w:pStyle w:val="Indenta"/>
      </w:pPr>
      <w:r>
        <w:tab/>
        <w:t>(c)</w:t>
      </w:r>
      <w:r>
        <w:tab/>
        <w:t>the amount of racing bets in relation to which the levy was paid in relation to —</w:t>
      </w:r>
    </w:p>
    <w:p>
      <w:pPr>
        <w:pStyle w:val="Indenti"/>
      </w:pPr>
      <w:r>
        <w:tab/>
        <w:t>(i)</w:t>
      </w:r>
      <w:r>
        <w:tab/>
        <w:t>gross revenue; and</w:t>
      </w:r>
    </w:p>
    <w:p>
      <w:pPr>
        <w:pStyle w:val="Indenti"/>
      </w:pPr>
      <w:r>
        <w:tab/>
        <w:t>(ii)</w:t>
      </w:r>
      <w:r>
        <w:tab/>
        <w:t>turnover.</w:t>
      </w:r>
    </w:p>
    <w:p>
      <w:pPr>
        <w:pStyle w:val="Footnotesection"/>
      </w:pPr>
      <w:r>
        <w:tab/>
        <w:t>[Regulation 110 inserted in Gazette 8 Jan 2010 p. 27.]</w:t>
      </w:r>
    </w:p>
    <w:p>
      <w:pPr>
        <w:ind w:left="49" w:right="-20"/>
        <w:jc w:val="center"/>
        <w:rPr>
          <w:rStyle w:val="CharDivText"/>
        </w:rPr>
        <w:sectPr>
          <w:headerReference w:type="even" r:id="rId22"/>
          <w:headerReference w:type="default" r:id="rId23"/>
          <w:footerReference w:type="even" r:id="rId24"/>
          <w:headerReference w:type="first" r:id="rId25"/>
          <w:pgSz w:w="11907" w:h="16840" w:code="9"/>
          <w:pgMar w:top="2269" w:right="2409" w:bottom="3543" w:left="2409" w:header="720" w:footer="3380" w:gutter="0"/>
          <w:pgNumType w:start="1"/>
          <w:cols w:space="720"/>
          <w:noEndnote/>
          <w:titlePg/>
          <w:docGrid w:linePitch="326"/>
        </w:sectPr>
      </w:pPr>
    </w:p>
    <w:p>
      <w:pPr>
        <w:pStyle w:val="yScheduleHeading"/>
        <w:pageBreakBefore w:val="0"/>
      </w:pPr>
      <w:bookmarkStart w:id="106" w:name="_Toc498093849"/>
      <w:bookmarkStart w:id="107" w:name="_Toc498094176"/>
      <w:r>
        <w:rPr>
          <w:rStyle w:val="CharSchNo"/>
        </w:rPr>
        <w:t>Appendix</w:t>
      </w:r>
      <w:bookmarkEnd w:id="106"/>
      <w:bookmarkEnd w:id="107"/>
    </w:p>
    <w:p>
      <w:pPr>
        <w:pStyle w:val="yHeading2"/>
        <w:spacing w:before="120"/>
      </w:pPr>
      <w:bookmarkStart w:id="108" w:name="_Toc498093850"/>
      <w:bookmarkStart w:id="109" w:name="_Toc498094177"/>
      <w:r>
        <w:rPr>
          <w:rStyle w:val="CharSchText"/>
        </w:rPr>
        <w:t>Rules of Betting</w:t>
      </w:r>
      <w:bookmarkEnd w:id="108"/>
      <w:bookmarkEnd w:id="109"/>
    </w:p>
    <w:p>
      <w:pPr>
        <w:pStyle w:val="yFootnoteheading"/>
      </w:pPr>
      <w:r>
        <w:tab/>
        <w:t>[Heading inserted in Gazette 14 Sep 1990 p. 4864.]</w:t>
      </w:r>
    </w:p>
    <w:p>
      <w:pPr>
        <w:pStyle w:val="yHeading3"/>
        <w:rPr>
          <w:sz w:val="22"/>
        </w:rPr>
      </w:pPr>
      <w:bookmarkStart w:id="110" w:name="_Toc498093851"/>
      <w:bookmarkStart w:id="111" w:name="_Toc498094178"/>
      <w:r>
        <w:rPr>
          <w:rStyle w:val="CharSDivNo"/>
        </w:rPr>
        <w:t>Part 1</w:t>
      </w:r>
      <w:r>
        <w:rPr>
          <w:sz w:val="22"/>
        </w:rPr>
        <w:t> — </w:t>
      </w:r>
      <w:r>
        <w:rPr>
          <w:rStyle w:val="CharSDivText"/>
        </w:rPr>
        <w:t>Betting under the rules of racing</w:t>
      </w:r>
      <w:bookmarkEnd w:id="110"/>
      <w:bookmarkEnd w:id="111"/>
    </w:p>
    <w:p>
      <w:pPr>
        <w:pStyle w:val="yFootnoteheading"/>
        <w:rPr>
          <w:snapToGrid w:val="0"/>
        </w:rPr>
      </w:pPr>
      <w:r>
        <w:rPr>
          <w:snapToGrid w:val="0"/>
        </w:rPr>
        <w:tab/>
        <w:t>[Heading inserted in Gazette 21 Jul 1998 p. 3856.]</w:t>
      </w:r>
    </w:p>
    <w:p>
      <w:pPr>
        <w:pStyle w:val="yHeading5"/>
        <w:spacing w:before="260"/>
        <w:rPr>
          <w:snapToGrid w:val="0"/>
        </w:rPr>
      </w:pPr>
      <w:bookmarkStart w:id="112" w:name="_Toc498094179"/>
      <w:r>
        <w:rPr>
          <w:rStyle w:val="CharSClsNo"/>
        </w:rPr>
        <w:t>1</w:t>
      </w:r>
      <w:r>
        <w:rPr>
          <w:snapToGrid w:val="0"/>
        </w:rPr>
        <w:t>.</w:t>
      </w:r>
      <w:r>
        <w:rPr>
          <w:snapToGrid w:val="0"/>
        </w:rPr>
        <w:tab/>
        <w:t>Terms used</w:t>
      </w:r>
      <w:bookmarkEnd w:id="112"/>
    </w:p>
    <w:p>
      <w:pPr>
        <w:pStyle w:val="ySubsection"/>
        <w:spacing w:before="200"/>
        <w:rPr>
          <w:snapToGrid w:val="0"/>
        </w:rPr>
      </w:pPr>
      <w:r>
        <w:rPr>
          <w:snapToGrid w:val="0"/>
        </w:rPr>
        <w:tab/>
        <w:t>(1)</w:t>
      </w:r>
      <w:r>
        <w:rPr>
          <w:snapToGrid w:val="0"/>
        </w:rPr>
        <w:tab/>
        <w:t>In these rules, unless the contrary intention appears —</w:t>
      </w:r>
    </w:p>
    <w:p>
      <w:pPr>
        <w:pStyle w:val="yDefstart"/>
        <w:spacing w:before="60"/>
      </w:pPr>
      <w:r>
        <w:rPr>
          <w:b/>
        </w:rPr>
        <w:tab/>
      </w:r>
      <w:r>
        <w:rPr>
          <w:rStyle w:val="CharDefText"/>
        </w:rPr>
        <w:t>all up bet</w:t>
      </w:r>
      <w:r>
        <w:t xml:space="preserve"> means a bet in which the original stake and any subsequent winnings are wagered on the runners named until the contract is completed;</w:t>
      </w:r>
    </w:p>
    <w:p>
      <w:pPr>
        <w:pStyle w:val="yDefstart"/>
        <w:spacing w:before="60"/>
      </w:pPr>
      <w:r>
        <w:rPr>
          <w:b/>
        </w:rPr>
        <w:tab/>
      </w:r>
      <w:r>
        <w:rPr>
          <w:rStyle w:val="CharDefText"/>
        </w:rPr>
        <w:t>barrier</w:t>
      </w:r>
      <w:r>
        <w:t xml:space="preserve"> includes starting box or starting gate;</w:t>
      </w:r>
    </w:p>
    <w:p>
      <w:pPr>
        <w:pStyle w:val="yDefstart"/>
        <w:spacing w:before="60"/>
      </w:pPr>
      <w:r>
        <w:rPr>
          <w:b/>
        </w:rPr>
        <w:tab/>
      </w:r>
      <w:r>
        <w:rPr>
          <w:rStyle w:val="CharDefText"/>
        </w:rPr>
        <w:t>betting sheet</w:t>
      </w:r>
      <w:r>
        <w:t xml:space="preserve"> means the written record of a bookmaker’s bets on the several runners in a race as required by the Act and regulations;</w:t>
      </w:r>
    </w:p>
    <w:p>
      <w:pPr>
        <w:pStyle w:val="yDefstart"/>
        <w:spacing w:before="60"/>
      </w:pPr>
      <w:r>
        <w:rPr>
          <w:b/>
        </w:rPr>
        <w:tab/>
      </w:r>
      <w:r>
        <w:rPr>
          <w:rStyle w:val="CharDefText"/>
        </w:rPr>
        <w:t>committee</w:t>
      </w:r>
      <w:r>
        <w:t xml:space="preserve"> means the committee of the racing club holding the race meeting;</w:t>
      </w:r>
    </w:p>
    <w:p>
      <w:pPr>
        <w:pStyle w:val="yDefstart"/>
        <w:spacing w:before="60"/>
      </w:pPr>
      <w:r>
        <w:rPr>
          <w:b/>
        </w:rPr>
        <w:tab/>
      </w:r>
      <w:r>
        <w:rPr>
          <w:rStyle w:val="CharDefText"/>
        </w:rPr>
        <w:t>double</w:t>
      </w:r>
      <w:r>
        <w:t xml:space="preserve"> means a bet on the contingency of 2 races;</w:t>
      </w:r>
    </w:p>
    <w:p>
      <w:pPr>
        <w:pStyle w:val="yDefstart"/>
        <w:spacing w:before="60"/>
      </w:pPr>
      <w:r>
        <w:rPr>
          <w:b/>
        </w:rPr>
        <w:tab/>
      </w:r>
      <w:r>
        <w:rPr>
          <w:rStyle w:val="CharDefText"/>
        </w:rPr>
        <w:t>objection</w:t>
      </w:r>
      <w:r>
        <w:t xml:space="preserve"> includes protest;</w:t>
      </w:r>
    </w:p>
    <w:p>
      <w:pPr>
        <w:pStyle w:val="yDefstart"/>
        <w:spacing w:before="60"/>
      </w:pPr>
      <w:r>
        <w:rPr>
          <w:b/>
        </w:rPr>
        <w:tab/>
      </w:r>
      <w:r>
        <w:rPr>
          <w:rStyle w:val="CharDefText"/>
        </w:rPr>
        <w:t>play or pay</w:t>
      </w:r>
      <w:r>
        <w:t xml:space="preserve"> used in relation to a bet, means a bet that holds good whether the runner to which the bet relates runs in the race in respect of which the bet is made or not;</w:t>
      </w:r>
    </w:p>
    <w:p>
      <w:pPr>
        <w:pStyle w:val="yDefstart"/>
        <w:spacing w:before="60"/>
      </w:pPr>
      <w:r>
        <w:rPr>
          <w:b/>
        </w:rPr>
        <w:tab/>
      </w:r>
      <w:r>
        <w:rPr>
          <w:rStyle w:val="CharDefText"/>
        </w:rPr>
        <w:t>Scale of Deduction Table</w:t>
      </w:r>
      <w:r>
        <w:t xml:space="preserve"> means the Table set out at the end of these rules;</w:t>
      </w:r>
    </w:p>
    <w:p>
      <w:pPr>
        <w:pStyle w:val="yDefstart"/>
        <w:spacing w:before="60"/>
      </w:pPr>
      <w:r>
        <w:rPr>
          <w:b/>
        </w:rPr>
        <w:tab/>
      </w:r>
      <w:r>
        <w:rPr>
          <w:rStyle w:val="CharDefText"/>
        </w:rPr>
        <w:t>treble</w:t>
      </w:r>
      <w:r>
        <w:t xml:space="preserve"> means a bet on the contingency of 3 races;</w:t>
      </w:r>
    </w:p>
    <w:p>
      <w:pPr>
        <w:pStyle w:val="yDefstart"/>
        <w:spacing w:before="60"/>
      </w:pPr>
      <w:r>
        <w:rPr>
          <w:b/>
        </w:rPr>
        <w:tab/>
      </w:r>
      <w:r>
        <w:rPr>
          <w:rStyle w:val="CharDefText"/>
        </w:rPr>
        <w:t>walk</w:t>
      </w:r>
      <w:r>
        <w:rPr>
          <w:rStyle w:val="CharDefText"/>
        </w:rPr>
        <w:noBreakHyphen/>
        <w:t>over</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in Gazette 21 Jul 1998 p. 3855 and 3856; 30 Jan 2004 p. 406.]</w:t>
      </w:r>
    </w:p>
    <w:p>
      <w:pPr>
        <w:pStyle w:val="yHeading5"/>
        <w:rPr>
          <w:snapToGrid w:val="0"/>
        </w:rPr>
      </w:pPr>
      <w:bookmarkStart w:id="113" w:name="_Toc498094180"/>
      <w:r>
        <w:rPr>
          <w:rStyle w:val="CharSClsNo"/>
        </w:rPr>
        <w:t>2</w:t>
      </w:r>
      <w:r>
        <w:rPr>
          <w:snapToGrid w:val="0"/>
        </w:rPr>
        <w:t>.</w:t>
      </w:r>
      <w:r>
        <w:rPr>
          <w:snapToGrid w:val="0"/>
        </w:rPr>
        <w:tab/>
        <w:t>Bets void in certain circumstances</w:t>
      </w:r>
      <w:bookmarkEnd w:id="113"/>
    </w:p>
    <w:p>
      <w:pPr>
        <w:pStyle w:val="ySubsection"/>
        <w:spacing w:before="140"/>
        <w:rPr>
          <w:snapToGrid w:val="0"/>
        </w:rPr>
      </w:pPr>
      <w:r>
        <w:rPr>
          <w:snapToGrid w:val="0"/>
        </w:rPr>
        <w:tab/>
        <w:t>(1)</w:t>
      </w:r>
      <w:r>
        <w:rPr>
          <w:snapToGrid w:val="0"/>
        </w:rPr>
        <w:tab/>
        <w:t>A bet is void —</w:t>
      </w:r>
    </w:p>
    <w:p>
      <w:pPr>
        <w:pStyle w:val="yIndenta"/>
        <w:spacing w:before="60"/>
        <w:rPr>
          <w:snapToGrid w:val="0"/>
        </w:rPr>
      </w:pPr>
      <w:r>
        <w:rPr>
          <w:snapToGrid w:val="0"/>
        </w:rPr>
        <w:tab/>
        <w:t>(a)</w:t>
      </w:r>
      <w:r>
        <w:rPr>
          <w:snapToGrid w:val="0"/>
        </w:rPr>
        <w:tab/>
        <w:t>if, when it is made, it is not possible for the backer to win; or</w:t>
      </w:r>
    </w:p>
    <w:p>
      <w:pPr>
        <w:pStyle w:val="yIndenta"/>
        <w:spacing w:before="6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 or</w:t>
      </w:r>
    </w:p>
    <w:p>
      <w:pPr>
        <w:pStyle w:val="yIndenta"/>
        <w:spacing w:before="60"/>
        <w:rPr>
          <w:snapToGrid w:val="0"/>
        </w:rPr>
      </w:pPr>
      <w:r>
        <w:rPr>
          <w:snapToGrid w:val="0"/>
        </w:rPr>
        <w:tab/>
        <w:t>(c)</w:t>
      </w:r>
      <w:r>
        <w:rPr>
          <w:snapToGrid w:val="0"/>
        </w:rPr>
        <w:tab/>
        <w:t>if it is made on a runner in running; or</w:t>
      </w:r>
    </w:p>
    <w:p>
      <w:pPr>
        <w:pStyle w:val="yIndenta"/>
        <w:spacing w:before="6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 or</w:t>
      </w:r>
    </w:p>
    <w:p>
      <w:pPr>
        <w:pStyle w:val="yIndenta"/>
        <w:spacing w:before="60"/>
        <w:rPr>
          <w:snapToGrid w:val="0"/>
        </w:rPr>
      </w:pPr>
      <w:r>
        <w:rPr>
          <w:snapToGrid w:val="0"/>
        </w:rPr>
        <w:tab/>
        <w:t>(e)</w:t>
      </w:r>
      <w:r>
        <w:rPr>
          <w:snapToGrid w:val="0"/>
        </w:rPr>
        <w:tab/>
        <w:t>if, being made on a match between 2 runners the match results in a dead heat; or</w:t>
      </w:r>
    </w:p>
    <w:p>
      <w:pPr>
        <w:pStyle w:val="yIndenta"/>
        <w:spacing w:before="60"/>
        <w:rPr>
          <w:snapToGrid w:val="0"/>
        </w:rPr>
      </w:pPr>
      <w:r>
        <w:rPr>
          <w:snapToGrid w:val="0"/>
        </w:rPr>
        <w:tab/>
        <w:t>(f)</w:t>
      </w:r>
      <w:r>
        <w:rPr>
          <w:snapToGrid w:val="0"/>
        </w:rPr>
        <w:tab/>
        <w:t>if it is made after the determination of the race to which it relates; or</w:t>
      </w:r>
    </w:p>
    <w:p>
      <w:pPr>
        <w:pStyle w:val="yIndenta"/>
        <w:spacing w:before="60"/>
        <w:rPr>
          <w:snapToGrid w:val="0"/>
        </w:rPr>
      </w:pPr>
      <w:r>
        <w:rPr>
          <w:snapToGrid w:val="0"/>
        </w:rPr>
        <w:tab/>
        <w:t>(g)</w:t>
      </w:r>
      <w:r>
        <w:rPr>
          <w:snapToGrid w:val="0"/>
        </w:rPr>
        <w:tab/>
        <w:t>if it is so declared by</w:t>
      </w:r>
      <w:r>
        <w:t xml:space="preserve"> the rules of racing or wagering</w:t>
      </w:r>
      <w:r>
        <w:rPr>
          <w:snapToGrid w:val="0"/>
        </w:rPr>
        <w:t>; or</w:t>
      </w:r>
    </w:p>
    <w:p>
      <w:pPr>
        <w:pStyle w:val="yIndenta"/>
        <w:spacing w:before="60"/>
        <w:rPr>
          <w:snapToGrid w:val="0"/>
        </w:rPr>
      </w:pPr>
      <w:r>
        <w:rPr>
          <w:snapToGrid w:val="0"/>
        </w:rPr>
        <w:tab/>
        <w:t>(h)</w:t>
      </w:r>
      <w:r>
        <w:rPr>
          <w:snapToGrid w:val="0"/>
        </w:rPr>
        <w:tab/>
        <w:t>if it is declared to be void by the Commission pursuant to subrule (2); or</w:t>
      </w:r>
    </w:p>
    <w:p>
      <w:pPr>
        <w:pStyle w:val="yIndenta"/>
        <w:spacing w:before="60"/>
        <w:rPr>
          <w:snapToGrid w:val="0"/>
        </w:rPr>
      </w:pPr>
      <w:r>
        <w:rPr>
          <w:snapToGrid w:val="0"/>
        </w:rPr>
        <w:tab/>
        <w:t>(i)</w:t>
      </w:r>
      <w:r>
        <w:rPr>
          <w:snapToGrid w:val="0"/>
        </w:rPr>
        <w:tab/>
        <w:t>if it becomes void in the manner provided in rule 12.</w:t>
      </w:r>
    </w:p>
    <w:p>
      <w:pPr>
        <w:pStyle w:val="ySubsection"/>
        <w:spacing w:before="12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spacing w:before="80"/>
      </w:pPr>
      <w:r>
        <w:tab/>
        <w:t>[Rule 2 amended in Gazette 21 Jul 1998 p. 3855 and 3856; 18 Jan 2002 p. 284; 20 Sep 2002 p. 4704; 30 Jan 2004 p. 406 and 412.]</w:t>
      </w:r>
    </w:p>
    <w:p>
      <w:pPr>
        <w:pStyle w:val="yHeading5"/>
        <w:keepLines w:val="0"/>
        <w:spacing w:before="200"/>
        <w:rPr>
          <w:snapToGrid w:val="0"/>
        </w:rPr>
      </w:pPr>
      <w:bookmarkStart w:id="114" w:name="_Toc498094181"/>
      <w:r>
        <w:rPr>
          <w:rStyle w:val="CharSClsNo"/>
        </w:rPr>
        <w:t>3</w:t>
      </w:r>
      <w:r>
        <w:rPr>
          <w:snapToGrid w:val="0"/>
        </w:rPr>
        <w:t>.</w:t>
      </w:r>
      <w:r>
        <w:rPr>
          <w:snapToGrid w:val="0"/>
        </w:rPr>
        <w:tab/>
        <w:t>When bets are off</w:t>
      </w:r>
      <w:bookmarkEnd w:id="114"/>
    </w:p>
    <w:p>
      <w:pPr>
        <w:pStyle w:val="ySubsection"/>
        <w:keepNext/>
        <w:spacing w:before="120"/>
        <w:rPr>
          <w:snapToGrid w:val="0"/>
        </w:rPr>
      </w:pPr>
      <w:r>
        <w:rPr>
          <w:snapToGrid w:val="0"/>
        </w:rPr>
        <w:tab/>
        <w:t>(1)</w:t>
      </w:r>
      <w:r>
        <w:rPr>
          <w:snapToGrid w:val="0"/>
        </w:rPr>
        <w:tab/>
        <w:t>No bet can be declared off except by mutual consent or as hereinafter provided, that is to say —</w:t>
      </w:r>
    </w:p>
    <w:p>
      <w:pPr>
        <w:pStyle w:val="yIndenta"/>
        <w:spacing w:before="60"/>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rPr>
          <w:snapToGrid w:val="0"/>
        </w:rPr>
      </w:pPr>
      <w:r>
        <w:rPr>
          <w:snapToGrid w:val="0"/>
        </w:rPr>
        <w:tab/>
        <w:t>(c)</w:t>
      </w:r>
      <w:r>
        <w:rPr>
          <w:snapToGrid w:val="0"/>
        </w:rPr>
        <w:tab/>
        <w:t>all wagers with any person who after the making of the wagers has been declared a defaulter, are off;</w:t>
      </w:r>
    </w:p>
    <w:p>
      <w:pPr>
        <w:pStyle w:val="yIndenta"/>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Ednotesubsection"/>
      </w:pPr>
      <w:r>
        <w:tab/>
        <w:t>[(1a)-(3)</w:t>
      </w:r>
      <w:r>
        <w:tab/>
        <w:t>deleted]</w:t>
      </w:r>
    </w:p>
    <w:p>
      <w:pPr>
        <w:pStyle w:val="yFootnotesection"/>
      </w:pPr>
      <w:r>
        <w:tab/>
        <w:t>[Rule 3 amended in Gazette 21 Jul 1998 p. 3855; 20 Sep 2002 p. 4704; 30 Jan 2004 p. 407</w:t>
      </w:r>
      <w:r>
        <w:noBreakHyphen/>
        <w:t>8 and 412; 4 Jan 2013 p. 11.]</w:t>
      </w:r>
    </w:p>
    <w:p>
      <w:pPr>
        <w:pStyle w:val="yHeading5"/>
      </w:pPr>
      <w:bookmarkStart w:id="115" w:name="_Toc498094182"/>
      <w:r>
        <w:rPr>
          <w:rStyle w:val="CharSClsNo"/>
        </w:rPr>
        <w:t>4A</w:t>
      </w:r>
      <w:r>
        <w:t>.</w:t>
      </w:r>
      <w:r>
        <w:tab/>
        <w:t>Determination of bets where runner withdrawn</w:t>
      </w:r>
      <w:bookmarkEnd w:id="115"/>
    </w:p>
    <w:p>
      <w:pPr>
        <w:pStyle w:val="ySubsection"/>
      </w:pPr>
      <w:r>
        <w:tab/>
        <w:t>(1)</w:t>
      </w:r>
      <w:r>
        <w:tab/>
        <w:t xml:space="preserve">In this rule — </w:t>
      </w:r>
    </w:p>
    <w:p>
      <w:pPr>
        <w:pStyle w:val="yDefstart"/>
      </w:pPr>
      <w:r>
        <w:tab/>
      </w:r>
      <w:r>
        <w:rPr>
          <w:rStyle w:val="CharDefText"/>
        </w:rPr>
        <w:t>bet</w:t>
      </w:r>
      <w:r>
        <w:t xml:space="preserve"> means a bet, other than a play or pay bet, made on the day of a race that is — </w:t>
      </w:r>
    </w:p>
    <w:p>
      <w:pPr>
        <w:pStyle w:val="yDefpara"/>
      </w:pPr>
      <w:r>
        <w:tab/>
        <w:t>(a)</w:t>
      </w:r>
      <w:r>
        <w:tab/>
        <w:t>a win bet or a place bet; or</w:t>
      </w:r>
    </w:p>
    <w:p>
      <w:pPr>
        <w:pStyle w:val="yDefpara"/>
      </w:pPr>
      <w:r>
        <w:tab/>
        <w:t>(b)</w:t>
      </w:r>
      <w:r>
        <w:tab/>
        <w:t>a bet where the person making the bet selects a combination of 2 runners in the same race on the chance that they will be first and second in that race, irrespective of the order in which they finish (known as a “quinella bet”); or</w:t>
      </w:r>
    </w:p>
    <w:p>
      <w:pPr>
        <w:pStyle w:val="yDefpara"/>
      </w:pPr>
      <w:r>
        <w:tab/>
        <w:t>(c)</w:t>
      </w:r>
      <w:r>
        <w:tab/>
        <w:t>a concession bet; or</w:t>
      </w:r>
    </w:p>
    <w:p>
      <w:pPr>
        <w:pStyle w:val="yDefpara"/>
      </w:pPr>
      <w:r>
        <w:tab/>
        <w:t>(d)</w:t>
      </w:r>
      <w:r>
        <w:tab/>
        <w:t>a double;</w:t>
      </w:r>
    </w:p>
    <w:p>
      <w:pPr>
        <w:pStyle w:val="yDefstart"/>
      </w:pPr>
      <w:r>
        <w:tab/>
      </w:r>
      <w:r>
        <w:rPr>
          <w:rStyle w:val="CharDefText"/>
        </w:rPr>
        <w:t>late scratched runner</w:t>
      </w:r>
      <w:r>
        <w:t xml:space="preserve">, in relation to a race, means — </w:t>
      </w:r>
    </w:p>
    <w:p>
      <w:pPr>
        <w:pStyle w:val="yDefpara"/>
      </w:pPr>
      <w:r>
        <w:tab/>
        <w:t>(a)</w:t>
      </w:r>
      <w:r>
        <w:tab/>
        <w:t>a runner that the stewards order or permit to be withdrawn from the race after the time for withdrawal has elapsed; or</w:t>
      </w:r>
    </w:p>
    <w:p>
      <w:pPr>
        <w:pStyle w:val="yDefpara"/>
      </w:pPr>
      <w:r>
        <w:tab/>
        <w:t>(b)</w:t>
      </w:r>
      <w:r>
        <w:tab/>
        <w:t>a runner that the stewards have declared to be a non</w:t>
      </w:r>
      <w:r>
        <w:noBreakHyphen/>
        <w:t>starter;</w:t>
      </w:r>
    </w:p>
    <w:p>
      <w:pPr>
        <w:pStyle w:val="yDefstart"/>
        <w:keepNext/>
      </w:pPr>
      <w:r>
        <w:tab/>
      </w:r>
      <w:r>
        <w:rPr>
          <w:rStyle w:val="CharDefText"/>
        </w:rPr>
        <w:t>odds</w:t>
      </w:r>
      <w:r>
        <w:t xml:space="preserve">, against a runner winning a race, means — </w:t>
      </w:r>
    </w:p>
    <w:p>
      <w:pPr>
        <w:pStyle w:val="yDefpara"/>
      </w:pPr>
      <w:r>
        <w:tab/>
        <w:t>(a)</w:t>
      </w:r>
      <w:r>
        <w:tab/>
        <w:t>subject to paragraph (b), the odds against the runner on offer at the time, and at the place, the race is being run; or</w:t>
      </w:r>
    </w:p>
    <w:p>
      <w:pPr>
        <w:pStyle w:val="yDefpara"/>
      </w:pPr>
      <w:r>
        <w:tab/>
        <w:t>(b)</w:t>
      </w:r>
      <w:r>
        <w:tab/>
        <w:t>if the stewards are satisfied that the odds against the runner on offer at the time, and at the place, where the race is being run cannot be accurately determined in a timely manner, the odds determined by the stewards in a manner approved by RWWA;</w:t>
      </w:r>
    </w:p>
    <w:p>
      <w:pPr>
        <w:pStyle w:val="yDefstart"/>
      </w:pPr>
      <w:r>
        <w:tab/>
      </w:r>
      <w:r>
        <w:rPr>
          <w:rStyle w:val="CharDefText"/>
        </w:rPr>
        <w:t>percentage</w:t>
      </w:r>
      <w:r>
        <w:t>, for a runner in a race, means the odds against the runner winning the race, expressed as a percentage;</w:t>
      </w:r>
    </w:p>
    <w:p>
      <w:pPr>
        <w:pStyle w:val="yDefstart"/>
      </w:pPr>
      <w:r>
        <w:tab/>
      </w:r>
      <w:r>
        <w:rPr>
          <w:rStyle w:val="CharDefText"/>
        </w:rPr>
        <w:t>sum percentage</w:t>
      </w:r>
      <w:r>
        <w:t>, for runners in a race, means the sum of the percentages for the runners.</w:t>
      </w:r>
    </w:p>
    <w:p>
      <w:pPr>
        <w:pStyle w:val="ySubsection"/>
      </w:pPr>
      <w:r>
        <w:tab/>
        <w:t>(2)</w:t>
      </w:r>
      <w:r>
        <w:tab/>
        <w:t xml:space="preserve">If, in relation to a race, there is a late scratched runner, a bookmaker must — </w:t>
      </w:r>
    </w:p>
    <w:p>
      <w:pPr>
        <w:pStyle w:val="yIndenta"/>
      </w:pPr>
      <w:r>
        <w:tab/>
        <w:t>(a)</w:t>
      </w:r>
      <w:r>
        <w:tab/>
        <w:t>refund all bets on the late scratched runner and those bets are, by operation of this rule, declared off;</w:t>
      </w:r>
    </w:p>
    <w:p>
      <w:pPr>
        <w:pStyle w:val="yIndenta"/>
      </w:pPr>
      <w:r>
        <w:tab/>
        <w:t>(b)</w:t>
      </w:r>
      <w:r>
        <w:tab/>
        <w:t xml:space="preserve">subject to subrule (5), pay bets on the runners calculated in accordance with the following formula — </w:t>
      </w:r>
    </w:p>
    <w:p>
      <w:pPr>
        <w:pStyle w:val="yIndenta"/>
      </w:pPr>
      <w:r>
        <w:tab/>
      </w:r>
      <w:r>
        <w:tab/>
      </w:r>
      <w:r>
        <w:rPr>
          <w:noProof/>
          <w:position w:val="-6"/>
        </w:rPr>
        <w:drawing>
          <wp:inline distT="0" distB="0" distL="0" distR="0">
            <wp:extent cx="542925" cy="1809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42925" cy="180975"/>
                    </a:xfrm>
                    <a:prstGeom prst="rect">
                      <a:avLst/>
                    </a:prstGeom>
                    <a:noFill/>
                    <a:ln>
                      <a:noFill/>
                    </a:ln>
                  </pic:spPr>
                </pic:pic>
              </a:graphicData>
            </a:graphic>
          </wp:inline>
        </w:drawing>
      </w:r>
    </w:p>
    <w:p>
      <w:pPr>
        <w:pStyle w:val="yIndenta"/>
      </w:pPr>
      <w:r>
        <w:tab/>
      </w:r>
      <w:r>
        <w:tab/>
        <w:t xml:space="preserve">where — </w:t>
      </w:r>
    </w:p>
    <w:p>
      <w:pPr>
        <w:pStyle w:val="yIndenti0"/>
      </w:pPr>
      <w:r>
        <w:rPr>
          <w:b/>
          <w:bCs/>
        </w:rPr>
        <w:tab/>
        <w:t>b</w:t>
      </w:r>
      <w:r>
        <w:rPr>
          <w:b/>
          <w:bCs/>
        </w:rPr>
        <w:tab/>
      </w:r>
      <w:r>
        <w:t>is the bets to be paid;</w:t>
      </w:r>
    </w:p>
    <w:p>
      <w:pPr>
        <w:pStyle w:val="yIndenti0"/>
      </w:pPr>
      <w:r>
        <w:rPr>
          <w:b/>
          <w:bCs/>
        </w:rPr>
        <w:tab/>
        <w:t>t</w:t>
      </w:r>
      <w:r>
        <w:rPr>
          <w:b/>
          <w:bCs/>
        </w:rPr>
        <w:tab/>
      </w:r>
      <w:r>
        <w:t>is the face value of the ticket;</w:t>
      </w:r>
    </w:p>
    <w:p>
      <w:pPr>
        <w:pStyle w:val="yIndenti0"/>
      </w:pPr>
      <w:r>
        <w:rPr>
          <w:b/>
          <w:bCs/>
        </w:rPr>
        <w:tab/>
        <w:t>d</w:t>
      </w:r>
      <w:r>
        <w:rPr>
          <w:b/>
          <w:bCs/>
        </w:rPr>
        <w:tab/>
      </w:r>
      <w:r>
        <w:t>is the deduction declared by the stewards under subrule (3) or (4).</w:t>
      </w:r>
    </w:p>
    <w:p>
      <w:pPr>
        <w:pStyle w:val="ySubsection"/>
        <w:keepNext/>
      </w:pPr>
      <w:r>
        <w:tab/>
        <w:t>(3)</w:t>
      </w:r>
      <w:r>
        <w:tab/>
        <w:t xml:space="preserve">The stewards may — </w:t>
      </w:r>
    </w:p>
    <w:p>
      <w:pPr>
        <w:pStyle w:val="yIndenta"/>
        <w:keepNext/>
      </w:pPr>
      <w:r>
        <w:tab/>
        <w:t>(a)</w:t>
      </w:r>
      <w:r>
        <w:tab/>
        <w:t xml:space="preserve">if the sum percentage of runners is less than or equal to 140%, declare a deduction for the purposes of subrule (2)(b) calculated in accordance with the following formula — </w:t>
      </w:r>
    </w:p>
    <w:p>
      <w:pPr>
        <w:pStyle w:val="yIndenta"/>
      </w:pPr>
      <w:r>
        <w:tab/>
      </w:r>
      <w:r>
        <w:tab/>
      </w:r>
      <w:r>
        <w:rPr>
          <w:noProof/>
        </w:rPr>
        <w:drawing>
          <wp:inline distT="0" distB="0" distL="0" distR="0">
            <wp:extent cx="390525" cy="1428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90525" cy="1428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a"/>
      </w:pPr>
      <w:r>
        <w:tab/>
      </w:r>
      <w:r>
        <w:tab/>
        <w:t>with the deductions applied to each remaining runner being proportional to the odds against that runner;</w:t>
      </w:r>
    </w:p>
    <w:p>
      <w:pPr>
        <w:pStyle w:val="yIndenta"/>
      </w:pPr>
      <w:r>
        <w:tab/>
        <w:t>(b)</w:t>
      </w:r>
      <w:r>
        <w:tab/>
        <w:t xml:space="preserve">if the sum percentage of runners is greater than 140%, declare a deduction for the purposes of subrule (2)(b) calculated in accordance with the following formula — </w:t>
      </w:r>
    </w:p>
    <w:p>
      <w:pPr>
        <w:pStyle w:val="yIndenta"/>
      </w:pPr>
      <w:r>
        <w:tab/>
      </w:r>
      <w:r>
        <w:tab/>
      </w:r>
      <w:r>
        <w:rPr>
          <w:noProof/>
        </w:rPr>
        <w:drawing>
          <wp:inline distT="0" distB="0" distL="0" distR="0">
            <wp:extent cx="609600" cy="1809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09600" cy="1809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i0"/>
      </w:pPr>
      <w:r>
        <w:tab/>
      </w:r>
      <w:r>
        <w:rPr>
          <w:b/>
        </w:rPr>
        <w:t>d</w:t>
      </w:r>
      <w:r>
        <w:tab/>
        <w:t xml:space="preserve">is calculated in accordance with the following formula — </w:t>
      </w:r>
    </w:p>
    <w:p>
      <w:pPr>
        <w:pStyle w:val="yIndenti0"/>
      </w:pPr>
      <w:r>
        <w:tab/>
      </w:r>
      <w:r>
        <w:tab/>
      </w:r>
      <w:r>
        <w:rPr>
          <w:noProof/>
          <w:position w:val="-10"/>
        </w:rPr>
        <w:drawing>
          <wp:inline distT="0" distB="0" distL="0" distR="0">
            <wp:extent cx="790575" cy="2000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90575" cy="200025"/>
                    </a:xfrm>
                    <a:prstGeom prst="rect">
                      <a:avLst/>
                    </a:prstGeom>
                    <a:noFill/>
                    <a:ln>
                      <a:noFill/>
                    </a:ln>
                  </pic:spPr>
                </pic:pic>
              </a:graphicData>
            </a:graphic>
          </wp:inline>
        </w:drawing>
      </w:r>
    </w:p>
    <w:p>
      <w:pPr>
        <w:pStyle w:val="yIndenta"/>
      </w:pPr>
      <w:r>
        <w:tab/>
      </w:r>
      <w:r>
        <w:tab/>
        <w:t>with the deductions applied to each remaining runner being proportional to the odds against that runner.</w:t>
      </w:r>
    </w:p>
    <w:p>
      <w:pPr>
        <w:pStyle w:val="ySubsection"/>
      </w:pPr>
      <w:r>
        <w:tab/>
        <w:t>(4)</w:t>
      </w:r>
      <w:r>
        <w:tab/>
        <w:t>Where it is not possible for the stewards to declare a deduction in accordance with subrule (3) the stewards may declare a deduction for the purposes of subrule (2)(b) in accordance with the Scale of Deduction Table.</w:t>
      </w:r>
    </w:p>
    <w:p>
      <w:pPr>
        <w:pStyle w:val="ySubsection"/>
      </w:pPr>
      <w:r>
        <w:tab/>
        <w:t>(5)</w:t>
      </w:r>
      <w:r>
        <w:tab/>
        <w:t xml:space="preserve">The amount paid in relation to a bet must — </w:t>
      </w:r>
    </w:p>
    <w:p>
      <w:pPr>
        <w:pStyle w:val="yIndenta"/>
      </w:pPr>
      <w:r>
        <w:tab/>
        <w:t>(a)</w:t>
      </w:r>
      <w:r>
        <w:tab/>
        <w:t xml:space="preserve">subject to paragraph (b) — </w:t>
      </w:r>
    </w:p>
    <w:p>
      <w:pPr>
        <w:pStyle w:val="yIndenti0"/>
      </w:pPr>
      <w:r>
        <w:tab/>
        <w:t>(i)</w:t>
      </w:r>
      <w:r>
        <w:tab/>
        <w:t>be at least the amount of the stake; and</w:t>
      </w:r>
    </w:p>
    <w:p>
      <w:pPr>
        <w:pStyle w:val="yIndenti0"/>
      </w:pPr>
      <w:r>
        <w:tab/>
        <w:t>(ii)</w:t>
      </w:r>
      <w:r>
        <w:tab/>
        <w:t xml:space="preserve">be at least 20% of the face value of the ticket; </w:t>
      </w:r>
    </w:p>
    <w:p>
      <w:pPr>
        <w:pStyle w:val="yIndenta"/>
      </w:pPr>
      <w:r>
        <w:tab/>
      </w:r>
      <w:r>
        <w:tab/>
        <w:t>and</w:t>
      </w:r>
    </w:p>
    <w:p>
      <w:pPr>
        <w:pStyle w:val="yIndenta"/>
      </w:pPr>
      <w:r>
        <w:tab/>
        <w:t>(b)</w:t>
      </w:r>
      <w:r>
        <w:tab/>
        <w:t>in the case of a dead</w:t>
      </w:r>
      <w:r>
        <w:noBreakHyphen/>
        <w:t>heat for a particular place, be at least the amount of the stake divided by the number of runners participating in the dead</w:t>
      </w:r>
      <w:r>
        <w:noBreakHyphen/>
        <w:t>heat.</w:t>
      </w:r>
    </w:p>
    <w:p>
      <w:pPr>
        <w:pStyle w:val="ySubsection"/>
        <w:keepNext/>
      </w:pPr>
      <w:r>
        <w:tab/>
        <w:t>(6)</w:t>
      </w:r>
      <w:r>
        <w:tab/>
        <w:t xml:space="preserve">A bookmaker is not required to settle any bet affected by the operation of this rule until all late scratched runners and the amount of any deduction declared under subrule (3) or (4) are known, despite — </w:t>
      </w:r>
    </w:p>
    <w:p>
      <w:pPr>
        <w:pStyle w:val="yIndenta"/>
      </w:pPr>
      <w:r>
        <w:tab/>
        <w:t>(a)</w:t>
      </w:r>
      <w:r>
        <w:tab/>
        <w:t>the declaration of correct weight for the race; or</w:t>
      </w:r>
    </w:p>
    <w:p>
      <w:pPr>
        <w:pStyle w:val="yIndenta"/>
      </w:pPr>
      <w:r>
        <w:tab/>
        <w:t>(b)</w:t>
      </w:r>
      <w:r>
        <w:tab/>
        <w:t>any rule or regulation to the contrary,</w:t>
      </w:r>
    </w:p>
    <w:p>
      <w:pPr>
        <w:pStyle w:val="ySubsection"/>
      </w:pPr>
      <w:r>
        <w:tab/>
      </w:r>
      <w:r>
        <w:tab/>
        <w:t>unless the bookmaker is specifically directed to do so by the stewards.</w:t>
      </w:r>
    </w:p>
    <w:p>
      <w:pPr>
        <w:pStyle w:val="ySubsection"/>
      </w:pPr>
      <w:r>
        <w:tab/>
        <w:t>(7)</w:t>
      </w:r>
      <w:r>
        <w:tab/>
        <w:t>Despite this rule, the stewards may, in exceptional circumstances, declare all bets (other than bets made at the starting price) off and order that betting on the race be re</w:t>
      </w:r>
      <w:r>
        <w:noBreakHyphen/>
        <w:t>opened.</w:t>
      </w:r>
    </w:p>
    <w:p>
      <w:pPr>
        <w:pStyle w:val="yFootnotesection"/>
        <w:spacing w:before="100"/>
      </w:pPr>
      <w:r>
        <w:tab/>
        <w:t>[Rule 4A inserted in Gazette 4 Jan 2013 p. 11-13.]</w:t>
      </w:r>
    </w:p>
    <w:p>
      <w:pPr>
        <w:pStyle w:val="yHeading5"/>
        <w:spacing w:before="200"/>
        <w:rPr>
          <w:snapToGrid w:val="0"/>
        </w:rPr>
      </w:pPr>
      <w:bookmarkStart w:id="116" w:name="_Toc498094183"/>
      <w:r>
        <w:rPr>
          <w:rStyle w:val="CharSClsNo"/>
        </w:rPr>
        <w:t>4</w:t>
      </w:r>
      <w:r>
        <w:rPr>
          <w:snapToGrid w:val="0"/>
        </w:rPr>
        <w:t>.</w:t>
      </w:r>
      <w:r>
        <w:rPr>
          <w:snapToGrid w:val="0"/>
        </w:rPr>
        <w:tab/>
        <w:t>Determination and settlement of bets</w:t>
      </w:r>
      <w:bookmarkEnd w:id="116"/>
    </w:p>
    <w:p>
      <w:pPr>
        <w:pStyle w:val="ySubsection"/>
        <w:spacing w:before="120"/>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spacing w:before="120"/>
        <w:rPr>
          <w:snapToGrid w:val="0"/>
        </w:rPr>
      </w:pPr>
      <w:r>
        <w:rPr>
          <w:snapToGrid w:val="0"/>
        </w:rPr>
        <w:tab/>
        <w:t>(2)</w:t>
      </w:r>
      <w:r>
        <w:rPr>
          <w:snapToGrid w:val="0"/>
        </w:rPr>
        <w:tab/>
        <w:t>Settlement of bets shall be made in accordance with the provisions of these rules.</w:t>
      </w:r>
    </w:p>
    <w:p>
      <w:pPr>
        <w:pStyle w:val="ySubsection"/>
        <w:spacing w:before="120"/>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spacing w:before="120"/>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spacing w:before="100"/>
      </w:pPr>
      <w:r>
        <w:tab/>
        <w:t>[Rule 4 amended in Gazette 21 Jul 1998 p 3856 and 3857; 18 Jan 2002 p. 284; 20 Sep 2002 p. 4704; 30 Jan 2004 p. 408.]</w:t>
      </w:r>
    </w:p>
    <w:p>
      <w:pPr>
        <w:pStyle w:val="yHeading5"/>
        <w:spacing w:before="200"/>
        <w:rPr>
          <w:snapToGrid w:val="0"/>
        </w:rPr>
      </w:pPr>
      <w:bookmarkStart w:id="117" w:name="_Toc498094184"/>
      <w:r>
        <w:rPr>
          <w:rStyle w:val="CharSClsNo"/>
        </w:rPr>
        <w:t>5</w:t>
      </w:r>
      <w:r>
        <w:rPr>
          <w:snapToGrid w:val="0"/>
        </w:rPr>
        <w:t>.</w:t>
      </w:r>
      <w:r>
        <w:rPr>
          <w:snapToGrid w:val="0"/>
        </w:rPr>
        <w:tab/>
        <w:t>Bets in respect of postponed race or race meeting</w:t>
      </w:r>
      <w:bookmarkEnd w:id="117"/>
    </w:p>
    <w:p>
      <w:pPr>
        <w:pStyle w:val="ySubsection"/>
        <w:spacing w:before="120"/>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spacing w:before="190"/>
        <w:rPr>
          <w:snapToGrid w:val="0"/>
        </w:rPr>
      </w:pPr>
      <w:bookmarkStart w:id="118" w:name="_Toc498094185"/>
      <w:r>
        <w:rPr>
          <w:rStyle w:val="CharSClsNo"/>
        </w:rPr>
        <w:t>6</w:t>
      </w:r>
      <w:r>
        <w:rPr>
          <w:snapToGrid w:val="0"/>
        </w:rPr>
        <w:t>.</w:t>
      </w:r>
      <w:r>
        <w:rPr>
          <w:snapToGrid w:val="0"/>
        </w:rPr>
        <w:tab/>
        <w:t>Each way bets</w:t>
      </w:r>
      <w:bookmarkEnd w:id="118"/>
    </w:p>
    <w:p>
      <w:pPr>
        <w:pStyle w:val="ySubsection"/>
        <w:spacing w:before="120"/>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in Gazette 14 Sep 1990 p. 4864; 21 Jul 1998 p. 3855 and 3856.]</w:t>
      </w:r>
    </w:p>
    <w:p>
      <w:pPr>
        <w:pStyle w:val="yHeading5"/>
        <w:rPr>
          <w:snapToGrid w:val="0"/>
        </w:rPr>
      </w:pPr>
      <w:bookmarkStart w:id="119" w:name="_Toc498094186"/>
      <w:r>
        <w:rPr>
          <w:rStyle w:val="CharSClsNo"/>
        </w:rPr>
        <w:t>7</w:t>
      </w:r>
      <w:r>
        <w:rPr>
          <w:snapToGrid w:val="0"/>
        </w:rPr>
        <w:t>.</w:t>
      </w:r>
      <w:r>
        <w:rPr>
          <w:snapToGrid w:val="0"/>
        </w:rPr>
        <w:tab/>
        <w:t>All bets to be “play or pay” except in certain circumstances</w:t>
      </w:r>
      <w:bookmarkEnd w:id="119"/>
    </w:p>
    <w:p>
      <w:pPr>
        <w:pStyle w:val="ySubsection"/>
        <w:rPr>
          <w:snapToGrid w:val="0"/>
        </w:rPr>
      </w:pPr>
      <w:r>
        <w:rPr>
          <w:snapToGrid w:val="0"/>
        </w:rPr>
        <w:tab/>
      </w:r>
      <w:r>
        <w:rPr>
          <w:snapToGrid w:val="0"/>
        </w:rPr>
        <w:tab/>
        <w:t>All bets shall be play or pay, unless the parties thereto mutually agree to the contrary, with the following exceptions —</w:t>
      </w:r>
    </w:p>
    <w:p>
      <w:pPr>
        <w:pStyle w:val="yIndenta"/>
        <w:rPr>
          <w:snapToGrid w:val="0"/>
        </w:rPr>
      </w:pPr>
      <w:r>
        <w:rPr>
          <w:snapToGrid w:val="0"/>
        </w:rPr>
        <w:tab/>
        <w:t>(a)</w:t>
      </w:r>
      <w:r>
        <w:rPr>
          <w:snapToGrid w:val="0"/>
        </w:rPr>
        <w:tab/>
        <w:t>bets made on the day of the race to which they relate; and</w:t>
      </w:r>
    </w:p>
    <w:p>
      <w:pPr>
        <w:pStyle w:val="yIndenta"/>
        <w:rPr>
          <w:snapToGrid w:val="0"/>
        </w:rPr>
      </w:pPr>
      <w:r>
        <w:rPr>
          <w:snapToGrid w:val="0"/>
        </w:rPr>
        <w:tab/>
        <w:t>(b)</w:t>
      </w:r>
      <w:r>
        <w:rPr>
          <w:snapToGrid w:val="0"/>
        </w:rPr>
        <w:tab/>
        <w:t>bets on matches; and</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 and</w:t>
      </w:r>
    </w:p>
    <w:p>
      <w:pPr>
        <w:pStyle w:val="yIndenta"/>
        <w:rPr>
          <w:snapToGrid w:val="0"/>
        </w:rPr>
      </w:pPr>
      <w:r>
        <w:rPr>
          <w:snapToGrid w:val="0"/>
        </w:rPr>
        <w:tab/>
        <w:t>(d)</w:t>
      </w:r>
      <w:r>
        <w:rPr>
          <w:snapToGrid w:val="0"/>
        </w:rPr>
        <w:tab/>
        <w:t>bets that are declared off by the stewards; and</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in Gazette 21 Jul 1998 p. 3855.]</w:t>
      </w:r>
    </w:p>
    <w:p>
      <w:pPr>
        <w:pStyle w:val="yHeading5"/>
        <w:rPr>
          <w:snapToGrid w:val="0"/>
        </w:rPr>
      </w:pPr>
      <w:bookmarkStart w:id="120" w:name="_Toc498094187"/>
      <w:r>
        <w:rPr>
          <w:rStyle w:val="CharSClsNo"/>
        </w:rPr>
        <w:t>8</w:t>
      </w:r>
      <w:r>
        <w:rPr>
          <w:snapToGrid w:val="0"/>
        </w:rPr>
        <w:t>.</w:t>
      </w:r>
      <w:r>
        <w:rPr>
          <w:snapToGrid w:val="0"/>
        </w:rPr>
        <w:tab/>
        <w:t>Provisions as to settlement of bets following dead heat</w:t>
      </w:r>
      <w:bookmarkEnd w:id="120"/>
    </w:p>
    <w:p>
      <w:pPr>
        <w:pStyle w:val="ySubsection"/>
        <w:spacing w:before="100"/>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spacing w:before="70"/>
        <w:rPr>
          <w:snapToGrid w:val="0"/>
        </w:rPr>
      </w:pPr>
      <w:r>
        <w:rPr>
          <w:snapToGrid w:val="0"/>
        </w:rPr>
        <w:tab/>
        <w:t>(a)</w:t>
      </w:r>
      <w:r>
        <w:rPr>
          <w:snapToGrid w:val="0"/>
        </w:rPr>
        <w:tab/>
        <w:t>half of the amount wagered shall be regarded as “won” at the agreed odds; and</w:t>
      </w:r>
    </w:p>
    <w:p>
      <w:pPr>
        <w:pStyle w:val="yIndenta"/>
        <w:spacing w:before="70"/>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in Gazette 21 Jul 1998 p. 3855, 3856 and 3857.]</w:t>
      </w:r>
    </w:p>
    <w:p>
      <w:pPr>
        <w:pStyle w:val="yHeading5"/>
        <w:rPr>
          <w:snapToGrid w:val="0"/>
        </w:rPr>
      </w:pPr>
      <w:bookmarkStart w:id="121" w:name="_Toc498094188"/>
      <w:r>
        <w:rPr>
          <w:rStyle w:val="CharSClsNo"/>
        </w:rPr>
        <w:t>9</w:t>
      </w:r>
      <w:r>
        <w:rPr>
          <w:snapToGrid w:val="0"/>
        </w:rPr>
        <w:t>.</w:t>
      </w:r>
      <w:r>
        <w:rPr>
          <w:snapToGrid w:val="0"/>
        </w:rPr>
        <w:tab/>
        <w:t>Doubles</w:t>
      </w:r>
      <w:bookmarkEnd w:id="121"/>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w:t>
      </w:r>
    </w:p>
    <w:p>
      <w:pPr>
        <w:pStyle w:val="yIndenti0"/>
        <w:spacing w:before="70"/>
        <w:rPr>
          <w:snapToGrid w:val="0"/>
        </w:rPr>
      </w:pPr>
      <w:r>
        <w:rPr>
          <w:snapToGrid w:val="0"/>
        </w:rPr>
        <w:tab/>
        <w:t>(i)</w:t>
      </w:r>
      <w:r>
        <w:rPr>
          <w:snapToGrid w:val="0"/>
        </w:rPr>
        <w:tab/>
        <w:t>the runner chosen for the first race does not run in that race;</w:t>
      </w:r>
    </w:p>
    <w:p>
      <w:pPr>
        <w:pStyle w:val="yIndenti0"/>
        <w:spacing w:before="70"/>
        <w:rPr>
          <w:snapToGrid w:val="0"/>
        </w:rPr>
      </w:pPr>
      <w:r>
        <w:rPr>
          <w:snapToGrid w:val="0"/>
        </w:rPr>
        <w:tab/>
        <w:t>(ii)</w:t>
      </w:r>
      <w:r>
        <w:rPr>
          <w:snapToGrid w:val="0"/>
        </w:rPr>
        <w:tab/>
        <w:t>the runner chosen for the second race is scratched not later than the time of scratching for the first race;</w:t>
      </w:r>
    </w:p>
    <w:p>
      <w:pPr>
        <w:pStyle w:val="yIndenti0"/>
        <w:spacing w:before="7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r>
        <w:tab/>
        <w:t>[Rule 9 amended in Gazette 21 Jul 1998 p. 3855 and 3856; 30 Jan 2004 p. 408.]</w:t>
      </w:r>
    </w:p>
    <w:p>
      <w:pPr>
        <w:pStyle w:val="yHeading5"/>
        <w:rPr>
          <w:snapToGrid w:val="0"/>
        </w:rPr>
      </w:pPr>
      <w:bookmarkStart w:id="122" w:name="_Toc498094189"/>
      <w:r>
        <w:rPr>
          <w:rStyle w:val="CharSClsNo"/>
        </w:rPr>
        <w:t>10</w:t>
      </w:r>
      <w:r>
        <w:rPr>
          <w:snapToGrid w:val="0"/>
        </w:rPr>
        <w:t>.</w:t>
      </w:r>
      <w:r>
        <w:rPr>
          <w:snapToGrid w:val="0"/>
        </w:rPr>
        <w:tab/>
        <w:t>Multiple doubles</w:t>
      </w:r>
      <w:bookmarkEnd w:id="122"/>
    </w:p>
    <w:p>
      <w:pPr>
        <w:pStyle w:val="ySubsection"/>
        <w:rPr>
          <w:snapToGrid w:val="0"/>
        </w:rPr>
      </w:pPr>
      <w:r>
        <w:rPr>
          <w:snapToGrid w:val="0"/>
        </w:rPr>
        <w:tab/>
        <w:t>(1)</w:t>
      </w:r>
      <w:r>
        <w:rPr>
          <w:snapToGrid w:val="0"/>
        </w:rPr>
        <w:tab/>
        <w:t>The following provisions apply to bets of the kind commonly known as multiple doubles, namely —</w:t>
      </w:r>
    </w:p>
    <w:p>
      <w:pPr>
        <w:pStyle w:val="yIndenta"/>
        <w:spacing w:before="70"/>
        <w:rPr>
          <w:snapToGrid w:val="0"/>
        </w:rPr>
      </w:pPr>
      <w:r>
        <w:rPr>
          <w:snapToGrid w:val="0"/>
        </w:rPr>
        <w:tab/>
        <w:t>(a)</w:t>
      </w:r>
      <w:r>
        <w:rPr>
          <w:snapToGrid w:val="0"/>
        </w:rPr>
        <w:tab/>
        <w:t>bets are determined when a race to which the double relates is lost; and</w:t>
      </w:r>
    </w:p>
    <w:p>
      <w:pPr>
        <w:pStyle w:val="yIndenta"/>
        <w:spacing w:before="7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 and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rStyle w:val="CharDefText"/>
        </w:rPr>
        <w:t>multiple double</w:t>
      </w:r>
      <w:r>
        <w:rPr>
          <w:snapToGrid w:val="0"/>
        </w:rPr>
        <w:t xml:space="preserve"> means a double on 2 races scheduled at the time the bet is made to be run on the same day.</w:t>
      </w:r>
    </w:p>
    <w:p>
      <w:pPr>
        <w:pStyle w:val="yFootnotesection"/>
      </w:pPr>
      <w:r>
        <w:tab/>
        <w:t>[Rule 10 amended in Gazette 21 Jul 1998 p. 3856; 30 Jan 2004 p. 408.]</w:t>
      </w:r>
    </w:p>
    <w:p>
      <w:pPr>
        <w:pStyle w:val="yHeading5"/>
        <w:rPr>
          <w:snapToGrid w:val="0"/>
        </w:rPr>
      </w:pPr>
      <w:bookmarkStart w:id="123" w:name="_Toc498094190"/>
      <w:r>
        <w:rPr>
          <w:rStyle w:val="CharSClsNo"/>
        </w:rPr>
        <w:t>11</w:t>
      </w:r>
      <w:r>
        <w:rPr>
          <w:snapToGrid w:val="0"/>
        </w:rPr>
        <w:t>.</w:t>
      </w:r>
      <w:r>
        <w:rPr>
          <w:snapToGrid w:val="0"/>
        </w:rPr>
        <w:tab/>
        <w:t>“All up” bets</w:t>
      </w:r>
      <w:bookmarkEnd w:id="123"/>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rPr>
          <w:snapToGrid w:val="0"/>
        </w:rPr>
      </w:pPr>
      <w:bookmarkStart w:id="124" w:name="_Toc498094191"/>
      <w:r>
        <w:rPr>
          <w:rStyle w:val="CharSClsNo"/>
        </w:rPr>
        <w:t>12</w:t>
      </w:r>
      <w:r>
        <w:rPr>
          <w:snapToGrid w:val="0"/>
        </w:rPr>
        <w:t>.</w:t>
      </w:r>
      <w:r>
        <w:rPr>
          <w:snapToGrid w:val="0"/>
        </w:rPr>
        <w:tab/>
        <w:t>Provisions as to races that are re</w:t>
      </w:r>
      <w:r>
        <w:rPr>
          <w:snapToGrid w:val="0"/>
        </w:rPr>
        <w:noBreakHyphen/>
        <w:t>run</w:t>
      </w:r>
      <w:bookmarkEnd w:id="124"/>
    </w:p>
    <w:p>
      <w:pPr>
        <w:pStyle w:val="ySubsection"/>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t>[Rule 12 amended in Gazette 21 Jul 1998 p 3855.]</w:t>
      </w:r>
    </w:p>
    <w:p>
      <w:pPr>
        <w:pStyle w:val="yHeading5"/>
        <w:rPr>
          <w:snapToGrid w:val="0"/>
        </w:rPr>
      </w:pPr>
      <w:bookmarkStart w:id="125" w:name="_Toc498094192"/>
      <w:r>
        <w:rPr>
          <w:rStyle w:val="CharSClsNo"/>
        </w:rPr>
        <w:t>13</w:t>
      </w:r>
      <w:r>
        <w:rPr>
          <w:snapToGrid w:val="0"/>
        </w:rPr>
        <w:t>.</w:t>
      </w:r>
      <w:r>
        <w:rPr>
          <w:snapToGrid w:val="0"/>
        </w:rPr>
        <w:tab/>
        <w:t>Provisions as to bets on runners that are entered for 2 or more races on same day</w:t>
      </w:r>
      <w:bookmarkEnd w:id="125"/>
    </w:p>
    <w:p>
      <w:pPr>
        <w:pStyle w:val="ySubsection"/>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in Gazette 21 Jul 1998 p. 3855.]</w:t>
      </w:r>
    </w:p>
    <w:p>
      <w:pPr>
        <w:pStyle w:val="yHeading5"/>
        <w:spacing w:before="260"/>
        <w:rPr>
          <w:snapToGrid w:val="0"/>
        </w:rPr>
      </w:pPr>
      <w:bookmarkStart w:id="126" w:name="_Toc498094193"/>
      <w:r>
        <w:rPr>
          <w:rStyle w:val="CharSClsNo"/>
        </w:rPr>
        <w:t>14</w:t>
      </w:r>
      <w:r>
        <w:rPr>
          <w:snapToGrid w:val="0"/>
        </w:rPr>
        <w:t>.</w:t>
      </w:r>
      <w:r>
        <w:rPr>
          <w:snapToGrid w:val="0"/>
        </w:rPr>
        <w:tab/>
        <w:t>Prohibition on betting after race</w:t>
      </w:r>
      <w:bookmarkEnd w:id="126"/>
    </w:p>
    <w:p>
      <w:pPr>
        <w:pStyle w:val="ySubsection"/>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r>
        <w:tab/>
        <w:t>[Rule 14 amended in Gazette 21 Jul 1998 p. 3855; 30 Jan 2004 p. 408.]</w:t>
      </w:r>
    </w:p>
    <w:p>
      <w:pPr>
        <w:pStyle w:val="yHeading5"/>
        <w:spacing w:before="260"/>
        <w:rPr>
          <w:snapToGrid w:val="0"/>
        </w:rPr>
      </w:pPr>
      <w:bookmarkStart w:id="127" w:name="_Toc498094194"/>
      <w:r>
        <w:rPr>
          <w:rStyle w:val="CharSClsNo"/>
        </w:rPr>
        <w:t>15</w:t>
      </w:r>
      <w:r>
        <w:rPr>
          <w:snapToGrid w:val="0"/>
        </w:rPr>
        <w:t>.</w:t>
      </w:r>
      <w:r>
        <w:rPr>
          <w:snapToGrid w:val="0"/>
        </w:rPr>
        <w:tab/>
        <w:t>Settlement of bets on deaths of parties thereto</w:t>
      </w:r>
      <w:bookmarkEnd w:id="127"/>
    </w:p>
    <w:p>
      <w:pPr>
        <w:pStyle w:val="ySubsection"/>
        <w:rPr>
          <w:snapToGrid w:val="0"/>
        </w:rPr>
      </w:pPr>
      <w:r>
        <w:rPr>
          <w:snapToGrid w:val="0"/>
        </w:rPr>
        <w:tab/>
      </w:r>
      <w:r>
        <w:rPr>
          <w:snapToGrid w:val="0"/>
        </w:rPr>
        <w:tab/>
        <w:t>The death of either party to a bet shall not invalidate the bet.</w:t>
      </w:r>
    </w:p>
    <w:p>
      <w:pPr>
        <w:pStyle w:val="yHeading5"/>
        <w:spacing w:before="260"/>
        <w:rPr>
          <w:snapToGrid w:val="0"/>
        </w:rPr>
      </w:pPr>
      <w:bookmarkStart w:id="128" w:name="_Toc498094195"/>
      <w:r>
        <w:rPr>
          <w:rStyle w:val="CharSClsNo"/>
        </w:rPr>
        <w:t>16</w:t>
      </w:r>
      <w:r>
        <w:rPr>
          <w:snapToGrid w:val="0"/>
        </w:rPr>
        <w:t>.</w:t>
      </w:r>
      <w:r>
        <w:rPr>
          <w:snapToGrid w:val="0"/>
        </w:rPr>
        <w:tab/>
        <w:t>Settlement of bets on suspension or cancellation of licence of bookmaker</w:t>
      </w:r>
      <w:bookmarkEnd w:id="128"/>
    </w:p>
    <w:p>
      <w:pPr>
        <w:pStyle w:val="ySubsection"/>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r>
        <w:tab/>
        <w:t>[Rule 16 amended in Gazette 20 Sep 2002 p. 4704; 30 Jan 2004 p. 412.]</w:t>
      </w:r>
    </w:p>
    <w:p>
      <w:pPr>
        <w:pStyle w:val="yHeading5"/>
        <w:rPr>
          <w:snapToGrid w:val="0"/>
        </w:rPr>
      </w:pPr>
      <w:bookmarkStart w:id="129" w:name="_Toc498094196"/>
      <w:r>
        <w:rPr>
          <w:rStyle w:val="CharSClsNo"/>
        </w:rPr>
        <w:t>17</w:t>
      </w:r>
      <w:r>
        <w:rPr>
          <w:snapToGrid w:val="0"/>
        </w:rPr>
        <w:t>.</w:t>
      </w:r>
      <w:r>
        <w:rPr>
          <w:snapToGrid w:val="0"/>
        </w:rPr>
        <w:tab/>
        <w:t>Settling</w:t>
      </w:r>
      <w:bookmarkEnd w:id="129"/>
    </w:p>
    <w:p>
      <w:pPr>
        <w:pStyle w:val="ySubsection"/>
      </w:pPr>
      <w:r>
        <w:rPr>
          <w:snapToGrid w:val="0"/>
        </w:rPr>
        <w:tab/>
      </w:r>
      <w:r>
        <w:rPr>
          <w:snapToGrid w:val="0"/>
        </w:rPr>
        <w:tab/>
        <w:t>Settling in terms of these rules shall not be disturbed except in cases of fraud.</w:t>
      </w:r>
    </w:p>
    <w:p>
      <w:pPr>
        <w:outlineLvl w:val="0"/>
        <w:sectPr>
          <w:headerReference w:type="even" r:id="rId30"/>
          <w:headerReference w:type="default" r:id="rId31"/>
          <w:pgSz w:w="11907" w:h="16840" w:code="9"/>
          <w:pgMar w:top="2381" w:right="2410" w:bottom="3544" w:left="2410" w:header="720" w:footer="3544" w:gutter="0"/>
          <w:cols w:space="720"/>
        </w:sectPr>
      </w:pPr>
    </w:p>
    <w:p>
      <w:pPr>
        <w:pStyle w:val="yHeading3"/>
        <w:rPr>
          <w:szCs w:val="24"/>
        </w:rPr>
      </w:pPr>
      <w:bookmarkStart w:id="131" w:name="_Toc498093870"/>
      <w:bookmarkStart w:id="132" w:name="_Toc498094197"/>
      <w:r>
        <w:rPr>
          <w:rStyle w:val="CharSDivNo"/>
          <w:szCs w:val="24"/>
        </w:rPr>
        <w:t>Part 2</w:t>
      </w:r>
      <w:r>
        <w:rPr>
          <w:szCs w:val="24"/>
        </w:rPr>
        <w:t> —</w:t>
      </w:r>
      <w:r>
        <w:rPr>
          <w:rStyle w:val="CharSClsNo"/>
          <w:sz w:val="24"/>
          <w:szCs w:val="24"/>
        </w:rPr>
        <w:t> </w:t>
      </w:r>
      <w:r>
        <w:rPr>
          <w:rStyle w:val="CharSDivText"/>
          <w:szCs w:val="24"/>
        </w:rPr>
        <w:t>Betting on a sporting event, or a contingency, approved under section 4B</w:t>
      </w:r>
      <w:bookmarkEnd w:id="131"/>
      <w:bookmarkEnd w:id="132"/>
    </w:p>
    <w:p>
      <w:pPr>
        <w:pStyle w:val="yFootnoteheading"/>
        <w:tabs>
          <w:tab w:val="clear" w:pos="879"/>
          <w:tab w:val="left" w:pos="840"/>
        </w:tabs>
        <w:rPr>
          <w:snapToGrid w:val="0"/>
        </w:rPr>
      </w:pPr>
      <w:r>
        <w:rPr>
          <w:snapToGrid w:val="0"/>
        </w:rPr>
        <w:tab/>
        <w:t>[Heading inserted in Gazette 10 Jul 1992 p. 3294.]</w:t>
      </w:r>
    </w:p>
    <w:p>
      <w:pPr>
        <w:pStyle w:val="yNumberedItem"/>
        <w:rPr>
          <w:snapToGrid w:val="0"/>
        </w:rPr>
      </w:pPr>
      <w:r>
        <w:rPr>
          <w:b/>
        </w:rPr>
        <w:t>1</w:t>
      </w:r>
      <w:r>
        <w:rPr>
          <w:b/>
          <w:snapToGrid w:val="0"/>
        </w:rPr>
        <w:t>.</w:t>
      </w:r>
      <w:r>
        <w:rPr>
          <w:snapToGrid w:val="0"/>
        </w:rPr>
        <w:tab/>
        <w:t>Bets shall be determined on the official results as declared by the controlling authority responsible for conducting the sporting event to which the bets relate.</w:t>
      </w:r>
    </w:p>
    <w:p>
      <w:pPr>
        <w:pStyle w:val="yFootnotesection"/>
      </w:pPr>
      <w:r>
        <w:tab/>
        <w:t>[Rule 1 inserted in Gazette 10 Jul 1992 p. 3294.]</w:t>
      </w:r>
    </w:p>
    <w:p>
      <w:pPr>
        <w:pStyle w:val="yNumberedItem"/>
        <w:rPr>
          <w:b/>
          <w:snapToGrid w:val="0"/>
        </w:rPr>
      </w:pPr>
      <w:r>
        <w:rPr>
          <w:b/>
          <w:bCs/>
        </w:rPr>
        <w:t>2</w:t>
      </w:r>
      <w:r>
        <w:rPr>
          <w:b/>
          <w:bCs/>
          <w:snapToGrid w:val="0"/>
        </w:rPr>
        <w:t>.</w:t>
      </w:r>
      <w:r>
        <w:rPr>
          <w:snapToGrid w:val="0"/>
        </w:rPr>
        <w:tab/>
        <w:t>Any</w:t>
      </w:r>
      <w:r>
        <w:rPr>
          <w:bCs/>
          <w:snapToGrid w:val="0"/>
        </w:rPr>
        <w:t xml:space="preserve"> outcome not covered by these rules shall be determined by the stewards acting at the race meeting where the bet was laid.</w:t>
      </w:r>
    </w:p>
    <w:p>
      <w:pPr>
        <w:pStyle w:val="yFootnotesection"/>
      </w:pPr>
      <w:r>
        <w:tab/>
        <w:t>[Rule 2 inserted in Gazette 10 Jul 1992 p. 3294.]</w:t>
      </w:r>
    </w:p>
    <w:p>
      <w:pPr>
        <w:pStyle w:val="yEdnotenumbereditem"/>
      </w:pPr>
      <w:r>
        <w:t>[</w:t>
      </w:r>
      <w:r>
        <w:rPr>
          <w:b/>
          <w:bCs/>
        </w:rPr>
        <w:t>3.</w:t>
      </w:r>
      <w:r>
        <w:tab/>
        <w:t>Deleted in Gazette 25 Sep 2009 p. 3752.]</w:t>
      </w:r>
    </w:p>
    <w:p>
      <w:pPr>
        <w:pStyle w:val="yNumberedItem"/>
        <w:rPr>
          <w:bCs/>
          <w:snapToGrid w:val="0"/>
        </w:rPr>
      </w:pPr>
      <w:r>
        <w:rPr>
          <w:b/>
          <w:bCs/>
        </w:rPr>
        <w:t>4.</w:t>
      </w:r>
      <w:r>
        <w:rPr>
          <w:snapToGrid w:val="0"/>
        </w:rPr>
        <w:tab/>
        <w:t>Where</w:t>
      </w:r>
      <w:r>
        <w:rPr>
          <w:bCs/>
          <w:snapToGrid w:val="0"/>
        </w:rPr>
        <w:t xml:space="preserve"> a sporting event or contingency results in a tie, draw or dead heat, and odds are offered for that tie, draw or dead heat, any bet for a win is lost.</w:t>
      </w:r>
    </w:p>
    <w:p>
      <w:pPr>
        <w:pStyle w:val="yFootnotesection"/>
      </w:pPr>
      <w:r>
        <w:tab/>
        <w:t>[Rule 4 inserted in Gazette 10 Jul 1992 p. 3294.]</w:t>
      </w:r>
    </w:p>
    <w:p>
      <w:pPr>
        <w:pStyle w:val="yNumberedItem"/>
        <w:rPr>
          <w:snapToGrid w:val="0"/>
        </w:rPr>
      </w:pPr>
      <w:r>
        <w:rPr>
          <w:b/>
          <w:bCs/>
        </w:rPr>
        <w:t>5</w:t>
      </w:r>
      <w:r>
        <w:rPr>
          <w:b/>
          <w:bCs/>
          <w:snapToGrid w:val="0"/>
        </w:rPr>
        <w:t>.</w:t>
      </w:r>
      <w:r>
        <w:rPr>
          <w:snapToGrid w:val="0"/>
        </w:rPr>
        <w:tab/>
        <w:t>If no odds are offered for a tie, draw or dead heat and the event or contingency results in a tie, draw or dead heat between 2 teams or 2 competitors, then, unless the betting on the outcome involves a points margin, any bet for a win shall be determined in the following manner —</w:t>
      </w:r>
    </w:p>
    <w:p>
      <w:pPr>
        <w:pStyle w:val="yNumberedItemPara"/>
        <w:rPr>
          <w:snapToGrid w:val="0"/>
        </w:rPr>
      </w:pPr>
      <w:r>
        <w:rPr>
          <w:snapToGrid w:val="0"/>
        </w:rPr>
        <w:tab/>
        <w:t>(i)</w:t>
      </w:r>
      <w:r>
        <w:rPr>
          <w:snapToGrid w:val="0"/>
        </w:rPr>
        <w:tab/>
        <w:t>half of the amount wagered shall be regarded as “won” at the agreed odds; and</w:t>
      </w:r>
    </w:p>
    <w:p>
      <w:pPr>
        <w:pStyle w:val="yNumberedItemPara"/>
        <w:rPr>
          <w:snapToGrid w:val="0"/>
        </w:rPr>
      </w:pPr>
      <w:r>
        <w:rPr>
          <w:snapToGrid w:val="0"/>
        </w:rPr>
        <w:tab/>
        <w:t>(ii)</w:t>
      </w:r>
      <w:r>
        <w:rPr>
          <w:snapToGrid w:val="0"/>
        </w:rPr>
        <w:tab/>
        <w:t>half of the amount wagered shall be lost.</w:t>
      </w:r>
    </w:p>
    <w:p>
      <w:pPr>
        <w:pStyle w:val="yFootnotesection"/>
      </w:pPr>
      <w:r>
        <w:tab/>
        <w:t>[Rule 5 inserted in Gazette 10 Jul 1992 p. 3294; amended in Gazette 25 Sep 2009 p. 3752.]</w:t>
      </w:r>
    </w:p>
    <w:p>
      <w:pPr>
        <w:pStyle w:val="yNumberedItem"/>
        <w:rPr>
          <w:bCs/>
          <w:snapToGrid w:val="0"/>
        </w:rPr>
      </w:pPr>
      <w:r>
        <w:rPr>
          <w:b/>
          <w:bCs/>
        </w:rPr>
        <w:t>6.</w:t>
      </w:r>
      <w:r>
        <w:rPr>
          <w:snapToGrid w:val="0"/>
        </w:rPr>
        <w:tab/>
      </w:r>
      <w:r>
        <w:rPr>
          <w:bCs/>
          <w:snapToGrid w:val="0"/>
        </w:rPr>
        <w:t xml:space="preserve">In bets </w:t>
      </w:r>
      <w:r>
        <w:rPr>
          <w:snapToGrid w:val="0"/>
        </w:rPr>
        <w:t>involving</w:t>
      </w:r>
      <w:r>
        <w:rPr>
          <w:bCs/>
          <w:snapToGrid w:val="0"/>
        </w:rPr>
        <w:t xml:space="preserve"> more than one contingency of, or relating to, the same sporting event —</w:t>
      </w:r>
    </w:p>
    <w:p>
      <w:pPr>
        <w:pStyle w:val="yNumberedItemPara"/>
        <w:rPr>
          <w:snapToGrid w:val="0"/>
        </w:rPr>
      </w:pPr>
      <w:r>
        <w:rPr>
          <w:snapToGrid w:val="0"/>
        </w:rPr>
        <w:tab/>
        <w:t>(a)</w:t>
      </w:r>
      <w:r>
        <w:rPr>
          <w:snapToGrid w:val="0"/>
        </w:rPr>
        <w:tab/>
        <w:t>if the first contingency is not decided in the backer’s favour, the bet is lost; and</w:t>
      </w:r>
    </w:p>
    <w:p>
      <w:pPr>
        <w:pStyle w:val="yNumberedItemPara"/>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 and</w:t>
      </w:r>
    </w:p>
    <w:p>
      <w:pPr>
        <w:pStyle w:val="yNumberedItemPara"/>
        <w:rPr>
          <w:snapToGrid w:val="0"/>
        </w:rPr>
      </w:pPr>
      <w:r>
        <w:rPr>
          <w:snapToGrid w:val="0"/>
        </w:rPr>
        <w:tab/>
        <w:t>(c)</w:t>
      </w:r>
      <w:r>
        <w:rPr>
          <w:snapToGrid w:val="0"/>
        </w:rPr>
        <w:tab/>
        <w:t>where the bet covers 2 contingencies and both are tied, the backer shall receive one fourth of the amount receivable had the bet been a winning bet; and</w:t>
      </w:r>
    </w:p>
    <w:p>
      <w:pPr>
        <w:pStyle w:val="yNumberedItemPara"/>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 and</w:t>
      </w:r>
    </w:p>
    <w:p>
      <w:pPr>
        <w:pStyle w:val="yNumberedItemPara"/>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NumberedItemPara"/>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spacing w:before="100"/>
      </w:pPr>
      <w:r>
        <w:tab/>
        <w:t>[Rule 6 inserted in Gazette 10 Jul 1992 p. 3294.]</w:t>
      </w:r>
    </w:p>
    <w:p>
      <w:pPr>
        <w:pStyle w:val="yNumberedItem"/>
        <w:rPr>
          <w:snapToGrid w:val="0"/>
        </w:rPr>
      </w:pPr>
      <w:r>
        <w:rPr>
          <w:b/>
          <w:bCs/>
        </w:rPr>
        <w:t>7.</w:t>
      </w:r>
      <w:r>
        <w:rPr>
          <w:snapToGrid w:val="0"/>
        </w:rPr>
        <w:tab/>
        <w:t>Where a sporting event is abandoned, all bets are to be refunded except those laid in respect of contingencies that have been decided totally or in part.</w:t>
      </w:r>
    </w:p>
    <w:p>
      <w:pPr>
        <w:pStyle w:val="yFootnotesection"/>
        <w:spacing w:before="100"/>
      </w:pPr>
      <w:r>
        <w:tab/>
        <w:t>[Rule 7 inserted in Gazette 10 Jul 1992 p. 3295.]</w:t>
      </w:r>
    </w:p>
    <w:p>
      <w:pPr>
        <w:pStyle w:val="yNumberedItem"/>
        <w:rPr>
          <w:snapToGrid w:val="0"/>
        </w:rPr>
      </w:pPr>
      <w:r>
        <w:rPr>
          <w:b/>
          <w:bCs/>
        </w:rPr>
        <w:t>8.</w:t>
      </w:r>
      <w:r>
        <w:rPr>
          <w:snapToGrid w:val="0"/>
        </w:rPr>
        <w:tab/>
        <w:t>Where a sporting event is postponed to a later date, all bets on the event or contingent on the event shall stand.</w:t>
      </w:r>
    </w:p>
    <w:p>
      <w:pPr>
        <w:pStyle w:val="yFootnotesection"/>
        <w:spacing w:before="100"/>
      </w:pPr>
      <w:r>
        <w:tab/>
        <w:t>[Rule 8 inserted in Gazette 10 Jul 1992 p. 3295.]</w:t>
      </w:r>
    </w:p>
    <w:p>
      <w:pPr>
        <w:pStyle w:val="yNumberedItem"/>
        <w:rPr>
          <w:snapToGrid w:val="0"/>
        </w:rPr>
      </w:pPr>
      <w:r>
        <w:rPr>
          <w:b/>
          <w:bCs/>
        </w:rPr>
        <w:t>9.</w:t>
      </w:r>
      <w:r>
        <w:rPr>
          <w:snapToGrid w:val="0"/>
        </w:rPr>
        <w:tab/>
        <w:t>All bets in relation to sporting contingencies shall be “play or pay”, unless the parties mutually agree to the contrary.</w:t>
      </w:r>
    </w:p>
    <w:p>
      <w:pPr>
        <w:pStyle w:val="yFootnotesection"/>
        <w:spacing w:before="100"/>
      </w:pPr>
      <w:r>
        <w:tab/>
        <w:t>[Rule 9 inserted in Gazette 10 Jul 1992 p. 3295; amended in Gazette 30 Jan 2004 p. 408</w:t>
      </w:r>
      <w:r>
        <w:noBreakHyphen/>
        <w:t>11.]</w:t>
      </w:r>
    </w:p>
    <w:p>
      <w:pPr>
        <w:pStyle w:val="yMiscellaneousHeading"/>
        <w:rPr>
          <w:b/>
        </w:rPr>
      </w:pPr>
      <w:r>
        <w:rPr>
          <w:b/>
        </w:rPr>
        <w:t>Scale of Deduction Table</w:t>
      </w:r>
    </w:p>
    <w:p>
      <w:pPr>
        <w:pStyle w:val="yNumberedItem"/>
      </w:pPr>
      <w:r>
        <w:t>1.</w:t>
      </w:r>
      <w:r>
        <w:tab/>
        <w:t>The following Table is the Table referred to in rule 4A and is to be used to determine the rate % of deduction in situations where it is not possible for the stewards to declare a deduction in accordance with rule 4A(3).  In that case the stewards may declare a deduction for the purposes of rule 4A(2)(b) in accordance with this Scale of Deduction Table.  Calculations can be made in respect of win, place, each</w:t>
      </w:r>
      <w:r>
        <w:noBreakHyphen/>
        <w:t>way, concession and doubles wagers.  Rate % of deduction (cent in $) from the dividend payable in respect of the wager.  (Note: For the purpose of this Table, the win component of an each</w:t>
      </w:r>
      <w:r>
        <w:noBreakHyphen/>
        <w:t>way wager is to be taken as win wager and the place component a place wager.)</w:t>
      </w:r>
    </w:p>
    <w:p>
      <w:pPr>
        <w:pStyle w:val="yNumberedItem"/>
      </w:pPr>
      <w:r>
        <w:t>2.</w:t>
      </w:r>
      <w:r>
        <w:tab/>
        <w:t>Generally, the deduction is applied to the face value of a bet made prior to the time it became known that a runner was a late scratched runner.</w:t>
      </w:r>
    </w:p>
    <w:p>
      <w:pPr>
        <w:pStyle w:val="yNumberedItem"/>
      </w:pPr>
      <w:r>
        <w:t>3.</w:t>
      </w:r>
      <w:r>
        <w:tab/>
        <w:t xml:space="preserve">In relation </w:t>
      </w:r>
      <w:r>
        <w:rPr>
          <w:snapToGrid w:val="0"/>
        </w:rPr>
        <w:t>to</w:t>
      </w:r>
      <w:r>
        <w:t xml:space="preserve"> concession bets, the deduction is applied only — </w:t>
      </w:r>
    </w:p>
    <w:p>
      <w:pPr>
        <w:pStyle w:val="yNumberedItemPara"/>
      </w:pPr>
      <w:r>
        <w:tab/>
        <w:t>(a)</w:t>
      </w:r>
      <w:r>
        <w:tab/>
        <w:t xml:space="preserve">in </w:t>
      </w:r>
      <w:r>
        <w:rPr>
          <w:snapToGrid w:val="0"/>
        </w:rPr>
        <w:t>respect</w:t>
      </w:r>
      <w:r>
        <w:t xml:space="preserve"> of a runner that comes first; and</w:t>
      </w:r>
    </w:p>
    <w:p>
      <w:pPr>
        <w:pStyle w:val="yNumberedItemPara"/>
      </w:pPr>
      <w:r>
        <w:tab/>
        <w:t>(b)</w:t>
      </w:r>
      <w:r>
        <w:tab/>
        <w:t>to the amount of winnings payable.</w:t>
      </w:r>
    </w:p>
    <w:p>
      <w:pPr>
        <w:pStyle w:val="yNumberedItem"/>
      </w:pPr>
      <w:r>
        <w:t>4.</w:t>
      </w:r>
      <w:r>
        <w:tab/>
        <w:t>With regard to all successful win, place, each</w:t>
      </w:r>
      <w:r>
        <w:noBreakHyphen/>
        <w:t>way, concession and multiple doubles wagers, investors are to be paid the dividend payable in respect of the wager less the number of cents in the dollar deduction applicable on the scale of deductions in the Scale of Deduction Table for the dividends of the runner at the time of its withdrawal.</w:t>
      </w:r>
    </w:p>
    <w:p>
      <w:pPr>
        <w:pStyle w:val="yNumberedItem"/>
      </w:pPr>
      <w:r>
        <w:t>5.</w:t>
      </w:r>
      <w:r>
        <w:tab/>
        <w:t xml:space="preserve">Where 2 or more withdrawals occur simultaneously during wagering, successful wagers made prior to the time of withdrawal are to be paid the dividend </w:t>
      </w:r>
      <w:r>
        <w:rPr>
          <w:snapToGrid w:val="0"/>
        </w:rPr>
        <w:t>payable</w:t>
      </w:r>
      <w:r>
        <w:t xml:space="preserve"> in respect of the wager, less a deduction determined by adding together the rates of deduction applicable to each of the runners withdrawn.</w:t>
      </w:r>
    </w:p>
    <w:p>
      <w:pPr>
        <w:pStyle w:val="yNumberedItem"/>
      </w:pPr>
      <w:r>
        <w:t>6.</w:t>
      </w:r>
      <w:r>
        <w:tab/>
        <w:t>Where withdrawals occur at different times during wagering on a race, successful wagers placed prior to the last withdrawal are to be paid the dividend payable in respect of the wager, less deductions determined as follows —</w:t>
      </w:r>
    </w:p>
    <w:p>
      <w:pPr>
        <w:pStyle w:val="yNumberedItemPara"/>
      </w:pPr>
      <w:r>
        <w:tab/>
        <w:t>(a)</w:t>
      </w:r>
      <w:r>
        <w:tab/>
        <w:t xml:space="preserve">for wagers placed prior to the first withdrawal, the rate of </w:t>
      </w:r>
      <w:r>
        <w:rPr>
          <w:snapToGrid w:val="0"/>
        </w:rPr>
        <w:t>deduction</w:t>
      </w:r>
      <w:r>
        <w:t xml:space="preserve"> is to be determined by adding together the rates of deduction applicable to the dividends of all withdrawn runners;</w:t>
      </w:r>
    </w:p>
    <w:p>
      <w:pPr>
        <w:pStyle w:val="yNumberedItemPara"/>
      </w:pPr>
      <w:r>
        <w:tab/>
        <w:t>(b)</w:t>
      </w:r>
      <w:r>
        <w:tab/>
        <w:t xml:space="preserve">for wagers placed after the time of the first withdrawal — and prior to the time of the second withdrawal — the rate of </w:t>
      </w:r>
      <w:r>
        <w:rPr>
          <w:snapToGrid w:val="0"/>
        </w:rPr>
        <w:t>deduction</w:t>
      </w:r>
      <w:r>
        <w:t xml:space="preserve"> is to be </w:t>
      </w:r>
      <w:r>
        <w:rPr>
          <w:snapToGrid w:val="0"/>
        </w:rPr>
        <w:t>determined</w:t>
      </w:r>
      <w:r>
        <w:t xml:space="preserve"> by the deduction applicable on the scale of deductions in the Scale of Deduction Table to the dividends of the second withdrawal.</w:t>
      </w:r>
    </w:p>
    <w:p>
      <w:pPr>
        <w:pStyle w:val="yNumberedItem"/>
      </w:pPr>
      <w:r>
        <w:t>7.</w:t>
      </w:r>
      <w:r>
        <w:tab/>
        <w:t xml:space="preserve">Where the </w:t>
      </w:r>
      <w:r>
        <w:rPr>
          <w:snapToGrid w:val="0"/>
        </w:rPr>
        <w:t>runner</w:t>
      </w:r>
      <w:r>
        <w:t xml:space="preserve"> ordered or permitted to be withdrawn, or declared a non</w:t>
      </w:r>
      <w:r>
        <w:noBreakHyphen/>
        <w:t>starter, is shorter than the range of dividends set out in the Scale of Deduction Table, the stewards may —</w:t>
      </w:r>
    </w:p>
    <w:p>
      <w:pPr>
        <w:pStyle w:val="yNumberedItemPara"/>
      </w:pPr>
      <w:r>
        <w:tab/>
        <w:t>(a)</w:t>
      </w:r>
      <w:r>
        <w:tab/>
        <w:t>if there is sufficient time, declare all wagers made on the remaining runners to be void and order that wagering on the race be re</w:t>
      </w:r>
      <w:r>
        <w:noBreakHyphen/>
        <w:t>opened; or</w:t>
      </w:r>
    </w:p>
    <w:p>
      <w:pPr>
        <w:pStyle w:val="yNumberedItemPara"/>
      </w:pPr>
      <w:r>
        <w:tab/>
        <w:t>(b)</w:t>
      </w:r>
      <w:r>
        <w:tab/>
        <w:t>if there is insufficient time to re</w:t>
      </w:r>
      <w:r>
        <w:noBreakHyphen/>
        <w:t>open wagering, declare a deduction assessed from the Scale of Deduction Table.</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NAm"/>
              <w:spacing w:before="60"/>
              <w:jc w:val="center"/>
              <w:rPr>
                <w:b/>
                <w:bCs/>
              </w:rPr>
            </w:pPr>
            <w:r>
              <w:rPr>
                <w:b/>
                <w:bCs/>
              </w:rPr>
              <w:t>Dividend of withdrawn runner (for bet of $1)</w:t>
            </w:r>
          </w:p>
        </w:tc>
        <w:tc>
          <w:tcPr>
            <w:tcW w:w="1418" w:type="dxa"/>
            <w:tcBorders>
              <w:top w:val="single" w:sz="4" w:space="0" w:color="auto"/>
              <w:bottom w:val="single" w:sz="4" w:space="0" w:color="auto"/>
            </w:tcBorders>
          </w:tcPr>
          <w:p>
            <w:pPr>
              <w:pStyle w:val="yTableNAm"/>
              <w:spacing w:before="60"/>
              <w:jc w:val="center"/>
              <w:rPr>
                <w:b/>
                <w:bCs/>
              </w:rPr>
            </w:pPr>
            <w:r>
              <w:rPr>
                <w:b/>
                <w:bCs/>
              </w:rPr>
              <w:t xml:space="preserve">Win </w:t>
            </w:r>
            <w:r>
              <w:rPr>
                <w:b/>
                <w:bCs/>
              </w:rPr>
              <w:br/>
              <w:t>doubles</w:t>
            </w:r>
            <w:r>
              <w:rPr>
                <w:b/>
                <w:bCs/>
              </w:rPr>
              <w:br/>
              <w:t>treble deduction</w:t>
            </w:r>
          </w:p>
          <w:p>
            <w:pPr>
              <w:pStyle w:val="yTableNAm"/>
              <w:spacing w:before="0"/>
              <w:jc w:val="center"/>
              <w:rPr>
                <w:b/>
                <w:bCs/>
              </w:rPr>
            </w:pPr>
          </w:p>
          <w:p>
            <w:pPr>
              <w:pStyle w:val="yTableNAm"/>
              <w:spacing w:before="60"/>
              <w:jc w:val="center"/>
              <w:rPr>
                <w:b/>
                <w:bCs/>
              </w:rPr>
            </w:pPr>
            <w:r>
              <w:rPr>
                <w:b/>
                <w:bCs/>
              </w:rPr>
              <w:t>Cents</w:t>
            </w:r>
          </w:p>
        </w:tc>
        <w:tc>
          <w:tcPr>
            <w:tcW w:w="1417" w:type="dxa"/>
            <w:tcBorders>
              <w:top w:val="single" w:sz="4" w:space="0" w:color="auto"/>
              <w:bottom w:val="single" w:sz="4" w:space="0" w:color="auto"/>
            </w:tcBorders>
          </w:tcPr>
          <w:p>
            <w:pPr>
              <w:pStyle w:val="yTableNAm"/>
              <w:spacing w:before="60"/>
              <w:jc w:val="center"/>
              <w:rPr>
                <w:b/>
                <w:bCs/>
              </w:rPr>
            </w:pPr>
            <w:r>
              <w:rPr>
                <w:b/>
                <w:bCs/>
              </w:rPr>
              <w:t>Place deduction where 8 or more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NAm"/>
              <w:spacing w:before="60"/>
              <w:jc w:val="center"/>
              <w:rPr>
                <w:b/>
                <w:bCs/>
              </w:rPr>
            </w:pPr>
            <w:r>
              <w:rPr>
                <w:b/>
                <w:bCs/>
              </w:rPr>
              <w:t>Place deduction where less than 8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
              <w:jc w:val="center"/>
              <w:rPr>
                <w:b/>
                <w:bCs/>
              </w:rPr>
            </w:pPr>
            <w:r>
              <w:rPr>
                <w:b/>
                <w:bCs/>
              </w:rPr>
              <w:t>Concession deduction</w:t>
            </w:r>
            <w:r>
              <w:rPr>
                <w:b/>
                <w:bCs/>
              </w:rPr>
              <w:br/>
            </w:r>
            <w:r>
              <w:rPr>
                <w:b/>
                <w:bCs/>
              </w:rPr>
              <w:br/>
            </w:r>
          </w:p>
          <w:p>
            <w:pPr>
              <w:pStyle w:val="yTable"/>
              <w:jc w:val="center"/>
              <w:rPr>
                <w:b/>
                <w:bCs/>
              </w:rPr>
            </w:pPr>
          </w:p>
          <w:p>
            <w:pPr>
              <w:pStyle w:val="yTable"/>
              <w:spacing w:before="0"/>
              <w:jc w:val="center"/>
              <w:rPr>
                <w:b/>
                <w:bCs/>
              </w:rPr>
            </w:pPr>
            <w:r>
              <w:rPr>
                <w:b/>
                <w:bCs/>
              </w:rPr>
              <w:t>Cents</w:t>
            </w:r>
          </w:p>
        </w:tc>
      </w:tr>
      <w:tr>
        <w:tc>
          <w:tcPr>
            <w:tcW w:w="1417" w:type="dxa"/>
          </w:tcPr>
          <w:p>
            <w:pPr>
              <w:pStyle w:val="yTableNAm"/>
              <w:spacing w:before="60"/>
              <w:jc w:val="center"/>
            </w:pPr>
            <w:r>
              <w:t>1.05</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1.07</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1.08</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1.09</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1.10</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1.12</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1.14</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1.18</w:t>
            </w:r>
          </w:p>
        </w:tc>
        <w:tc>
          <w:tcPr>
            <w:tcW w:w="1418" w:type="dxa"/>
          </w:tcPr>
          <w:p>
            <w:pPr>
              <w:pStyle w:val="yTableNAm"/>
              <w:spacing w:before="60"/>
              <w:jc w:val="center"/>
            </w:pPr>
            <w:r>
              <w:t>79</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1.20</w:t>
            </w:r>
          </w:p>
        </w:tc>
        <w:tc>
          <w:tcPr>
            <w:tcW w:w="1418" w:type="dxa"/>
          </w:tcPr>
          <w:p>
            <w:pPr>
              <w:pStyle w:val="yTableNAm"/>
              <w:spacing w:before="60"/>
              <w:jc w:val="center"/>
            </w:pPr>
            <w:r>
              <w:t>78</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1.22</w:t>
            </w:r>
          </w:p>
        </w:tc>
        <w:tc>
          <w:tcPr>
            <w:tcW w:w="1418" w:type="dxa"/>
          </w:tcPr>
          <w:p>
            <w:pPr>
              <w:pStyle w:val="yTableNAm"/>
              <w:spacing w:before="60"/>
              <w:jc w:val="center"/>
            </w:pPr>
            <w:r>
              <w:t>77</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1.24</w:t>
            </w:r>
          </w:p>
        </w:tc>
        <w:tc>
          <w:tcPr>
            <w:tcW w:w="1418" w:type="dxa"/>
          </w:tcPr>
          <w:p>
            <w:pPr>
              <w:pStyle w:val="yTableNAm"/>
              <w:spacing w:before="60"/>
              <w:jc w:val="center"/>
            </w:pPr>
            <w:r>
              <w:t>75</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1.26</w:t>
            </w:r>
          </w:p>
        </w:tc>
        <w:tc>
          <w:tcPr>
            <w:tcW w:w="1418" w:type="dxa"/>
          </w:tcPr>
          <w:p>
            <w:pPr>
              <w:pStyle w:val="yTableNAm"/>
              <w:spacing w:before="60"/>
              <w:jc w:val="center"/>
            </w:pPr>
            <w:r>
              <w:t>74</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1.28</w:t>
            </w:r>
          </w:p>
        </w:tc>
        <w:tc>
          <w:tcPr>
            <w:tcW w:w="1418" w:type="dxa"/>
          </w:tcPr>
          <w:p>
            <w:pPr>
              <w:pStyle w:val="yTableNAm"/>
              <w:spacing w:before="60"/>
              <w:jc w:val="center"/>
            </w:pPr>
            <w:r>
              <w:t>73</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1.30</w:t>
            </w:r>
          </w:p>
        </w:tc>
        <w:tc>
          <w:tcPr>
            <w:tcW w:w="1418" w:type="dxa"/>
          </w:tcPr>
          <w:p>
            <w:pPr>
              <w:pStyle w:val="yTableNAm"/>
              <w:spacing w:before="60"/>
              <w:jc w:val="center"/>
            </w:pPr>
            <w:r>
              <w:t>72</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67</w:t>
            </w:r>
          </w:p>
        </w:tc>
      </w:tr>
      <w:tr>
        <w:tc>
          <w:tcPr>
            <w:tcW w:w="1417" w:type="dxa"/>
          </w:tcPr>
          <w:p>
            <w:pPr>
              <w:pStyle w:val="yTableNAm"/>
              <w:spacing w:before="60"/>
              <w:jc w:val="center"/>
            </w:pPr>
            <w:r>
              <w:t>1.35</w:t>
            </w:r>
          </w:p>
        </w:tc>
        <w:tc>
          <w:tcPr>
            <w:tcW w:w="1418" w:type="dxa"/>
          </w:tcPr>
          <w:p>
            <w:pPr>
              <w:pStyle w:val="yTableNAm"/>
              <w:spacing w:before="60"/>
              <w:jc w:val="center"/>
            </w:pPr>
            <w:r>
              <w:t>69</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64</w:t>
            </w:r>
          </w:p>
        </w:tc>
      </w:tr>
      <w:tr>
        <w:tc>
          <w:tcPr>
            <w:tcW w:w="1417" w:type="dxa"/>
          </w:tcPr>
          <w:p>
            <w:pPr>
              <w:pStyle w:val="yTableNAm"/>
              <w:spacing w:before="60"/>
              <w:jc w:val="center"/>
            </w:pPr>
            <w:r>
              <w:t>1.40</w:t>
            </w:r>
          </w:p>
        </w:tc>
        <w:tc>
          <w:tcPr>
            <w:tcW w:w="1418" w:type="dxa"/>
          </w:tcPr>
          <w:p>
            <w:pPr>
              <w:pStyle w:val="yTableNAm"/>
              <w:spacing w:before="60"/>
              <w:jc w:val="center"/>
            </w:pPr>
            <w:r>
              <w:t>67</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62</w:t>
            </w:r>
          </w:p>
        </w:tc>
      </w:tr>
      <w:tr>
        <w:tc>
          <w:tcPr>
            <w:tcW w:w="1417" w:type="dxa"/>
          </w:tcPr>
          <w:p>
            <w:pPr>
              <w:pStyle w:val="yTableNAm"/>
              <w:spacing w:before="60"/>
              <w:jc w:val="center"/>
            </w:pPr>
            <w:r>
              <w:t>1.45</w:t>
            </w:r>
          </w:p>
        </w:tc>
        <w:tc>
          <w:tcPr>
            <w:tcW w:w="1418" w:type="dxa"/>
          </w:tcPr>
          <w:p>
            <w:pPr>
              <w:pStyle w:val="yTableNAm"/>
              <w:spacing w:before="60"/>
              <w:jc w:val="center"/>
            </w:pPr>
            <w:r>
              <w:t>64</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59</w:t>
            </w:r>
          </w:p>
        </w:tc>
      </w:tr>
      <w:tr>
        <w:tc>
          <w:tcPr>
            <w:tcW w:w="1417" w:type="dxa"/>
          </w:tcPr>
          <w:p>
            <w:pPr>
              <w:pStyle w:val="yTableNAm"/>
              <w:spacing w:before="60"/>
              <w:jc w:val="center"/>
            </w:pPr>
            <w:r>
              <w:t>1.50</w:t>
            </w:r>
          </w:p>
        </w:tc>
        <w:tc>
          <w:tcPr>
            <w:tcW w:w="1418" w:type="dxa"/>
          </w:tcPr>
          <w:p>
            <w:pPr>
              <w:pStyle w:val="yTableNAm"/>
              <w:spacing w:before="60"/>
              <w:jc w:val="center"/>
            </w:pPr>
            <w:r>
              <w:t>62</w:t>
            </w:r>
          </w:p>
        </w:tc>
        <w:tc>
          <w:tcPr>
            <w:tcW w:w="1417" w:type="dxa"/>
          </w:tcPr>
          <w:p>
            <w:pPr>
              <w:pStyle w:val="yTableNAm"/>
              <w:spacing w:before="60"/>
              <w:jc w:val="center"/>
            </w:pPr>
            <w:r>
              <w:t>28</w:t>
            </w:r>
          </w:p>
        </w:tc>
        <w:tc>
          <w:tcPr>
            <w:tcW w:w="1418" w:type="dxa"/>
          </w:tcPr>
          <w:p>
            <w:pPr>
              <w:pStyle w:val="yTableNAm"/>
              <w:spacing w:before="60"/>
              <w:jc w:val="center"/>
            </w:pPr>
            <w:r>
              <w:t>40</w:t>
            </w:r>
          </w:p>
        </w:tc>
        <w:tc>
          <w:tcPr>
            <w:tcW w:w="1418" w:type="dxa"/>
          </w:tcPr>
          <w:p>
            <w:pPr>
              <w:pStyle w:val="yTable"/>
              <w:jc w:val="center"/>
            </w:pPr>
            <w:r>
              <w:t>57</w:t>
            </w:r>
          </w:p>
        </w:tc>
      </w:tr>
      <w:tr>
        <w:tc>
          <w:tcPr>
            <w:tcW w:w="1417" w:type="dxa"/>
          </w:tcPr>
          <w:p>
            <w:pPr>
              <w:pStyle w:val="yTableNAm"/>
              <w:spacing w:before="60"/>
              <w:jc w:val="center"/>
            </w:pPr>
            <w:r>
              <w:t>1.55</w:t>
            </w:r>
          </w:p>
        </w:tc>
        <w:tc>
          <w:tcPr>
            <w:tcW w:w="1418" w:type="dxa"/>
          </w:tcPr>
          <w:p>
            <w:pPr>
              <w:pStyle w:val="yTableNAm"/>
              <w:spacing w:before="60"/>
              <w:jc w:val="center"/>
            </w:pPr>
            <w:r>
              <w:t>60</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55</w:t>
            </w:r>
          </w:p>
        </w:tc>
      </w:tr>
      <w:tr>
        <w:tc>
          <w:tcPr>
            <w:tcW w:w="1417" w:type="dxa"/>
          </w:tcPr>
          <w:p>
            <w:pPr>
              <w:pStyle w:val="yTableNAm"/>
              <w:spacing w:before="60"/>
              <w:jc w:val="center"/>
            </w:pPr>
            <w:r>
              <w:t>1.60</w:t>
            </w:r>
          </w:p>
        </w:tc>
        <w:tc>
          <w:tcPr>
            <w:tcW w:w="1418" w:type="dxa"/>
          </w:tcPr>
          <w:p>
            <w:pPr>
              <w:pStyle w:val="yTableNAm"/>
              <w:spacing w:before="60"/>
              <w:jc w:val="center"/>
            </w:pPr>
            <w:r>
              <w:t>58</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53</w:t>
            </w:r>
          </w:p>
        </w:tc>
      </w:tr>
      <w:tr>
        <w:tc>
          <w:tcPr>
            <w:tcW w:w="1417" w:type="dxa"/>
          </w:tcPr>
          <w:p>
            <w:pPr>
              <w:pStyle w:val="yTableNAm"/>
              <w:spacing w:before="60"/>
              <w:jc w:val="center"/>
            </w:pPr>
            <w:r>
              <w:t>1.65</w:t>
            </w:r>
          </w:p>
        </w:tc>
        <w:tc>
          <w:tcPr>
            <w:tcW w:w="1418" w:type="dxa"/>
          </w:tcPr>
          <w:p>
            <w:pPr>
              <w:pStyle w:val="yTableNAm"/>
              <w:spacing w:before="60"/>
              <w:jc w:val="center"/>
            </w:pPr>
            <w:r>
              <w:t>57</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53</w:t>
            </w:r>
          </w:p>
        </w:tc>
      </w:tr>
      <w:tr>
        <w:tc>
          <w:tcPr>
            <w:tcW w:w="1417" w:type="dxa"/>
          </w:tcPr>
          <w:p>
            <w:pPr>
              <w:pStyle w:val="yTableNAm"/>
              <w:spacing w:before="60"/>
              <w:jc w:val="center"/>
            </w:pPr>
            <w:r>
              <w:t>1.70</w:t>
            </w:r>
          </w:p>
        </w:tc>
        <w:tc>
          <w:tcPr>
            <w:tcW w:w="1418" w:type="dxa"/>
          </w:tcPr>
          <w:p>
            <w:pPr>
              <w:pStyle w:val="yTableNAm"/>
              <w:spacing w:before="60"/>
              <w:jc w:val="center"/>
            </w:pPr>
            <w:r>
              <w:t>55</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51</w:t>
            </w:r>
          </w:p>
        </w:tc>
      </w:tr>
      <w:tr>
        <w:tc>
          <w:tcPr>
            <w:tcW w:w="1417" w:type="dxa"/>
          </w:tcPr>
          <w:p>
            <w:pPr>
              <w:pStyle w:val="yTableNAm"/>
              <w:spacing w:before="60"/>
              <w:jc w:val="center"/>
            </w:pPr>
            <w:r>
              <w:t>1.75</w:t>
            </w:r>
          </w:p>
        </w:tc>
        <w:tc>
          <w:tcPr>
            <w:tcW w:w="1418" w:type="dxa"/>
          </w:tcPr>
          <w:p>
            <w:pPr>
              <w:pStyle w:val="yTableNAm"/>
              <w:spacing w:before="60"/>
              <w:jc w:val="center"/>
            </w:pPr>
            <w:r>
              <w:t>53</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49</w:t>
            </w:r>
          </w:p>
        </w:tc>
      </w:tr>
      <w:tr>
        <w:tc>
          <w:tcPr>
            <w:tcW w:w="1417" w:type="dxa"/>
          </w:tcPr>
          <w:p>
            <w:pPr>
              <w:pStyle w:val="yTableNAm"/>
              <w:spacing w:before="60"/>
              <w:jc w:val="center"/>
            </w:pPr>
            <w:r>
              <w:t>1.80</w:t>
            </w:r>
          </w:p>
        </w:tc>
        <w:tc>
          <w:tcPr>
            <w:tcW w:w="1418" w:type="dxa"/>
          </w:tcPr>
          <w:p>
            <w:pPr>
              <w:pStyle w:val="yTableNAm"/>
              <w:spacing w:before="60"/>
              <w:jc w:val="center"/>
            </w:pPr>
            <w:r>
              <w:t>52</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48</w:t>
            </w:r>
          </w:p>
        </w:tc>
      </w:tr>
      <w:tr>
        <w:tc>
          <w:tcPr>
            <w:tcW w:w="1417" w:type="dxa"/>
          </w:tcPr>
          <w:p>
            <w:pPr>
              <w:pStyle w:val="yTableNAm"/>
              <w:spacing w:before="60"/>
              <w:jc w:val="center"/>
            </w:pPr>
            <w:r>
              <w:t>1.85</w:t>
            </w:r>
          </w:p>
        </w:tc>
        <w:tc>
          <w:tcPr>
            <w:tcW w:w="1418" w:type="dxa"/>
          </w:tcPr>
          <w:p>
            <w:pPr>
              <w:pStyle w:val="yTableNAm"/>
              <w:spacing w:before="60"/>
              <w:jc w:val="center"/>
            </w:pPr>
            <w:r>
              <w:t>51</w:t>
            </w:r>
          </w:p>
        </w:tc>
        <w:tc>
          <w:tcPr>
            <w:tcW w:w="1417" w:type="dxa"/>
          </w:tcPr>
          <w:p>
            <w:pPr>
              <w:pStyle w:val="yTableNAm"/>
              <w:spacing w:before="60"/>
              <w:jc w:val="center"/>
            </w:pPr>
            <w:r>
              <w:t>26</w:t>
            </w:r>
          </w:p>
        </w:tc>
        <w:tc>
          <w:tcPr>
            <w:tcW w:w="1418" w:type="dxa"/>
          </w:tcPr>
          <w:p>
            <w:pPr>
              <w:pStyle w:val="yTableNAm"/>
              <w:spacing w:before="60"/>
              <w:jc w:val="center"/>
            </w:pPr>
            <w:r>
              <w:t>36</w:t>
            </w:r>
          </w:p>
        </w:tc>
        <w:tc>
          <w:tcPr>
            <w:tcW w:w="1418" w:type="dxa"/>
          </w:tcPr>
          <w:p>
            <w:pPr>
              <w:pStyle w:val="yTable"/>
              <w:jc w:val="center"/>
            </w:pPr>
            <w:r>
              <w:t>47</w:t>
            </w:r>
          </w:p>
        </w:tc>
      </w:tr>
      <w:tr>
        <w:tc>
          <w:tcPr>
            <w:tcW w:w="1417" w:type="dxa"/>
          </w:tcPr>
          <w:p>
            <w:pPr>
              <w:pStyle w:val="yTableNAm"/>
              <w:spacing w:before="60"/>
              <w:jc w:val="center"/>
            </w:pPr>
            <w:r>
              <w:t>1.90</w:t>
            </w:r>
          </w:p>
        </w:tc>
        <w:tc>
          <w:tcPr>
            <w:tcW w:w="1418" w:type="dxa"/>
          </w:tcPr>
          <w:p>
            <w:pPr>
              <w:pStyle w:val="yTableNAm"/>
              <w:spacing w:before="60"/>
              <w:jc w:val="center"/>
            </w:pPr>
            <w:r>
              <w:t>49</w:t>
            </w:r>
          </w:p>
        </w:tc>
        <w:tc>
          <w:tcPr>
            <w:tcW w:w="1417" w:type="dxa"/>
          </w:tcPr>
          <w:p>
            <w:pPr>
              <w:pStyle w:val="yTableNAm"/>
              <w:spacing w:before="60"/>
              <w:jc w:val="center"/>
            </w:pPr>
            <w:r>
              <w:t>25</w:t>
            </w:r>
          </w:p>
        </w:tc>
        <w:tc>
          <w:tcPr>
            <w:tcW w:w="1418" w:type="dxa"/>
          </w:tcPr>
          <w:p>
            <w:pPr>
              <w:pStyle w:val="yTableNAm"/>
              <w:spacing w:before="60"/>
              <w:jc w:val="center"/>
            </w:pPr>
            <w:r>
              <w:t>36</w:t>
            </w:r>
          </w:p>
        </w:tc>
        <w:tc>
          <w:tcPr>
            <w:tcW w:w="1418" w:type="dxa"/>
          </w:tcPr>
          <w:p>
            <w:pPr>
              <w:pStyle w:val="yTable"/>
              <w:jc w:val="center"/>
            </w:pPr>
            <w:r>
              <w:t>45</w:t>
            </w:r>
          </w:p>
        </w:tc>
      </w:tr>
      <w:tr>
        <w:tc>
          <w:tcPr>
            <w:tcW w:w="1417" w:type="dxa"/>
          </w:tcPr>
          <w:p>
            <w:pPr>
              <w:pStyle w:val="yTableNAm"/>
              <w:spacing w:before="60"/>
              <w:jc w:val="center"/>
            </w:pPr>
            <w:r>
              <w:t>1.95</w:t>
            </w:r>
          </w:p>
        </w:tc>
        <w:tc>
          <w:tcPr>
            <w:tcW w:w="1418" w:type="dxa"/>
          </w:tcPr>
          <w:p>
            <w:pPr>
              <w:pStyle w:val="yTableNAm"/>
              <w:spacing w:before="60"/>
              <w:jc w:val="center"/>
            </w:pPr>
            <w:r>
              <w:t>48</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44</w:t>
            </w:r>
          </w:p>
        </w:tc>
      </w:tr>
      <w:tr>
        <w:tc>
          <w:tcPr>
            <w:tcW w:w="1417" w:type="dxa"/>
          </w:tcPr>
          <w:p>
            <w:pPr>
              <w:pStyle w:val="yTableNAm"/>
              <w:spacing w:before="60"/>
              <w:jc w:val="center"/>
            </w:pPr>
            <w:r>
              <w:t>2.00</w:t>
            </w:r>
          </w:p>
        </w:tc>
        <w:tc>
          <w:tcPr>
            <w:tcW w:w="1418" w:type="dxa"/>
          </w:tcPr>
          <w:p>
            <w:pPr>
              <w:pStyle w:val="yTableNAm"/>
              <w:spacing w:before="60"/>
              <w:jc w:val="center"/>
            </w:pPr>
            <w:r>
              <w:t>47</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43</w:t>
            </w:r>
          </w:p>
        </w:tc>
      </w:tr>
      <w:tr>
        <w:tc>
          <w:tcPr>
            <w:tcW w:w="1417" w:type="dxa"/>
          </w:tcPr>
          <w:p>
            <w:pPr>
              <w:pStyle w:val="yTableNAm"/>
              <w:spacing w:before="60"/>
              <w:jc w:val="center"/>
            </w:pPr>
            <w:r>
              <w:t>2.05</w:t>
            </w:r>
          </w:p>
        </w:tc>
        <w:tc>
          <w:tcPr>
            <w:tcW w:w="1418" w:type="dxa"/>
          </w:tcPr>
          <w:p>
            <w:pPr>
              <w:pStyle w:val="yTableNAm"/>
              <w:spacing w:before="60"/>
              <w:jc w:val="center"/>
            </w:pPr>
            <w:r>
              <w:t>46</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42</w:t>
            </w:r>
          </w:p>
        </w:tc>
      </w:tr>
      <w:tr>
        <w:tc>
          <w:tcPr>
            <w:tcW w:w="1417" w:type="dxa"/>
          </w:tcPr>
          <w:p>
            <w:pPr>
              <w:pStyle w:val="yTableNAm"/>
              <w:spacing w:before="60"/>
              <w:jc w:val="center"/>
            </w:pPr>
            <w:r>
              <w:t>2.10</w:t>
            </w:r>
          </w:p>
        </w:tc>
        <w:tc>
          <w:tcPr>
            <w:tcW w:w="1418" w:type="dxa"/>
          </w:tcPr>
          <w:p>
            <w:pPr>
              <w:pStyle w:val="yTableNAm"/>
              <w:spacing w:before="60"/>
              <w:jc w:val="center"/>
            </w:pPr>
            <w:r>
              <w:t>45</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41</w:t>
            </w:r>
          </w:p>
        </w:tc>
      </w:tr>
      <w:tr>
        <w:tc>
          <w:tcPr>
            <w:tcW w:w="1417" w:type="dxa"/>
          </w:tcPr>
          <w:p>
            <w:pPr>
              <w:pStyle w:val="yTableNAm"/>
              <w:spacing w:before="60"/>
              <w:jc w:val="center"/>
            </w:pPr>
            <w:r>
              <w:t>2.15</w:t>
            </w:r>
          </w:p>
        </w:tc>
        <w:tc>
          <w:tcPr>
            <w:tcW w:w="1418" w:type="dxa"/>
          </w:tcPr>
          <w:p>
            <w:pPr>
              <w:pStyle w:val="yTableNAm"/>
              <w:spacing w:before="60"/>
              <w:jc w:val="center"/>
            </w:pPr>
            <w:r>
              <w:t>43</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40</w:t>
            </w:r>
          </w:p>
        </w:tc>
      </w:tr>
      <w:tr>
        <w:tc>
          <w:tcPr>
            <w:tcW w:w="1417" w:type="dxa"/>
          </w:tcPr>
          <w:p>
            <w:pPr>
              <w:pStyle w:val="yTableNAm"/>
              <w:spacing w:before="60"/>
              <w:jc w:val="center"/>
            </w:pPr>
            <w:r>
              <w:t>2.20</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2.25</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2.30</w:t>
            </w:r>
          </w:p>
        </w:tc>
        <w:tc>
          <w:tcPr>
            <w:tcW w:w="1418" w:type="dxa"/>
          </w:tcPr>
          <w:p>
            <w:pPr>
              <w:pStyle w:val="yTableNAm"/>
              <w:spacing w:before="60"/>
              <w:jc w:val="center"/>
            </w:pPr>
            <w:r>
              <w:t>41</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2.35</w:t>
            </w:r>
          </w:p>
        </w:tc>
        <w:tc>
          <w:tcPr>
            <w:tcW w:w="1418" w:type="dxa"/>
          </w:tcPr>
          <w:p>
            <w:pPr>
              <w:pStyle w:val="yTableNAm"/>
              <w:spacing w:before="60"/>
              <w:jc w:val="center"/>
            </w:pPr>
            <w:r>
              <w:t>40</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38</w:t>
            </w:r>
          </w:p>
        </w:tc>
      </w:tr>
      <w:tr>
        <w:tc>
          <w:tcPr>
            <w:tcW w:w="1417" w:type="dxa"/>
          </w:tcPr>
          <w:p>
            <w:pPr>
              <w:pStyle w:val="yTableNAm"/>
              <w:spacing w:before="60"/>
              <w:jc w:val="center"/>
            </w:pPr>
            <w:r>
              <w:t>2.40</w:t>
            </w:r>
          </w:p>
        </w:tc>
        <w:tc>
          <w:tcPr>
            <w:tcW w:w="1418" w:type="dxa"/>
          </w:tcPr>
          <w:p>
            <w:pPr>
              <w:pStyle w:val="yTableNAm"/>
              <w:spacing w:before="60"/>
              <w:jc w:val="center"/>
            </w:pPr>
            <w:r>
              <w:t>39</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37</w:t>
            </w:r>
          </w:p>
        </w:tc>
      </w:tr>
      <w:tr>
        <w:tc>
          <w:tcPr>
            <w:tcW w:w="1417" w:type="dxa"/>
          </w:tcPr>
          <w:p>
            <w:pPr>
              <w:pStyle w:val="yTableNAm"/>
              <w:spacing w:before="60"/>
              <w:jc w:val="center"/>
            </w:pPr>
            <w:r>
              <w:t>2.45</w:t>
            </w:r>
          </w:p>
        </w:tc>
        <w:tc>
          <w:tcPr>
            <w:tcW w:w="1418" w:type="dxa"/>
          </w:tcPr>
          <w:p>
            <w:pPr>
              <w:pStyle w:val="yTableNAm"/>
              <w:spacing w:before="60"/>
              <w:jc w:val="center"/>
            </w:pPr>
            <w:r>
              <w:t>38</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36</w:t>
            </w:r>
          </w:p>
        </w:tc>
      </w:tr>
      <w:tr>
        <w:tc>
          <w:tcPr>
            <w:tcW w:w="1417" w:type="dxa"/>
          </w:tcPr>
          <w:p>
            <w:pPr>
              <w:pStyle w:val="yTableNAm"/>
              <w:spacing w:before="60"/>
              <w:jc w:val="center"/>
            </w:pPr>
            <w:r>
              <w:t>2.50</w:t>
            </w:r>
          </w:p>
        </w:tc>
        <w:tc>
          <w:tcPr>
            <w:tcW w:w="1418" w:type="dxa"/>
          </w:tcPr>
          <w:p>
            <w:pPr>
              <w:pStyle w:val="yTableNAm"/>
              <w:spacing w:before="60"/>
              <w:jc w:val="center"/>
            </w:pPr>
            <w:r>
              <w:t>37</w:t>
            </w:r>
          </w:p>
        </w:tc>
        <w:tc>
          <w:tcPr>
            <w:tcW w:w="1417" w:type="dxa"/>
          </w:tcPr>
          <w:p>
            <w:pPr>
              <w:pStyle w:val="yTableNAm"/>
              <w:spacing w:before="60"/>
              <w:jc w:val="center"/>
            </w:pPr>
            <w:r>
              <w:t>23</w:t>
            </w:r>
          </w:p>
        </w:tc>
        <w:tc>
          <w:tcPr>
            <w:tcW w:w="1418" w:type="dxa"/>
          </w:tcPr>
          <w:p>
            <w:pPr>
              <w:pStyle w:val="yTableNAm"/>
              <w:spacing w:before="60"/>
              <w:jc w:val="center"/>
            </w:pPr>
            <w:r>
              <w:t>31</w:t>
            </w:r>
          </w:p>
        </w:tc>
        <w:tc>
          <w:tcPr>
            <w:tcW w:w="1418" w:type="dxa"/>
          </w:tcPr>
          <w:p>
            <w:pPr>
              <w:pStyle w:val="yTable"/>
              <w:jc w:val="center"/>
            </w:pPr>
            <w:r>
              <w:t>35</w:t>
            </w:r>
          </w:p>
        </w:tc>
      </w:tr>
      <w:tr>
        <w:tc>
          <w:tcPr>
            <w:tcW w:w="1417" w:type="dxa"/>
          </w:tcPr>
          <w:p>
            <w:pPr>
              <w:pStyle w:val="yTableNAm"/>
              <w:spacing w:before="60"/>
              <w:jc w:val="center"/>
            </w:pPr>
            <w:r>
              <w:t>2.60</w:t>
            </w:r>
          </w:p>
        </w:tc>
        <w:tc>
          <w:tcPr>
            <w:tcW w:w="1418" w:type="dxa"/>
          </w:tcPr>
          <w:p>
            <w:pPr>
              <w:pStyle w:val="yTableNAm"/>
              <w:spacing w:before="60"/>
              <w:jc w:val="center"/>
            </w:pPr>
            <w:r>
              <w:t>36</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34</w:t>
            </w:r>
          </w:p>
        </w:tc>
      </w:tr>
      <w:tr>
        <w:tc>
          <w:tcPr>
            <w:tcW w:w="1417" w:type="dxa"/>
          </w:tcPr>
          <w:p>
            <w:pPr>
              <w:pStyle w:val="yTableNAm"/>
              <w:spacing w:before="60"/>
              <w:jc w:val="center"/>
            </w:pPr>
            <w:r>
              <w:t>2.70</w:t>
            </w:r>
          </w:p>
        </w:tc>
        <w:tc>
          <w:tcPr>
            <w:tcW w:w="1418" w:type="dxa"/>
          </w:tcPr>
          <w:p>
            <w:pPr>
              <w:pStyle w:val="yTableNAm"/>
              <w:spacing w:before="60"/>
              <w:jc w:val="center"/>
            </w:pPr>
            <w:r>
              <w:t>35</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33</w:t>
            </w:r>
          </w:p>
        </w:tc>
      </w:tr>
      <w:tr>
        <w:tc>
          <w:tcPr>
            <w:tcW w:w="1417" w:type="dxa"/>
          </w:tcPr>
          <w:p>
            <w:pPr>
              <w:pStyle w:val="yTableNAm"/>
              <w:spacing w:before="60"/>
              <w:jc w:val="center"/>
            </w:pPr>
            <w:r>
              <w:t>2.80</w:t>
            </w:r>
          </w:p>
        </w:tc>
        <w:tc>
          <w:tcPr>
            <w:tcW w:w="1418" w:type="dxa"/>
          </w:tcPr>
          <w:p>
            <w:pPr>
              <w:pStyle w:val="yTableNAm"/>
              <w:spacing w:before="60"/>
              <w:jc w:val="center"/>
            </w:pPr>
            <w:r>
              <w:t>33</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31</w:t>
            </w:r>
          </w:p>
        </w:tc>
      </w:tr>
      <w:tr>
        <w:tc>
          <w:tcPr>
            <w:tcW w:w="1417" w:type="dxa"/>
          </w:tcPr>
          <w:p>
            <w:pPr>
              <w:pStyle w:val="yTableNAm"/>
              <w:spacing w:before="60"/>
              <w:jc w:val="center"/>
            </w:pPr>
            <w:r>
              <w:t>2.90</w:t>
            </w:r>
          </w:p>
        </w:tc>
        <w:tc>
          <w:tcPr>
            <w:tcW w:w="1418" w:type="dxa"/>
          </w:tcPr>
          <w:p>
            <w:pPr>
              <w:pStyle w:val="yTableNAm"/>
              <w:spacing w:before="60"/>
              <w:jc w:val="center"/>
            </w:pPr>
            <w:r>
              <w:t>32</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30</w:t>
            </w:r>
          </w:p>
        </w:tc>
      </w:tr>
      <w:tr>
        <w:tc>
          <w:tcPr>
            <w:tcW w:w="1417" w:type="dxa"/>
          </w:tcPr>
          <w:p>
            <w:pPr>
              <w:pStyle w:val="yTableNAm"/>
              <w:spacing w:before="60"/>
              <w:jc w:val="center"/>
            </w:pPr>
            <w:r>
              <w:t>3.00</w:t>
            </w:r>
          </w:p>
        </w:tc>
        <w:tc>
          <w:tcPr>
            <w:tcW w:w="1418" w:type="dxa"/>
          </w:tcPr>
          <w:p>
            <w:pPr>
              <w:pStyle w:val="yTableNAm"/>
              <w:spacing w:before="60"/>
              <w:jc w:val="center"/>
            </w:pPr>
            <w:r>
              <w:t>31</w:t>
            </w:r>
          </w:p>
        </w:tc>
        <w:tc>
          <w:tcPr>
            <w:tcW w:w="1417" w:type="dxa"/>
          </w:tcPr>
          <w:p>
            <w:pPr>
              <w:pStyle w:val="yTableNAm"/>
              <w:spacing w:before="60"/>
              <w:jc w:val="center"/>
            </w:pPr>
            <w:r>
              <w:t>21</w:t>
            </w:r>
          </w:p>
        </w:tc>
        <w:tc>
          <w:tcPr>
            <w:tcW w:w="1418" w:type="dxa"/>
          </w:tcPr>
          <w:p>
            <w:pPr>
              <w:pStyle w:val="yTableNAm"/>
              <w:spacing w:before="60"/>
              <w:jc w:val="center"/>
            </w:pPr>
            <w:r>
              <w:t>28</w:t>
            </w:r>
          </w:p>
        </w:tc>
        <w:tc>
          <w:tcPr>
            <w:tcW w:w="1418" w:type="dxa"/>
          </w:tcPr>
          <w:p>
            <w:pPr>
              <w:pStyle w:val="yTable"/>
              <w:jc w:val="center"/>
            </w:pPr>
            <w:r>
              <w:t>29</w:t>
            </w:r>
          </w:p>
        </w:tc>
      </w:tr>
      <w:tr>
        <w:tc>
          <w:tcPr>
            <w:tcW w:w="1417" w:type="dxa"/>
          </w:tcPr>
          <w:p>
            <w:pPr>
              <w:pStyle w:val="yTableNAm"/>
              <w:spacing w:before="60"/>
              <w:jc w:val="center"/>
            </w:pPr>
            <w:r>
              <w:t>3.10</w:t>
            </w:r>
          </w:p>
        </w:tc>
        <w:tc>
          <w:tcPr>
            <w:tcW w:w="1418" w:type="dxa"/>
          </w:tcPr>
          <w:p>
            <w:pPr>
              <w:pStyle w:val="yTableNAm"/>
              <w:spacing w:before="60"/>
              <w:jc w:val="center"/>
            </w:pPr>
            <w:r>
              <w:t>30</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28</w:t>
            </w:r>
          </w:p>
        </w:tc>
      </w:tr>
      <w:tr>
        <w:tc>
          <w:tcPr>
            <w:tcW w:w="1417" w:type="dxa"/>
          </w:tcPr>
          <w:p>
            <w:pPr>
              <w:pStyle w:val="yTableNAm"/>
              <w:spacing w:before="60"/>
              <w:jc w:val="center"/>
            </w:pPr>
            <w:r>
              <w:t>3.20</w:t>
            </w:r>
          </w:p>
        </w:tc>
        <w:tc>
          <w:tcPr>
            <w:tcW w:w="1418" w:type="dxa"/>
          </w:tcPr>
          <w:p>
            <w:pPr>
              <w:pStyle w:val="yTableNAm"/>
              <w:spacing w:before="60"/>
              <w:jc w:val="center"/>
            </w:pPr>
            <w:r>
              <w:t>29</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27</w:t>
            </w:r>
          </w:p>
        </w:tc>
      </w:tr>
      <w:tr>
        <w:tc>
          <w:tcPr>
            <w:tcW w:w="1417" w:type="dxa"/>
          </w:tcPr>
          <w:p>
            <w:pPr>
              <w:pStyle w:val="yTableNAm"/>
              <w:spacing w:before="60"/>
              <w:jc w:val="center"/>
            </w:pPr>
            <w:r>
              <w:t>3.30</w:t>
            </w:r>
          </w:p>
        </w:tc>
        <w:tc>
          <w:tcPr>
            <w:tcW w:w="1418" w:type="dxa"/>
          </w:tcPr>
          <w:p>
            <w:pPr>
              <w:pStyle w:val="yTableNAm"/>
              <w:spacing w:before="60"/>
              <w:jc w:val="center"/>
            </w:pPr>
            <w:r>
              <w:t>28</w:t>
            </w:r>
          </w:p>
        </w:tc>
        <w:tc>
          <w:tcPr>
            <w:tcW w:w="1417" w:type="dxa"/>
          </w:tcPr>
          <w:p>
            <w:pPr>
              <w:pStyle w:val="yTableNAm"/>
              <w:spacing w:before="60"/>
              <w:jc w:val="center"/>
            </w:pPr>
            <w:r>
              <w:t>20</w:t>
            </w:r>
          </w:p>
        </w:tc>
        <w:tc>
          <w:tcPr>
            <w:tcW w:w="1418" w:type="dxa"/>
          </w:tcPr>
          <w:p>
            <w:pPr>
              <w:pStyle w:val="yTableNAm"/>
              <w:spacing w:before="60"/>
              <w:jc w:val="center"/>
            </w:pPr>
            <w:r>
              <w:t>26</w:t>
            </w:r>
          </w:p>
        </w:tc>
        <w:tc>
          <w:tcPr>
            <w:tcW w:w="1418" w:type="dxa"/>
          </w:tcPr>
          <w:p>
            <w:pPr>
              <w:pStyle w:val="yTable"/>
              <w:jc w:val="center"/>
            </w:pPr>
            <w:r>
              <w:t>26</w:t>
            </w:r>
          </w:p>
        </w:tc>
      </w:tr>
      <w:tr>
        <w:tc>
          <w:tcPr>
            <w:tcW w:w="1417" w:type="dxa"/>
          </w:tcPr>
          <w:p>
            <w:pPr>
              <w:pStyle w:val="yTableNAm"/>
              <w:spacing w:before="60"/>
              <w:jc w:val="center"/>
            </w:pPr>
            <w:r>
              <w:t>3.40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26</w:t>
            </w:r>
          </w:p>
        </w:tc>
        <w:tc>
          <w:tcPr>
            <w:tcW w:w="1418" w:type="dxa"/>
          </w:tcPr>
          <w:p>
            <w:pPr>
              <w:pStyle w:val="yTable"/>
              <w:jc w:val="center"/>
            </w:pPr>
            <w:r>
              <w:t>25</w:t>
            </w:r>
          </w:p>
        </w:tc>
      </w:tr>
      <w:tr>
        <w:tc>
          <w:tcPr>
            <w:tcW w:w="1417" w:type="dxa"/>
          </w:tcPr>
          <w:p>
            <w:pPr>
              <w:pStyle w:val="yTableNAm"/>
              <w:spacing w:before="60"/>
              <w:jc w:val="center"/>
            </w:pPr>
            <w:r>
              <w:t>3.50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25</w:t>
            </w:r>
          </w:p>
        </w:tc>
      </w:tr>
      <w:tr>
        <w:tc>
          <w:tcPr>
            <w:tcW w:w="1417" w:type="dxa"/>
          </w:tcPr>
          <w:p>
            <w:pPr>
              <w:pStyle w:val="yTableNAm"/>
              <w:spacing w:before="60"/>
              <w:jc w:val="center"/>
            </w:pPr>
            <w:r>
              <w:t>3.60</w:t>
            </w:r>
          </w:p>
        </w:tc>
        <w:tc>
          <w:tcPr>
            <w:tcW w:w="1418" w:type="dxa"/>
          </w:tcPr>
          <w:p>
            <w:pPr>
              <w:pStyle w:val="yTableNAm"/>
              <w:spacing w:before="60"/>
              <w:jc w:val="center"/>
            </w:pPr>
            <w:r>
              <w:t>26</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3.70</w:t>
            </w:r>
          </w:p>
        </w:tc>
        <w:tc>
          <w:tcPr>
            <w:tcW w:w="1418" w:type="dxa"/>
          </w:tcPr>
          <w:p>
            <w:pPr>
              <w:pStyle w:val="yTableNAm"/>
              <w:spacing w:before="60"/>
              <w:jc w:val="center"/>
            </w:pPr>
            <w:r>
              <w:t>25</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3.80</w:t>
            </w:r>
          </w:p>
        </w:tc>
        <w:tc>
          <w:tcPr>
            <w:tcW w:w="1418" w:type="dxa"/>
          </w:tcPr>
          <w:p>
            <w:pPr>
              <w:pStyle w:val="yTableNAm"/>
              <w:spacing w:before="60"/>
              <w:jc w:val="center"/>
            </w:pPr>
            <w:r>
              <w:t>25</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24</w:t>
            </w:r>
          </w:p>
        </w:tc>
      </w:tr>
      <w:tr>
        <w:tc>
          <w:tcPr>
            <w:tcW w:w="1417" w:type="dxa"/>
          </w:tcPr>
          <w:p>
            <w:pPr>
              <w:pStyle w:val="yTableNAm"/>
              <w:spacing w:before="60"/>
              <w:jc w:val="center"/>
            </w:pPr>
            <w:r>
              <w:t>3.90</w:t>
            </w:r>
          </w:p>
        </w:tc>
        <w:tc>
          <w:tcPr>
            <w:tcW w:w="1418" w:type="dxa"/>
          </w:tcPr>
          <w:p>
            <w:pPr>
              <w:pStyle w:val="yTableNAm"/>
              <w:spacing w:before="60"/>
              <w:jc w:val="center"/>
            </w:pPr>
            <w:r>
              <w:t>24</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23</w:t>
            </w:r>
          </w:p>
        </w:tc>
      </w:tr>
      <w:tr>
        <w:tc>
          <w:tcPr>
            <w:tcW w:w="1417" w:type="dxa"/>
          </w:tcPr>
          <w:p>
            <w:pPr>
              <w:pStyle w:val="yTableNAm"/>
              <w:spacing w:before="60"/>
              <w:jc w:val="center"/>
            </w:pPr>
            <w:r>
              <w:t>4.00</w:t>
            </w:r>
          </w:p>
        </w:tc>
        <w:tc>
          <w:tcPr>
            <w:tcW w:w="1418" w:type="dxa"/>
          </w:tcPr>
          <w:p>
            <w:pPr>
              <w:pStyle w:val="yTableNAm"/>
              <w:spacing w:before="60"/>
              <w:jc w:val="center"/>
            </w:pPr>
            <w:r>
              <w:t>23</w:t>
            </w:r>
          </w:p>
        </w:tc>
        <w:tc>
          <w:tcPr>
            <w:tcW w:w="1417" w:type="dxa"/>
          </w:tcPr>
          <w:p>
            <w:pPr>
              <w:pStyle w:val="yTableNAm"/>
              <w:spacing w:before="60"/>
              <w:jc w:val="center"/>
            </w:pPr>
            <w:r>
              <w:t>18</w:t>
            </w:r>
          </w:p>
        </w:tc>
        <w:tc>
          <w:tcPr>
            <w:tcW w:w="1418" w:type="dxa"/>
          </w:tcPr>
          <w:p>
            <w:pPr>
              <w:pStyle w:val="yTableNAm"/>
              <w:spacing w:before="60"/>
              <w:jc w:val="center"/>
            </w:pPr>
            <w:r>
              <w:t>23</w:t>
            </w:r>
          </w:p>
        </w:tc>
        <w:tc>
          <w:tcPr>
            <w:tcW w:w="1418" w:type="dxa"/>
          </w:tcPr>
          <w:p>
            <w:pPr>
              <w:pStyle w:val="yTable"/>
              <w:jc w:val="center"/>
            </w:pPr>
            <w:r>
              <w:t>22</w:t>
            </w:r>
          </w:p>
        </w:tc>
      </w:tr>
      <w:tr>
        <w:tc>
          <w:tcPr>
            <w:tcW w:w="1417" w:type="dxa"/>
          </w:tcPr>
          <w:p>
            <w:pPr>
              <w:pStyle w:val="yTableNAm"/>
              <w:spacing w:before="60"/>
              <w:jc w:val="center"/>
            </w:pPr>
            <w:r>
              <w:t>4.20</w:t>
            </w:r>
          </w:p>
        </w:tc>
        <w:tc>
          <w:tcPr>
            <w:tcW w:w="1418" w:type="dxa"/>
          </w:tcPr>
          <w:p>
            <w:pPr>
              <w:pStyle w:val="yTableNAm"/>
              <w:spacing w:before="60"/>
              <w:jc w:val="center"/>
            </w:pPr>
            <w:r>
              <w:t>22</w:t>
            </w:r>
          </w:p>
        </w:tc>
        <w:tc>
          <w:tcPr>
            <w:tcW w:w="1417" w:type="dxa"/>
          </w:tcPr>
          <w:p>
            <w:pPr>
              <w:pStyle w:val="yTableNAm"/>
              <w:spacing w:before="60"/>
              <w:jc w:val="center"/>
            </w:pPr>
            <w:r>
              <w:t>17</w:t>
            </w:r>
          </w:p>
        </w:tc>
        <w:tc>
          <w:tcPr>
            <w:tcW w:w="1418" w:type="dxa"/>
          </w:tcPr>
          <w:p>
            <w:pPr>
              <w:pStyle w:val="yTableNAm"/>
              <w:spacing w:before="60"/>
              <w:jc w:val="center"/>
            </w:pPr>
            <w:r>
              <w:t>23</w:t>
            </w:r>
          </w:p>
        </w:tc>
        <w:tc>
          <w:tcPr>
            <w:tcW w:w="1418" w:type="dxa"/>
          </w:tcPr>
          <w:p>
            <w:pPr>
              <w:pStyle w:val="yTable"/>
              <w:jc w:val="center"/>
            </w:pPr>
            <w:r>
              <w:t>21</w:t>
            </w:r>
          </w:p>
        </w:tc>
      </w:tr>
      <w:tr>
        <w:tc>
          <w:tcPr>
            <w:tcW w:w="1417" w:type="dxa"/>
          </w:tcPr>
          <w:p>
            <w:pPr>
              <w:pStyle w:val="yTableNAm"/>
              <w:spacing w:before="60"/>
              <w:jc w:val="center"/>
            </w:pPr>
            <w:r>
              <w:t>4.40</w:t>
            </w:r>
          </w:p>
        </w:tc>
        <w:tc>
          <w:tcPr>
            <w:tcW w:w="1418" w:type="dxa"/>
          </w:tcPr>
          <w:p>
            <w:pPr>
              <w:pStyle w:val="yTableNAm"/>
              <w:spacing w:before="60"/>
              <w:jc w:val="center"/>
            </w:pPr>
            <w:r>
              <w:t>21</w:t>
            </w:r>
          </w:p>
        </w:tc>
        <w:tc>
          <w:tcPr>
            <w:tcW w:w="1417" w:type="dxa"/>
          </w:tcPr>
          <w:p>
            <w:pPr>
              <w:pStyle w:val="yTableNAm"/>
              <w:spacing w:before="60"/>
              <w:jc w:val="center"/>
            </w:pPr>
            <w:r>
              <w:t>17</w:t>
            </w:r>
          </w:p>
        </w:tc>
        <w:tc>
          <w:tcPr>
            <w:tcW w:w="1418" w:type="dxa"/>
          </w:tcPr>
          <w:p>
            <w:pPr>
              <w:pStyle w:val="yTableNAm"/>
              <w:spacing w:before="60"/>
              <w:jc w:val="center"/>
            </w:pPr>
            <w:r>
              <w:t>22</w:t>
            </w:r>
          </w:p>
        </w:tc>
        <w:tc>
          <w:tcPr>
            <w:tcW w:w="1418" w:type="dxa"/>
          </w:tcPr>
          <w:p>
            <w:pPr>
              <w:pStyle w:val="yTable"/>
              <w:jc w:val="center"/>
            </w:pPr>
            <w:r>
              <w:t>20</w:t>
            </w:r>
          </w:p>
        </w:tc>
      </w:tr>
      <w:tr>
        <w:tc>
          <w:tcPr>
            <w:tcW w:w="1417" w:type="dxa"/>
          </w:tcPr>
          <w:p>
            <w:pPr>
              <w:pStyle w:val="yTableNAm"/>
              <w:spacing w:before="60"/>
              <w:jc w:val="center"/>
            </w:pPr>
            <w:r>
              <w:t>4.60</w:t>
            </w:r>
          </w:p>
        </w:tc>
        <w:tc>
          <w:tcPr>
            <w:tcW w:w="1418" w:type="dxa"/>
          </w:tcPr>
          <w:p>
            <w:pPr>
              <w:pStyle w:val="yTableNAm"/>
              <w:spacing w:before="60"/>
              <w:jc w:val="center"/>
            </w:pPr>
            <w:r>
              <w:t>20</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19</w:t>
            </w:r>
          </w:p>
        </w:tc>
      </w:tr>
      <w:tr>
        <w:tc>
          <w:tcPr>
            <w:tcW w:w="1417" w:type="dxa"/>
          </w:tcPr>
          <w:p>
            <w:pPr>
              <w:pStyle w:val="yTableNAm"/>
              <w:spacing w:before="60"/>
              <w:jc w:val="center"/>
            </w:pPr>
            <w:r>
              <w:t>4.80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18</w:t>
            </w:r>
          </w:p>
        </w:tc>
      </w:tr>
      <w:tr>
        <w:tc>
          <w:tcPr>
            <w:tcW w:w="1417" w:type="dxa"/>
          </w:tcPr>
          <w:p>
            <w:pPr>
              <w:pStyle w:val="yTableNAm"/>
              <w:spacing w:before="60"/>
              <w:jc w:val="center"/>
            </w:pPr>
            <w:r>
              <w:t>5.00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20</w:t>
            </w:r>
          </w:p>
        </w:tc>
        <w:tc>
          <w:tcPr>
            <w:tcW w:w="1418" w:type="dxa"/>
          </w:tcPr>
          <w:p>
            <w:pPr>
              <w:pStyle w:val="yTable"/>
              <w:jc w:val="center"/>
            </w:pPr>
            <w:r>
              <w:t>18</w:t>
            </w:r>
          </w:p>
        </w:tc>
      </w:tr>
      <w:tr>
        <w:tc>
          <w:tcPr>
            <w:tcW w:w="1417" w:type="dxa"/>
          </w:tcPr>
          <w:p>
            <w:pPr>
              <w:pStyle w:val="yTableNAm"/>
              <w:spacing w:before="60"/>
              <w:jc w:val="center"/>
            </w:pPr>
            <w:r>
              <w:t>5.50</w:t>
            </w:r>
          </w:p>
        </w:tc>
        <w:tc>
          <w:tcPr>
            <w:tcW w:w="1418" w:type="dxa"/>
          </w:tcPr>
          <w:p>
            <w:pPr>
              <w:pStyle w:val="yTableNAm"/>
              <w:spacing w:before="60"/>
              <w:jc w:val="center"/>
            </w:pPr>
            <w:r>
              <w:t>17</w:t>
            </w:r>
          </w:p>
        </w:tc>
        <w:tc>
          <w:tcPr>
            <w:tcW w:w="1417" w:type="dxa"/>
          </w:tcPr>
          <w:p>
            <w:pPr>
              <w:pStyle w:val="yTableNAm"/>
              <w:spacing w:before="60"/>
              <w:jc w:val="center"/>
            </w:pPr>
            <w:r>
              <w:t>15</w:t>
            </w:r>
          </w:p>
        </w:tc>
        <w:tc>
          <w:tcPr>
            <w:tcW w:w="1418" w:type="dxa"/>
          </w:tcPr>
          <w:p>
            <w:pPr>
              <w:pStyle w:val="yTableNAm"/>
              <w:spacing w:before="60"/>
              <w:jc w:val="center"/>
            </w:pPr>
            <w:r>
              <w:t>19</w:t>
            </w:r>
          </w:p>
        </w:tc>
        <w:tc>
          <w:tcPr>
            <w:tcW w:w="1418" w:type="dxa"/>
          </w:tcPr>
          <w:p>
            <w:pPr>
              <w:pStyle w:val="yTable"/>
              <w:jc w:val="center"/>
            </w:pPr>
            <w:r>
              <w:t>17</w:t>
            </w:r>
          </w:p>
        </w:tc>
      </w:tr>
      <w:tr>
        <w:tc>
          <w:tcPr>
            <w:tcW w:w="1417" w:type="dxa"/>
          </w:tcPr>
          <w:p>
            <w:pPr>
              <w:pStyle w:val="yTableNAm"/>
              <w:spacing w:before="60"/>
              <w:jc w:val="center"/>
            </w:pPr>
            <w:r>
              <w:t>6.00</w:t>
            </w:r>
          </w:p>
        </w:tc>
        <w:tc>
          <w:tcPr>
            <w:tcW w:w="1418" w:type="dxa"/>
          </w:tcPr>
          <w:p>
            <w:pPr>
              <w:pStyle w:val="yTableNAm"/>
              <w:spacing w:before="60"/>
              <w:jc w:val="center"/>
            </w:pPr>
            <w:r>
              <w:t>16</w:t>
            </w:r>
          </w:p>
        </w:tc>
        <w:tc>
          <w:tcPr>
            <w:tcW w:w="1417" w:type="dxa"/>
          </w:tcPr>
          <w:p>
            <w:pPr>
              <w:pStyle w:val="yTableNAm"/>
              <w:spacing w:before="60"/>
              <w:jc w:val="center"/>
            </w:pPr>
            <w:r>
              <w:t>14</w:t>
            </w:r>
          </w:p>
        </w:tc>
        <w:tc>
          <w:tcPr>
            <w:tcW w:w="1418" w:type="dxa"/>
          </w:tcPr>
          <w:p>
            <w:pPr>
              <w:pStyle w:val="yTableNAm"/>
              <w:spacing w:before="60"/>
              <w:jc w:val="center"/>
            </w:pPr>
            <w:r>
              <w:t>18</w:t>
            </w:r>
          </w:p>
        </w:tc>
        <w:tc>
          <w:tcPr>
            <w:tcW w:w="1418" w:type="dxa"/>
          </w:tcPr>
          <w:p>
            <w:pPr>
              <w:pStyle w:val="yTable"/>
              <w:jc w:val="center"/>
            </w:pPr>
            <w:r>
              <w:t>16</w:t>
            </w:r>
          </w:p>
        </w:tc>
      </w:tr>
      <w:tr>
        <w:tc>
          <w:tcPr>
            <w:tcW w:w="1417" w:type="dxa"/>
          </w:tcPr>
          <w:p>
            <w:pPr>
              <w:pStyle w:val="yTableNAm"/>
              <w:spacing w:before="60"/>
              <w:jc w:val="center"/>
            </w:pPr>
            <w:r>
              <w:t>6.50</w:t>
            </w:r>
          </w:p>
        </w:tc>
        <w:tc>
          <w:tcPr>
            <w:tcW w:w="1418" w:type="dxa"/>
          </w:tcPr>
          <w:p>
            <w:pPr>
              <w:pStyle w:val="yTableNAm"/>
              <w:spacing w:before="60"/>
              <w:jc w:val="center"/>
            </w:pPr>
            <w:r>
              <w:t>14</w:t>
            </w:r>
          </w:p>
        </w:tc>
        <w:tc>
          <w:tcPr>
            <w:tcW w:w="1417" w:type="dxa"/>
          </w:tcPr>
          <w:p>
            <w:pPr>
              <w:pStyle w:val="yTableNAm"/>
              <w:spacing w:before="60"/>
              <w:jc w:val="center"/>
            </w:pPr>
            <w:r>
              <w:t>13</w:t>
            </w:r>
          </w:p>
        </w:tc>
        <w:tc>
          <w:tcPr>
            <w:tcW w:w="1418" w:type="dxa"/>
          </w:tcPr>
          <w:p>
            <w:pPr>
              <w:pStyle w:val="yTableNAm"/>
              <w:spacing w:before="60"/>
              <w:jc w:val="center"/>
            </w:pPr>
            <w:r>
              <w:t>16</w:t>
            </w:r>
          </w:p>
        </w:tc>
        <w:tc>
          <w:tcPr>
            <w:tcW w:w="1418" w:type="dxa"/>
          </w:tcPr>
          <w:p>
            <w:pPr>
              <w:pStyle w:val="yTable"/>
              <w:jc w:val="center"/>
            </w:pPr>
            <w:r>
              <w:t>14</w:t>
            </w:r>
          </w:p>
        </w:tc>
      </w:tr>
      <w:tr>
        <w:tc>
          <w:tcPr>
            <w:tcW w:w="1417" w:type="dxa"/>
          </w:tcPr>
          <w:p>
            <w:pPr>
              <w:pStyle w:val="yTableNAm"/>
              <w:spacing w:before="60"/>
              <w:jc w:val="center"/>
            </w:pPr>
            <w:r>
              <w:t>7.00</w:t>
            </w:r>
          </w:p>
        </w:tc>
        <w:tc>
          <w:tcPr>
            <w:tcW w:w="1418" w:type="dxa"/>
          </w:tcPr>
          <w:p>
            <w:pPr>
              <w:pStyle w:val="yTableNAm"/>
              <w:spacing w:before="60"/>
              <w:jc w:val="center"/>
            </w:pPr>
            <w:r>
              <w:t>13</w:t>
            </w:r>
          </w:p>
        </w:tc>
        <w:tc>
          <w:tcPr>
            <w:tcW w:w="1417" w:type="dxa"/>
          </w:tcPr>
          <w:p>
            <w:pPr>
              <w:pStyle w:val="yTableNAm"/>
              <w:spacing w:before="60"/>
              <w:jc w:val="center"/>
            </w:pPr>
            <w:r>
              <w:t>12</w:t>
            </w:r>
          </w:p>
        </w:tc>
        <w:tc>
          <w:tcPr>
            <w:tcW w:w="1418" w:type="dxa"/>
          </w:tcPr>
          <w:p>
            <w:pPr>
              <w:pStyle w:val="yTableNAm"/>
              <w:spacing w:before="60"/>
              <w:jc w:val="center"/>
            </w:pPr>
            <w:r>
              <w:t>16</w:t>
            </w:r>
          </w:p>
        </w:tc>
        <w:tc>
          <w:tcPr>
            <w:tcW w:w="1418" w:type="dxa"/>
          </w:tcPr>
          <w:p>
            <w:pPr>
              <w:pStyle w:val="yTable"/>
              <w:jc w:val="center"/>
            </w:pPr>
            <w:r>
              <w:t>13</w:t>
            </w:r>
          </w:p>
        </w:tc>
      </w:tr>
      <w:tr>
        <w:tc>
          <w:tcPr>
            <w:tcW w:w="1417" w:type="dxa"/>
          </w:tcPr>
          <w:p>
            <w:pPr>
              <w:pStyle w:val="yTableNAm"/>
              <w:spacing w:before="60"/>
              <w:jc w:val="center"/>
            </w:pPr>
            <w:r>
              <w:t>7.50</w:t>
            </w:r>
          </w:p>
        </w:tc>
        <w:tc>
          <w:tcPr>
            <w:tcW w:w="1418" w:type="dxa"/>
          </w:tcPr>
          <w:p>
            <w:pPr>
              <w:pStyle w:val="yTableNAm"/>
              <w:spacing w:before="60"/>
              <w:jc w:val="center"/>
            </w:pPr>
            <w:r>
              <w:t>12</w:t>
            </w:r>
          </w:p>
        </w:tc>
        <w:tc>
          <w:tcPr>
            <w:tcW w:w="1417" w:type="dxa"/>
          </w:tcPr>
          <w:p>
            <w:pPr>
              <w:pStyle w:val="yTableNAm"/>
              <w:spacing w:before="60"/>
              <w:jc w:val="center"/>
            </w:pPr>
            <w:r>
              <w:t>12</w:t>
            </w:r>
          </w:p>
        </w:tc>
        <w:tc>
          <w:tcPr>
            <w:tcW w:w="1418" w:type="dxa"/>
          </w:tcPr>
          <w:p>
            <w:pPr>
              <w:pStyle w:val="yTableNAm"/>
              <w:spacing w:before="60"/>
              <w:jc w:val="center"/>
            </w:pPr>
            <w:r>
              <w:t>15</w:t>
            </w:r>
          </w:p>
        </w:tc>
        <w:tc>
          <w:tcPr>
            <w:tcW w:w="1418" w:type="dxa"/>
          </w:tcPr>
          <w:p>
            <w:pPr>
              <w:pStyle w:val="yTable"/>
              <w:jc w:val="center"/>
            </w:pPr>
            <w:r>
              <w:t>12</w:t>
            </w:r>
          </w:p>
        </w:tc>
      </w:tr>
      <w:tr>
        <w:tc>
          <w:tcPr>
            <w:tcW w:w="1417" w:type="dxa"/>
          </w:tcPr>
          <w:p>
            <w:pPr>
              <w:pStyle w:val="yTableNAm"/>
              <w:spacing w:before="60"/>
              <w:jc w:val="center"/>
            </w:pPr>
            <w:r>
              <w:t>8.00</w:t>
            </w:r>
          </w:p>
        </w:tc>
        <w:tc>
          <w:tcPr>
            <w:tcW w:w="1418" w:type="dxa"/>
          </w:tcPr>
          <w:p>
            <w:pPr>
              <w:pStyle w:val="yTableNAm"/>
              <w:spacing w:before="60"/>
              <w:jc w:val="center"/>
            </w:pPr>
            <w:r>
              <w:t>12</w:t>
            </w:r>
          </w:p>
        </w:tc>
        <w:tc>
          <w:tcPr>
            <w:tcW w:w="1417" w:type="dxa"/>
          </w:tcPr>
          <w:p>
            <w:pPr>
              <w:pStyle w:val="yTableNAm"/>
              <w:spacing w:before="60"/>
              <w:jc w:val="center"/>
            </w:pPr>
            <w:r>
              <w:t>11</w:t>
            </w:r>
          </w:p>
        </w:tc>
        <w:tc>
          <w:tcPr>
            <w:tcW w:w="1418" w:type="dxa"/>
          </w:tcPr>
          <w:p>
            <w:pPr>
              <w:pStyle w:val="yTableNAm"/>
              <w:spacing w:before="60"/>
              <w:jc w:val="center"/>
            </w:pPr>
            <w:r>
              <w:t>14</w:t>
            </w:r>
          </w:p>
        </w:tc>
        <w:tc>
          <w:tcPr>
            <w:tcW w:w="1418" w:type="dxa"/>
          </w:tcPr>
          <w:p>
            <w:pPr>
              <w:pStyle w:val="yTable"/>
              <w:jc w:val="center"/>
            </w:pPr>
            <w:r>
              <w:t>12</w:t>
            </w:r>
          </w:p>
        </w:tc>
      </w:tr>
      <w:tr>
        <w:tc>
          <w:tcPr>
            <w:tcW w:w="1417" w:type="dxa"/>
          </w:tcPr>
          <w:p>
            <w:pPr>
              <w:pStyle w:val="yTableNAm"/>
              <w:spacing w:before="60"/>
              <w:jc w:val="center"/>
            </w:pPr>
            <w:r>
              <w:t>8.50</w:t>
            </w:r>
          </w:p>
        </w:tc>
        <w:tc>
          <w:tcPr>
            <w:tcW w:w="1418" w:type="dxa"/>
          </w:tcPr>
          <w:p>
            <w:pPr>
              <w:pStyle w:val="yTableNAm"/>
              <w:spacing w:before="60"/>
              <w:jc w:val="center"/>
            </w:pPr>
            <w:r>
              <w:t>11</w:t>
            </w:r>
          </w:p>
        </w:tc>
        <w:tc>
          <w:tcPr>
            <w:tcW w:w="1417" w:type="dxa"/>
          </w:tcPr>
          <w:p>
            <w:pPr>
              <w:pStyle w:val="yTableNAm"/>
              <w:spacing w:before="60"/>
              <w:jc w:val="center"/>
            </w:pPr>
            <w:r>
              <w:t>11</w:t>
            </w:r>
          </w:p>
        </w:tc>
        <w:tc>
          <w:tcPr>
            <w:tcW w:w="1418" w:type="dxa"/>
          </w:tcPr>
          <w:p>
            <w:pPr>
              <w:pStyle w:val="yTableNAm"/>
              <w:spacing w:before="60"/>
              <w:jc w:val="center"/>
            </w:pPr>
            <w:r>
              <w:t>13</w:t>
            </w:r>
          </w:p>
        </w:tc>
        <w:tc>
          <w:tcPr>
            <w:tcW w:w="1418" w:type="dxa"/>
          </w:tcPr>
          <w:p>
            <w:pPr>
              <w:pStyle w:val="yTable"/>
              <w:jc w:val="center"/>
            </w:pPr>
            <w:r>
              <w:t>11</w:t>
            </w:r>
          </w:p>
        </w:tc>
      </w:tr>
      <w:tr>
        <w:tc>
          <w:tcPr>
            <w:tcW w:w="1417" w:type="dxa"/>
          </w:tcPr>
          <w:p>
            <w:pPr>
              <w:pStyle w:val="yTableNAm"/>
              <w:spacing w:before="60"/>
              <w:jc w:val="center"/>
            </w:pPr>
            <w:r>
              <w:t>9.00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13</w:t>
            </w:r>
          </w:p>
        </w:tc>
        <w:tc>
          <w:tcPr>
            <w:tcW w:w="1418" w:type="dxa"/>
          </w:tcPr>
          <w:p>
            <w:pPr>
              <w:pStyle w:val="yTable"/>
              <w:jc w:val="center"/>
            </w:pPr>
            <w:r>
              <w:t>10</w:t>
            </w:r>
          </w:p>
        </w:tc>
      </w:tr>
      <w:tr>
        <w:tc>
          <w:tcPr>
            <w:tcW w:w="1417" w:type="dxa"/>
          </w:tcPr>
          <w:p>
            <w:pPr>
              <w:pStyle w:val="yTableNAm"/>
              <w:spacing w:before="60"/>
              <w:jc w:val="center"/>
            </w:pPr>
            <w:r>
              <w:t>9.50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10</w:t>
            </w:r>
          </w:p>
        </w:tc>
      </w:tr>
      <w:tr>
        <w:tc>
          <w:tcPr>
            <w:tcW w:w="1417" w:type="dxa"/>
          </w:tcPr>
          <w:p>
            <w:pPr>
              <w:pStyle w:val="yTableNAm"/>
              <w:spacing w:before="60"/>
              <w:jc w:val="center"/>
            </w:pPr>
            <w:r>
              <w:t>10.00</w:t>
            </w:r>
          </w:p>
        </w:tc>
        <w:tc>
          <w:tcPr>
            <w:tcW w:w="1418" w:type="dxa"/>
          </w:tcPr>
          <w:p>
            <w:pPr>
              <w:pStyle w:val="yTableNAm"/>
              <w:spacing w:before="60"/>
              <w:jc w:val="center"/>
            </w:pPr>
            <w:r>
              <w:t>9</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9</w:t>
            </w:r>
          </w:p>
        </w:tc>
      </w:tr>
      <w:tr>
        <w:tc>
          <w:tcPr>
            <w:tcW w:w="1417" w:type="dxa"/>
          </w:tcPr>
          <w:p>
            <w:pPr>
              <w:pStyle w:val="yTableNAm"/>
              <w:spacing w:before="60"/>
              <w:jc w:val="center"/>
            </w:pPr>
            <w:r>
              <w:t>11.00</w:t>
            </w:r>
          </w:p>
        </w:tc>
        <w:tc>
          <w:tcPr>
            <w:tcW w:w="1418" w:type="dxa"/>
          </w:tcPr>
          <w:p>
            <w:pPr>
              <w:pStyle w:val="yTableNAm"/>
              <w:spacing w:before="60"/>
              <w:jc w:val="center"/>
            </w:pPr>
            <w:r>
              <w:t>8</w:t>
            </w:r>
          </w:p>
        </w:tc>
        <w:tc>
          <w:tcPr>
            <w:tcW w:w="1417" w:type="dxa"/>
          </w:tcPr>
          <w:p>
            <w:pPr>
              <w:pStyle w:val="yTableNAm"/>
              <w:spacing w:before="60"/>
              <w:jc w:val="center"/>
            </w:pPr>
            <w:r>
              <w:t>9</w:t>
            </w:r>
          </w:p>
        </w:tc>
        <w:tc>
          <w:tcPr>
            <w:tcW w:w="1418" w:type="dxa"/>
          </w:tcPr>
          <w:p>
            <w:pPr>
              <w:pStyle w:val="yTableNAm"/>
              <w:spacing w:before="60"/>
              <w:jc w:val="center"/>
            </w:pPr>
            <w:r>
              <w:t>11</w:t>
            </w:r>
          </w:p>
        </w:tc>
        <w:tc>
          <w:tcPr>
            <w:tcW w:w="1418" w:type="dxa"/>
          </w:tcPr>
          <w:p>
            <w:pPr>
              <w:pStyle w:val="yTable"/>
              <w:jc w:val="center"/>
            </w:pPr>
            <w:r>
              <w:t>8</w:t>
            </w:r>
          </w:p>
        </w:tc>
      </w:tr>
      <w:tr>
        <w:tc>
          <w:tcPr>
            <w:tcW w:w="1417" w:type="dxa"/>
          </w:tcPr>
          <w:p>
            <w:pPr>
              <w:pStyle w:val="yTableNAm"/>
              <w:spacing w:before="60"/>
              <w:jc w:val="center"/>
            </w:pPr>
            <w:r>
              <w:t>12.00</w:t>
            </w:r>
          </w:p>
        </w:tc>
        <w:tc>
          <w:tcPr>
            <w:tcW w:w="1418" w:type="dxa"/>
          </w:tcPr>
          <w:p>
            <w:pPr>
              <w:pStyle w:val="yTableNAm"/>
              <w:spacing w:before="60"/>
              <w:jc w:val="center"/>
            </w:pPr>
            <w:r>
              <w:t>8</w:t>
            </w:r>
          </w:p>
        </w:tc>
        <w:tc>
          <w:tcPr>
            <w:tcW w:w="1417" w:type="dxa"/>
          </w:tcPr>
          <w:p>
            <w:pPr>
              <w:pStyle w:val="yTableNAm"/>
              <w:spacing w:before="60"/>
              <w:jc w:val="center"/>
            </w:pPr>
            <w:r>
              <w:t>8</w:t>
            </w:r>
          </w:p>
        </w:tc>
        <w:tc>
          <w:tcPr>
            <w:tcW w:w="1418" w:type="dxa"/>
          </w:tcPr>
          <w:p>
            <w:pPr>
              <w:pStyle w:val="yTableNAm"/>
              <w:spacing w:before="60"/>
              <w:jc w:val="center"/>
            </w:pPr>
            <w:r>
              <w:t>10</w:t>
            </w:r>
          </w:p>
        </w:tc>
        <w:tc>
          <w:tcPr>
            <w:tcW w:w="1418" w:type="dxa"/>
          </w:tcPr>
          <w:p>
            <w:pPr>
              <w:pStyle w:val="yTable"/>
              <w:jc w:val="center"/>
            </w:pPr>
            <w:r>
              <w:t>8</w:t>
            </w:r>
          </w:p>
        </w:tc>
      </w:tr>
      <w:tr>
        <w:tc>
          <w:tcPr>
            <w:tcW w:w="1417" w:type="dxa"/>
          </w:tcPr>
          <w:p>
            <w:pPr>
              <w:pStyle w:val="yTableNAm"/>
              <w:spacing w:before="60"/>
              <w:jc w:val="center"/>
            </w:pPr>
            <w:r>
              <w:t>13.00</w:t>
            </w:r>
          </w:p>
        </w:tc>
        <w:tc>
          <w:tcPr>
            <w:tcW w:w="1418" w:type="dxa"/>
          </w:tcPr>
          <w:p>
            <w:pPr>
              <w:pStyle w:val="yTableNAm"/>
              <w:spacing w:before="60"/>
              <w:jc w:val="center"/>
            </w:pPr>
            <w:r>
              <w:t>7</w:t>
            </w:r>
          </w:p>
        </w:tc>
        <w:tc>
          <w:tcPr>
            <w:tcW w:w="1417" w:type="dxa"/>
          </w:tcPr>
          <w:p>
            <w:pPr>
              <w:pStyle w:val="yTableNAm"/>
              <w:spacing w:before="60"/>
              <w:jc w:val="center"/>
            </w:pPr>
            <w:r>
              <w:t>8</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14.00</w:t>
            </w:r>
          </w:p>
        </w:tc>
        <w:tc>
          <w:tcPr>
            <w:tcW w:w="1418" w:type="dxa"/>
          </w:tcPr>
          <w:p>
            <w:pPr>
              <w:pStyle w:val="yTableNAm"/>
              <w:spacing w:before="60"/>
              <w:jc w:val="center"/>
            </w:pPr>
            <w:r>
              <w:t>7</w:t>
            </w:r>
          </w:p>
        </w:tc>
        <w:tc>
          <w:tcPr>
            <w:tcW w:w="1417" w:type="dxa"/>
          </w:tcPr>
          <w:p>
            <w:pPr>
              <w:pStyle w:val="yTableNAm"/>
              <w:spacing w:before="60"/>
              <w:jc w:val="center"/>
            </w:pPr>
            <w:r>
              <w:t>7</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15.00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16.00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17.00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18.00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19.00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20.00</w:t>
            </w:r>
          </w:p>
        </w:tc>
        <w:tc>
          <w:tcPr>
            <w:tcW w:w="1418" w:type="dxa"/>
          </w:tcPr>
          <w:p>
            <w:pPr>
              <w:pStyle w:val="yTableNAm"/>
              <w:spacing w:before="60"/>
              <w:jc w:val="center"/>
            </w:pPr>
            <w:r>
              <w:t>5</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5</w:t>
            </w:r>
          </w:p>
        </w:tc>
      </w:tr>
      <w:tr>
        <w:tc>
          <w:tcPr>
            <w:tcW w:w="1417" w:type="dxa"/>
          </w:tcPr>
          <w:p>
            <w:pPr>
              <w:pStyle w:val="yTableNAm"/>
              <w:spacing w:before="60"/>
              <w:jc w:val="center"/>
            </w:pPr>
            <w:r>
              <w:t>21.00</w:t>
            </w:r>
          </w:p>
        </w:tc>
        <w:tc>
          <w:tcPr>
            <w:tcW w:w="1418" w:type="dxa"/>
          </w:tcPr>
          <w:p>
            <w:pPr>
              <w:pStyle w:val="yTableNAm"/>
              <w:spacing w:before="60"/>
              <w:jc w:val="center"/>
            </w:pPr>
            <w:r>
              <w:t>4</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4</w:t>
            </w:r>
          </w:p>
        </w:tc>
      </w:tr>
      <w:tr>
        <w:tc>
          <w:tcPr>
            <w:tcW w:w="1417" w:type="dxa"/>
          </w:tcPr>
          <w:p>
            <w:pPr>
              <w:pStyle w:val="yTableNAm"/>
              <w:spacing w:before="60"/>
              <w:jc w:val="center"/>
            </w:pPr>
            <w:r>
              <w:t>26.00</w:t>
            </w:r>
          </w:p>
        </w:tc>
        <w:tc>
          <w:tcPr>
            <w:tcW w:w="1418" w:type="dxa"/>
          </w:tcPr>
          <w:p>
            <w:pPr>
              <w:pStyle w:val="yTableNAm"/>
              <w:spacing w:before="60"/>
              <w:jc w:val="center"/>
            </w:pPr>
            <w:r>
              <w:t>3</w:t>
            </w:r>
          </w:p>
        </w:tc>
        <w:tc>
          <w:tcPr>
            <w:tcW w:w="1417" w:type="dxa"/>
          </w:tcPr>
          <w:p>
            <w:pPr>
              <w:pStyle w:val="yTableNAm"/>
              <w:spacing w:before="60"/>
              <w:jc w:val="center"/>
            </w:pPr>
            <w:r>
              <w:t>4</w:t>
            </w:r>
          </w:p>
        </w:tc>
        <w:tc>
          <w:tcPr>
            <w:tcW w:w="1418" w:type="dxa"/>
          </w:tcPr>
          <w:p>
            <w:pPr>
              <w:pStyle w:val="yTableNAm"/>
              <w:spacing w:before="60"/>
              <w:jc w:val="center"/>
            </w:pPr>
            <w:r>
              <w:t>5</w:t>
            </w:r>
          </w:p>
        </w:tc>
        <w:tc>
          <w:tcPr>
            <w:tcW w:w="1418" w:type="dxa"/>
          </w:tcPr>
          <w:p>
            <w:pPr>
              <w:pStyle w:val="yTable"/>
              <w:jc w:val="center"/>
            </w:pPr>
            <w:r>
              <w:t>3</w:t>
            </w:r>
          </w:p>
        </w:tc>
      </w:tr>
      <w:tr>
        <w:tc>
          <w:tcPr>
            <w:tcW w:w="1417" w:type="dxa"/>
          </w:tcPr>
          <w:p>
            <w:pPr>
              <w:pStyle w:val="yTableNAm"/>
              <w:spacing w:before="60"/>
              <w:jc w:val="center"/>
            </w:pPr>
            <w:r>
              <w:t>31.00</w:t>
            </w:r>
          </w:p>
        </w:tc>
        <w:tc>
          <w:tcPr>
            <w:tcW w:w="1418" w:type="dxa"/>
          </w:tcPr>
          <w:p>
            <w:pPr>
              <w:pStyle w:val="yTableNAm"/>
              <w:spacing w:before="60"/>
              <w:jc w:val="center"/>
            </w:pPr>
            <w:r>
              <w:t>3</w:t>
            </w:r>
          </w:p>
        </w:tc>
        <w:tc>
          <w:tcPr>
            <w:tcW w:w="1417" w:type="dxa"/>
          </w:tcPr>
          <w:p>
            <w:pPr>
              <w:pStyle w:val="yTableNAm"/>
              <w:spacing w:before="60"/>
              <w:jc w:val="center"/>
            </w:pPr>
            <w:r>
              <w:t>3</w:t>
            </w:r>
          </w:p>
        </w:tc>
        <w:tc>
          <w:tcPr>
            <w:tcW w:w="1418" w:type="dxa"/>
          </w:tcPr>
          <w:p>
            <w:pPr>
              <w:pStyle w:val="yTableNAm"/>
              <w:spacing w:before="60"/>
              <w:jc w:val="center"/>
            </w:pPr>
            <w:r>
              <w:t>4</w:t>
            </w:r>
          </w:p>
        </w:tc>
        <w:tc>
          <w:tcPr>
            <w:tcW w:w="1418" w:type="dxa"/>
          </w:tcPr>
          <w:p>
            <w:pPr>
              <w:pStyle w:val="yTable"/>
              <w:jc w:val="center"/>
            </w:pPr>
            <w:r>
              <w:t>3</w:t>
            </w:r>
          </w:p>
        </w:tc>
      </w:tr>
      <w:tr>
        <w:tc>
          <w:tcPr>
            <w:tcW w:w="1417" w:type="dxa"/>
          </w:tcPr>
          <w:p>
            <w:pPr>
              <w:pStyle w:val="yTableNAm"/>
              <w:spacing w:before="60"/>
              <w:jc w:val="center"/>
            </w:pPr>
            <w:r>
              <w:t>41.00</w:t>
            </w:r>
          </w:p>
        </w:tc>
        <w:tc>
          <w:tcPr>
            <w:tcW w:w="1418" w:type="dxa"/>
          </w:tcPr>
          <w:p>
            <w:pPr>
              <w:pStyle w:val="yTableNAm"/>
              <w:spacing w:before="60"/>
              <w:jc w:val="center"/>
            </w:pPr>
            <w:r>
              <w:t>2</w:t>
            </w:r>
          </w:p>
        </w:tc>
        <w:tc>
          <w:tcPr>
            <w:tcW w:w="1417" w:type="dxa"/>
          </w:tcPr>
          <w:p>
            <w:pPr>
              <w:pStyle w:val="yTableNAm"/>
              <w:spacing w:before="60"/>
              <w:jc w:val="center"/>
            </w:pPr>
            <w:r>
              <w:t>3</w:t>
            </w:r>
          </w:p>
        </w:tc>
        <w:tc>
          <w:tcPr>
            <w:tcW w:w="1418" w:type="dxa"/>
          </w:tcPr>
          <w:p>
            <w:pPr>
              <w:pStyle w:val="yTableNAm"/>
              <w:spacing w:before="60"/>
              <w:jc w:val="center"/>
            </w:pPr>
            <w:r>
              <w:t>3</w:t>
            </w:r>
          </w:p>
        </w:tc>
        <w:tc>
          <w:tcPr>
            <w:tcW w:w="1418" w:type="dxa"/>
          </w:tcPr>
          <w:p>
            <w:pPr>
              <w:pStyle w:val="yTable"/>
              <w:jc w:val="center"/>
            </w:pPr>
            <w:r>
              <w:t>2</w:t>
            </w:r>
          </w:p>
        </w:tc>
      </w:tr>
      <w:tr>
        <w:tc>
          <w:tcPr>
            <w:tcW w:w="1417" w:type="dxa"/>
            <w:tcBorders>
              <w:bottom w:val="single" w:sz="4" w:space="0" w:color="auto"/>
            </w:tcBorders>
          </w:tcPr>
          <w:p>
            <w:pPr>
              <w:pStyle w:val="yTableNAm"/>
              <w:spacing w:before="60"/>
              <w:jc w:val="center"/>
            </w:pPr>
            <w:r>
              <w:t>51.00</w:t>
            </w:r>
          </w:p>
        </w:tc>
        <w:tc>
          <w:tcPr>
            <w:tcW w:w="1418" w:type="dxa"/>
            <w:tcBorders>
              <w:bottom w:val="single" w:sz="4" w:space="0" w:color="auto"/>
            </w:tcBorders>
          </w:tcPr>
          <w:p>
            <w:pPr>
              <w:pStyle w:val="yTableNAm"/>
              <w:spacing w:before="60"/>
              <w:jc w:val="center"/>
            </w:pPr>
            <w:r>
              <w:t>2</w:t>
            </w:r>
          </w:p>
        </w:tc>
        <w:tc>
          <w:tcPr>
            <w:tcW w:w="1417"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
              <w:jc w:val="center"/>
            </w:pPr>
            <w:r>
              <w:t>2</w:t>
            </w:r>
          </w:p>
        </w:tc>
      </w:tr>
    </w:tbl>
    <w:p>
      <w:pPr>
        <w:pStyle w:val="yFootnotesection"/>
      </w:pPr>
      <w:r>
        <w:tab/>
        <w:t>[Scale of Deduction Table amended in Gazette 4 Jan 2013 p. 14-15.]</w:t>
      </w:r>
    </w:p>
    <w:p>
      <w:pPr>
        <w:pStyle w:val="yFootnotesection"/>
        <w:sectPr>
          <w:headerReference w:type="even" r:id="rId32"/>
          <w:headerReference w:type="default" r:id="rId33"/>
          <w:pgSz w:w="11907" w:h="16840" w:code="9"/>
          <w:pgMar w:top="2381" w:right="2410" w:bottom="3544" w:left="2410" w:header="720" w:footer="3544" w:gutter="0"/>
          <w:cols w:space="720"/>
        </w:sectPr>
      </w:pPr>
    </w:p>
    <w:p>
      <w:pPr>
        <w:pStyle w:val="yScheduleHeading"/>
      </w:pPr>
      <w:bookmarkStart w:id="133" w:name="_Toc498093871"/>
      <w:bookmarkStart w:id="134" w:name="_Toc498094198"/>
      <w:r>
        <w:rPr>
          <w:rStyle w:val="CharSchNo"/>
        </w:rPr>
        <w:t>Schedule 1</w:t>
      </w:r>
      <w:r>
        <w:rPr>
          <w:rStyle w:val="CharSDivNo"/>
        </w:rPr>
        <w:t> </w:t>
      </w:r>
      <w:r>
        <w:t>—</w:t>
      </w:r>
      <w:r>
        <w:rPr>
          <w:rStyle w:val="CharSDivText"/>
        </w:rPr>
        <w:t> </w:t>
      </w:r>
      <w:r>
        <w:rPr>
          <w:rStyle w:val="CharSchText"/>
        </w:rPr>
        <w:t>Forms</w:t>
      </w:r>
      <w:bookmarkEnd w:id="133"/>
      <w:bookmarkEnd w:id="134"/>
    </w:p>
    <w:p>
      <w:pPr>
        <w:pStyle w:val="yShoulderClause"/>
      </w:pPr>
      <w:r>
        <w:t>[r. 77]</w:t>
      </w:r>
    </w:p>
    <w:p>
      <w:pPr>
        <w:pStyle w:val="yFootnoteheading"/>
        <w:rPr>
          <w:b/>
          <w:snapToGrid w:val="0"/>
        </w:rPr>
      </w:pPr>
      <w:r>
        <w:tab/>
        <w:t>[Heading inserted in Gazette 30 Jan 2004 p. 411.]</w:t>
      </w:r>
    </w:p>
    <w:p>
      <w:pPr>
        <w:pStyle w:val="yMiscellaneousHeading"/>
      </w:pPr>
      <w:r>
        <w:rPr>
          <w:rStyle w:val="CharSClsNo"/>
          <w:b/>
        </w:rPr>
        <w:t>Form 1</w:t>
      </w:r>
    </w:p>
    <w:p>
      <w:pPr>
        <w:pStyle w:val="yMiscellaneousBody"/>
        <w:spacing w:before="60"/>
        <w:jc w:val="center"/>
        <w:rPr>
          <w:i/>
          <w:iCs/>
          <w:snapToGrid w:val="0"/>
        </w:rPr>
      </w:pPr>
      <w:r>
        <w:rPr>
          <w:i/>
          <w:iCs/>
          <w:snapToGrid w:val="0"/>
        </w:rPr>
        <w:t>Betting Control Act 1954</w:t>
      </w:r>
    </w:p>
    <w:p>
      <w:pPr>
        <w:pStyle w:val="yMiscellaneousBody"/>
        <w:spacing w:before="60"/>
        <w:jc w:val="right"/>
        <w:rPr>
          <w:snapToGrid w:val="0"/>
        </w:rPr>
      </w:pPr>
      <w:r>
        <w:rPr>
          <w:snapToGrid w:val="0"/>
        </w:rPr>
        <w:t>[s. 28A]</w:t>
      </w:r>
    </w:p>
    <w:p>
      <w:pPr>
        <w:pStyle w:val="yMiscellaneousBody"/>
        <w:spacing w:before="60"/>
        <w:jc w:val="center"/>
        <w:rPr>
          <w:b/>
          <w:snapToGrid w:val="0"/>
        </w:rPr>
      </w:pPr>
      <w:r>
        <w:rPr>
          <w:b/>
          <w:snapToGrid w:val="0"/>
        </w:rPr>
        <w:t>WARRANT</w:t>
      </w:r>
    </w:p>
    <w:p>
      <w:pPr>
        <w:pStyle w:val="yMiscellaneousBody"/>
        <w:spacing w:before="60"/>
        <w:rPr>
          <w:snapToGrid w:val="0"/>
        </w:rPr>
      </w:pPr>
      <w:r>
        <w:rPr>
          <w:snapToGrid w:val="0"/>
        </w:rPr>
        <w:t xml:space="preserve">I, [insert name of Justice of the Peace granting the warrant], of ..............................................................., being a JUSTICE OF THE PEACE and being satisfied upon application by [insert name of </w:t>
      </w:r>
      <w:r>
        <w:t>applicant</w:t>
      </w:r>
      <w:r>
        <w:rPr>
          <w:snapToGrid w:val="0"/>
        </w:rPr>
        <w:t xml:space="preserve">] that there is reason to suspect that unlawful betting within the meaning of section 28A of the </w:t>
      </w:r>
      <w:r>
        <w:rPr>
          <w:i/>
          <w:iCs/>
          <w:snapToGrid w:val="0"/>
        </w:rPr>
        <w:t>Betting Control Act 1954</w:t>
      </w:r>
      <w:r>
        <w:rPr>
          <w:snapToGrid w:val="0"/>
        </w:rPr>
        <w:t xml:space="preserve"> is or is about to be carried on at (1)..............................</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GRANT to (2) ........................................................................................................</w:t>
      </w:r>
    </w:p>
    <w:p>
      <w:pPr>
        <w:pStyle w:val="yMiscellaneousBody"/>
        <w:spacing w:before="6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MiscellaneousBody"/>
        <w:spacing w:before="60"/>
        <w:rPr>
          <w:snapToGrid w:val="0"/>
        </w:rPr>
      </w:pPr>
      <w:r>
        <w:rPr>
          <w:snapToGrid w:val="0"/>
        </w:rPr>
        <w:t>Granted on .............................................................................................................</w:t>
      </w:r>
    </w:p>
    <w:p>
      <w:pPr>
        <w:pStyle w:val="yMiscellaneousBody"/>
        <w:spacing w:before="60"/>
        <w:rPr>
          <w:snapToGrid w:val="0"/>
        </w:rPr>
      </w:pPr>
      <w:r>
        <w:rPr>
          <w:snapToGrid w:val="0"/>
        </w:rPr>
        <w:t>at ............................................................................................................................</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Signature of Justice of the</w:t>
      </w:r>
      <w:r>
        <w:rPr>
          <w:snapToGrid w:val="0"/>
        </w:rPr>
        <w:br/>
        <w:t>Peace granting the warrant.</w:t>
      </w:r>
    </w:p>
    <w:p>
      <w:pPr>
        <w:pStyle w:val="yMiscellaneousBody"/>
        <w:tabs>
          <w:tab w:val="left" w:pos="600"/>
        </w:tabs>
        <w:spacing w:before="60"/>
        <w:ind w:left="600" w:hanging="600"/>
        <w:rPr>
          <w:snapToGrid w:val="0"/>
        </w:rPr>
      </w:pPr>
      <w:r>
        <w:rPr>
          <w:snapToGrid w:val="0"/>
        </w:rPr>
        <w:t>(1)</w:t>
      </w:r>
      <w:r>
        <w:rPr>
          <w:snapToGrid w:val="0"/>
        </w:rPr>
        <w:tab/>
        <w:t>Insert particulars of place.</w:t>
      </w:r>
    </w:p>
    <w:p>
      <w:pPr>
        <w:pStyle w:val="yMiscellaneousBody"/>
        <w:tabs>
          <w:tab w:val="left" w:pos="600"/>
        </w:tabs>
        <w:spacing w:before="60"/>
        <w:ind w:left="600" w:hanging="600"/>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in Gazette 30 Jan 2004 p. 411; amended in Gazette 14 Jun 2013 p. 2243.]</w:t>
      </w:r>
    </w:p>
    <w:p>
      <w:pPr>
        <w:pStyle w:val="CentredBaseLine"/>
        <w:jc w:val="center"/>
      </w:pPr>
      <w:r>
        <w:rPr>
          <w:noProof/>
        </w:rPr>
        <w:drawing>
          <wp:inline distT="0" distB="0" distL="0" distR="0">
            <wp:extent cx="933450" cy="171450"/>
            <wp:effectExtent l="0" t="0" r="0" b="0"/>
            <wp:docPr id="6" name="Picture 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default" r:id="rId35"/>
          <w:pgSz w:w="11907" w:h="16840" w:code="9"/>
          <w:pgMar w:top="2381" w:right="2410" w:bottom="3544" w:left="2410" w:header="720" w:footer="3544" w:gutter="0"/>
          <w:cols w:space="720"/>
        </w:sectPr>
      </w:pPr>
    </w:p>
    <w:p>
      <w:pPr>
        <w:pStyle w:val="nHeading2"/>
      </w:pPr>
      <w:bookmarkStart w:id="135" w:name="_Toc498093872"/>
      <w:bookmarkStart w:id="136" w:name="_Toc498094199"/>
      <w:r>
        <w:t>Notes</w:t>
      </w:r>
      <w:bookmarkEnd w:id="135"/>
      <w:bookmarkEnd w:id="136"/>
    </w:p>
    <w:p>
      <w:pPr>
        <w:pStyle w:val="nSubsection"/>
      </w:pPr>
      <w:r>
        <w:rPr>
          <w:vertAlign w:val="superscript"/>
        </w:rPr>
        <w:t>1</w:t>
      </w:r>
      <w:r>
        <w:tab/>
        <w:t xml:space="preserve">This is a compilation of the </w:t>
      </w:r>
      <w:r>
        <w:rPr>
          <w:i/>
        </w:rPr>
        <w:t>Betting Control Regulations 1978</w:t>
      </w:r>
      <w:r>
        <w:t xml:space="preserve"> and includes the amendments made by the other written laws referred to in the following table </w:t>
      </w:r>
      <w:r>
        <w:rPr>
          <w:vertAlign w:val="superscript"/>
        </w:rPr>
        <w:t>1a</w:t>
      </w:r>
      <w:r>
        <w:t>.  The table also contains information about any reprint.</w:t>
      </w:r>
    </w:p>
    <w:p>
      <w:pPr>
        <w:pStyle w:val="nHeading3"/>
      </w:pPr>
      <w:bookmarkStart w:id="137" w:name="_Toc498094200"/>
      <w:r>
        <w:t>Compilation table</w:t>
      </w:r>
      <w:bookmarkEnd w:id="137"/>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pPr>
            <w:r>
              <w:rPr>
                <w:i/>
              </w:rPr>
              <w:t>Betting Control Regulations 1978</w:t>
            </w:r>
          </w:p>
        </w:tc>
        <w:tc>
          <w:tcPr>
            <w:tcW w:w="1276" w:type="dxa"/>
          </w:tcPr>
          <w:p>
            <w:pPr>
              <w:pStyle w:val="nTable"/>
              <w:spacing w:after="40"/>
            </w:pPr>
            <w:r>
              <w:t>22 Jun 1978 p. 1991</w:t>
            </w:r>
            <w:r>
              <w:noBreakHyphen/>
              <w:t>2014</w:t>
            </w:r>
          </w:p>
        </w:tc>
        <w:tc>
          <w:tcPr>
            <w:tcW w:w="2693" w:type="dxa"/>
          </w:tcPr>
          <w:p>
            <w:pPr>
              <w:pStyle w:val="nTable"/>
              <w:spacing w:after="40"/>
            </w:pPr>
            <w:r>
              <w:t>22 Jun 1978</w:t>
            </w:r>
          </w:p>
        </w:tc>
      </w:tr>
      <w:tr>
        <w:trPr>
          <w:cantSplit/>
        </w:trPr>
        <w:tc>
          <w:tcPr>
            <w:tcW w:w="3118" w:type="dxa"/>
          </w:tcPr>
          <w:p>
            <w:pPr>
              <w:pStyle w:val="nTable"/>
              <w:spacing w:after="40"/>
              <w:ind w:right="113"/>
              <w:rPr>
                <w:i/>
              </w:rPr>
            </w:pPr>
            <w:r>
              <w:rPr>
                <w:i/>
              </w:rPr>
              <w:t>Betting Control Amendment Regulations 1983</w:t>
            </w:r>
          </w:p>
        </w:tc>
        <w:tc>
          <w:tcPr>
            <w:tcW w:w="1276" w:type="dxa"/>
          </w:tcPr>
          <w:p>
            <w:pPr>
              <w:pStyle w:val="nTable"/>
              <w:spacing w:after="40"/>
            </w:pPr>
            <w:r>
              <w:t>12 Aug 1983 p. 2918</w:t>
            </w:r>
          </w:p>
        </w:tc>
        <w:tc>
          <w:tcPr>
            <w:tcW w:w="2693" w:type="dxa"/>
          </w:tcPr>
          <w:p>
            <w:pPr>
              <w:pStyle w:val="nTable"/>
              <w:spacing w:after="40"/>
            </w:pPr>
            <w:r>
              <w:t>12 Aug 1983</w:t>
            </w:r>
          </w:p>
        </w:tc>
      </w:tr>
      <w:tr>
        <w:trPr>
          <w:cantSplit/>
        </w:trPr>
        <w:tc>
          <w:tcPr>
            <w:tcW w:w="3118" w:type="dxa"/>
          </w:tcPr>
          <w:p>
            <w:pPr>
              <w:pStyle w:val="nTable"/>
              <w:spacing w:after="40"/>
              <w:ind w:right="113"/>
              <w:rPr>
                <w:i/>
              </w:rPr>
            </w:pPr>
            <w:r>
              <w:rPr>
                <w:i/>
              </w:rPr>
              <w:t>Betting Control Amendment Regulations 1988</w:t>
            </w:r>
          </w:p>
        </w:tc>
        <w:tc>
          <w:tcPr>
            <w:tcW w:w="1276" w:type="dxa"/>
          </w:tcPr>
          <w:p>
            <w:pPr>
              <w:pStyle w:val="nTable"/>
              <w:spacing w:after="40"/>
            </w:pPr>
            <w:r>
              <w:t>4 Mar 1988 p. 667</w:t>
            </w:r>
            <w:r>
              <w:noBreakHyphen/>
              <w:t>8</w:t>
            </w:r>
          </w:p>
        </w:tc>
        <w:tc>
          <w:tcPr>
            <w:tcW w:w="2693" w:type="dxa"/>
          </w:tcPr>
          <w:p>
            <w:pPr>
              <w:pStyle w:val="nTable"/>
              <w:spacing w:after="40"/>
            </w:pPr>
            <w:r>
              <w:t>4 Mar 1988 (see r. 2)</w:t>
            </w:r>
          </w:p>
        </w:tc>
      </w:tr>
      <w:tr>
        <w:trPr>
          <w:cantSplit/>
        </w:trPr>
        <w:tc>
          <w:tcPr>
            <w:tcW w:w="3118" w:type="dxa"/>
          </w:tcPr>
          <w:p>
            <w:pPr>
              <w:pStyle w:val="nTable"/>
              <w:spacing w:after="40"/>
              <w:ind w:right="113"/>
              <w:rPr>
                <w:i/>
              </w:rPr>
            </w:pPr>
            <w:r>
              <w:rPr>
                <w:i/>
              </w:rPr>
              <w:t>Betting Control Amendment Regulations (No. 2) 1988</w:t>
            </w:r>
          </w:p>
        </w:tc>
        <w:tc>
          <w:tcPr>
            <w:tcW w:w="1276" w:type="dxa"/>
          </w:tcPr>
          <w:p>
            <w:pPr>
              <w:pStyle w:val="nTable"/>
              <w:spacing w:after="40"/>
            </w:pPr>
            <w:r>
              <w:t>24 Jun 1988 p. 2003</w:t>
            </w:r>
            <w:r>
              <w:noBreakHyphen/>
              <w:t>5</w:t>
            </w:r>
          </w:p>
        </w:tc>
        <w:tc>
          <w:tcPr>
            <w:tcW w:w="2693" w:type="dxa"/>
          </w:tcPr>
          <w:p>
            <w:pPr>
              <w:pStyle w:val="nTable"/>
              <w:spacing w:after="40"/>
            </w:pPr>
            <w:r>
              <w:t>24 Jun 1988</w:t>
            </w:r>
          </w:p>
        </w:tc>
      </w:tr>
      <w:tr>
        <w:trPr>
          <w:cantSplit/>
        </w:trPr>
        <w:tc>
          <w:tcPr>
            <w:tcW w:w="3118" w:type="dxa"/>
          </w:tcPr>
          <w:p>
            <w:pPr>
              <w:pStyle w:val="nTable"/>
              <w:spacing w:after="40"/>
              <w:ind w:right="113"/>
              <w:rPr>
                <w:i/>
              </w:rPr>
            </w:pPr>
            <w:r>
              <w:rPr>
                <w:i/>
              </w:rPr>
              <w:t>Betting Control (Amendment) Regulations 1989</w:t>
            </w:r>
          </w:p>
        </w:tc>
        <w:tc>
          <w:tcPr>
            <w:tcW w:w="1276" w:type="dxa"/>
          </w:tcPr>
          <w:p>
            <w:pPr>
              <w:pStyle w:val="nTable"/>
              <w:spacing w:after="40"/>
            </w:pPr>
            <w:r>
              <w:t>14 Jul 1989 p. 2133</w:t>
            </w:r>
          </w:p>
        </w:tc>
        <w:tc>
          <w:tcPr>
            <w:tcW w:w="2693" w:type="dxa"/>
          </w:tcPr>
          <w:p>
            <w:pPr>
              <w:pStyle w:val="nTable"/>
              <w:spacing w:after="40"/>
            </w:pPr>
            <w:r>
              <w:t>14 Jul 1989</w:t>
            </w:r>
          </w:p>
        </w:tc>
      </w:tr>
      <w:tr>
        <w:trPr>
          <w:cantSplit/>
        </w:trPr>
        <w:tc>
          <w:tcPr>
            <w:tcW w:w="3118" w:type="dxa"/>
          </w:tcPr>
          <w:p>
            <w:pPr>
              <w:pStyle w:val="nTable"/>
              <w:spacing w:after="40"/>
              <w:ind w:right="113"/>
              <w:rPr>
                <w:i/>
              </w:rPr>
            </w:pPr>
            <w:r>
              <w:rPr>
                <w:i/>
              </w:rPr>
              <w:t>Betting Control Amendment Regulations 1990</w:t>
            </w:r>
          </w:p>
        </w:tc>
        <w:tc>
          <w:tcPr>
            <w:tcW w:w="1276" w:type="dxa"/>
          </w:tcPr>
          <w:p>
            <w:pPr>
              <w:pStyle w:val="nTable"/>
              <w:spacing w:after="40"/>
            </w:pPr>
            <w:r>
              <w:t>14 Sep 1990 p. 4863</w:t>
            </w:r>
            <w:r>
              <w:noBreakHyphen/>
              <w:t>4</w:t>
            </w:r>
          </w:p>
        </w:tc>
        <w:tc>
          <w:tcPr>
            <w:tcW w:w="2693" w:type="dxa"/>
          </w:tcPr>
          <w:p>
            <w:pPr>
              <w:pStyle w:val="nTable"/>
              <w:spacing w:after="40"/>
            </w:pPr>
            <w:r>
              <w:t>14 Sep 1990</w:t>
            </w:r>
          </w:p>
        </w:tc>
      </w:tr>
      <w:tr>
        <w:trPr>
          <w:cantSplit/>
        </w:trPr>
        <w:tc>
          <w:tcPr>
            <w:tcW w:w="3118" w:type="dxa"/>
          </w:tcPr>
          <w:p>
            <w:pPr>
              <w:pStyle w:val="nTable"/>
              <w:spacing w:after="40"/>
              <w:ind w:right="113"/>
              <w:rPr>
                <w:i/>
              </w:rPr>
            </w:pPr>
            <w:r>
              <w:rPr>
                <w:i/>
              </w:rPr>
              <w:t>Betting Control Amendment Regulations 1991</w:t>
            </w:r>
          </w:p>
        </w:tc>
        <w:tc>
          <w:tcPr>
            <w:tcW w:w="1276" w:type="dxa"/>
          </w:tcPr>
          <w:p>
            <w:pPr>
              <w:pStyle w:val="nTable"/>
              <w:spacing w:after="40"/>
            </w:pPr>
            <w:r>
              <w:t>14 Feb 1992 p. 857</w:t>
            </w:r>
            <w:r>
              <w:noBreakHyphen/>
              <w:t>62</w:t>
            </w:r>
          </w:p>
        </w:tc>
        <w:tc>
          <w:tcPr>
            <w:tcW w:w="2693" w:type="dxa"/>
          </w:tcPr>
          <w:p>
            <w:pPr>
              <w:pStyle w:val="nTable"/>
              <w:spacing w:after="40"/>
            </w:pPr>
            <w:r>
              <w:t>14 Feb 1992</w:t>
            </w:r>
          </w:p>
        </w:tc>
      </w:tr>
      <w:tr>
        <w:trPr>
          <w:cantSplit/>
        </w:trPr>
        <w:tc>
          <w:tcPr>
            <w:tcW w:w="3118" w:type="dxa"/>
          </w:tcPr>
          <w:p>
            <w:pPr>
              <w:pStyle w:val="nTable"/>
              <w:spacing w:after="40"/>
              <w:ind w:right="113"/>
              <w:rPr>
                <w:i/>
              </w:rPr>
            </w:pPr>
            <w:r>
              <w:rPr>
                <w:i/>
              </w:rPr>
              <w:t>Betting Control Amendment Regulations 1992</w:t>
            </w:r>
          </w:p>
        </w:tc>
        <w:tc>
          <w:tcPr>
            <w:tcW w:w="1276" w:type="dxa"/>
          </w:tcPr>
          <w:p>
            <w:pPr>
              <w:pStyle w:val="nTable"/>
              <w:spacing w:after="40"/>
            </w:pPr>
            <w:r>
              <w:t>10 Jul 1992 p. 3286</w:t>
            </w:r>
            <w:r>
              <w:noBreakHyphen/>
              <w:t>95</w:t>
            </w:r>
          </w:p>
        </w:tc>
        <w:tc>
          <w:tcPr>
            <w:tcW w:w="2693" w:type="dxa"/>
          </w:tcPr>
          <w:p>
            <w:pPr>
              <w:pStyle w:val="nTable"/>
              <w:spacing w:after="40"/>
            </w:pPr>
            <w:r>
              <w:t>10 Jul 1992</w:t>
            </w:r>
          </w:p>
        </w:tc>
      </w:tr>
      <w:tr>
        <w:trPr>
          <w:cantSplit/>
        </w:trPr>
        <w:tc>
          <w:tcPr>
            <w:tcW w:w="3118" w:type="dxa"/>
          </w:tcPr>
          <w:p>
            <w:pPr>
              <w:pStyle w:val="nTable"/>
              <w:spacing w:after="40"/>
              <w:ind w:right="113"/>
              <w:rPr>
                <w:i/>
              </w:rPr>
            </w:pPr>
            <w:r>
              <w:rPr>
                <w:i/>
              </w:rPr>
              <w:t>Betting Control Amendment Regulations (No. 2) 1992</w:t>
            </w:r>
          </w:p>
        </w:tc>
        <w:tc>
          <w:tcPr>
            <w:tcW w:w="1276" w:type="dxa"/>
          </w:tcPr>
          <w:p>
            <w:pPr>
              <w:pStyle w:val="nTable"/>
              <w:spacing w:after="40"/>
            </w:pPr>
            <w:r>
              <w:t>31 Jul 1992 p. 3796</w:t>
            </w:r>
          </w:p>
        </w:tc>
        <w:tc>
          <w:tcPr>
            <w:tcW w:w="2693" w:type="dxa"/>
          </w:tcPr>
          <w:p>
            <w:pPr>
              <w:pStyle w:val="nTable"/>
              <w:spacing w:after="40"/>
            </w:pPr>
            <w:r>
              <w:t>31 Jul 1992</w:t>
            </w:r>
          </w:p>
        </w:tc>
      </w:tr>
      <w:tr>
        <w:trPr>
          <w:cantSplit/>
        </w:trPr>
        <w:tc>
          <w:tcPr>
            <w:tcW w:w="7087" w:type="dxa"/>
            <w:gridSpan w:val="3"/>
          </w:tcPr>
          <w:p>
            <w:pPr>
              <w:pStyle w:val="nTable"/>
              <w:spacing w:after="40"/>
            </w:pPr>
            <w:r>
              <w:rPr>
                <w:b/>
              </w:rPr>
              <w:t xml:space="preserve">Reprint of the </w:t>
            </w:r>
            <w:r>
              <w:rPr>
                <w:b/>
                <w:i/>
              </w:rPr>
              <w:t>Betting Control Regulations 1978</w:t>
            </w:r>
            <w:r>
              <w:rPr>
                <w:b/>
              </w:rPr>
              <w:t xml:space="preserve"> as at 20 Aug 1992 </w:t>
            </w:r>
            <w:r>
              <w:t>(includes amendments listed above)</w:t>
            </w:r>
          </w:p>
        </w:tc>
      </w:tr>
      <w:tr>
        <w:trPr>
          <w:cantSplit/>
        </w:trPr>
        <w:tc>
          <w:tcPr>
            <w:tcW w:w="3118" w:type="dxa"/>
          </w:tcPr>
          <w:p>
            <w:pPr>
              <w:pStyle w:val="nTable"/>
              <w:spacing w:after="40"/>
              <w:ind w:right="113"/>
            </w:pPr>
            <w:r>
              <w:rPr>
                <w:i/>
              </w:rPr>
              <w:t>Betting Control Amendment Regulations 1993</w:t>
            </w:r>
          </w:p>
        </w:tc>
        <w:tc>
          <w:tcPr>
            <w:tcW w:w="1276" w:type="dxa"/>
          </w:tcPr>
          <w:p>
            <w:pPr>
              <w:pStyle w:val="nTable"/>
              <w:spacing w:after="40"/>
            </w:pPr>
            <w:r>
              <w:t>31 Aug 1993 p. 4677 (correction 10 Sep 1993 p. 4975)</w:t>
            </w:r>
          </w:p>
        </w:tc>
        <w:tc>
          <w:tcPr>
            <w:tcW w:w="2693" w:type="dxa"/>
          </w:tcPr>
          <w:p>
            <w:pPr>
              <w:pStyle w:val="nTable"/>
              <w:spacing w:after="40"/>
            </w:pPr>
            <w:r>
              <w:t>31 Aug 1993</w:t>
            </w:r>
          </w:p>
        </w:tc>
      </w:tr>
      <w:tr>
        <w:trPr>
          <w:cantSplit/>
        </w:trPr>
        <w:tc>
          <w:tcPr>
            <w:tcW w:w="3118" w:type="dxa"/>
          </w:tcPr>
          <w:p>
            <w:pPr>
              <w:pStyle w:val="nTable"/>
              <w:spacing w:after="40"/>
              <w:ind w:right="113"/>
            </w:pPr>
            <w:r>
              <w:rPr>
                <w:i/>
              </w:rPr>
              <w:t>Betting Control Amendment Regulations (No. 2) 1993</w:t>
            </w:r>
          </w:p>
        </w:tc>
        <w:tc>
          <w:tcPr>
            <w:tcW w:w="1276" w:type="dxa"/>
          </w:tcPr>
          <w:p>
            <w:pPr>
              <w:pStyle w:val="nTable"/>
              <w:spacing w:after="40"/>
            </w:pPr>
            <w:r>
              <w:t>24 Dec 1993 p. 6839</w:t>
            </w:r>
            <w:r>
              <w:noBreakHyphen/>
              <w:t>40</w:t>
            </w:r>
          </w:p>
        </w:tc>
        <w:tc>
          <w:tcPr>
            <w:tcW w:w="2693" w:type="dxa"/>
          </w:tcPr>
          <w:p>
            <w:pPr>
              <w:pStyle w:val="nTable"/>
              <w:spacing w:after="40"/>
            </w:pPr>
            <w:r>
              <w:t>24 Dec 1993</w:t>
            </w:r>
          </w:p>
        </w:tc>
      </w:tr>
      <w:tr>
        <w:trPr>
          <w:cantSplit/>
        </w:trPr>
        <w:tc>
          <w:tcPr>
            <w:tcW w:w="3118" w:type="dxa"/>
          </w:tcPr>
          <w:p>
            <w:pPr>
              <w:pStyle w:val="nTable"/>
              <w:spacing w:after="40"/>
              <w:ind w:right="113"/>
            </w:pPr>
            <w:r>
              <w:rPr>
                <w:i/>
              </w:rPr>
              <w:t>Betting Control Amendment Regulations 1994</w:t>
            </w:r>
          </w:p>
        </w:tc>
        <w:tc>
          <w:tcPr>
            <w:tcW w:w="1276" w:type="dxa"/>
          </w:tcPr>
          <w:p>
            <w:pPr>
              <w:pStyle w:val="nTable"/>
              <w:spacing w:after="40"/>
            </w:pPr>
            <w:r>
              <w:t>2 Dec 1994 p. 6383</w:t>
            </w:r>
          </w:p>
        </w:tc>
        <w:tc>
          <w:tcPr>
            <w:tcW w:w="2693" w:type="dxa"/>
          </w:tcPr>
          <w:p>
            <w:pPr>
              <w:pStyle w:val="nTable"/>
              <w:spacing w:after="40"/>
            </w:pPr>
            <w:r>
              <w:t>2 Dec 1994</w:t>
            </w:r>
          </w:p>
        </w:tc>
      </w:tr>
      <w:tr>
        <w:trPr>
          <w:cantSplit/>
        </w:trPr>
        <w:tc>
          <w:tcPr>
            <w:tcW w:w="3118" w:type="dxa"/>
          </w:tcPr>
          <w:p>
            <w:pPr>
              <w:pStyle w:val="nTable"/>
              <w:spacing w:after="40"/>
              <w:ind w:right="113"/>
            </w:pPr>
            <w:r>
              <w:rPr>
                <w:i/>
              </w:rPr>
              <w:t>Betting Control Amendment Regulations 1996</w:t>
            </w:r>
          </w:p>
        </w:tc>
        <w:tc>
          <w:tcPr>
            <w:tcW w:w="1276" w:type="dxa"/>
          </w:tcPr>
          <w:p>
            <w:pPr>
              <w:pStyle w:val="nTable"/>
              <w:spacing w:after="40"/>
            </w:pPr>
            <w:r>
              <w:t>25 Jun 1996 p. 2974</w:t>
            </w:r>
            <w:r>
              <w:noBreakHyphen/>
              <w:t>8</w:t>
            </w:r>
          </w:p>
        </w:tc>
        <w:tc>
          <w:tcPr>
            <w:tcW w:w="2693" w:type="dxa"/>
          </w:tcPr>
          <w:p>
            <w:pPr>
              <w:pStyle w:val="nTable"/>
              <w:spacing w:after="40"/>
            </w:pPr>
            <w:r>
              <w:t xml:space="preserve">28 Jun 1996 (see r. 2 and </w:t>
            </w:r>
            <w:r>
              <w:rPr>
                <w:i/>
              </w:rPr>
              <w:t>Gazette</w:t>
            </w:r>
            <w:r>
              <w:t xml:space="preserve"> 25 Jun 1996 p. 2901)</w:t>
            </w:r>
          </w:p>
        </w:tc>
      </w:tr>
      <w:tr>
        <w:trPr>
          <w:cantSplit/>
        </w:trPr>
        <w:tc>
          <w:tcPr>
            <w:tcW w:w="3118" w:type="dxa"/>
          </w:tcPr>
          <w:p>
            <w:pPr>
              <w:pStyle w:val="nTable"/>
              <w:spacing w:after="40"/>
              <w:ind w:right="113"/>
            </w:pPr>
            <w:r>
              <w:rPr>
                <w:i/>
              </w:rPr>
              <w:t>Betting Control Amendment Regulations (No. 2) 1996</w:t>
            </w:r>
          </w:p>
        </w:tc>
        <w:tc>
          <w:tcPr>
            <w:tcW w:w="1276" w:type="dxa"/>
          </w:tcPr>
          <w:p>
            <w:pPr>
              <w:pStyle w:val="nTable"/>
              <w:spacing w:after="40"/>
            </w:pPr>
            <w:r>
              <w:t>22 Oct 1996 p. 5619</w:t>
            </w:r>
          </w:p>
        </w:tc>
        <w:tc>
          <w:tcPr>
            <w:tcW w:w="2693" w:type="dxa"/>
          </w:tcPr>
          <w:p>
            <w:pPr>
              <w:pStyle w:val="nTable"/>
              <w:spacing w:after="40"/>
            </w:pPr>
            <w:r>
              <w:t>22 Oct 1996</w:t>
            </w:r>
          </w:p>
        </w:tc>
      </w:tr>
      <w:tr>
        <w:trPr>
          <w:cantSplit/>
        </w:trPr>
        <w:tc>
          <w:tcPr>
            <w:tcW w:w="3118" w:type="dxa"/>
          </w:tcPr>
          <w:p>
            <w:pPr>
              <w:pStyle w:val="nTable"/>
              <w:spacing w:after="40"/>
              <w:ind w:right="113"/>
            </w:pPr>
            <w:r>
              <w:rPr>
                <w:i/>
              </w:rPr>
              <w:t>Betting Control Amendment Regulations 1997</w:t>
            </w:r>
          </w:p>
        </w:tc>
        <w:tc>
          <w:tcPr>
            <w:tcW w:w="1276" w:type="dxa"/>
          </w:tcPr>
          <w:p>
            <w:pPr>
              <w:pStyle w:val="nTable"/>
              <w:spacing w:after="40"/>
            </w:pPr>
            <w:r>
              <w:t>4 Mar 1997</w:t>
            </w:r>
            <w:r>
              <w:br/>
              <w:t>p. 1395</w:t>
            </w:r>
          </w:p>
        </w:tc>
        <w:tc>
          <w:tcPr>
            <w:tcW w:w="2693" w:type="dxa"/>
          </w:tcPr>
          <w:p>
            <w:pPr>
              <w:pStyle w:val="nTable"/>
              <w:spacing w:after="40"/>
            </w:pPr>
            <w:r>
              <w:t>4 Mar 1997</w:t>
            </w:r>
          </w:p>
        </w:tc>
      </w:tr>
      <w:tr>
        <w:trPr>
          <w:cantSplit/>
        </w:trPr>
        <w:tc>
          <w:tcPr>
            <w:tcW w:w="3118" w:type="dxa"/>
          </w:tcPr>
          <w:p>
            <w:pPr>
              <w:pStyle w:val="nTable"/>
              <w:keepNext/>
              <w:spacing w:after="40"/>
              <w:ind w:right="113"/>
            </w:pPr>
            <w:r>
              <w:rPr>
                <w:i/>
              </w:rPr>
              <w:t>Betting Control Amendment Regulations (No. 2) 1997</w:t>
            </w:r>
          </w:p>
        </w:tc>
        <w:tc>
          <w:tcPr>
            <w:tcW w:w="1276" w:type="dxa"/>
          </w:tcPr>
          <w:p>
            <w:pPr>
              <w:pStyle w:val="nTable"/>
              <w:keepNext/>
              <w:spacing w:after="40"/>
            </w:pPr>
            <w:r>
              <w:t>4 Mar 1997 p. 1396 (as amended 24 Jun 1997 p. 3014)</w:t>
            </w:r>
          </w:p>
        </w:tc>
        <w:tc>
          <w:tcPr>
            <w:tcW w:w="2693" w:type="dxa"/>
          </w:tcPr>
          <w:p>
            <w:pPr>
              <w:pStyle w:val="nTable"/>
              <w:keepNext/>
              <w:spacing w:after="40"/>
            </w:pPr>
            <w:r>
              <w:t>1 Aug 1997 (see r. 2)</w:t>
            </w:r>
          </w:p>
        </w:tc>
      </w:tr>
      <w:tr>
        <w:trPr>
          <w:cantSplit/>
        </w:trPr>
        <w:tc>
          <w:tcPr>
            <w:tcW w:w="3118" w:type="dxa"/>
          </w:tcPr>
          <w:p>
            <w:pPr>
              <w:pStyle w:val="nTable"/>
              <w:spacing w:after="40"/>
              <w:ind w:right="113"/>
            </w:pPr>
            <w:r>
              <w:rPr>
                <w:i/>
              </w:rPr>
              <w:t>Betting Control Amendment Regulations (No. 3) 1997</w:t>
            </w:r>
          </w:p>
        </w:tc>
        <w:tc>
          <w:tcPr>
            <w:tcW w:w="1276" w:type="dxa"/>
          </w:tcPr>
          <w:p>
            <w:pPr>
              <w:pStyle w:val="nTable"/>
              <w:spacing w:after="40"/>
            </w:pPr>
            <w:r>
              <w:t>24 Jun 1997 p. 3014</w:t>
            </w:r>
          </w:p>
        </w:tc>
        <w:tc>
          <w:tcPr>
            <w:tcW w:w="2693" w:type="dxa"/>
          </w:tcPr>
          <w:p>
            <w:pPr>
              <w:pStyle w:val="nTable"/>
              <w:spacing w:after="40"/>
            </w:pPr>
            <w:r>
              <w:t>24 Jun 1997</w:t>
            </w:r>
          </w:p>
        </w:tc>
      </w:tr>
      <w:tr>
        <w:trPr>
          <w:cantSplit/>
        </w:trPr>
        <w:tc>
          <w:tcPr>
            <w:tcW w:w="7087" w:type="dxa"/>
            <w:gridSpan w:val="3"/>
          </w:tcPr>
          <w:p>
            <w:pPr>
              <w:pStyle w:val="nTable"/>
              <w:spacing w:after="40"/>
            </w:pPr>
            <w:r>
              <w:rPr>
                <w:b/>
              </w:rPr>
              <w:t xml:space="preserve">Reprint of the </w:t>
            </w:r>
            <w:r>
              <w:rPr>
                <w:b/>
                <w:i/>
              </w:rPr>
              <w:t>Betting Control Regulations 1978</w:t>
            </w:r>
            <w:r>
              <w:rPr>
                <w:b/>
              </w:rPr>
              <w:t xml:space="preserve"> as at 30 Sep 1997 </w:t>
            </w:r>
            <w:r>
              <w:t>(includes amendments listed above)</w:t>
            </w:r>
          </w:p>
        </w:tc>
      </w:tr>
      <w:tr>
        <w:trPr>
          <w:cantSplit/>
        </w:trPr>
        <w:tc>
          <w:tcPr>
            <w:tcW w:w="3118" w:type="dxa"/>
          </w:tcPr>
          <w:p>
            <w:pPr>
              <w:pStyle w:val="nTable"/>
              <w:spacing w:after="40"/>
              <w:ind w:right="113"/>
            </w:pPr>
            <w:r>
              <w:rPr>
                <w:i/>
              </w:rPr>
              <w:t>Betting Control Amendment Regulations 1998</w:t>
            </w:r>
          </w:p>
        </w:tc>
        <w:tc>
          <w:tcPr>
            <w:tcW w:w="1276" w:type="dxa"/>
          </w:tcPr>
          <w:p>
            <w:pPr>
              <w:pStyle w:val="nTable"/>
              <w:spacing w:after="40"/>
            </w:pPr>
            <w:r>
              <w:t>13 Mar 1998 p. 1394</w:t>
            </w:r>
          </w:p>
        </w:tc>
        <w:tc>
          <w:tcPr>
            <w:tcW w:w="2693" w:type="dxa"/>
          </w:tcPr>
          <w:p>
            <w:pPr>
              <w:pStyle w:val="nTable"/>
              <w:spacing w:after="40"/>
            </w:pPr>
            <w:r>
              <w:t>13 Mar 1998</w:t>
            </w:r>
          </w:p>
        </w:tc>
      </w:tr>
      <w:tr>
        <w:trPr>
          <w:cantSplit/>
        </w:trPr>
        <w:tc>
          <w:tcPr>
            <w:tcW w:w="3118" w:type="dxa"/>
          </w:tcPr>
          <w:p>
            <w:pPr>
              <w:pStyle w:val="nTable"/>
              <w:spacing w:after="40"/>
              <w:ind w:right="113"/>
              <w:rPr>
                <w:i/>
              </w:rPr>
            </w:pPr>
            <w:r>
              <w:rPr>
                <w:i/>
              </w:rPr>
              <w:t>Betting Control Amendment Regulations (No. 3) 1998</w:t>
            </w:r>
          </w:p>
        </w:tc>
        <w:tc>
          <w:tcPr>
            <w:tcW w:w="1276" w:type="dxa"/>
          </w:tcPr>
          <w:p>
            <w:pPr>
              <w:pStyle w:val="nTable"/>
              <w:spacing w:after="40"/>
            </w:pPr>
            <w:r>
              <w:t>10 Jul 1998 p. 3647</w:t>
            </w:r>
          </w:p>
        </w:tc>
        <w:tc>
          <w:tcPr>
            <w:tcW w:w="2693" w:type="dxa"/>
          </w:tcPr>
          <w:p>
            <w:pPr>
              <w:pStyle w:val="nTable"/>
              <w:spacing w:after="40"/>
            </w:pPr>
            <w:r>
              <w:t>1 Aug 1998 (see r. 2)</w:t>
            </w:r>
          </w:p>
        </w:tc>
      </w:tr>
      <w:tr>
        <w:trPr>
          <w:cantSplit/>
        </w:trPr>
        <w:tc>
          <w:tcPr>
            <w:tcW w:w="3118" w:type="dxa"/>
          </w:tcPr>
          <w:p>
            <w:pPr>
              <w:pStyle w:val="nTable"/>
              <w:spacing w:after="40"/>
              <w:ind w:right="113"/>
              <w:rPr>
                <w:i/>
              </w:rPr>
            </w:pPr>
            <w:r>
              <w:rPr>
                <w:i/>
              </w:rPr>
              <w:t>Betting Control Amendment Regulations (No. 2) 1998</w:t>
            </w:r>
          </w:p>
        </w:tc>
        <w:tc>
          <w:tcPr>
            <w:tcW w:w="1276" w:type="dxa"/>
          </w:tcPr>
          <w:p>
            <w:pPr>
              <w:pStyle w:val="nTable"/>
              <w:spacing w:after="40"/>
            </w:pPr>
            <w:r>
              <w:t>21 Jul 1998 p. 3850</w:t>
            </w:r>
            <w:r>
              <w:noBreakHyphen/>
              <w:t>60</w:t>
            </w:r>
          </w:p>
        </w:tc>
        <w:tc>
          <w:tcPr>
            <w:tcW w:w="2693" w:type="dxa"/>
          </w:tcPr>
          <w:p>
            <w:pPr>
              <w:pStyle w:val="nTable"/>
              <w:spacing w:after="40"/>
            </w:pPr>
            <w:r>
              <w:t xml:space="preserve">1 Aug 1998 (see r. 2 and </w:t>
            </w:r>
            <w:r>
              <w:rPr>
                <w:i/>
              </w:rPr>
              <w:t xml:space="preserve">Gazette </w:t>
            </w:r>
            <w:r>
              <w:t>21 Jul 1998 p. 3825)</w:t>
            </w:r>
          </w:p>
        </w:tc>
      </w:tr>
      <w:tr>
        <w:trPr>
          <w:cantSplit/>
        </w:trPr>
        <w:tc>
          <w:tcPr>
            <w:tcW w:w="3118" w:type="dxa"/>
          </w:tcPr>
          <w:p>
            <w:pPr>
              <w:pStyle w:val="nTable"/>
              <w:spacing w:after="40"/>
              <w:ind w:right="113"/>
              <w:rPr>
                <w:i/>
              </w:rPr>
            </w:pPr>
            <w:r>
              <w:rPr>
                <w:i/>
              </w:rPr>
              <w:t>Betting Control Amendment Regulations (No. 3) 1999</w:t>
            </w:r>
          </w:p>
        </w:tc>
        <w:tc>
          <w:tcPr>
            <w:tcW w:w="1276" w:type="dxa"/>
          </w:tcPr>
          <w:p>
            <w:pPr>
              <w:pStyle w:val="nTable"/>
              <w:spacing w:after="40"/>
            </w:pPr>
            <w:r>
              <w:t>26 Nov 1999 p. 5908</w:t>
            </w:r>
            <w:r>
              <w:noBreakHyphen/>
              <w:t>10</w:t>
            </w:r>
          </w:p>
        </w:tc>
        <w:tc>
          <w:tcPr>
            <w:tcW w:w="2693" w:type="dxa"/>
          </w:tcPr>
          <w:p>
            <w:pPr>
              <w:pStyle w:val="nTable"/>
              <w:spacing w:after="40"/>
            </w:pPr>
            <w:r>
              <w:t>26 Nov 1999</w:t>
            </w:r>
          </w:p>
        </w:tc>
      </w:tr>
      <w:tr>
        <w:trPr>
          <w:cantSplit/>
        </w:trPr>
        <w:tc>
          <w:tcPr>
            <w:tcW w:w="3118" w:type="dxa"/>
          </w:tcPr>
          <w:p>
            <w:pPr>
              <w:pStyle w:val="nTable"/>
              <w:spacing w:after="40"/>
              <w:ind w:right="113"/>
              <w:rPr>
                <w:i/>
              </w:rPr>
            </w:pPr>
            <w:r>
              <w:rPr>
                <w:i/>
              </w:rPr>
              <w:t xml:space="preserve">Betting Control Amendment Regulations 2000 </w:t>
            </w:r>
          </w:p>
        </w:tc>
        <w:tc>
          <w:tcPr>
            <w:tcW w:w="1276" w:type="dxa"/>
          </w:tcPr>
          <w:p>
            <w:pPr>
              <w:pStyle w:val="nTable"/>
              <w:spacing w:after="40"/>
            </w:pPr>
            <w:r>
              <w:t>13 Oct 2000 p. 5726</w:t>
            </w:r>
            <w:r>
              <w:noBreakHyphen/>
              <w:t>7</w:t>
            </w:r>
          </w:p>
        </w:tc>
        <w:tc>
          <w:tcPr>
            <w:tcW w:w="2693" w:type="dxa"/>
          </w:tcPr>
          <w:p>
            <w:pPr>
              <w:pStyle w:val="nTable"/>
              <w:spacing w:after="40"/>
            </w:pPr>
            <w:r>
              <w:t xml:space="preserve">13 Oct 2000 </w:t>
            </w:r>
          </w:p>
        </w:tc>
      </w:tr>
      <w:tr>
        <w:trPr>
          <w:cantSplit/>
        </w:trPr>
        <w:tc>
          <w:tcPr>
            <w:tcW w:w="7087" w:type="dxa"/>
            <w:gridSpan w:val="3"/>
          </w:tcPr>
          <w:p>
            <w:pPr>
              <w:pStyle w:val="nTable"/>
              <w:spacing w:after="40"/>
            </w:pPr>
            <w:r>
              <w:rPr>
                <w:b/>
              </w:rPr>
              <w:t xml:space="preserve">Reprint of the </w:t>
            </w:r>
            <w:r>
              <w:rPr>
                <w:b/>
                <w:i/>
              </w:rPr>
              <w:t>Betting Control Regulations 1978</w:t>
            </w:r>
            <w:r>
              <w:rPr>
                <w:b/>
              </w:rPr>
              <w:t xml:space="preserve"> as at 6 Apr 2001 </w:t>
            </w:r>
            <w:r>
              <w:t>(includes amendments listed above)</w:t>
            </w:r>
          </w:p>
        </w:tc>
      </w:tr>
      <w:tr>
        <w:trPr>
          <w:cantSplit/>
        </w:trPr>
        <w:tc>
          <w:tcPr>
            <w:tcW w:w="3118" w:type="dxa"/>
          </w:tcPr>
          <w:p>
            <w:pPr>
              <w:pStyle w:val="nTable"/>
              <w:spacing w:after="40"/>
              <w:ind w:right="113"/>
              <w:rPr>
                <w:i/>
              </w:rPr>
            </w:pPr>
            <w:r>
              <w:rPr>
                <w:i/>
              </w:rPr>
              <w:t>Betting Control Amendment Regulations 2001</w:t>
            </w:r>
          </w:p>
        </w:tc>
        <w:tc>
          <w:tcPr>
            <w:tcW w:w="1276" w:type="dxa"/>
          </w:tcPr>
          <w:p>
            <w:pPr>
              <w:pStyle w:val="nTable"/>
              <w:spacing w:after="40"/>
            </w:pPr>
            <w:r>
              <w:t>11 Sep 2001 p. 5001</w:t>
            </w:r>
          </w:p>
        </w:tc>
        <w:tc>
          <w:tcPr>
            <w:tcW w:w="2693" w:type="dxa"/>
          </w:tcPr>
          <w:p>
            <w:pPr>
              <w:pStyle w:val="nTable"/>
              <w:spacing w:after="40"/>
            </w:pPr>
            <w:r>
              <w:t>11 Sep 2001</w:t>
            </w:r>
          </w:p>
        </w:tc>
      </w:tr>
      <w:tr>
        <w:trPr>
          <w:cantSplit/>
        </w:trPr>
        <w:tc>
          <w:tcPr>
            <w:tcW w:w="3118" w:type="dxa"/>
          </w:tcPr>
          <w:p>
            <w:pPr>
              <w:pStyle w:val="nTable"/>
              <w:spacing w:after="40"/>
              <w:ind w:right="113"/>
              <w:rPr>
                <w:i/>
              </w:rPr>
            </w:pPr>
            <w:r>
              <w:rPr>
                <w:i/>
              </w:rPr>
              <w:t>Betting Control Amendment Regulations (No. 2) 2001</w:t>
            </w:r>
          </w:p>
        </w:tc>
        <w:tc>
          <w:tcPr>
            <w:tcW w:w="1276" w:type="dxa"/>
          </w:tcPr>
          <w:p>
            <w:pPr>
              <w:pStyle w:val="nTable"/>
              <w:spacing w:after="40"/>
            </w:pPr>
            <w:r>
              <w:t>2 Oct 2001 p. 5454</w:t>
            </w:r>
            <w:r>
              <w:noBreakHyphen/>
              <w:t>5</w:t>
            </w:r>
          </w:p>
        </w:tc>
        <w:tc>
          <w:tcPr>
            <w:tcW w:w="2693" w:type="dxa"/>
          </w:tcPr>
          <w:p>
            <w:pPr>
              <w:pStyle w:val="nTable"/>
              <w:spacing w:after="40"/>
            </w:pPr>
            <w:r>
              <w:t>2 Oct 2001</w:t>
            </w:r>
          </w:p>
        </w:tc>
      </w:tr>
      <w:tr>
        <w:trPr>
          <w:cantSplit/>
        </w:trPr>
        <w:tc>
          <w:tcPr>
            <w:tcW w:w="3118" w:type="dxa"/>
          </w:tcPr>
          <w:p>
            <w:pPr>
              <w:pStyle w:val="nTable"/>
              <w:spacing w:after="40"/>
              <w:ind w:right="113"/>
              <w:rPr>
                <w:i/>
              </w:rPr>
            </w:pPr>
            <w:r>
              <w:rPr>
                <w:i/>
              </w:rPr>
              <w:t>Betting Control Amendment Regulations (No. 3) 2001</w:t>
            </w:r>
          </w:p>
        </w:tc>
        <w:tc>
          <w:tcPr>
            <w:tcW w:w="1276" w:type="dxa"/>
          </w:tcPr>
          <w:p>
            <w:pPr>
              <w:pStyle w:val="nTable"/>
              <w:spacing w:after="40"/>
            </w:pPr>
            <w:r>
              <w:t>18 Jan 2002 p. 284</w:t>
            </w:r>
          </w:p>
        </w:tc>
        <w:tc>
          <w:tcPr>
            <w:tcW w:w="2693" w:type="dxa"/>
          </w:tcPr>
          <w:p>
            <w:pPr>
              <w:pStyle w:val="nTable"/>
              <w:spacing w:after="40"/>
            </w:pPr>
            <w:r>
              <w:t>21 Jan 2002 (see r. 2)</w:t>
            </w:r>
          </w:p>
        </w:tc>
      </w:tr>
      <w:tr>
        <w:trPr>
          <w:cantSplit/>
        </w:trPr>
        <w:tc>
          <w:tcPr>
            <w:tcW w:w="3118" w:type="dxa"/>
          </w:tcPr>
          <w:p>
            <w:pPr>
              <w:pStyle w:val="nTable"/>
              <w:spacing w:after="40"/>
              <w:ind w:right="113"/>
              <w:rPr>
                <w:i/>
              </w:rPr>
            </w:pPr>
            <w:r>
              <w:rPr>
                <w:i/>
              </w:rPr>
              <w:t>Betting Control Amendment Regulations 2002</w:t>
            </w:r>
          </w:p>
        </w:tc>
        <w:tc>
          <w:tcPr>
            <w:tcW w:w="1276" w:type="dxa"/>
          </w:tcPr>
          <w:p>
            <w:pPr>
              <w:pStyle w:val="nTable"/>
              <w:spacing w:after="40"/>
            </w:pPr>
            <w:r>
              <w:t>20 Sep 2002 p. 4697</w:t>
            </w:r>
            <w:r>
              <w:noBreakHyphen/>
              <w:t>704</w:t>
            </w:r>
          </w:p>
        </w:tc>
        <w:tc>
          <w:tcPr>
            <w:tcW w:w="2693" w:type="dxa"/>
          </w:tcPr>
          <w:p>
            <w:pPr>
              <w:pStyle w:val="nTable"/>
              <w:spacing w:after="40"/>
            </w:pPr>
            <w:r>
              <w:t xml:space="preserve">21 Sep 2002 (see r. 2 and </w:t>
            </w:r>
            <w:r>
              <w:rPr>
                <w:i/>
              </w:rPr>
              <w:t>Gazette</w:t>
            </w:r>
            <w:r>
              <w:t xml:space="preserve"> 20 Sep 2002 p. 4693)</w:t>
            </w:r>
          </w:p>
        </w:tc>
      </w:tr>
      <w:tr>
        <w:trPr>
          <w:cantSplit/>
        </w:trPr>
        <w:tc>
          <w:tcPr>
            <w:tcW w:w="3118" w:type="dxa"/>
          </w:tcPr>
          <w:p>
            <w:pPr>
              <w:pStyle w:val="nTable"/>
              <w:spacing w:after="40"/>
              <w:ind w:right="113"/>
              <w:rPr>
                <w:i/>
              </w:rPr>
            </w:pPr>
            <w:r>
              <w:rPr>
                <w:i/>
              </w:rPr>
              <w:t>Betting Control Amendment Regulations (No. 2) 2002</w:t>
            </w:r>
          </w:p>
        </w:tc>
        <w:tc>
          <w:tcPr>
            <w:tcW w:w="1276" w:type="dxa"/>
          </w:tcPr>
          <w:p>
            <w:pPr>
              <w:pStyle w:val="nTable"/>
              <w:spacing w:after="40"/>
            </w:pPr>
            <w:r>
              <w:t>17 Dec 2002 p. 5923</w:t>
            </w:r>
            <w:r>
              <w:noBreakHyphen/>
              <w:t>4</w:t>
            </w:r>
          </w:p>
        </w:tc>
        <w:tc>
          <w:tcPr>
            <w:tcW w:w="2693" w:type="dxa"/>
          </w:tcPr>
          <w:p>
            <w:pPr>
              <w:pStyle w:val="nTable"/>
              <w:spacing w:after="40"/>
            </w:pPr>
            <w:r>
              <w:t>17 Dec 2002</w:t>
            </w:r>
          </w:p>
        </w:tc>
      </w:tr>
      <w:tr>
        <w:trPr>
          <w:cantSplit/>
        </w:trPr>
        <w:tc>
          <w:tcPr>
            <w:tcW w:w="3118" w:type="dxa"/>
          </w:tcPr>
          <w:p>
            <w:pPr>
              <w:pStyle w:val="nTable"/>
              <w:spacing w:after="40"/>
              <w:ind w:right="113"/>
              <w:rPr>
                <w:i/>
              </w:rPr>
            </w:pPr>
            <w:r>
              <w:rPr>
                <w:i/>
              </w:rPr>
              <w:t>Betting Control Amendment Regulations 2003</w:t>
            </w:r>
          </w:p>
        </w:tc>
        <w:tc>
          <w:tcPr>
            <w:tcW w:w="1276" w:type="dxa"/>
          </w:tcPr>
          <w:p>
            <w:pPr>
              <w:pStyle w:val="nTable"/>
              <w:spacing w:after="40"/>
            </w:pPr>
            <w:r>
              <w:t>25 Mar 2003 p. 921</w:t>
            </w:r>
            <w:r>
              <w:noBreakHyphen/>
              <w:t>2</w:t>
            </w:r>
          </w:p>
        </w:tc>
        <w:tc>
          <w:tcPr>
            <w:tcW w:w="2693" w:type="dxa"/>
          </w:tcPr>
          <w:p>
            <w:pPr>
              <w:pStyle w:val="nTable"/>
              <w:spacing w:after="40"/>
            </w:pPr>
            <w:r>
              <w:t>1 Apr 2003 (see r. 2)</w:t>
            </w:r>
          </w:p>
        </w:tc>
      </w:tr>
      <w:tr>
        <w:trPr>
          <w:cantSplit/>
        </w:trPr>
        <w:tc>
          <w:tcPr>
            <w:tcW w:w="3118" w:type="dxa"/>
          </w:tcPr>
          <w:p>
            <w:pPr>
              <w:pStyle w:val="nTable"/>
              <w:spacing w:after="40"/>
              <w:ind w:right="113"/>
              <w:rPr>
                <w:i/>
              </w:rPr>
            </w:pPr>
            <w:r>
              <w:rPr>
                <w:i/>
              </w:rPr>
              <w:t>Betting Control Amendment Regulations (No. 2) 2003</w:t>
            </w:r>
          </w:p>
        </w:tc>
        <w:tc>
          <w:tcPr>
            <w:tcW w:w="1276" w:type="dxa"/>
          </w:tcPr>
          <w:p>
            <w:pPr>
              <w:pStyle w:val="nTable"/>
              <w:spacing w:after="40"/>
            </w:pPr>
            <w:r>
              <w:t>20 Jun 2003 p. 2250</w:t>
            </w:r>
            <w:r>
              <w:noBreakHyphen/>
              <w:t>1</w:t>
            </w:r>
          </w:p>
        </w:tc>
        <w:tc>
          <w:tcPr>
            <w:tcW w:w="2693" w:type="dxa"/>
          </w:tcPr>
          <w:p>
            <w:pPr>
              <w:pStyle w:val="nTable"/>
              <w:spacing w:after="40"/>
            </w:pPr>
            <w:r>
              <w:t>1 Jul 2003 (see r. 2)</w:t>
            </w:r>
          </w:p>
        </w:tc>
      </w:tr>
      <w:tr>
        <w:trPr>
          <w:cantSplit/>
        </w:trPr>
        <w:tc>
          <w:tcPr>
            <w:tcW w:w="3118" w:type="dxa"/>
          </w:tcPr>
          <w:p>
            <w:pPr>
              <w:pStyle w:val="nTable"/>
              <w:spacing w:after="40"/>
              <w:ind w:right="113"/>
              <w:rPr>
                <w:i/>
              </w:rPr>
            </w:pPr>
            <w:r>
              <w:rPr>
                <w:i/>
              </w:rPr>
              <w:t>Betting Control Amendment Regulations (No. 3) 2003</w:t>
            </w:r>
          </w:p>
        </w:tc>
        <w:tc>
          <w:tcPr>
            <w:tcW w:w="1276" w:type="dxa"/>
          </w:tcPr>
          <w:p>
            <w:pPr>
              <w:pStyle w:val="nTable"/>
              <w:spacing w:after="40"/>
            </w:pPr>
            <w:r>
              <w:t>26 Sep 2003 p. 4225</w:t>
            </w:r>
            <w:r>
              <w:noBreakHyphen/>
              <w:t>6</w:t>
            </w:r>
          </w:p>
        </w:tc>
        <w:tc>
          <w:tcPr>
            <w:tcW w:w="2693" w:type="dxa"/>
          </w:tcPr>
          <w:p>
            <w:pPr>
              <w:pStyle w:val="nTable"/>
              <w:spacing w:after="40"/>
            </w:pPr>
            <w:r>
              <w:t>1 Jan 2004 (see r. 2)</w:t>
            </w:r>
          </w:p>
        </w:tc>
      </w:tr>
      <w:tr>
        <w:trPr>
          <w:cantSplit/>
        </w:trPr>
        <w:tc>
          <w:tcPr>
            <w:tcW w:w="3118" w:type="dxa"/>
          </w:tcPr>
          <w:p>
            <w:pPr>
              <w:pStyle w:val="nTable"/>
              <w:spacing w:after="40"/>
              <w:ind w:right="113"/>
              <w:rPr>
                <w:i/>
              </w:rPr>
            </w:pPr>
            <w:r>
              <w:rPr>
                <w:i/>
              </w:rPr>
              <w:t>Betting Control Amendment Regulations (No. 4) 2003</w:t>
            </w:r>
          </w:p>
        </w:tc>
        <w:tc>
          <w:tcPr>
            <w:tcW w:w="1276" w:type="dxa"/>
          </w:tcPr>
          <w:p>
            <w:pPr>
              <w:pStyle w:val="nTable"/>
              <w:spacing w:after="40"/>
            </w:pPr>
            <w:r>
              <w:t>11 Nov 2003 p. 4673</w:t>
            </w:r>
            <w:r>
              <w:noBreakHyphen/>
              <w:t>4</w:t>
            </w:r>
          </w:p>
        </w:tc>
        <w:tc>
          <w:tcPr>
            <w:tcW w:w="2693" w:type="dxa"/>
          </w:tcPr>
          <w:p>
            <w:pPr>
              <w:pStyle w:val="nTable"/>
              <w:spacing w:after="40"/>
            </w:pPr>
            <w:r>
              <w:t>11 Nov 2003</w:t>
            </w:r>
          </w:p>
        </w:tc>
      </w:tr>
      <w:tr>
        <w:trPr>
          <w:cantSplit/>
        </w:trPr>
        <w:tc>
          <w:tcPr>
            <w:tcW w:w="3118" w:type="dxa"/>
          </w:tcPr>
          <w:p>
            <w:pPr>
              <w:pStyle w:val="nTable"/>
              <w:spacing w:after="40"/>
              <w:ind w:right="113"/>
              <w:rPr>
                <w:i/>
              </w:rPr>
            </w:pPr>
            <w:r>
              <w:rPr>
                <w:i/>
              </w:rPr>
              <w:t>Betting Control Amendment Regulations 2004</w:t>
            </w:r>
          </w:p>
        </w:tc>
        <w:tc>
          <w:tcPr>
            <w:tcW w:w="1276" w:type="dxa"/>
          </w:tcPr>
          <w:p>
            <w:pPr>
              <w:pStyle w:val="nTable"/>
              <w:spacing w:after="40"/>
            </w:pPr>
            <w:r>
              <w:t>30 Jan 2004 p. 403</w:t>
            </w:r>
            <w:r>
              <w:noBreakHyphen/>
              <w:t>12</w:t>
            </w:r>
          </w:p>
        </w:tc>
        <w:tc>
          <w:tcPr>
            <w:tcW w:w="2693" w:type="dxa"/>
          </w:tcPr>
          <w:p>
            <w:pPr>
              <w:pStyle w:val="nTable"/>
              <w:spacing w:after="40"/>
            </w:pPr>
            <w:r>
              <w:t>30 Jan 2004 (see r. 2)</w:t>
            </w:r>
          </w:p>
        </w:tc>
      </w:tr>
      <w:tr>
        <w:trPr>
          <w:cantSplit/>
        </w:trPr>
        <w:tc>
          <w:tcPr>
            <w:tcW w:w="3118" w:type="dxa"/>
          </w:tcPr>
          <w:p>
            <w:pPr>
              <w:pStyle w:val="nTable"/>
              <w:spacing w:after="40"/>
              <w:ind w:right="113"/>
              <w:rPr>
                <w:i/>
              </w:rPr>
            </w:pPr>
            <w:r>
              <w:rPr>
                <w:i/>
              </w:rPr>
              <w:t>Betting Control Amendment Regulations (No. 2) 2004</w:t>
            </w:r>
          </w:p>
        </w:tc>
        <w:tc>
          <w:tcPr>
            <w:tcW w:w="1276" w:type="dxa"/>
          </w:tcPr>
          <w:p>
            <w:pPr>
              <w:pStyle w:val="nTable"/>
              <w:spacing w:after="40"/>
            </w:pPr>
            <w:r>
              <w:t>1 Jul 2004 p. 2625</w:t>
            </w:r>
            <w:r>
              <w:noBreakHyphen/>
              <w:t>6</w:t>
            </w:r>
          </w:p>
        </w:tc>
        <w:tc>
          <w:tcPr>
            <w:tcW w:w="2693" w:type="dxa"/>
          </w:tcPr>
          <w:p>
            <w:pPr>
              <w:pStyle w:val="nTable"/>
              <w:spacing w:after="40"/>
            </w:pPr>
            <w:r>
              <w:t>1 Jul 2004</w:t>
            </w:r>
          </w:p>
        </w:tc>
      </w:tr>
      <w:tr>
        <w:trPr>
          <w:cantSplit/>
        </w:trPr>
        <w:tc>
          <w:tcPr>
            <w:tcW w:w="3118" w:type="dxa"/>
          </w:tcPr>
          <w:p>
            <w:pPr>
              <w:pStyle w:val="nTable"/>
              <w:spacing w:after="40"/>
              <w:ind w:right="113"/>
              <w:rPr>
                <w:i/>
              </w:rPr>
            </w:pPr>
            <w:r>
              <w:rPr>
                <w:i/>
              </w:rPr>
              <w:t>Betting Control Amendment Regulations (No. 3) 2004</w:t>
            </w:r>
            <w:r>
              <w:t xml:space="preserve"> </w:t>
            </w:r>
          </w:p>
        </w:tc>
        <w:tc>
          <w:tcPr>
            <w:tcW w:w="1276" w:type="dxa"/>
          </w:tcPr>
          <w:p>
            <w:pPr>
              <w:pStyle w:val="nTable"/>
              <w:spacing w:after="40"/>
            </w:pPr>
            <w:r>
              <w:t>9 Jul 2004 p. 2780</w:t>
            </w:r>
            <w:r>
              <w:noBreakHyphen/>
              <w:t>1</w:t>
            </w:r>
          </w:p>
        </w:tc>
        <w:tc>
          <w:tcPr>
            <w:tcW w:w="2693" w:type="dxa"/>
          </w:tcPr>
          <w:p>
            <w:pPr>
              <w:pStyle w:val="nTable"/>
              <w:spacing w:after="40"/>
            </w:pPr>
            <w:r>
              <w:t>1 Jan 2005 (see r. 2)</w:t>
            </w:r>
          </w:p>
        </w:tc>
      </w:tr>
      <w:tr>
        <w:trPr>
          <w:cantSplit/>
        </w:trPr>
        <w:tc>
          <w:tcPr>
            <w:tcW w:w="7087" w:type="dxa"/>
            <w:gridSpan w:val="3"/>
          </w:tcPr>
          <w:p>
            <w:pPr>
              <w:pStyle w:val="nTable"/>
              <w:spacing w:after="40"/>
            </w:pPr>
            <w:r>
              <w:rPr>
                <w:b/>
              </w:rPr>
              <w:t xml:space="preserve">Reprint 4: The </w:t>
            </w:r>
            <w:r>
              <w:rPr>
                <w:b/>
                <w:i/>
              </w:rPr>
              <w:t xml:space="preserve">Betting Control Regulations 1978 </w:t>
            </w:r>
            <w:r>
              <w:rPr>
                <w:b/>
              </w:rPr>
              <w:t>as at 6 May 2005</w:t>
            </w:r>
            <w:r>
              <w:t xml:space="preserve"> (includes amendments listed above)</w:t>
            </w:r>
          </w:p>
        </w:tc>
      </w:tr>
      <w:tr>
        <w:trPr>
          <w:cantSplit/>
        </w:trPr>
        <w:tc>
          <w:tcPr>
            <w:tcW w:w="3118" w:type="dxa"/>
          </w:tcPr>
          <w:p>
            <w:pPr>
              <w:pStyle w:val="nTable"/>
              <w:spacing w:after="40"/>
              <w:ind w:right="113"/>
              <w:rPr>
                <w:i/>
              </w:rPr>
            </w:pPr>
            <w:r>
              <w:rPr>
                <w:i/>
              </w:rPr>
              <w:t>Betting Control Amendment Regulations (No. 2) 2005</w:t>
            </w:r>
          </w:p>
        </w:tc>
        <w:tc>
          <w:tcPr>
            <w:tcW w:w="1276" w:type="dxa"/>
          </w:tcPr>
          <w:p>
            <w:pPr>
              <w:pStyle w:val="nTable"/>
              <w:spacing w:after="40"/>
            </w:pPr>
            <w:r>
              <w:t>14 Oct 2005 p. 4558</w:t>
            </w:r>
            <w:r>
              <w:noBreakHyphen/>
              <w:t>9</w:t>
            </w:r>
          </w:p>
        </w:tc>
        <w:tc>
          <w:tcPr>
            <w:tcW w:w="2693" w:type="dxa"/>
          </w:tcPr>
          <w:p>
            <w:pPr>
              <w:pStyle w:val="nTable"/>
              <w:spacing w:after="40"/>
            </w:pPr>
            <w:r>
              <w:t>1 Jan 2006 (see r. 2)</w:t>
            </w:r>
          </w:p>
        </w:tc>
      </w:tr>
      <w:tr>
        <w:trPr>
          <w:cantSplit/>
        </w:trPr>
        <w:tc>
          <w:tcPr>
            <w:tcW w:w="3118" w:type="dxa"/>
          </w:tcPr>
          <w:p>
            <w:pPr>
              <w:pStyle w:val="nTable"/>
              <w:spacing w:after="40"/>
              <w:ind w:right="113"/>
              <w:rPr>
                <w:i/>
              </w:rPr>
            </w:pPr>
            <w:r>
              <w:rPr>
                <w:i/>
              </w:rPr>
              <w:t>Betting Control Amendment Regulations (No. 2) 2006</w:t>
            </w:r>
          </w:p>
        </w:tc>
        <w:tc>
          <w:tcPr>
            <w:tcW w:w="1276" w:type="dxa"/>
          </w:tcPr>
          <w:p>
            <w:pPr>
              <w:pStyle w:val="nTable"/>
              <w:spacing w:after="40"/>
            </w:pPr>
            <w:r>
              <w:t>28 Apr 2006 p. 1659</w:t>
            </w:r>
          </w:p>
        </w:tc>
        <w:tc>
          <w:tcPr>
            <w:tcW w:w="2693" w:type="dxa"/>
          </w:tcPr>
          <w:p>
            <w:pPr>
              <w:pStyle w:val="nTable"/>
              <w:spacing w:after="40"/>
            </w:pPr>
            <w:r>
              <w:t>28 Apr 2006</w:t>
            </w:r>
          </w:p>
        </w:tc>
      </w:tr>
      <w:tr>
        <w:trPr>
          <w:cantSplit/>
        </w:trPr>
        <w:tc>
          <w:tcPr>
            <w:tcW w:w="3118" w:type="dxa"/>
          </w:tcPr>
          <w:p>
            <w:pPr>
              <w:pStyle w:val="nTable"/>
              <w:spacing w:after="40"/>
              <w:ind w:right="113"/>
              <w:rPr>
                <w:i/>
              </w:rPr>
            </w:pPr>
            <w:r>
              <w:rPr>
                <w:i/>
              </w:rPr>
              <w:t>Betting Control Amendment Regulations 2006</w:t>
            </w:r>
          </w:p>
        </w:tc>
        <w:tc>
          <w:tcPr>
            <w:tcW w:w="1276" w:type="dxa"/>
          </w:tcPr>
          <w:p>
            <w:pPr>
              <w:pStyle w:val="nTable"/>
              <w:spacing w:after="40"/>
            </w:pPr>
            <w:r>
              <w:t>21 Jul 2006 p. 2669</w:t>
            </w:r>
            <w:r>
              <w:noBreakHyphen/>
              <w:t>89</w:t>
            </w:r>
          </w:p>
        </w:tc>
        <w:tc>
          <w:tcPr>
            <w:tcW w:w="2693" w:type="dxa"/>
          </w:tcPr>
          <w:p>
            <w:pPr>
              <w:pStyle w:val="nTable"/>
              <w:spacing w:after="40"/>
            </w:pPr>
            <w:r>
              <w:t>21 Jul 2006</w:t>
            </w:r>
          </w:p>
        </w:tc>
      </w:tr>
      <w:tr>
        <w:trPr>
          <w:cantSplit/>
        </w:trPr>
        <w:tc>
          <w:tcPr>
            <w:tcW w:w="3118" w:type="dxa"/>
          </w:tcPr>
          <w:p>
            <w:pPr>
              <w:pStyle w:val="nTable"/>
              <w:spacing w:after="40"/>
              <w:ind w:right="113"/>
              <w:rPr>
                <w:i/>
              </w:rPr>
            </w:pPr>
            <w:r>
              <w:rPr>
                <w:i/>
              </w:rPr>
              <w:t>Betting Control Amendment Regulations (No. 3) 2006</w:t>
            </w:r>
          </w:p>
        </w:tc>
        <w:tc>
          <w:tcPr>
            <w:tcW w:w="1276" w:type="dxa"/>
          </w:tcPr>
          <w:p>
            <w:pPr>
              <w:pStyle w:val="nTable"/>
              <w:spacing w:after="40"/>
            </w:pPr>
            <w:r>
              <w:t>10 Oct 2006 p. 4391</w:t>
            </w:r>
            <w:r>
              <w:noBreakHyphen/>
              <w:t>2</w:t>
            </w:r>
          </w:p>
        </w:tc>
        <w:tc>
          <w:tcPr>
            <w:tcW w:w="2693" w:type="dxa"/>
          </w:tcPr>
          <w:p>
            <w:pPr>
              <w:pStyle w:val="nTable"/>
              <w:spacing w:after="40"/>
            </w:pPr>
            <w:r>
              <w:t>10 Oct 2006</w:t>
            </w:r>
          </w:p>
        </w:tc>
      </w:tr>
      <w:tr>
        <w:trPr>
          <w:cantSplit/>
        </w:trPr>
        <w:tc>
          <w:tcPr>
            <w:tcW w:w="3118" w:type="dxa"/>
          </w:tcPr>
          <w:p>
            <w:pPr>
              <w:pStyle w:val="nTable"/>
              <w:spacing w:after="40"/>
              <w:ind w:right="113"/>
              <w:rPr>
                <w:i/>
              </w:rPr>
            </w:pPr>
            <w:r>
              <w:rPr>
                <w:i/>
              </w:rPr>
              <w:t>Betting Control Amendment Regulations (No. 4) 2006</w:t>
            </w:r>
            <w:r>
              <w:rPr>
                <w:iCs/>
              </w:rPr>
              <w:t xml:space="preserve"> </w:t>
            </w:r>
          </w:p>
        </w:tc>
        <w:tc>
          <w:tcPr>
            <w:tcW w:w="1276" w:type="dxa"/>
          </w:tcPr>
          <w:p>
            <w:pPr>
              <w:pStyle w:val="nTable"/>
              <w:spacing w:after="40"/>
            </w:pPr>
            <w:r>
              <w:t>14 Nov 2006 p. 4729</w:t>
            </w:r>
            <w:r>
              <w:noBreakHyphen/>
              <w:t>30</w:t>
            </w:r>
          </w:p>
        </w:tc>
        <w:tc>
          <w:tcPr>
            <w:tcW w:w="2693" w:type="dxa"/>
          </w:tcPr>
          <w:p>
            <w:pPr>
              <w:pStyle w:val="nTable"/>
              <w:spacing w:after="40"/>
            </w:pPr>
            <w:r>
              <w:rPr>
                <w:snapToGrid w:val="0"/>
              </w:rPr>
              <w:t>1 Jan 2007 (see r. 2)</w:t>
            </w:r>
          </w:p>
        </w:tc>
      </w:tr>
      <w:tr>
        <w:trPr>
          <w:cantSplit/>
        </w:trPr>
        <w:tc>
          <w:tcPr>
            <w:tcW w:w="3118" w:type="dxa"/>
          </w:tcPr>
          <w:p>
            <w:pPr>
              <w:pStyle w:val="nTable"/>
              <w:spacing w:after="40"/>
              <w:ind w:right="113"/>
              <w:rPr>
                <w:i/>
              </w:rPr>
            </w:pPr>
            <w:r>
              <w:rPr>
                <w:i/>
              </w:rPr>
              <w:t>Betting Control Amendment Regulations (No. 2) 2007</w:t>
            </w:r>
          </w:p>
        </w:tc>
        <w:tc>
          <w:tcPr>
            <w:tcW w:w="1276" w:type="dxa"/>
          </w:tcPr>
          <w:p>
            <w:pPr>
              <w:pStyle w:val="nTable"/>
              <w:spacing w:after="40"/>
            </w:pPr>
            <w:r>
              <w:t>22 Jun 2007 p. 2863</w:t>
            </w:r>
            <w:r>
              <w:noBreakHyphen/>
              <w:t>5</w:t>
            </w:r>
          </w:p>
        </w:tc>
        <w:tc>
          <w:tcPr>
            <w:tcW w:w="2693" w:type="dxa"/>
          </w:tcPr>
          <w:p>
            <w:pPr>
              <w:pStyle w:val="nTable"/>
              <w:spacing w:after="40"/>
              <w:rPr>
                <w:snapToGrid w:val="0"/>
              </w:rPr>
            </w:pPr>
            <w:r>
              <w:rPr>
                <w:snapToGrid w:val="0"/>
              </w:rPr>
              <w:t>r. 1 and 2: 22 Jun 2007 (see r. 2(a));</w:t>
            </w:r>
            <w:r>
              <w:rPr>
                <w:snapToGrid w:val="0"/>
              </w:rPr>
              <w:br/>
              <w:t xml:space="preserve">Regulations other than r. 1 and 2: 9 Jul 2007 (see r. 2(b) and </w:t>
            </w:r>
            <w:r>
              <w:rPr>
                <w:i/>
                <w:iCs/>
                <w:snapToGrid w:val="0"/>
              </w:rPr>
              <w:t>Gazette</w:t>
            </w:r>
            <w:r>
              <w:rPr>
                <w:snapToGrid w:val="0"/>
              </w:rPr>
              <w:t xml:space="preserve"> 22 Jun 2007 p. 2837)</w:t>
            </w:r>
          </w:p>
        </w:tc>
      </w:tr>
      <w:tr>
        <w:trPr>
          <w:cantSplit/>
        </w:trPr>
        <w:tc>
          <w:tcPr>
            <w:tcW w:w="7087" w:type="dxa"/>
            <w:gridSpan w:val="3"/>
          </w:tcPr>
          <w:p>
            <w:pPr>
              <w:pStyle w:val="nTable"/>
              <w:spacing w:after="40"/>
              <w:rPr>
                <w:snapToGrid w:val="0"/>
              </w:rPr>
            </w:pPr>
            <w:r>
              <w:rPr>
                <w:b/>
              </w:rPr>
              <w:t xml:space="preserve">Reprint 5: The </w:t>
            </w:r>
            <w:r>
              <w:rPr>
                <w:b/>
                <w:i/>
              </w:rPr>
              <w:t xml:space="preserve">Betting Control Regulations 1978 </w:t>
            </w:r>
            <w:r>
              <w:rPr>
                <w:b/>
              </w:rPr>
              <w:t>as at 24 Aug 2007</w:t>
            </w:r>
            <w:r>
              <w:t xml:space="preserve"> (includes amendments listed above)</w:t>
            </w:r>
          </w:p>
        </w:tc>
      </w:tr>
      <w:tr>
        <w:trPr>
          <w:cantSplit/>
        </w:trPr>
        <w:tc>
          <w:tcPr>
            <w:tcW w:w="3118" w:type="dxa"/>
          </w:tcPr>
          <w:p>
            <w:pPr>
              <w:pStyle w:val="nTable"/>
              <w:spacing w:after="40"/>
              <w:ind w:right="113"/>
              <w:rPr>
                <w:i/>
              </w:rPr>
            </w:pPr>
            <w:r>
              <w:rPr>
                <w:i/>
              </w:rPr>
              <w:t>Betting Control Amendment Regulations (No. 3) 2007</w:t>
            </w:r>
          </w:p>
        </w:tc>
        <w:tc>
          <w:tcPr>
            <w:tcW w:w="1276" w:type="dxa"/>
          </w:tcPr>
          <w:p>
            <w:pPr>
              <w:pStyle w:val="nTable"/>
              <w:spacing w:after="40"/>
            </w:pPr>
            <w:r>
              <w:t>18 Sep 2007 p. 4716</w:t>
            </w:r>
            <w:r>
              <w:noBreakHyphen/>
              <w:t>18</w:t>
            </w:r>
          </w:p>
        </w:tc>
        <w:tc>
          <w:tcPr>
            <w:tcW w:w="2693" w:type="dxa"/>
          </w:tcPr>
          <w:p>
            <w:pPr>
              <w:pStyle w:val="nTable"/>
              <w:spacing w:after="40"/>
              <w:rPr>
                <w:snapToGrid w:val="0"/>
              </w:rPr>
            </w:pPr>
            <w:r>
              <w:rPr>
                <w:snapToGrid w:val="0"/>
              </w:rPr>
              <w:t>r. 1 and 2: 18 Sep 2007 (see r. 2(a));</w:t>
            </w:r>
            <w:r>
              <w:rPr>
                <w:snapToGrid w:val="0"/>
              </w:rPr>
              <w:br/>
              <w:t>Regulations other than r. 1 and 2: 19 Sep 2007 (see r. 2(b))</w:t>
            </w:r>
          </w:p>
        </w:tc>
      </w:tr>
      <w:tr>
        <w:trPr>
          <w:cantSplit/>
        </w:trPr>
        <w:tc>
          <w:tcPr>
            <w:tcW w:w="3118" w:type="dxa"/>
          </w:tcPr>
          <w:p>
            <w:pPr>
              <w:pStyle w:val="nTable"/>
              <w:spacing w:after="40"/>
              <w:ind w:right="113"/>
              <w:rPr>
                <w:iCs/>
              </w:rPr>
            </w:pPr>
            <w:r>
              <w:rPr>
                <w:i/>
              </w:rPr>
              <w:t>Betting Control Amendment Regulations (No. 4) 2007</w:t>
            </w:r>
            <w:r>
              <w:rPr>
                <w:iCs/>
              </w:rPr>
              <w:t xml:space="preserve"> </w:t>
            </w:r>
          </w:p>
        </w:tc>
        <w:tc>
          <w:tcPr>
            <w:tcW w:w="1276" w:type="dxa"/>
          </w:tcPr>
          <w:p>
            <w:pPr>
              <w:pStyle w:val="nTable"/>
              <w:spacing w:after="40"/>
            </w:pPr>
            <w:r>
              <w:t>9 Oct 2007 p. 5348-50</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rPr>
          <w:cantSplit/>
        </w:trPr>
        <w:tc>
          <w:tcPr>
            <w:tcW w:w="3118" w:type="dxa"/>
          </w:tcPr>
          <w:p>
            <w:pPr>
              <w:pStyle w:val="nTable"/>
              <w:spacing w:after="40"/>
              <w:ind w:right="113"/>
              <w:rPr>
                <w:i/>
              </w:rPr>
            </w:pPr>
            <w:r>
              <w:rPr>
                <w:i/>
              </w:rPr>
              <w:t xml:space="preserve">Betting Control Amendment Regulations 2008 </w:t>
            </w:r>
          </w:p>
        </w:tc>
        <w:tc>
          <w:tcPr>
            <w:tcW w:w="1276" w:type="dxa"/>
          </w:tcPr>
          <w:p>
            <w:pPr>
              <w:pStyle w:val="nTable"/>
              <w:spacing w:after="40"/>
            </w:pPr>
            <w:r>
              <w:t>28 Oct 2008 p. 4732</w:t>
            </w:r>
            <w:r>
              <w:noBreakHyphen/>
              <w:t>3</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8" w:type="dxa"/>
          </w:tcPr>
          <w:p>
            <w:pPr>
              <w:pStyle w:val="nTable"/>
              <w:spacing w:after="40"/>
              <w:ind w:right="113"/>
              <w:rPr>
                <w:i/>
              </w:rPr>
            </w:pPr>
            <w:r>
              <w:rPr>
                <w:i/>
              </w:rPr>
              <w:t>Betting Control Amendment Regulations (No. 3) 2009</w:t>
            </w:r>
          </w:p>
        </w:tc>
        <w:tc>
          <w:tcPr>
            <w:tcW w:w="1276" w:type="dxa"/>
          </w:tcPr>
          <w:p>
            <w:pPr>
              <w:pStyle w:val="nTable"/>
              <w:spacing w:after="40"/>
            </w:pPr>
            <w:r>
              <w:t>25 Sep 2009 p. 3751-2</w:t>
            </w:r>
          </w:p>
        </w:tc>
        <w:tc>
          <w:tcPr>
            <w:tcW w:w="2693" w:type="dxa"/>
          </w:tcPr>
          <w:p>
            <w:pPr>
              <w:pStyle w:val="nTable"/>
              <w:spacing w:after="40"/>
              <w:rPr>
                <w:snapToGrid w:val="0"/>
              </w:rPr>
            </w:pPr>
            <w:r>
              <w:rPr>
                <w:snapToGrid w:val="0"/>
              </w:rPr>
              <w:t>r. 1 and 2: 25 Sep 2009 (see r. 2(a));</w:t>
            </w:r>
            <w:r>
              <w:rPr>
                <w:snapToGrid w:val="0"/>
              </w:rPr>
              <w:br/>
              <w:t>Regulations other than r. 1 and 2: 26 Sep 2009 (see r. 2(b))</w:t>
            </w:r>
          </w:p>
        </w:tc>
      </w:tr>
      <w:tr>
        <w:trPr>
          <w:cantSplit/>
        </w:trPr>
        <w:tc>
          <w:tcPr>
            <w:tcW w:w="3118" w:type="dxa"/>
          </w:tcPr>
          <w:p>
            <w:pPr>
              <w:pStyle w:val="nTable"/>
              <w:spacing w:after="40"/>
              <w:ind w:right="113"/>
              <w:rPr>
                <w:i/>
              </w:rPr>
            </w:pPr>
            <w:r>
              <w:rPr>
                <w:i/>
              </w:rPr>
              <w:t>Betting Control Amendment Regulations (No. 4) 2009</w:t>
            </w:r>
          </w:p>
        </w:tc>
        <w:tc>
          <w:tcPr>
            <w:tcW w:w="1276" w:type="dxa"/>
          </w:tcPr>
          <w:p>
            <w:pPr>
              <w:pStyle w:val="nTable"/>
              <w:spacing w:after="40"/>
            </w:pPr>
            <w:r>
              <w:t>30 Oct 2009 p. 4312-13</w:t>
            </w:r>
          </w:p>
        </w:tc>
        <w:tc>
          <w:tcPr>
            <w:tcW w:w="2693" w:type="dxa"/>
          </w:tcPr>
          <w:p>
            <w:pPr>
              <w:pStyle w:val="nTable"/>
              <w:spacing w:after="40"/>
              <w:rPr>
                <w:snapToGrid w:val="0"/>
              </w:rPr>
            </w:pPr>
            <w:r>
              <w:rPr>
                <w:snapToGrid w:val="0"/>
              </w:rPr>
              <w:t>r. 1 and 2: 30 Oct 2009 (see r. 2(a));</w:t>
            </w:r>
            <w:r>
              <w:rPr>
                <w:snapToGrid w:val="0"/>
              </w:rPr>
              <w:br/>
              <w:t>Regulations other than r. 1 and 2: 1 Jan 2010 (see r. 2(b))</w:t>
            </w:r>
          </w:p>
        </w:tc>
      </w:tr>
      <w:tr>
        <w:trPr>
          <w:cantSplit/>
        </w:trPr>
        <w:tc>
          <w:tcPr>
            <w:tcW w:w="3118" w:type="dxa"/>
          </w:tcPr>
          <w:p>
            <w:pPr>
              <w:pStyle w:val="nTable"/>
              <w:spacing w:after="40"/>
              <w:ind w:right="113"/>
              <w:rPr>
                <w:i/>
              </w:rPr>
            </w:pPr>
            <w:r>
              <w:rPr>
                <w:i/>
              </w:rPr>
              <w:t>Betting Control Amendment Regulations (No. 5) 2009</w:t>
            </w:r>
          </w:p>
        </w:tc>
        <w:tc>
          <w:tcPr>
            <w:tcW w:w="1276" w:type="dxa"/>
          </w:tcPr>
          <w:p>
            <w:pPr>
              <w:pStyle w:val="nTable"/>
              <w:spacing w:after="40"/>
            </w:pPr>
            <w:r>
              <w:t>8 Jan 2010 p. 19-27</w:t>
            </w:r>
          </w:p>
        </w:tc>
        <w:tc>
          <w:tcPr>
            <w:tcW w:w="2693" w:type="dxa"/>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9-10)</w:t>
            </w:r>
          </w:p>
        </w:tc>
      </w:tr>
      <w:tr>
        <w:trPr>
          <w:cantSplit/>
        </w:trPr>
        <w:tc>
          <w:tcPr>
            <w:tcW w:w="7087" w:type="dxa"/>
            <w:gridSpan w:val="3"/>
          </w:tcPr>
          <w:p>
            <w:pPr>
              <w:pStyle w:val="nTable"/>
              <w:spacing w:after="40"/>
              <w:rPr>
                <w:snapToGrid w:val="0"/>
                <w:spacing w:val="-2"/>
              </w:rPr>
            </w:pPr>
            <w:r>
              <w:rPr>
                <w:b/>
              </w:rPr>
              <w:t xml:space="preserve">Reprint 6: The </w:t>
            </w:r>
            <w:r>
              <w:rPr>
                <w:b/>
                <w:i/>
              </w:rPr>
              <w:t xml:space="preserve">Betting Control Regulations 1978 </w:t>
            </w:r>
            <w:r>
              <w:rPr>
                <w:b/>
              </w:rPr>
              <w:t>as at 9 Apr 2010</w:t>
            </w:r>
            <w:r>
              <w:t xml:space="preserve"> (includes amendments listed above)</w:t>
            </w:r>
          </w:p>
        </w:tc>
      </w:tr>
      <w:tr>
        <w:trPr>
          <w:cantSplit/>
        </w:trPr>
        <w:tc>
          <w:tcPr>
            <w:tcW w:w="3118" w:type="dxa"/>
          </w:tcPr>
          <w:p>
            <w:pPr>
              <w:pStyle w:val="nTable"/>
              <w:spacing w:after="40"/>
              <w:ind w:right="113"/>
              <w:rPr>
                <w:vertAlign w:val="superscript"/>
              </w:rPr>
            </w:pPr>
            <w:r>
              <w:rPr>
                <w:i/>
              </w:rPr>
              <w:t>Betting Control Amendment Regulations (No. 3) 2010</w:t>
            </w:r>
            <w:r>
              <w:rPr>
                <w:iCs/>
              </w:rPr>
              <w:t xml:space="preserve"> </w:t>
            </w:r>
          </w:p>
        </w:tc>
        <w:tc>
          <w:tcPr>
            <w:tcW w:w="1276" w:type="dxa"/>
          </w:tcPr>
          <w:p>
            <w:pPr>
              <w:pStyle w:val="nTable"/>
              <w:spacing w:after="40"/>
            </w:pPr>
            <w:r>
              <w:t>19 Nov 2010 p. 5739</w:t>
            </w:r>
            <w:r>
              <w:noBreakHyphen/>
              <w:t>40</w:t>
            </w:r>
          </w:p>
        </w:tc>
        <w:tc>
          <w:tcPr>
            <w:tcW w:w="2693" w:type="dxa"/>
          </w:tcPr>
          <w:p>
            <w:pPr>
              <w:pStyle w:val="nTable"/>
              <w:spacing w:after="40"/>
            </w:pPr>
            <w:r>
              <w:rPr>
                <w:snapToGrid w:val="0"/>
              </w:rPr>
              <w:t>r. 1 and 2: 19 Nov 2010 (see r. 2(a));</w:t>
            </w:r>
            <w:r>
              <w:rPr>
                <w:snapToGrid w:val="0"/>
              </w:rPr>
              <w:br/>
              <w:t xml:space="preserve">Regulations other than r. 1 and 2: </w:t>
            </w:r>
            <w:r>
              <w:t>1 Jan 2011 (see r. 2(b))</w:t>
            </w:r>
          </w:p>
        </w:tc>
      </w:tr>
      <w:tr>
        <w:trPr>
          <w:cantSplit/>
        </w:trPr>
        <w:tc>
          <w:tcPr>
            <w:tcW w:w="3118" w:type="dxa"/>
          </w:tcPr>
          <w:p>
            <w:pPr>
              <w:pStyle w:val="nTable"/>
              <w:spacing w:after="40"/>
              <w:ind w:right="113"/>
              <w:rPr>
                <w:i/>
              </w:rPr>
            </w:pPr>
            <w:r>
              <w:rPr>
                <w:i/>
              </w:rPr>
              <w:t>Betting Control Amendment Regulations 2011</w:t>
            </w:r>
            <w:r>
              <w:t xml:space="preserve"> </w:t>
            </w:r>
          </w:p>
        </w:tc>
        <w:tc>
          <w:tcPr>
            <w:tcW w:w="1276" w:type="dxa"/>
          </w:tcPr>
          <w:p>
            <w:pPr>
              <w:pStyle w:val="nTable"/>
              <w:spacing w:after="40"/>
            </w:pPr>
            <w:r>
              <w:t>4 Nov 2011 p. 4635-6</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rPr>
          <w:cantSplit/>
        </w:trPr>
        <w:tc>
          <w:tcPr>
            <w:tcW w:w="3118" w:type="dxa"/>
          </w:tcPr>
          <w:p>
            <w:pPr>
              <w:pStyle w:val="nTable"/>
              <w:spacing w:after="40"/>
              <w:ind w:right="113"/>
              <w:rPr>
                <w:i/>
              </w:rPr>
            </w:pPr>
            <w:r>
              <w:rPr>
                <w:i/>
              </w:rPr>
              <w:t>Betting Control Amendment Regulations (No. 2) 2012</w:t>
            </w:r>
          </w:p>
        </w:tc>
        <w:tc>
          <w:tcPr>
            <w:tcW w:w="1276" w:type="dxa"/>
          </w:tcPr>
          <w:p>
            <w:pPr>
              <w:pStyle w:val="nTable"/>
              <w:spacing w:after="40"/>
            </w:pPr>
            <w:r>
              <w:t>16 Nov 2012 p. 5646-7</w:t>
            </w:r>
          </w:p>
        </w:tc>
        <w:tc>
          <w:tcPr>
            <w:tcW w:w="2693" w:type="dxa"/>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cantSplit/>
        </w:trPr>
        <w:tc>
          <w:tcPr>
            <w:tcW w:w="3118" w:type="dxa"/>
          </w:tcPr>
          <w:p>
            <w:pPr>
              <w:pStyle w:val="nTable"/>
              <w:spacing w:after="40"/>
              <w:ind w:right="113"/>
              <w:rPr>
                <w:i/>
              </w:rPr>
            </w:pPr>
            <w:r>
              <w:rPr>
                <w:i/>
              </w:rPr>
              <w:t>Betting Control Amendment Regulations 2012</w:t>
            </w:r>
          </w:p>
        </w:tc>
        <w:tc>
          <w:tcPr>
            <w:tcW w:w="1276" w:type="dxa"/>
          </w:tcPr>
          <w:p>
            <w:pPr>
              <w:pStyle w:val="nTable"/>
              <w:spacing w:after="40"/>
            </w:pPr>
            <w:r>
              <w:t>4 Jan 2013 p. 11-15</w:t>
            </w:r>
          </w:p>
        </w:tc>
        <w:tc>
          <w:tcPr>
            <w:tcW w:w="2693" w:type="dxa"/>
          </w:tcPr>
          <w:p>
            <w:pPr>
              <w:pStyle w:val="nTable"/>
              <w:spacing w:after="40"/>
              <w:rPr>
                <w:snapToGrid w:val="0"/>
              </w:rPr>
            </w:pPr>
            <w:r>
              <w:rPr>
                <w:snapToGrid w:val="0"/>
              </w:rPr>
              <w:t>r. 1 and 2: 4 Jan 2013 (see r. 2(a));</w:t>
            </w:r>
            <w:r>
              <w:rPr>
                <w:snapToGrid w:val="0"/>
              </w:rPr>
              <w:br/>
              <w:t>Regulations other than r. 1 and 2: 5</w:t>
            </w:r>
            <w:r>
              <w:t> Jan 2013 (see r. 2(b))</w:t>
            </w:r>
          </w:p>
        </w:tc>
      </w:tr>
      <w:tr>
        <w:trPr>
          <w:cantSplit/>
        </w:trPr>
        <w:tc>
          <w:tcPr>
            <w:tcW w:w="3118" w:type="dxa"/>
            <w:shd w:val="clear" w:color="auto" w:fill="auto"/>
          </w:tcPr>
          <w:p>
            <w:pPr>
              <w:pStyle w:val="nTable"/>
              <w:spacing w:after="40"/>
              <w:ind w:right="113"/>
              <w:rPr>
                <w:i/>
              </w:rPr>
            </w:pPr>
            <w:r>
              <w:rPr>
                <w:i/>
              </w:rPr>
              <w:t>Betting Control Amendment Regulations 2013</w:t>
            </w:r>
          </w:p>
        </w:tc>
        <w:tc>
          <w:tcPr>
            <w:tcW w:w="1276" w:type="dxa"/>
            <w:shd w:val="clear" w:color="auto" w:fill="auto"/>
          </w:tcPr>
          <w:p>
            <w:pPr>
              <w:pStyle w:val="nTable"/>
              <w:spacing w:after="40"/>
            </w:pPr>
            <w:r>
              <w:t>14 Jun 2013 p. 2240-3</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 2: 15</w:t>
            </w:r>
            <w:r>
              <w:t> Jun 2013 (see r. 2(b))</w:t>
            </w:r>
          </w:p>
        </w:tc>
      </w:tr>
      <w:tr>
        <w:trPr>
          <w:cantSplit/>
        </w:trPr>
        <w:tc>
          <w:tcPr>
            <w:tcW w:w="7087" w:type="dxa"/>
            <w:gridSpan w:val="3"/>
            <w:shd w:val="clear" w:color="auto" w:fill="auto"/>
          </w:tcPr>
          <w:p>
            <w:pPr>
              <w:pStyle w:val="nTable"/>
              <w:spacing w:after="40"/>
              <w:rPr>
                <w:snapToGrid w:val="0"/>
              </w:rPr>
            </w:pPr>
            <w:r>
              <w:rPr>
                <w:b/>
              </w:rPr>
              <w:t xml:space="preserve">Reprint 7: The </w:t>
            </w:r>
            <w:r>
              <w:rPr>
                <w:b/>
                <w:i/>
              </w:rPr>
              <w:t xml:space="preserve">Betting Control Regulations 1978 </w:t>
            </w:r>
            <w:r>
              <w:rPr>
                <w:b/>
              </w:rPr>
              <w:t>as at 23 Aug 2013</w:t>
            </w:r>
            <w:r>
              <w:t xml:space="preserve"> (includes amendments listed above)</w:t>
            </w:r>
          </w:p>
        </w:tc>
      </w:tr>
      <w:tr>
        <w:trPr>
          <w:cantSplit/>
        </w:trPr>
        <w:tc>
          <w:tcPr>
            <w:tcW w:w="3118" w:type="dxa"/>
            <w:shd w:val="clear" w:color="auto" w:fill="auto"/>
          </w:tcPr>
          <w:p>
            <w:pPr>
              <w:pStyle w:val="nTable"/>
              <w:spacing w:after="40"/>
              <w:ind w:right="113"/>
              <w:rPr>
                <w:i/>
              </w:rPr>
            </w:pPr>
            <w:r>
              <w:rPr>
                <w:i/>
              </w:rPr>
              <w:t>Betting Control Amendment Regulations (No. 3) 2013</w:t>
            </w:r>
          </w:p>
        </w:tc>
        <w:tc>
          <w:tcPr>
            <w:tcW w:w="1276" w:type="dxa"/>
            <w:shd w:val="clear" w:color="auto" w:fill="auto"/>
          </w:tcPr>
          <w:p>
            <w:pPr>
              <w:pStyle w:val="nTable"/>
              <w:spacing w:after="40"/>
            </w:pPr>
            <w:r>
              <w:t>8 Nov 2013 p. 4972</w:t>
            </w:r>
            <w:r>
              <w:noBreakHyphen/>
              <w:t>3</w:t>
            </w:r>
          </w:p>
        </w:tc>
        <w:tc>
          <w:tcPr>
            <w:tcW w:w="2693" w:type="dxa"/>
            <w:shd w:val="clear" w:color="auto" w:fill="auto"/>
          </w:tcPr>
          <w:p>
            <w:pPr>
              <w:pStyle w:val="nTable"/>
              <w:spacing w:after="40"/>
              <w:rPr>
                <w:b/>
                <w:bCs/>
                <w:snapToGrid w:val="0"/>
              </w:rPr>
            </w:pPr>
            <w:r>
              <w:rPr>
                <w:bCs/>
                <w:snapToGrid w:val="0"/>
              </w:rPr>
              <w:t>r. 1 and 2: 8 Nov 2013 (see r. 2(a));</w:t>
            </w:r>
            <w:r>
              <w:rPr>
                <w:bCs/>
                <w:snapToGrid w:val="0"/>
              </w:rPr>
              <w:br/>
              <w:t xml:space="preserve">Regulations other than r. 1 and 2: </w:t>
            </w:r>
            <w:r>
              <w:rPr>
                <w:snapToGrid w:val="0"/>
              </w:rPr>
              <w:t>1 Jan 2014 (see. r. 2(b))</w:t>
            </w:r>
          </w:p>
        </w:tc>
      </w:tr>
      <w:tr>
        <w:trPr>
          <w:cantSplit/>
        </w:trPr>
        <w:tc>
          <w:tcPr>
            <w:tcW w:w="3118" w:type="dxa"/>
            <w:shd w:val="clear" w:color="auto" w:fill="auto"/>
          </w:tcPr>
          <w:p>
            <w:pPr>
              <w:pStyle w:val="nTable"/>
              <w:spacing w:after="40"/>
              <w:ind w:right="113"/>
              <w:rPr>
                <w:i/>
              </w:rPr>
            </w:pPr>
            <w:r>
              <w:rPr>
                <w:i/>
              </w:rPr>
              <w:t>Betting Control Amendment Regulations (No. 2) 2013</w:t>
            </w:r>
          </w:p>
        </w:tc>
        <w:tc>
          <w:tcPr>
            <w:tcW w:w="1276" w:type="dxa"/>
            <w:shd w:val="clear" w:color="auto" w:fill="auto"/>
          </w:tcPr>
          <w:p>
            <w:pPr>
              <w:pStyle w:val="nTable"/>
              <w:spacing w:after="40"/>
            </w:pPr>
            <w:r>
              <w:t>29 Nov 2013 p. 5467</w:t>
            </w:r>
          </w:p>
        </w:tc>
        <w:tc>
          <w:tcPr>
            <w:tcW w:w="2693" w:type="dxa"/>
            <w:shd w:val="clear" w:color="auto" w:fill="auto"/>
          </w:tcPr>
          <w:p>
            <w:pPr>
              <w:pStyle w:val="nTable"/>
              <w:spacing w:after="40"/>
              <w:rPr>
                <w:bCs/>
                <w:snapToGrid w:val="0"/>
              </w:rPr>
            </w:pPr>
            <w:r>
              <w:rPr>
                <w:bCs/>
                <w:snapToGrid w:val="0"/>
              </w:rPr>
              <w:t>r. 1 and 2: 29 Nov 2013 (see r. 2(a));</w:t>
            </w:r>
            <w:r>
              <w:rPr>
                <w:bCs/>
                <w:snapToGrid w:val="0"/>
              </w:rPr>
              <w:br/>
              <w:t>Regulations other than r. 1 and 2: 30 Nov 2013 (see r. 2(b))</w:t>
            </w:r>
          </w:p>
        </w:tc>
      </w:tr>
      <w:tr>
        <w:trPr>
          <w:cantSplit/>
        </w:trPr>
        <w:tc>
          <w:tcPr>
            <w:tcW w:w="3118" w:type="dxa"/>
            <w:shd w:val="clear" w:color="auto" w:fill="auto"/>
          </w:tcPr>
          <w:p>
            <w:pPr>
              <w:pStyle w:val="nTable"/>
              <w:spacing w:after="40"/>
              <w:ind w:right="113"/>
              <w:rPr>
                <w:i/>
              </w:rPr>
            </w:pPr>
            <w:r>
              <w:rPr>
                <w:i/>
              </w:rPr>
              <w:t xml:space="preserve">Betting Control Amendment Regulations (No. 2) 2014 </w:t>
            </w:r>
          </w:p>
        </w:tc>
        <w:tc>
          <w:tcPr>
            <w:tcW w:w="1276" w:type="dxa"/>
            <w:shd w:val="clear" w:color="auto" w:fill="auto"/>
          </w:tcPr>
          <w:p>
            <w:pPr>
              <w:pStyle w:val="nTable"/>
              <w:spacing w:after="40"/>
            </w:pPr>
            <w:r>
              <w:t>14 Nov 2014 p. 4279</w:t>
            </w:r>
            <w:r>
              <w:noBreakHyphen/>
              <w:t>80</w:t>
            </w:r>
          </w:p>
        </w:tc>
        <w:tc>
          <w:tcPr>
            <w:tcW w:w="2693" w:type="dxa"/>
            <w:shd w:val="clear" w:color="auto" w:fill="auto"/>
          </w:tcPr>
          <w:p>
            <w:pPr>
              <w:pStyle w:val="nTable"/>
              <w:spacing w:after="40"/>
              <w:rPr>
                <w:bCs/>
                <w:snapToGrid w:val="0"/>
              </w:rPr>
            </w:pPr>
            <w:r>
              <w:t xml:space="preserve"> </w:t>
            </w:r>
            <w:r>
              <w:rPr>
                <w:bCs/>
                <w:snapToGrid w:val="0"/>
                <w:spacing w:val="-2"/>
              </w:rPr>
              <w:t>r. 1 and 2: 14 Nov 2014 (see r. 2(a));</w:t>
            </w:r>
            <w:r>
              <w:rPr>
                <w:bCs/>
                <w:snapToGrid w:val="0"/>
                <w:spacing w:val="-2"/>
              </w:rPr>
              <w:br/>
              <w:t xml:space="preserve">Regulations other than r. 1 and 2: </w:t>
            </w:r>
            <w:r>
              <w:t>1 Jan 2015 (see r. 2(b))</w:t>
            </w:r>
          </w:p>
        </w:tc>
      </w:tr>
      <w:tr>
        <w:trPr>
          <w:cantSplit/>
        </w:trPr>
        <w:tc>
          <w:tcPr>
            <w:tcW w:w="3118" w:type="dxa"/>
            <w:shd w:val="clear" w:color="auto" w:fill="auto"/>
          </w:tcPr>
          <w:p>
            <w:pPr>
              <w:pStyle w:val="nTable"/>
              <w:spacing w:after="40"/>
              <w:ind w:right="113"/>
              <w:rPr>
                <w:i/>
              </w:rPr>
            </w:pPr>
            <w:r>
              <w:rPr>
                <w:i/>
              </w:rPr>
              <w:t xml:space="preserve">Racing, Gaming and Liquor Regulations Amendment (Fees and Charges) Regulations 2015 </w:t>
            </w:r>
            <w:r>
              <w:t>Pt. 2</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pPr>
            <w:r>
              <w:rPr>
                <w:bCs/>
                <w:snapToGrid w:val="0"/>
              </w:rPr>
              <w:t>1 Jan 2016 (see r. 2(b))</w:t>
            </w:r>
          </w:p>
        </w:tc>
      </w:tr>
      <w:tr>
        <w:trPr>
          <w:cantSplit/>
        </w:trPr>
        <w:tc>
          <w:tcPr>
            <w:tcW w:w="3118" w:type="dxa"/>
            <w:shd w:val="clear" w:color="auto" w:fill="auto"/>
          </w:tcPr>
          <w:p>
            <w:pPr>
              <w:pStyle w:val="nTable"/>
              <w:spacing w:after="40"/>
              <w:ind w:right="113"/>
              <w:rPr>
                <w:i/>
              </w:rPr>
            </w:pPr>
            <w:r>
              <w:rPr>
                <w:i/>
              </w:rPr>
              <w:t>Betting Control Amendment Regulations (No. 2) 2016</w:t>
            </w:r>
          </w:p>
        </w:tc>
        <w:tc>
          <w:tcPr>
            <w:tcW w:w="1276" w:type="dxa"/>
            <w:shd w:val="clear" w:color="auto" w:fill="auto"/>
          </w:tcPr>
          <w:p>
            <w:pPr>
              <w:pStyle w:val="nTable"/>
              <w:spacing w:after="40"/>
            </w:pPr>
            <w:r>
              <w:t>8 Mar 2016 p. 669</w:t>
            </w:r>
          </w:p>
        </w:tc>
        <w:tc>
          <w:tcPr>
            <w:tcW w:w="2693" w:type="dxa"/>
            <w:shd w:val="clear" w:color="auto" w:fill="auto"/>
          </w:tcPr>
          <w:p>
            <w:pPr>
              <w:pStyle w:val="nTable"/>
              <w:spacing w:after="40"/>
              <w:rPr>
                <w:bCs/>
                <w:snapToGrid w:val="0"/>
              </w:rPr>
            </w:pPr>
            <w:r>
              <w:rPr>
                <w:bCs/>
                <w:snapToGrid w:val="0"/>
                <w:spacing w:val="-2"/>
              </w:rPr>
              <w:t>r. 1 and 2: 8 Mar 2016 (see r. 2(a));</w:t>
            </w:r>
            <w:r>
              <w:rPr>
                <w:bCs/>
                <w:snapToGrid w:val="0"/>
                <w:spacing w:val="-2"/>
              </w:rPr>
              <w:br/>
              <w:t>Regulations other than r. 1 and 2: 9 Mar </w:t>
            </w:r>
            <w:r>
              <w:t>2016 (see r. 2(b))</w:t>
            </w:r>
          </w:p>
        </w:tc>
      </w:tr>
      <w:tr>
        <w:trPr>
          <w:cantSplit/>
        </w:trPr>
        <w:tc>
          <w:tcPr>
            <w:tcW w:w="3118" w:type="dxa"/>
            <w:shd w:val="clear" w:color="auto" w:fill="auto"/>
          </w:tcPr>
          <w:p>
            <w:pPr>
              <w:pStyle w:val="nTable"/>
              <w:spacing w:after="40"/>
              <w:ind w:right="113"/>
              <w:rPr>
                <w:i/>
              </w:rPr>
            </w:pPr>
            <w:r>
              <w:rPr>
                <w:i/>
              </w:rPr>
              <w:t>Betting Control Amendment Regulations 2016</w:t>
            </w:r>
          </w:p>
        </w:tc>
        <w:tc>
          <w:tcPr>
            <w:tcW w:w="1276" w:type="dxa"/>
            <w:shd w:val="clear" w:color="auto" w:fill="auto"/>
          </w:tcPr>
          <w:p>
            <w:pPr>
              <w:pStyle w:val="nTable"/>
              <w:spacing w:after="40"/>
            </w:pPr>
            <w:r>
              <w:t>13 May 2016 p. 1427</w:t>
            </w:r>
          </w:p>
        </w:tc>
        <w:tc>
          <w:tcPr>
            <w:tcW w:w="2693" w:type="dxa"/>
            <w:shd w:val="clear" w:color="auto" w:fill="auto"/>
          </w:tcPr>
          <w:p>
            <w:pPr>
              <w:pStyle w:val="nTable"/>
              <w:spacing w:after="40"/>
              <w:rPr>
                <w:bCs/>
                <w:snapToGrid w:val="0"/>
                <w:spacing w:val="-2"/>
              </w:rPr>
            </w:pPr>
            <w:r>
              <w:rPr>
                <w:rFonts w:ascii="Times" w:hAnsi="Times"/>
                <w:bCs/>
                <w:snapToGrid w:val="0"/>
                <w:spacing w:val="-2"/>
              </w:rPr>
              <w:t>r. 1 and 2: 13 May 2016 (see r. 2(a));</w:t>
            </w:r>
            <w:r>
              <w:rPr>
                <w:rFonts w:ascii="Times" w:hAnsi="Times"/>
                <w:bCs/>
                <w:snapToGrid w:val="0"/>
                <w:spacing w:val="-2"/>
              </w:rPr>
              <w:br/>
              <w:t>Regulations other than r. 1 and 2: 14 May 2016 (see r. 2(b))</w:t>
            </w:r>
          </w:p>
        </w:tc>
      </w:tr>
      <w:tr>
        <w:trPr>
          <w:cantSplit/>
        </w:trPr>
        <w:tc>
          <w:tcPr>
            <w:tcW w:w="3118" w:type="dxa"/>
            <w:shd w:val="clear" w:color="auto" w:fill="auto"/>
          </w:tcPr>
          <w:p>
            <w:pPr>
              <w:pStyle w:val="nTable"/>
              <w:spacing w:after="40"/>
              <w:ind w:right="113"/>
              <w:rPr>
                <w:i/>
              </w:rPr>
            </w:pPr>
            <w:r>
              <w:rPr>
                <w:i/>
              </w:rPr>
              <w:t>Racing, Gaming and Liquor Regulations Amendment (Fees and Charges) Regulations 2016</w:t>
            </w:r>
            <w:r>
              <w:t xml:space="preserve"> Pt. 2</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rFonts w:ascii="Times" w:hAnsi="Times"/>
                <w:bCs/>
                <w:snapToGrid w:val="0"/>
                <w:spacing w:val="-2"/>
              </w:rPr>
            </w:pPr>
            <w:r>
              <w:t>1 Jan 2017 (see r. 2(b))</w:t>
            </w:r>
          </w:p>
        </w:tc>
      </w:tr>
      <w:tr>
        <w:trPr>
          <w:cantSplit/>
        </w:trPr>
        <w:tc>
          <w:tcPr>
            <w:tcW w:w="7087" w:type="dxa"/>
            <w:gridSpan w:val="3"/>
            <w:tcBorders>
              <w:bottom w:val="single" w:sz="8" w:space="0" w:color="auto"/>
            </w:tcBorders>
            <w:shd w:val="clear" w:color="auto" w:fill="auto"/>
          </w:tcPr>
          <w:p>
            <w:pPr>
              <w:pStyle w:val="nTable"/>
              <w:spacing w:after="40"/>
            </w:pPr>
            <w:r>
              <w:rPr>
                <w:b/>
              </w:rPr>
              <w:t xml:space="preserve">Reprint 8: The </w:t>
            </w:r>
            <w:r>
              <w:rPr>
                <w:b/>
                <w:i/>
                <w:noProof/>
              </w:rPr>
              <w:t>Betting Control Regulations 1978</w:t>
            </w:r>
            <w:r>
              <w:rPr>
                <w:b/>
              </w:rPr>
              <w:t xml:space="preserve"> as at 12 May 2017</w:t>
            </w:r>
            <w:r>
              <w:t xml:space="preserve"> (includes amendments listed above)</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8" w:name="_Toc498094201"/>
      <w:r>
        <w:t>Provisions that have not come into operation</w:t>
      </w:r>
      <w:bookmarkEnd w:id="13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rPr>
                <w:vertAlign w:val="superscript"/>
              </w:rPr>
            </w:pPr>
            <w:r>
              <w:rPr>
                <w:i/>
              </w:rPr>
              <w:t>Racing, Gaming and Liquor Regulations Amendment (Fees and Charges) Regulations 2017</w:t>
            </w:r>
            <w:r>
              <w:t xml:space="preserve"> Pt. 2 </w:t>
            </w:r>
            <w:r>
              <w:rPr>
                <w:vertAlign w:val="superscript"/>
              </w:rPr>
              <w:t>3</w:t>
            </w:r>
          </w:p>
        </w:tc>
        <w:tc>
          <w:tcPr>
            <w:tcW w:w="1276" w:type="dxa"/>
          </w:tcPr>
          <w:p>
            <w:pPr>
              <w:pStyle w:val="nTable"/>
              <w:spacing w:after="40"/>
            </w:pPr>
            <w:r>
              <w:t>10 Nov 2017 p. 5579</w:t>
            </w:r>
            <w:r>
              <w:noBreakHyphen/>
              <w:t>94</w:t>
            </w:r>
          </w:p>
        </w:tc>
        <w:tc>
          <w:tcPr>
            <w:tcW w:w="2693" w:type="dxa"/>
          </w:tcPr>
          <w:p>
            <w:pPr>
              <w:pStyle w:val="nTable"/>
              <w:spacing w:after="40"/>
            </w:pPr>
            <w:r>
              <w:t>1 Jan 2018 (see r. 2(b))</w:t>
            </w:r>
          </w:p>
        </w:tc>
      </w:tr>
    </w:tbl>
    <w:p>
      <w:pPr>
        <w:pStyle w:val="nSubsection"/>
        <w:spacing w:before="200"/>
        <w:rPr>
          <w:snapToGrid w:val="0"/>
          <w:vertAlign w:val="superscript"/>
        </w:rPr>
      </w:pPr>
    </w:p>
    <w:p>
      <w:pPr>
        <w:pStyle w:val="nSubsection"/>
        <w:spacing w:before="200"/>
        <w:rPr>
          <w:snapToGrid w:val="0"/>
        </w:rPr>
      </w:pPr>
      <w:r>
        <w:rPr>
          <w:snapToGrid w:val="0"/>
          <w:vertAlign w:val="superscript"/>
        </w:rPr>
        <w:t>2</w:t>
      </w:r>
      <w:r>
        <w:rPr>
          <w:snapToGrid w:val="0"/>
        </w:rPr>
        <w:tab/>
        <w:t xml:space="preserve">Under the </w:t>
      </w:r>
      <w:r>
        <w:rPr>
          <w:i/>
          <w:iCs/>
          <w:snapToGrid w:val="0"/>
        </w:rPr>
        <w:t>Alteration of</w:t>
      </w:r>
      <w:r>
        <w:rPr>
          <w:i/>
          <w:snapToGrid w:val="0"/>
        </w:rPr>
        <w:t xml:space="preserve"> Statutory Designations Order (No. 2) 1996</w:t>
      </w:r>
      <w:r>
        <w:rPr>
          <w:snapToGrid w:val="0"/>
        </w:rPr>
        <w:t xml:space="preserve"> a reference in any law to the Commissioner of State Taxation is read and construed as a reference to the Commissioner of State Revenue unless the contrary intention appears.</w:t>
      </w:r>
    </w:p>
    <w:p>
      <w:pPr>
        <w:pStyle w:val="nSubsection"/>
        <w:spacing w:before="200"/>
        <w:rPr>
          <w:snapToGrid w:val="0"/>
        </w:rPr>
      </w:pPr>
      <w:r>
        <w:rPr>
          <w:snapToGrid w:val="0"/>
          <w:vertAlign w:val="superscript"/>
        </w:rPr>
        <w:t>3</w:t>
      </w:r>
      <w:r>
        <w:rPr>
          <w:snapToGrid w:val="0"/>
          <w:vertAlign w:val="superscript"/>
        </w:rPr>
        <w:tab/>
      </w:r>
      <w:r>
        <w:rPr>
          <w:snapToGrid w:val="0"/>
        </w:rPr>
        <w:t xml:space="preserve">On the date as at which this compilation was prepared, the </w:t>
      </w:r>
      <w:r>
        <w:rPr>
          <w:i/>
          <w:snapToGrid w:val="0"/>
        </w:rPr>
        <w:t xml:space="preserve">Racing, Gaming and Liquor Regulations Amendment (Fees and Charges) Regulations 2017 </w:t>
      </w:r>
      <w:r>
        <w:rPr>
          <w:snapToGrid w:val="0"/>
        </w:rPr>
        <w:t>Pt. 2 had not come into operation.  It reads as follows:</w:t>
      </w:r>
    </w:p>
    <w:p>
      <w:pPr>
        <w:pStyle w:val="BlankOpen"/>
        <w:rPr>
          <w:snapToGrid w:val="0"/>
        </w:rPr>
      </w:pPr>
    </w:p>
    <w:p>
      <w:pPr>
        <w:pStyle w:val="nzHeading2"/>
      </w:pPr>
      <w:bookmarkStart w:id="139" w:name="_Toc494975691"/>
      <w:bookmarkStart w:id="140" w:name="_Toc494975719"/>
      <w:bookmarkStart w:id="141" w:name="_Toc494975851"/>
      <w:bookmarkStart w:id="142" w:name="_Toc494975909"/>
      <w:r>
        <w:rPr>
          <w:rStyle w:val="CharPartNo"/>
        </w:rPr>
        <w:t>Part 2</w:t>
      </w:r>
      <w:r>
        <w:rPr>
          <w:rStyle w:val="CharDivNo"/>
        </w:rPr>
        <w:t> </w:t>
      </w:r>
      <w:r>
        <w:t>—</w:t>
      </w:r>
      <w:r>
        <w:rPr>
          <w:rStyle w:val="CharDivText"/>
        </w:rPr>
        <w:t> </w:t>
      </w:r>
      <w:r>
        <w:rPr>
          <w:rStyle w:val="CharPartText"/>
          <w:i/>
        </w:rPr>
        <w:t>Betting Control Regulations 1978</w:t>
      </w:r>
      <w:r>
        <w:rPr>
          <w:rStyle w:val="CharPartText"/>
        </w:rPr>
        <w:t xml:space="preserve"> amended</w:t>
      </w:r>
      <w:bookmarkEnd w:id="139"/>
      <w:bookmarkEnd w:id="140"/>
      <w:bookmarkEnd w:id="141"/>
      <w:bookmarkEnd w:id="142"/>
    </w:p>
    <w:p>
      <w:pPr>
        <w:pStyle w:val="nzHeading5"/>
        <w:rPr>
          <w:snapToGrid w:val="0"/>
        </w:rPr>
      </w:pPr>
      <w:bookmarkStart w:id="143" w:name="_Toc494975720"/>
      <w:bookmarkStart w:id="144" w:name="_Toc494975910"/>
      <w:r>
        <w:rPr>
          <w:rStyle w:val="CharSectno"/>
        </w:rPr>
        <w:t>3</w:t>
      </w:r>
      <w:r>
        <w:rPr>
          <w:snapToGrid w:val="0"/>
        </w:rPr>
        <w:t>.</w:t>
      </w:r>
      <w:r>
        <w:rPr>
          <w:snapToGrid w:val="0"/>
        </w:rPr>
        <w:tab/>
        <w:t>Regulations amended</w:t>
      </w:r>
      <w:bookmarkEnd w:id="143"/>
      <w:bookmarkEnd w:id="144"/>
    </w:p>
    <w:p>
      <w:pPr>
        <w:pStyle w:val="nzSubsection"/>
      </w:pPr>
      <w:r>
        <w:tab/>
      </w:r>
      <w:r>
        <w:tab/>
        <w:t xml:space="preserve">This Part amends the </w:t>
      </w:r>
      <w:r>
        <w:rPr>
          <w:i/>
        </w:rPr>
        <w:t>Betting Control Regulations 1978</w:t>
      </w:r>
      <w:r>
        <w:t>.</w:t>
      </w:r>
    </w:p>
    <w:p>
      <w:pPr>
        <w:pStyle w:val="nzHeading5"/>
      </w:pPr>
      <w:bookmarkStart w:id="145" w:name="_Toc494975721"/>
      <w:bookmarkStart w:id="146" w:name="_Toc494975911"/>
      <w:r>
        <w:rPr>
          <w:rStyle w:val="CharSectno"/>
        </w:rPr>
        <w:t>4</w:t>
      </w:r>
      <w:r>
        <w:t>.</w:t>
      </w:r>
      <w:r>
        <w:tab/>
        <w:t>Various fees amended</w:t>
      </w:r>
      <w:bookmarkEnd w:id="145"/>
      <w:bookmarkEnd w:id="146"/>
    </w:p>
    <w:p>
      <w:pPr>
        <w:pStyle w:val="nzSubsection"/>
      </w:pPr>
      <w:r>
        <w:tab/>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tcPr>
          <w:p>
            <w:pPr>
              <w:pStyle w:val="TableAm"/>
              <w:keepNext/>
              <w:jc w:val="center"/>
              <w:rPr>
                <w:b/>
                <w:bCs/>
                <w:sz w:val="20"/>
              </w:rPr>
            </w:pPr>
            <w:r>
              <w:rPr>
                <w:b/>
                <w:bCs/>
                <w:sz w:val="20"/>
              </w:rPr>
              <w:t>Provision</w:t>
            </w:r>
          </w:p>
        </w:tc>
        <w:tc>
          <w:tcPr>
            <w:tcW w:w="2268" w:type="dxa"/>
          </w:tcPr>
          <w:p>
            <w:pPr>
              <w:pStyle w:val="TableAm"/>
              <w:keepNext/>
              <w:jc w:val="center"/>
              <w:rPr>
                <w:b/>
                <w:bCs/>
                <w:sz w:val="20"/>
              </w:rPr>
            </w:pPr>
            <w:r>
              <w:rPr>
                <w:b/>
                <w:bCs/>
                <w:sz w:val="20"/>
              </w:rPr>
              <w:t>Delete</w:t>
            </w:r>
          </w:p>
        </w:tc>
        <w:tc>
          <w:tcPr>
            <w:tcW w:w="2268" w:type="dxa"/>
          </w:tcPr>
          <w:p>
            <w:pPr>
              <w:pStyle w:val="TableAm"/>
              <w:keepNext/>
              <w:jc w:val="center"/>
              <w:rPr>
                <w:b/>
                <w:bCs/>
                <w:sz w:val="20"/>
              </w:rPr>
            </w:pPr>
            <w:r>
              <w:rPr>
                <w:b/>
                <w:bCs/>
                <w:sz w:val="20"/>
              </w:rPr>
              <w:t>Insert</w:t>
            </w:r>
          </w:p>
        </w:tc>
      </w:tr>
      <w:tr>
        <w:trPr>
          <w:cantSplit/>
          <w:jc w:val="center"/>
        </w:trPr>
        <w:tc>
          <w:tcPr>
            <w:tcW w:w="2268" w:type="dxa"/>
          </w:tcPr>
          <w:p>
            <w:pPr>
              <w:pStyle w:val="TableAm"/>
              <w:rPr>
                <w:sz w:val="20"/>
              </w:rPr>
            </w:pPr>
            <w:r>
              <w:rPr>
                <w:sz w:val="20"/>
              </w:rPr>
              <w:t>r. 17(1)(aa)</w:t>
            </w:r>
          </w:p>
        </w:tc>
        <w:tc>
          <w:tcPr>
            <w:tcW w:w="2268" w:type="dxa"/>
          </w:tcPr>
          <w:p>
            <w:pPr>
              <w:pStyle w:val="TableAm"/>
              <w:rPr>
                <w:sz w:val="20"/>
              </w:rPr>
            </w:pPr>
            <w:r>
              <w:rPr>
                <w:sz w:val="20"/>
              </w:rPr>
              <w:t>$48</w:t>
            </w:r>
          </w:p>
        </w:tc>
        <w:tc>
          <w:tcPr>
            <w:tcW w:w="2268" w:type="dxa"/>
          </w:tcPr>
          <w:p>
            <w:pPr>
              <w:pStyle w:val="TableAm"/>
              <w:rPr>
                <w:sz w:val="20"/>
              </w:rPr>
            </w:pPr>
            <w:r>
              <w:rPr>
                <w:sz w:val="20"/>
              </w:rPr>
              <w:t>$50</w:t>
            </w:r>
          </w:p>
        </w:tc>
      </w:tr>
      <w:tr>
        <w:trPr>
          <w:cantSplit/>
          <w:jc w:val="center"/>
        </w:trPr>
        <w:tc>
          <w:tcPr>
            <w:tcW w:w="2268" w:type="dxa"/>
          </w:tcPr>
          <w:p>
            <w:pPr>
              <w:pStyle w:val="TableAm"/>
              <w:rPr>
                <w:sz w:val="20"/>
              </w:rPr>
            </w:pPr>
            <w:r>
              <w:rPr>
                <w:sz w:val="20"/>
              </w:rPr>
              <w:t>r. 17(1)(ab)</w:t>
            </w:r>
          </w:p>
        </w:tc>
        <w:tc>
          <w:tcPr>
            <w:tcW w:w="2268" w:type="dxa"/>
          </w:tcPr>
          <w:p>
            <w:pPr>
              <w:pStyle w:val="TableAm"/>
              <w:rPr>
                <w:sz w:val="20"/>
              </w:rPr>
            </w:pPr>
            <w:r>
              <w:rPr>
                <w:sz w:val="20"/>
              </w:rPr>
              <w:t>$69</w:t>
            </w:r>
          </w:p>
        </w:tc>
        <w:tc>
          <w:tcPr>
            <w:tcW w:w="2268" w:type="dxa"/>
          </w:tcPr>
          <w:p>
            <w:pPr>
              <w:pStyle w:val="TableAm"/>
              <w:rPr>
                <w:sz w:val="20"/>
              </w:rPr>
            </w:pPr>
            <w:r>
              <w:rPr>
                <w:sz w:val="20"/>
              </w:rPr>
              <w:t>$70</w:t>
            </w:r>
          </w:p>
        </w:tc>
      </w:tr>
      <w:tr>
        <w:trPr>
          <w:cantSplit/>
          <w:jc w:val="center"/>
        </w:trPr>
        <w:tc>
          <w:tcPr>
            <w:tcW w:w="2268" w:type="dxa"/>
          </w:tcPr>
          <w:p>
            <w:pPr>
              <w:pStyle w:val="TableAm"/>
              <w:rPr>
                <w:sz w:val="20"/>
              </w:rPr>
            </w:pPr>
            <w:r>
              <w:rPr>
                <w:sz w:val="20"/>
              </w:rPr>
              <w:t>r. 17(1)(ac)</w:t>
            </w:r>
          </w:p>
        </w:tc>
        <w:tc>
          <w:tcPr>
            <w:tcW w:w="2268" w:type="dxa"/>
          </w:tcPr>
          <w:p>
            <w:pPr>
              <w:pStyle w:val="TableAm"/>
              <w:rPr>
                <w:sz w:val="20"/>
              </w:rPr>
            </w:pPr>
            <w:r>
              <w:rPr>
                <w:sz w:val="20"/>
              </w:rPr>
              <w:t>$348</w:t>
            </w:r>
          </w:p>
        </w:tc>
        <w:tc>
          <w:tcPr>
            <w:tcW w:w="2268" w:type="dxa"/>
          </w:tcPr>
          <w:p>
            <w:pPr>
              <w:pStyle w:val="TableAm"/>
              <w:rPr>
                <w:sz w:val="20"/>
              </w:rPr>
            </w:pPr>
            <w:r>
              <w:rPr>
                <w:sz w:val="20"/>
              </w:rPr>
              <w:t>$354</w:t>
            </w:r>
          </w:p>
        </w:tc>
      </w:tr>
      <w:tr>
        <w:trPr>
          <w:cantSplit/>
          <w:jc w:val="center"/>
        </w:trPr>
        <w:tc>
          <w:tcPr>
            <w:tcW w:w="2268" w:type="dxa"/>
          </w:tcPr>
          <w:p>
            <w:pPr>
              <w:pStyle w:val="TableAm"/>
              <w:rPr>
                <w:sz w:val="20"/>
              </w:rPr>
            </w:pPr>
            <w:r>
              <w:rPr>
                <w:sz w:val="20"/>
              </w:rPr>
              <w:t>r. 17(1)(ad)</w:t>
            </w:r>
          </w:p>
        </w:tc>
        <w:tc>
          <w:tcPr>
            <w:tcW w:w="2268" w:type="dxa"/>
          </w:tcPr>
          <w:p>
            <w:pPr>
              <w:pStyle w:val="TableAm"/>
              <w:rPr>
                <w:sz w:val="20"/>
              </w:rPr>
            </w:pPr>
            <w:r>
              <w:rPr>
                <w:sz w:val="20"/>
              </w:rPr>
              <w:t>$74</w:t>
            </w:r>
          </w:p>
        </w:tc>
        <w:tc>
          <w:tcPr>
            <w:tcW w:w="2268" w:type="dxa"/>
          </w:tcPr>
          <w:p>
            <w:pPr>
              <w:pStyle w:val="TableAm"/>
              <w:rPr>
                <w:sz w:val="20"/>
              </w:rPr>
            </w:pPr>
            <w:r>
              <w:rPr>
                <w:sz w:val="20"/>
              </w:rPr>
              <w:t>$75</w:t>
            </w:r>
          </w:p>
        </w:tc>
      </w:tr>
      <w:tr>
        <w:trPr>
          <w:cantSplit/>
          <w:jc w:val="center"/>
        </w:trPr>
        <w:tc>
          <w:tcPr>
            <w:tcW w:w="2268" w:type="dxa"/>
          </w:tcPr>
          <w:p>
            <w:pPr>
              <w:pStyle w:val="TableAm"/>
              <w:rPr>
                <w:sz w:val="20"/>
              </w:rPr>
            </w:pPr>
            <w:r>
              <w:rPr>
                <w:sz w:val="20"/>
              </w:rPr>
              <w:t>r. 17(1)(a)</w:t>
            </w:r>
          </w:p>
        </w:tc>
        <w:tc>
          <w:tcPr>
            <w:tcW w:w="2268" w:type="dxa"/>
          </w:tcPr>
          <w:p>
            <w:pPr>
              <w:pStyle w:val="TableAm"/>
              <w:rPr>
                <w:sz w:val="20"/>
              </w:rPr>
            </w:pPr>
            <w:r>
              <w:rPr>
                <w:sz w:val="20"/>
              </w:rPr>
              <w:t>$702</w:t>
            </w:r>
          </w:p>
        </w:tc>
        <w:tc>
          <w:tcPr>
            <w:tcW w:w="2268" w:type="dxa"/>
          </w:tcPr>
          <w:p>
            <w:pPr>
              <w:pStyle w:val="TableAm"/>
              <w:rPr>
                <w:sz w:val="20"/>
              </w:rPr>
            </w:pPr>
            <w:r>
              <w:rPr>
                <w:sz w:val="20"/>
              </w:rPr>
              <w:t>$714</w:t>
            </w:r>
          </w:p>
        </w:tc>
      </w:tr>
      <w:tr>
        <w:trPr>
          <w:cantSplit/>
          <w:jc w:val="center"/>
        </w:trPr>
        <w:tc>
          <w:tcPr>
            <w:tcW w:w="2268" w:type="dxa"/>
          </w:tcPr>
          <w:p>
            <w:pPr>
              <w:pStyle w:val="TableAm"/>
              <w:rPr>
                <w:sz w:val="20"/>
              </w:rPr>
            </w:pPr>
            <w:r>
              <w:rPr>
                <w:sz w:val="20"/>
              </w:rPr>
              <w:t>r. 17(1)(b) and (e)</w:t>
            </w:r>
          </w:p>
        </w:tc>
        <w:tc>
          <w:tcPr>
            <w:tcW w:w="2268" w:type="dxa"/>
          </w:tcPr>
          <w:p>
            <w:pPr>
              <w:pStyle w:val="TableAm"/>
              <w:rPr>
                <w:sz w:val="20"/>
              </w:rPr>
            </w:pPr>
            <w:r>
              <w:rPr>
                <w:sz w:val="20"/>
              </w:rPr>
              <w:t>$30</w:t>
            </w:r>
          </w:p>
        </w:tc>
        <w:tc>
          <w:tcPr>
            <w:tcW w:w="2268" w:type="dxa"/>
          </w:tcPr>
          <w:p>
            <w:pPr>
              <w:pStyle w:val="TableAm"/>
              <w:rPr>
                <w:sz w:val="20"/>
              </w:rPr>
            </w:pPr>
            <w:r>
              <w:rPr>
                <w:sz w:val="20"/>
              </w:rPr>
              <w:t>$34</w:t>
            </w:r>
          </w:p>
        </w:tc>
      </w:tr>
      <w:tr>
        <w:trPr>
          <w:cantSplit/>
          <w:jc w:val="center"/>
        </w:trPr>
        <w:tc>
          <w:tcPr>
            <w:tcW w:w="2268" w:type="dxa"/>
          </w:tcPr>
          <w:p>
            <w:pPr>
              <w:pStyle w:val="TableAm"/>
              <w:rPr>
                <w:sz w:val="20"/>
              </w:rPr>
            </w:pPr>
            <w:r>
              <w:rPr>
                <w:sz w:val="20"/>
              </w:rPr>
              <w:t>r. 17(1)(ba)</w:t>
            </w:r>
          </w:p>
        </w:tc>
        <w:tc>
          <w:tcPr>
            <w:tcW w:w="2268" w:type="dxa"/>
          </w:tcPr>
          <w:p>
            <w:pPr>
              <w:pStyle w:val="TableAm"/>
              <w:rPr>
                <w:sz w:val="20"/>
              </w:rPr>
            </w:pPr>
            <w:r>
              <w:rPr>
                <w:sz w:val="20"/>
              </w:rPr>
              <w:t>$171</w:t>
            </w:r>
          </w:p>
        </w:tc>
        <w:tc>
          <w:tcPr>
            <w:tcW w:w="2268" w:type="dxa"/>
          </w:tcPr>
          <w:p>
            <w:pPr>
              <w:pStyle w:val="TableAm"/>
              <w:rPr>
                <w:sz w:val="20"/>
              </w:rPr>
            </w:pPr>
            <w:r>
              <w:rPr>
                <w:sz w:val="20"/>
              </w:rPr>
              <w:t>$173</w:t>
            </w:r>
          </w:p>
        </w:tc>
      </w:tr>
      <w:tr>
        <w:trPr>
          <w:cantSplit/>
          <w:jc w:val="center"/>
        </w:trPr>
        <w:tc>
          <w:tcPr>
            <w:tcW w:w="2268" w:type="dxa"/>
          </w:tcPr>
          <w:p>
            <w:pPr>
              <w:pStyle w:val="TableAm"/>
              <w:rPr>
                <w:sz w:val="20"/>
              </w:rPr>
            </w:pPr>
            <w:r>
              <w:rPr>
                <w:sz w:val="20"/>
              </w:rPr>
              <w:t>r. 17(1)(bb)</w:t>
            </w:r>
          </w:p>
        </w:tc>
        <w:tc>
          <w:tcPr>
            <w:tcW w:w="2268" w:type="dxa"/>
          </w:tcPr>
          <w:p>
            <w:pPr>
              <w:pStyle w:val="TableAm"/>
              <w:rPr>
                <w:sz w:val="20"/>
              </w:rPr>
            </w:pPr>
            <w:r>
              <w:rPr>
                <w:sz w:val="20"/>
              </w:rPr>
              <w:t>$92</w:t>
            </w:r>
          </w:p>
        </w:tc>
        <w:tc>
          <w:tcPr>
            <w:tcW w:w="2268" w:type="dxa"/>
          </w:tcPr>
          <w:p>
            <w:pPr>
              <w:pStyle w:val="TableAm"/>
              <w:rPr>
                <w:sz w:val="20"/>
              </w:rPr>
            </w:pPr>
            <w:r>
              <w:rPr>
                <w:sz w:val="20"/>
              </w:rPr>
              <w:t>$93</w:t>
            </w:r>
          </w:p>
        </w:tc>
      </w:tr>
      <w:tr>
        <w:trPr>
          <w:cantSplit/>
          <w:jc w:val="center"/>
        </w:trPr>
        <w:tc>
          <w:tcPr>
            <w:tcW w:w="2268" w:type="dxa"/>
          </w:tcPr>
          <w:p>
            <w:pPr>
              <w:pStyle w:val="TableAm"/>
              <w:rPr>
                <w:sz w:val="20"/>
              </w:rPr>
            </w:pPr>
            <w:r>
              <w:rPr>
                <w:sz w:val="20"/>
              </w:rPr>
              <w:t>r. 17(1)(c)</w:t>
            </w:r>
          </w:p>
        </w:tc>
        <w:tc>
          <w:tcPr>
            <w:tcW w:w="2268" w:type="dxa"/>
          </w:tcPr>
          <w:p>
            <w:pPr>
              <w:pStyle w:val="TableAm"/>
              <w:rPr>
                <w:sz w:val="20"/>
              </w:rPr>
            </w:pPr>
            <w:r>
              <w:rPr>
                <w:sz w:val="20"/>
              </w:rPr>
              <w:t>$166</w:t>
            </w:r>
          </w:p>
        </w:tc>
        <w:tc>
          <w:tcPr>
            <w:tcW w:w="2268" w:type="dxa"/>
          </w:tcPr>
          <w:p>
            <w:pPr>
              <w:pStyle w:val="TableAm"/>
              <w:rPr>
                <w:sz w:val="20"/>
              </w:rPr>
            </w:pPr>
            <w:r>
              <w:rPr>
                <w:sz w:val="20"/>
              </w:rPr>
              <w:t>$168</w:t>
            </w:r>
          </w:p>
        </w:tc>
      </w:tr>
      <w:tr>
        <w:trPr>
          <w:cantSplit/>
          <w:jc w:val="center"/>
        </w:trPr>
        <w:tc>
          <w:tcPr>
            <w:tcW w:w="2268" w:type="dxa"/>
          </w:tcPr>
          <w:p>
            <w:pPr>
              <w:pStyle w:val="TableAm"/>
              <w:rPr>
                <w:sz w:val="20"/>
              </w:rPr>
            </w:pPr>
            <w:r>
              <w:rPr>
                <w:sz w:val="20"/>
              </w:rPr>
              <w:t>r. 17(1)(f)</w:t>
            </w:r>
          </w:p>
        </w:tc>
        <w:tc>
          <w:tcPr>
            <w:tcW w:w="2268" w:type="dxa"/>
          </w:tcPr>
          <w:p>
            <w:pPr>
              <w:pStyle w:val="TableAm"/>
              <w:rPr>
                <w:sz w:val="20"/>
              </w:rPr>
            </w:pPr>
            <w:r>
              <w:rPr>
                <w:sz w:val="20"/>
              </w:rPr>
              <w:t>$672</w:t>
            </w:r>
          </w:p>
        </w:tc>
        <w:tc>
          <w:tcPr>
            <w:tcW w:w="2268" w:type="dxa"/>
          </w:tcPr>
          <w:p>
            <w:pPr>
              <w:pStyle w:val="TableAm"/>
              <w:rPr>
                <w:sz w:val="20"/>
              </w:rPr>
            </w:pPr>
            <w:r>
              <w:rPr>
                <w:sz w:val="20"/>
              </w:rPr>
              <w:t>$683</w:t>
            </w:r>
          </w:p>
        </w:tc>
      </w:tr>
      <w:tr>
        <w:trPr>
          <w:cantSplit/>
          <w:jc w:val="center"/>
        </w:trPr>
        <w:tc>
          <w:tcPr>
            <w:tcW w:w="2268" w:type="dxa"/>
          </w:tcPr>
          <w:p>
            <w:pPr>
              <w:pStyle w:val="TableAm"/>
              <w:rPr>
                <w:sz w:val="20"/>
              </w:rPr>
            </w:pPr>
            <w:r>
              <w:rPr>
                <w:sz w:val="20"/>
              </w:rPr>
              <w:t>r. 17(2) and (3)</w:t>
            </w:r>
          </w:p>
        </w:tc>
        <w:tc>
          <w:tcPr>
            <w:tcW w:w="2268" w:type="dxa"/>
          </w:tcPr>
          <w:p>
            <w:pPr>
              <w:pStyle w:val="TableAm"/>
              <w:rPr>
                <w:sz w:val="20"/>
              </w:rPr>
            </w:pPr>
            <w:r>
              <w:rPr>
                <w:sz w:val="20"/>
              </w:rPr>
              <w:t>$109</w:t>
            </w:r>
          </w:p>
        </w:tc>
        <w:tc>
          <w:tcPr>
            <w:tcW w:w="2268" w:type="dxa"/>
          </w:tcPr>
          <w:p>
            <w:pPr>
              <w:pStyle w:val="TableAm"/>
              <w:rPr>
                <w:sz w:val="20"/>
              </w:rPr>
            </w:pPr>
            <w:r>
              <w:rPr>
                <w:sz w:val="20"/>
              </w:rPr>
              <w:t>$110</w:t>
            </w:r>
          </w:p>
        </w:tc>
      </w:tr>
      <w:tr>
        <w:trPr>
          <w:cantSplit/>
          <w:jc w:val="center"/>
        </w:trPr>
        <w:tc>
          <w:tcPr>
            <w:tcW w:w="2268" w:type="dxa"/>
          </w:tcPr>
          <w:p>
            <w:pPr>
              <w:pStyle w:val="TableAm"/>
              <w:rPr>
                <w:sz w:val="20"/>
              </w:rPr>
            </w:pPr>
            <w:r>
              <w:rPr>
                <w:sz w:val="20"/>
              </w:rPr>
              <w:t>r. 17A(1)(a)(i)</w:t>
            </w:r>
          </w:p>
        </w:tc>
        <w:tc>
          <w:tcPr>
            <w:tcW w:w="2268" w:type="dxa"/>
          </w:tcPr>
          <w:p>
            <w:pPr>
              <w:pStyle w:val="TableAm"/>
              <w:rPr>
                <w:sz w:val="20"/>
              </w:rPr>
            </w:pPr>
            <w:r>
              <w:rPr>
                <w:sz w:val="20"/>
              </w:rPr>
              <w:t>$393</w:t>
            </w:r>
          </w:p>
        </w:tc>
        <w:tc>
          <w:tcPr>
            <w:tcW w:w="2268" w:type="dxa"/>
          </w:tcPr>
          <w:p>
            <w:pPr>
              <w:pStyle w:val="TableAm"/>
              <w:rPr>
                <w:sz w:val="20"/>
              </w:rPr>
            </w:pPr>
            <w:r>
              <w:rPr>
                <w:sz w:val="20"/>
              </w:rPr>
              <w:t>$399</w:t>
            </w:r>
          </w:p>
        </w:tc>
      </w:tr>
      <w:tr>
        <w:trPr>
          <w:cantSplit/>
          <w:jc w:val="center"/>
        </w:trPr>
        <w:tc>
          <w:tcPr>
            <w:tcW w:w="2268" w:type="dxa"/>
          </w:tcPr>
          <w:p>
            <w:pPr>
              <w:pStyle w:val="TableAm"/>
              <w:rPr>
                <w:sz w:val="20"/>
              </w:rPr>
            </w:pPr>
            <w:r>
              <w:rPr>
                <w:sz w:val="20"/>
              </w:rPr>
              <w:t>r. 17A(1)(a)(ii)</w:t>
            </w:r>
          </w:p>
        </w:tc>
        <w:tc>
          <w:tcPr>
            <w:tcW w:w="2268" w:type="dxa"/>
          </w:tcPr>
          <w:p>
            <w:pPr>
              <w:pStyle w:val="TableAm"/>
              <w:rPr>
                <w:sz w:val="20"/>
              </w:rPr>
            </w:pPr>
            <w:r>
              <w:rPr>
                <w:sz w:val="20"/>
              </w:rPr>
              <w:t>$801</w:t>
            </w:r>
          </w:p>
        </w:tc>
        <w:tc>
          <w:tcPr>
            <w:tcW w:w="2268" w:type="dxa"/>
          </w:tcPr>
          <w:p>
            <w:pPr>
              <w:pStyle w:val="TableAm"/>
              <w:rPr>
                <w:sz w:val="20"/>
              </w:rPr>
            </w:pPr>
            <w:r>
              <w:rPr>
                <w:sz w:val="20"/>
              </w:rPr>
              <w:t>$815</w:t>
            </w:r>
          </w:p>
        </w:tc>
      </w:tr>
      <w:tr>
        <w:trPr>
          <w:cantSplit/>
          <w:jc w:val="center"/>
        </w:trPr>
        <w:tc>
          <w:tcPr>
            <w:tcW w:w="2268" w:type="dxa"/>
          </w:tcPr>
          <w:p>
            <w:pPr>
              <w:pStyle w:val="TableAm"/>
              <w:rPr>
                <w:sz w:val="20"/>
              </w:rPr>
            </w:pPr>
            <w:r>
              <w:rPr>
                <w:sz w:val="20"/>
              </w:rPr>
              <w:t>r. 17A(1)(a)(iii)</w:t>
            </w:r>
          </w:p>
        </w:tc>
        <w:tc>
          <w:tcPr>
            <w:tcW w:w="2268" w:type="dxa"/>
          </w:tcPr>
          <w:p>
            <w:pPr>
              <w:pStyle w:val="TableAm"/>
              <w:rPr>
                <w:sz w:val="20"/>
              </w:rPr>
            </w:pPr>
            <w:r>
              <w:rPr>
                <w:sz w:val="20"/>
              </w:rPr>
              <w:t>$1 203</w:t>
            </w:r>
          </w:p>
        </w:tc>
        <w:tc>
          <w:tcPr>
            <w:tcW w:w="2268" w:type="dxa"/>
          </w:tcPr>
          <w:p>
            <w:pPr>
              <w:pStyle w:val="TableAm"/>
              <w:rPr>
                <w:sz w:val="20"/>
              </w:rPr>
            </w:pPr>
            <w:r>
              <w:rPr>
                <w:sz w:val="20"/>
              </w:rPr>
              <w:t>$1 224</w:t>
            </w:r>
          </w:p>
        </w:tc>
      </w:tr>
      <w:tr>
        <w:trPr>
          <w:cantSplit/>
          <w:jc w:val="center"/>
        </w:trPr>
        <w:tc>
          <w:tcPr>
            <w:tcW w:w="2268" w:type="dxa"/>
          </w:tcPr>
          <w:p>
            <w:pPr>
              <w:pStyle w:val="TableAm"/>
              <w:rPr>
                <w:sz w:val="20"/>
              </w:rPr>
            </w:pPr>
            <w:r>
              <w:rPr>
                <w:sz w:val="20"/>
              </w:rPr>
              <w:t>r. 17B(1)(a)(ii)</w:t>
            </w:r>
          </w:p>
        </w:tc>
        <w:tc>
          <w:tcPr>
            <w:tcW w:w="2268" w:type="dxa"/>
          </w:tcPr>
          <w:p>
            <w:pPr>
              <w:pStyle w:val="TableAm"/>
              <w:rPr>
                <w:sz w:val="20"/>
              </w:rPr>
            </w:pPr>
            <w:r>
              <w:rPr>
                <w:sz w:val="20"/>
              </w:rPr>
              <w:t>$160 000</w:t>
            </w:r>
          </w:p>
          <w:p>
            <w:pPr>
              <w:pStyle w:val="TableAm"/>
              <w:rPr>
                <w:sz w:val="20"/>
              </w:rPr>
            </w:pPr>
            <w:r>
              <w:rPr>
                <w:sz w:val="20"/>
              </w:rPr>
              <w:t>$48</w:t>
            </w:r>
          </w:p>
        </w:tc>
        <w:tc>
          <w:tcPr>
            <w:tcW w:w="2268" w:type="dxa"/>
          </w:tcPr>
          <w:p>
            <w:pPr>
              <w:pStyle w:val="TableAm"/>
              <w:rPr>
                <w:sz w:val="20"/>
              </w:rPr>
            </w:pPr>
            <w:r>
              <w:rPr>
                <w:sz w:val="20"/>
              </w:rPr>
              <w:t>$170 000</w:t>
            </w:r>
          </w:p>
          <w:p>
            <w:pPr>
              <w:pStyle w:val="TableAm"/>
              <w:rPr>
                <w:sz w:val="20"/>
              </w:rPr>
            </w:pPr>
            <w:r>
              <w:rPr>
                <w:sz w:val="20"/>
              </w:rPr>
              <w:t>$50</w:t>
            </w:r>
          </w:p>
        </w:tc>
      </w:tr>
      <w:tr>
        <w:trPr>
          <w:cantSplit/>
          <w:jc w:val="center"/>
        </w:trPr>
        <w:tc>
          <w:tcPr>
            <w:tcW w:w="2268" w:type="dxa"/>
          </w:tcPr>
          <w:p>
            <w:pPr>
              <w:pStyle w:val="TableAm"/>
              <w:rPr>
                <w:sz w:val="20"/>
              </w:rPr>
            </w:pPr>
            <w:r>
              <w:rPr>
                <w:sz w:val="20"/>
              </w:rPr>
              <w:t>r. 17B(1)(a)(iii)</w:t>
            </w:r>
          </w:p>
        </w:tc>
        <w:tc>
          <w:tcPr>
            <w:tcW w:w="2268" w:type="dxa"/>
          </w:tcPr>
          <w:p>
            <w:pPr>
              <w:pStyle w:val="TableAm"/>
              <w:rPr>
                <w:sz w:val="20"/>
              </w:rPr>
            </w:pPr>
            <w:r>
              <w:rPr>
                <w:sz w:val="20"/>
              </w:rPr>
              <w:t>$160 000</w:t>
            </w:r>
          </w:p>
        </w:tc>
        <w:tc>
          <w:tcPr>
            <w:tcW w:w="2268" w:type="dxa"/>
          </w:tcPr>
          <w:p>
            <w:pPr>
              <w:pStyle w:val="TableAm"/>
              <w:rPr>
                <w:sz w:val="20"/>
              </w:rPr>
            </w:pPr>
            <w:r>
              <w:rPr>
                <w:sz w:val="20"/>
              </w:rPr>
              <w:t>$170 000</w:t>
            </w:r>
          </w:p>
        </w:tc>
      </w:tr>
    </w:tbl>
    <w:p>
      <w:pPr>
        <w:pStyle w:val="BlankClose"/>
      </w:pPr>
    </w:p>
    <w:p>
      <w:pPr>
        <w:pStyle w:val="BlankClose"/>
      </w:pPr>
    </w:p>
    <w:p/>
    <w:p/>
    <w:p>
      <w:pPr>
        <w:sectPr>
          <w:headerReference w:type="even" r:id="rId36"/>
          <w:headerReference w:type="default" r:id="rId37"/>
          <w:headerReference w:type="first" r:id="rId38"/>
          <w:pgSz w:w="11907" w:h="16840" w:code="9"/>
          <w:pgMar w:top="2376" w:right="2404" w:bottom="3544" w:left="2404" w:header="720" w:footer="3380" w:gutter="0"/>
          <w:cols w:space="720"/>
          <w:noEndnote/>
          <w:docGrid w:linePitch="326"/>
        </w:sectPr>
      </w:pPr>
    </w:p>
    <w:p>
      <w:pPr>
        <w:pStyle w:val="nHeading2"/>
        <w:rPr>
          <w:sz w:val="28"/>
        </w:rPr>
      </w:pPr>
      <w:bookmarkStart w:id="148" w:name="_Toc498093875"/>
      <w:bookmarkStart w:id="149" w:name="_Toc498094202"/>
      <w:r>
        <w:rPr>
          <w:sz w:val="28"/>
        </w:rPr>
        <w:t>Defined terms</w:t>
      </w:r>
      <w:bookmarkEnd w:id="148"/>
      <w:bookmarkEnd w:id="14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rPr>
          <w:b/>
        </w:rPr>
      </w:pPr>
      <w:r>
        <w:rPr>
          <w:rStyle w:val="CharDefText"/>
          <w:b w:val="0"/>
          <w:i w:val="0"/>
        </w:rPr>
        <w:t>all up bet</w:t>
      </w:r>
      <w:r>
        <w:rPr>
          <w:rStyle w:val="CharDefText"/>
          <w:b w:val="0"/>
          <w:i w:val="0"/>
        </w:rPr>
        <w:tab/>
        <w:t>App it. 1(1)</w:t>
      </w:r>
    </w:p>
    <w:p>
      <w:pPr>
        <w:pStyle w:val="DefinedTerms"/>
      </w:pPr>
      <w:r>
        <w:t>another jurisdiction</w:t>
      </w:r>
      <w:r>
        <w:tab/>
        <w:t>98</w:t>
      </w:r>
    </w:p>
    <w:p>
      <w:pPr>
        <w:pStyle w:val="DefinedTerms"/>
      </w:pPr>
      <w:r>
        <w:t>approval</w:t>
      </w:r>
      <w:r>
        <w:tab/>
        <w:t>98</w:t>
      </w:r>
    </w:p>
    <w:p>
      <w:pPr>
        <w:pStyle w:val="DefinedTerms"/>
      </w:pPr>
      <w:r>
        <w:t>approved officer</w:t>
      </w:r>
      <w:r>
        <w:tab/>
        <w:t>104(2), 107(2)</w:t>
      </w:r>
    </w:p>
    <w:p>
      <w:pPr>
        <w:pStyle w:val="DefinedTerms"/>
      </w:pPr>
      <w:r>
        <w:t>approved offshore betting operator</w:t>
      </w:r>
      <w:r>
        <w:tab/>
        <w:t>101</w:t>
      </w:r>
    </w:p>
    <w:p>
      <w:pPr>
        <w:pStyle w:val="DefinedTerms"/>
      </w:pPr>
      <w:r>
        <w:t>Australian Greyhound Racing Rules</w:t>
      </w:r>
      <w:r>
        <w:tab/>
        <w:t>78(1)</w:t>
      </w:r>
    </w:p>
    <w:p>
      <w:pPr>
        <w:pStyle w:val="DefinedTerms"/>
      </w:pPr>
      <w:r>
        <w:t>Australian Rules of Harness Racing</w:t>
      </w:r>
      <w:r>
        <w:tab/>
        <w:t>78(1)</w:t>
      </w:r>
    </w:p>
    <w:p>
      <w:pPr>
        <w:pStyle w:val="DefinedTerms"/>
      </w:pPr>
      <w:r>
        <w:t>Australian Rules of Racing</w:t>
      </w:r>
      <w:r>
        <w:tab/>
        <w:t>78(1)</w:t>
      </w:r>
    </w:p>
    <w:p>
      <w:pPr>
        <w:pStyle w:val="DefinedTerms"/>
      </w:pPr>
      <w:r>
        <w:t>authorisation</w:t>
      </w:r>
      <w:r>
        <w:tab/>
        <w:t>98</w:t>
      </w:r>
    </w:p>
    <w:p>
      <w:pPr>
        <w:pStyle w:val="DefinedTerms"/>
      </w:pPr>
      <w:r>
        <w:t>barrier</w:t>
      </w:r>
      <w:r>
        <w:tab/>
        <w:t>App it. 1(1)</w:t>
      </w:r>
    </w:p>
    <w:p>
      <w:pPr>
        <w:pStyle w:val="DefinedTerms"/>
      </w:pPr>
      <w:r>
        <w:t>bet</w:t>
      </w:r>
      <w:r>
        <w:tab/>
        <w:t>App it. 4A(1 )</w:t>
      </w:r>
    </w:p>
    <w:p>
      <w:pPr>
        <w:pStyle w:val="DefinedTerms"/>
      </w:pPr>
      <w:r>
        <w:t>bet back</w:t>
      </w:r>
      <w:r>
        <w:tab/>
        <w:t>3(1)</w:t>
      </w:r>
    </w:p>
    <w:p>
      <w:pPr>
        <w:pStyle w:val="DefinedTerms"/>
      </w:pPr>
      <w:r>
        <w:t>betting</w:t>
      </w:r>
      <w:r>
        <w:tab/>
        <w:t>98</w:t>
      </w:r>
    </w:p>
    <w:p>
      <w:pPr>
        <w:pStyle w:val="DefinedTerms"/>
        <w:rPr>
          <w:caps/>
        </w:rPr>
      </w:pPr>
      <w:r>
        <w:t>betting sheet</w:t>
      </w:r>
      <w:r>
        <w:tab/>
        <w:t>App it. 1(1)</w:t>
      </w:r>
    </w:p>
    <w:p>
      <w:pPr>
        <w:pStyle w:val="DefinedTerms"/>
      </w:pPr>
      <w:r>
        <w:t>cash</w:t>
      </w:r>
      <w:r>
        <w:tab/>
        <w:t>3(1)</w:t>
      </w:r>
    </w:p>
    <w:p>
      <w:pPr>
        <w:pStyle w:val="DefinedTerms"/>
      </w:pPr>
      <w:r>
        <w:t>commencement day</w:t>
      </w:r>
      <w:r>
        <w:tab/>
        <w:t>102(1)</w:t>
      </w:r>
    </w:p>
    <w:p>
      <w:pPr>
        <w:pStyle w:val="DefinedTerms"/>
      </w:pPr>
      <w:r>
        <w:t>committee</w:t>
      </w:r>
      <w:r>
        <w:tab/>
        <w:t>App it. 1(1)</w:t>
      </w:r>
    </w:p>
    <w:p>
      <w:pPr>
        <w:pStyle w:val="DefinedTerms"/>
      </w:pPr>
      <w:r>
        <w:t>concession bet</w:t>
      </w:r>
      <w:r>
        <w:tab/>
        <w:t>3(1)</w:t>
      </w:r>
    </w:p>
    <w:p>
      <w:pPr>
        <w:pStyle w:val="DefinedTerms"/>
      </w:pPr>
      <w:r>
        <w:t>country</w:t>
      </w:r>
      <w:r>
        <w:tab/>
        <w:t>3(1)</w:t>
      </w:r>
    </w:p>
    <w:p>
      <w:pPr>
        <w:pStyle w:val="DefinedTerms"/>
      </w:pPr>
      <w:r>
        <w:t>double</w:t>
      </w:r>
      <w:r>
        <w:tab/>
        <w:t>App it. 1(1)</w:t>
      </w:r>
    </w:p>
    <w:p>
      <w:pPr>
        <w:pStyle w:val="DefinedTerms"/>
      </w:pPr>
      <w:r>
        <w:t>each way bet</w:t>
      </w:r>
      <w:r>
        <w:tab/>
        <w:t>3(1)</w:t>
      </w:r>
    </w:p>
    <w:p>
      <w:pPr>
        <w:pStyle w:val="DefinedTerms"/>
      </w:pPr>
      <w:r>
        <w:t>Flexi Bet</w:t>
      </w:r>
      <w:r>
        <w:tab/>
        <w:t>3(1)</w:t>
      </w:r>
    </w:p>
    <w:p>
      <w:pPr>
        <w:pStyle w:val="DefinedTerms"/>
      </w:pPr>
      <w:r>
        <w:t>grandstand enclosure</w:t>
      </w:r>
      <w:r>
        <w:tab/>
        <w:t>3(1)</w:t>
      </w:r>
    </w:p>
    <w:p>
      <w:pPr>
        <w:pStyle w:val="DefinedTerms"/>
      </w:pPr>
      <w:r>
        <w:t>host club</w:t>
      </w:r>
      <w:r>
        <w:tab/>
        <w:t>91(1)</w:t>
      </w:r>
    </w:p>
    <w:p>
      <w:pPr>
        <w:pStyle w:val="DefinedTerms"/>
      </w:pPr>
      <w:r>
        <w:t>internet betting</w:t>
      </w:r>
      <w:r>
        <w:tab/>
        <w:t>3(1)</w:t>
      </w:r>
    </w:p>
    <w:p>
      <w:pPr>
        <w:pStyle w:val="DefinedTerms"/>
      </w:pPr>
      <w:r>
        <w:t>late scratched runner</w:t>
      </w:r>
      <w:r>
        <w:tab/>
        <w:t>App it. 4A(1 )</w:t>
      </w:r>
    </w:p>
    <w:p>
      <w:pPr>
        <w:pStyle w:val="DefinedTerms"/>
      </w:pPr>
      <w:r>
        <w:t>leger</w:t>
      </w:r>
      <w:r>
        <w:tab/>
        <w:t>3(1)</w:t>
      </w:r>
    </w:p>
    <w:p>
      <w:pPr>
        <w:pStyle w:val="DefinedTerms"/>
      </w:pPr>
      <w:r>
        <w:t>local on</w:t>
      </w:r>
      <w:r>
        <w:noBreakHyphen/>
        <w:t>course totalisator</w:t>
      </w:r>
      <w:r>
        <w:tab/>
        <w:t>78(1)</w:t>
      </w:r>
    </w:p>
    <w:p>
      <w:pPr>
        <w:pStyle w:val="DefinedTerms"/>
      </w:pPr>
      <w:r>
        <w:t>multiple double</w:t>
      </w:r>
      <w:r>
        <w:tab/>
        <w:t>App it. 10(2)</w:t>
      </w:r>
    </w:p>
    <w:p>
      <w:pPr>
        <w:pStyle w:val="DefinedTerms"/>
      </w:pPr>
      <w:r>
        <w:t>objection</w:t>
      </w:r>
      <w:r>
        <w:tab/>
        <w:t>App it. 1(1)</w:t>
      </w:r>
    </w:p>
    <w:p>
      <w:pPr>
        <w:pStyle w:val="DefinedTerms"/>
      </w:pPr>
      <w:r>
        <w:t>odds</w:t>
      </w:r>
      <w:r>
        <w:tab/>
        <w:t>App it. 4A(1 )</w:t>
      </w:r>
    </w:p>
    <w:p>
      <w:pPr>
        <w:pStyle w:val="DefinedTerms"/>
      </w:pPr>
      <w:r>
        <w:t>on</w:t>
      </w:r>
      <w:r>
        <w:noBreakHyphen/>
        <w:t>course totalisator</w:t>
      </w:r>
      <w:r>
        <w:tab/>
        <w:t>78(1)</w:t>
      </w:r>
    </w:p>
    <w:p>
      <w:pPr>
        <w:pStyle w:val="DefinedTerms"/>
      </w:pPr>
      <w:r>
        <w:t>percentage</w:t>
      </w:r>
      <w:r>
        <w:tab/>
        <w:t>App it. 4A(1 )</w:t>
      </w:r>
    </w:p>
    <w:p>
      <w:pPr>
        <w:pStyle w:val="DefinedTerms"/>
      </w:pPr>
      <w:r>
        <w:t>play or pay</w:t>
      </w:r>
      <w:r>
        <w:tab/>
        <w:t>App it. 4A(1)</w:t>
      </w:r>
    </w:p>
    <w:p>
      <w:pPr>
        <w:pStyle w:val="DefinedTerms"/>
      </w:pPr>
      <w:r>
        <w:t>prescribed information</w:t>
      </w:r>
      <w:r>
        <w:tab/>
        <w:t>104(1), 107(1)</w:t>
      </w:r>
    </w:p>
    <w:p>
      <w:pPr>
        <w:pStyle w:val="DefinedTerms"/>
      </w:pPr>
      <w:r>
        <w:t>relevant person</w:t>
      </w:r>
      <w:r>
        <w:tab/>
        <w:t>98</w:t>
      </w:r>
    </w:p>
    <w:p>
      <w:pPr>
        <w:pStyle w:val="DefinedTerms"/>
      </w:pPr>
      <w:r>
        <w:t>rules of racing</w:t>
      </w:r>
      <w:r>
        <w:tab/>
        <w:t>3(1)</w:t>
      </w:r>
    </w:p>
    <w:p>
      <w:pPr>
        <w:pStyle w:val="DefinedTerms"/>
      </w:pPr>
      <w:r>
        <w:t>rules of wagering</w:t>
      </w:r>
      <w:r>
        <w:tab/>
        <w:t>3(1)</w:t>
      </w:r>
    </w:p>
    <w:p>
      <w:pPr>
        <w:pStyle w:val="DefinedTerms"/>
      </w:pPr>
      <w:r>
        <w:t>runner</w:t>
      </w:r>
      <w:r>
        <w:tab/>
        <w:t>3(1)</w:t>
      </w:r>
    </w:p>
    <w:p>
      <w:pPr>
        <w:pStyle w:val="DefinedTerms"/>
      </w:pPr>
      <w:r>
        <w:t>Scale of Deduction Table</w:t>
      </w:r>
      <w:r>
        <w:tab/>
        <w:t>App it. 1(1)</w:t>
      </w:r>
    </w:p>
    <w:p>
      <w:pPr>
        <w:pStyle w:val="DefinedTerms"/>
      </w:pPr>
      <w:r>
        <w:t>sporting event</w:t>
      </w:r>
      <w:r>
        <w:tab/>
        <w:t>3(1)</w:t>
      </w:r>
    </w:p>
    <w:p>
      <w:pPr>
        <w:pStyle w:val="DefinedTerms"/>
      </w:pPr>
      <w:r>
        <w:t>sum percentage</w:t>
      </w:r>
      <w:r>
        <w:tab/>
        <w:t>App it. 4A(1 )</w:t>
      </w:r>
    </w:p>
    <w:p>
      <w:pPr>
        <w:pStyle w:val="DefinedTerms"/>
      </w:pPr>
      <w:r>
        <w:t>totalisator</w:t>
      </w:r>
      <w:r>
        <w:tab/>
        <w:t>63(1A)</w:t>
      </w:r>
    </w:p>
    <w:p>
      <w:pPr>
        <w:pStyle w:val="DefinedTerms"/>
      </w:pPr>
      <w:r>
        <w:t>treble</w:t>
      </w:r>
      <w:r>
        <w:tab/>
        <w:t>App it. 1(1)</w:t>
      </w:r>
    </w:p>
    <w:p>
      <w:pPr>
        <w:pStyle w:val="DefinedTerms"/>
      </w:pPr>
      <w:r>
        <w:t>walk-over</w:t>
      </w:r>
      <w:r>
        <w:tab/>
        <w:t>App it. 1(1)</w:t>
      </w:r>
    </w:p>
    <w:p/>
    <w:p>
      <w:pPr>
        <w:sectPr>
          <w:headerReference w:type="even" r:id="rId39"/>
          <w:headerReference w:type="default" r:id="rId40"/>
          <w:pgSz w:w="11907" w:h="16840" w:code="9"/>
          <w:pgMar w:top="2381" w:right="2409" w:bottom="3543" w:left="2409" w:header="720" w:footer="3380" w:gutter="0"/>
          <w:cols w:space="720"/>
          <w:noEndnote/>
          <w:docGrid w:linePitch="326"/>
        </w:sectPr>
      </w:pPr>
    </w:p>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Nov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Nov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Nov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92"/>
      <w:gridCol w:w="58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1392" w:type="dxa"/>
        </w:tcPr>
        <w:p>
          <w:pPr>
            <w:pStyle w:val="Header"/>
            <w:spacing w:before="40"/>
          </w:pPr>
          <w:r>
            <w:rPr>
              <w:b/>
            </w:rPr>
            <w:fldChar w:fldCharType="begin"/>
          </w:r>
          <w:r>
            <w:rPr>
              <w:b/>
            </w:rPr>
            <w:instrText>styleref CharPartNo</w:instrText>
          </w:r>
          <w:r>
            <w:rPr>
              <w:b/>
            </w:rPr>
            <w:fldChar w:fldCharType="end"/>
          </w:r>
        </w:p>
      </w:tc>
      <w:tc>
        <w:tcPr>
          <w:tcW w:w="5871" w:type="dxa"/>
          <w:vAlign w:val="bottom"/>
        </w:tcPr>
        <w:p>
          <w:pPr>
            <w:pStyle w:val="Header"/>
            <w:spacing w:before="40"/>
          </w:pPr>
          <w:r>
            <w:fldChar w:fldCharType="begin"/>
          </w:r>
          <w:r>
            <w:instrText>styleref CharPartText</w:instrText>
          </w:r>
          <w:r>
            <w:fldChar w:fldCharType="end"/>
          </w:r>
        </w:p>
      </w:tc>
    </w:tr>
    <w:tr>
      <w:tc>
        <w:tcPr>
          <w:tcW w:w="1392" w:type="dxa"/>
        </w:tcPr>
        <w:p>
          <w:pPr>
            <w:pStyle w:val="Header"/>
            <w:spacing w:before="40"/>
          </w:pPr>
          <w:r>
            <w:rPr>
              <w:b/>
            </w:rPr>
            <w:fldChar w:fldCharType="begin"/>
          </w:r>
          <w:r>
            <w:rPr>
              <w:b/>
            </w:rPr>
            <w:instrText xml:space="preserve"> styleref CharDivNo </w:instrText>
          </w:r>
          <w:r>
            <w:rPr>
              <w:b/>
            </w:rPr>
            <w:fldChar w:fldCharType="end"/>
          </w:r>
        </w:p>
      </w:tc>
      <w:tc>
        <w:tcPr>
          <w:tcW w:w="5871"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5952" w:type="dxa"/>
          <w:vAlign w:val="bottom"/>
        </w:tcPr>
        <w:p>
          <w:pPr>
            <w:pStyle w:val="Header"/>
            <w:spacing w:before="40"/>
            <w:jc w:val="right"/>
          </w:pPr>
          <w:r>
            <w:fldChar w:fldCharType="begin"/>
          </w:r>
          <w:r>
            <w:instrText>styleref CharPartText</w:instrText>
          </w:r>
          <w:r>
            <w:fldChar w:fldCharType="end"/>
          </w:r>
        </w:p>
      </w:tc>
      <w:tc>
        <w:tcPr>
          <w:tcW w:w="1311" w:type="dxa"/>
        </w:tcPr>
        <w:p>
          <w:pPr>
            <w:pStyle w:val="Header"/>
            <w:spacing w:before="40"/>
            <w:ind w:right="17"/>
            <w:jc w:val="right"/>
          </w:pPr>
          <w:r>
            <w:rPr>
              <w:b/>
            </w:rPr>
            <w:fldChar w:fldCharType="begin"/>
          </w:r>
          <w:r>
            <w:rPr>
              <w:b/>
            </w:rPr>
            <w:instrText>styleref CharPartNo</w:instrText>
          </w:r>
          <w:r>
            <w:rPr>
              <w:b/>
            </w:rPr>
            <w:fldChar w:fldCharType="end"/>
          </w:r>
        </w:p>
      </w:tc>
    </w:tr>
    <w:tr>
      <w:tc>
        <w:tcPr>
          <w:tcW w:w="5952" w:type="dxa"/>
          <w:vAlign w:val="bottom"/>
        </w:tcPr>
        <w:p>
          <w:pPr>
            <w:pStyle w:val="Header"/>
            <w:spacing w:before="40"/>
            <w:jc w:val="right"/>
          </w:pPr>
          <w:r>
            <w:fldChar w:fldCharType="begin"/>
          </w:r>
          <w:r>
            <w:instrText xml:space="preserve"> styleref CharDivText </w:instrText>
          </w:r>
          <w:r>
            <w:fldChar w:fldCharType="end"/>
          </w:r>
        </w:p>
      </w:tc>
      <w:tc>
        <w:tcPr>
          <w:tcW w:w="131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"Appendix</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"Appendix</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w:instrText>
          </w:r>
          <w:r>
            <w:rPr>
              <w:b/>
            </w:rPr>
            <w:fldChar w:fldCharType="end"/>
          </w:r>
        </w:p>
      </w:tc>
    </w:tr>
    <w:tr>
      <w:tc>
        <w:tcPr>
          <w:tcW w:w="7160"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30" w:name="Schedule"/>
    <w:bookmarkEnd w:id="13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Rules of Betting</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Betting under the rules of racing</w: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Rules of Betting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Betting under the rules of racing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r>
    <w:tr>
      <w:tc>
        <w:tcPr>
          <w:tcW w:w="7160" w:type="dxa"/>
          <w:gridSpan w:val="2"/>
        </w:tcPr>
        <w:p>
          <w:pPr>
            <w:pStyle w:val="Header"/>
            <w:spacing w:before="40"/>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Rules of Betting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Betting on a sporting event, or a contingency, approved under section 4B</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2</w:t>
          </w:r>
          <w:r>
            <w:rPr>
              <w:b/>
            </w:rPr>
            <w:fldChar w:fldCharType="end"/>
          </w:r>
        </w:p>
      </w:tc>
    </w:tr>
    <w:tr>
      <w:tc>
        <w:tcPr>
          <w:tcW w:w="7160" w:type="dxa"/>
          <w:gridSpan w:val="2"/>
        </w:tcPr>
        <w:p>
          <w:pPr>
            <w:pStyle w:val="Header"/>
            <w:spacing w:before="40"/>
            <w:jc w:val="right"/>
          </w:pPr>
          <w:r>
            <w:rPr>
              <w:b/>
            </w:rPr>
            <w:fldChar w:fldCharType="begin"/>
          </w:r>
          <w:r>
            <w:rPr>
              <w:b/>
            </w:rPr>
            <w:instrText xml:space="preserve"> IF </w:instrText>
          </w:r>
          <w:r>
            <w:rPr>
              <w:b/>
            </w:rPr>
            <w:fldChar w:fldCharType="begin"/>
          </w:r>
          <w:r>
            <w:rPr>
              <w:b/>
            </w:rPr>
            <w:instrText>StyleRef CharSClsNo</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0</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47" w:name="Compilation"/>
    <w:bookmarkEnd w:id="14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0" w:name="DefinedTerms"/>
    <w:bookmarkEnd w:id="150"/>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1" w:name="Coversheet"/>
    <w:bookmarkEnd w:id="15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206AC28"/>
    <w:lvl w:ilvl="0">
      <w:start w:val="1"/>
      <w:numFmt w:val="decimal"/>
      <w:lvlText w:val="%1."/>
      <w:lvlJc w:val="left"/>
      <w:pPr>
        <w:tabs>
          <w:tab w:val="num" w:pos="1492"/>
        </w:tabs>
        <w:ind w:left="1492" w:hanging="360"/>
      </w:pPr>
    </w:lvl>
  </w:abstractNum>
  <w:abstractNum w:abstractNumId="1">
    <w:nsid w:val="FFFFFF7D"/>
    <w:multiLevelType w:val="singleLevel"/>
    <w:tmpl w:val="98266238"/>
    <w:lvl w:ilvl="0">
      <w:start w:val="1"/>
      <w:numFmt w:val="decimal"/>
      <w:lvlText w:val="%1."/>
      <w:lvlJc w:val="left"/>
      <w:pPr>
        <w:tabs>
          <w:tab w:val="num" w:pos="1209"/>
        </w:tabs>
        <w:ind w:left="1209" w:hanging="360"/>
      </w:pPr>
    </w:lvl>
  </w:abstractNum>
  <w:abstractNum w:abstractNumId="2">
    <w:nsid w:val="FFFFFF7E"/>
    <w:multiLevelType w:val="singleLevel"/>
    <w:tmpl w:val="5352E2BA"/>
    <w:lvl w:ilvl="0">
      <w:start w:val="1"/>
      <w:numFmt w:val="decimal"/>
      <w:lvlText w:val="%1."/>
      <w:lvlJc w:val="left"/>
      <w:pPr>
        <w:tabs>
          <w:tab w:val="num" w:pos="926"/>
        </w:tabs>
        <w:ind w:left="926" w:hanging="360"/>
      </w:pPr>
    </w:lvl>
  </w:abstractNum>
  <w:abstractNum w:abstractNumId="3">
    <w:nsid w:val="FFFFFF7F"/>
    <w:multiLevelType w:val="singleLevel"/>
    <w:tmpl w:val="BC5EDDE6"/>
    <w:lvl w:ilvl="0">
      <w:start w:val="1"/>
      <w:numFmt w:val="decimal"/>
      <w:lvlText w:val="%1."/>
      <w:lvlJc w:val="left"/>
      <w:pPr>
        <w:tabs>
          <w:tab w:val="num" w:pos="643"/>
        </w:tabs>
        <w:ind w:left="643" w:hanging="360"/>
      </w:pPr>
    </w:lvl>
  </w:abstractNum>
  <w:abstractNum w:abstractNumId="4">
    <w:nsid w:val="FFFFFF80"/>
    <w:multiLevelType w:val="singleLevel"/>
    <w:tmpl w:val="2DF0993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0E0F49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0D247A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8EAE6D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ED00804"/>
    <w:lvl w:ilvl="0">
      <w:start w:val="1"/>
      <w:numFmt w:val="decimal"/>
      <w:lvlText w:val="%1."/>
      <w:lvlJc w:val="left"/>
      <w:pPr>
        <w:tabs>
          <w:tab w:val="num" w:pos="360"/>
        </w:tabs>
        <w:ind w:left="360" w:hanging="360"/>
      </w:pPr>
    </w:lvl>
  </w:abstractNum>
  <w:abstractNum w:abstractNumId="9">
    <w:nsid w:val="FFFFFF89"/>
    <w:multiLevelType w:val="singleLevel"/>
    <w:tmpl w:val="74FA02A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E438E642"/>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110134654"/>
    <w:docVar w:name="WAFER_20131217105747" w:val="RemoveTocBookmarks,RemoveUnusedBookmarks,RemoveLanguageTags,UsedStyles,ResetPageSize,UpdateArrangement"/>
    <w:docVar w:name="WAFER_20131217105747_GUID" w:val="9e0019c9-0acf-44ce-b7f0-3bf1c214d2dd"/>
    <w:docVar w:name="WAFER_20141113150115" w:val="RemoveTocBookmarks,RemoveUnusedBookmarks,RemoveLanguageTags,UsedStyles,ResetPageSize,UpdateArrangement"/>
    <w:docVar w:name="WAFER_20141113150115_GUID" w:val="661133c9-2740-4495-8373-2167015f1d73"/>
    <w:docVar w:name="WAFER_20141229113115" w:val="RemoveTocBookmarks,RemoveUnusedBookmarks,RemoveLanguageTags,UsedStyles,ResetPageSize,UpdateArrangement"/>
    <w:docVar w:name="WAFER_20141229113115_GUID" w:val="f4a8f943-24dd-4bd0-91fb-a606d07be89b"/>
    <w:docVar w:name="WAFER_20141230083417" w:val="RemoveTocBookmarks,RunningHeaders"/>
    <w:docVar w:name="WAFER_20141230083417_GUID" w:val="11660bef-1195-418b-a056-f85a07ca4ebc"/>
    <w:docVar w:name="WAFER_20150324113944" w:val="ResetPageSize,UpdateArrangement,UpdateNTable"/>
    <w:docVar w:name="WAFER_20150324113944_GUID" w:val="2246688f-3aa9-4195-93e4-7acc1a1ea704"/>
    <w:docVar w:name="WAFER_20151105141953" w:val="UpdateStyles"/>
    <w:docVar w:name="WAFER_20151105141953_GUID" w:val="dec5f7b1-5296-4a7f-b5c2-eecbdb0126de"/>
    <w:docVar w:name="WAFER_20151105142314" w:val="UsedStyles"/>
    <w:docVar w:name="WAFER_20151105142314_GUID" w:val="a7501a44-236e-4b4c-90f6-8325f432f14c"/>
    <w:docVar w:name="WAFER_20170210160101" w:val="UsedStyles"/>
    <w:docVar w:name="WAFER_20170210160101_GUID" w:val="26266a23-0a24-40ef-b240-dd1c2b9abb65"/>
    <w:docVar w:name="WAFER_20170321154025" w:val="RemoveTocBookmarks,RemoveUnusedBookmarks,RemoveLanguageTags,UsedStyles,ResetPageSize,RemoveCustomizations"/>
    <w:docVar w:name="WAFER_20170321154025_GUID" w:val="12aa5337-deb2-4859-85d3-a8fa07edb804"/>
    <w:docVar w:name="WAFER_20171110134654" w:val="RemoveTocBookmarks,RemoveUnusedBookmarks,RemoveLanguageTags,UsedStyles,ResetPageSize"/>
    <w:docVar w:name="WAFER_20171110134654_GUID" w:val="19045f40-d3be-438b-a2e6-c1e7cb7097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1722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wmf"/><Relationship Id="rId39" Type="http://schemas.openxmlformats.org/officeDocument/2006/relationships/header" Target="header1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image" Target="media/image6.png"/><Relationship Id="rId42" Type="http://schemas.openxmlformats.org/officeDocument/2006/relationships/header" Target="header21.xm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3.xml"/><Relationship Id="rId38" Type="http://schemas.openxmlformats.org/officeDocument/2006/relationships/header" Target="header17.xml"/><Relationship Id="rId46"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5.wmf"/><Relationship Id="rId41" Type="http://schemas.openxmlformats.org/officeDocument/2006/relationships/header" Target="header2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header" Target="header16.xml"/><Relationship Id="rId40" Type="http://schemas.openxmlformats.org/officeDocument/2006/relationships/header" Target="header19.xml"/><Relationship Id="rId45"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4.wmf"/><Relationship Id="rId36" Type="http://schemas.openxmlformats.org/officeDocument/2006/relationships/header" Target="header15.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1.xml"/><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3.wmf"/><Relationship Id="rId30" Type="http://schemas.openxmlformats.org/officeDocument/2006/relationships/header" Target="header10.xml"/><Relationship Id="rId35" Type="http://schemas.openxmlformats.org/officeDocument/2006/relationships/header" Target="header14.xml"/><Relationship Id="rId43" Type="http://schemas.openxmlformats.org/officeDocument/2006/relationships/footer" Target="footer8.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B82018-7DC8-4802-84D0-4BD5CAA0E0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102</Pages>
  <Words>25545</Words>
  <Characters>118275</Characters>
  <Application>Microsoft Office Word</Application>
  <DocSecurity>0</DocSecurity>
  <Lines>3815</Lines>
  <Paragraphs>2357</Paragraphs>
  <ScaleCrop>false</ScaleCrop>
  <HeadingPairs>
    <vt:vector size="2" baseType="variant">
      <vt:variant>
        <vt:lpstr>Title</vt:lpstr>
      </vt:variant>
      <vt:variant>
        <vt:i4>1</vt:i4>
      </vt:variant>
    </vt:vector>
  </HeadingPairs>
  <TitlesOfParts>
    <vt:vector size="1" baseType="lpstr">
      <vt:lpstr>Betting Control Regulations 1978</vt:lpstr>
    </vt:vector>
  </TitlesOfParts>
  <Manager/>
  <Company/>
  <LinksUpToDate>false</LinksUpToDate>
  <CharactersWithSpaces>141463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1978 - 08-b0-00</dc:title>
  <dc:subject/>
  <dc:creator/>
  <cp:keywords/>
  <dc:description/>
  <cp:lastModifiedBy>svcMRProcess</cp:lastModifiedBy>
  <cp:revision>4</cp:revision>
  <cp:lastPrinted>2017-05-19T06:30:00Z</cp:lastPrinted>
  <dcterms:created xsi:type="dcterms:W3CDTF">2020-02-22T17:42:00Z</dcterms:created>
  <dcterms:modified xsi:type="dcterms:W3CDTF">2020-02-22T17:42:00Z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DocumentType">
    <vt:lpwstr>Reg</vt:lpwstr>
  </property>
  <property fmtid="{D5CDD505-2E9C-101B-9397-08002B2CF9AE}" pid="4" name="OwlsUID">
    <vt:i4>4296</vt:i4>
  </property>
  <property fmtid="{D5CDD505-2E9C-101B-9397-08002B2CF9AE}" pid="5" name="ReprintedAsAt">
    <vt:filetime>2017-05-11T16:00:00Z</vt:filetime>
  </property>
  <property fmtid="{D5CDD505-2E9C-101B-9397-08002B2CF9AE}" pid="6" name="ReprintNo">
    <vt:lpwstr>8</vt:lpwstr>
  </property>
  <property fmtid="{D5CDD505-2E9C-101B-9397-08002B2CF9AE}" pid="7" name="AsAtDate">
    <vt:lpwstr>10 Nov 2017</vt:lpwstr>
  </property>
  <property fmtid="{D5CDD505-2E9C-101B-9397-08002B2CF9AE}" pid="8" name="Suffix">
    <vt:lpwstr>08-b0-00</vt:lpwstr>
  </property>
  <property fmtid="{D5CDD505-2E9C-101B-9397-08002B2CF9AE}" pid="9" name="CommencementDate">
    <vt:lpwstr>20171110</vt:lpwstr>
  </property>
</Properties>
</file>